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365"/>
        <w:gridCol w:w="7286"/>
        <w:gridCol w:w="710"/>
      </w:tblGrid>
      <w:tr w14:paraId="178E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7" w:type="dxa"/>
            <w:gridSpan w:val="3"/>
            <w:vAlign w:val="center"/>
          </w:tcPr>
          <w:p w14:paraId="178E7DA8">
            <w:pPr>
              <w:pStyle w:val="2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第一部分 价格因素（30分）</w:t>
            </w:r>
          </w:p>
        </w:tc>
        <w:tc>
          <w:tcPr>
            <w:tcW w:w="710" w:type="dxa"/>
            <w:vAlign w:val="center"/>
          </w:tcPr>
          <w:p w14:paraId="178E7DA9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</w:tr>
      <w:tr w14:paraId="178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66" w:type="dxa"/>
            <w:vAlign w:val="center"/>
          </w:tcPr>
          <w:p w14:paraId="178E7DAB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14:paraId="178E7DAC">
            <w:pPr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价格</w:t>
            </w:r>
          </w:p>
        </w:tc>
        <w:tc>
          <w:tcPr>
            <w:tcW w:w="7286" w:type="dxa"/>
            <w:vAlign w:val="center"/>
          </w:tcPr>
          <w:p w14:paraId="178E7DAD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1</w:t>
            </w:r>
            <w:r>
              <w:rPr>
                <w:rFonts w:ascii="宋体" w:hAnsi="宋体" w:eastAsia="PMingLiU" w:cs="宋体"/>
                <w:sz w:val="24"/>
                <w:szCs w:val="24"/>
                <w:lang w:val="zh-TW" w:eastAsia="zh-TW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投标报价超过采购预算的，投标无效，未超过采购预算的投标报价按以下公式进行计算。</w:t>
            </w:r>
          </w:p>
          <w:p w14:paraId="178E7DAE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2</w:t>
            </w:r>
            <w:r>
              <w:rPr>
                <w:rFonts w:ascii="宋体" w:hAnsi="宋体" w:eastAsia="PMingLiU" w:cs="宋体"/>
                <w:sz w:val="24"/>
                <w:szCs w:val="24"/>
                <w:lang w:val="zh-TW" w:eastAsia="zh-TW"/>
              </w:rPr>
              <w:t>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投标报价得分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=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（评标基准价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投标报价）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×30</w:t>
            </w:r>
          </w:p>
          <w:p w14:paraId="178E7DAF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注：满足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招标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文件要求且投标报价最低的投标报价为评标基准价。</w:t>
            </w:r>
          </w:p>
        </w:tc>
        <w:tc>
          <w:tcPr>
            <w:tcW w:w="710" w:type="dxa"/>
            <w:vAlign w:val="center"/>
          </w:tcPr>
          <w:p w14:paraId="178E7DB0">
            <w:pPr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</w:tr>
      <w:tr w14:paraId="178E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3"/>
            <w:vAlign w:val="center"/>
          </w:tcPr>
          <w:p w14:paraId="178E7DB2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第二部分 商务因素（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710" w:type="dxa"/>
            <w:vAlign w:val="center"/>
          </w:tcPr>
          <w:p w14:paraId="178E7DB3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</w:tr>
      <w:tr w14:paraId="178E7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178E7DB5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14:paraId="178E7DB6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/>
              </w:rPr>
              <w:t>供应商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实施能力</w:t>
            </w:r>
          </w:p>
        </w:tc>
        <w:tc>
          <w:tcPr>
            <w:tcW w:w="7286" w:type="dxa"/>
            <w:vAlign w:val="center"/>
          </w:tcPr>
          <w:p w14:paraId="0861B7A0">
            <w:pPr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业绩合同签订时间应自开标之日起上推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年内，签订同类产品（消防装备管理、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消防应急物资库智能化建设、智能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装备管理等项目业绩）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案例业绩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的，有一项加 2 分，加满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分为止。</w:t>
            </w:r>
          </w:p>
          <w:p w14:paraId="178E7DB7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按照以下要求提供的证明材料均不得遮挡涂黑，否则不予认定加分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：</w:t>
            </w:r>
          </w:p>
          <w:p w14:paraId="178E7DB8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）合同复印件。包括合同金额、买卖双方名称及盖章。</w:t>
            </w:r>
          </w:p>
          <w:p w14:paraId="178E7DBB">
            <w:pPr>
              <w:spacing w:after="0" w:line="40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验收报告复印件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用户出具的成功履行合同的相关证明材料。</w:t>
            </w:r>
          </w:p>
        </w:tc>
        <w:tc>
          <w:tcPr>
            <w:tcW w:w="710" w:type="dxa"/>
            <w:vAlign w:val="center"/>
          </w:tcPr>
          <w:p w14:paraId="178E7DBC"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 w14:paraId="06179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3985CEA2"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5" w:type="dxa"/>
            <w:vAlign w:val="center"/>
          </w:tcPr>
          <w:p w14:paraId="2FD66B64">
            <w:pPr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供应商软实力</w:t>
            </w:r>
          </w:p>
        </w:tc>
        <w:tc>
          <w:tcPr>
            <w:tcW w:w="7286" w:type="dxa"/>
            <w:vAlign w:val="center"/>
          </w:tcPr>
          <w:p w14:paraId="0FBFFE0A">
            <w:pPr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1.供应商为国家高新技术企业（提供有效期内的国家高新技术企业证书扫描件1份）：2分；</w:t>
            </w:r>
          </w:p>
          <w:p w14:paraId="7C4CCD50">
            <w:pPr>
              <w:pStyle w:val="2"/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2.供应商为软件企业（提供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供有效期内的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软件企业证书扫描件1份）：2分；</w:t>
            </w:r>
          </w:p>
        </w:tc>
        <w:tc>
          <w:tcPr>
            <w:tcW w:w="710" w:type="dxa"/>
            <w:vAlign w:val="center"/>
          </w:tcPr>
          <w:p w14:paraId="336B2D2A"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</w:tr>
      <w:tr w14:paraId="366A5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21515E24">
            <w:pPr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65" w:type="dxa"/>
            <w:vAlign w:val="center"/>
          </w:tcPr>
          <w:p w14:paraId="294AA221">
            <w:pPr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团队实力配置</w:t>
            </w:r>
          </w:p>
        </w:tc>
        <w:tc>
          <w:tcPr>
            <w:tcW w:w="7286" w:type="dxa"/>
            <w:vAlign w:val="center"/>
          </w:tcPr>
          <w:p w14:paraId="5DFEE249">
            <w:pPr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1.团队人员具备PMP高级项目管理证书得2分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（提供有效期内的人员资格证书扫描件1份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1AB4D4BF">
            <w:pPr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2.团队人员具备系统集成管理（高级）证书得2分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shd w:val="clear"/>
                <w:lang w:val="en-US" w:eastAsia="zh-CN"/>
              </w:rPr>
              <w:t>（提供有效期内的人员资格证书扫描件1份）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  <w:p w14:paraId="18128691">
            <w:pPr>
              <w:spacing w:after="0"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3.团队人员具备智能化系统集成项目经理（高级）证书得2分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（提供有效期内的人员资格证书扫描件1份）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710" w:type="dxa"/>
            <w:vAlign w:val="center"/>
          </w:tcPr>
          <w:p w14:paraId="30EC2B00">
            <w:pPr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</w:tr>
      <w:tr w14:paraId="67EB5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4470F1C6">
            <w:pPr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65" w:type="dxa"/>
            <w:vAlign w:val="center"/>
          </w:tcPr>
          <w:p w14:paraId="2CA6987F">
            <w:pPr>
              <w:spacing w:line="42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现场演示</w:t>
            </w:r>
          </w:p>
          <w:p w14:paraId="75666B94">
            <w:pPr>
              <w:snapToGrid w:val="0"/>
              <w:spacing w:after="0"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color w:val="000000"/>
                <w:sz w:val="24"/>
              </w:rPr>
              <w:t>分</w:t>
            </w:r>
            <w:r>
              <w:rPr>
                <w:rFonts w:ascii="宋体" w:hAnsi="宋体"/>
                <w:b/>
                <w:color w:val="000000"/>
                <w:sz w:val="24"/>
              </w:rPr>
              <w:t>）</w:t>
            </w:r>
          </w:p>
        </w:tc>
        <w:tc>
          <w:tcPr>
            <w:tcW w:w="7286" w:type="dxa"/>
            <w:shd w:val="clear" w:color="auto" w:fill="auto"/>
            <w:vAlign w:val="center"/>
          </w:tcPr>
          <w:p w14:paraId="72285CED">
            <w:pPr>
              <w:spacing w:after="0"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提供消防装备管理系统功能现场演示。</w:t>
            </w:r>
          </w:p>
          <w:p w14:paraId="29FF927B">
            <w:pPr>
              <w:spacing w:after="0" w:line="400" w:lineRule="exac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1、装备管理系统PC端模块功能演示，计0-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分。</w:t>
            </w:r>
          </w:p>
          <w:p w14:paraId="45AD013B">
            <w:pPr>
              <w:spacing w:after="0" w:line="400" w:lineRule="exact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（1）基础功能完整性（1分）：装备入库、出库、盘点、报废全流程展示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 w:val="24"/>
              </w:rPr>
              <w:t>装备生命周期追踪、智能预警（如临期提醒）、车辆管理、数据分析报表演示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 w14:paraId="28281C0A">
            <w:pPr>
              <w:spacing w:after="0"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（3）可扩展性演示（2分）：支持对接各类物联网设备的功能演示，如支持门禁终端、AGV设备、温湿度主机、除湿设备、智能货架等未来可能可扩展设备功能的演示。</w:t>
            </w:r>
          </w:p>
          <w:p w14:paraId="76D6CD45">
            <w:pPr>
              <w:spacing w:after="0" w:line="400" w:lineRule="exac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2、装备管理系统APP管理员端及PDA终端模块功能演示，计0-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分。</w:t>
            </w:r>
          </w:p>
          <w:p w14:paraId="6D6AB995">
            <w:pPr>
              <w:spacing w:after="0"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（1）基础功能完整性（1分）：通过手持盘点终端实现装备入库、出库、盘点、报废全流程展示；</w:t>
            </w:r>
          </w:p>
          <w:p w14:paraId="202CF417">
            <w:pPr>
              <w:spacing w:after="0"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（2）移动巡检功能（1分）：RFID/NFC识别、二维码扫描等多种模式下进行装备巡检的功能演示；通过手持终端即可实现RFID标签写入，修改操作功能演示；</w:t>
            </w:r>
          </w:p>
          <w:p w14:paraId="39B208F1">
            <w:pPr>
              <w:spacing w:after="0" w:line="400" w:lineRule="exact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3、立式装备管理端模块功能演示，计0-3分。</w:t>
            </w:r>
          </w:p>
          <w:p w14:paraId="32336E64">
            <w:pPr>
              <w:spacing w:after="0" w:line="400" w:lineRule="exact"/>
              <w:rPr>
                <w:rFonts w:hint="eastAsia" w:ascii="宋体" w:hAnsi="宋体" w:eastAsiaTheme="minorEastAsia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（1）基础功能完整性（1分）：通过手持盘点终端实现装备入库、出库、盘点、报废全流程展示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；</w:t>
            </w:r>
          </w:p>
          <w:p w14:paraId="558170ED">
            <w:pPr>
              <w:spacing w:after="0" w:line="4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（2）高级功能演示（2分）：支持装备台账打印，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录制视频演示打印功能；</w:t>
            </w:r>
            <w:r>
              <w:rPr>
                <w:rFonts w:hint="eastAsia" w:ascii="宋体" w:hAnsi="宋体"/>
                <w:color w:val="000000"/>
                <w:sz w:val="24"/>
              </w:rPr>
              <w:t>计0-2分；</w:t>
            </w:r>
          </w:p>
          <w:p w14:paraId="14FF6CFF">
            <w:pPr>
              <w:spacing w:after="0" w:line="4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 w:val="24"/>
              </w:rPr>
              <w:t>注：供应商须提供不超过15分钟的功能演示</w:t>
            </w:r>
            <w:r>
              <w:rPr>
                <w:rFonts w:hint="eastAsia" w:ascii="宋体" w:hAnsi="宋体"/>
                <w:color w:val="0000FF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演示视频用U盘存储一并递交招标代理机构</w:t>
            </w:r>
            <w:r>
              <w:rPr>
                <w:rFonts w:hint="eastAsia" w:ascii="宋体" w:hAnsi="宋体"/>
                <w:color w:val="0000FF"/>
                <w:sz w:val="24"/>
              </w:rPr>
              <w:t>，</w:t>
            </w:r>
            <w:r>
              <w:rPr>
                <w:rFonts w:hint="eastAsia" w:ascii="宋体" w:hAnsi="宋体"/>
                <w:color w:val="0000FF"/>
                <w:sz w:val="24"/>
                <w:lang w:val="en-US" w:eastAsia="zh-CN"/>
              </w:rPr>
              <w:t>未提供不得分</w:t>
            </w:r>
            <w:r>
              <w:rPr>
                <w:rFonts w:hint="eastAsia" w:ascii="宋体" w:hAnsi="宋体"/>
                <w:color w:val="0000FF"/>
                <w:sz w:val="24"/>
              </w:rPr>
              <w:t>。</w:t>
            </w:r>
          </w:p>
        </w:tc>
        <w:tc>
          <w:tcPr>
            <w:tcW w:w="710" w:type="dxa"/>
            <w:vAlign w:val="center"/>
          </w:tcPr>
          <w:p w14:paraId="05FC9B3A">
            <w:pPr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</w:tr>
      <w:tr w14:paraId="178E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217" w:type="dxa"/>
            <w:gridSpan w:val="3"/>
            <w:vAlign w:val="center"/>
          </w:tcPr>
          <w:p w14:paraId="178E7DBE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第三部分 技术因素（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分）</w:t>
            </w:r>
          </w:p>
        </w:tc>
        <w:tc>
          <w:tcPr>
            <w:tcW w:w="710" w:type="dxa"/>
            <w:vAlign w:val="center"/>
          </w:tcPr>
          <w:p w14:paraId="178E7DBF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分值</w:t>
            </w:r>
          </w:p>
        </w:tc>
      </w:tr>
      <w:tr w14:paraId="178E7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178E7DC1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1</w:t>
            </w:r>
          </w:p>
        </w:tc>
        <w:tc>
          <w:tcPr>
            <w:tcW w:w="1365" w:type="dxa"/>
            <w:vAlign w:val="center"/>
          </w:tcPr>
          <w:p w14:paraId="178E7DC2">
            <w:pPr>
              <w:pStyle w:val="8"/>
              <w:spacing w:after="0" w:line="400" w:lineRule="exact"/>
              <w:jc w:val="center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“★”技术参数评价</w:t>
            </w:r>
          </w:p>
        </w:tc>
        <w:tc>
          <w:tcPr>
            <w:tcW w:w="7286" w:type="dxa"/>
          </w:tcPr>
          <w:p w14:paraId="178E7DC3">
            <w:pPr>
              <w:spacing w:after="0" w:line="400" w:lineRule="exact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 xml:space="preserve">所提供的产品满足招标文件的技术需求。 </w:t>
            </w:r>
          </w:p>
          <w:p w14:paraId="178E7DC4">
            <w:pPr>
              <w:spacing w:after="0" w:line="400" w:lineRule="exact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无负偏离：1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分</w:t>
            </w:r>
          </w:p>
          <w:p w14:paraId="178E7DC5">
            <w:pPr>
              <w:spacing w:after="0" w:line="400" w:lineRule="exact"/>
              <w:rPr>
                <w:rFonts w:ascii="宋体" w:hAnsi="宋体" w:eastAsia="宋体" w:cs="宋体"/>
                <w:color w:val="0000FF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FF"/>
                <w:sz w:val="24"/>
                <w:szCs w:val="24"/>
              </w:rPr>
              <w:t>“★”项技术参数低于招标文件要求的，每条扣1分，最低0分。</w:t>
            </w:r>
          </w:p>
        </w:tc>
        <w:tc>
          <w:tcPr>
            <w:tcW w:w="710" w:type="dxa"/>
            <w:vAlign w:val="center"/>
          </w:tcPr>
          <w:p w14:paraId="178E7DC6">
            <w:pPr>
              <w:snapToGrid w:val="0"/>
              <w:spacing w:after="0" w:line="4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</w:tr>
      <w:tr w14:paraId="178E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178E7DC8">
            <w:pPr>
              <w:spacing w:after="0"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365" w:type="dxa"/>
            <w:vAlign w:val="center"/>
          </w:tcPr>
          <w:p w14:paraId="178E7DC9">
            <w:pPr>
              <w:widowControl w:val="0"/>
              <w:spacing w:after="0" w:line="38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zh-TW"/>
              </w:rPr>
              <w:t>提供针对本项目的实施</w:t>
            </w:r>
            <w:r>
              <w:rPr>
                <w:rFonts w:hint="eastAsia" w:ascii="宋体" w:hAnsi="宋体" w:cs="宋体"/>
                <w:sz w:val="24"/>
                <w:szCs w:val="24"/>
              </w:rPr>
              <w:t>方案评价</w:t>
            </w:r>
          </w:p>
        </w:tc>
        <w:tc>
          <w:tcPr>
            <w:tcW w:w="7286" w:type="dxa"/>
            <w:vAlign w:val="center"/>
          </w:tcPr>
          <w:p w14:paraId="178E7DCD">
            <w:pPr>
              <w:widowControl w:val="0"/>
              <w:spacing w:after="0" w:line="380" w:lineRule="exact"/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投标人提供详细的技术方案；技术方案完整科学，兼容性、安全性及先进性较强，包含详细的需求分析、技术路线、系统架构和详细的系统功能设计等全部内容，得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5-4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分；技术方案较完整，仅包含系统架构、系统功能设计等部分关键内容，得3-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分；其他得1分。</w:t>
            </w:r>
          </w:p>
        </w:tc>
        <w:tc>
          <w:tcPr>
            <w:tcW w:w="710" w:type="dxa"/>
            <w:vAlign w:val="center"/>
          </w:tcPr>
          <w:p w14:paraId="178E7DCE">
            <w:pPr>
              <w:widowControl w:val="0"/>
              <w:spacing w:after="0"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178E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178E7DD0">
            <w:pPr>
              <w:spacing w:after="0"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365" w:type="dxa"/>
            <w:vAlign w:val="center"/>
          </w:tcPr>
          <w:p w14:paraId="178E7DD1">
            <w:pPr>
              <w:widowControl w:val="0"/>
              <w:spacing w:after="0"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项目进度安排计划及其保障措施评价</w:t>
            </w:r>
          </w:p>
        </w:tc>
        <w:tc>
          <w:tcPr>
            <w:tcW w:w="7286" w:type="dxa"/>
          </w:tcPr>
          <w:p w14:paraId="2F6807EB"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TW"/>
              </w:rPr>
              <w:t xml:space="preserve">1.进度计划安排详细全面，包括项目的工程前期准备阶段、施工阶段、竣工验收阶段的具体时间节点、任务内容、资源需求和风险应对措施等。进度安排与项目契合，能够根据项目的实际情况和需求进行调整和优化，确保项目的顺利进行。细节切实可行，包括施工的具体内容、标准、进度要求等，能够满足项目和目标。时间节点明确，每个阶段的任务和时间要求清晰明了，完整详细，实用性，针对性强，得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5-4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TW"/>
              </w:rPr>
              <w:t xml:space="preserve"> 分； </w:t>
            </w:r>
          </w:p>
          <w:p w14:paraId="7B9CBA68"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TW"/>
              </w:rPr>
              <w:t>2.进度计划安排基本完整，包括了项目的部分阶段的时间节点、任务内容、资源需求和风险应对措施等。进度安排较为明确，能够根据项目的实际情况和需求进行一定的调整和优化，确保项目的顺利进行。工作细节基本可行，包括了工作的基本内容、标准、进度要求等，能够满足项目和目标。时间节点基本明确，每个阶段的任务和时间要求有一定的清晰度，完整详细，具有实用性，针对性，得 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-2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TW"/>
              </w:rPr>
              <w:t xml:space="preserve"> 分； </w:t>
            </w:r>
          </w:p>
          <w:p w14:paraId="6C8EA9B2"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TW"/>
              </w:rPr>
              <w:t xml:space="preserve">3.进度计划安排不完整，包括了项目的部分阶段的时间节点、任务内容、资源需求等。进度安排不够明确，难以根据项目的实际情况和需求进行调整和优化，基本确保项目的进行。时间节点模糊，每个阶段的任务和时间要求不清晰，实用性、针对性有待改善，得 1 分； </w:t>
            </w:r>
          </w:p>
          <w:p w14:paraId="34D4F0EA">
            <w:pPr>
              <w:widowControl w:val="0"/>
              <w:spacing w:after="0" w:line="380" w:lineRule="exact"/>
              <w:rPr>
                <w:rFonts w:ascii="宋体" w:hAnsi="宋体" w:eastAsia="宋体" w:cs="宋体"/>
                <w:sz w:val="24"/>
                <w:szCs w:val="24"/>
                <w:lang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TW"/>
              </w:rPr>
              <w:t>4.方案不可行或者未提供得 0 分。</w:t>
            </w:r>
          </w:p>
        </w:tc>
        <w:tc>
          <w:tcPr>
            <w:tcW w:w="710" w:type="dxa"/>
            <w:vAlign w:val="center"/>
          </w:tcPr>
          <w:p w14:paraId="178E7DD6">
            <w:pPr>
              <w:widowControl w:val="0"/>
              <w:spacing w:after="0"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67F92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582D49AC">
            <w:pPr>
              <w:spacing w:after="0" w:line="44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365" w:type="dxa"/>
            <w:vAlign w:val="center"/>
          </w:tcPr>
          <w:p w14:paraId="5C703F79"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人力物力投入计划评价</w:t>
            </w:r>
          </w:p>
        </w:tc>
        <w:tc>
          <w:tcPr>
            <w:tcW w:w="7286" w:type="dxa"/>
          </w:tcPr>
          <w:p w14:paraId="4663A82F">
            <w:pPr>
              <w:widowControl w:val="0"/>
              <w:snapToGrid w:val="0"/>
              <w:spacing w:after="0"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人力物力投入计划合理，与进度计划呼应，有详细的保证措施，</w:t>
            </w:r>
            <w:r>
              <w:rPr>
                <w:rFonts w:hint="eastAsia" w:ascii="宋体" w:hAnsi="宋体" w:cs="宋体"/>
                <w:sz w:val="24"/>
                <w:szCs w:val="24"/>
              </w:rPr>
              <w:t>内容无瑕疵：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5-4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</w:p>
          <w:p w14:paraId="6529A5E9">
            <w:pPr>
              <w:widowControl w:val="0"/>
              <w:spacing w:after="0"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人力物力投入计划合理，有较为详细的保证措施，</w:t>
            </w:r>
            <w:r>
              <w:rPr>
                <w:rFonts w:hint="eastAsia" w:ascii="宋体" w:hAnsi="宋体" w:cs="宋体"/>
                <w:sz w:val="24"/>
                <w:szCs w:val="24"/>
              </w:rPr>
              <w:t>但内容存在瑕疵：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3-2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</w:p>
          <w:p w14:paraId="5D71934F">
            <w:pPr>
              <w:widowControl w:val="0"/>
              <w:snapToGrid w:val="0"/>
              <w:spacing w:after="0"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人力物力投入计划与进度计划匹配度一般，基本满足施工需要，并且有一定的保证措施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</w:p>
          <w:p w14:paraId="593FE5B0">
            <w:pPr>
              <w:pStyle w:val="2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：0分。</w:t>
            </w:r>
          </w:p>
        </w:tc>
        <w:tc>
          <w:tcPr>
            <w:tcW w:w="710" w:type="dxa"/>
            <w:vAlign w:val="center"/>
          </w:tcPr>
          <w:p w14:paraId="035B7DE3">
            <w:pPr>
              <w:widowControl w:val="0"/>
              <w:spacing w:after="0"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178E7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178E7DD8">
            <w:pPr>
              <w:spacing w:after="0"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365" w:type="dxa"/>
            <w:vAlign w:val="center"/>
          </w:tcPr>
          <w:p w14:paraId="178E7DD9">
            <w:pPr>
              <w:widowControl w:val="0"/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产品整体性能评价</w:t>
            </w:r>
          </w:p>
        </w:tc>
        <w:tc>
          <w:tcPr>
            <w:tcW w:w="7286" w:type="dxa"/>
            <w:vAlign w:val="center"/>
          </w:tcPr>
          <w:p w14:paraId="178E7DDA">
            <w:pPr>
              <w:widowControl w:val="0"/>
              <w:spacing w:after="0"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所投产品，从关键部件的品质先进、稳定、安全、耐用进行综合比较：</w:t>
            </w:r>
          </w:p>
          <w:p w14:paraId="178E7DDB">
            <w:pPr>
              <w:widowControl w:val="0"/>
              <w:spacing w:after="0"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产品先进、稳定、安全、耐用性高，推广使用广泛，技术支持材料详细全面，内容无瑕疵：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</w:p>
          <w:p w14:paraId="178E7DDC">
            <w:pPr>
              <w:widowControl w:val="0"/>
              <w:snapToGrid w:val="0"/>
              <w:spacing w:after="0"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产品稳定、安全、耐用性高，技术支持材料比较全面：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</w:p>
          <w:p w14:paraId="178E7DDD">
            <w:pPr>
              <w:widowControl w:val="0"/>
              <w:snapToGrid w:val="0"/>
              <w:spacing w:after="0" w:line="380" w:lineRule="exac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产品稳定、安全、耐用性高，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未</w:t>
            </w:r>
            <w:r>
              <w:rPr>
                <w:rFonts w:hint="eastAsia" w:ascii="宋体" w:hAnsi="宋体" w:cs="宋体"/>
                <w:sz w:val="24"/>
                <w:szCs w:val="24"/>
              </w:rPr>
              <w:t>提供技术支持材料：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</w:t>
            </w:r>
          </w:p>
          <w:p w14:paraId="178E7DDE">
            <w:pPr>
              <w:widowControl w:val="0"/>
              <w:spacing w:after="0" w:line="380" w:lineRule="exact"/>
              <w:rPr>
                <w:rFonts w:ascii="宋体" w:hAnsi="宋体" w:eastAsia="宋体" w:cs="宋体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未提供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：0分</w:t>
            </w:r>
            <w:r>
              <w:rPr>
                <w:rFonts w:hint="eastAsia" w:ascii="宋体" w:hAnsi="宋体" w:cs="宋体"/>
                <w:sz w:val="24"/>
                <w:szCs w:val="24"/>
              </w:rPr>
              <w:t>。</w:t>
            </w:r>
          </w:p>
        </w:tc>
        <w:tc>
          <w:tcPr>
            <w:tcW w:w="710" w:type="dxa"/>
            <w:vAlign w:val="center"/>
          </w:tcPr>
          <w:p w14:paraId="178E7DDF">
            <w:pPr>
              <w:widowControl w:val="0"/>
              <w:spacing w:after="0" w:line="3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178E7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178E7DE9">
            <w:pPr>
              <w:spacing w:after="0"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365" w:type="dxa"/>
            <w:vAlign w:val="center"/>
          </w:tcPr>
          <w:p w14:paraId="178E7DEA">
            <w:pPr>
              <w:widowControl w:val="0"/>
              <w:spacing w:after="0" w:line="380" w:lineRule="exact"/>
              <w:jc w:val="center"/>
              <w:rPr>
                <w:rFonts w:ascii="宋体" w:hAnsi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售后服务方案评价</w:t>
            </w:r>
          </w:p>
        </w:tc>
        <w:tc>
          <w:tcPr>
            <w:tcW w:w="7286" w:type="dxa"/>
          </w:tcPr>
          <w:p w14:paraId="765F870D">
            <w:pPr>
              <w:widowControl w:val="0"/>
              <w:spacing w:after="0" w:line="380" w:lineRule="exact"/>
              <w:rPr>
                <w:rFonts w:ascii="宋体" w:hAnsi="宋体" w:eastAsia="宋体" w:cs="宋体"/>
                <w:sz w:val="24"/>
                <w:szCs w:val="24"/>
                <w:shd w:val="clear"/>
                <w:lang w:val="zh-CN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1.包括承诺的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TW"/>
              </w:rPr>
              <w:t>售后服务内容等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zh-CN" w:eastAsia="zh-TW"/>
              </w:rPr>
              <w:t>，由评标委员会酌情评分；优的得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zh-CN" w:eastAsia="zh-TW"/>
              </w:rPr>
              <w:t>分，一般的得</w:t>
            </w:r>
            <w:r>
              <w:rPr>
                <w:rFonts w:ascii="宋体" w:hAnsi="宋体" w:eastAsia="宋体" w:cs="宋体"/>
                <w:sz w:val="24"/>
                <w:szCs w:val="24"/>
                <w:shd w:val="clear"/>
                <w:lang w:val="zh-CN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  <w:shd w:val="clear"/>
                <w:lang w:val="zh-CN" w:eastAsia="zh-TW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zh-CN" w:eastAsia="zh-TW"/>
              </w:rPr>
              <w:t>分，未提供的</w:t>
            </w:r>
            <w:r>
              <w:rPr>
                <w:rFonts w:ascii="宋体" w:hAnsi="宋体" w:eastAsia="宋体" w:cs="宋体"/>
                <w:sz w:val="24"/>
                <w:szCs w:val="24"/>
                <w:shd w:val="clear"/>
                <w:lang w:val="zh-CN" w:eastAsia="zh-TW"/>
              </w:rPr>
              <w:t xml:space="preserve"> 0</w:t>
            </w:r>
            <w:r>
              <w:rPr>
                <w:rFonts w:hint="eastAsia" w:ascii="宋体" w:hAnsi="宋体" w:eastAsia="宋体" w:cs="宋体"/>
                <w:sz w:val="24"/>
                <w:szCs w:val="24"/>
                <w:shd w:val="clear"/>
                <w:lang w:val="zh-CN" w:eastAsia="zh-TW"/>
              </w:rPr>
              <w:t>分。</w:t>
            </w:r>
          </w:p>
          <w:p w14:paraId="15C67A72"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  <w:lang w:val="zh-CN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TW"/>
              </w:rPr>
              <w:t>优的评判标准为投标人提供的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TW"/>
              </w:rPr>
              <w:t>方案全面、完整、可行、有针对性。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TW"/>
              </w:rPr>
              <w:t>方式适当，能够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确保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TW"/>
              </w:rPr>
              <w:t>使用单位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的售后保障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TW"/>
              </w:rPr>
              <w:t>。一般的评判标准为投标人提供的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售后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TW"/>
              </w:rPr>
              <w:t>方案全面、完整。较差的评判标准为未提出合理有效的售后方案。</w:t>
            </w:r>
          </w:p>
          <w:p w14:paraId="2A51D736"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  <w:lang w:val="zh-CN" w:eastAsia="zh-TW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2.售后承诺时间：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 w:eastAsia="zh-TW"/>
              </w:rPr>
              <w:t>承诺二年软、硬件及数据维护服务得2分:每增加1年加1分，满分5分。</w:t>
            </w:r>
          </w:p>
        </w:tc>
        <w:tc>
          <w:tcPr>
            <w:tcW w:w="710" w:type="dxa"/>
            <w:vAlign w:val="center"/>
          </w:tcPr>
          <w:p w14:paraId="178E7DF0">
            <w:pPr>
              <w:widowControl w:val="0"/>
              <w:spacing w:after="0" w:line="3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0E84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" w:type="dxa"/>
            <w:vAlign w:val="center"/>
          </w:tcPr>
          <w:p w14:paraId="746ECCAD">
            <w:pPr>
              <w:spacing w:after="0" w:line="4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365" w:type="dxa"/>
            <w:vAlign w:val="center"/>
          </w:tcPr>
          <w:p w14:paraId="59AEFEB5">
            <w:pPr>
              <w:widowControl w:val="0"/>
              <w:spacing w:after="0"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培训服务方案评价</w:t>
            </w:r>
          </w:p>
        </w:tc>
        <w:tc>
          <w:tcPr>
            <w:tcW w:w="7286" w:type="dxa"/>
          </w:tcPr>
          <w:p w14:paraId="29A26A0B">
            <w:pPr>
              <w:widowControl w:val="0"/>
              <w:spacing w:after="0" w:line="38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包括承诺的培训服务计划内容等，由评标委员会酌情评分；优的得3分，一般的得 2分，较差或未提供的 0-1分。</w:t>
            </w:r>
          </w:p>
          <w:p w14:paraId="342AE887">
            <w:pPr>
              <w:widowControl w:val="0"/>
              <w:spacing w:after="0" w:line="380" w:lineRule="exac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的评判标准为投标人提供的培训方案全面、完整、可行、有针对性。培训内容有层次，培训方式适当，能够保障使用单位能熟练操作维护和正常使用。一般的评判标准为投标人提供的培训方案全面、完整。较差的评判标准为未提出合理有效的培训及售后方案。</w:t>
            </w:r>
          </w:p>
        </w:tc>
        <w:tc>
          <w:tcPr>
            <w:tcW w:w="710" w:type="dxa"/>
            <w:vAlign w:val="center"/>
          </w:tcPr>
          <w:p w14:paraId="09B20C0B">
            <w:pPr>
              <w:widowControl w:val="0"/>
              <w:spacing w:after="0" w:line="380" w:lineRule="exact"/>
              <w:jc w:val="center"/>
              <w:rPr>
                <w:rFonts w:hint="eastAsia" w:ascii="宋体" w:hAnsi="宋体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</w:tr>
      <w:tr w14:paraId="178E7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7" w:type="dxa"/>
            <w:gridSpan w:val="3"/>
            <w:vAlign w:val="center"/>
          </w:tcPr>
          <w:p w14:paraId="178E7E07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合计</w:t>
            </w:r>
          </w:p>
        </w:tc>
        <w:tc>
          <w:tcPr>
            <w:tcW w:w="710" w:type="dxa"/>
            <w:vAlign w:val="center"/>
          </w:tcPr>
          <w:p w14:paraId="178E7E08">
            <w:pPr>
              <w:snapToGrid w:val="0"/>
              <w:spacing w:after="0" w:line="40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100分</w:t>
            </w:r>
          </w:p>
        </w:tc>
      </w:tr>
    </w:tbl>
    <w:p w14:paraId="000CB0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C4A82"/>
    <w:rsid w:val="00210947"/>
    <w:rsid w:val="170104CA"/>
    <w:rsid w:val="1CB47F85"/>
    <w:rsid w:val="221C0A03"/>
    <w:rsid w:val="2B3F0281"/>
    <w:rsid w:val="3A0E49FA"/>
    <w:rsid w:val="609C4A82"/>
    <w:rsid w:val="728353C2"/>
    <w:rsid w:val="79F641D2"/>
    <w:rsid w:val="7F9D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仿宋_GB2312" w:eastAsia="仿宋_GB2312"/>
      <w:sz w:val="30"/>
    </w:rPr>
  </w:style>
  <w:style w:type="paragraph" w:styleId="3">
    <w:name w:val="Body Text Indent"/>
    <w:basedOn w:val="1"/>
    <w:next w:val="4"/>
    <w:qFormat/>
    <w:uiPriority w:val="99"/>
    <w:pPr>
      <w:ind w:firstLine="630"/>
    </w:pPr>
    <w:rPr>
      <w:sz w:val="32"/>
      <w:szCs w:val="20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5">
    <w:name w:val="Body Text First Indent 2"/>
    <w:basedOn w:val="3"/>
    <w:qFormat/>
    <w:uiPriority w:val="99"/>
    <w:pPr>
      <w:ind w:left="420" w:firstLine="420" w:firstLineChars="200"/>
    </w:pPr>
  </w:style>
  <w:style w:type="paragraph" w:customStyle="1" w:styleId="8">
    <w:name w:val="Table Paragraph"/>
    <w:basedOn w:val="1"/>
    <w:qFormat/>
    <w:uiPriority w:val="1"/>
  </w:style>
  <w:style w:type="paragraph" w:customStyle="1" w:styleId="9">
    <w:name w:val="Char Char Char Char Char Char Char1 Char_1"/>
    <w:basedOn w:val="10"/>
    <w:autoRedefine/>
    <w:qFormat/>
    <w:uiPriority w:val="0"/>
    <w:rPr>
      <w:rFonts w:ascii="Tahoma" w:hAnsi="Tahoma"/>
      <w:sz w:val="24"/>
    </w:rPr>
  </w:style>
  <w:style w:type="paragraph" w:customStyle="1" w:styleId="10">
    <w:name w:val="正文_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2365</Words>
  <Characters>2430</Characters>
  <Lines>0</Lines>
  <Paragraphs>0</Paragraphs>
  <TotalTime>28</TotalTime>
  <ScaleCrop>false</ScaleCrop>
  <LinksUpToDate>false</LinksUpToDate>
  <CharactersWithSpaces>2456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2025-04-10T06:13:00Z</dcterms:created>
  <dc:creator>Administrator</dc:creator>
  <cp:lastModifiedBy>61</cp:lastModifiedBy>
  <dcterms:modified xsi:type="dcterms:W3CDTF">2025-04-15T06:37:04Z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CC5EC929565D4C9A8928C279F5C20572_13</vt:lpwstr>
  </property>
  <property fmtid="{D5CDD505-2E9C-101B-9397-08002B2CF9AE}" pid="4" name="KSOTemplateDocerSaveRecord">
    <vt:lpwstr>eyJoZGlkIjoiNGMxYTU5MzY0MzhiMmY3MzIzNWNmNDAyMjRkNzEyMTQiLCJ1c2VySWQiOiI2MzU2MzIwNTUifQ==</vt:lpwstr>
  </property>
</Properties>
</file>