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861A02">
      <w:pPr>
        <w:pStyle w:val="18"/>
        <w:spacing w:line="480" w:lineRule="exact"/>
        <w:rPr>
          <w:rFonts w:hAnsi="宋体" w:cs="宋体"/>
          <w:b/>
          <w:bCs/>
          <w:sz w:val="56"/>
          <w:szCs w:val="24"/>
        </w:rPr>
      </w:pPr>
    </w:p>
    <w:p w14:paraId="2D2CE4EB">
      <w:pPr>
        <w:pStyle w:val="18"/>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rPr>
          <w:rFonts w:hint="eastAsia" w:hAnsi="宋体" w:eastAsia="宋体" w:cs="宋体"/>
          <w:b/>
          <w:bCs/>
          <w:sz w:val="44"/>
          <w:szCs w:val="22"/>
          <w:lang w:eastAsia="zh-CN"/>
        </w:rPr>
      </w:pPr>
      <w:r>
        <w:rPr>
          <w:rFonts w:hint="eastAsia" w:hAnsi="宋体" w:cs="宋体"/>
          <w:b/>
          <w:bCs/>
          <w:sz w:val="72"/>
          <w:szCs w:val="72"/>
          <w:lang w:eastAsia="zh-CN"/>
        </w:rPr>
        <w:t>昭通市公安局交通管理支队无人机采购项目</w:t>
      </w:r>
    </w:p>
    <w:p w14:paraId="575B248E">
      <w:pPr>
        <w:pStyle w:val="18"/>
        <w:spacing w:line="480" w:lineRule="exact"/>
        <w:jc w:val="center"/>
        <w:rPr>
          <w:rFonts w:hAnsi="宋体" w:cs="宋体"/>
          <w:b/>
          <w:bCs/>
          <w:sz w:val="24"/>
          <w:szCs w:val="24"/>
        </w:rPr>
      </w:pPr>
    </w:p>
    <w:p w14:paraId="7FEE951C">
      <w:pPr>
        <w:rPr>
          <w:rFonts w:ascii="宋体" w:hAnsi="宋体" w:cs="宋体"/>
        </w:rPr>
      </w:pPr>
    </w:p>
    <w:p w14:paraId="4AA55075">
      <w:pPr>
        <w:pStyle w:val="37"/>
        <w:rPr>
          <w:rFonts w:ascii="宋体" w:hAnsi="宋体" w:cs="宋体"/>
        </w:rPr>
      </w:pPr>
    </w:p>
    <w:p w14:paraId="4ED9E8DB">
      <w:pPr>
        <w:pStyle w:val="37"/>
        <w:rPr>
          <w:rFonts w:ascii="宋体" w:hAnsi="宋体" w:cs="宋体"/>
        </w:rPr>
      </w:pPr>
    </w:p>
    <w:p w14:paraId="662D8C88">
      <w:pPr>
        <w:pStyle w:val="2"/>
      </w:pPr>
    </w:p>
    <w:p w14:paraId="5CD85E56">
      <w:pPr>
        <w:rPr>
          <w:rFonts w:hAnsi="宋体" w:cs="宋体"/>
          <w:b/>
          <w:bCs/>
          <w:sz w:val="24"/>
        </w:rPr>
      </w:pPr>
    </w:p>
    <w:p w14:paraId="13EDDCD0">
      <w:pPr>
        <w:pStyle w:val="2"/>
        <w:rPr>
          <w:rFonts w:hAnsi="宋体" w:cs="宋体"/>
          <w:b/>
          <w:bCs/>
        </w:rPr>
      </w:pPr>
    </w:p>
    <w:p w14:paraId="4F2A997A"/>
    <w:p w14:paraId="00E4E99E">
      <w:pPr>
        <w:pStyle w:val="18"/>
        <w:spacing w:line="1200" w:lineRule="exact"/>
        <w:jc w:val="center"/>
        <w:rPr>
          <w:rFonts w:hAnsi="宋体" w:cs="宋体"/>
          <w:sz w:val="24"/>
          <w:szCs w:val="24"/>
        </w:rPr>
      </w:pPr>
      <w:r>
        <w:rPr>
          <w:rFonts w:hint="eastAsia" w:hAnsi="宋体" w:cs="宋体"/>
          <w:b/>
          <w:bCs/>
          <w:sz w:val="84"/>
          <w:szCs w:val="84"/>
        </w:rPr>
        <w:t>竞争性谈判文件</w:t>
      </w:r>
    </w:p>
    <w:p w14:paraId="0121DF18">
      <w:pPr>
        <w:pStyle w:val="18"/>
        <w:spacing w:line="480" w:lineRule="exact"/>
        <w:jc w:val="center"/>
        <w:rPr>
          <w:rFonts w:hint="eastAsia" w:hAnsi="宋体" w:eastAsia="宋体" w:cs="宋体"/>
          <w:sz w:val="24"/>
          <w:szCs w:val="24"/>
          <w:lang w:eastAsia="zh-CN"/>
        </w:rPr>
      </w:pPr>
      <w:r>
        <w:rPr>
          <w:rFonts w:hint="eastAsia" w:hAnsi="宋体" w:cs="宋体"/>
          <w:b/>
          <w:sz w:val="28"/>
          <w:szCs w:val="28"/>
        </w:rPr>
        <w:t>项目编号</w:t>
      </w:r>
      <w:r>
        <w:rPr>
          <w:rFonts w:hint="eastAsia" w:hAnsi="宋体" w:cs="宋体"/>
          <w:b/>
          <w:sz w:val="28"/>
          <w:szCs w:val="28"/>
          <w:highlight w:val="none"/>
        </w:rPr>
        <w:t>：</w:t>
      </w:r>
      <w:r>
        <w:rPr>
          <w:rFonts w:hint="eastAsia" w:hAnsi="宋体" w:cs="宋体"/>
          <w:b/>
          <w:sz w:val="28"/>
          <w:szCs w:val="28"/>
          <w:highlight w:val="none"/>
          <w:lang w:eastAsia="zh-CN"/>
        </w:rPr>
        <w:t>4530600JH202500254</w:t>
      </w:r>
    </w:p>
    <w:p w14:paraId="7A699323">
      <w:pPr>
        <w:pStyle w:val="18"/>
        <w:tabs>
          <w:tab w:val="left" w:pos="5733"/>
        </w:tabs>
        <w:spacing w:line="480" w:lineRule="exact"/>
        <w:rPr>
          <w:rFonts w:hAnsi="宋体" w:cs="宋体"/>
          <w:sz w:val="24"/>
          <w:szCs w:val="24"/>
        </w:rPr>
      </w:pPr>
      <w:r>
        <w:rPr>
          <w:rFonts w:hint="eastAsia" w:hAnsi="宋体" w:cs="宋体"/>
          <w:sz w:val="24"/>
          <w:szCs w:val="24"/>
        </w:rPr>
        <w:tab/>
      </w:r>
    </w:p>
    <w:p w14:paraId="696F6039">
      <w:pPr>
        <w:pStyle w:val="18"/>
        <w:spacing w:line="480" w:lineRule="exact"/>
        <w:rPr>
          <w:rFonts w:hAnsi="宋体" w:cs="宋体"/>
          <w:sz w:val="24"/>
          <w:szCs w:val="24"/>
        </w:rPr>
      </w:pPr>
    </w:p>
    <w:p w14:paraId="71703D23">
      <w:pPr>
        <w:rPr>
          <w:rFonts w:hAnsi="宋体" w:cs="宋体"/>
          <w:sz w:val="24"/>
        </w:rPr>
      </w:pPr>
    </w:p>
    <w:p w14:paraId="0E3DBFF7">
      <w:pPr>
        <w:pStyle w:val="37"/>
      </w:pPr>
    </w:p>
    <w:p w14:paraId="551EAC40">
      <w:pPr>
        <w:spacing w:line="480" w:lineRule="exact"/>
        <w:rPr>
          <w:rFonts w:ascii="宋体" w:hAnsi="宋体" w:cs="宋体"/>
          <w:sz w:val="24"/>
        </w:rPr>
      </w:pPr>
    </w:p>
    <w:p w14:paraId="426F93B9">
      <w:pPr>
        <w:spacing w:line="480" w:lineRule="exact"/>
        <w:rPr>
          <w:rFonts w:ascii="宋体" w:hAnsi="宋体" w:cs="宋体"/>
          <w:sz w:val="24"/>
        </w:rPr>
      </w:pPr>
    </w:p>
    <w:p w14:paraId="6687C277">
      <w:pPr>
        <w:spacing w:line="480" w:lineRule="exact"/>
        <w:rPr>
          <w:rFonts w:ascii="宋体" w:hAnsi="宋体" w:cs="宋体"/>
          <w:sz w:val="24"/>
        </w:rPr>
      </w:pPr>
    </w:p>
    <w:p w14:paraId="10F008B7">
      <w:pPr>
        <w:spacing w:line="480" w:lineRule="exact"/>
        <w:rPr>
          <w:rFonts w:ascii="宋体" w:hAnsi="宋体" w:cs="宋体"/>
          <w:sz w:val="24"/>
        </w:rPr>
      </w:pPr>
    </w:p>
    <w:p w14:paraId="30DA73BD">
      <w:pPr>
        <w:spacing w:line="480" w:lineRule="exact"/>
        <w:rPr>
          <w:rFonts w:ascii="宋体" w:hAnsi="宋体" w:cs="宋体"/>
          <w:sz w:val="24"/>
        </w:rPr>
      </w:pPr>
    </w:p>
    <w:p w14:paraId="47E0289B">
      <w:pPr>
        <w:widowControl/>
        <w:spacing w:line="480" w:lineRule="auto"/>
        <w:jc w:val="center"/>
        <w:rPr>
          <w:rFonts w:hint="eastAsia" w:ascii="宋体" w:hAnsi="宋体" w:eastAsia="宋体"/>
          <w:b/>
          <w:color w:val="000000"/>
          <w:kern w:val="0"/>
          <w:sz w:val="28"/>
          <w:szCs w:val="28"/>
          <w:highlight w:val="none"/>
          <w:lang w:eastAsia="zh-CN"/>
        </w:rPr>
      </w:pPr>
      <w:r>
        <w:rPr>
          <w:rFonts w:hint="eastAsia" w:ascii="宋体" w:hAnsi="宋体" w:eastAsia="宋体"/>
          <w:b/>
          <w:color w:val="000000"/>
          <w:kern w:val="0"/>
          <w:sz w:val="28"/>
          <w:szCs w:val="28"/>
          <w:highlight w:val="none"/>
        </w:rPr>
        <w:t>采购人:</w:t>
      </w:r>
      <w:r>
        <w:rPr>
          <w:rFonts w:hint="eastAsia" w:ascii="宋体" w:hAnsi="宋体"/>
          <w:b/>
          <w:color w:val="000000"/>
          <w:kern w:val="0"/>
          <w:sz w:val="28"/>
          <w:szCs w:val="28"/>
          <w:highlight w:val="none"/>
          <w:lang w:eastAsia="zh-CN"/>
        </w:rPr>
        <w:t>昭通市公安局交通管理支队</w:t>
      </w:r>
    </w:p>
    <w:p w14:paraId="2EF609F7">
      <w:pPr>
        <w:widowControl/>
        <w:spacing w:line="480" w:lineRule="auto"/>
        <w:jc w:val="center"/>
        <w:rPr>
          <w:rFonts w:hint="eastAsia" w:ascii="宋体" w:hAnsi="宋体" w:eastAsia="宋体"/>
          <w:b/>
          <w:color w:val="000000"/>
          <w:kern w:val="0"/>
          <w:sz w:val="28"/>
          <w:szCs w:val="28"/>
          <w:highlight w:val="none"/>
          <w:lang w:eastAsia="zh-CN"/>
        </w:rPr>
      </w:pPr>
      <w:r>
        <w:rPr>
          <w:rFonts w:hint="eastAsia" w:ascii="宋体" w:hAnsi="宋体" w:eastAsia="宋体"/>
          <w:b/>
          <w:color w:val="000000"/>
          <w:kern w:val="0"/>
          <w:sz w:val="28"/>
          <w:szCs w:val="28"/>
          <w:highlight w:val="none"/>
        </w:rPr>
        <w:t>采购代理机构:</w:t>
      </w:r>
      <w:r>
        <w:rPr>
          <w:rFonts w:hint="eastAsia" w:ascii="宋体" w:hAnsi="宋体"/>
          <w:b/>
          <w:color w:val="000000"/>
          <w:kern w:val="0"/>
          <w:sz w:val="28"/>
          <w:szCs w:val="28"/>
          <w:highlight w:val="none"/>
          <w:lang w:eastAsia="zh-CN"/>
        </w:rPr>
        <w:t>云南璟成工程项目管理有限公司</w:t>
      </w:r>
    </w:p>
    <w:p w14:paraId="1BE3F9E9">
      <w:pPr>
        <w:pStyle w:val="18"/>
        <w:spacing w:line="600" w:lineRule="auto"/>
        <w:jc w:val="center"/>
        <w:rPr>
          <w:rFonts w:hAnsi="宋体" w:cs="宋体"/>
          <w:b/>
          <w:bCs/>
          <w:sz w:val="32"/>
          <w:szCs w:val="32"/>
        </w:rPr>
      </w:pPr>
      <w:r>
        <w:rPr>
          <w:rFonts w:hint="eastAsia" w:ascii="宋体" w:hAnsi="宋体" w:eastAsia="宋体"/>
          <w:b/>
          <w:color w:val="000000"/>
          <w:kern w:val="0"/>
          <w:sz w:val="28"/>
          <w:szCs w:val="28"/>
          <w:highlight w:val="none"/>
        </w:rPr>
        <w:t>日期：202</w:t>
      </w:r>
      <w:r>
        <w:rPr>
          <w:rFonts w:hint="eastAsia" w:hAnsi="宋体"/>
          <w:b/>
          <w:color w:val="000000"/>
          <w:kern w:val="0"/>
          <w:sz w:val="28"/>
          <w:szCs w:val="28"/>
          <w:highlight w:val="none"/>
          <w:lang w:val="en-US" w:eastAsia="zh-CN"/>
        </w:rPr>
        <w:t>5</w:t>
      </w:r>
      <w:r>
        <w:rPr>
          <w:rFonts w:hint="eastAsia" w:ascii="宋体" w:hAnsi="宋体" w:eastAsia="宋体"/>
          <w:b/>
          <w:color w:val="000000"/>
          <w:kern w:val="0"/>
          <w:sz w:val="28"/>
          <w:szCs w:val="28"/>
          <w:highlight w:val="none"/>
        </w:rPr>
        <w:t>年3月</w:t>
      </w:r>
    </w:p>
    <w:p w14:paraId="3EC8CF47">
      <w:pPr>
        <w:spacing w:line="600" w:lineRule="auto"/>
        <w:jc w:val="center"/>
        <w:rPr>
          <w:rFonts w:ascii="宋体" w:hAnsi="宋体" w:cs="宋体"/>
          <w:b/>
          <w:sz w:val="48"/>
          <w:szCs w:val="48"/>
        </w:rPr>
        <w:sectPr>
          <w:footerReference r:id="rId4" w:type="first"/>
          <w:footerReference r:id="rId3" w:type="default"/>
          <w:pgSz w:w="11906" w:h="16838"/>
          <w:pgMar w:top="1134" w:right="1191" w:bottom="1304" w:left="1304" w:header="510" w:footer="680" w:gutter="0"/>
          <w:pgNumType w:start="1" w:chapStyle="1"/>
          <w:cols w:space="720" w:num="1"/>
          <w:titlePg/>
          <w:docGrid w:type="linesAndChars" w:linePitch="312" w:charSpace="0"/>
        </w:sectPr>
      </w:pPr>
    </w:p>
    <w:p w14:paraId="60738CE6">
      <w:pPr>
        <w:pStyle w:val="2"/>
      </w:pPr>
    </w:p>
    <w:p w14:paraId="79B4157F">
      <w:pPr>
        <w:spacing w:line="480" w:lineRule="exact"/>
        <w:jc w:val="center"/>
        <w:rPr>
          <w:rFonts w:ascii="宋体" w:hAnsi="宋体" w:cs="宋体"/>
          <w:b/>
          <w:bCs/>
          <w:sz w:val="48"/>
          <w:szCs w:val="36"/>
        </w:rPr>
      </w:pPr>
    </w:p>
    <w:p w14:paraId="7A4E0FF8">
      <w:pPr>
        <w:spacing w:line="480" w:lineRule="exact"/>
        <w:jc w:val="center"/>
        <w:rPr>
          <w:rFonts w:ascii="宋体" w:hAnsi="宋体" w:cs="宋体"/>
          <w:b/>
          <w:bCs/>
          <w:sz w:val="48"/>
          <w:szCs w:val="36"/>
        </w:rPr>
      </w:pPr>
      <w:r>
        <w:rPr>
          <w:rFonts w:hint="eastAsia" w:ascii="宋体" w:hAnsi="宋体" w:cs="宋体"/>
          <w:b/>
          <w:bCs/>
          <w:sz w:val="48"/>
          <w:szCs w:val="36"/>
        </w:rPr>
        <w:t>目 录</w:t>
      </w:r>
    </w:p>
    <w:p w14:paraId="5A07A057">
      <w:pPr>
        <w:pStyle w:val="15"/>
        <w:ind w:left="1260"/>
      </w:pPr>
    </w:p>
    <w:p w14:paraId="3CA1594D">
      <w:pPr>
        <w:pStyle w:val="25"/>
        <w:spacing w:line="480" w:lineRule="auto"/>
        <w:rPr>
          <w:rFonts w:ascii="宋体"/>
          <w:b w:val="0"/>
          <w:sz w:val="22"/>
        </w:rPr>
      </w:pPr>
      <w:r>
        <w:rPr>
          <w:rFonts w:hint="eastAsia" w:ascii="宋体" w:cs="宋体"/>
        </w:rPr>
        <w:fldChar w:fldCharType="begin"/>
      </w:r>
      <w:r>
        <w:rPr>
          <w:rFonts w:hint="eastAsia" w:ascii="宋体" w:cs="宋体"/>
        </w:rPr>
        <w:instrText xml:space="preserve"> TOC \o "1-3" \h \z </w:instrText>
      </w:r>
      <w:r>
        <w:rPr>
          <w:rFonts w:hint="eastAsia" w:ascii="宋体" w:cs="宋体"/>
        </w:rPr>
        <w:fldChar w:fldCharType="separate"/>
      </w:r>
      <w:r>
        <w:fldChar w:fldCharType="begin"/>
      </w:r>
      <w:r>
        <w:instrText xml:space="preserve"> HYPERLINK \l "_Toc505612956" </w:instrText>
      </w:r>
      <w:r>
        <w:fldChar w:fldCharType="separate"/>
      </w:r>
      <w:r>
        <w:rPr>
          <w:rStyle w:val="45"/>
          <w:rFonts w:hint="eastAsia" w:ascii="宋体" w:cs="宋体"/>
          <w:color w:val="auto"/>
          <w:sz w:val="28"/>
          <w:szCs w:val="28"/>
        </w:rPr>
        <w:t>第一章</w:t>
      </w:r>
      <w:r>
        <w:rPr>
          <w:rStyle w:val="45"/>
          <w:rFonts w:ascii="宋体" w:cs="宋体"/>
          <w:color w:val="auto"/>
          <w:sz w:val="28"/>
          <w:szCs w:val="28"/>
        </w:rPr>
        <w:t xml:space="preserve">  </w:t>
      </w:r>
      <w:r>
        <w:rPr>
          <w:rStyle w:val="45"/>
          <w:rFonts w:hint="eastAsia" w:ascii="宋体" w:cs="宋体"/>
          <w:color w:val="auto"/>
          <w:sz w:val="28"/>
          <w:szCs w:val="28"/>
        </w:rPr>
        <w:t>竞争性谈判公告</w:t>
      </w:r>
      <w:r>
        <w:rPr>
          <w:rFonts w:ascii="宋体"/>
          <w:sz w:val="28"/>
          <w:szCs w:val="28"/>
        </w:rPr>
        <w:tab/>
      </w:r>
      <w:r>
        <w:rPr>
          <w:rFonts w:ascii="宋体"/>
          <w:sz w:val="28"/>
          <w:szCs w:val="28"/>
        </w:rPr>
        <w:fldChar w:fldCharType="begin"/>
      </w:r>
      <w:r>
        <w:rPr>
          <w:rFonts w:ascii="宋体"/>
          <w:sz w:val="28"/>
          <w:szCs w:val="28"/>
        </w:rPr>
        <w:instrText xml:space="preserve"> PAGEREF _Toc505612956 \h </w:instrText>
      </w:r>
      <w:r>
        <w:rPr>
          <w:rFonts w:ascii="宋体"/>
          <w:sz w:val="28"/>
          <w:szCs w:val="28"/>
        </w:rPr>
        <w:fldChar w:fldCharType="separate"/>
      </w:r>
      <w:r>
        <w:rPr>
          <w:rFonts w:ascii="宋体"/>
          <w:sz w:val="28"/>
          <w:szCs w:val="28"/>
        </w:rPr>
        <w:t>1</w:t>
      </w:r>
      <w:r>
        <w:rPr>
          <w:rFonts w:ascii="宋体"/>
          <w:sz w:val="28"/>
          <w:szCs w:val="28"/>
        </w:rPr>
        <w:fldChar w:fldCharType="end"/>
      </w:r>
      <w:r>
        <w:rPr>
          <w:rFonts w:ascii="宋体"/>
          <w:sz w:val="28"/>
          <w:szCs w:val="28"/>
        </w:rPr>
        <w:fldChar w:fldCharType="end"/>
      </w:r>
    </w:p>
    <w:p w14:paraId="63088020">
      <w:pPr>
        <w:pStyle w:val="25"/>
        <w:spacing w:line="480" w:lineRule="auto"/>
        <w:rPr>
          <w:rFonts w:ascii="宋体"/>
          <w:b w:val="0"/>
          <w:sz w:val="22"/>
        </w:rPr>
      </w:pPr>
      <w:r>
        <w:fldChar w:fldCharType="begin"/>
      </w:r>
      <w:r>
        <w:instrText xml:space="preserve"> HYPERLINK \l "_Toc505612957" </w:instrText>
      </w:r>
      <w:r>
        <w:fldChar w:fldCharType="separate"/>
      </w:r>
      <w:r>
        <w:rPr>
          <w:rStyle w:val="45"/>
          <w:rFonts w:hint="eastAsia" w:ascii="宋体" w:cs="宋体"/>
          <w:color w:val="auto"/>
          <w:sz w:val="28"/>
          <w:szCs w:val="28"/>
        </w:rPr>
        <w:t>第二章</w:t>
      </w:r>
      <w:r>
        <w:rPr>
          <w:rStyle w:val="45"/>
          <w:rFonts w:ascii="宋体" w:cs="宋体"/>
          <w:color w:val="auto"/>
          <w:sz w:val="28"/>
          <w:szCs w:val="28"/>
        </w:rPr>
        <w:t xml:space="preserve">  </w:t>
      </w:r>
      <w:r>
        <w:rPr>
          <w:rStyle w:val="45"/>
          <w:rFonts w:hint="eastAsia" w:ascii="宋体" w:cs="宋体"/>
          <w:color w:val="auto"/>
          <w:sz w:val="28"/>
          <w:szCs w:val="28"/>
        </w:rPr>
        <w:t>供应商须知</w:t>
      </w:r>
      <w:r>
        <w:rPr>
          <w:rFonts w:ascii="宋体"/>
          <w:sz w:val="28"/>
          <w:szCs w:val="28"/>
        </w:rPr>
        <w:tab/>
      </w:r>
      <w:r>
        <w:rPr>
          <w:rFonts w:ascii="宋体"/>
          <w:sz w:val="28"/>
          <w:szCs w:val="28"/>
        </w:rPr>
        <w:fldChar w:fldCharType="begin"/>
      </w:r>
      <w:r>
        <w:rPr>
          <w:rFonts w:ascii="宋体"/>
          <w:sz w:val="28"/>
          <w:szCs w:val="28"/>
        </w:rPr>
        <w:instrText xml:space="preserve"> PAGEREF _Toc505612957 \h </w:instrText>
      </w:r>
      <w:r>
        <w:rPr>
          <w:rFonts w:ascii="宋体"/>
          <w:sz w:val="28"/>
          <w:szCs w:val="28"/>
        </w:rPr>
        <w:fldChar w:fldCharType="separate"/>
      </w:r>
      <w:r>
        <w:rPr>
          <w:rFonts w:ascii="宋体"/>
          <w:sz w:val="28"/>
          <w:szCs w:val="28"/>
        </w:rPr>
        <w:t>6</w:t>
      </w:r>
      <w:r>
        <w:rPr>
          <w:rFonts w:ascii="宋体"/>
          <w:sz w:val="28"/>
          <w:szCs w:val="28"/>
        </w:rPr>
        <w:fldChar w:fldCharType="end"/>
      </w:r>
      <w:r>
        <w:rPr>
          <w:rFonts w:ascii="宋体"/>
          <w:sz w:val="28"/>
          <w:szCs w:val="28"/>
        </w:rPr>
        <w:fldChar w:fldCharType="end"/>
      </w:r>
    </w:p>
    <w:p w14:paraId="122414F6">
      <w:pPr>
        <w:pStyle w:val="25"/>
        <w:spacing w:line="480" w:lineRule="auto"/>
        <w:rPr>
          <w:rFonts w:ascii="宋体"/>
          <w:b w:val="0"/>
          <w:sz w:val="22"/>
        </w:rPr>
      </w:pPr>
      <w:r>
        <w:fldChar w:fldCharType="begin"/>
      </w:r>
      <w:r>
        <w:instrText xml:space="preserve"> HYPERLINK \l "_Toc505612967" </w:instrText>
      </w:r>
      <w:r>
        <w:fldChar w:fldCharType="separate"/>
      </w:r>
      <w:r>
        <w:rPr>
          <w:rStyle w:val="45"/>
          <w:rFonts w:hint="eastAsia" w:ascii="宋体" w:cs="宋体"/>
          <w:color w:val="auto"/>
          <w:sz w:val="28"/>
          <w:szCs w:val="28"/>
        </w:rPr>
        <w:t>第三章  合同书样式及主要条款</w:t>
      </w:r>
      <w:r>
        <w:rPr>
          <w:rFonts w:ascii="宋体"/>
          <w:sz w:val="28"/>
          <w:szCs w:val="28"/>
        </w:rPr>
        <w:tab/>
      </w:r>
      <w:r>
        <w:rPr>
          <w:rFonts w:ascii="宋体"/>
          <w:sz w:val="28"/>
          <w:szCs w:val="28"/>
        </w:rPr>
        <w:fldChar w:fldCharType="begin"/>
      </w:r>
      <w:r>
        <w:rPr>
          <w:rFonts w:ascii="宋体"/>
          <w:sz w:val="28"/>
          <w:szCs w:val="28"/>
        </w:rPr>
        <w:instrText xml:space="preserve"> PAGEREF _Toc505612967 \h </w:instrText>
      </w:r>
      <w:r>
        <w:rPr>
          <w:rFonts w:ascii="宋体"/>
          <w:sz w:val="28"/>
          <w:szCs w:val="28"/>
        </w:rPr>
        <w:fldChar w:fldCharType="separate"/>
      </w:r>
      <w:r>
        <w:rPr>
          <w:rFonts w:ascii="宋体"/>
          <w:sz w:val="28"/>
          <w:szCs w:val="28"/>
        </w:rPr>
        <w:t>22</w:t>
      </w:r>
      <w:r>
        <w:rPr>
          <w:rFonts w:ascii="宋体"/>
          <w:sz w:val="28"/>
          <w:szCs w:val="28"/>
        </w:rPr>
        <w:fldChar w:fldCharType="end"/>
      </w:r>
      <w:r>
        <w:rPr>
          <w:rFonts w:ascii="宋体"/>
          <w:sz w:val="28"/>
          <w:szCs w:val="28"/>
        </w:rPr>
        <w:fldChar w:fldCharType="end"/>
      </w:r>
    </w:p>
    <w:p w14:paraId="526742F4">
      <w:pPr>
        <w:pStyle w:val="25"/>
        <w:spacing w:line="480" w:lineRule="auto"/>
        <w:rPr>
          <w:rFonts w:ascii="宋体"/>
          <w:b w:val="0"/>
          <w:sz w:val="22"/>
        </w:rPr>
      </w:pPr>
      <w:r>
        <w:fldChar w:fldCharType="begin"/>
      </w:r>
      <w:r>
        <w:instrText xml:space="preserve"> HYPERLINK \l "_Toc505612968" </w:instrText>
      </w:r>
      <w:r>
        <w:fldChar w:fldCharType="separate"/>
      </w:r>
      <w:r>
        <w:rPr>
          <w:rStyle w:val="45"/>
          <w:rFonts w:hint="eastAsia" w:ascii="宋体" w:cs="宋体"/>
          <w:color w:val="auto"/>
          <w:sz w:val="28"/>
          <w:szCs w:val="28"/>
        </w:rPr>
        <w:t>第四章</w:t>
      </w:r>
      <w:r>
        <w:rPr>
          <w:rStyle w:val="45"/>
          <w:rFonts w:ascii="宋体" w:cs="宋体"/>
          <w:color w:val="auto"/>
          <w:sz w:val="28"/>
          <w:szCs w:val="28"/>
        </w:rPr>
        <w:t xml:space="preserve">  </w:t>
      </w:r>
      <w:r>
        <w:rPr>
          <w:rStyle w:val="45"/>
          <w:rFonts w:hint="eastAsia" w:ascii="宋体" w:cs="宋体"/>
          <w:color w:val="auto"/>
          <w:sz w:val="28"/>
          <w:szCs w:val="28"/>
        </w:rPr>
        <w:t>响应文件格式</w:t>
      </w:r>
      <w:r>
        <w:rPr>
          <w:rFonts w:ascii="宋体"/>
          <w:sz w:val="28"/>
          <w:szCs w:val="28"/>
        </w:rPr>
        <w:tab/>
      </w:r>
      <w:r>
        <w:rPr>
          <w:rFonts w:ascii="宋体"/>
          <w:sz w:val="28"/>
          <w:szCs w:val="28"/>
        </w:rPr>
        <w:fldChar w:fldCharType="begin"/>
      </w:r>
      <w:r>
        <w:rPr>
          <w:rFonts w:ascii="宋体"/>
          <w:sz w:val="28"/>
          <w:szCs w:val="28"/>
        </w:rPr>
        <w:instrText xml:space="preserve"> PAGEREF _Toc505612968 \h </w:instrText>
      </w:r>
      <w:r>
        <w:rPr>
          <w:rFonts w:ascii="宋体"/>
          <w:sz w:val="28"/>
          <w:szCs w:val="28"/>
        </w:rPr>
        <w:fldChar w:fldCharType="separate"/>
      </w:r>
      <w:r>
        <w:rPr>
          <w:rFonts w:ascii="宋体"/>
          <w:sz w:val="28"/>
          <w:szCs w:val="28"/>
        </w:rPr>
        <w:t>29</w:t>
      </w:r>
      <w:r>
        <w:rPr>
          <w:rFonts w:ascii="宋体"/>
          <w:sz w:val="28"/>
          <w:szCs w:val="28"/>
        </w:rPr>
        <w:fldChar w:fldCharType="end"/>
      </w:r>
      <w:r>
        <w:rPr>
          <w:rFonts w:ascii="宋体"/>
          <w:sz w:val="28"/>
          <w:szCs w:val="28"/>
        </w:rPr>
        <w:fldChar w:fldCharType="end"/>
      </w:r>
    </w:p>
    <w:p w14:paraId="78C0359C">
      <w:pPr>
        <w:pStyle w:val="25"/>
        <w:spacing w:line="480" w:lineRule="auto"/>
        <w:rPr>
          <w:rFonts w:ascii="宋体"/>
          <w:b w:val="0"/>
          <w:sz w:val="22"/>
        </w:rPr>
      </w:pPr>
      <w:r>
        <w:fldChar w:fldCharType="begin"/>
      </w:r>
      <w:r>
        <w:instrText xml:space="preserve"> HYPERLINK \l "_Toc505612985" </w:instrText>
      </w:r>
      <w:r>
        <w:fldChar w:fldCharType="separate"/>
      </w:r>
      <w:r>
        <w:rPr>
          <w:rStyle w:val="45"/>
          <w:rFonts w:hint="eastAsia" w:ascii="宋体" w:cs="宋体"/>
          <w:color w:val="auto"/>
          <w:sz w:val="28"/>
          <w:szCs w:val="28"/>
        </w:rPr>
        <w:t>第五章</w:t>
      </w:r>
      <w:r>
        <w:rPr>
          <w:rStyle w:val="45"/>
          <w:rFonts w:ascii="宋体" w:cs="宋体"/>
          <w:color w:val="auto"/>
          <w:sz w:val="28"/>
          <w:szCs w:val="28"/>
        </w:rPr>
        <w:t xml:space="preserve">  </w:t>
      </w:r>
      <w:r>
        <w:rPr>
          <w:rStyle w:val="45"/>
          <w:rFonts w:hint="eastAsia" w:ascii="宋体" w:cs="宋体"/>
          <w:color w:val="auto"/>
          <w:sz w:val="28"/>
          <w:szCs w:val="28"/>
        </w:rPr>
        <w:t>谈判程序和方法</w:t>
      </w:r>
      <w:r>
        <w:rPr>
          <w:rFonts w:ascii="宋体"/>
          <w:sz w:val="28"/>
          <w:szCs w:val="28"/>
        </w:rPr>
        <w:tab/>
      </w:r>
      <w:r>
        <w:rPr>
          <w:rFonts w:ascii="宋体"/>
          <w:sz w:val="28"/>
          <w:szCs w:val="28"/>
        </w:rPr>
        <w:fldChar w:fldCharType="begin"/>
      </w:r>
      <w:r>
        <w:rPr>
          <w:rFonts w:ascii="宋体"/>
          <w:sz w:val="28"/>
          <w:szCs w:val="28"/>
        </w:rPr>
        <w:instrText xml:space="preserve"> PAGEREF _Toc505612985 \h </w:instrText>
      </w:r>
      <w:r>
        <w:rPr>
          <w:rFonts w:ascii="宋体"/>
          <w:sz w:val="28"/>
          <w:szCs w:val="28"/>
        </w:rPr>
        <w:fldChar w:fldCharType="separate"/>
      </w:r>
      <w:r>
        <w:rPr>
          <w:rFonts w:ascii="宋体"/>
          <w:sz w:val="28"/>
          <w:szCs w:val="28"/>
        </w:rPr>
        <w:t>55</w:t>
      </w:r>
      <w:r>
        <w:rPr>
          <w:rFonts w:ascii="宋体"/>
          <w:sz w:val="28"/>
          <w:szCs w:val="28"/>
        </w:rPr>
        <w:fldChar w:fldCharType="end"/>
      </w:r>
      <w:r>
        <w:rPr>
          <w:rFonts w:ascii="宋体"/>
          <w:sz w:val="28"/>
          <w:szCs w:val="28"/>
        </w:rPr>
        <w:fldChar w:fldCharType="end"/>
      </w:r>
    </w:p>
    <w:p w14:paraId="66673536">
      <w:pPr>
        <w:pStyle w:val="25"/>
        <w:spacing w:line="480" w:lineRule="auto"/>
        <w:rPr>
          <w:rFonts w:ascii="宋体"/>
          <w:b w:val="0"/>
          <w:sz w:val="21"/>
          <w:szCs w:val="22"/>
        </w:rPr>
      </w:pPr>
      <w:r>
        <w:fldChar w:fldCharType="begin"/>
      </w:r>
      <w:r>
        <w:instrText xml:space="preserve"> HYPERLINK \l "_Toc505612988" </w:instrText>
      </w:r>
      <w:r>
        <w:fldChar w:fldCharType="separate"/>
      </w:r>
      <w:r>
        <w:rPr>
          <w:rStyle w:val="45"/>
          <w:rFonts w:hint="eastAsia" w:ascii="宋体" w:cs="宋体"/>
          <w:color w:val="auto"/>
          <w:sz w:val="28"/>
          <w:szCs w:val="28"/>
        </w:rPr>
        <w:t>第六章</w:t>
      </w:r>
      <w:r>
        <w:rPr>
          <w:rStyle w:val="45"/>
          <w:rFonts w:ascii="宋体" w:cs="宋体"/>
          <w:color w:val="auto"/>
          <w:sz w:val="28"/>
          <w:szCs w:val="28"/>
        </w:rPr>
        <w:t xml:space="preserve">  </w:t>
      </w:r>
      <w:r>
        <w:rPr>
          <w:rStyle w:val="45"/>
          <w:rFonts w:hint="eastAsia" w:ascii="宋体" w:cs="宋体"/>
          <w:color w:val="auto"/>
          <w:sz w:val="28"/>
          <w:szCs w:val="28"/>
        </w:rPr>
        <w:t>采购需求</w:t>
      </w:r>
      <w:r>
        <w:rPr>
          <w:rFonts w:ascii="宋体"/>
          <w:sz w:val="28"/>
          <w:szCs w:val="28"/>
        </w:rPr>
        <w:tab/>
      </w:r>
      <w:r>
        <w:rPr>
          <w:rFonts w:ascii="宋体"/>
          <w:sz w:val="28"/>
          <w:szCs w:val="28"/>
        </w:rPr>
        <w:fldChar w:fldCharType="begin"/>
      </w:r>
      <w:r>
        <w:rPr>
          <w:rFonts w:ascii="宋体"/>
          <w:sz w:val="28"/>
          <w:szCs w:val="28"/>
        </w:rPr>
        <w:instrText xml:space="preserve"> PAGEREF _Toc505612988 \h </w:instrText>
      </w:r>
      <w:r>
        <w:rPr>
          <w:rFonts w:ascii="宋体"/>
          <w:sz w:val="28"/>
          <w:szCs w:val="28"/>
        </w:rPr>
        <w:fldChar w:fldCharType="separate"/>
      </w:r>
      <w:r>
        <w:rPr>
          <w:rFonts w:ascii="宋体"/>
          <w:sz w:val="28"/>
          <w:szCs w:val="28"/>
        </w:rPr>
        <w:t>62</w:t>
      </w:r>
      <w:r>
        <w:rPr>
          <w:rFonts w:ascii="宋体"/>
          <w:sz w:val="28"/>
          <w:szCs w:val="28"/>
        </w:rPr>
        <w:fldChar w:fldCharType="end"/>
      </w:r>
      <w:r>
        <w:rPr>
          <w:rFonts w:ascii="宋体"/>
          <w:sz w:val="28"/>
          <w:szCs w:val="28"/>
        </w:rPr>
        <w:fldChar w:fldCharType="end"/>
      </w:r>
    </w:p>
    <w:p w14:paraId="5073E7AF">
      <w:pPr>
        <w:pStyle w:val="17"/>
        <w:spacing w:line="480" w:lineRule="auto"/>
        <w:ind w:left="0" w:leftChars="0"/>
        <w:jc w:val="distribute"/>
        <w:rPr>
          <w:rFonts w:ascii="宋体" w:hAnsi="宋体" w:cs="宋体"/>
          <w:sz w:val="24"/>
        </w:rPr>
      </w:pPr>
      <w:r>
        <w:rPr>
          <w:rFonts w:hint="eastAsia" w:ascii="宋体" w:hAnsi="宋体" w:cs="宋体"/>
          <w:sz w:val="24"/>
        </w:rPr>
        <w:fldChar w:fldCharType="end"/>
      </w:r>
    </w:p>
    <w:p w14:paraId="5F3104EA">
      <w:pPr>
        <w:sectPr>
          <w:footerReference r:id="rId6" w:type="first"/>
          <w:footerReference r:id="rId5" w:type="default"/>
          <w:pgSz w:w="11906" w:h="16838"/>
          <w:pgMar w:top="1134" w:right="1191" w:bottom="1304" w:left="1304" w:header="510" w:footer="680" w:gutter="0"/>
          <w:pgNumType w:start="1" w:chapStyle="1"/>
          <w:cols w:space="720" w:num="1"/>
          <w:docGrid w:type="linesAndChars" w:linePitch="312" w:charSpace="0"/>
        </w:sectPr>
      </w:pPr>
    </w:p>
    <w:p w14:paraId="26ADDFA8">
      <w:pPr>
        <w:pStyle w:val="2"/>
      </w:pPr>
    </w:p>
    <w:p w14:paraId="6095F7B3"/>
    <w:p w14:paraId="6BBE5380"/>
    <w:p w14:paraId="68C51FBC"/>
    <w:p w14:paraId="4C782260"/>
    <w:p w14:paraId="4D287F9A"/>
    <w:p w14:paraId="766EE94F"/>
    <w:p w14:paraId="7832D167"/>
    <w:p w14:paraId="2B55BE76"/>
    <w:p w14:paraId="6AC14DE3"/>
    <w:p w14:paraId="225869AE"/>
    <w:p w14:paraId="67576161"/>
    <w:p w14:paraId="6752CE27"/>
    <w:p w14:paraId="51BC671D"/>
    <w:p w14:paraId="0E872765"/>
    <w:p w14:paraId="4613A8E7"/>
    <w:p w14:paraId="0FF69531"/>
    <w:p w14:paraId="115986D7">
      <w:pPr>
        <w:rPr>
          <w:sz w:val="36"/>
          <w:szCs w:val="36"/>
        </w:rPr>
      </w:pPr>
    </w:p>
    <w:p w14:paraId="045E4231">
      <w:pPr>
        <w:pStyle w:val="3"/>
        <w:spacing w:line="480" w:lineRule="exact"/>
        <w:jc w:val="center"/>
        <w:rPr>
          <w:rFonts w:ascii="宋体" w:hAnsi="宋体" w:eastAsia="宋体" w:cs="宋体"/>
          <w:color w:val="auto"/>
          <w:sz w:val="36"/>
          <w:szCs w:val="36"/>
        </w:rPr>
      </w:pPr>
      <w:bookmarkStart w:id="0" w:name="_Toc505612956"/>
      <w:r>
        <w:rPr>
          <w:rFonts w:hint="eastAsia" w:ascii="宋体" w:hAnsi="宋体" w:eastAsia="宋体" w:cs="宋体"/>
          <w:color w:val="auto"/>
          <w:sz w:val="36"/>
          <w:szCs w:val="36"/>
        </w:rPr>
        <w:t>第一章  竞争性谈判公告</w:t>
      </w:r>
      <w:bookmarkEnd w:id="0"/>
    </w:p>
    <w:p w14:paraId="5529E645">
      <w:pPr>
        <w:pStyle w:val="3"/>
        <w:tabs>
          <w:tab w:val="left" w:pos="0"/>
        </w:tabs>
        <w:spacing w:line="520" w:lineRule="exact"/>
        <w:jc w:val="center"/>
        <w:rPr>
          <w:rFonts w:hint="eastAsia" w:ascii="宋体" w:hAnsi="宋体" w:eastAsia="宋体" w:cs="宋体"/>
          <w:bCs w:val="0"/>
          <w:sz w:val="32"/>
          <w:szCs w:val="32"/>
          <w:lang w:val="en-US" w:eastAsia="zh-CN"/>
        </w:rPr>
        <w:sectPr>
          <w:headerReference r:id="rId7" w:type="default"/>
          <w:footerReference r:id="rId8" w:type="default"/>
          <w:pgSz w:w="11906" w:h="16838"/>
          <w:pgMar w:top="1440" w:right="1800" w:bottom="1440" w:left="1800" w:header="851" w:footer="992" w:gutter="0"/>
          <w:cols w:space="720" w:num="1"/>
          <w:docGrid w:type="lines" w:linePitch="312" w:charSpace="0"/>
        </w:sectPr>
      </w:pPr>
      <w:bookmarkStart w:id="1" w:name="_Toc450312159"/>
      <w:bookmarkEnd w:id="1"/>
    </w:p>
    <w:p w14:paraId="5EDC8EBB">
      <w:pPr>
        <w:pStyle w:val="3"/>
        <w:tabs>
          <w:tab w:val="left" w:pos="0"/>
        </w:tabs>
        <w:spacing w:line="520" w:lineRule="exact"/>
        <w:jc w:val="center"/>
        <w:rPr>
          <w:rFonts w:ascii="华文中宋" w:hAnsi="华文中宋" w:eastAsia="华文中宋"/>
          <w:b w:val="0"/>
          <w:sz w:val="36"/>
        </w:rPr>
      </w:pPr>
      <w:bookmarkStart w:id="358" w:name="_GoBack"/>
      <w:r>
        <w:rPr>
          <w:rFonts w:hint="eastAsia" w:ascii="宋体" w:hAnsi="宋体" w:eastAsia="宋体" w:cs="宋体"/>
          <w:bCs w:val="0"/>
          <w:sz w:val="32"/>
          <w:szCs w:val="32"/>
          <w:lang w:val="en-US" w:eastAsia="zh-CN"/>
        </w:rPr>
        <w:t>昭通市公安局交通管理支队</w:t>
      </w:r>
      <w:r>
        <w:rPr>
          <w:rFonts w:hint="eastAsia" w:ascii="宋体" w:hAnsi="宋体" w:eastAsia="宋体" w:cs="宋体"/>
          <w:bCs w:val="0"/>
          <w:sz w:val="32"/>
          <w:szCs w:val="32"/>
          <w:lang w:eastAsia="zh-CN"/>
        </w:rPr>
        <w:t>昭通市公安局交通管理支队无人机采购项目</w:t>
      </w:r>
      <w:r>
        <w:rPr>
          <w:rFonts w:hint="eastAsia" w:ascii="宋体" w:hAnsi="宋体" w:eastAsia="宋体" w:cs="宋体"/>
          <w:bCs w:val="0"/>
          <w:sz w:val="32"/>
          <w:szCs w:val="32"/>
        </w:rPr>
        <w:t>竞争性谈判公告</w:t>
      </w:r>
    </w:p>
    <w:p w14:paraId="13BF1637">
      <w:pPr>
        <w:pBdr>
          <w:top w:val="single" w:color="auto" w:sz="4" w:space="1"/>
          <w:left w:val="single" w:color="auto" w:sz="4" w:space="4"/>
          <w:bottom w:val="single" w:color="auto" w:sz="4" w:space="1"/>
          <w:right w:val="single" w:color="auto" w:sz="4" w:space="4"/>
        </w:pBdr>
        <w:spacing w:line="440" w:lineRule="exact"/>
        <w:ind w:firstLine="480" w:firstLineChars="200"/>
        <w:rPr>
          <w:rFonts w:ascii="宋体" w:hAnsi="宋体"/>
          <w:sz w:val="24"/>
        </w:rPr>
      </w:pPr>
      <w:r>
        <w:rPr>
          <w:rFonts w:hint="eastAsia" w:ascii="宋体" w:hAnsi="宋体"/>
          <w:sz w:val="24"/>
        </w:rPr>
        <w:t>项目概况</w:t>
      </w:r>
    </w:p>
    <w:p w14:paraId="17DF6679">
      <w:pPr>
        <w:pBdr>
          <w:top w:val="single" w:color="auto" w:sz="4" w:space="1"/>
          <w:left w:val="single" w:color="auto" w:sz="4" w:space="4"/>
          <w:bottom w:val="single" w:color="auto" w:sz="4" w:space="1"/>
          <w:right w:val="single" w:color="auto" w:sz="4" w:space="4"/>
        </w:pBdr>
        <w:spacing w:line="420" w:lineRule="exact"/>
        <w:ind w:firstLine="480" w:firstLineChars="200"/>
        <w:rPr>
          <w:rFonts w:ascii="宋体" w:hAnsi="宋体"/>
          <w:sz w:val="24"/>
          <w:highlight w:val="none"/>
        </w:rPr>
      </w:pPr>
      <w:r>
        <w:rPr>
          <w:rFonts w:hint="eastAsia" w:ascii="宋体" w:hAnsi="宋体"/>
          <w:sz w:val="24"/>
          <w:u w:val="single"/>
          <w:lang w:eastAsia="zh-CN"/>
        </w:rPr>
        <w:t>昭通市公安局交通管理支队</w:t>
      </w:r>
      <w:r>
        <w:rPr>
          <w:rFonts w:hint="eastAsia" w:ascii="宋体" w:hAnsi="宋体"/>
          <w:sz w:val="24"/>
          <w:highlight w:val="none"/>
          <w:u w:val="single"/>
          <w:lang w:eastAsia="zh-CN"/>
        </w:rPr>
        <w:t>无人机采购项目</w:t>
      </w:r>
      <w:r>
        <w:rPr>
          <w:rFonts w:hint="eastAsia" w:ascii="宋体" w:hAnsi="宋体"/>
          <w:sz w:val="24"/>
          <w:highlight w:val="none"/>
        </w:rPr>
        <w:t>的潜在</w:t>
      </w:r>
      <w:r>
        <w:rPr>
          <w:rFonts w:hint="eastAsia" w:ascii="宋体" w:hAnsi="宋体"/>
          <w:sz w:val="24"/>
          <w:highlight w:val="none"/>
          <w:lang w:val="en-US" w:eastAsia="zh-CN"/>
        </w:rPr>
        <w:t>供应商</w:t>
      </w:r>
      <w:r>
        <w:rPr>
          <w:rFonts w:hint="eastAsia" w:ascii="宋体" w:hAnsi="宋体"/>
          <w:sz w:val="24"/>
          <w:highlight w:val="none"/>
        </w:rPr>
        <w:t>应在</w:t>
      </w:r>
      <w:r>
        <w:rPr>
          <w:rFonts w:hint="eastAsia" w:ascii="宋体" w:hAnsi="宋体"/>
          <w:sz w:val="24"/>
          <w:highlight w:val="none"/>
          <w:u w:val="single"/>
        </w:rPr>
        <w:t>政采云平台（https://www.zcygov.cn/）</w:t>
      </w:r>
      <w:r>
        <w:rPr>
          <w:rFonts w:hint="eastAsia" w:ascii="宋体" w:hAnsi="宋体"/>
          <w:sz w:val="24"/>
          <w:highlight w:val="none"/>
        </w:rPr>
        <w:t>获取竞争性谈判文件，并于</w:t>
      </w:r>
      <w:r>
        <w:rPr>
          <w:rFonts w:hint="eastAsia" w:ascii="宋体" w:hAnsi="宋体"/>
          <w:sz w:val="24"/>
          <w:highlight w:val="none"/>
          <w:u w:val="single"/>
          <w:lang w:eastAsia="zh-CN"/>
        </w:rPr>
        <w:t>2025年</w:t>
      </w:r>
      <w:r>
        <w:rPr>
          <w:rFonts w:hint="eastAsia" w:ascii="宋体" w:hAnsi="宋体"/>
          <w:sz w:val="24"/>
          <w:highlight w:val="none"/>
          <w:u w:val="single"/>
          <w:lang w:val="en-US" w:eastAsia="zh-CN"/>
        </w:rPr>
        <w:t>03</w:t>
      </w:r>
      <w:r>
        <w:rPr>
          <w:rFonts w:hint="eastAsia" w:ascii="宋体" w:hAnsi="宋体"/>
          <w:sz w:val="24"/>
          <w:highlight w:val="none"/>
          <w:u w:val="single"/>
          <w:lang w:eastAsia="zh-CN"/>
        </w:rPr>
        <w:t>月</w:t>
      </w:r>
      <w:r>
        <w:rPr>
          <w:rFonts w:hint="eastAsia" w:ascii="宋体" w:hAnsi="宋体"/>
          <w:sz w:val="24"/>
          <w:highlight w:val="none"/>
          <w:u w:val="single"/>
          <w:lang w:val="en-US" w:eastAsia="zh-CN"/>
        </w:rPr>
        <w:t>31</w:t>
      </w:r>
      <w:r>
        <w:rPr>
          <w:rFonts w:hint="eastAsia" w:ascii="宋体" w:hAnsi="宋体"/>
          <w:sz w:val="24"/>
          <w:highlight w:val="none"/>
          <w:u w:val="single"/>
          <w:lang w:eastAsia="zh-CN"/>
        </w:rPr>
        <w:t>日</w:t>
      </w:r>
      <w:r>
        <w:rPr>
          <w:rFonts w:hint="eastAsia" w:ascii="宋体" w:hAnsi="宋体"/>
          <w:sz w:val="24"/>
          <w:highlight w:val="none"/>
          <w:u w:val="single"/>
          <w:lang w:val="en-US" w:eastAsia="zh-CN"/>
        </w:rPr>
        <w:t>14</w:t>
      </w:r>
      <w:r>
        <w:rPr>
          <w:rFonts w:hint="eastAsia" w:ascii="宋体" w:hAnsi="宋体"/>
          <w:sz w:val="24"/>
          <w:highlight w:val="none"/>
          <w:u w:val="single"/>
        </w:rPr>
        <w:t>点</w:t>
      </w:r>
      <w:r>
        <w:rPr>
          <w:rFonts w:hint="eastAsia" w:ascii="宋体" w:hAnsi="宋体"/>
          <w:sz w:val="24"/>
          <w:highlight w:val="none"/>
          <w:u w:val="single"/>
          <w:lang w:val="en-US" w:eastAsia="zh-CN"/>
        </w:rPr>
        <w:t>15</w:t>
      </w:r>
      <w:r>
        <w:rPr>
          <w:rFonts w:hint="eastAsia" w:ascii="宋体" w:hAnsi="宋体"/>
          <w:sz w:val="24"/>
          <w:highlight w:val="none"/>
          <w:u w:val="single"/>
        </w:rPr>
        <w:t>分</w:t>
      </w:r>
      <w:r>
        <w:rPr>
          <w:rFonts w:hint="eastAsia" w:ascii="宋体" w:hAnsi="宋体"/>
          <w:bCs/>
          <w:sz w:val="24"/>
          <w:highlight w:val="none"/>
          <w:u w:val="single"/>
        </w:rPr>
        <w:t>（</w:t>
      </w:r>
      <w:r>
        <w:rPr>
          <w:rFonts w:hint="eastAsia" w:ascii="宋体" w:hAnsi="宋体"/>
          <w:bCs/>
          <w:sz w:val="24"/>
          <w:highlight w:val="none"/>
        </w:rPr>
        <w:t>北京时间）前递交响应文件</w:t>
      </w:r>
      <w:r>
        <w:rPr>
          <w:rFonts w:hint="eastAsia" w:ascii="宋体" w:hAnsi="宋体"/>
          <w:sz w:val="24"/>
          <w:highlight w:val="none"/>
        </w:rPr>
        <w:t>。</w:t>
      </w:r>
    </w:p>
    <w:p w14:paraId="35C56FB8">
      <w:pPr>
        <w:pStyle w:val="4"/>
        <w:spacing w:before="0" w:after="0" w:line="480" w:lineRule="exact"/>
        <w:jc w:val="left"/>
        <w:rPr>
          <w:rFonts w:ascii="黑体" w:hAnsi="黑体" w:cs="宋体"/>
          <w:sz w:val="28"/>
          <w:szCs w:val="28"/>
          <w:highlight w:val="none"/>
        </w:rPr>
      </w:pPr>
      <w:bookmarkStart w:id="2" w:name="_Toc35393629"/>
      <w:bookmarkStart w:id="3" w:name="_Toc35393798"/>
      <w:bookmarkStart w:id="4" w:name="_Toc28359012"/>
      <w:bookmarkStart w:id="5" w:name="_Toc28359089"/>
      <w:r>
        <w:rPr>
          <w:rFonts w:hint="eastAsia" w:ascii="黑体" w:hAnsi="黑体" w:cs="宋体"/>
          <w:sz w:val="24"/>
          <w:szCs w:val="24"/>
          <w:highlight w:val="none"/>
        </w:rPr>
        <w:t>一、项目基本情况</w:t>
      </w:r>
      <w:bookmarkEnd w:id="2"/>
      <w:bookmarkEnd w:id="3"/>
      <w:bookmarkEnd w:id="4"/>
      <w:bookmarkEnd w:id="5"/>
    </w:p>
    <w:p w14:paraId="61176243">
      <w:pPr>
        <w:spacing w:line="480" w:lineRule="exact"/>
        <w:ind w:firstLine="480" w:firstLineChars="200"/>
        <w:rPr>
          <w:rFonts w:hint="eastAsia" w:ascii="宋体" w:hAnsi="宋体" w:eastAsia="宋体"/>
          <w:sz w:val="24"/>
          <w:highlight w:val="none"/>
          <w:lang w:eastAsia="zh-CN"/>
        </w:rPr>
      </w:pPr>
      <w:r>
        <w:rPr>
          <w:rFonts w:hint="eastAsia" w:ascii="宋体" w:hAnsi="宋体"/>
          <w:sz w:val="24"/>
          <w:highlight w:val="none"/>
        </w:rPr>
        <w:t>项目编号：</w:t>
      </w:r>
      <w:r>
        <w:rPr>
          <w:rFonts w:hint="eastAsia" w:ascii="宋体" w:hAnsi="宋体"/>
          <w:sz w:val="24"/>
          <w:highlight w:val="none"/>
          <w:lang w:eastAsia="zh-CN"/>
        </w:rPr>
        <w:t>4530600JH202500254</w:t>
      </w:r>
    </w:p>
    <w:p w14:paraId="3622E17C">
      <w:pPr>
        <w:spacing w:line="480" w:lineRule="exact"/>
        <w:ind w:firstLine="480" w:firstLineChars="200"/>
        <w:rPr>
          <w:rFonts w:hint="eastAsia" w:ascii="宋体" w:hAnsi="宋体" w:eastAsia="宋体"/>
          <w:sz w:val="24"/>
          <w:lang w:eastAsia="zh-CN"/>
        </w:rPr>
      </w:pPr>
      <w:r>
        <w:rPr>
          <w:rFonts w:hint="eastAsia" w:ascii="宋体" w:hAnsi="宋体"/>
          <w:sz w:val="24"/>
          <w:highlight w:val="none"/>
        </w:rPr>
        <w:t>项目名称：</w:t>
      </w:r>
      <w:r>
        <w:rPr>
          <w:rFonts w:hint="eastAsia" w:ascii="宋体" w:hAnsi="宋体"/>
          <w:sz w:val="24"/>
          <w:highlight w:val="none"/>
          <w:lang w:eastAsia="zh-CN"/>
        </w:rPr>
        <w:t>昭通市公安局交通管理支队无人机采</w:t>
      </w:r>
      <w:r>
        <w:rPr>
          <w:rFonts w:hint="eastAsia" w:ascii="宋体" w:hAnsi="宋体"/>
          <w:sz w:val="24"/>
          <w:lang w:eastAsia="zh-CN"/>
        </w:rPr>
        <w:t>购项目</w:t>
      </w:r>
    </w:p>
    <w:p w14:paraId="6C166D4E">
      <w:pPr>
        <w:spacing w:line="480" w:lineRule="exact"/>
        <w:ind w:firstLine="480" w:firstLineChars="200"/>
        <w:rPr>
          <w:rFonts w:ascii="宋体" w:hAnsi="宋体"/>
          <w:sz w:val="24"/>
        </w:rPr>
      </w:pPr>
      <w:r>
        <w:rPr>
          <w:rFonts w:hint="eastAsia" w:ascii="宋体" w:hAnsi="宋体"/>
          <w:sz w:val="24"/>
        </w:rPr>
        <w:t xml:space="preserve">采购方式：竞争性谈判 </w:t>
      </w:r>
    </w:p>
    <w:p w14:paraId="66733956">
      <w:pPr>
        <w:spacing w:line="480" w:lineRule="exact"/>
        <w:ind w:firstLine="480" w:firstLineChars="200"/>
        <w:rPr>
          <w:rFonts w:ascii="宋体" w:hAnsi="宋体"/>
          <w:sz w:val="24"/>
        </w:rPr>
      </w:pPr>
      <w:r>
        <w:rPr>
          <w:rFonts w:hint="eastAsia" w:ascii="宋体" w:hAnsi="宋体"/>
          <w:sz w:val="24"/>
        </w:rPr>
        <w:t>资格审查方式:</w:t>
      </w:r>
      <w:r>
        <w:rPr>
          <w:rFonts w:hint="eastAsia"/>
        </w:rPr>
        <w:t xml:space="preserve"> </w:t>
      </w:r>
      <w:r>
        <w:rPr>
          <w:rFonts w:hint="eastAsia" w:ascii="宋体" w:hAnsi="宋体"/>
          <w:sz w:val="24"/>
        </w:rPr>
        <w:t>资格后审。</w:t>
      </w:r>
    </w:p>
    <w:p w14:paraId="17441F0A">
      <w:pPr>
        <w:spacing w:line="480" w:lineRule="exact"/>
        <w:ind w:firstLine="480" w:firstLineChars="200"/>
        <w:rPr>
          <w:rFonts w:ascii="宋体" w:hAnsi="宋体"/>
          <w:sz w:val="24"/>
        </w:rPr>
      </w:pPr>
      <w:r>
        <w:rPr>
          <w:rFonts w:hint="eastAsia" w:ascii="宋体" w:hAnsi="宋体"/>
          <w:sz w:val="24"/>
        </w:rPr>
        <w:t>预算金额：</w:t>
      </w:r>
      <w:r>
        <w:rPr>
          <w:rFonts w:hint="eastAsia" w:ascii="宋体" w:hAnsi="宋体"/>
          <w:sz w:val="24"/>
          <w:lang w:val="en-US" w:eastAsia="zh-CN"/>
        </w:rPr>
        <w:t>伍拾壹万肆仟柒佰元整</w:t>
      </w:r>
      <w:r>
        <w:rPr>
          <w:rFonts w:hint="eastAsia" w:ascii="宋体" w:hAnsi="宋体"/>
          <w:sz w:val="24"/>
          <w:lang w:eastAsia="zh-CN"/>
        </w:rPr>
        <w:t>（¥514700.00）</w:t>
      </w:r>
      <w:r>
        <w:rPr>
          <w:rFonts w:hint="eastAsia" w:ascii="宋体" w:hAnsi="宋体"/>
          <w:sz w:val="24"/>
        </w:rPr>
        <w:t>。</w:t>
      </w:r>
    </w:p>
    <w:p w14:paraId="019ED7F2">
      <w:pPr>
        <w:spacing w:line="480" w:lineRule="exact"/>
        <w:ind w:firstLine="480" w:firstLineChars="200"/>
        <w:rPr>
          <w:rFonts w:ascii="宋体" w:hAnsi="宋体"/>
          <w:sz w:val="24"/>
        </w:rPr>
      </w:pPr>
      <w:r>
        <w:rPr>
          <w:rFonts w:hint="eastAsia" w:ascii="宋体" w:hAnsi="宋体"/>
          <w:sz w:val="24"/>
        </w:rPr>
        <w:t>最高限价：</w:t>
      </w:r>
      <w:bookmarkStart w:id="6" w:name="OLE_LINK1"/>
      <w:r>
        <w:rPr>
          <w:rFonts w:hint="eastAsia" w:ascii="宋体" w:hAnsi="宋体"/>
          <w:sz w:val="24"/>
          <w:lang w:val="en-US" w:eastAsia="zh-CN"/>
        </w:rPr>
        <w:t>伍拾壹万肆仟柒佰</w:t>
      </w:r>
      <w:r>
        <w:rPr>
          <w:rFonts w:hint="eastAsia" w:ascii="宋体" w:hAnsi="宋体"/>
          <w:sz w:val="24"/>
          <w:lang w:eastAsia="zh-CN"/>
        </w:rPr>
        <w:t>元整（¥514700.00）</w:t>
      </w:r>
      <w:bookmarkEnd w:id="6"/>
      <w:r>
        <w:rPr>
          <w:rFonts w:hint="eastAsia" w:ascii="宋体" w:hAnsi="宋体"/>
          <w:sz w:val="24"/>
        </w:rPr>
        <w:t>。</w:t>
      </w:r>
    </w:p>
    <w:p w14:paraId="2F909C6B">
      <w:pPr>
        <w:spacing w:line="480" w:lineRule="exact"/>
        <w:ind w:firstLine="480" w:firstLineChars="200"/>
        <w:rPr>
          <w:rFonts w:ascii="宋体" w:hAnsi="宋体"/>
          <w:sz w:val="24"/>
        </w:rPr>
      </w:pPr>
      <w:r>
        <w:rPr>
          <w:rFonts w:hint="eastAsia" w:ascii="宋体" w:hAnsi="宋体"/>
          <w:sz w:val="24"/>
        </w:rPr>
        <w:t>资金情况：已落实。</w:t>
      </w:r>
    </w:p>
    <w:p w14:paraId="7665F50D">
      <w:pPr>
        <w:spacing w:line="480" w:lineRule="exact"/>
        <w:ind w:firstLine="480" w:firstLineChars="200"/>
        <w:rPr>
          <w:rFonts w:hint="eastAsia" w:ascii="宋体" w:hAnsi="宋体"/>
          <w:sz w:val="24"/>
          <w:highlight w:val="green"/>
          <w:lang w:val="en-US" w:eastAsia="zh-CN"/>
        </w:rPr>
      </w:pPr>
      <w:r>
        <w:rPr>
          <w:rFonts w:hint="eastAsia" w:ascii="宋体" w:hAnsi="宋体"/>
          <w:sz w:val="24"/>
        </w:rPr>
        <w:t>采购需求：</w:t>
      </w:r>
      <w:r>
        <w:rPr>
          <w:rFonts w:hint="eastAsia" w:ascii="宋体" w:hAnsi="宋体"/>
          <w:sz w:val="24"/>
          <w:highlight w:val="none"/>
          <w:lang w:eastAsia="zh-CN"/>
        </w:rPr>
        <w:t>完成昭通市公安局交通管理支队无人机采购项目</w:t>
      </w:r>
      <w:r>
        <w:rPr>
          <w:rFonts w:hint="eastAsia" w:ascii="宋体" w:hAnsi="宋体"/>
          <w:sz w:val="24"/>
          <w:highlight w:val="none"/>
          <w:lang w:val="en-US" w:eastAsia="zh-CN"/>
        </w:rPr>
        <w:t>一批，具体</w:t>
      </w:r>
      <w:r>
        <w:rPr>
          <w:rFonts w:hint="eastAsia" w:ascii="宋体" w:hAnsi="宋体"/>
          <w:sz w:val="24"/>
          <w:highlight w:val="none"/>
          <w:lang w:eastAsia="zh-CN"/>
        </w:rPr>
        <w:t>采购需求</w:t>
      </w:r>
      <w:r>
        <w:rPr>
          <w:rFonts w:hint="eastAsia" w:ascii="宋体" w:hAnsi="宋体"/>
          <w:sz w:val="24"/>
          <w:highlight w:val="none"/>
          <w:lang w:val="en-US" w:eastAsia="zh-CN"/>
        </w:rPr>
        <w:t>要求详见谈判文件第六章。</w:t>
      </w:r>
    </w:p>
    <w:tbl>
      <w:tblPr>
        <w:tblStyle w:val="38"/>
        <w:tblW w:w="4680" w:type="pct"/>
        <w:jc w:val="center"/>
        <w:tblLayout w:type="fixed"/>
        <w:tblCellMar>
          <w:top w:w="0" w:type="dxa"/>
          <w:left w:w="108" w:type="dxa"/>
          <w:bottom w:w="0" w:type="dxa"/>
          <w:right w:w="108" w:type="dxa"/>
        </w:tblCellMar>
      </w:tblPr>
      <w:tblGrid>
        <w:gridCol w:w="628"/>
        <w:gridCol w:w="3442"/>
        <w:gridCol w:w="1095"/>
        <w:gridCol w:w="803"/>
        <w:gridCol w:w="1017"/>
        <w:gridCol w:w="991"/>
      </w:tblGrid>
      <w:tr w14:paraId="28734EF2">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2C94CA1A">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7620" cy="15240"/>
                  <wp:effectExtent l="0" t="0" r="7620" b="0"/>
                  <wp:wrapNone/>
                  <wp:docPr id="336" name="图片_1"/>
                  <wp:cNvGraphicFramePr/>
                  <a:graphic xmlns:a="http://schemas.openxmlformats.org/drawingml/2006/main">
                    <a:graphicData uri="http://schemas.openxmlformats.org/drawingml/2006/picture">
                      <pic:pic xmlns:pic="http://schemas.openxmlformats.org/drawingml/2006/picture">
                        <pic:nvPicPr>
                          <pic:cNvPr id="336" name="图片_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37" name="图片_3"/>
                  <wp:cNvGraphicFramePr/>
                  <a:graphic xmlns:a="http://schemas.openxmlformats.org/drawingml/2006/main">
                    <a:graphicData uri="http://schemas.openxmlformats.org/drawingml/2006/picture">
                      <pic:pic xmlns:pic="http://schemas.openxmlformats.org/drawingml/2006/picture">
                        <pic:nvPicPr>
                          <pic:cNvPr id="337" name="图片_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7620" cy="15240"/>
                  <wp:effectExtent l="0" t="0" r="7620" b="0"/>
                  <wp:wrapNone/>
                  <wp:docPr id="338" name="图片_7"/>
                  <wp:cNvGraphicFramePr/>
                  <a:graphic xmlns:a="http://schemas.openxmlformats.org/drawingml/2006/main">
                    <a:graphicData uri="http://schemas.openxmlformats.org/drawingml/2006/picture">
                      <pic:pic xmlns:pic="http://schemas.openxmlformats.org/drawingml/2006/picture">
                        <pic:nvPicPr>
                          <pic:cNvPr id="338" name="图片_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7620" cy="15240"/>
                  <wp:effectExtent l="0" t="0" r="7620" b="0"/>
                  <wp:wrapNone/>
                  <wp:docPr id="339" name="图片_15"/>
                  <wp:cNvGraphicFramePr/>
                  <a:graphic xmlns:a="http://schemas.openxmlformats.org/drawingml/2006/main">
                    <a:graphicData uri="http://schemas.openxmlformats.org/drawingml/2006/picture">
                      <pic:pic xmlns:pic="http://schemas.openxmlformats.org/drawingml/2006/picture">
                        <pic:nvPicPr>
                          <pic:cNvPr id="339" name="图片_1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7620" cy="15240"/>
                  <wp:effectExtent l="0" t="0" r="7620" b="0"/>
                  <wp:wrapNone/>
                  <wp:docPr id="340" name="图片_31"/>
                  <wp:cNvGraphicFramePr/>
                  <a:graphic xmlns:a="http://schemas.openxmlformats.org/drawingml/2006/main">
                    <a:graphicData uri="http://schemas.openxmlformats.org/drawingml/2006/picture">
                      <pic:pic xmlns:pic="http://schemas.openxmlformats.org/drawingml/2006/picture">
                        <pic:nvPicPr>
                          <pic:cNvPr id="340" name="图片_3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7620" cy="15240"/>
                  <wp:effectExtent l="0" t="0" r="7620" b="0"/>
                  <wp:wrapNone/>
                  <wp:docPr id="341" name="图片_63"/>
                  <wp:cNvGraphicFramePr/>
                  <a:graphic xmlns:a="http://schemas.openxmlformats.org/drawingml/2006/main">
                    <a:graphicData uri="http://schemas.openxmlformats.org/drawingml/2006/picture">
                      <pic:pic xmlns:pic="http://schemas.openxmlformats.org/drawingml/2006/picture">
                        <pic:nvPicPr>
                          <pic:cNvPr id="341" name="图片_6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42" name="图片_127"/>
                  <wp:cNvGraphicFramePr/>
                  <a:graphic xmlns:a="http://schemas.openxmlformats.org/drawingml/2006/main">
                    <a:graphicData uri="http://schemas.openxmlformats.org/drawingml/2006/picture">
                      <pic:pic xmlns:pic="http://schemas.openxmlformats.org/drawingml/2006/picture">
                        <pic:nvPicPr>
                          <pic:cNvPr id="342" name="图片_12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7620" cy="15240"/>
                  <wp:effectExtent l="0" t="0" r="7620" b="0"/>
                  <wp:wrapNone/>
                  <wp:docPr id="343" name="图片_167"/>
                  <wp:cNvGraphicFramePr/>
                  <a:graphic xmlns:a="http://schemas.openxmlformats.org/drawingml/2006/main">
                    <a:graphicData uri="http://schemas.openxmlformats.org/drawingml/2006/picture">
                      <pic:pic xmlns:pic="http://schemas.openxmlformats.org/drawingml/2006/picture">
                        <pic:nvPicPr>
                          <pic:cNvPr id="343" name="图片_16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7620" cy="15240"/>
                  <wp:effectExtent l="0" t="0" r="7620" b="0"/>
                  <wp:wrapNone/>
                  <wp:docPr id="344" name="图片_166"/>
                  <wp:cNvGraphicFramePr/>
                  <a:graphic xmlns:a="http://schemas.openxmlformats.org/drawingml/2006/main">
                    <a:graphicData uri="http://schemas.openxmlformats.org/drawingml/2006/picture">
                      <pic:pic xmlns:pic="http://schemas.openxmlformats.org/drawingml/2006/picture">
                        <pic:nvPicPr>
                          <pic:cNvPr id="344" name="图片_16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7620" cy="15240"/>
                  <wp:effectExtent l="0" t="0" r="7620" b="0"/>
                  <wp:wrapNone/>
                  <wp:docPr id="345" name="图片_165"/>
                  <wp:cNvGraphicFramePr/>
                  <a:graphic xmlns:a="http://schemas.openxmlformats.org/drawingml/2006/main">
                    <a:graphicData uri="http://schemas.openxmlformats.org/drawingml/2006/picture">
                      <pic:pic xmlns:pic="http://schemas.openxmlformats.org/drawingml/2006/picture">
                        <pic:nvPicPr>
                          <pic:cNvPr id="345" name="图片_16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7620" cy="15240"/>
                  <wp:effectExtent l="0" t="0" r="7620" b="0"/>
                  <wp:wrapNone/>
                  <wp:docPr id="346" name="图片_164"/>
                  <wp:cNvGraphicFramePr/>
                  <a:graphic xmlns:a="http://schemas.openxmlformats.org/drawingml/2006/main">
                    <a:graphicData uri="http://schemas.openxmlformats.org/drawingml/2006/picture">
                      <pic:pic xmlns:pic="http://schemas.openxmlformats.org/drawingml/2006/picture">
                        <pic:nvPicPr>
                          <pic:cNvPr id="346" name="图片_16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47" name="图片_163"/>
                  <wp:cNvGraphicFramePr/>
                  <a:graphic xmlns:a="http://schemas.openxmlformats.org/drawingml/2006/main">
                    <a:graphicData uri="http://schemas.openxmlformats.org/drawingml/2006/picture">
                      <pic:pic xmlns:pic="http://schemas.openxmlformats.org/drawingml/2006/picture">
                        <pic:nvPicPr>
                          <pic:cNvPr id="347" name="图片_16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7620" cy="7620"/>
                  <wp:effectExtent l="0" t="0" r="0" b="0"/>
                  <wp:wrapNone/>
                  <wp:docPr id="348" name="图片_162"/>
                  <wp:cNvGraphicFramePr/>
                  <a:graphic xmlns:a="http://schemas.openxmlformats.org/drawingml/2006/main">
                    <a:graphicData uri="http://schemas.openxmlformats.org/drawingml/2006/picture">
                      <pic:pic xmlns:pic="http://schemas.openxmlformats.org/drawingml/2006/picture">
                        <pic:nvPicPr>
                          <pic:cNvPr id="348" name="图片_162"/>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7620" cy="7620"/>
                  <wp:effectExtent l="0" t="0" r="0" b="0"/>
                  <wp:wrapNone/>
                  <wp:docPr id="349" name="图片_161"/>
                  <wp:cNvGraphicFramePr/>
                  <a:graphic xmlns:a="http://schemas.openxmlformats.org/drawingml/2006/main">
                    <a:graphicData uri="http://schemas.openxmlformats.org/drawingml/2006/picture">
                      <pic:pic xmlns:pic="http://schemas.openxmlformats.org/drawingml/2006/picture">
                        <pic:nvPicPr>
                          <pic:cNvPr id="349" name="图片_161"/>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7620" cy="7620"/>
                  <wp:effectExtent l="0" t="0" r="0" b="0"/>
                  <wp:wrapNone/>
                  <wp:docPr id="350" name="图片_160"/>
                  <wp:cNvGraphicFramePr/>
                  <a:graphic xmlns:a="http://schemas.openxmlformats.org/drawingml/2006/main">
                    <a:graphicData uri="http://schemas.openxmlformats.org/drawingml/2006/picture">
                      <pic:pic xmlns:pic="http://schemas.openxmlformats.org/drawingml/2006/picture">
                        <pic:nvPicPr>
                          <pic:cNvPr id="350" name="图片_160"/>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7620" cy="7620"/>
                  <wp:effectExtent l="0" t="0" r="0" b="0"/>
                  <wp:wrapNone/>
                  <wp:docPr id="351" name="图片_159"/>
                  <wp:cNvGraphicFramePr/>
                  <a:graphic xmlns:a="http://schemas.openxmlformats.org/drawingml/2006/main">
                    <a:graphicData uri="http://schemas.openxmlformats.org/drawingml/2006/picture">
                      <pic:pic xmlns:pic="http://schemas.openxmlformats.org/drawingml/2006/picture">
                        <pic:nvPicPr>
                          <pic:cNvPr id="351" name="图片_159"/>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52" name="图片_158"/>
                  <wp:cNvGraphicFramePr/>
                  <a:graphic xmlns:a="http://schemas.openxmlformats.org/drawingml/2006/main">
                    <a:graphicData uri="http://schemas.openxmlformats.org/drawingml/2006/picture">
                      <pic:pic xmlns:pic="http://schemas.openxmlformats.org/drawingml/2006/picture">
                        <pic:nvPicPr>
                          <pic:cNvPr id="352" name="图片_15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7620" cy="15240"/>
                  <wp:effectExtent l="0" t="0" r="7620" b="0"/>
                  <wp:wrapNone/>
                  <wp:docPr id="353" name="图片_157"/>
                  <wp:cNvGraphicFramePr/>
                  <a:graphic xmlns:a="http://schemas.openxmlformats.org/drawingml/2006/main">
                    <a:graphicData uri="http://schemas.openxmlformats.org/drawingml/2006/picture">
                      <pic:pic xmlns:pic="http://schemas.openxmlformats.org/drawingml/2006/picture">
                        <pic:nvPicPr>
                          <pic:cNvPr id="353" name="图片_15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7620" cy="15240"/>
                  <wp:effectExtent l="0" t="0" r="7620" b="0"/>
                  <wp:wrapNone/>
                  <wp:docPr id="354" name="图片_156"/>
                  <wp:cNvGraphicFramePr/>
                  <a:graphic xmlns:a="http://schemas.openxmlformats.org/drawingml/2006/main">
                    <a:graphicData uri="http://schemas.openxmlformats.org/drawingml/2006/picture">
                      <pic:pic xmlns:pic="http://schemas.openxmlformats.org/drawingml/2006/picture">
                        <pic:nvPicPr>
                          <pic:cNvPr id="354" name="图片_15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7620" cy="15240"/>
                  <wp:effectExtent l="0" t="0" r="7620" b="0"/>
                  <wp:wrapNone/>
                  <wp:docPr id="355" name="图片_155"/>
                  <wp:cNvGraphicFramePr/>
                  <a:graphic xmlns:a="http://schemas.openxmlformats.org/drawingml/2006/main">
                    <a:graphicData uri="http://schemas.openxmlformats.org/drawingml/2006/picture">
                      <pic:pic xmlns:pic="http://schemas.openxmlformats.org/drawingml/2006/picture">
                        <pic:nvPicPr>
                          <pic:cNvPr id="355" name="图片_15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7620" cy="15240"/>
                  <wp:effectExtent l="0" t="0" r="7620" b="0"/>
                  <wp:wrapNone/>
                  <wp:docPr id="356" name="图片_154"/>
                  <wp:cNvGraphicFramePr/>
                  <a:graphic xmlns:a="http://schemas.openxmlformats.org/drawingml/2006/main">
                    <a:graphicData uri="http://schemas.openxmlformats.org/drawingml/2006/picture">
                      <pic:pic xmlns:pic="http://schemas.openxmlformats.org/drawingml/2006/picture">
                        <pic:nvPicPr>
                          <pic:cNvPr id="356" name="图片_15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57" name="图片_153"/>
                  <wp:cNvGraphicFramePr/>
                  <a:graphic xmlns:a="http://schemas.openxmlformats.org/drawingml/2006/main">
                    <a:graphicData uri="http://schemas.openxmlformats.org/drawingml/2006/picture">
                      <pic:pic xmlns:pic="http://schemas.openxmlformats.org/drawingml/2006/picture">
                        <pic:nvPicPr>
                          <pic:cNvPr id="357" name="图片_15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7620" cy="15240"/>
                  <wp:effectExtent l="0" t="0" r="7620" b="0"/>
                  <wp:wrapNone/>
                  <wp:docPr id="358" name="图片_152"/>
                  <wp:cNvGraphicFramePr/>
                  <a:graphic xmlns:a="http://schemas.openxmlformats.org/drawingml/2006/main">
                    <a:graphicData uri="http://schemas.openxmlformats.org/drawingml/2006/picture">
                      <pic:pic xmlns:pic="http://schemas.openxmlformats.org/drawingml/2006/picture">
                        <pic:nvPicPr>
                          <pic:cNvPr id="358" name="图片_15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7620" cy="15240"/>
                  <wp:effectExtent l="0" t="0" r="7620" b="0"/>
                  <wp:wrapNone/>
                  <wp:docPr id="359" name="图片_151"/>
                  <wp:cNvGraphicFramePr/>
                  <a:graphic xmlns:a="http://schemas.openxmlformats.org/drawingml/2006/main">
                    <a:graphicData uri="http://schemas.openxmlformats.org/drawingml/2006/picture">
                      <pic:pic xmlns:pic="http://schemas.openxmlformats.org/drawingml/2006/picture">
                        <pic:nvPicPr>
                          <pic:cNvPr id="359" name="图片_15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7620" cy="15240"/>
                  <wp:effectExtent l="0" t="0" r="7620" b="0"/>
                  <wp:wrapNone/>
                  <wp:docPr id="360" name="图片_150"/>
                  <wp:cNvGraphicFramePr/>
                  <a:graphic xmlns:a="http://schemas.openxmlformats.org/drawingml/2006/main">
                    <a:graphicData uri="http://schemas.openxmlformats.org/drawingml/2006/picture">
                      <pic:pic xmlns:pic="http://schemas.openxmlformats.org/drawingml/2006/picture">
                        <pic:nvPicPr>
                          <pic:cNvPr id="360" name="图片_15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7620" cy="15240"/>
                  <wp:effectExtent l="0" t="0" r="7620" b="0"/>
                  <wp:wrapNone/>
                  <wp:docPr id="361" name="图片_149"/>
                  <wp:cNvGraphicFramePr/>
                  <a:graphic xmlns:a="http://schemas.openxmlformats.org/drawingml/2006/main">
                    <a:graphicData uri="http://schemas.openxmlformats.org/drawingml/2006/picture">
                      <pic:pic xmlns:pic="http://schemas.openxmlformats.org/drawingml/2006/picture">
                        <pic:nvPicPr>
                          <pic:cNvPr id="361" name="图片_14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62" name="图片_148"/>
                  <wp:cNvGraphicFramePr/>
                  <a:graphic xmlns:a="http://schemas.openxmlformats.org/drawingml/2006/main">
                    <a:graphicData uri="http://schemas.openxmlformats.org/drawingml/2006/picture">
                      <pic:pic xmlns:pic="http://schemas.openxmlformats.org/drawingml/2006/picture">
                        <pic:nvPicPr>
                          <pic:cNvPr id="362" name="图片_14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7620" cy="15240"/>
                  <wp:effectExtent l="0" t="0" r="7620" b="0"/>
                  <wp:wrapNone/>
                  <wp:docPr id="363" name="图片_147"/>
                  <wp:cNvGraphicFramePr/>
                  <a:graphic xmlns:a="http://schemas.openxmlformats.org/drawingml/2006/main">
                    <a:graphicData uri="http://schemas.openxmlformats.org/drawingml/2006/picture">
                      <pic:pic xmlns:pic="http://schemas.openxmlformats.org/drawingml/2006/picture">
                        <pic:nvPicPr>
                          <pic:cNvPr id="363" name="图片_14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7620" cy="15240"/>
                  <wp:effectExtent l="0" t="0" r="7620" b="0"/>
                  <wp:wrapNone/>
                  <wp:docPr id="364" name="图片_146"/>
                  <wp:cNvGraphicFramePr/>
                  <a:graphic xmlns:a="http://schemas.openxmlformats.org/drawingml/2006/main">
                    <a:graphicData uri="http://schemas.openxmlformats.org/drawingml/2006/picture">
                      <pic:pic xmlns:pic="http://schemas.openxmlformats.org/drawingml/2006/picture">
                        <pic:nvPicPr>
                          <pic:cNvPr id="364" name="图片_14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7620" cy="15240"/>
                  <wp:effectExtent l="0" t="0" r="7620" b="0"/>
                  <wp:wrapNone/>
                  <wp:docPr id="365" name="图片_145"/>
                  <wp:cNvGraphicFramePr/>
                  <a:graphic xmlns:a="http://schemas.openxmlformats.org/drawingml/2006/main">
                    <a:graphicData uri="http://schemas.openxmlformats.org/drawingml/2006/picture">
                      <pic:pic xmlns:pic="http://schemas.openxmlformats.org/drawingml/2006/picture">
                        <pic:nvPicPr>
                          <pic:cNvPr id="365" name="图片_14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7620" cy="15240"/>
                  <wp:effectExtent l="0" t="0" r="7620" b="0"/>
                  <wp:wrapNone/>
                  <wp:docPr id="366" name="图片_144"/>
                  <wp:cNvGraphicFramePr/>
                  <a:graphic xmlns:a="http://schemas.openxmlformats.org/drawingml/2006/main">
                    <a:graphicData uri="http://schemas.openxmlformats.org/drawingml/2006/picture">
                      <pic:pic xmlns:pic="http://schemas.openxmlformats.org/drawingml/2006/picture">
                        <pic:nvPicPr>
                          <pic:cNvPr id="366" name="图片_14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67" name="图片_143"/>
                  <wp:cNvGraphicFramePr/>
                  <a:graphic xmlns:a="http://schemas.openxmlformats.org/drawingml/2006/main">
                    <a:graphicData uri="http://schemas.openxmlformats.org/drawingml/2006/picture">
                      <pic:pic xmlns:pic="http://schemas.openxmlformats.org/drawingml/2006/picture">
                        <pic:nvPicPr>
                          <pic:cNvPr id="367" name="图片_14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7620" cy="15240"/>
                  <wp:effectExtent l="0" t="0" r="7620" b="0"/>
                  <wp:wrapNone/>
                  <wp:docPr id="368" name="图片_142"/>
                  <wp:cNvGraphicFramePr/>
                  <a:graphic xmlns:a="http://schemas.openxmlformats.org/drawingml/2006/main">
                    <a:graphicData uri="http://schemas.openxmlformats.org/drawingml/2006/picture">
                      <pic:pic xmlns:pic="http://schemas.openxmlformats.org/drawingml/2006/picture">
                        <pic:nvPicPr>
                          <pic:cNvPr id="368" name="图片_14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7620" cy="15240"/>
                  <wp:effectExtent l="0" t="0" r="7620" b="0"/>
                  <wp:wrapNone/>
                  <wp:docPr id="369" name="图片_141"/>
                  <wp:cNvGraphicFramePr/>
                  <a:graphic xmlns:a="http://schemas.openxmlformats.org/drawingml/2006/main">
                    <a:graphicData uri="http://schemas.openxmlformats.org/drawingml/2006/picture">
                      <pic:pic xmlns:pic="http://schemas.openxmlformats.org/drawingml/2006/picture">
                        <pic:nvPicPr>
                          <pic:cNvPr id="369" name="图片_14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7620" cy="15240"/>
                  <wp:effectExtent l="0" t="0" r="7620" b="0"/>
                  <wp:wrapNone/>
                  <wp:docPr id="370" name="图片_140"/>
                  <wp:cNvGraphicFramePr/>
                  <a:graphic xmlns:a="http://schemas.openxmlformats.org/drawingml/2006/main">
                    <a:graphicData uri="http://schemas.openxmlformats.org/drawingml/2006/picture">
                      <pic:pic xmlns:pic="http://schemas.openxmlformats.org/drawingml/2006/picture">
                        <pic:nvPicPr>
                          <pic:cNvPr id="370" name="图片_14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7620" cy="15240"/>
                  <wp:effectExtent l="0" t="0" r="7620" b="0"/>
                  <wp:wrapNone/>
                  <wp:docPr id="371" name="图片_139"/>
                  <wp:cNvGraphicFramePr/>
                  <a:graphic xmlns:a="http://schemas.openxmlformats.org/drawingml/2006/main">
                    <a:graphicData uri="http://schemas.openxmlformats.org/drawingml/2006/picture">
                      <pic:pic xmlns:pic="http://schemas.openxmlformats.org/drawingml/2006/picture">
                        <pic:nvPicPr>
                          <pic:cNvPr id="371" name="图片_13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7620" cy="7620"/>
                  <wp:effectExtent l="0" t="0" r="0" b="0"/>
                  <wp:wrapNone/>
                  <wp:docPr id="372" name="图片_138"/>
                  <wp:cNvGraphicFramePr/>
                  <a:graphic xmlns:a="http://schemas.openxmlformats.org/drawingml/2006/main">
                    <a:graphicData uri="http://schemas.openxmlformats.org/drawingml/2006/picture">
                      <pic:pic xmlns:pic="http://schemas.openxmlformats.org/drawingml/2006/picture">
                        <pic:nvPicPr>
                          <pic:cNvPr id="372" name="图片_138"/>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7620" cy="7620"/>
                  <wp:effectExtent l="0" t="0" r="0" b="0"/>
                  <wp:wrapNone/>
                  <wp:docPr id="373" name="图片_137"/>
                  <wp:cNvGraphicFramePr/>
                  <a:graphic xmlns:a="http://schemas.openxmlformats.org/drawingml/2006/main">
                    <a:graphicData uri="http://schemas.openxmlformats.org/drawingml/2006/picture">
                      <pic:pic xmlns:pic="http://schemas.openxmlformats.org/drawingml/2006/picture">
                        <pic:nvPicPr>
                          <pic:cNvPr id="373" name="图片_137"/>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7620" cy="7620"/>
                  <wp:effectExtent l="0" t="0" r="0" b="0"/>
                  <wp:wrapNone/>
                  <wp:docPr id="374" name="图片_136"/>
                  <wp:cNvGraphicFramePr/>
                  <a:graphic xmlns:a="http://schemas.openxmlformats.org/drawingml/2006/main">
                    <a:graphicData uri="http://schemas.openxmlformats.org/drawingml/2006/picture">
                      <pic:pic xmlns:pic="http://schemas.openxmlformats.org/drawingml/2006/picture">
                        <pic:nvPicPr>
                          <pic:cNvPr id="374" name="图片_136"/>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7620" cy="7620"/>
                  <wp:effectExtent l="0" t="0" r="0" b="0"/>
                  <wp:wrapNone/>
                  <wp:docPr id="375" name="图片_135"/>
                  <wp:cNvGraphicFramePr/>
                  <a:graphic xmlns:a="http://schemas.openxmlformats.org/drawingml/2006/main">
                    <a:graphicData uri="http://schemas.openxmlformats.org/drawingml/2006/picture">
                      <pic:pic xmlns:pic="http://schemas.openxmlformats.org/drawingml/2006/picture">
                        <pic:nvPicPr>
                          <pic:cNvPr id="375" name="图片_135"/>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7620" cy="7620"/>
                  <wp:effectExtent l="0" t="0" r="0" b="0"/>
                  <wp:wrapNone/>
                  <wp:docPr id="376" name="图片_134"/>
                  <wp:cNvGraphicFramePr/>
                  <a:graphic xmlns:a="http://schemas.openxmlformats.org/drawingml/2006/main">
                    <a:graphicData uri="http://schemas.openxmlformats.org/drawingml/2006/picture">
                      <pic:pic xmlns:pic="http://schemas.openxmlformats.org/drawingml/2006/picture">
                        <pic:nvPicPr>
                          <pic:cNvPr id="376" name="图片_134"/>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77" name="图片_133"/>
                  <wp:cNvGraphicFramePr/>
                  <a:graphic xmlns:a="http://schemas.openxmlformats.org/drawingml/2006/main">
                    <a:graphicData uri="http://schemas.openxmlformats.org/drawingml/2006/picture">
                      <pic:pic xmlns:pic="http://schemas.openxmlformats.org/drawingml/2006/picture">
                        <pic:nvPicPr>
                          <pic:cNvPr id="377" name="图片_13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7620" cy="15240"/>
                  <wp:effectExtent l="0" t="0" r="7620" b="0"/>
                  <wp:wrapNone/>
                  <wp:docPr id="378" name="图片_132"/>
                  <wp:cNvGraphicFramePr/>
                  <a:graphic xmlns:a="http://schemas.openxmlformats.org/drawingml/2006/main">
                    <a:graphicData uri="http://schemas.openxmlformats.org/drawingml/2006/picture">
                      <pic:pic xmlns:pic="http://schemas.openxmlformats.org/drawingml/2006/picture">
                        <pic:nvPicPr>
                          <pic:cNvPr id="378" name="图片_13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7620" cy="15240"/>
                  <wp:effectExtent l="0" t="0" r="7620" b="0"/>
                  <wp:wrapNone/>
                  <wp:docPr id="379" name="图片_131"/>
                  <wp:cNvGraphicFramePr/>
                  <a:graphic xmlns:a="http://schemas.openxmlformats.org/drawingml/2006/main">
                    <a:graphicData uri="http://schemas.openxmlformats.org/drawingml/2006/picture">
                      <pic:pic xmlns:pic="http://schemas.openxmlformats.org/drawingml/2006/picture">
                        <pic:nvPicPr>
                          <pic:cNvPr id="379" name="图片_13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7620" cy="15240"/>
                  <wp:effectExtent l="0" t="0" r="7620" b="0"/>
                  <wp:wrapNone/>
                  <wp:docPr id="380" name="图片_130"/>
                  <wp:cNvGraphicFramePr/>
                  <a:graphic xmlns:a="http://schemas.openxmlformats.org/drawingml/2006/main">
                    <a:graphicData uri="http://schemas.openxmlformats.org/drawingml/2006/picture">
                      <pic:pic xmlns:pic="http://schemas.openxmlformats.org/drawingml/2006/picture">
                        <pic:nvPicPr>
                          <pic:cNvPr id="380" name="图片_13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7620" cy="15240"/>
                  <wp:effectExtent l="0" t="0" r="7620" b="0"/>
                  <wp:wrapNone/>
                  <wp:docPr id="381" name="图片_129"/>
                  <wp:cNvGraphicFramePr/>
                  <a:graphic xmlns:a="http://schemas.openxmlformats.org/drawingml/2006/main">
                    <a:graphicData uri="http://schemas.openxmlformats.org/drawingml/2006/picture">
                      <pic:pic xmlns:pic="http://schemas.openxmlformats.org/drawingml/2006/picture">
                        <pic:nvPicPr>
                          <pic:cNvPr id="381" name="图片_12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82" name="图片_126"/>
                  <wp:cNvGraphicFramePr/>
                  <a:graphic xmlns:a="http://schemas.openxmlformats.org/drawingml/2006/main">
                    <a:graphicData uri="http://schemas.openxmlformats.org/drawingml/2006/picture">
                      <pic:pic xmlns:pic="http://schemas.openxmlformats.org/drawingml/2006/picture">
                        <pic:nvPicPr>
                          <pic:cNvPr id="382" name="图片_12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7620" cy="15240"/>
                  <wp:effectExtent l="0" t="0" r="7620" b="0"/>
                  <wp:wrapNone/>
                  <wp:docPr id="383" name="图片_128"/>
                  <wp:cNvGraphicFramePr/>
                  <a:graphic xmlns:a="http://schemas.openxmlformats.org/drawingml/2006/main">
                    <a:graphicData uri="http://schemas.openxmlformats.org/drawingml/2006/picture">
                      <pic:pic xmlns:pic="http://schemas.openxmlformats.org/drawingml/2006/picture">
                        <pic:nvPicPr>
                          <pic:cNvPr id="383" name="图片_12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7620" cy="15240"/>
                  <wp:effectExtent l="0" t="0" r="7620" b="0"/>
                  <wp:wrapNone/>
                  <wp:docPr id="384" name="图片_125"/>
                  <wp:cNvGraphicFramePr/>
                  <a:graphic xmlns:a="http://schemas.openxmlformats.org/drawingml/2006/main">
                    <a:graphicData uri="http://schemas.openxmlformats.org/drawingml/2006/picture">
                      <pic:pic xmlns:pic="http://schemas.openxmlformats.org/drawingml/2006/picture">
                        <pic:nvPicPr>
                          <pic:cNvPr id="384" name="图片_12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7620" cy="15240"/>
                  <wp:effectExtent l="0" t="0" r="7620" b="0"/>
                  <wp:wrapNone/>
                  <wp:docPr id="385" name="图片_124"/>
                  <wp:cNvGraphicFramePr/>
                  <a:graphic xmlns:a="http://schemas.openxmlformats.org/drawingml/2006/main">
                    <a:graphicData uri="http://schemas.openxmlformats.org/drawingml/2006/picture">
                      <pic:pic xmlns:pic="http://schemas.openxmlformats.org/drawingml/2006/picture">
                        <pic:nvPicPr>
                          <pic:cNvPr id="385" name="图片_12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7620" cy="15240"/>
                  <wp:effectExtent l="0" t="0" r="7620" b="0"/>
                  <wp:wrapNone/>
                  <wp:docPr id="386" name="图片_123"/>
                  <wp:cNvGraphicFramePr/>
                  <a:graphic xmlns:a="http://schemas.openxmlformats.org/drawingml/2006/main">
                    <a:graphicData uri="http://schemas.openxmlformats.org/drawingml/2006/picture">
                      <pic:pic xmlns:pic="http://schemas.openxmlformats.org/drawingml/2006/picture">
                        <pic:nvPicPr>
                          <pic:cNvPr id="386" name="图片_12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87" name="图片_122"/>
                  <wp:cNvGraphicFramePr/>
                  <a:graphic xmlns:a="http://schemas.openxmlformats.org/drawingml/2006/main">
                    <a:graphicData uri="http://schemas.openxmlformats.org/drawingml/2006/picture">
                      <pic:pic xmlns:pic="http://schemas.openxmlformats.org/drawingml/2006/picture">
                        <pic:nvPicPr>
                          <pic:cNvPr id="387" name="图片_12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7620" cy="15240"/>
                  <wp:effectExtent l="0" t="0" r="7620" b="0"/>
                  <wp:wrapNone/>
                  <wp:docPr id="388" name="图片_121"/>
                  <wp:cNvGraphicFramePr/>
                  <a:graphic xmlns:a="http://schemas.openxmlformats.org/drawingml/2006/main">
                    <a:graphicData uri="http://schemas.openxmlformats.org/drawingml/2006/picture">
                      <pic:pic xmlns:pic="http://schemas.openxmlformats.org/drawingml/2006/picture">
                        <pic:nvPicPr>
                          <pic:cNvPr id="388" name="图片_12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7620" cy="15240"/>
                  <wp:effectExtent l="0" t="0" r="7620" b="0"/>
                  <wp:wrapNone/>
                  <wp:docPr id="389" name="图片_120"/>
                  <wp:cNvGraphicFramePr/>
                  <a:graphic xmlns:a="http://schemas.openxmlformats.org/drawingml/2006/main">
                    <a:graphicData uri="http://schemas.openxmlformats.org/drawingml/2006/picture">
                      <pic:pic xmlns:pic="http://schemas.openxmlformats.org/drawingml/2006/picture">
                        <pic:nvPicPr>
                          <pic:cNvPr id="389" name="图片_12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7620" cy="15240"/>
                  <wp:effectExtent l="0" t="0" r="7620" b="0"/>
                  <wp:wrapNone/>
                  <wp:docPr id="390" name="图片_119"/>
                  <wp:cNvGraphicFramePr/>
                  <a:graphic xmlns:a="http://schemas.openxmlformats.org/drawingml/2006/main">
                    <a:graphicData uri="http://schemas.openxmlformats.org/drawingml/2006/picture">
                      <pic:pic xmlns:pic="http://schemas.openxmlformats.org/drawingml/2006/picture">
                        <pic:nvPicPr>
                          <pic:cNvPr id="390" name="图片_11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7620" cy="15240"/>
                  <wp:effectExtent l="0" t="0" r="7620" b="0"/>
                  <wp:wrapNone/>
                  <wp:docPr id="391" name="图片_118"/>
                  <wp:cNvGraphicFramePr/>
                  <a:graphic xmlns:a="http://schemas.openxmlformats.org/drawingml/2006/main">
                    <a:graphicData uri="http://schemas.openxmlformats.org/drawingml/2006/picture">
                      <pic:pic xmlns:pic="http://schemas.openxmlformats.org/drawingml/2006/picture">
                        <pic:nvPicPr>
                          <pic:cNvPr id="391" name="图片_11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7620" cy="15240"/>
                  <wp:effectExtent l="0" t="0" r="7620" b="0"/>
                  <wp:wrapNone/>
                  <wp:docPr id="392" name="图片_117"/>
                  <wp:cNvGraphicFramePr/>
                  <a:graphic xmlns:a="http://schemas.openxmlformats.org/drawingml/2006/main">
                    <a:graphicData uri="http://schemas.openxmlformats.org/drawingml/2006/picture">
                      <pic:pic xmlns:pic="http://schemas.openxmlformats.org/drawingml/2006/picture">
                        <pic:nvPicPr>
                          <pic:cNvPr id="392" name="图片_11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7620" cy="15240"/>
                  <wp:effectExtent l="0" t="0" r="7620" b="0"/>
                  <wp:wrapNone/>
                  <wp:docPr id="393" name="图片_116"/>
                  <wp:cNvGraphicFramePr/>
                  <a:graphic xmlns:a="http://schemas.openxmlformats.org/drawingml/2006/main">
                    <a:graphicData uri="http://schemas.openxmlformats.org/drawingml/2006/picture">
                      <pic:pic xmlns:pic="http://schemas.openxmlformats.org/drawingml/2006/picture">
                        <pic:nvPicPr>
                          <pic:cNvPr id="393" name="图片_11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7620" cy="15240"/>
                  <wp:effectExtent l="0" t="0" r="7620" b="0"/>
                  <wp:wrapNone/>
                  <wp:docPr id="394" name="图片_115"/>
                  <wp:cNvGraphicFramePr/>
                  <a:graphic xmlns:a="http://schemas.openxmlformats.org/drawingml/2006/main">
                    <a:graphicData uri="http://schemas.openxmlformats.org/drawingml/2006/picture">
                      <pic:pic xmlns:pic="http://schemas.openxmlformats.org/drawingml/2006/picture">
                        <pic:nvPicPr>
                          <pic:cNvPr id="394" name="图片_11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7620" cy="15240"/>
                  <wp:effectExtent l="0" t="0" r="7620" b="0"/>
                  <wp:wrapNone/>
                  <wp:docPr id="395" name="图片_114"/>
                  <wp:cNvGraphicFramePr/>
                  <a:graphic xmlns:a="http://schemas.openxmlformats.org/drawingml/2006/main">
                    <a:graphicData uri="http://schemas.openxmlformats.org/drawingml/2006/picture">
                      <pic:pic xmlns:pic="http://schemas.openxmlformats.org/drawingml/2006/picture">
                        <pic:nvPicPr>
                          <pic:cNvPr id="395" name="图片_11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7620" cy="7620"/>
                  <wp:effectExtent l="0" t="0" r="0" b="0"/>
                  <wp:wrapNone/>
                  <wp:docPr id="396" name="图片_113"/>
                  <wp:cNvGraphicFramePr/>
                  <a:graphic xmlns:a="http://schemas.openxmlformats.org/drawingml/2006/main">
                    <a:graphicData uri="http://schemas.openxmlformats.org/drawingml/2006/picture">
                      <pic:pic xmlns:pic="http://schemas.openxmlformats.org/drawingml/2006/picture">
                        <pic:nvPicPr>
                          <pic:cNvPr id="396" name="图片_113"/>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24800" behindDoc="0" locked="0" layoutInCell="1" allowOverlap="1">
                  <wp:simplePos x="0" y="0"/>
                  <wp:positionH relativeFrom="column">
                    <wp:posOffset>0</wp:posOffset>
                  </wp:positionH>
                  <wp:positionV relativeFrom="paragraph">
                    <wp:posOffset>0</wp:posOffset>
                  </wp:positionV>
                  <wp:extent cx="7620" cy="7620"/>
                  <wp:effectExtent l="0" t="0" r="0" b="0"/>
                  <wp:wrapNone/>
                  <wp:docPr id="397" name="图片_112"/>
                  <wp:cNvGraphicFramePr/>
                  <a:graphic xmlns:a="http://schemas.openxmlformats.org/drawingml/2006/main">
                    <a:graphicData uri="http://schemas.openxmlformats.org/drawingml/2006/picture">
                      <pic:pic xmlns:pic="http://schemas.openxmlformats.org/drawingml/2006/picture">
                        <pic:nvPicPr>
                          <pic:cNvPr id="397" name="图片_112"/>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25824" behindDoc="0" locked="0" layoutInCell="1" allowOverlap="1">
                  <wp:simplePos x="0" y="0"/>
                  <wp:positionH relativeFrom="column">
                    <wp:posOffset>0</wp:posOffset>
                  </wp:positionH>
                  <wp:positionV relativeFrom="paragraph">
                    <wp:posOffset>0</wp:posOffset>
                  </wp:positionV>
                  <wp:extent cx="7620" cy="7620"/>
                  <wp:effectExtent l="0" t="0" r="0" b="0"/>
                  <wp:wrapNone/>
                  <wp:docPr id="398" name="图片_111"/>
                  <wp:cNvGraphicFramePr/>
                  <a:graphic xmlns:a="http://schemas.openxmlformats.org/drawingml/2006/main">
                    <a:graphicData uri="http://schemas.openxmlformats.org/drawingml/2006/picture">
                      <pic:pic xmlns:pic="http://schemas.openxmlformats.org/drawingml/2006/picture">
                        <pic:nvPicPr>
                          <pic:cNvPr id="398" name="图片_111"/>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26848" behindDoc="0" locked="0" layoutInCell="1" allowOverlap="1">
                  <wp:simplePos x="0" y="0"/>
                  <wp:positionH relativeFrom="column">
                    <wp:posOffset>0</wp:posOffset>
                  </wp:positionH>
                  <wp:positionV relativeFrom="paragraph">
                    <wp:posOffset>0</wp:posOffset>
                  </wp:positionV>
                  <wp:extent cx="7620" cy="7620"/>
                  <wp:effectExtent l="0" t="0" r="0" b="0"/>
                  <wp:wrapNone/>
                  <wp:docPr id="399" name="图片_110"/>
                  <wp:cNvGraphicFramePr/>
                  <a:graphic xmlns:a="http://schemas.openxmlformats.org/drawingml/2006/main">
                    <a:graphicData uri="http://schemas.openxmlformats.org/drawingml/2006/picture">
                      <pic:pic xmlns:pic="http://schemas.openxmlformats.org/drawingml/2006/picture">
                        <pic:nvPicPr>
                          <pic:cNvPr id="399" name="图片_110"/>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2787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00" name="图片_109"/>
                  <wp:cNvGraphicFramePr/>
                  <a:graphic xmlns:a="http://schemas.openxmlformats.org/drawingml/2006/main">
                    <a:graphicData uri="http://schemas.openxmlformats.org/drawingml/2006/picture">
                      <pic:pic xmlns:pic="http://schemas.openxmlformats.org/drawingml/2006/picture">
                        <pic:nvPicPr>
                          <pic:cNvPr id="400" name="图片_10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2889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01" name="图片_108"/>
                  <wp:cNvGraphicFramePr/>
                  <a:graphic xmlns:a="http://schemas.openxmlformats.org/drawingml/2006/main">
                    <a:graphicData uri="http://schemas.openxmlformats.org/drawingml/2006/picture">
                      <pic:pic xmlns:pic="http://schemas.openxmlformats.org/drawingml/2006/picture">
                        <pic:nvPicPr>
                          <pic:cNvPr id="401" name="图片_10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2992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02" name="图片_107"/>
                  <wp:cNvGraphicFramePr/>
                  <a:graphic xmlns:a="http://schemas.openxmlformats.org/drawingml/2006/main">
                    <a:graphicData uri="http://schemas.openxmlformats.org/drawingml/2006/picture">
                      <pic:pic xmlns:pic="http://schemas.openxmlformats.org/drawingml/2006/picture">
                        <pic:nvPicPr>
                          <pic:cNvPr id="402" name="图片_10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3094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03" name="图片_106"/>
                  <wp:cNvGraphicFramePr/>
                  <a:graphic xmlns:a="http://schemas.openxmlformats.org/drawingml/2006/main">
                    <a:graphicData uri="http://schemas.openxmlformats.org/drawingml/2006/picture">
                      <pic:pic xmlns:pic="http://schemas.openxmlformats.org/drawingml/2006/picture">
                        <pic:nvPicPr>
                          <pic:cNvPr id="403" name="图片_10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3196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04" name="图片_105"/>
                  <wp:cNvGraphicFramePr/>
                  <a:graphic xmlns:a="http://schemas.openxmlformats.org/drawingml/2006/main">
                    <a:graphicData uri="http://schemas.openxmlformats.org/drawingml/2006/picture">
                      <pic:pic xmlns:pic="http://schemas.openxmlformats.org/drawingml/2006/picture">
                        <pic:nvPicPr>
                          <pic:cNvPr id="404" name="图片_10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3299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05" name="图片_104"/>
                  <wp:cNvGraphicFramePr/>
                  <a:graphic xmlns:a="http://schemas.openxmlformats.org/drawingml/2006/main">
                    <a:graphicData uri="http://schemas.openxmlformats.org/drawingml/2006/picture">
                      <pic:pic xmlns:pic="http://schemas.openxmlformats.org/drawingml/2006/picture">
                        <pic:nvPicPr>
                          <pic:cNvPr id="405" name="图片_10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34016" behindDoc="0" locked="0" layoutInCell="1" allowOverlap="1">
                  <wp:simplePos x="0" y="0"/>
                  <wp:positionH relativeFrom="column">
                    <wp:posOffset>0</wp:posOffset>
                  </wp:positionH>
                  <wp:positionV relativeFrom="paragraph">
                    <wp:posOffset>0</wp:posOffset>
                  </wp:positionV>
                  <wp:extent cx="7620" cy="7620"/>
                  <wp:effectExtent l="0" t="0" r="0" b="0"/>
                  <wp:wrapNone/>
                  <wp:docPr id="406" name="图片_103"/>
                  <wp:cNvGraphicFramePr/>
                  <a:graphic xmlns:a="http://schemas.openxmlformats.org/drawingml/2006/main">
                    <a:graphicData uri="http://schemas.openxmlformats.org/drawingml/2006/picture">
                      <pic:pic xmlns:pic="http://schemas.openxmlformats.org/drawingml/2006/picture">
                        <pic:nvPicPr>
                          <pic:cNvPr id="406" name="图片_103"/>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35040" behindDoc="0" locked="0" layoutInCell="1" allowOverlap="1">
                  <wp:simplePos x="0" y="0"/>
                  <wp:positionH relativeFrom="column">
                    <wp:posOffset>0</wp:posOffset>
                  </wp:positionH>
                  <wp:positionV relativeFrom="paragraph">
                    <wp:posOffset>0</wp:posOffset>
                  </wp:positionV>
                  <wp:extent cx="7620" cy="7620"/>
                  <wp:effectExtent l="0" t="0" r="0" b="0"/>
                  <wp:wrapNone/>
                  <wp:docPr id="407" name="图片_102"/>
                  <wp:cNvGraphicFramePr/>
                  <a:graphic xmlns:a="http://schemas.openxmlformats.org/drawingml/2006/main">
                    <a:graphicData uri="http://schemas.openxmlformats.org/drawingml/2006/picture">
                      <pic:pic xmlns:pic="http://schemas.openxmlformats.org/drawingml/2006/picture">
                        <pic:nvPicPr>
                          <pic:cNvPr id="407" name="图片_102"/>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36064" behindDoc="0" locked="0" layoutInCell="1" allowOverlap="1">
                  <wp:simplePos x="0" y="0"/>
                  <wp:positionH relativeFrom="column">
                    <wp:posOffset>0</wp:posOffset>
                  </wp:positionH>
                  <wp:positionV relativeFrom="paragraph">
                    <wp:posOffset>0</wp:posOffset>
                  </wp:positionV>
                  <wp:extent cx="7620" cy="7620"/>
                  <wp:effectExtent l="0" t="0" r="0" b="0"/>
                  <wp:wrapNone/>
                  <wp:docPr id="408" name="图片_101"/>
                  <wp:cNvGraphicFramePr/>
                  <a:graphic xmlns:a="http://schemas.openxmlformats.org/drawingml/2006/main">
                    <a:graphicData uri="http://schemas.openxmlformats.org/drawingml/2006/picture">
                      <pic:pic xmlns:pic="http://schemas.openxmlformats.org/drawingml/2006/picture">
                        <pic:nvPicPr>
                          <pic:cNvPr id="408" name="图片_101"/>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37088" behindDoc="0" locked="0" layoutInCell="1" allowOverlap="1">
                  <wp:simplePos x="0" y="0"/>
                  <wp:positionH relativeFrom="column">
                    <wp:posOffset>0</wp:posOffset>
                  </wp:positionH>
                  <wp:positionV relativeFrom="paragraph">
                    <wp:posOffset>0</wp:posOffset>
                  </wp:positionV>
                  <wp:extent cx="7620" cy="7620"/>
                  <wp:effectExtent l="0" t="0" r="0" b="0"/>
                  <wp:wrapNone/>
                  <wp:docPr id="409" name="图片_100"/>
                  <wp:cNvGraphicFramePr/>
                  <a:graphic xmlns:a="http://schemas.openxmlformats.org/drawingml/2006/main">
                    <a:graphicData uri="http://schemas.openxmlformats.org/drawingml/2006/picture">
                      <pic:pic xmlns:pic="http://schemas.openxmlformats.org/drawingml/2006/picture">
                        <pic:nvPicPr>
                          <pic:cNvPr id="409" name="图片_100"/>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38112" behindDoc="0" locked="0" layoutInCell="1" allowOverlap="1">
                  <wp:simplePos x="0" y="0"/>
                  <wp:positionH relativeFrom="column">
                    <wp:posOffset>0</wp:posOffset>
                  </wp:positionH>
                  <wp:positionV relativeFrom="paragraph">
                    <wp:posOffset>0</wp:posOffset>
                  </wp:positionV>
                  <wp:extent cx="7620" cy="7620"/>
                  <wp:effectExtent l="0" t="0" r="0" b="0"/>
                  <wp:wrapNone/>
                  <wp:docPr id="410" name="图片_99"/>
                  <wp:cNvGraphicFramePr/>
                  <a:graphic xmlns:a="http://schemas.openxmlformats.org/drawingml/2006/main">
                    <a:graphicData uri="http://schemas.openxmlformats.org/drawingml/2006/picture">
                      <pic:pic xmlns:pic="http://schemas.openxmlformats.org/drawingml/2006/picture">
                        <pic:nvPicPr>
                          <pic:cNvPr id="410" name="图片_99"/>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3913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11" name="图片_98"/>
                  <wp:cNvGraphicFramePr/>
                  <a:graphic xmlns:a="http://schemas.openxmlformats.org/drawingml/2006/main">
                    <a:graphicData uri="http://schemas.openxmlformats.org/drawingml/2006/picture">
                      <pic:pic xmlns:pic="http://schemas.openxmlformats.org/drawingml/2006/picture">
                        <pic:nvPicPr>
                          <pic:cNvPr id="411" name="图片_9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4016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12" name="图片_97"/>
                  <wp:cNvGraphicFramePr/>
                  <a:graphic xmlns:a="http://schemas.openxmlformats.org/drawingml/2006/main">
                    <a:graphicData uri="http://schemas.openxmlformats.org/drawingml/2006/picture">
                      <pic:pic xmlns:pic="http://schemas.openxmlformats.org/drawingml/2006/picture">
                        <pic:nvPicPr>
                          <pic:cNvPr id="412" name="图片_9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4118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13" name="图片_96"/>
                  <wp:cNvGraphicFramePr/>
                  <a:graphic xmlns:a="http://schemas.openxmlformats.org/drawingml/2006/main">
                    <a:graphicData uri="http://schemas.openxmlformats.org/drawingml/2006/picture">
                      <pic:pic xmlns:pic="http://schemas.openxmlformats.org/drawingml/2006/picture">
                        <pic:nvPicPr>
                          <pic:cNvPr id="413" name="图片_9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4220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14" name="图片_95"/>
                  <wp:cNvGraphicFramePr/>
                  <a:graphic xmlns:a="http://schemas.openxmlformats.org/drawingml/2006/main">
                    <a:graphicData uri="http://schemas.openxmlformats.org/drawingml/2006/picture">
                      <pic:pic xmlns:pic="http://schemas.openxmlformats.org/drawingml/2006/picture">
                        <pic:nvPicPr>
                          <pic:cNvPr id="414" name="图片_9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4323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15" name="图片_94"/>
                  <wp:cNvGraphicFramePr/>
                  <a:graphic xmlns:a="http://schemas.openxmlformats.org/drawingml/2006/main">
                    <a:graphicData uri="http://schemas.openxmlformats.org/drawingml/2006/picture">
                      <pic:pic xmlns:pic="http://schemas.openxmlformats.org/drawingml/2006/picture">
                        <pic:nvPicPr>
                          <pic:cNvPr id="415" name="图片_9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44256" behindDoc="0" locked="0" layoutInCell="1" allowOverlap="1">
                  <wp:simplePos x="0" y="0"/>
                  <wp:positionH relativeFrom="column">
                    <wp:posOffset>0</wp:posOffset>
                  </wp:positionH>
                  <wp:positionV relativeFrom="paragraph">
                    <wp:posOffset>0</wp:posOffset>
                  </wp:positionV>
                  <wp:extent cx="7620" cy="7620"/>
                  <wp:effectExtent l="0" t="0" r="0" b="0"/>
                  <wp:wrapNone/>
                  <wp:docPr id="416" name="图片_93"/>
                  <wp:cNvGraphicFramePr/>
                  <a:graphic xmlns:a="http://schemas.openxmlformats.org/drawingml/2006/main">
                    <a:graphicData uri="http://schemas.openxmlformats.org/drawingml/2006/picture">
                      <pic:pic xmlns:pic="http://schemas.openxmlformats.org/drawingml/2006/picture">
                        <pic:nvPicPr>
                          <pic:cNvPr id="416" name="图片_93"/>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45280" behindDoc="0" locked="0" layoutInCell="1" allowOverlap="1">
                  <wp:simplePos x="0" y="0"/>
                  <wp:positionH relativeFrom="column">
                    <wp:posOffset>0</wp:posOffset>
                  </wp:positionH>
                  <wp:positionV relativeFrom="paragraph">
                    <wp:posOffset>0</wp:posOffset>
                  </wp:positionV>
                  <wp:extent cx="7620" cy="7620"/>
                  <wp:effectExtent l="0" t="0" r="0" b="0"/>
                  <wp:wrapNone/>
                  <wp:docPr id="417" name="图片_92"/>
                  <wp:cNvGraphicFramePr/>
                  <a:graphic xmlns:a="http://schemas.openxmlformats.org/drawingml/2006/main">
                    <a:graphicData uri="http://schemas.openxmlformats.org/drawingml/2006/picture">
                      <pic:pic xmlns:pic="http://schemas.openxmlformats.org/drawingml/2006/picture">
                        <pic:nvPicPr>
                          <pic:cNvPr id="417" name="图片_92"/>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46304" behindDoc="0" locked="0" layoutInCell="1" allowOverlap="1">
                  <wp:simplePos x="0" y="0"/>
                  <wp:positionH relativeFrom="column">
                    <wp:posOffset>0</wp:posOffset>
                  </wp:positionH>
                  <wp:positionV relativeFrom="paragraph">
                    <wp:posOffset>0</wp:posOffset>
                  </wp:positionV>
                  <wp:extent cx="7620" cy="7620"/>
                  <wp:effectExtent l="0" t="0" r="0" b="0"/>
                  <wp:wrapNone/>
                  <wp:docPr id="418" name="图片_91"/>
                  <wp:cNvGraphicFramePr/>
                  <a:graphic xmlns:a="http://schemas.openxmlformats.org/drawingml/2006/main">
                    <a:graphicData uri="http://schemas.openxmlformats.org/drawingml/2006/picture">
                      <pic:pic xmlns:pic="http://schemas.openxmlformats.org/drawingml/2006/picture">
                        <pic:nvPicPr>
                          <pic:cNvPr id="418" name="图片_91"/>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47328" behindDoc="0" locked="0" layoutInCell="1" allowOverlap="1">
                  <wp:simplePos x="0" y="0"/>
                  <wp:positionH relativeFrom="column">
                    <wp:posOffset>0</wp:posOffset>
                  </wp:positionH>
                  <wp:positionV relativeFrom="paragraph">
                    <wp:posOffset>0</wp:posOffset>
                  </wp:positionV>
                  <wp:extent cx="7620" cy="7620"/>
                  <wp:effectExtent l="0" t="0" r="0" b="0"/>
                  <wp:wrapNone/>
                  <wp:docPr id="419" name="图片_90"/>
                  <wp:cNvGraphicFramePr/>
                  <a:graphic xmlns:a="http://schemas.openxmlformats.org/drawingml/2006/main">
                    <a:graphicData uri="http://schemas.openxmlformats.org/drawingml/2006/picture">
                      <pic:pic xmlns:pic="http://schemas.openxmlformats.org/drawingml/2006/picture">
                        <pic:nvPicPr>
                          <pic:cNvPr id="419" name="图片_90"/>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4835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20" name="图片_89"/>
                  <wp:cNvGraphicFramePr/>
                  <a:graphic xmlns:a="http://schemas.openxmlformats.org/drawingml/2006/main">
                    <a:graphicData uri="http://schemas.openxmlformats.org/drawingml/2006/picture">
                      <pic:pic xmlns:pic="http://schemas.openxmlformats.org/drawingml/2006/picture">
                        <pic:nvPicPr>
                          <pic:cNvPr id="420" name="图片_8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4937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21" name="图片_88"/>
                  <wp:cNvGraphicFramePr/>
                  <a:graphic xmlns:a="http://schemas.openxmlformats.org/drawingml/2006/main">
                    <a:graphicData uri="http://schemas.openxmlformats.org/drawingml/2006/picture">
                      <pic:pic xmlns:pic="http://schemas.openxmlformats.org/drawingml/2006/picture">
                        <pic:nvPicPr>
                          <pic:cNvPr id="421" name="图片_8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5040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22" name="图片_87"/>
                  <wp:cNvGraphicFramePr/>
                  <a:graphic xmlns:a="http://schemas.openxmlformats.org/drawingml/2006/main">
                    <a:graphicData uri="http://schemas.openxmlformats.org/drawingml/2006/picture">
                      <pic:pic xmlns:pic="http://schemas.openxmlformats.org/drawingml/2006/picture">
                        <pic:nvPicPr>
                          <pic:cNvPr id="422" name="图片_8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5142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23" name="图片_86"/>
                  <wp:cNvGraphicFramePr/>
                  <a:graphic xmlns:a="http://schemas.openxmlformats.org/drawingml/2006/main">
                    <a:graphicData uri="http://schemas.openxmlformats.org/drawingml/2006/picture">
                      <pic:pic xmlns:pic="http://schemas.openxmlformats.org/drawingml/2006/picture">
                        <pic:nvPicPr>
                          <pic:cNvPr id="423" name="图片_8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5244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24" name="图片_85"/>
                  <wp:cNvGraphicFramePr/>
                  <a:graphic xmlns:a="http://schemas.openxmlformats.org/drawingml/2006/main">
                    <a:graphicData uri="http://schemas.openxmlformats.org/drawingml/2006/picture">
                      <pic:pic xmlns:pic="http://schemas.openxmlformats.org/drawingml/2006/picture">
                        <pic:nvPicPr>
                          <pic:cNvPr id="424" name="图片_8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5347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25" name="图片_84"/>
                  <wp:cNvGraphicFramePr/>
                  <a:graphic xmlns:a="http://schemas.openxmlformats.org/drawingml/2006/main">
                    <a:graphicData uri="http://schemas.openxmlformats.org/drawingml/2006/picture">
                      <pic:pic xmlns:pic="http://schemas.openxmlformats.org/drawingml/2006/picture">
                        <pic:nvPicPr>
                          <pic:cNvPr id="425" name="图片_8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5449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26" name="图片_83"/>
                  <wp:cNvGraphicFramePr/>
                  <a:graphic xmlns:a="http://schemas.openxmlformats.org/drawingml/2006/main">
                    <a:graphicData uri="http://schemas.openxmlformats.org/drawingml/2006/picture">
                      <pic:pic xmlns:pic="http://schemas.openxmlformats.org/drawingml/2006/picture">
                        <pic:nvPicPr>
                          <pic:cNvPr id="426" name="图片_8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5552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27" name="图片_82"/>
                  <wp:cNvGraphicFramePr/>
                  <a:graphic xmlns:a="http://schemas.openxmlformats.org/drawingml/2006/main">
                    <a:graphicData uri="http://schemas.openxmlformats.org/drawingml/2006/picture">
                      <pic:pic xmlns:pic="http://schemas.openxmlformats.org/drawingml/2006/picture">
                        <pic:nvPicPr>
                          <pic:cNvPr id="427" name="图片_8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5654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28" name="图片_81"/>
                  <wp:cNvGraphicFramePr/>
                  <a:graphic xmlns:a="http://schemas.openxmlformats.org/drawingml/2006/main">
                    <a:graphicData uri="http://schemas.openxmlformats.org/drawingml/2006/picture">
                      <pic:pic xmlns:pic="http://schemas.openxmlformats.org/drawingml/2006/picture">
                        <pic:nvPicPr>
                          <pic:cNvPr id="428" name="图片_8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5756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29" name="图片_80"/>
                  <wp:cNvGraphicFramePr/>
                  <a:graphic xmlns:a="http://schemas.openxmlformats.org/drawingml/2006/main">
                    <a:graphicData uri="http://schemas.openxmlformats.org/drawingml/2006/picture">
                      <pic:pic xmlns:pic="http://schemas.openxmlformats.org/drawingml/2006/picture">
                        <pic:nvPicPr>
                          <pic:cNvPr id="429" name="图片_8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5859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30" name="图片_79"/>
                  <wp:cNvGraphicFramePr/>
                  <a:graphic xmlns:a="http://schemas.openxmlformats.org/drawingml/2006/main">
                    <a:graphicData uri="http://schemas.openxmlformats.org/drawingml/2006/picture">
                      <pic:pic xmlns:pic="http://schemas.openxmlformats.org/drawingml/2006/picture">
                        <pic:nvPicPr>
                          <pic:cNvPr id="430" name="图片_7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5961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31" name="图片_78"/>
                  <wp:cNvGraphicFramePr/>
                  <a:graphic xmlns:a="http://schemas.openxmlformats.org/drawingml/2006/main">
                    <a:graphicData uri="http://schemas.openxmlformats.org/drawingml/2006/picture">
                      <pic:pic xmlns:pic="http://schemas.openxmlformats.org/drawingml/2006/picture">
                        <pic:nvPicPr>
                          <pic:cNvPr id="431" name="图片_7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6064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32" name="图片_77"/>
                  <wp:cNvGraphicFramePr/>
                  <a:graphic xmlns:a="http://schemas.openxmlformats.org/drawingml/2006/main">
                    <a:graphicData uri="http://schemas.openxmlformats.org/drawingml/2006/picture">
                      <pic:pic xmlns:pic="http://schemas.openxmlformats.org/drawingml/2006/picture">
                        <pic:nvPicPr>
                          <pic:cNvPr id="432" name="图片_7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6166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33" name="图片_76"/>
                  <wp:cNvGraphicFramePr/>
                  <a:graphic xmlns:a="http://schemas.openxmlformats.org/drawingml/2006/main">
                    <a:graphicData uri="http://schemas.openxmlformats.org/drawingml/2006/picture">
                      <pic:pic xmlns:pic="http://schemas.openxmlformats.org/drawingml/2006/picture">
                        <pic:nvPicPr>
                          <pic:cNvPr id="433" name="图片_7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6268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34" name="图片_75"/>
                  <wp:cNvGraphicFramePr/>
                  <a:graphic xmlns:a="http://schemas.openxmlformats.org/drawingml/2006/main">
                    <a:graphicData uri="http://schemas.openxmlformats.org/drawingml/2006/picture">
                      <pic:pic xmlns:pic="http://schemas.openxmlformats.org/drawingml/2006/picture">
                        <pic:nvPicPr>
                          <pic:cNvPr id="434" name="图片_7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6371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35" name="图片_74"/>
                  <wp:cNvGraphicFramePr/>
                  <a:graphic xmlns:a="http://schemas.openxmlformats.org/drawingml/2006/main">
                    <a:graphicData uri="http://schemas.openxmlformats.org/drawingml/2006/picture">
                      <pic:pic xmlns:pic="http://schemas.openxmlformats.org/drawingml/2006/picture">
                        <pic:nvPicPr>
                          <pic:cNvPr id="435" name="图片_7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6473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36" name="图片_73"/>
                  <wp:cNvGraphicFramePr/>
                  <a:graphic xmlns:a="http://schemas.openxmlformats.org/drawingml/2006/main">
                    <a:graphicData uri="http://schemas.openxmlformats.org/drawingml/2006/picture">
                      <pic:pic xmlns:pic="http://schemas.openxmlformats.org/drawingml/2006/picture">
                        <pic:nvPicPr>
                          <pic:cNvPr id="436" name="图片_7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6576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37" name="图片_72"/>
                  <wp:cNvGraphicFramePr/>
                  <a:graphic xmlns:a="http://schemas.openxmlformats.org/drawingml/2006/main">
                    <a:graphicData uri="http://schemas.openxmlformats.org/drawingml/2006/picture">
                      <pic:pic xmlns:pic="http://schemas.openxmlformats.org/drawingml/2006/picture">
                        <pic:nvPicPr>
                          <pic:cNvPr id="437" name="图片_7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6678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38" name="图片_71"/>
                  <wp:cNvGraphicFramePr/>
                  <a:graphic xmlns:a="http://schemas.openxmlformats.org/drawingml/2006/main">
                    <a:graphicData uri="http://schemas.openxmlformats.org/drawingml/2006/picture">
                      <pic:pic xmlns:pic="http://schemas.openxmlformats.org/drawingml/2006/picture">
                        <pic:nvPicPr>
                          <pic:cNvPr id="438" name="图片_7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6780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39" name="图片_70"/>
                  <wp:cNvGraphicFramePr/>
                  <a:graphic xmlns:a="http://schemas.openxmlformats.org/drawingml/2006/main">
                    <a:graphicData uri="http://schemas.openxmlformats.org/drawingml/2006/picture">
                      <pic:pic xmlns:pic="http://schemas.openxmlformats.org/drawingml/2006/picture">
                        <pic:nvPicPr>
                          <pic:cNvPr id="439" name="图片_7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68832" behindDoc="0" locked="0" layoutInCell="1" allowOverlap="1">
                  <wp:simplePos x="0" y="0"/>
                  <wp:positionH relativeFrom="column">
                    <wp:posOffset>0</wp:posOffset>
                  </wp:positionH>
                  <wp:positionV relativeFrom="paragraph">
                    <wp:posOffset>0</wp:posOffset>
                  </wp:positionV>
                  <wp:extent cx="7620" cy="7620"/>
                  <wp:effectExtent l="0" t="0" r="0" b="0"/>
                  <wp:wrapNone/>
                  <wp:docPr id="440" name="图片_69"/>
                  <wp:cNvGraphicFramePr/>
                  <a:graphic xmlns:a="http://schemas.openxmlformats.org/drawingml/2006/main">
                    <a:graphicData uri="http://schemas.openxmlformats.org/drawingml/2006/picture">
                      <pic:pic xmlns:pic="http://schemas.openxmlformats.org/drawingml/2006/picture">
                        <pic:nvPicPr>
                          <pic:cNvPr id="440" name="图片_69"/>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69856" behindDoc="0" locked="0" layoutInCell="1" allowOverlap="1">
                  <wp:simplePos x="0" y="0"/>
                  <wp:positionH relativeFrom="column">
                    <wp:posOffset>0</wp:posOffset>
                  </wp:positionH>
                  <wp:positionV relativeFrom="paragraph">
                    <wp:posOffset>0</wp:posOffset>
                  </wp:positionV>
                  <wp:extent cx="7620" cy="7620"/>
                  <wp:effectExtent l="0" t="0" r="0" b="0"/>
                  <wp:wrapNone/>
                  <wp:docPr id="441" name="图片_68"/>
                  <wp:cNvGraphicFramePr/>
                  <a:graphic xmlns:a="http://schemas.openxmlformats.org/drawingml/2006/main">
                    <a:graphicData uri="http://schemas.openxmlformats.org/drawingml/2006/picture">
                      <pic:pic xmlns:pic="http://schemas.openxmlformats.org/drawingml/2006/picture">
                        <pic:nvPicPr>
                          <pic:cNvPr id="441" name="图片_68"/>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70880" behindDoc="0" locked="0" layoutInCell="1" allowOverlap="1">
                  <wp:simplePos x="0" y="0"/>
                  <wp:positionH relativeFrom="column">
                    <wp:posOffset>0</wp:posOffset>
                  </wp:positionH>
                  <wp:positionV relativeFrom="paragraph">
                    <wp:posOffset>0</wp:posOffset>
                  </wp:positionV>
                  <wp:extent cx="7620" cy="7620"/>
                  <wp:effectExtent l="0" t="0" r="0" b="0"/>
                  <wp:wrapNone/>
                  <wp:docPr id="442" name="图片_67"/>
                  <wp:cNvGraphicFramePr/>
                  <a:graphic xmlns:a="http://schemas.openxmlformats.org/drawingml/2006/main">
                    <a:graphicData uri="http://schemas.openxmlformats.org/drawingml/2006/picture">
                      <pic:pic xmlns:pic="http://schemas.openxmlformats.org/drawingml/2006/picture">
                        <pic:nvPicPr>
                          <pic:cNvPr id="442" name="图片_67"/>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71904" behindDoc="0" locked="0" layoutInCell="1" allowOverlap="1">
                  <wp:simplePos x="0" y="0"/>
                  <wp:positionH relativeFrom="column">
                    <wp:posOffset>0</wp:posOffset>
                  </wp:positionH>
                  <wp:positionV relativeFrom="paragraph">
                    <wp:posOffset>0</wp:posOffset>
                  </wp:positionV>
                  <wp:extent cx="7620" cy="7620"/>
                  <wp:effectExtent l="0" t="0" r="0" b="0"/>
                  <wp:wrapNone/>
                  <wp:docPr id="443" name="图片_66"/>
                  <wp:cNvGraphicFramePr/>
                  <a:graphic xmlns:a="http://schemas.openxmlformats.org/drawingml/2006/main">
                    <a:graphicData uri="http://schemas.openxmlformats.org/drawingml/2006/picture">
                      <pic:pic xmlns:pic="http://schemas.openxmlformats.org/drawingml/2006/picture">
                        <pic:nvPicPr>
                          <pic:cNvPr id="443" name="图片_66"/>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72928" behindDoc="0" locked="0" layoutInCell="1" allowOverlap="1">
                  <wp:simplePos x="0" y="0"/>
                  <wp:positionH relativeFrom="column">
                    <wp:posOffset>0</wp:posOffset>
                  </wp:positionH>
                  <wp:positionV relativeFrom="paragraph">
                    <wp:posOffset>0</wp:posOffset>
                  </wp:positionV>
                  <wp:extent cx="7620" cy="7620"/>
                  <wp:effectExtent l="0" t="0" r="0" b="0"/>
                  <wp:wrapNone/>
                  <wp:docPr id="444" name="图片_65"/>
                  <wp:cNvGraphicFramePr/>
                  <a:graphic xmlns:a="http://schemas.openxmlformats.org/drawingml/2006/main">
                    <a:graphicData uri="http://schemas.openxmlformats.org/drawingml/2006/picture">
                      <pic:pic xmlns:pic="http://schemas.openxmlformats.org/drawingml/2006/picture">
                        <pic:nvPicPr>
                          <pic:cNvPr id="444" name="图片_65"/>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7395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45" name="图片_62"/>
                  <wp:cNvGraphicFramePr/>
                  <a:graphic xmlns:a="http://schemas.openxmlformats.org/drawingml/2006/main">
                    <a:graphicData uri="http://schemas.openxmlformats.org/drawingml/2006/picture">
                      <pic:pic xmlns:pic="http://schemas.openxmlformats.org/drawingml/2006/picture">
                        <pic:nvPicPr>
                          <pic:cNvPr id="445" name="图片_6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7497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46" name="图片_64"/>
                  <wp:cNvGraphicFramePr/>
                  <a:graphic xmlns:a="http://schemas.openxmlformats.org/drawingml/2006/main">
                    <a:graphicData uri="http://schemas.openxmlformats.org/drawingml/2006/picture">
                      <pic:pic xmlns:pic="http://schemas.openxmlformats.org/drawingml/2006/picture">
                        <pic:nvPicPr>
                          <pic:cNvPr id="446" name="图片_6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7600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47" name="图片_61"/>
                  <wp:cNvGraphicFramePr/>
                  <a:graphic xmlns:a="http://schemas.openxmlformats.org/drawingml/2006/main">
                    <a:graphicData uri="http://schemas.openxmlformats.org/drawingml/2006/picture">
                      <pic:pic xmlns:pic="http://schemas.openxmlformats.org/drawingml/2006/picture">
                        <pic:nvPicPr>
                          <pic:cNvPr id="447" name="图片_6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7702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48" name="图片_60"/>
                  <wp:cNvGraphicFramePr/>
                  <a:graphic xmlns:a="http://schemas.openxmlformats.org/drawingml/2006/main">
                    <a:graphicData uri="http://schemas.openxmlformats.org/drawingml/2006/picture">
                      <pic:pic xmlns:pic="http://schemas.openxmlformats.org/drawingml/2006/picture">
                        <pic:nvPicPr>
                          <pic:cNvPr id="448" name="图片_6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7804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49" name="图片_59"/>
                  <wp:cNvGraphicFramePr/>
                  <a:graphic xmlns:a="http://schemas.openxmlformats.org/drawingml/2006/main">
                    <a:graphicData uri="http://schemas.openxmlformats.org/drawingml/2006/picture">
                      <pic:pic xmlns:pic="http://schemas.openxmlformats.org/drawingml/2006/picture">
                        <pic:nvPicPr>
                          <pic:cNvPr id="449" name="图片_5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7907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50" name="图片_58"/>
                  <wp:cNvGraphicFramePr/>
                  <a:graphic xmlns:a="http://schemas.openxmlformats.org/drawingml/2006/main">
                    <a:graphicData uri="http://schemas.openxmlformats.org/drawingml/2006/picture">
                      <pic:pic xmlns:pic="http://schemas.openxmlformats.org/drawingml/2006/picture">
                        <pic:nvPicPr>
                          <pic:cNvPr id="450" name="图片_5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8009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51" name="图片_57"/>
                  <wp:cNvGraphicFramePr/>
                  <a:graphic xmlns:a="http://schemas.openxmlformats.org/drawingml/2006/main">
                    <a:graphicData uri="http://schemas.openxmlformats.org/drawingml/2006/picture">
                      <pic:pic xmlns:pic="http://schemas.openxmlformats.org/drawingml/2006/picture">
                        <pic:nvPicPr>
                          <pic:cNvPr id="451" name="图片_5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8112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52" name="图片_56"/>
                  <wp:cNvGraphicFramePr/>
                  <a:graphic xmlns:a="http://schemas.openxmlformats.org/drawingml/2006/main">
                    <a:graphicData uri="http://schemas.openxmlformats.org/drawingml/2006/picture">
                      <pic:pic xmlns:pic="http://schemas.openxmlformats.org/drawingml/2006/picture">
                        <pic:nvPicPr>
                          <pic:cNvPr id="452" name="图片_5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8214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53" name="图片_55"/>
                  <wp:cNvGraphicFramePr/>
                  <a:graphic xmlns:a="http://schemas.openxmlformats.org/drawingml/2006/main">
                    <a:graphicData uri="http://schemas.openxmlformats.org/drawingml/2006/picture">
                      <pic:pic xmlns:pic="http://schemas.openxmlformats.org/drawingml/2006/picture">
                        <pic:nvPicPr>
                          <pic:cNvPr id="453" name="图片_5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8316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54" name="图片_54"/>
                  <wp:cNvGraphicFramePr/>
                  <a:graphic xmlns:a="http://schemas.openxmlformats.org/drawingml/2006/main">
                    <a:graphicData uri="http://schemas.openxmlformats.org/drawingml/2006/picture">
                      <pic:pic xmlns:pic="http://schemas.openxmlformats.org/drawingml/2006/picture">
                        <pic:nvPicPr>
                          <pic:cNvPr id="454" name="图片_5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8419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55" name="图片_53"/>
                  <wp:cNvGraphicFramePr/>
                  <a:graphic xmlns:a="http://schemas.openxmlformats.org/drawingml/2006/main">
                    <a:graphicData uri="http://schemas.openxmlformats.org/drawingml/2006/picture">
                      <pic:pic xmlns:pic="http://schemas.openxmlformats.org/drawingml/2006/picture">
                        <pic:nvPicPr>
                          <pic:cNvPr id="455" name="图片_5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8521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56" name="图片_52"/>
                  <wp:cNvGraphicFramePr/>
                  <a:graphic xmlns:a="http://schemas.openxmlformats.org/drawingml/2006/main">
                    <a:graphicData uri="http://schemas.openxmlformats.org/drawingml/2006/picture">
                      <pic:pic xmlns:pic="http://schemas.openxmlformats.org/drawingml/2006/picture">
                        <pic:nvPicPr>
                          <pic:cNvPr id="456" name="图片_5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8624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57" name="图片_51"/>
                  <wp:cNvGraphicFramePr/>
                  <a:graphic xmlns:a="http://schemas.openxmlformats.org/drawingml/2006/main">
                    <a:graphicData uri="http://schemas.openxmlformats.org/drawingml/2006/picture">
                      <pic:pic xmlns:pic="http://schemas.openxmlformats.org/drawingml/2006/picture">
                        <pic:nvPicPr>
                          <pic:cNvPr id="457" name="图片_5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8726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58" name="图片_50"/>
                  <wp:cNvGraphicFramePr/>
                  <a:graphic xmlns:a="http://schemas.openxmlformats.org/drawingml/2006/main">
                    <a:graphicData uri="http://schemas.openxmlformats.org/drawingml/2006/picture">
                      <pic:pic xmlns:pic="http://schemas.openxmlformats.org/drawingml/2006/picture">
                        <pic:nvPicPr>
                          <pic:cNvPr id="458" name="图片_5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8828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59" name="图片_49"/>
                  <wp:cNvGraphicFramePr/>
                  <a:graphic xmlns:a="http://schemas.openxmlformats.org/drawingml/2006/main">
                    <a:graphicData uri="http://schemas.openxmlformats.org/drawingml/2006/picture">
                      <pic:pic xmlns:pic="http://schemas.openxmlformats.org/drawingml/2006/picture">
                        <pic:nvPicPr>
                          <pic:cNvPr id="459" name="图片_4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8931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60" name="图片_48"/>
                  <wp:cNvGraphicFramePr/>
                  <a:graphic xmlns:a="http://schemas.openxmlformats.org/drawingml/2006/main">
                    <a:graphicData uri="http://schemas.openxmlformats.org/drawingml/2006/picture">
                      <pic:pic xmlns:pic="http://schemas.openxmlformats.org/drawingml/2006/picture">
                        <pic:nvPicPr>
                          <pic:cNvPr id="460" name="图片_4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9033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61" name="图片_47"/>
                  <wp:cNvGraphicFramePr/>
                  <a:graphic xmlns:a="http://schemas.openxmlformats.org/drawingml/2006/main">
                    <a:graphicData uri="http://schemas.openxmlformats.org/drawingml/2006/picture">
                      <pic:pic xmlns:pic="http://schemas.openxmlformats.org/drawingml/2006/picture">
                        <pic:nvPicPr>
                          <pic:cNvPr id="461" name="图片_4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9136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62" name="图片_46"/>
                  <wp:cNvGraphicFramePr/>
                  <a:graphic xmlns:a="http://schemas.openxmlformats.org/drawingml/2006/main">
                    <a:graphicData uri="http://schemas.openxmlformats.org/drawingml/2006/picture">
                      <pic:pic xmlns:pic="http://schemas.openxmlformats.org/drawingml/2006/picture">
                        <pic:nvPicPr>
                          <pic:cNvPr id="462" name="图片_4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9238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63" name="图片_45"/>
                  <wp:cNvGraphicFramePr/>
                  <a:graphic xmlns:a="http://schemas.openxmlformats.org/drawingml/2006/main">
                    <a:graphicData uri="http://schemas.openxmlformats.org/drawingml/2006/picture">
                      <pic:pic xmlns:pic="http://schemas.openxmlformats.org/drawingml/2006/picture">
                        <pic:nvPicPr>
                          <pic:cNvPr id="463" name="图片_4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93408" behindDoc="0" locked="0" layoutInCell="1" allowOverlap="1">
                  <wp:simplePos x="0" y="0"/>
                  <wp:positionH relativeFrom="column">
                    <wp:posOffset>0</wp:posOffset>
                  </wp:positionH>
                  <wp:positionV relativeFrom="paragraph">
                    <wp:posOffset>0</wp:posOffset>
                  </wp:positionV>
                  <wp:extent cx="7620" cy="7620"/>
                  <wp:effectExtent l="0" t="0" r="0" b="0"/>
                  <wp:wrapNone/>
                  <wp:docPr id="464" name="图片_44"/>
                  <wp:cNvGraphicFramePr/>
                  <a:graphic xmlns:a="http://schemas.openxmlformats.org/drawingml/2006/main">
                    <a:graphicData uri="http://schemas.openxmlformats.org/drawingml/2006/picture">
                      <pic:pic xmlns:pic="http://schemas.openxmlformats.org/drawingml/2006/picture">
                        <pic:nvPicPr>
                          <pic:cNvPr id="464" name="图片_44"/>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94432" behindDoc="0" locked="0" layoutInCell="1" allowOverlap="1">
                  <wp:simplePos x="0" y="0"/>
                  <wp:positionH relativeFrom="column">
                    <wp:posOffset>0</wp:posOffset>
                  </wp:positionH>
                  <wp:positionV relativeFrom="paragraph">
                    <wp:posOffset>0</wp:posOffset>
                  </wp:positionV>
                  <wp:extent cx="7620" cy="7620"/>
                  <wp:effectExtent l="0" t="0" r="0" b="0"/>
                  <wp:wrapNone/>
                  <wp:docPr id="465" name="图片_43"/>
                  <wp:cNvGraphicFramePr/>
                  <a:graphic xmlns:a="http://schemas.openxmlformats.org/drawingml/2006/main">
                    <a:graphicData uri="http://schemas.openxmlformats.org/drawingml/2006/picture">
                      <pic:pic xmlns:pic="http://schemas.openxmlformats.org/drawingml/2006/picture">
                        <pic:nvPicPr>
                          <pic:cNvPr id="465" name="图片_43"/>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95456" behindDoc="0" locked="0" layoutInCell="1" allowOverlap="1">
                  <wp:simplePos x="0" y="0"/>
                  <wp:positionH relativeFrom="column">
                    <wp:posOffset>0</wp:posOffset>
                  </wp:positionH>
                  <wp:positionV relativeFrom="paragraph">
                    <wp:posOffset>0</wp:posOffset>
                  </wp:positionV>
                  <wp:extent cx="7620" cy="7620"/>
                  <wp:effectExtent l="0" t="0" r="0" b="0"/>
                  <wp:wrapNone/>
                  <wp:docPr id="466" name="图片_42"/>
                  <wp:cNvGraphicFramePr/>
                  <a:graphic xmlns:a="http://schemas.openxmlformats.org/drawingml/2006/main">
                    <a:graphicData uri="http://schemas.openxmlformats.org/drawingml/2006/picture">
                      <pic:pic xmlns:pic="http://schemas.openxmlformats.org/drawingml/2006/picture">
                        <pic:nvPicPr>
                          <pic:cNvPr id="466" name="图片_42"/>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96480" behindDoc="0" locked="0" layoutInCell="1" allowOverlap="1">
                  <wp:simplePos x="0" y="0"/>
                  <wp:positionH relativeFrom="column">
                    <wp:posOffset>0</wp:posOffset>
                  </wp:positionH>
                  <wp:positionV relativeFrom="paragraph">
                    <wp:posOffset>0</wp:posOffset>
                  </wp:positionV>
                  <wp:extent cx="7620" cy="7620"/>
                  <wp:effectExtent l="0" t="0" r="0" b="0"/>
                  <wp:wrapNone/>
                  <wp:docPr id="467" name="图片_41"/>
                  <wp:cNvGraphicFramePr/>
                  <a:graphic xmlns:a="http://schemas.openxmlformats.org/drawingml/2006/main">
                    <a:graphicData uri="http://schemas.openxmlformats.org/drawingml/2006/picture">
                      <pic:pic xmlns:pic="http://schemas.openxmlformats.org/drawingml/2006/picture">
                        <pic:nvPicPr>
                          <pic:cNvPr id="467" name="图片_41"/>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9750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68" name="图片_40"/>
                  <wp:cNvGraphicFramePr/>
                  <a:graphic xmlns:a="http://schemas.openxmlformats.org/drawingml/2006/main">
                    <a:graphicData uri="http://schemas.openxmlformats.org/drawingml/2006/picture">
                      <pic:pic xmlns:pic="http://schemas.openxmlformats.org/drawingml/2006/picture">
                        <pic:nvPicPr>
                          <pic:cNvPr id="468" name="图片_4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9852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69" name="图片_39"/>
                  <wp:cNvGraphicFramePr/>
                  <a:graphic xmlns:a="http://schemas.openxmlformats.org/drawingml/2006/main">
                    <a:graphicData uri="http://schemas.openxmlformats.org/drawingml/2006/picture">
                      <pic:pic xmlns:pic="http://schemas.openxmlformats.org/drawingml/2006/picture">
                        <pic:nvPicPr>
                          <pic:cNvPr id="469" name="图片_3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79955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70" name="图片_38"/>
                  <wp:cNvGraphicFramePr/>
                  <a:graphic xmlns:a="http://schemas.openxmlformats.org/drawingml/2006/main">
                    <a:graphicData uri="http://schemas.openxmlformats.org/drawingml/2006/picture">
                      <pic:pic xmlns:pic="http://schemas.openxmlformats.org/drawingml/2006/picture">
                        <pic:nvPicPr>
                          <pic:cNvPr id="470" name="图片_3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0057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71" name="图片_37"/>
                  <wp:cNvGraphicFramePr/>
                  <a:graphic xmlns:a="http://schemas.openxmlformats.org/drawingml/2006/main">
                    <a:graphicData uri="http://schemas.openxmlformats.org/drawingml/2006/picture">
                      <pic:pic xmlns:pic="http://schemas.openxmlformats.org/drawingml/2006/picture">
                        <pic:nvPicPr>
                          <pic:cNvPr id="471" name="图片_3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0160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72" name="图片_36"/>
                  <wp:cNvGraphicFramePr/>
                  <a:graphic xmlns:a="http://schemas.openxmlformats.org/drawingml/2006/main">
                    <a:graphicData uri="http://schemas.openxmlformats.org/drawingml/2006/picture">
                      <pic:pic xmlns:pic="http://schemas.openxmlformats.org/drawingml/2006/picture">
                        <pic:nvPicPr>
                          <pic:cNvPr id="472" name="图片_3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0262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73" name="图片_35"/>
                  <wp:cNvGraphicFramePr/>
                  <a:graphic xmlns:a="http://schemas.openxmlformats.org/drawingml/2006/main">
                    <a:graphicData uri="http://schemas.openxmlformats.org/drawingml/2006/picture">
                      <pic:pic xmlns:pic="http://schemas.openxmlformats.org/drawingml/2006/picture">
                        <pic:nvPicPr>
                          <pic:cNvPr id="473" name="图片_3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0364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74" name="图片_34"/>
                  <wp:cNvGraphicFramePr/>
                  <a:graphic xmlns:a="http://schemas.openxmlformats.org/drawingml/2006/main">
                    <a:graphicData uri="http://schemas.openxmlformats.org/drawingml/2006/picture">
                      <pic:pic xmlns:pic="http://schemas.openxmlformats.org/drawingml/2006/picture">
                        <pic:nvPicPr>
                          <pic:cNvPr id="474" name="图片_3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0467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75" name="图片_33"/>
                  <wp:cNvGraphicFramePr/>
                  <a:graphic xmlns:a="http://schemas.openxmlformats.org/drawingml/2006/main">
                    <a:graphicData uri="http://schemas.openxmlformats.org/drawingml/2006/picture">
                      <pic:pic xmlns:pic="http://schemas.openxmlformats.org/drawingml/2006/picture">
                        <pic:nvPicPr>
                          <pic:cNvPr id="475" name="图片_3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0569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76" name="图片_30"/>
                  <wp:cNvGraphicFramePr/>
                  <a:graphic xmlns:a="http://schemas.openxmlformats.org/drawingml/2006/main">
                    <a:graphicData uri="http://schemas.openxmlformats.org/drawingml/2006/picture">
                      <pic:pic xmlns:pic="http://schemas.openxmlformats.org/drawingml/2006/picture">
                        <pic:nvPicPr>
                          <pic:cNvPr id="476" name="图片_3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0672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77" name="图片_32"/>
                  <wp:cNvGraphicFramePr/>
                  <a:graphic xmlns:a="http://schemas.openxmlformats.org/drawingml/2006/main">
                    <a:graphicData uri="http://schemas.openxmlformats.org/drawingml/2006/picture">
                      <pic:pic xmlns:pic="http://schemas.openxmlformats.org/drawingml/2006/picture">
                        <pic:nvPicPr>
                          <pic:cNvPr id="477" name="图片_3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0774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78" name="图片_29"/>
                  <wp:cNvGraphicFramePr/>
                  <a:graphic xmlns:a="http://schemas.openxmlformats.org/drawingml/2006/main">
                    <a:graphicData uri="http://schemas.openxmlformats.org/drawingml/2006/picture">
                      <pic:pic xmlns:pic="http://schemas.openxmlformats.org/drawingml/2006/picture">
                        <pic:nvPicPr>
                          <pic:cNvPr id="478" name="图片_2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0876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79" name="图片_28"/>
                  <wp:cNvGraphicFramePr/>
                  <a:graphic xmlns:a="http://schemas.openxmlformats.org/drawingml/2006/main">
                    <a:graphicData uri="http://schemas.openxmlformats.org/drawingml/2006/picture">
                      <pic:pic xmlns:pic="http://schemas.openxmlformats.org/drawingml/2006/picture">
                        <pic:nvPicPr>
                          <pic:cNvPr id="479" name="图片_2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0979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80" name="图片_27"/>
                  <wp:cNvGraphicFramePr/>
                  <a:graphic xmlns:a="http://schemas.openxmlformats.org/drawingml/2006/main">
                    <a:graphicData uri="http://schemas.openxmlformats.org/drawingml/2006/picture">
                      <pic:pic xmlns:pic="http://schemas.openxmlformats.org/drawingml/2006/picture">
                        <pic:nvPicPr>
                          <pic:cNvPr id="480" name="图片_2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1081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81" name="图片_26"/>
                  <wp:cNvGraphicFramePr/>
                  <a:graphic xmlns:a="http://schemas.openxmlformats.org/drawingml/2006/main">
                    <a:graphicData uri="http://schemas.openxmlformats.org/drawingml/2006/picture">
                      <pic:pic xmlns:pic="http://schemas.openxmlformats.org/drawingml/2006/picture">
                        <pic:nvPicPr>
                          <pic:cNvPr id="481" name="图片_2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1184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82" name="图片_25"/>
                  <wp:cNvGraphicFramePr/>
                  <a:graphic xmlns:a="http://schemas.openxmlformats.org/drawingml/2006/main">
                    <a:graphicData uri="http://schemas.openxmlformats.org/drawingml/2006/picture">
                      <pic:pic xmlns:pic="http://schemas.openxmlformats.org/drawingml/2006/picture">
                        <pic:nvPicPr>
                          <pic:cNvPr id="482" name="图片_2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1286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83" name="图片_24"/>
                  <wp:cNvGraphicFramePr/>
                  <a:graphic xmlns:a="http://schemas.openxmlformats.org/drawingml/2006/main">
                    <a:graphicData uri="http://schemas.openxmlformats.org/drawingml/2006/picture">
                      <pic:pic xmlns:pic="http://schemas.openxmlformats.org/drawingml/2006/picture">
                        <pic:nvPicPr>
                          <pic:cNvPr id="483" name="图片_2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1388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84" name="图片_23"/>
                  <wp:cNvGraphicFramePr/>
                  <a:graphic xmlns:a="http://schemas.openxmlformats.org/drawingml/2006/main">
                    <a:graphicData uri="http://schemas.openxmlformats.org/drawingml/2006/picture">
                      <pic:pic xmlns:pic="http://schemas.openxmlformats.org/drawingml/2006/picture">
                        <pic:nvPicPr>
                          <pic:cNvPr id="484" name="图片_2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1491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85" name="图片_22"/>
                  <wp:cNvGraphicFramePr/>
                  <a:graphic xmlns:a="http://schemas.openxmlformats.org/drawingml/2006/main">
                    <a:graphicData uri="http://schemas.openxmlformats.org/drawingml/2006/picture">
                      <pic:pic xmlns:pic="http://schemas.openxmlformats.org/drawingml/2006/picture">
                        <pic:nvPicPr>
                          <pic:cNvPr id="485" name="图片_2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1593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86" name="图片_21"/>
                  <wp:cNvGraphicFramePr/>
                  <a:graphic xmlns:a="http://schemas.openxmlformats.org/drawingml/2006/main">
                    <a:graphicData uri="http://schemas.openxmlformats.org/drawingml/2006/picture">
                      <pic:pic xmlns:pic="http://schemas.openxmlformats.org/drawingml/2006/picture">
                        <pic:nvPicPr>
                          <pic:cNvPr id="486" name="图片_2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16960" behindDoc="0" locked="0" layoutInCell="1" allowOverlap="1">
                  <wp:simplePos x="0" y="0"/>
                  <wp:positionH relativeFrom="column">
                    <wp:posOffset>0</wp:posOffset>
                  </wp:positionH>
                  <wp:positionV relativeFrom="paragraph">
                    <wp:posOffset>0</wp:posOffset>
                  </wp:positionV>
                  <wp:extent cx="7620" cy="7620"/>
                  <wp:effectExtent l="0" t="0" r="0" b="0"/>
                  <wp:wrapNone/>
                  <wp:docPr id="487" name="图片_20"/>
                  <wp:cNvGraphicFramePr/>
                  <a:graphic xmlns:a="http://schemas.openxmlformats.org/drawingml/2006/main">
                    <a:graphicData uri="http://schemas.openxmlformats.org/drawingml/2006/picture">
                      <pic:pic xmlns:pic="http://schemas.openxmlformats.org/drawingml/2006/picture">
                        <pic:nvPicPr>
                          <pic:cNvPr id="487" name="图片_20"/>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17984" behindDoc="0" locked="0" layoutInCell="1" allowOverlap="1">
                  <wp:simplePos x="0" y="0"/>
                  <wp:positionH relativeFrom="column">
                    <wp:posOffset>0</wp:posOffset>
                  </wp:positionH>
                  <wp:positionV relativeFrom="paragraph">
                    <wp:posOffset>0</wp:posOffset>
                  </wp:positionV>
                  <wp:extent cx="7620" cy="7620"/>
                  <wp:effectExtent l="0" t="0" r="0" b="0"/>
                  <wp:wrapNone/>
                  <wp:docPr id="488" name="图片_19"/>
                  <wp:cNvGraphicFramePr/>
                  <a:graphic xmlns:a="http://schemas.openxmlformats.org/drawingml/2006/main">
                    <a:graphicData uri="http://schemas.openxmlformats.org/drawingml/2006/picture">
                      <pic:pic xmlns:pic="http://schemas.openxmlformats.org/drawingml/2006/picture">
                        <pic:nvPicPr>
                          <pic:cNvPr id="488" name="图片_19"/>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19008" behindDoc="0" locked="0" layoutInCell="1" allowOverlap="1">
                  <wp:simplePos x="0" y="0"/>
                  <wp:positionH relativeFrom="column">
                    <wp:posOffset>0</wp:posOffset>
                  </wp:positionH>
                  <wp:positionV relativeFrom="paragraph">
                    <wp:posOffset>0</wp:posOffset>
                  </wp:positionV>
                  <wp:extent cx="7620" cy="7620"/>
                  <wp:effectExtent l="0" t="0" r="0" b="0"/>
                  <wp:wrapNone/>
                  <wp:docPr id="489" name="图片_18"/>
                  <wp:cNvGraphicFramePr/>
                  <a:graphic xmlns:a="http://schemas.openxmlformats.org/drawingml/2006/main">
                    <a:graphicData uri="http://schemas.openxmlformats.org/drawingml/2006/picture">
                      <pic:pic xmlns:pic="http://schemas.openxmlformats.org/drawingml/2006/picture">
                        <pic:nvPicPr>
                          <pic:cNvPr id="489" name="图片_18"/>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20032" behindDoc="0" locked="0" layoutInCell="1" allowOverlap="1">
                  <wp:simplePos x="0" y="0"/>
                  <wp:positionH relativeFrom="column">
                    <wp:posOffset>0</wp:posOffset>
                  </wp:positionH>
                  <wp:positionV relativeFrom="paragraph">
                    <wp:posOffset>0</wp:posOffset>
                  </wp:positionV>
                  <wp:extent cx="7620" cy="7620"/>
                  <wp:effectExtent l="0" t="0" r="0" b="0"/>
                  <wp:wrapNone/>
                  <wp:docPr id="490" name="图片_17"/>
                  <wp:cNvGraphicFramePr/>
                  <a:graphic xmlns:a="http://schemas.openxmlformats.org/drawingml/2006/main">
                    <a:graphicData uri="http://schemas.openxmlformats.org/drawingml/2006/picture">
                      <pic:pic xmlns:pic="http://schemas.openxmlformats.org/drawingml/2006/picture">
                        <pic:nvPicPr>
                          <pic:cNvPr id="490" name="图片_17"/>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2105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91" name="图片_14"/>
                  <wp:cNvGraphicFramePr/>
                  <a:graphic xmlns:a="http://schemas.openxmlformats.org/drawingml/2006/main">
                    <a:graphicData uri="http://schemas.openxmlformats.org/drawingml/2006/picture">
                      <pic:pic xmlns:pic="http://schemas.openxmlformats.org/drawingml/2006/picture">
                        <pic:nvPicPr>
                          <pic:cNvPr id="491" name="图片_1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22080" behindDoc="0" locked="0" layoutInCell="1" allowOverlap="1">
                  <wp:simplePos x="0" y="0"/>
                  <wp:positionH relativeFrom="column">
                    <wp:posOffset>0</wp:posOffset>
                  </wp:positionH>
                  <wp:positionV relativeFrom="paragraph">
                    <wp:posOffset>0</wp:posOffset>
                  </wp:positionV>
                  <wp:extent cx="7620" cy="7620"/>
                  <wp:effectExtent l="0" t="0" r="0" b="0"/>
                  <wp:wrapNone/>
                  <wp:docPr id="492" name="图片_16"/>
                  <wp:cNvGraphicFramePr/>
                  <a:graphic xmlns:a="http://schemas.openxmlformats.org/drawingml/2006/main">
                    <a:graphicData uri="http://schemas.openxmlformats.org/drawingml/2006/picture">
                      <pic:pic xmlns:pic="http://schemas.openxmlformats.org/drawingml/2006/picture">
                        <pic:nvPicPr>
                          <pic:cNvPr id="492" name="图片_16"/>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2310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93" name="图片_13"/>
                  <wp:cNvGraphicFramePr/>
                  <a:graphic xmlns:a="http://schemas.openxmlformats.org/drawingml/2006/main">
                    <a:graphicData uri="http://schemas.openxmlformats.org/drawingml/2006/picture">
                      <pic:pic xmlns:pic="http://schemas.openxmlformats.org/drawingml/2006/picture">
                        <pic:nvPicPr>
                          <pic:cNvPr id="493" name="图片_1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2412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94" name="图片_12"/>
                  <wp:cNvGraphicFramePr/>
                  <a:graphic xmlns:a="http://schemas.openxmlformats.org/drawingml/2006/main">
                    <a:graphicData uri="http://schemas.openxmlformats.org/drawingml/2006/picture">
                      <pic:pic xmlns:pic="http://schemas.openxmlformats.org/drawingml/2006/picture">
                        <pic:nvPicPr>
                          <pic:cNvPr id="494" name="图片_1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25152" behindDoc="0" locked="0" layoutInCell="1" allowOverlap="1">
                  <wp:simplePos x="0" y="0"/>
                  <wp:positionH relativeFrom="column">
                    <wp:posOffset>0</wp:posOffset>
                  </wp:positionH>
                  <wp:positionV relativeFrom="paragraph">
                    <wp:posOffset>0</wp:posOffset>
                  </wp:positionV>
                  <wp:extent cx="7620" cy="15240"/>
                  <wp:effectExtent l="0" t="0" r="7620" b="0"/>
                  <wp:wrapNone/>
                  <wp:docPr id="495" name="图片_11"/>
                  <wp:cNvGraphicFramePr/>
                  <a:graphic xmlns:a="http://schemas.openxmlformats.org/drawingml/2006/main">
                    <a:graphicData uri="http://schemas.openxmlformats.org/drawingml/2006/picture">
                      <pic:pic xmlns:pic="http://schemas.openxmlformats.org/drawingml/2006/picture">
                        <pic:nvPicPr>
                          <pic:cNvPr id="495" name="图片_1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26176" behindDoc="0" locked="0" layoutInCell="1" allowOverlap="1">
                  <wp:simplePos x="0" y="0"/>
                  <wp:positionH relativeFrom="column">
                    <wp:posOffset>0</wp:posOffset>
                  </wp:positionH>
                  <wp:positionV relativeFrom="paragraph">
                    <wp:posOffset>0</wp:posOffset>
                  </wp:positionV>
                  <wp:extent cx="7620" cy="15240"/>
                  <wp:effectExtent l="0" t="0" r="7620" b="0"/>
                  <wp:wrapNone/>
                  <wp:docPr id="496" name="图片_10"/>
                  <wp:cNvGraphicFramePr/>
                  <a:graphic xmlns:a="http://schemas.openxmlformats.org/drawingml/2006/main">
                    <a:graphicData uri="http://schemas.openxmlformats.org/drawingml/2006/picture">
                      <pic:pic xmlns:pic="http://schemas.openxmlformats.org/drawingml/2006/picture">
                        <pic:nvPicPr>
                          <pic:cNvPr id="496" name="图片_1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27200" behindDoc="0" locked="0" layoutInCell="1" allowOverlap="1">
                  <wp:simplePos x="0" y="0"/>
                  <wp:positionH relativeFrom="column">
                    <wp:posOffset>0</wp:posOffset>
                  </wp:positionH>
                  <wp:positionV relativeFrom="paragraph">
                    <wp:posOffset>0</wp:posOffset>
                  </wp:positionV>
                  <wp:extent cx="7620" cy="15240"/>
                  <wp:effectExtent l="0" t="0" r="7620" b="0"/>
                  <wp:wrapNone/>
                  <wp:docPr id="497" name="图片_9"/>
                  <wp:cNvGraphicFramePr/>
                  <a:graphic xmlns:a="http://schemas.openxmlformats.org/drawingml/2006/main">
                    <a:graphicData uri="http://schemas.openxmlformats.org/drawingml/2006/picture">
                      <pic:pic xmlns:pic="http://schemas.openxmlformats.org/drawingml/2006/picture">
                        <pic:nvPicPr>
                          <pic:cNvPr id="497" name="图片_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28224" behindDoc="0" locked="0" layoutInCell="1" allowOverlap="1">
                  <wp:simplePos x="0" y="0"/>
                  <wp:positionH relativeFrom="column">
                    <wp:posOffset>0</wp:posOffset>
                  </wp:positionH>
                  <wp:positionV relativeFrom="paragraph">
                    <wp:posOffset>0</wp:posOffset>
                  </wp:positionV>
                  <wp:extent cx="7620" cy="15240"/>
                  <wp:effectExtent l="0" t="0" r="7620" b="0"/>
                  <wp:wrapNone/>
                  <wp:docPr id="498" name="图片_6"/>
                  <wp:cNvGraphicFramePr/>
                  <a:graphic xmlns:a="http://schemas.openxmlformats.org/drawingml/2006/main">
                    <a:graphicData uri="http://schemas.openxmlformats.org/drawingml/2006/picture">
                      <pic:pic xmlns:pic="http://schemas.openxmlformats.org/drawingml/2006/picture">
                        <pic:nvPicPr>
                          <pic:cNvPr id="498" name="图片_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29248" behindDoc="0" locked="0" layoutInCell="1" allowOverlap="1">
                  <wp:simplePos x="0" y="0"/>
                  <wp:positionH relativeFrom="column">
                    <wp:posOffset>0</wp:posOffset>
                  </wp:positionH>
                  <wp:positionV relativeFrom="paragraph">
                    <wp:posOffset>0</wp:posOffset>
                  </wp:positionV>
                  <wp:extent cx="7620" cy="15240"/>
                  <wp:effectExtent l="0" t="0" r="7620" b="0"/>
                  <wp:wrapNone/>
                  <wp:docPr id="499" name="图片_8"/>
                  <wp:cNvGraphicFramePr/>
                  <a:graphic xmlns:a="http://schemas.openxmlformats.org/drawingml/2006/main">
                    <a:graphicData uri="http://schemas.openxmlformats.org/drawingml/2006/picture">
                      <pic:pic xmlns:pic="http://schemas.openxmlformats.org/drawingml/2006/picture">
                        <pic:nvPicPr>
                          <pic:cNvPr id="499" name="图片_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30272" behindDoc="0" locked="0" layoutInCell="1" allowOverlap="1">
                  <wp:simplePos x="0" y="0"/>
                  <wp:positionH relativeFrom="column">
                    <wp:posOffset>0</wp:posOffset>
                  </wp:positionH>
                  <wp:positionV relativeFrom="paragraph">
                    <wp:posOffset>0</wp:posOffset>
                  </wp:positionV>
                  <wp:extent cx="7620" cy="15240"/>
                  <wp:effectExtent l="0" t="0" r="7620" b="0"/>
                  <wp:wrapNone/>
                  <wp:docPr id="500" name="图片_5"/>
                  <wp:cNvGraphicFramePr/>
                  <a:graphic xmlns:a="http://schemas.openxmlformats.org/drawingml/2006/main">
                    <a:graphicData uri="http://schemas.openxmlformats.org/drawingml/2006/picture">
                      <pic:pic xmlns:pic="http://schemas.openxmlformats.org/drawingml/2006/picture">
                        <pic:nvPicPr>
                          <pic:cNvPr id="500" name="图片_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31296" behindDoc="0" locked="0" layoutInCell="1" allowOverlap="1">
                  <wp:simplePos x="0" y="0"/>
                  <wp:positionH relativeFrom="column">
                    <wp:posOffset>0</wp:posOffset>
                  </wp:positionH>
                  <wp:positionV relativeFrom="paragraph">
                    <wp:posOffset>0</wp:posOffset>
                  </wp:positionV>
                  <wp:extent cx="7620" cy="15240"/>
                  <wp:effectExtent l="0" t="0" r="7620" b="0"/>
                  <wp:wrapNone/>
                  <wp:docPr id="501" name="图片_2"/>
                  <wp:cNvGraphicFramePr/>
                  <a:graphic xmlns:a="http://schemas.openxmlformats.org/drawingml/2006/main">
                    <a:graphicData uri="http://schemas.openxmlformats.org/drawingml/2006/picture">
                      <pic:pic xmlns:pic="http://schemas.openxmlformats.org/drawingml/2006/picture">
                        <pic:nvPicPr>
                          <pic:cNvPr id="501" name="图片_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32320" behindDoc="0" locked="0" layoutInCell="1" allowOverlap="1">
                  <wp:simplePos x="0" y="0"/>
                  <wp:positionH relativeFrom="column">
                    <wp:posOffset>0</wp:posOffset>
                  </wp:positionH>
                  <wp:positionV relativeFrom="paragraph">
                    <wp:posOffset>0</wp:posOffset>
                  </wp:positionV>
                  <wp:extent cx="7620" cy="15240"/>
                  <wp:effectExtent l="0" t="0" r="7620" b="0"/>
                  <wp:wrapNone/>
                  <wp:docPr id="502" name="图片_4"/>
                  <wp:cNvGraphicFramePr/>
                  <a:graphic xmlns:a="http://schemas.openxmlformats.org/drawingml/2006/main">
                    <a:graphicData uri="http://schemas.openxmlformats.org/drawingml/2006/picture">
                      <pic:pic xmlns:pic="http://schemas.openxmlformats.org/drawingml/2006/picture">
                        <pic:nvPicPr>
                          <pic:cNvPr id="502" name="图片_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t>序号</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22A425C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名称</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38F0A8F3">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是否进口</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037B2E83">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06E62B37">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554A492">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eastAsia="zh-CN"/>
              </w:rPr>
            </w:pPr>
            <w:r>
              <w:rPr>
                <w:rFonts w:hint="eastAsia" w:ascii="宋体" w:hAnsi="宋体" w:cs="宋体"/>
                <w:b w:val="0"/>
                <w:bCs w:val="0"/>
                <w:color w:val="auto"/>
                <w:sz w:val="24"/>
                <w:highlight w:val="none"/>
                <w:lang w:val="en-US" w:eastAsia="zh-CN"/>
              </w:rPr>
              <w:t>备注</w:t>
            </w:r>
          </w:p>
        </w:tc>
      </w:tr>
      <w:tr w14:paraId="24DA99E7">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1D12E1AE">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4E605F14">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中型四旋翼行业无人机</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1541EAB7">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7D2C580C">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套</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60F44F19">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71CBB81B">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4E8A30D8">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2AF45E8A">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0C98E3AB">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中型四旋翼无人机三合一镜头</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7453525F">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54798CD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17493246">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9DE5781">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2EFCF7E3">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46233AF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05F2118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智能飞行电池</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76AFA8BD">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4D007FF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组</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5EF39562">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132D7071">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7D73250F">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783906C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0AFC55DD">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无人机喊话照明一体设备</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579027F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6F236D0E">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套</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7A9961DF">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39792C33">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35D6010C">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21ACE5C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4A9CCA19">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中型四旋翼行业无人机下置双云台挂架</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370534E3">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5BE72E97">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个</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5B9F719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97A1732">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1AF043D7">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77332E13">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3B7929EA">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图传增强模块</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155833CC">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38FCC86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个</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5356DE09">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5C4EE5EC">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758471CB">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4340EB3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082D435C">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道路交通事故勘察软件</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29AD1B4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73887437">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3485A9E8">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6FAE5ECC">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2DB32A56">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3411AE2C">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8</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0B41D02B">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手持图形工作站</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55496387">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4D94EC9E">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台</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2B8977DA">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1CEC4466">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5D71765C">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00ACF073">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9</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70133CCA">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便携式打印机</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24F878E3">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06BC118C">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台</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0CA997F2">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15C83F34">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2088BB3F">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4BBC5F22">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732189AE">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5G编码器</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2D05C7B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498F31C9">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台</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757BBFE2">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0D67CD39">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bl>
    <w:p w14:paraId="22987CFC">
      <w:pPr>
        <w:spacing w:line="384" w:lineRule="auto"/>
        <w:ind w:firstLine="482" w:firstLineChars="200"/>
        <w:rPr>
          <w:rFonts w:hint="eastAsia" w:ascii="宋体" w:hAnsi="宋体"/>
          <w:b/>
          <w:bCs/>
          <w:sz w:val="24"/>
        </w:rPr>
      </w:pPr>
      <w:r>
        <w:rPr>
          <w:rFonts w:hint="eastAsia" w:ascii="宋体" w:hAnsi="宋体"/>
          <w:b/>
          <w:bCs/>
          <w:sz w:val="24"/>
        </w:rPr>
        <w:t>注：本项目采购不接受进口产品，进口产品是指通过中国海关报关验放进入中国境内且产自关境外的产品。</w:t>
      </w:r>
    </w:p>
    <w:p w14:paraId="49378455">
      <w:pPr>
        <w:spacing w:line="384" w:lineRule="auto"/>
        <w:ind w:firstLine="480" w:firstLineChars="200"/>
        <w:rPr>
          <w:rFonts w:hint="default" w:ascii="宋体" w:hAnsi="宋体" w:eastAsia="宋体"/>
          <w:b w:val="0"/>
          <w:bCs w:val="0"/>
          <w:sz w:val="24"/>
          <w:lang w:val="en-US" w:eastAsia="zh-CN"/>
        </w:rPr>
      </w:pPr>
      <w:r>
        <w:rPr>
          <w:rFonts w:hint="eastAsia" w:ascii="宋体" w:hAnsi="宋体"/>
          <w:b w:val="0"/>
          <w:bCs w:val="0"/>
          <w:sz w:val="24"/>
          <w:lang w:val="en-US" w:eastAsia="zh-CN"/>
        </w:rPr>
        <w:t>交货地点：昭通市公安局交通管理支队。</w:t>
      </w:r>
    </w:p>
    <w:p w14:paraId="7265FF00">
      <w:pPr>
        <w:spacing w:line="384" w:lineRule="auto"/>
        <w:ind w:firstLine="482" w:firstLineChars="200"/>
        <w:rPr>
          <w:rFonts w:ascii="宋体" w:hAnsi="宋体"/>
          <w:sz w:val="24"/>
        </w:rPr>
      </w:pPr>
      <w:r>
        <w:rPr>
          <w:rFonts w:hint="eastAsia" w:ascii="宋体" w:hAnsi="宋体"/>
          <w:b/>
          <w:bCs/>
          <w:sz w:val="24"/>
        </w:rPr>
        <w:t>合同履行期限：</w:t>
      </w:r>
      <w:r>
        <w:rPr>
          <w:rFonts w:hint="eastAsia" w:ascii="宋体" w:hAnsi="宋体"/>
          <w:sz w:val="24"/>
          <w:lang w:eastAsia="zh-CN"/>
        </w:rPr>
        <w:t>合同签订后10个日历天内完成交货、安装、调试</w:t>
      </w:r>
      <w:r>
        <w:rPr>
          <w:rFonts w:hint="eastAsia" w:ascii="宋体" w:hAnsi="宋体"/>
          <w:sz w:val="24"/>
        </w:rPr>
        <w:t>。</w:t>
      </w:r>
      <w:r>
        <w:rPr>
          <w:rFonts w:ascii="宋体" w:hAnsi="宋体"/>
          <w:sz w:val="24"/>
        </w:rPr>
        <w:t xml:space="preserve"> </w:t>
      </w:r>
    </w:p>
    <w:p w14:paraId="14A2D0F0">
      <w:pPr>
        <w:spacing w:line="384" w:lineRule="auto"/>
        <w:ind w:firstLine="480" w:firstLineChars="200"/>
        <w:rPr>
          <w:rFonts w:ascii="宋体" w:hAnsi="宋体"/>
          <w:sz w:val="24"/>
        </w:rPr>
      </w:pPr>
      <w:r>
        <w:rPr>
          <w:rFonts w:hint="eastAsia" w:ascii="宋体" w:hAnsi="宋体"/>
          <w:sz w:val="24"/>
        </w:rPr>
        <w:t>本项目(</w:t>
      </w:r>
      <w:r>
        <w:rPr>
          <w:rFonts w:ascii="宋体" w:hAnsi="宋体"/>
          <w:sz w:val="24"/>
        </w:rPr>
        <w:t>否</w:t>
      </w:r>
      <w:r>
        <w:rPr>
          <w:rFonts w:hint="eastAsia" w:ascii="宋体" w:hAnsi="宋体"/>
          <w:sz w:val="24"/>
        </w:rPr>
        <w:t>)接受联合体。</w:t>
      </w:r>
    </w:p>
    <w:p w14:paraId="07684769">
      <w:pPr>
        <w:pStyle w:val="4"/>
        <w:spacing w:before="0" w:after="0" w:line="480" w:lineRule="exact"/>
        <w:jc w:val="left"/>
        <w:rPr>
          <w:rFonts w:ascii="黑体" w:hAnsi="黑体" w:cs="宋体"/>
          <w:sz w:val="28"/>
          <w:szCs w:val="28"/>
        </w:rPr>
      </w:pPr>
      <w:bookmarkStart w:id="7" w:name="_Toc35393799"/>
      <w:bookmarkStart w:id="8" w:name="_Toc28359090"/>
      <w:bookmarkStart w:id="9" w:name="_Toc28359013"/>
      <w:bookmarkStart w:id="10" w:name="_Toc35393630"/>
      <w:r>
        <w:rPr>
          <w:rFonts w:hint="eastAsia" w:ascii="黑体" w:hAnsi="黑体" w:cs="宋体"/>
          <w:sz w:val="24"/>
          <w:szCs w:val="24"/>
        </w:rPr>
        <w:t>二、申请人资格要求</w:t>
      </w:r>
      <w:bookmarkEnd w:id="7"/>
      <w:bookmarkEnd w:id="8"/>
      <w:bookmarkEnd w:id="9"/>
      <w:bookmarkEnd w:id="10"/>
    </w:p>
    <w:p w14:paraId="690395EF">
      <w:pPr>
        <w:tabs>
          <w:tab w:val="left" w:pos="7020"/>
        </w:tabs>
        <w:spacing w:line="480" w:lineRule="exact"/>
        <w:ind w:firstLine="482" w:firstLineChars="200"/>
        <w:rPr>
          <w:rFonts w:ascii="宋体" w:hAnsi="宋体"/>
          <w:bCs/>
          <w:sz w:val="24"/>
        </w:rPr>
      </w:pPr>
      <w:bookmarkStart w:id="11" w:name="_Toc28359014"/>
      <w:bookmarkStart w:id="12" w:name="_Toc35393631"/>
      <w:bookmarkStart w:id="13" w:name="_Toc35393800"/>
      <w:bookmarkStart w:id="14" w:name="_Toc28359091"/>
      <w:r>
        <w:rPr>
          <w:rFonts w:hint="eastAsia" w:ascii="宋体" w:hAnsi="宋体"/>
          <w:b/>
          <w:sz w:val="24"/>
        </w:rPr>
        <w:t>1.满足《中华人民共和国政府采购法》第二十二条规定；</w:t>
      </w:r>
      <w:r>
        <w:rPr>
          <w:rFonts w:ascii="宋体" w:hAnsi="宋体"/>
          <w:b/>
          <w:sz w:val="24"/>
        </w:rPr>
        <w:tab/>
      </w:r>
    </w:p>
    <w:p w14:paraId="47820FC1">
      <w:pPr>
        <w:spacing w:line="480" w:lineRule="exact"/>
        <w:ind w:firstLine="482" w:firstLineChars="200"/>
        <w:rPr>
          <w:rFonts w:ascii="宋体" w:hAnsi="宋体"/>
          <w:bCs/>
          <w:sz w:val="24"/>
        </w:rPr>
      </w:pPr>
      <w:r>
        <w:rPr>
          <w:rFonts w:hint="eastAsia" w:ascii="宋体" w:hAnsi="宋体"/>
          <w:b/>
          <w:sz w:val="24"/>
        </w:rPr>
        <w:t>2.落实政府采购政策需满足的资格要求：</w:t>
      </w:r>
      <w:r>
        <w:rPr>
          <w:rFonts w:hint="eastAsia" w:ascii="宋体" w:hAnsi="宋体"/>
          <w:b/>
          <w:sz w:val="24"/>
          <w:lang w:val="en-US" w:eastAsia="zh-CN"/>
        </w:rPr>
        <w:t>本项目非专门面向中小企业采购的项目</w:t>
      </w:r>
      <w:r>
        <w:rPr>
          <w:rFonts w:hint="eastAsia" w:ascii="宋体" w:hAnsi="宋体"/>
          <w:b/>
          <w:sz w:val="24"/>
          <w:shd w:val="clear" w:color="auto" w:fill="FFFFFF"/>
        </w:rPr>
        <w:t>。</w:t>
      </w:r>
    </w:p>
    <w:p w14:paraId="48F64C72">
      <w:pPr>
        <w:spacing w:line="480" w:lineRule="exact"/>
        <w:ind w:firstLine="482" w:firstLineChars="200"/>
        <w:rPr>
          <w:rFonts w:ascii="宋体" w:hAnsi="宋体"/>
          <w:bCs/>
          <w:sz w:val="24"/>
        </w:rPr>
      </w:pPr>
      <w:r>
        <w:rPr>
          <w:rFonts w:hint="eastAsia" w:ascii="宋体" w:hAnsi="宋体"/>
          <w:b/>
          <w:sz w:val="24"/>
        </w:rPr>
        <w:t>3.本项目的资格要求：</w:t>
      </w:r>
    </w:p>
    <w:p w14:paraId="604A8633">
      <w:pPr>
        <w:spacing w:line="480" w:lineRule="exact"/>
        <w:ind w:firstLine="480" w:firstLineChars="200"/>
        <w:rPr>
          <w:rFonts w:hint="eastAsia" w:ascii="宋体" w:hAnsi="宋体" w:eastAsia="宋体"/>
          <w:bCs/>
          <w:sz w:val="24"/>
          <w:lang w:eastAsia="zh-CN"/>
        </w:rPr>
      </w:pPr>
      <w:r>
        <w:rPr>
          <w:rFonts w:hint="eastAsia" w:ascii="宋体" w:hAnsi="宋体"/>
          <w:bCs/>
          <w:sz w:val="24"/>
        </w:rPr>
        <w:t>3.1</w:t>
      </w:r>
      <w:r>
        <w:rPr>
          <w:rFonts w:hint="eastAsia" w:ascii="宋体" w:hAnsi="宋体" w:eastAsia="宋体" w:cs="宋体"/>
          <w:color w:val="auto"/>
          <w:sz w:val="24"/>
          <w:highlight w:val="none"/>
        </w:rPr>
        <w:t>供应商应在“信用中国”网站(www.creditchina. gov.cn)未被列入失信被执行人记录、重大税收违法失信主体，且在中国政府采购网(www.ccgp.gov.cn)没有政府采购严重违法失信行为记录(被禁止在一定期限内参加政府采购活动但期限届满的除外)；参与本项目的供应商信用查询截止时点：响应文件递交截止当天查询，并提交谈判小组(查询结果以采购人、采购代理机构查询结果为准，并将查询记录留存，供应商无需再提供)</w:t>
      </w:r>
      <w:r>
        <w:rPr>
          <w:rFonts w:hint="eastAsia" w:ascii="宋体" w:hAnsi="宋体"/>
          <w:bCs/>
          <w:sz w:val="24"/>
          <w:lang w:eastAsia="zh-CN"/>
        </w:rPr>
        <w:t>；</w:t>
      </w:r>
    </w:p>
    <w:p w14:paraId="2F2E7DBE">
      <w:pPr>
        <w:spacing w:line="480" w:lineRule="exact"/>
        <w:ind w:firstLine="480" w:firstLineChars="200"/>
        <w:rPr>
          <w:rFonts w:ascii="宋体" w:hAnsi="宋体"/>
          <w:bCs/>
          <w:sz w:val="24"/>
        </w:rPr>
      </w:pPr>
      <w:r>
        <w:rPr>
          <w:rFonts w:hint="eastAsia" w:ascii="宋体" w:hAnsi="宋体"/>
          <w:bCs/>
          <w:sz w:val="24"/>
        </w:rPr>
        <w:t xml:space="preserve">3.2供应商需承诺供应商及法定代表人近三年内无行贿犯罪记录（提供承诺函）； </w:t>
      </w:r>
    </w:p>
    <w:p w14:paraId="44529179">
      <w:pPr>
        <w:spacing w:line="480" w:lineRule="exact"/>
        <w:ind w:firstLine="480" w:firstLineChars="200"/>
        <w:rPr>
          <w:rFonts w:hint="eastAsia" w:ascii="宋体" w:hAnsi="宋体" w:eastAsia="宋体"/>
          <w:bCs/>
          <w:sz w:val="24"/>
          <w:lang w:eastAsia="zh-CN"/>
        </w:rPr>
      </w:pPr>
      <w:r>
        <w:rPr>
          <w:rFonts w:hint="eastAsia" w:ascii="宋体" w:hAnsi="宋体"/>
          <w:bCs/>
          <w:sz w:val="24"/>
        </w:rPr>
        <w:t>3.3单位负责人为同一人或者存在直接控股、管理关系的不同供应商，不得同时参与本项目的采购活动。为本项目提供过整体设计、规范编制或者项目管理、监理、检测等服务的供应商，不得再参加本次采购活动（提供承诺函）</w:t>
      </w:r>
      <w:r>
        <w:rPr>
          <w:rFonts w:hint="eastAsia" w:ascii="宋体" w:hAnsi="宋体"/>
          <w:bCs/>
          <w:sz w:val="24"/>
          <w:lang w:eastAsia="zh-CN"/>
        </w:rPr>
        <w:t>；</w:t>
      </w:r>
    </w:p>
    <w:p w14:paraId="08570425">
      <w:pPr>
        <w:spacing w:line="480" w:lineRule="exact"/>
        <w:ind w:firstLine="480" w:firstLineChars="200"/>
        <w:rPr>
          <w:rFonts w:ascii="宋体" w:hAnsi="宋体"/>
          <w:bCs/>
          <w:sz w:val="24"/>
        </w:rPr>
      </w:pPr>
      <w:r>
        <w:rPr>
          <w:rFonts w:hint="eastAsia" w:ascii="宋体" w:hAnsi="宋体"/>
          <w:bCs/>
          <w:sz w:val="24"/>
        </w:rPr>
        <w:t>3.4本项目不接受联合体投标。</w:t>
      </w:r>
    </w:p>
    <w:p w14:paraId="6E345FC5">
      <w:pPr>
        <w:pStyle w:val="4"/>
        <w:spacing w:before="0" w:after="0" w:line="480" w:lineRule="exact"/>
        <w:jc w:val="left"/>
        <w:rPr>
          <w:rFonts w:ascii="黑体" w:hAnsi="黑体" w:cs="宋体"/>
          <w:sz w:val="28"/>
          <w:szCs w:val="28"/>
        </w:rPr>
      </w:pPr>
      <w:r>
        <w:rPr>
          <w:rFonts w:hint="eastAsia" w:ascii="黑体" w:hAnsi="黑体" w:cs="宋体"/>
          <w:sz w:val="24"/>
          <w:szCs w:val="24"/>
        </w:rPr>
        <w:t>三、获取采购文件</w:t>
      </w:r>
      <w:bookmarkEnd w:id="11"/>
      <w:bookmarkEnd w:id="12"/>
      <w:bookmarkEnd w:id="13"/>
      <w:bookmarkEnd w:id="14"/>
    </w:p>
    <w:p w14:paraId="6BE4D5EB">
      <w:pPr>
        <w:spacing w:line="480" w:lineRule="exact"/>
        <w:ind w:firstLine="480" w:firstLineChars="200"/>
        <w:rPr>
          <w:rFonts w:ascii="宋体" w:hAnsi="宋体" w:cs="宋体"/>
          <w:bCs/>
          <w:sz w:val="24"/>
        </w:rPr>
      </w:pPr>
      <w:r>
        <w:rPr>
          <w:rFonts w:hint="eastAsia" w:ascii="宋体" w:hAnsi="宋体" w:cs="宋体"/>
          <w:bCs/>
          <w:sz w:val="24"/>
        </w:rPr>
        <w:t>1.时间：202</w:t>
      </w:r>
      <w:r>
        <w:rPr>
          <w:rFonts w:hint="eastAsia" w:ascii="宋体" w:hAnsi="宋体" w:cs="宋体"/>
          <w:bCs/>
          <w:sz w:val="24"/>
          <w:lang w:val="en-US" w:eastAsia="zh-CN"/>
        </w:rPr>
        <w:t>5</w:t>
      </w:r>
      <w:r>
        <w:rPr>
          <w:rFonts w:hint="eastAsia" w:ascii="宋体" w:hAnsi="宋体" w:cs="宋体"/>
          <w:bCs/>
          <w:sz w:val="24"/>
        </w:rPr>
        <w:t>年3月</w:t>
      </w:r>
      <w:r>
        <w:rPr>
          <w:rFonts w:hint="eastAsia" w:ascii="宋体" w:hAnsi="宋体" w:cs="宋体"/>
          <w:bCs/>
          <w:sz w:val="24"/>
          <w:lang w:val="en-US" w:eastAsia="zh-CN"/>
        </w:rPr>
        <w:t>26</w:t>
      </w:r>
      <w:r>
        <w:rPr>
          <w:rFonts w:hint="eastAsia" w:ascii="宋体" w:hAnsi="宋体" w:cs="宋体"/>
          <w:bCs/>
          <w:sz w:val="24"/>
        </w:rPr>
        <w:t>日至202</w:t>
      </w:r>
      <w:r>
        <w:rPr>
          <w:rFonts w:hint="eastAsia" w:ascii="宋体" w:hAnsi="宋体" w:cs="宋体"/>
          <w:bCs/>
          <w:sz w:val="24"/>
          <w:lang w:val="en-US" w:eastAsia="zh-CN"/>
        </w:rPr>
        <w:t>5</w:t>
      </w:r>
      <w:r>
        <w:rPr>
          <w:rFonts w:hint="eastAsia" w:ascii="宋体" w:hAnsi="宋体" w:cs="宋体"/>
          <w:bCs/>
          <w:sz w:val="24"/>
        </w:rPr>
        <w:t>年3月</w:t>
      </w:r>
      <w:r>
        <w:rPr>
          <w:rFonts w:hint="eastAsia" w:ascii="宋体" w:hAnsi="宋体" w:cs="宋体"/>
          <w:bCs/>
          <w:sz w:val="24"/>
          <w:lang w:val="en-US" w:eastAsia="zh-CN"/>
        </w:rPr>
        <w:t>28</w:t>
      </w:r>
      <w:r>
        <w:rPr>
          <w:rFonts w:hint="eastAsia" w:ascii="宋体" w:hAnsi="宋体" w:cs="宋体"/>
          <w:bCs/>
          <w:sz w:val="24"/>
        </w:rPr>
        <w:t>日，每天上午0</w:t>
      </w:r>
      <w:r>
        <w:rPr>
          <w:rFonts w:hint="eastAsia" w:ascii="宋体" w:hAnsi="宋体" w:cs="宋体"/>
          <w:bCs/>
          <w:sz w:val="24"/>
          <w:lang w:val="en-US" w:eastAsia="zh-CN"/>
        </w:rPr>
        <w:t>0</w:t>
      </w:r>
      <w:r>
        <w:rPr>
          <w:rFonts w:hint="eastAsia" w:ascii="宋体" w:hAnsi="宋体" w:cs="宋体"/>
          <w:bCs/>
          <w:sz w:val="24"/>
        </w:rPr>
        <w:t>:</w:t>
      </w:r>
      <w:r>
        <w:rPr>
          <w:rFonts w:hint="eastAsia" w:ascii="宋体" w:hAnsi="宋体" w:cs="宋体"/>
          <w:bCs/>
          <w:sz w:val="24"/>
          <w:lang w:val="en-US" w:eastAsia="zh-CN"/>
        </w:rPr>
        <w:t>0</w:t>
      </w:r>
      <w:r>
        <w:rPr>
          <w:rFonts w:hint="eastAsia" w:ascii="宋体" w:hAnsi="宋体" w:cs="宋体"/>
          <w:bCs/>
          <w:sz w:val="24"/>
        </w:rPr>
        <w:t>0至12:00，下午12:00至</w:t>
      </w:r>
      <w:r>
        <w:rPr>
          <w:rFonts w:hint="eastAsia" w:ascii="宋体" w:hAnsi="宋体" w:cs="宋体"/>
          <w:bCs/>
          <w:sz w:val="24"/>
          <w:lang w:val="en-US" w:eastAsia="zh-CN"/>
        </w:rPr>
        <w:t>23</w:t>
      </w:r>
      <w:r>
        <w:rPr>
          <w:rFonts w:hint="eastAsia" w:ascii="宋体" w:hAnsi="宋体" w:cs="宋体"/>
          <w:bCs/>
          <w:sz w:val="24"/>
        </w:rPr>
        <w:t>:</w:t>
      </w:r>
      <w:r>
        <w:rPr>
          <w:rFonts w:hint="eastAsia" w:ascii="宋体" w:hAnsi="宋体" w:cs="宋体"/>
          <w:bCs/>
          <w:sz w:val="24"/>
          <w:lang w:val="en-US" w:eastAsia="zh-CN"/>
        </w:rPr>
        <w:t>59</w:t>
      </w:r>
      <w:r>
        <w:rPr>
          <w:rFonts w:hint="eastAsia" w:ascii="宋体" w:hAnsi="宋体" w:cs="宋体"/>
          <w:bCs/>
          <w:sz w:val="24"/>
        </w:rPr>
        <w:t>（北京时间，法定节假日除外）</w:t>
      </w:r>
    </w:p>
    <w:p w14:paraId="24CE098A">
      <w:pPr>
        <w:spacing w:line="480" w:lineRule="exact"/>
        <w:ind w:firstLine="480" w:firstLineChars="200"/>
        <w:rPr>
          <w:rFonts w:ascii="宋体" w:hAnsi="宋体" w:cs="宋体"/>
          <w:bCs/>
          <w:sz w:val="24"/>
        </w:rPr>
      </w:pPr>
      <w:r>
        <w:rPr>
          <w:rFonts w:hint="eastAsia" w:ascii="宋体" w:hAnsi="宋体" w:cs="宋体"/>
          <w:bCs/>
          <w:sz w:val="24"/>
        </w:rPr>
        <w:t>2.地点：“政采云”平台（http：//www.zcygov.cn）（操作路径：登录“政采云”平台-项目采购-获取采购文件 -找到本项目-点击“申请获取采购文件”）</w:t>
      </w:r>
    </w:p>
    <w:p w14:paraId="631887F3">
      <w:pPr>
        <w:spacing w:line="480" w:lineRule="exact"/>
        <w:ind w:firstLine="480" w:firstLineChars="200"/>
        <w:rPr>
          <w:rFonts w:hint="eastAsia" w:ascii="宋体" w:hAnsi="宋体" w:cs="宋体"/>
          <w:bCs/>
          <w:sz w:val="24"/>
        </w:rPr>
      </w:pPr>
      <w:r>
        <w:rPr>
          <w:rFonts w:hint="eastAsia" w:ascii="宋体" w:hAnsi="宋体" w:cs="宋体"/>
          <w:bCs/>
          <w:sz w:val="24"/>
        </w:rPr>
        <w:t>3.方式：凡有意参加投标者，须在政采云平台办理数字证书（CA)，CA申领链接http://yzt.ynsmartcert.cn/cms/yztynfy.html，数字证书（CA）办理完成后需在政采云平台绑定数字证书(CA)并在平台获取采购文件及其它采购资料。</w:t>
      </w:r>
    </w:p>
    <w:p w14:paraId="34CFA88A">
      <w:pPr>
        <w:spacing w:line="480" w:lineRule="exact"/>
        <w:ind w:firstLine="480" w:firstLineChars="200"/>
        <w:rPr>
          <w:rFonts w:hint="eastAsia" w:ascii="宋体" w:hAnsi="宋体" w:cs="宋体"/>
          <w:bCs/>
          <w:sz w:val="24"/>
        </w:rPr>
      </w:pPr>
      <w:r>
        <w:rPr>
          <w:rFonts w:hint="eastAsia" w:ascii="宋体" w:hAnsi="宋体" w:cs="宋体"/>
          <w:bCs/>
          <w:sz w:val="24"/>
        </w:rPr>
        <w:t>注:按上述要求获取文件的投标人视为合法获取了本项目采购文件，具备本项目的投标资格。各投标人应在开标前确保成为政采云平台供应商，并完成CA数字证书申领。因未注册入库，未办理CA数字证书等原因造成无法投标或投标失败等由投标人自行承担,有意参加投标的投标人，须在政采云平办理数字证书(CA) ，CA申领链接:http://yzt.ynsmartcert.cn/cms/yztynfy.html。</w:t>
      </w:r>
    </w:p>
    <w:p w14:paraId="4A2FF79C">
      <w:pPr>
        <w:spacing w:line="480" w:lineRule="exact"/>
        <w:ind w:firstLine="480" w:firstLineChars="200"/>
        <w:rPr>
          <w:rFonts w:hint="eastAsia" w:ascii="宋体" w:hAnsi="宋体" w:cs="宋体"/>
          <w:bCs/>
          <w:sz w:val="24"/>
        </w:rPr>
      </w:pPr>
      <w:r>
        <w:rPr>
          <w:rFonts w:hint="eastAsia" w:ascii="宋体" w:hAnsi="宋体" w:cs="宋体"/>
          <w:bCs/>
          <w:sz w:val="24"/>
        </w:rPr>
        <w:t>（1）如有问题可拨打政采云客户服务热线95763进一咨询，数字证书问题可咨询云南壹证通CA：0871-67276028（紧急可拨19988166369）。</w:t>
      </w:r>
    </w:p>
    <w:p w14:paraId="58B95366">
      <w:pPr>
        <w:spacing w:line="480" w:lineRule="exact"/>
        <w:ind w:firstLine="480" w:firstLineChars="200"/>
        <w:rPr>
          <w:rFonts w:hint="eastAsia" w:ascii="宋体" w:hAnsi="宋体" w:cs="宋体"/>
          <w:bCs/>
          <w:sz w:val="24"/>
        </w:rPr>
      </w:pPr>
      <w:r>
        <w:rPr>
          <w:rFonts w:hint="eastAsia" w:ascii="宋体" w:hAnsi="宋体" w:cs="宋体"/>
          <w:bCs/>
          <w:sz w:val="24"/>
        </w:rPr>
        <w:t>如因投标人自身原因导致在规定时间内无法正常解密的(如:浏览器故障、未安装相关驱动、网络故障、加密CA与解密CA不一致等），视为投标人自动弃标，代理机构不予处理。</w:t>
      </w:r>
    </w:p>
    <w:p w14:paraId="2732F26A">
      <w:pPr>
        <w:spacing w:line="480" w:lineRule="exact"/>
        <w:ind w:firstLine="480" w:firstLineChars="200"/>
        <w:rPr>
          <w:rFonts w:ascii="宋体" w:hAnsi="宋体" w:cs="宋体"/>
          <w:bCs/>
          <w:sz w:val="24"/>
        </w:rPr>
      </w:pPr>
      <w:r>
        <w:rPr>
          <w:rFonts w:hint="eastAsia" w:ascii="宋体" w:hAnsi="宋体" w:cs="宋体"/>
          <w:bCs/>
          <w:sz w:val="24"/>
        </w:rPr>
        <w:t>（2）云南本地投标人如之前已在云南CA在线数字证书办理网进行过注册并办理过企业数字证书（CA），直接绑定即可，无需重复办理（2022年1月1日前办理的云南CA需到云南CA办理处进行升级）。</w:t>
      </w:r>
    </w:p>
    <w:p w14:paraId="6A6BB4BA">
      <w:pPr>
        <w:spacing w:line="480" w:lineRule="exact"/>
        <w:ind w:firstLine="480" w:firstLineChars="200"/>
        <w:rPr>
          <w:rFonts w:ascii="宋体" w:hAnsi="宋体"/>
          <w:sz w:val="24"/>
        </w:rPr>
      </w:pPr>
      <w:r>
        <w:rPr>
          <w:rFonts w:hint="eastAsia" w:ascii="宋体" w:hAnsi="宋体" w:cs="宋体"/>
          <w:sz w:val="24"/>
        </w:rPr>
        <w:t>售价：</w:t>
      </w:r>
      <w:r>
        <w:rPr>
          <w:rFonts w:hint="eastAsia" w:ascii="宋体" w:hAnsi="宋体" w:cs="宋体"/>
          <w:sz w:val="24"/>
          <w:lang w:val="en-US" w:eastAsia="zh-CN"/>
        </w:rPr>
        <w:t>¥</w:t>
      </w:r>
      <w:r>
        <w:rPr>
          <w:rFonts w:hint="eastAsia" w:ascii="宋体" w:hAnsi="宋体" w:cs="宋体"/>
          <w:sz w:val="24"/>
        </w:rPr>
        <w:t>0元/份。</w:t>
      </w:r>
    </w:p>
    <w:p w14:paraId="09C2966C">
      <w:pPr>
        <w:pStyle w:val="4"/>
        <w:spacing w:before="0" w:after="0" w:line="480" w:lineRule="exact"/>
        <w:jc w:val="left"/>
        <w:rPr>
          <w:rFonts w:ascii="黑体" w:hAnsi="黑体" w:cs="宋体"/>
          <w:sz w:val="28"/>
          <w:szCs w:val="28"/>
        </w:rPr>
      </w:pPr>
      <w:bookmarkStart w:id="15" w:name="_Toc35393632"/>
      <w:bookmarkStart w:id="16" w:name="_Toc35393801"/>
      <w:bookmarkStart w:id="17" w:name="_Toc28359015"/>
      <w:bookmarkStart w:id="18" w:name="_Toc28359092"/>
      <w:r>
        <w:rPr>
          <w:rFonts w:hint="eastAsia" w:ascii="黑体" w:hAnsi="黑体" w:cs="宋体"/>
          <w:sz w:val="28"/>
          <w:szCs w:val="28"/>
        </w:rPr>
        <w:t>四、响应文件提交</w:t>
      </w:r>
      <w:bookmarkEnd w:id="15"/>
      <w:bookmarkEnd w:id="16"/>
      <w:bookmarkEnd w:id="17"/>
      <w:bookmarkEnd w:id="18"/>
    </w:p>
    <w:p w14:paraId="1E7C7063">
      <w:pPr>
        <w:spacing w:line="480" w:lineRule="exact"/>
        <w:ind w:firstLine="480" w:firstLineChars="200"/>
        <w:rPr>
          <w:rFonts w:ascii="宋体" w:hAnsi="宋体" w:cs="宋体"/>
          <w:iCs/>
          <w:sz w:val="24"/>
          <w:u w:val="single"/>
        </w:rPr>
      </w:pPr>
      <w:r>
        <w:rPr>
          <w:rFonts w:hint="eastAsia" w:ascii="宋体" w:hAnsi="宋体"/>
          <w:bCs/>
          <w:sz w:val="24"/>
        </w:rPr>
        <w:t>提交响应文件截止时间：</w:t>
      </w:r>
      <w:r>
        <w:rPr>
          <w:rFonts w:hint="eastAsia" w:ascii="宋体" w:hAnsi="宋体"/>
          <w:bCs/>
          <w:sz w:val="24"/>
          <w:u w:val="single"/>
          <w:lang w:eastAsia="zh-CN"/>
        </w:rPr>
        <w:t>2025年</w:t>
      </w:r>
      <w:r>
        <w:rPr>
          <w:rFonts w:hint="eastAsia" w:ascii="宋体" w:hAnsi="宋体"/>
          <w:bCs/>
          <w:sz w:val="24"/>
          <w:u w:val="single"/>
          <w:lang w:val="en-US" w:eastAsia="zh-CN"/>
        </w:rPr>
        <w:t>03</w:t>
      </w:r>
      <w:r>
        <w:rPr>
          <w:rFonts w:hint="eastAsia" w:ascii="宋体" w:hAnsi="宋体"/>
          <w:bCs/>
          <w:sz w:val="24"/>
          <w:u w:val="single"/>
          <w:lang w:eastAsia="zh-CN"/>
        </w:rPr>
        <w:t>月</w:t>
      </w:r>
      <w:r>
        <w:rPr>
          <w:rFonts w:hint="eastAsia" w:ascii="宋体" w:hAnsi="宋体"/>
          <w:bCs/>
          <w:sz w:val="24"/>
          <w:u w:val="single"/>
          <w:lang w:val="en-US" w:eastAsia="zh-CN"/>
        </w:rPr>
        <w:t>31</w:t>
      </w:r>
      <w:r>
        <w:rPr>
          <w:rFonts w:hint="eastAsia" w:ascii="宋体" w:hAnsi="宋体"/>
          <w:bCs/>
          <w:sz w:val="24"/>
          <w:u w:val="single"/>
          <w:lang w:eastAsia="zh-CN"/>
        </w:rPr>
        <w:t>日</w:t>
      </w:r>
      <w:r>
        <w:rPr>
          <w:rFonts w:hint="eastAsia" w:ascii="宋体" w:hAnsi="宋体"/>
          <w:bCs/>
          <w:sz w:val="24"/>
          <w:u w:val="single"/>
          <w:lang w:val="en-US" w:eastAsia="zh-CN"/>
        </w:rPr>
        <w:t>14</w:t>
      </w:r>
      <w:r>
        <w:rPr>
          <w:rFonts w:hint="eastAsia" w:ascii="宋体" w:hAnsi="宋体"/>
          <w:bCs/>
          <w:sz w:val="24"/>
          <w:u w:val="single"/>
          <w:lang w:eastAsia="zh-CN"/>
        </w:rPr>
        <w:t>点</w:t>
      </w:r>
      <w:r>
        <w:rPr>
          <w:rFonts w:hint="eastAsia" w:ascii="宋体" w:hAnsi="宋体"/>
          <w:bCs/>
          <w:sz w:val="24"/>
          <w:u w:val="single"/>
          <w:lang w:val="en-US" w:eastAsia="zh-CN"/>
        </w:rPr>
        <w:t>15</w:t>
      </w:r>
      <w:r>
        <w:rPr>
          <w:rFonts w:hint="eastAsia" w:ascii="宋体" w:hAnsi="宋体"/>
          <w:bCs/>
          <w:sz w:val="24"/>
          <w:u w:val="single"/>
          <w:lang w:eastAsia="zh-CN"/>
        </w:rPr>
        <w:t>分</w:t>
      </w:r>
      <w:r>
        <w:rPr>
          <w:rFonts w:hint="eastAsia" w:ascii="宋体" w:hAnsi="宋体"/>
          <w:bCs/>
          <w:sz w:val="24"/>
        </w:rPr>
        <w:t>（北京时间）</w:t>
      </w:r>
    </w:p>
    <w:p w14:paraId="58E28C06">
      <w:pPr>
        <w:spacing w:line="480" w:lineRule="exact"/>
        <w:ind w:firstLine="480" w:firstLineChars="200"/>
        <w:rPr>
          <w:rFonts w:ascii="宋体" w:hAnsi="宋体" w:cs="宋体"/>
          <w:iCs/>
          <w:sz w:val="24"/>
        </w:rPr>
      </w:pPr>
      <w:r>
        <w:rPr>
          <w:rFonts w:hint="eastAsia" w:ascii="宋体" w:hAnsi="宋体" w:cs="宋体"/>
          <w:iCs/>
          <w:sz w:val="24"/>
        </w:rPr>
        <w:t>地点：供应商应按照本项目采购文件和</w:t>
      </w:r>
      <w:r>
        <w:rPr>
          <w:rFonts w:hint="eastAsia" w:ascii="宋体" w:hAnsi="宋体" w:cs="宋体"/>
          <w:iCs/>
          <w:sz w:val="24"/>
          <w:lang w:eastAsia="zh-CN"/>
        </w:rPr>
        <w:t>“政采云”</w:t>
      </w:r>
      <w:r>
        <w:rPr>
          <w:rFonts w:hint="eastAsia" w:ascii="宋体" w:hAnsi="宋体" w:cs="宋体"/>
          <w:iCs/>
          <w:sz w:val="24"/>
        </w:rPr>
        <w:t>平台的要求编制、加密后在响应文件提交截止时间前上传至</w:t>
      </w:r>
      <w:r>
        <w:rPr>
          <w:rFonts w:hint="eastAsia" w:ascii="宋体" w:hAnsi="宋体" w:cs="宋体"/>
          <w:iCs/>
          <w:sz w:val="24"/>
          <w:lang w:eastAsia="zh-CN"/>
        </w:rPr>
        <w:t>“政采云”</w:t>
      </w:r>
      <w:r>
        <w:rPr>
          <w:rFonts w:hint="eastAsia" w:ascii="宋体" w:hAnsi="宋体" w:cs="宋体"/>
          <w:iCs/>
          <w:sz w:val="24"/>
        </w:rPr>
        <w:t>平台，响应文件提交截止时间前未完成响应文件上传的，视为撤回响应文件。供应商在</w:t>
      </w:r>
      <w:r>
        <w:rPr>
          <w:rFonts w:hint="eastAsia" w:ascii="宋体" w:hAnsi="宋体" w:cs="宋体"/>
          <w:iCs/>
          <w:sz w:val="24"/>
          <w:lang w:eastAsia="zh-CN"/>
        </w:rPr>
        <w:t>“政采云”</w:t>
      </w:r>
      <w:r>
        <w:rPr>
          <w:rFonts w:hint="eastAsia" w:ascii="宋体" w:hAnsi="宋体" w:cs="宋体"/>
          <w:iCs/>
          <w:sz w:val="24"/>
        </w:rPr>
        <w:t>平台提交电子版响应文件时，请填写参加远程采购活动经办人联系方式</w:t>
      </w:r>
      <w:r>
        <w:rPr>
          <w:rFonts w:hint="eastAsia" w:ascii="宋体" w:hAnsi="宋体"/>
          <w:sz w:val="24"/>
        </w:rPr>
        <w:t>。</w:t>
      </w:r>
    </w:p>
    <w:p w14:paraId="7A3E0AF6">
      <w:pPr>
        <w:pStyle w:val="4"/>
        <w:spacing w:before="0" w:after="0" w:line="480" w:lineRule="exact"/>
        <w:jc w:val="left"/>
        <w:rPr>
          <w:rFonts w:ascii="黑体" w:hAnsi="黑体" w:cs="宋体"/>
          <w:sz w:val="28"/>
          <w:szCs w:val="28"/>
        </w:rPr>
      </w:pPr>
      <w:bookmarkStart w:id="19" w:name="_Toc28359093"/>
      <w:bookmarkStart w:id="20" w:name="_Toc35393633"/>
      <w:bookmarkStart w:id="21" w:name="_Toc35393802"/>
      <w:bookmarkStart w:id="22" w:name="_Toc28359016"/>
      <w:r>
        <w:rPr>
          <w:rFonts w:hint="eastAsia" w:ascii="黑体" w:hAnsi="黑体" w:cs="宋体"/>
          <w:sz w:val="28"/>
          <w:szCs w:val="28"/>
        </w:rPr>
        <w:t>五、开启</w:t>
      </w:r>
      <w:bookmarkEnd w:id="19"/>
      <w:bookmarkEnd w:id="20"/>
      <w:bookmarkEnd w:id="21"/>
      <w:bookmarkEnd w:id="22"/>
    </w:p>
    <w:p w14:paraId="5A72839B">
      <w:pPr>
        <w:spacing w:line="480" w:lineRule="exact"/>
        <w:ind w:firstLine="480" w:firstLineChars="200"/>
        <w:rPr>
          <w:rFonts w:ascii="宋体" w:hAnsi="宋体"/>
          <w:bCs/>
          <w:sz w:val="24"/>
          <w:u w:val="single"/>
        </w:rPr>
      </w:pPr>
      <w:r>
        <w:rPr>
          <w:rFonts w:hint="eastAsia" w:ascii="宋体" w:hAnsi="宋体" w:cs="宋体"/>
          <w:iCs/>
          <w:sz w:val="24"/>
        </w:rPr>
        <w:t>时间：</w:t>
      </w:r>
      <w:r>
        <w:rPr>
          <w:rFonts w:hint="eastAsia" w:ascii="宋体" w:hAnsi="宋体"/>
          <w:bCs/>
          <w:sz w:val="24"/>
          <w:u w:val="single"/>
          <w:lang w:eastAsia="zh-CN"/>
        </w:rPr>
        <w:t>2025年</w:t>
      </w:r>
      <w:r>
        <w:rPr>
          <w:rFonts w:hint="eastAsia" w:ascii="宋体" w:hAnsi="宋体"/>
          <w:bCs/>
          <w:sz w:val="24"/>
          <w:u w:val="single"/>
          <w:lang w:val="en-US" w:eastAsia="zh-CN"/>
        </w:rPr>
        <w:t>03</w:t>
      </w:r>
      <w:r>
        <w:rPr>
          <w:rFonts w:hint="eastAsia" w:ascii="宋体" w:hAnsi="宋体"/>
          <w:bCs/>
          <w:sz w:val="24"/>
          <w:u w:val="single"/>
          <w:lang w:eastAsia="zh-CN"/>
        </w:rPr>
        <w:t>月</w:t>
      </w:r>
      <w:r>
        <w:rPr>
          <w:rFonts w:hint="eastAsia" w:ascii="宋体" w:hAnsi="宋体"/>
          <w:bCs/>
          <w:sz w:val="24"/>
          <w:u w:val="single"/>
          <w:lang w:val="en-US" w:eastAsia="zh-CN"/>
        </w:rPr>
        <w:t>31</w:t>
      </w:r>
      <w:r>
        <w:rPr>
          <w:rFonts w:hint="eastAsia" w:ascii="宋体" w:hAnsi="宋体"/>
          <w:bCs/>
          <w:sz w:val="24"/>
          <w:u w:val="single"/>
          <w:lang w:eastAsia="zh-CN"/>
        </w:rPr>
        <w:t>日</w:t>
      </w:r>
      <w:r>
        <w:rPr>
          <w:rFonts w:hint="eastAsia" w:ascii="宋体" w:hAnsi="宋体"/>
          <w:bCs/>
          <w:sz w:val="24"/>
          <w:u w:val="single"/>
          <w:lang w:val="en-US" w:eastAsia="zh-CN"/>
        </w:rPr>
        <w:t>14</w:t>
      </w:r>
      <w:r>
        <w:rPr>
          <w:rFonts w:hint="eastAsia" w:ascii="宋体" w:hAnsi="宋体"/>
          <w:bCs/>
          <w:sz w:val="24"/>
          <w:u w:val="single"/>
          <w:lang w:eastAsia="zh-CN"/>
        </w:rPr>
        <w:t>点</w:t>
      </w:r>
      <w:r>
        <w:rPr>
          <w:rFonts w:hint="eastAsia" w:ascii="宋体" w:hAnsi="宋体"/>
          <w:bCs/>
          <w:sz w:val="24"/>
          <w:u w:val="single"/>
          <w:lang w:val="en-US" w:eastAsia="zh-CN"/>
        </w:rPr>
        <w:t>15</w:t>
      </w:r>
      <w:r>
        <w:rPr>
          <w:rFonts w:hint="eastAsia" w:ascii="宋体" w:hAnsi="宋体"/>
          <w:bCs/>
          <w:sz w:val="24"/>
          <w:u w:val="single"/>
          <w:lang w:eastAsia="zh-CN"/>
        </w:rPr>
        <w:t>分</w:t>
      </w:r>
      <w:r>
        <w:rPr>
          <w:rFonts w:hint="eastAsia" w:ascii="宋体" w:hAnsi="宋体"/>
          <w:bCs/>
          <w:sz w:val="24"/>
        </w:rPr>
        <w:t>（北京时间）</w:t>
      </w:r>
    </w:p>
    <w:p w14:paraId="234DD0D7">
      <w:pPr>
        <w:spacing w:line="480" w:lineRule="exact"/>
        <w:ind w:firstLine="480" w:firstLineChars="200"/>
        <w:rPr>
          <w:rFonts w:ascii="宋体" w:hAnsi="宋体"/>
          <w:sz w:val="24"/>
        </w:rPr>
      </w:pPr>
      <w:r>
        <w:rPr>
          <w:rFonts w:hint="eastAsia" w:ascii="宋体" w:hAnsi="宋体"/>
          <w:sz w:val="24"/>
        </w:rPr>
        <w:t>地点：</w:t>
      </w:r>
      <w:r>
        <w:rPr>
          <w:rFonts w:hint="eastAsia" w:ascii="宋体" w:hAnsi="宋体" w:cs="宋体"/>
          <w:color w:val="auto"/>
          <w:spacing w:val="0"/>
          <w:sz w:val="24"/>
          <w:szCs w:val="24"/>
          <w:highlight w:val="none"/>
          <w:lang w:eastAsia="zh-CN"/>
        </w:rPr>
        <w:t>“政采云”</w:t>
      </w:r>
      <w:r>
        <w:rPr>
          <w:rFonts w:hint="eastAsia" w:ascii="宋体" w:hAnsi="宋体" w:eastAsia="宋体" w:cs="宋体"/>
          <w:color w:val="auto"/>
          <w:spacing w:val="0"/>
          <w:sz w:val="24"/>
          <w:szCs w:val="24"/>
          <w:highlight w:val="none"/>
        </w:rPr>
        <w:t>平台开标大厅</w:t>
      </w:r>
      <w:r>
        <w:rPr>
          <w:rFonts w:ascii="宋体" w:hAnsi="宋体"/>
          <w:sz w:val="24"/>
        </w:rPr>
        <w:t>。</w:t>
      </w:r>
    </w:p>
    <w:p w14:paraId="33413C38">
      <w:pPr>
        <w:pStyle w:val="4"/>
        <w:spacing w:before="0" w:after="0" w:line="480" w:lineRule="exact"/>
        <w:jc w:val="left"/>
        <w:rPr>
          <w:rFonts w:ascii="黑体" w:hAnsi="黑体" w:cs="宋体"/>
          <w:sz w:val="28"/>
          <w:szCs w:val="28"/>
        </w:rPr>
      </w:pPr>
      <w:bookmarkStart w:id="23" w:name="_Toc35393634"/>
      <w:bookmarkStart w:id="24" w:name="_Toc28359094"/>
      <w:bookmarkStart w:id="25" w:name="_Toc35393803"/>
      <w:bookmarkStart w:id="26" w:name="_Toc28359017"/>
      <w:r>
        <w:rPr>
          <w:rFonts w:hint="eastAsia" w:ascii="黑体" w:hAnsi="黑体" w:cs="宋体"/>
          <w:sz w:val="28"/>
          <w:szCs w:val="28"/>
        </w:rPr>
        <w:t>六、公告期限</w:t>
      </w:r>
      <w:bookmarkEnd w:id="23"/>
      <w:bookmarkEnd w:id="24"/>
      <w:bookmarkEnd w:id="25"/>
      <w:bookmarkEnd w:id="26"/>
    </w:p>
    <w:p w14:paraId="390F21D8">
      <w:pPr>
        <w:spacing w:line="480" w:lineRule="exact"/>
        <w:ind w:firstLine="480" w:firstLineChars="200"/>
        <w:rPr>
          <w:rFonts w:ascii="宋体" w:hAnsi="宋体"/>
          <w:sz w:val="24"/>
        </w:rPr>
      </w:pPr>
      <w:r>
        <w:rPr>
          <w:rFonts w:hint="eastAsia" w:ascii="宋体" w:hAnsi="宋体"/>
          <w:sz w:val="24"/>
        </w:rPr>
        <w:t>自本公告发布之日起3个工作日。</w:t>
      </w:r>
    </w:p>
    <w:p w14:paraId="4642D5A4">
      <w:pPr>
        <w:pStyle w:val="4"/>
        <w:numPr>
          <w:ilvl w:val="0"/>
          <w:numId w:val="3"/>
        </w:numPr>
        <w:spacing w:before="0" w:after="0" w:line="480" w:lineRule="exact"/>
        <w:jc w:val="left"/>
        <w:rPr>
          <w:rFonts w:ascii="黑体" w:hAnsi="黑体" w:cs="宋体"/>
          <w:sz w:val="28"/>
          <w:szCs w:val="28"/>
        </w:rPr>
      </w:pPr>
      <w:bookmarkStart w:id="27" w:name="_Toc35393635"/>
      <w:bookmarkStart w:id="28" w:name="_Toc35393804"/>
      <w:r>
        <w:rPr>
          <w:rFonts w:hint="eastAsia" w:ascii="黑体" w:hAnsi="黑体" w:cs="宋体"/>
          <w:sz w:val="28"/>
          <w:szCs w:val="28"/>
        </w:rPr>
        <w:t>其他补充事宜</w:t>
      </w:r>
      <w:bookmarkEnd w:id="27"/>
      <w:bookmarkEnd w:id="28"/>
    </w:p>
    <w:p w14:paraId="4AD19E96">
      <w:pPr>
        <w:adjustRightInd w:val="0"/>
        <w:snapToGrid w:val="0"/>
        <w:spacing w:line="480" w:lineRule="exact"/>
        <w:ind w:firstLine="480" w:firstLineChars="200"/>
        <w:rPr>
          <w:rFonts w:hint="eastAsia" w:ascii="宋体" w:hAnsi="宋体"/>
          <w:bCs/>
          <w:sz w:val="24"/>
        </w:rPr>
      </w:pPr>
      <w:r>
        <w:rPr>
          <w:rFonts w:hint="eastAsia" w:ascii="宋体" w:hAnsi="宋体"/>
          <w:bCs/>
          <w:sz w:val="24"/>
        </w:rPr>
        <w:t>1.开标方式：</w:t>
      </w:r>
      <w:r>
        <w:rPr>
          <w:rFonts w:hint="eastAsia" w:ascii="宋体" w:hAnsi="宋体"/>
          <w:bCs/>
          <w:sz w:val="24"/>
          <w:lang w:val="en-US" w:eastAsia="zh-CN"/>
        </w:rPr>
        <w:t>网上</w:t>
      </w:r>
      <w:r>
        <w:rPr>
          <w:rFonts w:hint="eastAsia" w:ascii="宋体" w:hAnsi="宋体"/>
          <w:bCs/>
          <w:sz w:val="24"/>
        </w:rPr>
        <w:t>开标</w:t>
      </w:r>
    </w:p>
    <w:p w14:paraId="701F26BC">
      <w:pPr>
        <w:adjustRightInd w:val="0"/>
        <w:snapToGrid w:val="0"/>
        <w:spacing w:line="480" w:lineRule="exact"/>
        <w:ind w:firstLine="480" w:firstLineChars="200"/>
        <w:rPr>
          <w:rFonts w:hint="eastAsia" w:ascii="宋体" w:hAnsi="宋体"/>
          <w:bCs/>
          <w:sz w:val="24"/>
          <w:lang w:val="en-US" w:eastAsia="zh-CN"/>
        </w:rPr>
      </w:pPr>
      <w:r>
        <w:rPr>
          <w:rFonts w:hint="eastAsia" w:ascii="宋体" w:hAnsi="宋体"/>
          <w:bCs/>
          <w:sz w:val="24"/>
          <w:lang w:val="en-US" w:eastAsia="zh-CN"/>
        </w:rPr>
        <w:t>2</w:t>
      </w:r>
      <w:r>
        <w:rPr>
          <w:rFonts w:hint="eastAsia" w:ascii="宋体" w:hAnsi="宋体"/>
          <w:bCs/>
          <w:sz w:val="24"/>
        </w:rPr>
        <w:t>.是否需要缴纳</w:t>
      </w:r>
      <w:r>
        <w:rPr>
          <w:rFonts w:hint="eastAsia" w:ascii="宋体" w:hAnsi="宋体"/>
          <w:bCs/>
          <w:sz w:val="24"/>
          <w:lang w:val="en-US" w:eastAsia="zh-CN"/>
        </w:rPr>
        <w:t>谈判</w:t>
      </w:r>
      <w:r>
        <w:rPr>
          <w:rFonts w:hint="eastAsia" w:ascii="宋体" w:hAnsi="宋体"/>
          <w:bCs/>
          <w:sz w:val="24"/>
        </w:rPr>
        <w:t>保证金：</w:t>
      </w:r>
      <w:r>
        <w:rPr>
          <w:rFonts w:hint="eastAsia" w:ascii="宋体" w:hAnsi="宋体"/>
          <w:bCs/>
          <w:sz w:val="24"/>
          <w:lang w:val="en-US" w:eastAsia="zh-CN"/>
        </w:rPr>
        <w:t>否</w:t>
      </w:r>
    </w:p>
    <w:p w14:paraId="6399FB88">
      <w:pPr>
        <w:adjustRightInd w:val="0"/>
        <w:snapToGrid w:val="0"/>
        <w:spacing w:line="480" w:lineRule="exact"/>
        <w:ind w:firstLine="480" w:firstLineChars="200"/>
        <w:rPr>
          <w:rFonts w:hint="eastAsia" w:ascii="宋体" w:hAnsi="宋体"/>
          <w:bCs/>
          <w:sz w:val="24"/>
        </w:rPr>
      </w:pPr>
      <w:r>
        <w:rPr>
          <w:rFonts w:hint="eastAsia" w:ascii="宋体" w:hAnsi="宋体"/>
          <w:bCs/>
          <w:sz w:val="24"/>
          <w:lang w:val="en-US" w:eastAsia="zh-CN"/>
        </w:rPr>
        <w:t>3.</w:t>
      </w:r>
      <w:r>
        <w:rPr>
          <w:rFonts w:hint="eastAsia" w:ascii="宋体" w:hAnsi="宋体"/>
          <w:bCs/>
          <w:sz w:val="24"/>
        </w:rPr>
        <w:t>其他：采购信息、</w:t>
      </w:r>
      <w:r>
        <w:rPr>
          <w:rFonts w:hint="eastAsia" w:ascii="宋体" w:hAnsi="宋体"/>
          <w:bCs/>
          <w:sz w:val="24"/>
          <w:lang w:eastAsia="zh-CN"/>
        </w:rPr>
        <w:t>成交结果公告</w:t>
      </w:r>
      <w:r>
        <w:rPr>
          <w:rFonts w:hint="eastAsia" w:ascii="宋体" w:hAnsi="宋体"/>
          <w:bCs/>
          <w:sz w:val="24"/>
        </w:rPr>
        <w:t>仅在以下媒体发布：云南省政府采购网（www.yngp.com）发布。</w:t>
      </w:r>
    </w:p>
    <w:p w14:paraId="74230F1E">
      <w:pPr>
        <w:pStyle w:val="4"/>
        <w:spacing w:before="0" w:after="0" w:line="480" w:lineRule="exact"/>
        <w:jc w:val="left"/>
        <w:rPr>
          <w:rFonts w:ascii="黑体" w:hAnsi="黑体" w:cs="宋体"/>
          <w:sz w:val="28"/>
          <w:szCs w:val="28"/>
        </w:rPr>
      </w:pPr>
      <w:bookmarkStart w:id="29" w:name="_Toc28359095"/>
      <w:bookmarkStart w:id="30" w:name="_Toc35393805"/>
      <w:bookmarkStart w:id="31" w:name="_Toc28359018"/>
      <w:bookmarkStart w:id="32" w:name="_Toc35393636"/>
      <w:r>
        <w:rPr>
          <w:rFonts w:hint="eastAsia" w:ascii="黑体" w:hAnsi="黑体" w:cs="宋体"/>
          <w:sz w:val="28"/>
          <w:szCs w:val="28"/>
        </w:rPr>
        <w:t>八、凡对本次采购提出询问，请按</w:t>
      </w:r>
      <w:r>
        <w:rPr>
          <w:rFonts w:ascii="黑体" w:hAnsi="黑体" w:cs="宋体"/>
          <w:sz w:val="28"/>
          <w:szCs w:val="28"/>
        </w:rPr>
        <w:t>以下方式</w:t>
      </w:r>
      <w:r>
        <w:rPr>
          <w:rFonts w:hint="eastAsia" w:ascii="黑体" w:hAnsi="黑体" w:cs="宋体"/>
          <w:sz w:val="28"/>
          <w:szCs w:val="28"/>
        </w:rPr>
        <w:t>联系。</w:t>
      </w:r>
      <w:bookmarkEnd w:id="29"/>
      <w:bookmarkEnd w:id="30"/>
      <w:bookmarkEnd w:id="31"/>
      <w:bookmarkEnd w:id="32"/>
    </w:p>
    <w:p w14:paraId="53E9D143">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lang w:eastAsia="zh-CN"/>
        </w:rPr>
        <w:t>1.采购人信息</w:t>
      </w:r>
    </w:p>
    <w:p w14:paraId="7E7889A9">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pacing w:val="0"/>
          <w:kern w:val="0"/>
          <w:sz w:val="24"/>
          <w:szCs w:val="24"/>
          <w:highlight w:val="none"/>
          <w:lang w:val="en-US" w:eastAsia="zh-CN"/>
        </w:rPr>
      </w:pPr>
      <w:r>
        <w:rPr>
          <w:rFonts w:hint="default" w:ascii="宋体" w:hAnsi="宋体" w:eastAsia="宋体" w:cs="宋体"/>
          <w:color w:val="auto"/>
          <w:spacing w:val="0"/>
          <w:kern w:val="0"/>
          <w:sz w:val="24"/>
          <w:szCs w:val="24"/>
          <w:highlight w:val="none"/>
          <w:lang w:val="en-US" w:eastAsia="zh-CN"/>
        </w:rPr>
        <w:t>名    称：</w:t>
      </w:r>
      <w:r>
        <w:rPr>
          <w:rFonts w:hint="eastAsia" w:ascii="宋体" w:hAnsi="宋体" w:cs="宋体"/>
          <w:color w:val="auto"/>
          <w:spacing w:val="0"/>
          <w:kern w:val="0"/>
          <w:sz w:val="24"/>
          <w:szCs w:val="24"/>
          <w:highlight w:val="none"/>
          <w:lang w:val="en-US" w:eastAsia="zh-CN"/>
        </w:rPr>
        <w:t>昭通市公安局交通管理支队</w:t>
      </w:r>
    </w:p>
    <w:p w14:paraId="7AD351E4">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pacing w:val="0"/>
          <w:kern w:val="0"/>
          <w:sz w:val="24"/>
          <w:szCs w:val="24"/>
          <w:highlight w:val="none"/>
          <w:lang w:val="en-US" w:eastAsia="zh-CN"/>
        </w:rPr>
      </w:pPr>
      <w:r>
        <w:rPr>
          <w:rFonts w:hint="default" w:ascii="宋体" w:hAnsi="宋体" w:eastAsia="宋体" w:cs="宋体"/>
          <w:color w:val="auto"/>
          <w:spacing w:val="0"/>
          <w:kern w:val="0"/>
          <w:sz w:val="24"/>
          <w:szCs w:val="24"/>
          <w:highlight w:val="none"/>
          <w:lang w:val="en-US" w:eastAsia="zh-CN"/>
        </w:rPr>
        <w:t>地    址：昭通市昭阳区团结路150号</w:t>
      </w:r>
    </w:p>
    <w:p w14:paraId="5459043E">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default" w:ascii="宋体" w:hAnsi="宋体" w:eastAsia="宋体" w:cs="宋体"/>
          <w:color w:val="auto"/>
          <w:spacing w:val="0"/>
          <w:kern w:val="0"/>
          <w:sz w:val="24"/>
          <w:szCs w:val="24"/>
          <w:highlight w:val="none"/>
          <w:lang w:val="en-US" w:eastAsia="zh-CN"/>
        </w:rPr>
      </w:pPr>
      <w:r>
        <w:rPr>
          <w:rFonts w:hint="default" w:ascii="宋体" w:hAnsi="宋体" w:eastAsia="宋体" w:cs="宋体"/>
          <w:color w:val="auto"/>
          <w:spacing w:val="0"/>
          <w:kern w:val="0"/>
          <w:sz w:val="24"/>
          <w:szCs w:val="24"/>
          <w:highlight w:val="none"/>
          <w:lang w:val="en-US" w:eastAsia="zh-CN"/>
        </w:rPr>
        <w:t>联系方式：</w:t>
      </w:r>
      <w:r>
        <w:rPr>
          <w:rFonts w:hint="eastAsia" w:ascii="宋体" w:hAnsi="宋体" w:cs="宋体"/>
          <w:color w:val="auto"/>
          <w:spacing w:val="0"/>
          <w:kern w:val="0"/>
          <w:sz w:val="24"/>
          <w:szCs w:val="24"/>
          <w:highlight w:val="none"/>
          <w:lang w:val="en-US" w:eastAsia="zh-CN"/>
        </w:rPr>
        <w:t>王</w:t>
      </w:r>
      <w:r>
        <w:rPr>
          <w:rFonts w:hint="default" w:ascii="宋体" w:hAnsi="宋体" w:eastAsia="宋体" w:cs="宋体"/>
          <w:color w:val="auto"/>
          <w:spacing w:val="0"/>
          <w:kern w:val="0"/>
          <w:sz w:val="24"/>
          <w:szCs w:val="24"/>
          <w:highlight w:val="none"/>
          <w:lang w:val="en-US" w:eastAsia="zh-CN"/>
        </w:rPr>
        <w:t>老师 13578087680</w:t>
      </w:r>
    </w:p>
    <w:p w14:paraId="447B2DCF">
      <w:pPr>
        <w:pStyle w:val="2"/>
        <w:rPr>
          <w:rFonts w:hint="eastAsia"/>
          <w:highlight w:val="none"/>
          <w:lang w:eastAsia="zh-CN"/>
        </w:rPr>
      </w:pPr>
    </w:p>
    <w:p w14:paraId="60F8F35B">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2.采购代理机构信息</w:t>
      </w:r>
    </w:p>
    <w:p w14:paraId="7DFF09EA">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名    称：</w:t>
      </w:r>
      <w:r>
        <w:rPr>
          <w:rFonts w:hint="eastAsia" w:ascii="宋体" w:hAnsi="宋体" w:cs="宋体"/>
          <w:color w:val="auto"/>
          <w:spacing w:val="0"/>
          <w:kern w:val="0"/>
          <w:sz w:val="24"/>
          <w:szCs w:val="24"/>
          <w:highlight w:val="none"/>
          <w:lang w:eastAsia="zh-CN"/>
        </w:rPr>
        <w:t>云南璟成工程项目管理有限公司</w:t>
      </w:r>
    </w:p>
    <w:p w14:paraId="4417976A">
      <w:pPr>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地</w:t>
      </w:r>
      <w:r>
        <w:rPr>
          <w:rFonts w:hint="eastAsia" w:ascii="宋体" w:hAnsi="宋体" w:cs="宋体"/>
          <w:color w:val="auto"/>
          <w:spacing w:val="0"/>
          <w:kern w:val="0"/>
          <w:sz w:val="24"/>
          <w:szCs w:val="24"/>
          <w:highlight w:val="none"/>
          <w:lang w:val="en-US" w:eastAsia="zh-CN"/>
        </w:rPr>
        <w:t xml:space="preserve">    </w:t>
      </w:r>
      <w:r>
        <w:rPr>
          <w:rFonts w:hint="eastAsia" w:ascii="宋体" w:hAnsi="宋体" w:eastAsia="宋体" w:cs="宋体"/>
          <w:color w:val="auto"/>
          <w:spacing w:val="0"/>
          <w:kern w:val="0"/>
          <w:sz w:val="24"/>
          <w:szCs w:val="24"/>
          <w:highlight w:val="none"/>
        </w:rPr>
        <w:t>址：云南省昆明市盘龙区穿金路764号云南映象主题文化小区（一期）29幢1单元2层201号</w:t>
      </w:r>
    </w:p>
    <w:p w14:paraId="6F459401">
      <w:pPr>
        <w:pageBreakBefore w:val="0"/>
        <w:widowControl w:val="0"/>
        <w:kinsoku/>
        <w:wordWrap/>
        <w:overflowPunct/>
        <w:topLinePunct w:val="0"/>
        <w:autoSpaceDE/>
        <w:autoSpaceDN/>
        <w:bidi w:val="0"/>
        <w:adjustRightInd/>
        <w:snapToGrid/>
        <w:spacing w:line="460" w:lineRule="exact"/>
        <w:ind w:left="1706" w:leftChars="266" w:hanging="1147" w:hangingChars="478"/>
        <w:textAlignment w:val="auto"/>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rPr>
        <w:t>联系方式：</w:t>
      </w:r>
      <w:r>
        <w:rPr>
          <w:rFonts w:hint="eastAsia" w:ascii="宋体" w:hAnsi="宋体" w:cs="宋体"/>
          <w:color w:val="auto"/>
          <w:spacing w:val="0"/>
          <w:kern w:val="0"/>
          <w:sz w:val="24"/>
          <w:szCs w:val="24"/>
          <w:highlight w:val="none"/>
          <w:lang w:val="en-US" w:eastAsia="zh-CN"/>
        </w:rPr>
        <w:t xml:space="preserve">郑工 </w:t>
      </w:r>
      <w:r>
        <w:rPr>
          <w:rFonts w:hint="eastAsia" w:ascii="宋体" w:hAnsi="宋体" w:cs="宋体"/>
          <w:color w:val="auto"/>
          <w:spacing w:val="0"/>
          <w:kern w:val="0"/>
          <w:sz w:val="24"/>
          <w:szCs w:val="24"/>
          <w:highlight w:val="none"/>
          <w:lang w:eastAsia="zh-CN"/>
        </w:rPr>
        <w:t>18487628518</w:t>
      </w:r>
    </w:p>
    <w:p w14:paraId="35137CCB">
      <w:pPr>
        <w:pStyle w:val="2"/>
        <w:rPr>
          <w:rFonts w:hint="default"/>
          <w:highlight w:val="none"/>
          <w:lang w:val="en-US" w:eastAsia="zh-CN"/>
        </w:rPr>
      </w:pPr>
    </w:p>
    <w:p w14:paraId="211D830C">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3.项目联系方式</w:t>
      </w:r>
    </w:p>
    <w:p w14:paraId="358A1DAF">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项目联系人：</w:t>
      </w:r>
      <w:r>
        <w:rPr>
          <w:rFonts w:hint="eastAsia" w:ascii="宋体" w:hAnsi="宋体" w:cs="宋体"/>
          <w:color w:val="auto"/>
          <w:spacing w:val="0"/>
          <w:kern w:val="0"/>
          <w:sz w:val="24"/>
          <w:szCs w:val="24"/>
          <w:highlight w:val="none"/>
          <w:lang w:val="en-US" w:eastAsia="zh-CN"/>
        </w:rPr>
        <w:t>郑工</w:t>
      </w:r>
      <w:r>
        <w:rPr>
          <w:rFonts w:hint="eastAsia" w:ascii="宋体" w:hAnsi="宋体" w:eastAsia="宋体" w:cs="宋体"/>
          <w:color w:val="auto"/>
          <w:spacing w:val="0"/>
          <w:kern w:val="0"/>
          <w:sz w:val="24"/>
          <w:szCs w:val="24"/>
          <w:highlight w:val="none"/>
          <w:lang w:val="en-US" w:eastAsia="zh-CN"/>
        </w:rPr>
        <w:t xml:space="preserve"> </w:t>
      </w:r>
    </w:p>
    <w:p w14:paraId="4E3F6A8D">
      <w:pPr>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宋体" w:hAnsi="宋体" w:eastAsia="宋体" w:cs="宋体"/>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rPr>
        <w:t>电</w:t>
      </w:r>
      <w:r>
        <w:rPr>
          <w:rFonts w:hint="eastAsia" w:ascii="宋体" w:hAnsi="宋体" w:cs="宋体"/>
          <w:color w:val="auto"/>
          <w:spacing w:val="0"/>
          <w:kern w:val="0"/>
          <w:sz w:val="24"/>
          <w:szCs w:val="24"/>
          <w:highlight w:val="none"/>
          <w:lang w:val="en-US" w:eastAsia="zh-CN"/>
        </w:rPr>
        <w:t xml:space="preserve">  </w:t>
      </w:r>
      <w:r>
        <w:rPr>
          <w:rFonts w:hint="eastAsia" w:ascii="宋体" w:hAnsi="宋体" w:eastAsia="宋体" w:cs="宋体"/>
          <w:color w:val="auto"/>
          <w:spacing w:val="0"/>
          <w:kern w:val="0"/>
          <w:sz w:val="24"/>
          <w:szCs w:val="24"/>
          <w:highlight w:val="none"/>
        </w:rPr>
        <w:t xml:space="preserve">    话：</w:t>
      </w:r>
      <w:r>
        <w:rPr>
          <w:rFonts w:hint="eastAsia" w:ascii="宋体" w:hAnsi="宋体" w:cs="宋体"/>
          <w:color w:val="auto"/>
          <w:spacing w:val="0"/>
          <w:kern w:val="0"/>
          <w:sz w:val="24"/>
          <w:szCs w:val="24"/>
          <w:highlight w:val="none"/>
          <w:lang w:eastAsia="zh-CN"/>
        </w:rPr>
        <w:t>18487628518</w:t>
      </w:r>
      <w:r>
        <w:rPr>
          <w:rFonts w:hint="eastAsia" w:ascii="宋体" w:hAnsi="宋体" w:eastAsia="宋体" w:cs="宋体"/>
          <w:color w:val="auto"/>
          <w:spacing w:val="0"/>
          <w:kern w:val="0"/>
          <w:sz w:val="24"/>
          <w:szCs w:val="24"/>
          <w:highlight w:val="none"/>
          <w:lang w:val="en-US" w:eastAsia="zh-CN"/>
        </w:rPr>
        <w:br w:type="textWrapping"/>
      </w:r>
      <w:bookmarkStart w:id="33" w:name="_Toc25898"/>
    </w:p>
    <w:p w14:paraId="6E01B7AB">
      <w:pPr>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4.技术支持</w:t>
      </w:r>
      <w:bookmarkEnd w:id="33"/>
    </w:p>
    <w:p w14:paraId="72FC987C">
      <w:pPr>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政采云有限公司</w:t>
      </w:r>
    </w:p>
    <w:p w14:paraId="74E7E15F">
      <w:pPr>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eastAsia="Calibri"/>
          <w:sz w:val="24"/>
          <w:u w:val="single"/>
        </w:rPr>
      </w:pPr>
      <w:r>
        <w:rPr>
          <w:rFonts w:hint="eastAsia" w:ascii="宋体" w:hAnsi="宋体" w:eastAsia="宋体" w:cs="宋体"/>
          <w:color w:val="auto"/>
          <w:spacing w:val="0"/>
          <w:kern w:val="0"/>
          <w:sz w:val="24"/>
          <w:szCs w:val="24"/>
          <w:highlight w:val="none"/>
        </w:rPr>
        <w:t>咨询服务电话：400-881-7190</w:t>
      </w:r>
    </w:p>
    <w:p w14:paraId="45A52F50">
      <w:pPr>
        <w:rPr>
          <w:rFonts w:ascii="宋体" w:hAnsi="宋体"/>
          <w:sz w:val="24"/>
        </w:rPr>
      </w:pPr>
      <w:r>
        <w:rPr>
          <w:rFonts w:ascii="宋体" w:hAnsi="宋体"/>
          <w:sz w:val="24"/>
        </w:rPr>
        <w:br w:type="page"/>
      </w:r>
    </w:p>
    <w:bookmarkEnd w:id="358"/>
    <w:p w14:paraId="7431F1B0">
      <w:pPr>
        <w:pStyle w:val="37"/>
      </w:pPr>
    </w:p>
    <w:p w14:paraId="4C31A85F">
      <w:pPr>
        <w:spacing w:line="450" w:lineRule="exact"/>
        <w:ind w:firstLine="480" w:firstLineChars="200"/>
        <w:rPr>
          <w:rFonts w:ascii="宋体" w:hAnsi="宋体" w:cs="宋体"/>
          <w:sz w:val="24"/>
        </w:rPr>
      </w:pPr>
    </w:p>
    <w:p w14:paraId="6E5FDAEC">
      <w:pPr>
        <w:spacing w:line="480" w:lineRule="exact"/>
        <w:jc w:val="center"/>
        <w:outlineLvl w:val="9"/>
        <w:rPr>
          <w:rFonts w:ascii="宋体" w:hAnsi="宋体" w:eastAsia="宋体" w:cs="宋体"/>
          <w:color w:val="auto"/>
          <w:sz w:val="24"/>
          <w:szCs w:val="24"/>
        </w:rPr>
      </w:pPr>
    </w:p>
    <w:p w14:paraId="0C3F84C6">
      <w:pPr>
        <w:spacing w:line="480" w:lineRule="exact"/>
        <w:outlineLvl w:val="9"/>
        <w:rPr>
          <w:rFonts w:ascii="宋体" w:hAnsi="宋体" w:eastAsia="宋体" w:cs="宋体"/>
          <w:color w:val="auto"/>
          <w:sz w:val="24"/>
          <w:szCs w:val="24"/>
        </w:rPr>
      </w:pPr>
    </w:p>
    <w:p w14:paraId="7A0B7BF3">
      <w:pPr>
        <w:outlineLvl w:val="9"/>
        <w:rPr>
          <w:rFonts w:ascii="宋体" w:hAnsi="宋体" w:cs="宋体"/>
        </w:rPr>
      </w:pPr>
    </w:p>
    <w:p w14:paraId="6F0F1A83">
      <w:pPr>
        <w:outlineLvl w:val="9"/>
        <w:rPr>
          <w:rFonts w:ascii="宋体" w:hAnsi="宋体" w:cs="宋体"/>
        </w:rPr>
      </w:pPr>
    </w:p>
    <w:p w14:paraId="28D92BC9">
      <w:pPr>
        <w:spacing w:line="480" w:lineRule="exact"/>
        <w:jc w:val="center"/>
        <w:outlineLvl w:val="9"/>
        <w:rPr>
          <w:rFonts w:ascii="宋体" w:hAnsi="宋体" w:eastAsia="宋体" w:cs="宋体"/>
          <w:color w:val="auto"/>
          <w:sz w:val="24"/>
          <w:szCs w:val="24"/>
        </w:rPr>
      </w:pPr>
    </w:p>
    <w:p w14:paraId="2415C33A">
      <w:pPr>
        <w:spacing w:line="480" w:lineRule="exact"/>
        <w:jc w:val="center"/>
        <w:outlineLvl w:val="9"/>
        <w:rPr>
          <w:rFonts w:ascii="宋体" w:hAnsi="宋体" w:eastAsia="宋体" w:cs="宋体"/>
          <w:color w:val="auto"/>
          <w:sz w:val="24"/>
          <w:szCs w:val="24"/>
        </w:rPr>
      </w:pPr>
    </w:p>
    <w:p w14:paraId="1E8DF428">
      <w:pPr>
        <w:spacing w:line="480" w:lineRule="exact"/>
        <w:jc w:val="center"/>
        <w:outlineLvl w:val="9"/>
        <w:rPr>
          <w:rFonts w:ascii="宋体" w:hAnsi="宋体" w:eastAsia="宋体" w:cs="宋体"/>
          <w:color w:val="auto"/>
          <w:sz w:val="24"/>
          <w:szCs w:val="24"/>
        </w:rPr>
      </w:pPr>
    </w:p>
    <w:p w14:paraId="6504D9BB">
      <w:pPr>
        <w:spacing w:line="480" w:lineRule="exact"/>
        <w:jc w:val="center"/>
        <w:outlineLvl w:val="9"/>
        <w:rPr>
          <w:rFonts w:ascii="宋体" w:hAnsi="宋体" w:eastAsia="宋体" w:cs="宋体"/>
          <w:color w:val="auto"/>
          <w:sz w:val="24"/>
          <w:szCs w:val="24"/>
        </w:rPr>
      </w:pPr>
    </w:p>
    <w:p w14:paraId="13532F4D">
      <w:pPr>
        <w:spacing w:line="480" w:lineRule="exact"/>
        <w:jc w:val="center"/>
        <w:outlineLvl w:val="9"/>
        <w:rPr>
          <w:rFonts w:ascii="宋体" w:hAnsi="宋体" w:eastAsia="宋体" w:cs="宋体"/>
          <w:sz w:val="24"/>
        </w:rPr>
      </w:pPr>
    </w:p>
    <w:p w14:paraId="1CC63190">
      <w:pPr>
        <w:outlineLvl w:val="9"/>
        <w:rPr>
          <w:rFonts w:ascii="宋体" w:hAnsi="宋体" w:cs="宋体"/>
          <w:sz w:val="24"/>
        </w:rPr>
      </w:pPr>
    </w:p>
    <w:p w14:paraId="3BFC39D5">
      <w:pPr>
        <w:outlineLvl w:val="9"/>
        <w:rPr>
          <w:rFonts w:ascii="宋体" w:hAnsi="宋体" w:cs="宋体"/>
          <w:sz w:val="24"/>
        </w:rPr>
      </w:pPr>
    </w:p>
    <w:p w14:paraId="0B7E69DD">
      <w:pPr>
        <w:spacing w:line="480" w:lineRule="exact"/>
        <w:jc w:val="both"/>
        <w:outlineLvl w:val="9"/>
        <w:rPr>
          <w:rFonts w:ascii="宋体" w:hAnsi="宋体" w:eastAsia="宋体" w:cs="宋体"/>
          <w:color w:val="auto"/>
          <w:sz w:val="36"/>
          <w:szCs w:val="36"/>
        </w:rPr>
      </w:pPr>
      <w:bookmarkStart w:id="34" w:name="_Toc505612957"/>
    </w:p>
    <w:p w14:paraId="66E0286E">
      <w:pPr>
        <w:pStyle w:val="3"/>
        <w:spacing w:line="480" w:lineRule="exact"/>
        <w:jc w:val="center"/>
        <w:rPr>
          <w:rFonts w:ascii="宋体" w:hAnsi="宋体" w:eastAsia="宋体" w:cs="宋体"/>
          <w:color w:val="auto"/>
          <w:sz w:val="36"/>
          <w:szCs w:val="36"/>
        </w:rPr>
      </w:pPr>
      <w:r>
        <w:rPr>
          <w:rFonts w:hint="eastAsia" w:ascii="宋体" w:hAnsi="宋体" w:eastAsia="宋体" w:cs="宋体"/>
          <w:color w:val="auto"/>
          <w:sz w:val="36"/>
          <w:szCs w:val="36"/>
        </w:rPr>
        <w:t>第二章  供应商须知</w:t>
      </w:r>
      <w:bookmarkEnd w:id="34"/>
    </w:p>
    <w:p w14:paraId="70EEF79C">
      <w:pPr>
        <w:pStyle w:val="4"/>
        <w:spacing w:before="0" w:after="0" w:line="480" w:lineRule="exact"/>
        <w:rPr>
          <w:rFonts w:ascii="宋体" w:hAnsi="宋体" w:cs="宋体"/>
          <w:sz w:val="24"/>
          <w:szCs w:val="24"/>
        </w:rPr>
      </w:pPr>
      <w:r>
        <w:rPr>
          <w:rFonts w:hint="eastAsia" w:ascii="宋体" w:hAnsi="宋体" w:cs="宋体"/>
          <w:sz w:val="24"/>
          <w:szCs w:val="24"/>
        </w:rPr>
        <w:br w:type="page"/>
      </w:r>
      <w:bookmarkStart w:id="35" w:name="_Toc505612958"/>
      <w:bookmarkStart w:id="36" w:name="_Toc498367333"/>
      <w:bookmarkStart w:id="37" w:name="_Toc86124039"/>
      <w:bookmarkStart w:id="38" w:name="_Toc450312161"/>
      <w:bookmarkStart w:id="39" w:name="_Toc495941893"/>
      <w:r>
        <w:rPr>
          <w:rFonts w:hint="eastAsia" w:ascii="宋体" w:hAnsi="宋体" w:cs="宋体"/>
          <w:sz w:val="24"/>
          <w:szCs w:val="24"/>
        </w:rPr>
        <w:t>一、供应商须知前附表</w:t>
      </w:r>
      <w:bookmarkEnd w:id="35"/>
      <w:bookmarkEnd w:id="36"/>
      <w:bookmarkEnd w:id="37"/>
      <w:bookmarkEnd w:id="38"/>
      <w:bookmarkEnd w:id="39"/>
    </w:p>
    <w:tbl>
      <w:tblPr>
        <w:tblStyle w:val="38"/>
        <w:tblW w:w="9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2028"/>
        <w:gridCol w:w="6556"/>
      </w:tblGrid>
      <w:tr w14:paraId="3D1A9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064" w:type="dxa"/>
            <w:vAlign w:val="center"/>
          </w:tcPr>
          <w:p w14:paraId="72BFC67F">
            <w:pPr>
              <w:pStyle w:val="18"/>
              <w:spacing w:line="440" w:lineRule="exact"/>
              <w:jc w:val="center"/>
              <w:rPr>
                <w:rFonts w:hAnsi="宋体" w:cs="宋体"/>
                <w:b/>
                <w:kern w:val="0"/>
                <w:sz w:val="24"/>
                <w:szCs w:val="24"/>
              </w:rPr>
            </w:pPr>
            <w:r>
              <w:rPr>
                <w:rFonts w:hint="eastAsia" w:hAnsi="宋体" w:cs="宋体"/>
                <w:b/>
                <w:kern w:val="0"/>
                <w:sz w:val="24"/>
                <w:szCs w:val="24"/>
              </w:rPr>
              <w:t>条款号</w:t>
            </w:r>
          </w:p>
        </w:tc>
        <w:tc>
          <w:tcPr>
            <w:tcW w:w="2028" w:type="dxa"/>
            <w:vAlign w:val="center"/>
          </w:tcPr>
          <w:p w14:paraId="0E71668F">
            <w:pPr>
              <w:pStyle w:val="18"/>
              <w:spacing w:line="440" w:lineRule="exact"/>
              <w:jc w:val="center"/>
              <w:rPr>
                <w:rFonts w:hAnsi="宋体" w:cs="宋体"/>
                <w:b/>
                <w:kern w:val="0"/>
                <w:sz w:val="24"/>
                <w:szCs w:val="24"/>
              </w:rPr>
            </w:pPr>
            <w:r>
              <w:rPr>
                <w:rFonts w:hint="eastAsia" w:hAnsi="宋体" w:cs="宋体"/>
                <w:b/>
                <w:kern w:val="0"/>
                <w:sz w:val="24"/>
                <w:szCs w:val="24"/>
              </w:rPr>
              <w:t>条 款 名 称</w:t>
            </w:r>
          </w:p>
        </w:tc>
        <w:tc>
          <w:tcPr>
            <w:tcW w:w="6556" w:type="dxa"/>
            <w:vAlign w:val="center"/>
          </w:tcPr>
          <w:p w14:paraId="591825FE">
            <w:pPr>
              <w:pStyle w:val="18"/>
              <w:spacing w:line="440" w:lineRule="exact"/>
              <w:jc w:val="center"/>
              <w:rPr>
                <w:rFonts w:hAnsi="宋体" w:cs="宋体"/>
                <w:b/>
                <w:kern w:val="0"/>
                <w:sz w:val="24"/>
                <w:szCs w:val="24"/>
              </w:rPr>
            </w:pPr>
            <w:r>
              <w:rPr>
                <w:rFonts w:hint="eastAsia" w:hAnsi="宋体" w:cs="宋体"/>
                <w:b/>
                <w:kern w:val="0"/>
                <w:sz w:val="24"/>
                <w:szCs w:val="24"/>
              </w:rPr>
              <w:t>编 列 内 容</w:t>
            </w:r>
          </w:p>
        </w:tc>
      </w:tr>
      <w:tr w14:paraId="50F53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4" w:type="dxa"/>
            <w:vMerge w:val="restart"/>
            <w:vAlign w:val="center"/>
          </w:tcPr>
          <w:p w14:paraId="507C9E37">
            <w:pPr>
              <w:pStyle w:val="18"/>
              <w:spacing w:line="440" w:lineRule="exact"/>
              <w:jc w:val="center"/>
              <w:rPr>
                <w:rFonts w:hAnsi="宋体" w:cs="宋体"/>
                <w:kern w:val="0"/>
                <w:sz w:val="24"/>
                <w:szCs w:val="24"/>
              </w:rPr>
            </w:pPr>
            <w:r>
              <w:rPr>
                <w:rFonts w:hint="eastAsia" w:hAnsi="宋体" w:cs="宋体"/>
                <w:kern w:val="0"/>
                <w:sz w:val="24"/>
                <w:szCs w:val="24"/>
              </w:rPr>
              <w:t>1.2</w:t>
            </w:r>
          </w:p>
        </w:tc>
        <w:tc>
          <w:tcPr>
            <w:tcW w:w="2028" w:type="dxa"/>
            <w:vAlign w:val="center"/>
          </w:tcPr>
          <w:p w14:paraId="286AF30D">
            <w:pPr>
              <w:pStyle w:val="18"/>
              <w:spacing w:line="440" w:lineRule="exact"/>
              <w:rPr>
                <w:rFonts w:hAnsi="宋体" w:cs="宋体"/>
                <w:kern w:val="0"/>
                <w:sz w:val="24"/>
                <w:szCs w:val="24"/>
                <w:u w:val="single"/>
              </w:rPr>
            </w:pPr>
            <w:r>
              <w:rPr>
                <w:rFonts w:hint="eastAsia" w:hAnsi="宋体" w:cs="宋体"/>
                <w:bCs/>
                <w:kern w:val="0"/>
                <w:sz w:val="24"/>
                <w:szCs w:val="24"/>
              </w:rPr>
              <w:t>采购人</w:t>
            </w:r>
          </w:p>
        </w:tc>
        <w:tc>
          <w:tcPr>
            <w:tcW w:w="6556" w:type="dxa"/>
            <w:vAlign w:val="center"/>
          </w:tcPr>
          <w:p w14:paraId="77D9FC86">
            <w:pPr>
              <w:pStyle w:val="18"/>
              <w:spacing w:line="440" w:lineRule="exact"/>
              <w:rPr>
                <w:rFonts w:hint="eastAsia" w:hAnsi="宋体" w:eastAsia="宋体" w:cs="宋体"/>
                <w:kern w:val="0"/>
                <w:sz w:val="24"/>
                <w:szCs w:val="24"/>
                <w:lang w:eastAsia="zh-CN"/>
              </w:rPr>
            </w:pPr>
            <w:r>
              <w:rPr>
                <w:rFonts w:hint="eastAsia" w:hAnsi="宋体" w:cs="宋体"/>
                <w:kern w:val="0"/>
                <w:sz w:val="24"/>
                <w:szCs w:val="24"/>
                <w:lang w:eastAsia="zh-CN"/>
              </w:rPr>
              <w:t>昭通市公安局交通管理支队</w:t>
            </w:r>
          </w:p>
        </w:tc>
      </w:tr>
      <w:tr w14:paraId="2CB2B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4" w:type="dxa"/>
            <w:vMerge w:val="continue"/>
            <w:vAlign w:val="center"/>
          </w:tcPr>
          <w:p w14:paraId="18D1E8F8">
            <w:pPr>
              <w:spacing w:line="440" w:lineRule="exact"/>
              <w:rPr>
                <w:rFonts w:ascii="宋体" w:hAnsi="宋体" w:cs="宋体"/>
                <w:sz w:val="24"/>
              </w:rPr>
            </w:pPr>
          </w:p>
        </w:tc>
        <w:tc>
          <w:tcPr>
            <w:tcW w:w="2028" w:type="dxa"/>
            <w:vAlign w:val="center"/>
          </w:tcPr>
          <w:p w14:paraId="46D3177A">
            <w:pPr>
              <w:pStyle w:val="18"/>
              <w:spacing w:line="440" w:lineRule="exact"/>
              <w:rPr>
                <w:rFonts w:hAnsi="宋体" w:cs="宋体"/>
                <w:bCs/>
                <w:kern w:val="0"/>
                <w:sz w:val="24"/>
                <w:szCs w:val="24"/>
              </w:rPr>
            </w:pPr>
            <w:r>
              <w:rPr>
                <w:rFonts w:hint="eastAsia" w:hAnsi="宋体" w:cs="宋体"/>
                <w:bCs/>
                <w:kern w:val="0"/>
                <w:sz w:val="24"/>
                <w:szCs w:val="24"/>
              </w:rPr>
              <w:t>采购代理机构</w:t>
            </w:r>
          </w:p>
        </w:tc>
        <w:tc>
          <w:tcPr>
            <w:tcW w:w="6556" w:type="dxa"/>
            <w:vAlign w:val="center"/>
          </w:tcPr>
          <w:p w14:paraId="38F60D0A">
            <w:pPr>
              <w:pStyle w:val="18"/>
              <w:spacing w:line="440" w:lineRule="exact"/>
              <w:rPr>
                <w:rFonts w:hint="eastAsia" w:hAnsi="宋体" w:eastAsia="宋体" w:cs="宋体"/>
                <w:kern w:val="0"/>
                <w:sz w:val="24"/>
                <w:szCs w:val="24"/>
                <w:lang w:eastAsia="zh-CN"/>
              </w:rPr>
            </w:pPr>
            <w:r>
              <w:rPr>
                <w:rFonts w:hint="eastAsia" w:hAnsi="宋体" w:cs="宋体"/>
                <w:kern w:val="0"/>
                <w:sz w:val="24"/>
                <w:szCs w:val="24"/>
                <w:lang w:eastAsia="zh-CN"/>
              </w:rPr>
              <w:t>云南璟成工程项目管理有限公司</w:t>
            </w:r>
          </w:p>
        </w:tc>
      </w:tr>
      <w:tr w14:paraId="5A163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4" w:type="dxa"/>
            <w:vMerge w:val="continue"/>
            <w:vAlign w:val="center"/>
          </w:tcPr>
          <w:p w14:paraId="39B3EB6A">
            <w:pPr>
              <w:spacing w:line="440" w:lineRule="exact"/>
              <w:rPr>
                <w:rFonts w:ascii="宋体" w:hAnsi="宋体" w:cs="宋体"/>
                <w:sz w:val="24"/>
              </w:rPr>
            </w:pPr>
          </w:p>
        </w:tc>
        <w:tc>
          <w:tcPr>
            <w:tcW w:w="2028" w:type="dxa"/>
            <w:vAlign w:val="center"/>
          </w:tcPr>
          <w:p w14:paraId="0BF88F3A">
            <w:pPr>
              <w:pStyle w:val="18"/>
              <w:spacing w:line="440" w:lineRule="exact"/>
              <w:rPr>
                <w:rFonts w:hAnsi="宋体" w:cs="宋体"/>
                <w:kern w:val="0"/>
                <w:sz w:val="24"/>
                <w:szCs w:val="24"/>
              </w:rPr>
            </w:pPr>
            <w:r>
              <w:rPr>
                <w:rFonts w:hint="eastAsia" w:hAnsi="宋体" w:cs="宋体"/>
                <w:kern w:val="0"/>
                <w:sz w:val="24"/>
                <w:szCs w:val="24"/>
              </w:rPr>
              <w:t>项目名称</w:t>
            </w:r>
          </w:p>
        </w:tc>
        <w:tc>
          <w:tcPr>
            <w:tcW w:w="6556" w:type="dxa"/>
            <w:vAlign w:val="center"/>
          </w:tcPr>
          <w:p w14:paraId="1C516843">
            <w:pPr>
              <w:pStyle w:val="18"/>
              <w:spacing w:line="440" w:lineRule="exact"/>
              <w:rPr>
                <w:rFonts w:hint="eastAsia" w:hAnsi="宋体" w:eastAsia="宋体" w:cs="宋体"/>
                <w:bCs/>
                <w:sz w:val="28"/>
                <w:szCs w:val="24"/>
                <w:lang w:eastAsia="zh-CN"/>
              </w:rPr>
            </w:pPr>
            <w:r>
              <w:rPr>
                <w:rFonts w:hint="eastAsia" w:hAnsi="宋体" w:cs="宋体"/>
                <w:bCs/>
                <w:sz w:val="24"/>
                <w:szCs w:val="24"/>
                <w:lang w:eastAsia="zh-CN"/>
              </w:rPr>
              <w:t>昭通市公安局交通管理支队无人机采购项目</w:t>
            </w:r>
          </w:p>
        </w:tc>
      </w:tr>
      <w:tr w14:paraId="65B00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4" w:type="dxa"/>
            <w:vMerge w:val="continue"/>
            <w:vAlign w:val="center"/>
          </w:tcPr>
          <w:p w14:paraId="7D446D9F">
            <w:pPr>
              <w:spacing w:line="440" w:lineRule="exact"/>
              <w:rPr>
                <w:rFonts w:ascii="宋体" w:hAnsi="宋体" w:cs="宋体"/>
                <w:sz w:val="24"/>
              </w:rPr>
            </w:pPr>
          </w:p>
        </w:tc>
        <w:tc>
          <w:tcPr>
            <w:tcW w:w="2028" w:type="dxa"/>
            <w:vAlign w:val="center"/>
          </w:tcPr>
          <w:p w14:paraId="50510856">
            <w:pPr>
              <w:pStyle w:val="18"/>
              <w:spacing w:line="440" w:lineRule="exact"/>
              <w:rPr>
                <w:rFonts w:hAnsi="宋体" w:cs="宋体"/>
                <w:kern w:val="0"/>
                <w:sz w:val="24"/>
                <w:szCs w:val="24"/>
              </w:rPr>
            </w:pPr>
            <w:r>
              <w:rPr>
                <w:rFonts w:hint="eastAsia" w:hAnsi="宋体" w:cs="宋体"/>
                <w:kern w:val="0"/>
                <w:sz w:val="24"/>
                <w:szCs w:val="24"/>
              </w:rPr>
              <w:t>项目编号</w:t>
            </w:r>
          </w:p>
        </w:tc>
        <w:tc>
          <w:tcPr>
            <w:tcW w:w="6556" w:type="dxa"/>
            <w:vAlign w:val="center"/>
          </w:tcPr>
          <w:p w14:paraId="731557AE">
            <w:pPr>
              <w:pStyle w:val="18"/>
              <w:spacing w:line="440" w:lineRule="exact"/>
              <w:rPr>
                <w:rFonts w:hint="eastAsia" w:hAnsi="宋体" w:eastAsia="宋体" w:cs="宋体"/>
                <w:kern w:val="0"/>
                <w:sz w:val="24"/>
                <w:szCs w:val="24"/>
                <w:lang w:eastAsia="zh-CN"/>
              </w:rPr>
            </w:pPr>
            <w:r>
              <w:rPr>
                <w:rFonts w:hint="eastAsia" w:hAnsi="宋体" w:cs="宋体"/>
                <w:kern w:val="0"/>
                <w:sz w:val="24"/>
                <w:szCs w:val="24"/>
                <w:highlight w:val="none"/>
                <w:lang w:eastAsia="zh-CN"/>
              </w:rPr>
              <w:t>4530600JH202500254</w:t>
            </w:r>
          </w:p>
        </w:tc>
      </w:tr>
      <w:tr w14:paraId="509BD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4" w:type="dxa"/>
            <w:vAlign w:val="center"/>
          </w:tcPr>
          <w:p w14:paraId="33475766">
            <w:pPr>
              <w:spacing w:line="440" w:lineRule="exact"/>
              <w:jc w:val="center"/>
              <w:rPr>
                <w:rFonts w:ascii="宋体" w:hAnsi="宋体" w:cs="宋体"/>
                <w:sz w:val="24"/>
              </w:rPr>
            </w:pPr>
            <w:r>
              <w:rPr>
                <w:rFonts w:hint="eastAsia" w:ascii="宋体" w:hAnsi="宋体" w:cs="宋体"/>
                <w:sz w:val="24"/>
              </w:rPr>
              <w:t>2.1</w:t>
            </w:r>
          </w:p>
        </w:tc>
        <w:tc>
          <w:tcPr>
            <w:tcW w:w="2028" w:type="dxa"/>
            <w:vAlign w:val="center"/>
          </w:tcPr>
          <w:p w14:paraId="62F56F21">
            <w:pPr>
              <w:pStyle w:val="18"/>
              <w:spacing w:line="440" w:lineRule="exact"/>
              <w:rPr>
                <w:rFonts w:hAnsi="宋体" w:cs="宋体"/>
                <w:kern w:val="0"/>
                <w:sz w:val="24"/>
                <w:szCs w:val="24"/>
              </w:rPr>
            </w:pPr>
            <w:r>
              <w:rPr>
                <w:rFonts w:hint="eastAsia" w:hAnsi="宋体" w:cs="宋体"/>
                <w:kern w:val="0"/>
                <w:sz w:val="24"/>
                <w:szCs w:val="24"/>
              </w:rPr>
              <w:t>预算金额及最高限价</w:t>
            </w:r>
          </w:p>
        </w:tc>
        <w:tc>
          <w:tcPr>
            <w:tcW w:w="6556" w:type="dxa"/>
            <w:vAlign w:val="center"/>
          </w:tcPr>
          <w:p w14:paraId="27A62720">
            <w:pPr>
              <w:pStyle w:val="18"/>
              <w:spacing w:line="440" w:lineRule="exact"/>
              <w:rPr>
                <w:rFonts w:hAnsi="宋体" w:cs="宋体"/>
                <w:kern w:val="0"/>
                <w:sz w:val="24"/>
                <w:szCs w:val="24"/>
              </w:rPr>
            </w:pPr>
            <w:r>
              <w:rPr>
                <w:rFonts w:hint="eastAsia" w:hAnsi="宋体" w:cs="宋体"/>
                <w:kern w:val="0"/>
                <w:sz w:val="24"/>
                <w:shd w:val="clear" w:color="auto" w:fill="FFFFFF"/>
              </w:rPr>
              <w:t>伍拾壹万肆仟柒佰元整（¥514700.00）。</w:t>
            </w:r>
          </w:p>
        </w:tc>
      </w:tr>
      <w:tr w14:paraId="799FB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77FB61FE">
            <w:pPr>
              <w:pStyle w:val="18"/>
              <w:spacing w:line="440" w:lineRule="exact"/>
              <w:jc w:val="center"/>
              <w:rPr>
                <w:rFonts w:hAnsi="宋体" w:cs="宋体"/>
                <w:kern w:val="0"/>
                <w:sz w:val="24"/>
                <w:szCs w:val="24"/>
              </w:rPr>
            </w:pPr>
            <w:r>
              <w:rPr>
                <w:rFonts w:hint="eastAsia" w:hAnsi="宋体" w:cs="宋体"/>
                <w:kern w:val="0"/>
                <w:sz w:val="24"/>
                <w:szCs w:val="24"/>
              </w:rPr>
              <w:t>3.1</w:t>
            </w:r>
          </w:p>
        </w:tc>
        <w:tc>
          <w:tcPr>
            <w:tcW w:w="2028" w:type="dxa"/>
            <w:vAlign w:val="center"/>
          </w:tcPr>
          <w:p w14:paraId="62EF1C16">
            <w:pPr>
              <w:pStyle w:val="18"/>
              <w:spacing w:line="440" w:lineRule="exact"/>
              <w:rPr>
                <w:rFonts w:hAnsi="宋体" w:cs="宋体"/>
                <w:kern w:val="0"/>
                <w:sz w:val="24"/>
                <w:szCs w:val="24"/>
              </w:rPr>
            </w:pPr>
            <w:r>
              <w:rPr>
                <w:rFonts w:hint="eastAsia" w:hAnsi="宋体" w:cs="Arial"/>
                <w:bCs/>
                <w:kern w:val="0"/>
                <w:sz w:val="24"/>
              </w:rPr>
              <w:t>项目完成时限</w:t>
            </w:r>
            <w:r>
              <w:rPr>
                <w:rFonts w:hint="eastAsia" w:hAnsi="宋体" w:cs="宋体"/>
                <w:bCs/>
                <w:kern w:val="0"/>
                <w:sz w:val="24"/>
              </w:rPr>
              <w:t>、质保期及质</w:t>
            </w:r>
            <w:r>
              <w:rPr>
                <w:rFonts w:hint="eastAsia" w:hAnsi="宋体" w:cs="宋体"/>
                <w:bCs/>
                <w:kern w:val="0"/>
                <w:sz w:val="24"/>
                <w:szCs w:val="24"/>
              </w:rPr>
              <w:t>量要求</w:t>
            </w:r>
          </w:p>
        </w:tc>
        <w:tc>
          <w:tcPr>
            <w:tcW w:w="6556" w:type="dxa"/>
            <w:vAlign w:val="center"/>
          </w:tcPr>
          <w:p w14:paraId="5A12D26A">
            <w:pPr>
              <w:pStyle w:val="12"/>
              <w:spacing w:before="0" w:line="440" w:lineRule="exact"/>
              <w:rPr>
                <w:rFonts w:ascii="宋体" w:hAnsi="宋体"/>
              </w:rPr>
            </w:pPr>
            <w:r>
              <w:rPr>
                <w:rFonts w:hint="eastAsia" w:ascii="宋体" w:hAnsi="宋体"/>
                <w:b/>
                <w:kern w:val="0"/>
              </w:rPr>
              <w:t>项目完成时限</w:t>
            </w:r>
            <w:r>
              <w:rPr>
                <w:rFonts w:hint="eastAsia" w:ascii="宋体" w:hAnsi="宋体" w:cs="宋体"/>
                <w:b/>
                <w:bCs/>
                <w:kern w:val="0"/>
              </w:rPr>
              <w:t>：</w:t>
            </w:r>
            <w:r>
              <w:rPr>
                <w:rFonts w:hint="eastAsia" w:ascii="宋体" w:hAnsi="宋体" w:cs="宋体"/>
                <w:b w:val="0"/>
                <w:bCs w:val="0"/>
                <w:kern w:val="0"/>
                <w:highlight w:val="none"/>
                <w:lang w:eastAsia="zh-CN"/>
              </w:rPr>
              <w:t>合同签订后10个日历天内完成交货、安装、调试</w:t>
            </w:r>
            <w:r>
              <w:rPr>
                <w:rFonts w:hint="eastAsia" w:ascii="宋体" w:hAnsi="宋体"/>
                <w:b w:val="0"/>
                <w:bCs w:val="0"/>
                <w:highlight w:val="none"/>
              </w:rPr>
              <w:t>。</w:t>
            </w:r>
          </w:p>
          <w:p w14:paraId="7926F6C0">
            <w:pPr>
              <w:pStyle w:val="12"/>
              <w:spacing w:before="0" w:line="440" w:lineRule="exact"/>
              <w:rPr>
                <w:rFonts w:ascii="宋体" w:hAnsi="宋体" w:cs="宋体"/>
                <w:kern w:val="0"/>
              </w:rPr>
            </w:pPr>
            <w:r>
              <w:rPr>
                <w:rFonts w:hint="eastAsia" w:ascii="宋体" w:hAnsi="宋体" w:cs="宋体"/>
                <w:b/>
                <w:bCs/>
                <w:kern w:val="0"/>
              </w:rPr>
              <w:t>质保期：</w:t>
            </w:r>
            <w:r>
              <w:rPr>
                <w:rFonts w:hint="eastAsia" w:ascii="宋体" w:hAnsi="宋体" w:cs="宋体"/>
                <w:kern w:val="0"/>
              </w:rPr>
              <w:t>不低于三年。</w:t>
            </w:r>
          </w:p>
          <w:p w14:paraId="2A71D45D">
            <w:pPr>
              <w:pStyle w:val="12"/>
              <w:spacing w:before="0" w:line="440" w:lineRule="exact"/>
            </w:pPr>
            <w:r>
              <w:rPr>
                <w:rFonts w:hint="eastAsia" w:ascii="宋体" w:hAnsi="宋体" w:cs="宋体"/>
                <w:b/>
                <w:bCs/>
                <w:kern w:val="0"/>
              </w:rPr>
              <w:t>质量要求：</w:t>
            </w:r>
            <w:r>
              <w:rPr>
                <w:rFonts w:hint="eastAsia" w:ascii="宋体" w:hAnsi="宋体" w:cs="宋体"/>
                <w:kern w:val="0"/>
              </w:rPr>
              <w:t>符合现行国家相关规定及行业标准、要求，满足业主方要求，一次性验收合格。</w:t>
            </w:r>
          </w:p>
        </w:tc>
      </w:tr>
      <w:tr w14:paraId="49DD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64" w:type="dxa"/>
            <w:vAlign w:val="center"/>
          </w:tcPr>
          <w:p w14:paraId="2719D033">
            <w:pPr>
              <w:pStyle w:val="18"/>
              <w:spacing w:line="440" w:lineRule="exact"/>
              <w:jc w:val="center"/>
              <w:rPr>
                <w:rFonts w:hAnsi="宋体" w:cs="宋体"/>
                <w:kern w:val="0"/>
                <w:sz w:val="24"/>
                <w:szCs w:val="24"/>
              </w:rPr>
            </w:pPr>
            <w:r>
              <w:rPr>
                <w:rFonts w:hint="eastAsia" w:hAnsi="宋体" w:cs="宋体"/>
                <w:kern w:val="0"/>
                <w:sz w:val="24"/>
                <w:szCs w:val="24"/>
              </w:rPr>
              <w:t>3.2</w:t>
            </w:r>
          </w:p>
        </w:tc>
        <w:tc>
          <w:tcPr>
            <w:tcW w:w="2028" w:type="dxa"/>
            <w:vAlign w:val="center"/>
          </w:tcPr>
          <w:p w14:paraId="744603A7">
            <w:pPr>
              <w:pStyle w:val="18"/>
              <w:spacing w:line="440" w:lineRule="exact"/>
              <w:rPr>
                <w:rFonts w:hAnsi="宋体" w:cs="宋体"/>
                <w:kern w:val="0"/>
                <w:sz w:val="24"/>
                <w:szCs w:val="24"/>
              </w:rPr>
            </w:pPr>
            <w:r>
              <w:rPr>
                <w:rFonts w:hint="eastAsia" w:hAnsi="宋体" w:cs="宋体"/>
                <w:sz w:val="24"/>
                <w:szCs w:val="24"/>
              </w:rPr>
              <w:t>交货地点</w:t>
            </w:r>
          </w:p>
        </w:tc>
        <w:tc>
          <w:tcPr>
            <w:tcW w:w="6556" w:type="dxa"/>
            <w:vAlign w:val="center"/>
          </w:tcPr>
          <w:p w14:paraId="3CB2DC17">
            <w:pPr>
              <w:spacing w:line="440" w:lineRule="exact"/>
              <w:rPr>
                <w:rFonts w:hint="eastAsia" w:ascii="宋体" w:hAnsi="宋体" w:eastAsia="宋体" w:cs="宋体"/>
                <w:sz w:val="24"/>
                <w:lang w:eastAsia="zh-CN"/>
              </w:rPr>
            </w:pPr>
            <w:r>
              <w:rPr>
                <w:rFonts w:hint="eastAsia" w:ascii="宋体" w:hAnsi="宋体" w:cs="宋体"/>
                <w:bCs/>
                <w:kern w:val="0"/>
                <w:sz w:val="24"/>
                <w:lang w:eastAsia="zh-CN"/>
              </w:rPr>
              <w:t>昭通市公安局交通管理支队。</w:t>
            </w:r>
          </w:p>
        </w:tc>
      </w:tr>
      <w:tr w14:paraId="07DA2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064" w:type="dxa"/>
            <w:vAlign w:val="center"/>
          </w:tcPr>
          <w:p w14:paraId="61738A3B">
            <w:pPr>
              <w:pStyle w:val="18"/>
              <w:spacing w:line="440" w:lineRule="exact"/>
              <w:jc w:val="center"/>
              <w:rPr>
                <w:rFonts w:hAnsi="宋体" w:cs="宋体"/>
                <w:kern w:val="0"/>
                <w:sz w:val="24"/>
                <w:szCs w:val="24"/>
              </w:rPr>
            </w:pPr>
            <w:r>
              <w:rPr>
                <w:rFonts w:hint="eastAsia" w:hAnsi="宋体" w:cs="宋体"/>
                <w:kern w:val="0"/>
                <w:sz w:val="24"/>
                <w:szCs w:val="24"/>
              </w:rPr>
              <w:t>3.3</w:t>
            </w:r>
          </w:p>
        </w:tc>
        <w:tc>
          <w:tcPr>
            <w:tcW w:w="2028" w:type="dxa"/>
            <w:vAlign w:val="center"/>
          </w:tcPr>
          <w:p w14:paraId="4FF07133">
            <w:pPr>
              <w:pStyle w:val="18"/>
              <w:spacing w:line="440" w:lineRule="exact"/>
              <w:rPr>
                <w:rFonts w:hAnsi="宋体" w:cs="宋体"/>
                <w:kern w:val="0"/>
                <w:sz w:val="24"/>
                <w:szCs w:val="24"/>
              </w:rPr>
            </w:pPr>
            <w:r>
              <w:rPr>
                <w:rFonts w:hint="eastAsia" w:hAnsi="宋体" w:cs="宋体"/>
                <w:bCs/>
                <w:sz w:val="24"/>
                <w:szCs w:val="24"/>
              </w:rPr>
              <w:t>采购范围</w:t>
            </w:r>
          </w:p>
        </w:tc>
        <w:tc>
          <w:tcPr>
            <w:tcW w:w="6556" w:type="dxa"/>
            <w:vAlign w:val="center"/>
          </w:tcPr>
          <w:p w14:paraId="7F597E2F">
            <w:pPr>
              <w:spacing w:line="440" w:lineRule="exact"/>
              <w:rPr>
                <w:rFonts w:ascii="宋体" w:hAnsi="宋体" w:cs="宋体"/>
                <w:bCs/>
                <w:sz w:val="24"/>
              </w:rPr>
            </w:pPr>
            <w:r>
              <w:rPr>
                <w:rFonts w:hint="eastAsia" w:ascii="宋体" w:hAnsi="宋体" w:cs="宋体"/>
                <w:bCs/>
                <w:sz w:val="24"/>
              </w:rPr>
              <w:t>详见竞争性谈判文件第六章。</w:t>
            </w:r>
          </w:p>
        </w:tc>
      </w:tr>
      <w:tr w14:paraId="72A76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7755A064">
            <w:pPr>
              <w:pStyle w:val="18"/>
              <w:spacing w:line="440" w:lineRule="exact"/>
              <w:jc w:val="center"/>
              <w:rPr>
                <w:rFonts w:hAnsi="宋体" w:cs="宋体"/>
                <w:kern w:val="0"/>
                <w:sz w:val="24"/>
                <w:szCs w:val="24"/>
              </w:rPr>
            </w:pPr>
            <w:r>
              <w:rPr>
                <w:rFonts w:hint="eastAsia" w:hAnsi="宋体" w:cs="宋体"/>
                <w:kern w:val="0"/>
                <w:sz w:val="24"/>
                <w:szCs w:val="24"/>
              </w:rPr>
              <w:t>4</w:t>
            </w:r>
          </w:p>
        </w:tc>
        <w:tc>
          <w:tcPr>
            <w:tcW w:w="2028" w:type="dxa"/>
            <w:vAlign w:val="center"/>
          </w:tcPr>
          <w:p w14:paraId="1DD44B74">
            <w:pPr>
              <w:pStyle w:val="18"/>
              <w:spacing w:line="440" w:lineRule="exact"/>
              <w:rPr>
                <w:rFonts w:hAnsi="宋体" w:cs="宋体"/>
                <w:kern w:val="0"/>
                <w:sz w:val="24"/>
                <w:szCs w:val="24"/>
              </w:rPr>
            </w:pPr>
            <w:r>
              <w:rPr>
                <w:rFonts w:hint="eastAsia" w:hAnsi="宋体" w:cs="宋体"/>
                <w:kern w:val="0"/>
                <w:sz w:val="24"/>
                <w:szCs w:val="24"/>
              </w:rPr>
              <w:t>供应商资格要求</w:t>
            </w:r>
          </w:p>
        </w:tc>
        <w:tc>
          <w:tcPr>
            <w:tcW w:w="6556" w:type="dxa"/>
            <w:vAlign w:val="center"/>
          </w:tcPr>
          <w:p w14:paraId="6A62A98B">
            <w:pPr>
              <w:widowControl/>
              <w:spacing w:line="440" w:lineRule="exact"/>
              <w:jc w:val="left"/>
              <w:rPr>
                <w:rFonts w:ascii="宋体" w:hAnsi="宋体"/>
                <w:b/>
                <w:sz w:val="24"/>
              </w:rPr>
            </w:pPr>
            <w:r>
              <w:rPr>
                <w:rFonts w:hint="eastAsia" w:ascii="宋体" w:hAnsi="宋体"/>
                <w:b/>
                <w:sz w:val="24"/>
              </w:rPr>
              <w:t>1.满足《中华人民共和国政府采购法》第二十二条规定；</w:t>
            </w:r>
          </w:p>
          <w:p w14:paraId="34DC0508">
            <w:pPr>
              <w:widowControl/>
              <w:spacing w:line="440" w:lineRule="exact"/>
              <w:jc w:val="left"/>
              <w:rPr>
                <w:rFonts w:ascii="宋体" w:hAnsi="宋体" w:cs="宋体"/>
                <w:color w:val="auto"/>
                <w:sz w:val="24"/>
                <w:highlight w:val="none"/>
              </w:rPr>
            </w:pPr>
            <w:r>
              <w:rPr>
                <w:rFonts w:hint="eastAsia" w:ascii="宋体" w:hAnsi="宋体" w:cs="宋体"/>
                <w:color w:val="auto"/>
                <w:sz w:val="24"/>
                <w:highlight w:val="none"/>
              </w:rPr>
              <w:t>1.1具有独立承担民事责任的能力(提供法人或者其他组织的营业执照等证明文件，自然人提供身份证明)；</w:t>
            </w:r>
          </w:p>
          <w:p w14:paraId="70D6D9B3">
            <w:pPr>
              <w:widowControl/>
              <w:spacing w:line="440" w:lineRule="exact"/>
              <w:jc w:val="left"/>
              <w:rPr>
                <w:rFonts w:ascii="宋体" w:hAnsi="宋体" w:cs="宋体"/>
                <w:color w:val="auto"/>
                <w:sz w:val="24"/>
                <w:highlight w:val="none"/>
              </w:rPr>
            </w:pPr>
            <w:r>
              <w:rPr>
                <w:rFonts w:hint="eastAsia" w:ascii="宋体" w:hAnsi="宋体" w:cs="宋体"/>
                <w:color w:val="auto"/>
                <w:sz w:val="24"/>
                <w:highlight w:val="none"/>
              </w:rPr>
              <w:t>1.2具有良好的商业信誉和健全的财务会计制度(提供202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年至今任意一年经审计的财务报告或银行出具的开标前一个月内的资信证明；成立不满1年的，提供自成立至今公司内部出具的财务报表或银行出具的开标前一个月内的资信证明)；</w:t>
            </w:r>
          </w:p>
          <w:p w14:paraId="32DB1EEB">
            <w:pPr>
              <w:widowControl/>
              <w:spacing w:line="440" w:lineRule="exact"/>
              <w:jc w:val="left"/>
              <w:rPr>
                <w:rFonts w:ascii="宋体" w:hAnsi="宋体" w:cs="宋体"/>
                <w:color w:val="auto"/>
                <w:sz w:val="24"/>
                <w:highlight w:val="none"/>
              </w:rPr>
            </w:pPr>
            <w:r>
              <w:rPr>
                <w:rFonts w:hint="eastAsia" w:ascii="宋体" w:hAnsi="宋体" w:cs="宋体"/>
                <w:color w:val="auto"/>
                <w:sz w:val="24"/>
                <w:highlight w:val="none"/>
              </w:rPr>
              <w:t>1.3具有履行合同所必需的设备和专业技术能力(提供声明函或证明材料)；</w:t>
            </w:r>
          </w:p>
          <w:p w14:paraId="7A21BE70">
            <w:pPr>
              <w:widowControl/>
              <w:spacing w:line="440" w:lineRule="exact"/>
              <w:jc w:val="left"/>
              <w:rPr>
                <w:rFonts w:ascii="宋体" w:hAnsi="宋体" w:cs="宋体"/>
                <w:color w:val="auto"/>
                <w:sz w:val="24"/>
                <w:highlight w:val="none"/>
              </w:rPr>
            </w:pPr>
            <w:r>
              <w:rPr>
                <w:rFonts w:hint="eastAsia" w:ascii="宋体" w:hAnsi="宋体" w:cs="宋体"/>
                <w:color w:val="auto"/>
                <w:sz w:val="24"/>
                <w:highlight w:val="none"/>
              </w:rPr>
              <w:t>1.4有依法缴纳税金和社会保障资金的良好记录(①提供所属时间在202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月至今任意</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个月的税务局税收通用缴款书或银行电子缴税(费)凭证或税务局出具纳税情况缴税的证明，依法免税的投标人应提供相应文件证明其依法免税；②提供缴费所属时间在202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月至今任意</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月的社会保险费缴款书或银行电子缴税(费)凭证或社保管理部门出具的有效的缴款证明，依法不需要缴纳社会保障资金的投标人应提供相应文件证明其不需要缴纳社会保障资金；成立不足1个月的提供相关证明材料；）；</w:t>
            </w:r>
          </w:p>
          <w:p w14:paraId="2A430CAF">
            <w:pPr>
              <w:widowControl/>
              <w:spacing w:line="440" w:lineRule="exact"/>
              <w:jc w:val="left"/>
              <w:rPr>
                <w:rFonts w:ascii="宋体" w:hAnsi="宋体" w:cs="宋体"/>
                <w:color w:val="auto"/>
                <w:sz w:val="24"/>
                <w:highlight w:val="none"/>
              </w:rPr>
            </w:pPr>
            <w:r>
              <w:rPr>
                <w:rFonts w:hint="eastAsia" w:ascii="宋体" w:hAnsi="宋体" w:cs="宋体"/>
                <w:color w:val="auto"/>
                <w:sz w:val="24"/>
                <w:highlight w:val="none"/>
              </w:rPr>
              <w:t>1.5参加政府采购活动前三年内，在经营活动中没有重大违法记录(提供声明函)；</w:t>
            </w:r>
          </w:p>
          <w:p w14:paraId="49D29B0C">
            <w:pPr>
              <w:spacing w:line="440" w:lineRule="exact"/>
              <w:rPr>
                <w:rFonts w:ascii="宋体" w:hAnsi="宋体" w:cs="宋体"/>
                <w:bCs/>
                <w:sz w:val="24"/>
              </w:rPr>
            </w:pPr>
            <w:r>
              <w:rPr>
                <w:rFonts w:hint="eastAsia" w:ascii="宋体" w:hAnsi="宋体" w:cs="宋体"/>
                <w:color w:val="auto"/>
                <w:sz w:val="24"/>
                <w:highlight w:val="none"/>
              </w:rPr>
              <w:t>1.6法律、行政法规规定的其他条件(提供声明函或证明材料)。</w:t>
            </w:r>
          </w:p>
          <w:p w14:paraId="68987C38">
            <w:pPr>
              <w:spacing w:line="440" w:lineRule="exact"/>
              <w:rPr>
                <w:rFonts w:ascii="宋体" w:hAnsi="宋体" w:cs="宋体"/>
                <w:b/>
                <w:sz w:val="24"/>
              </w:rPr>
            </w:pPr>
            <w:r>
              <w:rPr>
                <w:rFonts w:hint="eastAsia" w:ascii="宋体" w:hAnsi="宋体" w:cs="宋体"/>
                <w:b/>
                <w:sz w:val="24"/>
              </w:rPr>
              <w:t>2.落实政府采购政策需满足的资格要求：</w:t>
            </w:r>
            <w:r>
              <w:rPr>
                <w:rFonts w:hint="eastAsia" w:ascii="宋体" w:hAnsi="宋体"/>
                <w:b/>
                <w:sz w:val="24"/>
              </w:rPr>
              <w:t>无</w:t>
            </w:r>
            <w:r>
              <w:rPr>
                <w:rFonts w:hint="eastAsia" w:ascii="宋体" w:hAnsi="宋体" w:cs="宋体"/>
                <w:b/>
                <w:sz w:val="24"/>
              </w:rPr>
              <w:t>。</w:t>
            </w:r>
          </w:p>
          <w:p w14:paraId="6572CBA5">
            <w:pPr>
              <w:spacing w:line="440" w:lineRule="exact"/>
              <w:rPr>
                <w:rFonts w:ascii="宋体" w:hAnsi="宋体" w:cs="宋体"/>
                <w:b/>
                <w:sz w:val="24"/>
              </w:rPr>
            </w:pPr>
            <w:r>
              <w:rPr>
                <w:rFonts w:hint="eastAsia" w:ascii="宋体" w:hAnsi="宋体" w:cs="宋体"/>
                <w:b/>
                <w:sz w:val="24"/>
              </w:rPr>
              <w:t>3.本项目的特定资格要求：</w:t>
            </w:r>
          </w:p>
          <w:p w14:paraId="2416C0ED">
            <w:pPr>
              <w:spacing w:line="440" w:lineRule="exact"/>
              <w:rPr>
                <w:rFonts w:hint="eastAsia" w:ascii="宋体" w:hAnsi="宋体" w:eastAsia="宋体" w:cs="宋体"/>
                <w:bCs/>
                <w:sz w:val="24"/>
                <w:lang w:eastAsia="zh-CN"/>
              </w:rPr>
            </w:pPr>
            <w:r>
              <w:rPr>
                <w:rFonts w:hint="eastAsia" w:ascii="宋体" w:hAnsi="宋体" w:cs="宋体"/>
                <w:bCs/>
                <w:sz w:val="24"/>
              </w:rPr>
              <w:t>3.1</w:t>
            </w:r>
            <w:r>
              <w:rPr>
                <w:rFonts w:hint="eastAsia" w:ascii="宋体" w:hAnsi="宋体" w:eastAsia="宋体" w:cs="宋体"/>
                <w:color w:val="auto"/>
                <w:sz w:val="24"/>
                <w:highlight w:val="none"/>
              </w:rPr>
              <w:t>供应商应在“信用中国”网站(www.creditchina. gov.cn)未被列入失信被执行人记录、重大税收违法失信主体，且在中国政府采购网(www.ccgp.gov.cn)没有政府采购严重违法失信行为记录(被禁止在一定期限内参加政府采购活动但期限届满的除外)；参与本项目的供应商信用查询截止时点：响应文件递交截止当天查询，并提交谈判小组(查询结果以采购人、采购代理机构查询结果为准，并将查询记录留存，供应商无需再提供)</w:t>
            </w:r>
            <w:r>
              <w:rPr>
                <w:rFonts w:hint="eastAsia" w:ascii="宋体" w:hAnsi="宋体" w:cs="宋体"/>
                <w:bCs/>
                <w:sz w:val="24"/>
                <w:lang w:eastAsia="zh-CN"/>
              </w:rPr>
              <w:t>；</w:t>
            </w:r>
          </w:p>
          <w:p w14:paraId="7EDACB84">
            <w:pPr>
              <w:spacing w:line="440" w:lineRule="exact"/>
              <w:rPr>
                <w:rFonts w:ascii="宋体" w:hAnsi="宋体" w:cs="宋体"/>
                <w:bCs/>
                <w:sz w:val="24"/>
              </w:rPr>
            </w:pPr>
            <w:r>
              <w:rPr>
                <w:rFonts w:hint="eastAsia" w:ascii="宋体" w:hAnsi="宋体" w:cs="宋体"/>
                <w:bCs/>
                <w:sz w:val="24"/>
              </w:rPr>
              <w:t xml:space="preserve">3.2供应商需承诺供应商及法定代表人近三年内无行贿犯罪记录（提供承诺函）； </w:t>
            </w:r>
          </w:p>
          <w:p w14:paraId="13901B4E">
            <w:pPr>
              <w:spacing w:line="440" w:lineRule="exact"/>
              <w:rPr>
                <w:rFonts w:hint="eastAsia" w:ascii="宋体" w:hAnsi="宋体" w:eastAsia="宋体" w:cs="宋体"/>
                <w:bCs/>
                <w:sz w:val="24"/>
                <w:lang w:eastAsia="zh-CN"/>
              </w:rPr>
            </w:pPr>
            <w:r>
              <w:rPr>
                <w:rFonts w:hint="eastAsia" w:ascii="宋体" w:hAnsi="宋体" w:cs="宋体"/>
                <w:bCs/>
                <w:sz w:val="24"/>
              </w:rPr>
              <w:t>3.3单位负责人为同一人或者存在直接控股、管理关系的不同供应商，不得同时参与本项目的采购活动。为本项目提供过整体设计、规范编制或者项目管理、监理、检测等服务的供应商，不得再参加本次采购活动（提供承诺函）</w:t>
            </w:r>
            <w:r>
              <w:rPr>
                <w:rFonts w:hint="eastAsia" w:ascii="宋体" w:hAnsi="宋体" w:cs="宋体"/>
                <w:bCs/>
                <w:sz w:val="24"/>
                <w:lang w:eastAsia="zh-CN"/>
              </w:rPr>
              <w:t>；</w:t>
            </w:r>
          </w:p>
          <w:p w14:paraId="65953D27">
            <w:pPr>
              <w:spacing w:line="440" w:lineRule="exact"/>
              <w:rPr>
                <w:rFonts w:ascii="宋体" w:hAnsi="宋体" w:cs="宋体"/>
                <w:bCs/>
                <w:sz w:val="24"/>
              </w:rPr>
            </w:pPr>
            <w:r>
              <w:rPr>
                <w:rFonts w:hint="eastAsia" w:ascii="宋体" w:hAnsi="宋体" w:cs="宋体"/>
                <w:bCs/>
                <w:sz w:val="24"/>
              </w:rPr>
              <w:t>3.4本项目不接受联合体投标。</w:t>
            </w:r>
          </w:p>
        </w:tc>
      </w:tr>
      <w:tr w14:paraId="055E7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2E0F1A7D">
            <w:pPr>
              <w:pStyle w:val="18"/>
              <w:spacing w:line="440" w:lineRule="exact"/>
              <w:jc w:val="center"/>
              <w:rPr>
                <w:rFonts w:hAnsi="宋体" w:cs="宋体"/>
                <w:kern w:val="0"/>
                <w:sz w:val="24"/>
                <w:szCs w:val="24"/>
              </w:rPr>
            </w:pPr>
            <w:r>
              <w:rPr>
                <w:rFonts w:hint="eastAsia" w:hAnsi="宋体" w:cs="宋体"/>
                <w:kern w:val="0"/>
                <w:sz w:val="24"/>
                <w:szCs w:val="24"/>
              </w:rPr>
              <w:t>5.1</w:t>
            </w:r>
          </w:p>
        </w:tc>
        <w:tc>
          <w:tcPr>
            <w:tcW w:w="2028" w:type="dxa"/>
            <w:vAlign w:val="center"/>
          </w:tcPr>
          <w:p w14:paraId="33885092">
            <w:pPr>
              <w:pStyle w:val="18"/>
              <w:spacing w:line="440" w:lineRule="exact"/>
              <w:rPr>
                <w:rFonts w:hAnsi="宋体" w:cs="宋体"/>
                <w:kern w:val="0"/>
                <w:sz w:val="24"/>
                <w:szCs w:val="24"/>
              </w:rPr>
            </w:pPr>
            <w:r>
              <w:rPr>
                <w:rFonts w:hint="eastAsia" w:hAnsi="宋体" w:cs="宋体"/>
                <w:kern w:val="0"/>
                <w:sz w:val="24"/>
                <w:szCs w:val="24"/>
              </w:rPr>
              <w:t>现场踏勘</w:t>
            </w:r>
          </w:p>
        </w:tc>
        <w:tc>
          <w:tcPr>
            <w:tcW w:w="6556" w:type="dxa"/>
            <w:vAlign w:val="center"/>
          </w:tcPr>
          <w:p w14:paraId="3CE0D51F">
            <w:pPr>
              <w:spacing w:line="440" w:lineRule="exact"/>
              <w:rPr>
                <w:rFonts w:ascii="宋体" w:hAnsi="宋体" w:cs="宋体"/>
                <w:sz w:val="24"/>
              </w:rPr>
            </w:pPr>
            <w:r>
              <w:rPr>
                <w:rFonts w:hint="eastAsia" w:ascii="宋体" w:hAnsi="宋体" w:cs="宋体"/>
                <w:sz w:val="24"/>
              </w:rPr>
              <w:t>不组织。</w:t>
            </w:r>
          </w:p>
        </w:tc>
      </w:tr>
      <w:tr w14:paraId="23775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58FF27B3">
            <w:pPr>
              <w:pStyle w:val="18"/>
              <w:spacing w:line="440" w:lineRule="exact"/>
              <w:jc w:val="center"/>
              <w:rPr>
                <w:rFonts w:hAnsi="宋体" w:cs="宋体"/>
                <w:kern w:val="0"/>
                <w:sz w:val="24"/>
                <w:szCs w:val="24"/>
              </w:rPr>
            </w:pPr>
            <w:r>
              <w:rPr>
                <w:rFonts w:hint="eastAsia" w:hAnsi="宋体" w:cs="宋体"/>
                <w:kern w:val="0"/>
                <w:sz w:val="24"/>
                <w:szCs w:val="24"/>
              </w:rPr>
              <w:t>7.1</w:t>
            </w:r>
          </w:p>
        </w:tc>
        <w:tc>
          <w:tcPr>
            <w:tcW w:w="2028" w:type="dxa"/>
            <w:vAlign w:val="center"/>
          </w:tcPr>
          <w:p w14:paraId="50024B18">
            <w:pPr>
              <w:autoSpaceDE w:val="0"/>
              <w:autoSpaceDN w:val="0"/>
              <w:snapToGrid w:val="0"/>
              <w:spacing w:line="440" w:lineRule="exact"/>
              <w:textAlignment w:val="bottom"/>
              <w:rPr>
                <w:rFonts w:ascii="宋体" w:hAnsi="宋体" w:cs="宋体"/>
                <w:kern w:val="0"/>
                <w:sz w:val="24"/>
              </w:rPr>
            </w:pPr>
            <w:r>
              <w:rPr>
                <w:rFonts w:hint="eastAsia" w:ascii="宋体" w:hAnsi="宋体" w:cs="宋体"/>
                <w:kern w:val="0"/>
                <w:sz w:val="24"/>
              </w:rPr>
              <w:t>谈判文件澄清</w:t>
            </w:r>
            <w:r>
              <w:rPr>
                <w:rFonts w:hint="eastAsia" w:ascii="宋体" w:hAnsi="宋体" w:cs="宋体"/>
                <w:sz w:val="24"/>
              </w:rPr>
              <w:t>截止时间</w:t>
            </w:r>
          </w:p>
        </w:tc>
        <w:tc>
          <w:tcPr>
            <w:tcW w:w="6556" w:type="dxa"/>
            <w:vAlign w:val="center"/>
          </w:tcPr>
          <w:p w14:paraId="3A0706E0">
            <w:pPr>
              <w:autoSpaceDE w:val="0"/>
              <w:autoSpaceDN w:val="0"/>
              <w:snapToGrid w:val="0"/>
              <w:spacing w:line="440" w:lineRule="exact"/>
              <w:textAlignment w:val="bottom"/>
              <w:rPr>
                <w:rFonts w:ascii="宋体" w:hAnsi="宋体" w:cs="宋体"/>
                <w:kern w:val="0"/>
                <w:sz w:val="24"/>
              </w:rPr>
            </w:pPr>
            <w:r>
              <w:rPr>
                <w:rFonts w:hint="eastAsia" w:ascii="宋体" w:hAnsi="宋体" w:cs="宋体"/>
                <w:sz w:val="24"/>
              </w:rPr>
              <w:t>提交响应文件截止时间</w:t>
            </w:r>
            <w:r>
              <w:rPr>
                <w:rFonts w:hint="eastAsia" w:ascii="宋体" w:hAnsi="宋体" w:cs="宋体"/>
                <w:sz w:val="24"/>
                <w:u w:val="single"/>
              </w:rPr>
              <w:t>3</w:t>
            </w:r>
            <w:r>
              <w:rPr>
                <w:rFonts w:hint="eastAsia" w:ascii="宋体" w:hAnsi="宋体" w:cs="宋体"/>
                <w:sz w:val="24"/>
              </w:rPr>
              <w:t>日前</w:t>
            </w:r>
          </w:p>
        </w:tc>
      </w:tr>
      <w:tr w14:paraId="560CD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1064" w:type="dxa"/>
            <w:vAlign w:val="center"/>
          </w:tcPr>
          <w:p w14:paraId="5E922498">
            <w:pPr>
              <w:pStyle w:val="18"/>
              <w:spacing w:line="440" w:lineRule="exact"/>
              <w:jc w:val="center"/>
              <w:rPr>
                <w:rFonts w:hAnsi="宋体" w:cs="宋体"/>
                <w:kern w:val="0"/>
                <w:sz w:val="24"/>
                <w:szCs w:val="24"/>
              </w:rPr>
            </w:pPr>
            <w:r>
              <w:rPr>
                <w:rFonts w:hint="eastAsia" w:hAnsi="宋体" w:cs="宋体"/>
                <w:kern w:val="0"/>
                <w:sz w:val="24"/>
                <w:szCs w:val="24"/>
              </w:rPr>
              <w:t>7.5</w:t>
            </w:r>
          </w:p>
        </w:tc>
        <w:tc>
          <w:tcPr>
            <w:tcW w:w="2028" w:type="dxa"/>
            <w:vAlign w:val="center"/>
          </w:tcPr>
          <w:p w14:paraId="4BC98913">
            <w:pPr>
              <w:autoSpaceDE w:val="0"/>
              <w:autoSpaceDN w:val="0"/>
              <w:snapToGrid w:val="0"/>
              <w:spacing w:line="440" w:lineRule="exact"/>
              <w:textAlignment w:val="bottom"/>
              <w:rPr>
                <w:rFonts w:ascii="宋体" w:hAnsi="宋体" w:cs="宋体"/>
                <w:kern w:val="0"/>
                <w:sz w:val="24"/>
              </w:rPr>
            </w:pPr>
            <w:r>
              <w:rPr>
                <w:rFonts w:hint="eastAsia" w:ascii="宋体" w:hAnsi="宋体" w:cs="宋体"/>
                <w:sz w:val="24"/>
              </w:rPr>
              <w:t>本项目谈判小组根据与供应商谈判情况可能实质性变动的内容</w:t>
            </w:r>
          </w:p>
        </w:tc>
        <w:tc>
          <w:tcPr>
            <w:tcW w:w="6556" w:type="dxa"/>
            <w:vAlign w:val="center"/>
          </w:tcPr>
          <w:p w14:paraId="28A96940">
            <w:pPr>
              <w:autoSpaceDE w:val="0"/>
              <w:autoSpaceDN w:val="0"/>
              <w:snapToGrid w:val="0"/>
              <w:spacing w:line="440" w:lineRule="exact"/>
              <w:textAlignment w:val="bottom"/>
              <w:rPr>
                <w:rFonts w:ascii="宋体" w:hAnsi="宋体" w:cs="宋体"/>
                <w:sz w:val="24"/>
              </w:rPr>
            </w:pPr>
            <w:r>
              <w:rPr>
                <w:rFonts w:hint="eastAsia" w:ascii="宋体" w:hAnsi="宋体" w:cs="宋体"/>
                <w:sz w:val="24"/>
              </w:rPr>
              <w:t>第六章  采购需求</w:t>
            </w:r>
          </w:p>
        </w:tc>
      </w:tr>
      <w:tr w14:paraId="7939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1064" w:type="dxa"/>
            <w:vAlign w:val="center"/>
          </w:tcPr>
          <w:p w14:paraId="714E2374">
            <w:pPr>
              <w:pStyle w:val="18"/>
              <w:spacing w:line="440" w:lineRule="exact"/>
              <w:jc w:val="center"/>
              <w:rPr>
                <w:rFonts w:hAnsi="宋体" w:cs="宋体"/>
                <w:kern w:val="0"/>
                <w:sz w:val="24"/>
                <w:szCs w:val="24"/>
              </w:rPr>
            </w:pPr>
            <w:r>
              <w:rPr>
                <w:rFonts w:hint="eastAsia" w:hAnsi="宋体" w:cs="宋体"/>
                <w:kern w:val="0"/>
                <w:sz w:val="24"/>
                <w:szCs w:val="24"/>
              </w:rPr>
              <w:t xml:space="preserve">9.1 </w:t>
            </w:r>
          </w:p>
        </w:tc>
        <w:tc>
          <w:tcPr>
            <w:tcW w:w="2028" w:type="dxa"/>
            <w:vAlign w:val="center"/>
          </w:tcPr>
          <w:p w14:paraId="163B05A7">
            <w:pPr>
              <w:autoSpaceDE w:val="0"/>
              <w:autoSpaceDN w:val="0"/>
              <w:snapToGrid w:val="0"/>
              <w:spacing w:line="440" w:lineRule="exact"/>
              <w:textAlignment w:val="bottom"/>
              <w:rPr>
                <w:rFonts w:ascii="宋体" w:hAnsi="宋体" w:cs="宋体"/>
                <w:kern w:val="0"/>
                <w:sz w:val="24"/>
              </w:rPr>
            </w:pPr>
            <w:r>
              <w:rPr>
                <w:rFonts w:hint="eastAsia" w:ascii="宋体" w:hAnsi="宋体" w:cs="宋体"/>
                <w:kern w:val="0"/>
                <w:sz w:val="24"/>
              </w:rPr>
              <w:t>构成响应文件的其他资料</w:t>
            </w:r>
          </w:p>
        </w:tc>
        <w:tc>
          <w:tcPr>
            <w:tcW w:w="6556" w:type="dxa"/>
            <w:vAlign w:val="center"/>
          </w:tcPr>
          <w:p w14:paraId="48E19A24">
            <w:pPr>
              <w:autoSpaceDE w:val="0"/>
              <w:autoSpaceDN w:val="0"/>
              <w:snapToGrid w:val="0"/>
              <w:spacing w:line="440" w:lineRule="exact"/>
              <w:textAlignment w:val="bottom"/>
              <w:rPr>
                <w:rFonts w:ascii="宋体" w:hAnsi="宋体" w:cs="宋体"/>
                <w:kern w:val="0"/>
                <w:sz w:val="24"/>
              </w:rPr>
            </w:pPr>
            <w:r>
              <w:rPr>
                <w:rFonts w:hint="eastAsia" w:ascii="宋体" w:hAnsi="宋体" w:cs="宋体"/>
                <w:kern w:val="0"/>
                <w:sz w:val="24"/>
              </w:rPr>
              <w:t>若谈判文件中另有要求的，则还应满足其他要求中的相关资质要求。</w:t>
            </w:r>
          </w:p>
          <w:p w14:paraId="649BC1F5">
            <w:pPr>
              <w:pStyle w:val="18"/>
              <w:spacing w:line="440" w:lineRule="exact"/>
              <w:jc w:val="both"/>
              <w:rPr>
                <w:rFonts w:hAnsi="宋体" w:cs="宋体"/>
                <w:kern w:val="0"/>
                <w:sz w:val="24"/>
                <w:szCs w:val="24"/>
              </w:rPr>
            </w:pPr>
            <w:r>
              <w:rPr>
                <w:rFonts w:hint="eastAsia" w:hAnsi="宋体" w:cs="宋体"/>
                <w:kern w:val="0"/>
                <w:sz w:val="24"/>
              </w:rPr>
              <w:t>供应商资格要求中要求提供的资料以及供应商认为需要提供的其他资料。</w:t>
            </w:r>
          </w:p>
        </w:tc>
      </w:tr>
      <w:tr w14:paraId="6DB1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687FDA62">
            <w:pPr>
              <w:pStyle w:val="18"/>
              <w:spacing w:line="440" w:lineRule="exact"/>
              <w:jc w:val="center"/>
              <w:rPr>
                <w:rFonts w:hAnsi="宋体" w:cs="宋体"/>
                <w:kern w:val="0"/>
                <w:sz w:val="24"/>
                <w:szCs w:val="24"/>
              </w:rPr>
            </w:pPr>
            <w:r>
              <w:rPr>
                <w:rFonts w:hint="eastAsia" w:hAnsi="宋体" w:cs="宋体"/>
                <w:kern w:val="0"/>
                <w:sz w:val="24"/>
                <w:szCs w:val="24"/>
              </w:rPr>
              <w:t>11.1</w:t>
            </w:r>
          </w:p>
        </w:tc>
        <w:tc>
          <w:tcPr>
            <w:tcW w:w="2028" w:type="dxa"/>
            <w:vAlign w:val="center"/>
          </w:tcPr>
          <w:p w14:paraId="47A3C446">
            <w:pPr>
              <w:pStyle w:val="18"/>
              <w:spacing w:line="440" w:lineRule="exact"/>
              <w:rPr>
                <w:rFonts w:hAnsi="宋体" w:cs="宋体"/>
                <w:kern w:val="0"/>
                <w:sz w:val="24"/>
                <w:szCs w:val="24"/>
              </w:rPr>
            </w:pPr>
            <w:r>
              <w:rPr>
                <w:rFonts w:hint="eastAsia" w:hAnsi="宋体" w:cs="宋体"/>
                <w:kern w:val="0"/>
                <w:sz w:val="24"/>
                <w:szCs w:val="24"/>
              </w:rPr>
              <w:t>有效期</w:t>
            </w:r>
          </w:p>
        </w:tc>
        <w:tc>
          <w:tcPr>
            <w:tcW w:w="6556" w:type="dxa"/>
            <w:vAlign w:val="center"/>
          </w:tcPr>
          <w:p w14:paraId="3CE9B8E0">
            <w:pPr>
              <w:pStyle w:val="18"/>
              <w:spacing w:line="440" w:lineRule="exact"/>
              <w:rPr>
                <w:rFonts w:hAnsi="宋体" w:cs="宋体"/>
                <w:kern w:val="0"/>
                <w:sz w:val="24"/>
                <w:szCs w:val="24"/>
              </w:rPr>
            </w:pPr>
            <w:r>
              <w:rPr>
                <w:rFonts w:hint="eastAsia" w:hAnsi="宋体" w:cs="宋体"/>
                <w:kern w:val="0"/>
                <w:sz w:val="24"/>
                <w:szCs w:val="24"/>
              </w:rPr>
              <w:t>递交响应文件的截止日期后</w:t>
            </w:r>
            <w:r>
              <w:rPr>
                <w:rFonts w:hint="eastAsia" w:hAnsi="宋体" w:cs="宋体"/>
                <w:sz w:val="24"/>
                <w:szCs w:val="24"/>
              </w:rPr>
              <w:t>90</w:t>
            </w:r>
            <w:r>
              <w:rPr>
                <w:rFonts w:hint="eastAsia" w:hAnsi="宋体" w:cs="宋体"/>
                <w:kern w:val="0"/>
                <w:sz w:val="24"/>
                <w:szCs w:val="24"/>
              </w:rPr>
              <w:t>日历天</w:t>
            </w:r>
          </w:p>
        </w:tc>
      </w:tr>
      <w:tr w14:paraId="37318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2C5B2B7E">
            <w:pPr>
              <w:pStyle w:val="18"/>
              <w:spacing w:line="440" w:lineRule="exact"/>
              <w:jc w:val="center"/>
              <w:rPr>
                <w:rFonts w:hAnsi="宋体" w:cs="宋体"/>
                <w:kern w:val="0"/>
                <w:sz w:val="24"/>
                <w:szCs w:val="24"/>
              </w:rPr>
            </w:pPr>
            <w:r>
              <w:rPr>
                <w:rFonts w:hint="eastAsia" w:hAnsi="宋体" w:cs="宋体"/>
                <w:kern w:val="0"/>
                <w:sz w:val="24"/>
                <w:szCs w:val="24"/>
              </w:rPr>
              <w:t>13.1</w:t>
            </w:r>
          </w:p>
        </w:tc>
        <w:tc>
          <w:tcPr>
            <w:tcW w:w="2028" w:type="dxa"/>
            <w:vAlign w:val="center"/>
          </w:tcPr>
          <w:p w14:paraId="1C5524BF">
            <w:pPr>
              <w:pStyle w:val="18"/>
              <w:spacing w:line="440" w:lineRule="exact"/>
              <w:rPr>
                <w:rFonts w:hAnsi="宋体" w:cs="宋体"/>
                <w:kern w:val="0"/>
                <w:sz w:val="24"/>
                <w:szCs w:val="24"/>
              </w:rPr>
            </w:pPr>
            <w:r>
              <w:rPr>
                <w:rFonts w:hint="eastAsia" w:hAnsi="宋体" w:cs="宋体"/>
                <w:kern w:val="0"/>
                <w:sz w:val="24"/>
                <w:szCs w:val="24"/>
              </w:rPr>
              <w:t>谈判保证金</w:t>
            </w:r>
          </w:p>
        </w:tc>
        <w:tc>
          <w:tcPr>
            <w:tcW w:w="6556" w:type="dxa"/>
            <w:vAlign w:val="center"/>
          </w:tcPr>
          <w:p w14:paraId="16CE1225">
            <w:pPr>
              <w:spacing w:line="440" w:lineRule="exact"/>
              <w:rPr>
                <w:rFonts w:ascii="宋体" w:hAnsi="宋体" w:cs="宋体"/>
                <w:b/>
                <w:sz w:val="24"/>
              </w:rPr>
            </w:pPr>
            <w:r>
              <w:rPr>
                <w:rFonts w:hint="eastAsia" w:ascii="宋体" w:hAnsi="宋体" w:cs="宋体"/>
                <w:sz w:val="24"/>
                <w:lang w:val="en-US" w:eastAsia="zh-CN"/>
              </w:rPr>
              <w:t>本项目不收取</w:t>
            </w:r>
            <w:r>
              <w:rPr>
                <w:rFonts w:hint="eastAsia" w:ascii="宋体" w:hAnsi="宋体" w:cs="宋体"/>
                <w:b/>
                <w:sz w:val="24"/>
              </w:rPr>
              <w:t>。</w:t>
            </w:r>
          </w:p>
        </w:tc>
      </w:tr>
      <w:tr w14:paraId="2973B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1CBE9586">
            <w:pPr>
              <w:pStyle w:val="32"/>
              <w:spacing w:line="440" w:lineRule="exact"/>
              <w:jc w:val="center"/>
              <w:rPr>
                <w:rFonts w:hAnsi="宋体" w:cs="宋体"/>
                <w:kern w:val="2"/>
                <w:sz w:val="24"/>
                <w:szCs w:val="24"/>
              </w:rPr>
            </w:pPr>
            <w:r>
              <w:rPr>
                <w:rFonts w:hint="eastAsia" w:hAnsi="宋体" w:cs="宋体"/>
                <w:kern w:val="2"/>
                <w:sz w:val="24"/>
                <w:szCs w:val="24"/>
              </w:rPr>
              <w:t>15.1</w:t>
            </w:r>
          </w:p>
        </w:tc>
        <w:tc>
          <w:tcPr>
            <w:tcW w:w="2028" w:type="dxa"/>
            <w:vAlign w:val="center"/>
          </w:tcPr>
          <w:p w14:paraId="250662CD">
            <w:pPr>
              <w:pStyle w:val="18"/>
              <w:spacing w:line="440" w:lineRule="exact"/>
              <w:rPr>
                <w:rFonts w:hAnsi="宋体" w:cs="宋体"/>
                <w:kern w:val="0"/>
                <w:sz w:val="24"/>
                <w:szCs w:val="24"/>
              </w:rPr>
            </w:pPr>
            <w:r>
              <w:rPr>
                <w:rFonts w:hint="eastAsia" w:hAnsi="宋体" w:cs="宋体"/>
                <w:kern w:val="0"/>
                <w:sz w:val="24"/>
                <w:szCs w:val="24"/>
              </w:rPr>
              <w:t>递交响应文件的截止时间</w:t>
            </w:r>
          </w:p>
        </w:tc>
        <w:tc>
          <w:tcPr>
            <w:tcW w:w="6556" w:type="dxa"/>
            <w:vAlign w:val="center"/>
          </w:tcPr>
          <w:p w14:paraId="4510F73C">
            <w:pPr>
              <w:pStyle w:val="18"/>
              <w:spacing w:line="440" w:lineRule="exact"/>
              <w:rPr>
                <w:rFonts w:hAnsi="宋体" w:cs="宋体"/>
                <w:kern w:val="0"/>
                <w:sz w:val="24"/>
                <w:szCs w:val="24"/>
              </w:rPr>
            </w:pPr>
            <w:r>
              <w:rPr>
                <w:rFonts w:hint="eastAsia" w:hAnsi="宋体" w:cs="宋体"/>
                <w:kern w:val="0"/>
                <w:sz w:val="24"/>
                <w:szCs w:val="24"/>
              </w:rPr>
              <w:t>详见《竞争性谈判公告》</w:t>
            </w:r>
          </w:p>
        </w:tc>
      </w:tr>
      <w:tr w14:paraId="5E363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57347167">
            <w:pPr>
              <w:pStyle w:val="32"/>
              <w:spacing w:line="440" w:lineRule="exact"/>
              <w:jc w:val="center"/>
              <w:rPr>
                <w:rFonts w:hAnsi="宋体" w:cs="宋体"/>
                <w:kern w:val="2"/>
                <w:sz w:val="24"/>
                <w:szCs w:val="24"/>
              </w:rPr>
            </w:pPr>
            <w:r>
              <w:rPr>
                <w:rFonts w:hint="eastAsia" w:hAnsi="宋体" w:cs="宋体"/>
                <w:kern w:val="2"/>
                <w:sz w:val="24"/>
                <w:szCs w:val="24"/>
              </w:rPr>
              <w:t>15.2</w:t>
            </w:r>
          </w:p>
        </w:tc>
        <w:tc>
          <w:tcPr>
            <w:tcW w:w="2028" w:type="dxa"/>
            <w:vAlign w:val="center"/>
          </w:tcPr>
          <w:p w14:paraId="0B2B2C83">
            <w:pPr>
              <w:pStyle w:val="18"/>
              <w:spacing w:line="440" w:lineRule="exact"/>
              <w:rPr>
                <w:rFonts w:hAnsi="宋体" w:cs="宋体"/>
                <w:kern w:val="0"/>
                <w:sz w:val="24"/>
                <w:szCs w:val="24"/>
              </w:rPr>
            </w:pPr>
            <w:r>
              <w:rPr>
                <w:rFonts w:hint="eastAsia" w:hAnsi="宋体" w:cs="宋体"/>
                <w:kern w:val="0"/>
                <w:sz w:val="24"/>
                <w:szCs w:val="24"/>
              </w:rPr>
              <w:t>递交响应文件的地点</w:t>
            </w:r>
          </w:p>
        </w:tc>
        <w:tc>
          <w:tcPr>
            <w:tcW w:w="6556" w:type="dxa"/>
            <w:vAlign w:val="center"/>
          </w:tcPr>
          <w:p w14:paraId="1DA172EB">
            <w:pPr>
              <w:pStyle w:val="18"/>
              <w:spacing w:line="440" w:lineRule="exact"/>
              <w:jc w:val="both"/>
              <w:rPr>
                <w:rFonts w:hAnsi="宋体" w:cs="宋体"/>
                <w:kern w:val="0"/>
                <w:sz w:val="24"/>
                <w:szCs w:val="24"/>
              </w:rPr>
            </w:pPr>
            <w:r>
              <w:rPr>
                <w:rFonts w:hint="eastAsia" w:hAnsi="宋体"/>
                <w:sz w:val="24"/>
              </w:rPr>
              <w:t>https://www.zcygov.cn/</w:t>
            </w:r>
          </w:p>
        </w:tc>
      </w:tr>
      <w:tr w14:paraId="413B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jc w:val="center"/>
        </w:trPr>
        <w:tc>
          <w:tcPr>
            <w:tcW w:w="1064" w:type="dxa"/>
            <w:vAlign w:val="center"/>
          </w:tcPr>
          <w:p w14:paraId="309CA7B3">
            <w:pPr>
              <w:pStyle w:val="32"/>
              <w:spacing w:line="440" w:lineRule="exact"/>
              <w:jc w:val="center"/>
              <w:rPr>
                <w:rFonts w:hAnsi="宋体" w:cs="宋体"/>
                <w:kern w:val="2"/>
                <w:sz w:val="24"/>
                <w:szCs w:val="24"/>
              </w:rPr>
            </w:pPr>
            <w:r>
              <w:rPr>
                <w:rFonts w:hint="eastAsia" w:hAnsi="宋体" w:cs="宋体"/>
                <w:kern w:val="2"/>
                <w:sz w:val="24"/>
                <w:szCs w:val="24"/>
              </w:rPr>
              <w:t>15.3</w:t>
            </w:r>
          </w:p>
        </w:tc>
        <w:tc>
          <w:tcPr>
            <w:tcW w:w="2028" w:type="dxa"/>
            <w:vAlign w:val="center"/>
          </w:tcPr>
          <w:p w14:paraId="3D362E86">
            <w:pPr>
              <w:pStyle w:val="18"/>
              <w:spacing w:line="440" w:lineRule="exact"/>
              <w:rPr>
                <w:rFonts w:hAnsi="宋体" w:cs="宋体"/>
                <w:kern w:val="0"/>
                <w:sz w:val="24"/>
                <w:szCs w:val="24"/>
              </w:rPr>
            </w:pPr>
            <w:r>
              <w:rPr>
                <w:rFonts w:hint="eastAsia" w:hAnsi="宋体" w:cs="宋体"/>
                <w:kern w:val="0"/>
                <w:sz w:val="24"/>
                <w:szCs w:val="24"/>
              </w:rPr>
              <w:t>是否退还响应文件</w:t>
            </w:r>
          </w:p>
        </w:tc>
        <w:tc>
          <w:tcPr>
            <w:tcW w:w="6556" w:type="dxa"/>
            <w:vAlign w:val="center"/>
          </w:tcPr>
          <w:p w14:paraId="7B6AA9A4">
            <w:pPr>
              <w:pStyle w:val="18"/>
              <w:spacing w:line="440" w:lineRule="exact"/>
              <w:rPr>
                <w:rFonts w:hAnsi="宋体" w:cs="宋体"/>
                <w:kern w:val="0"/>
                <w:sz w:val="24"/>
                <w:szCs w:val="24"/>
              </w:rPr>
            </w:pPr>
            <w:r>
              <w:rPr>
                <w:rFonts w:hint="eastAsia" w:hAnsi="宋体" w:cs="宋体"/>
                <w:kern w:val="0"/>
                <w:sz w:val="24"/>
                <w:szCs w:val="24"/>
              </w:rPr>
              <w:t>否</w:t>
            </w:r>
          </w:p>
        </w:tc>
      </w:tr>
      <w:tr w14:paraId="3D493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672435EB">
            <w:pPr>
              <w:pStyle w:val="18"/>
              <w:spacing w:line="440" w:lineRule="exact"/>
              <w:jc w:val="center"/>
              <w:rPr>
                <w:rFonts w:hAnsi="宋体" w:cs="宋体"/>
                <w:kern w:val="0"/>
                <w:sz w:val="24"/>
                <w:szCs w:val="24"/>
              </w:rPr>
            </w:pPr>
            <w:r>
              <w:rPr>
                <w:rFonts w:hint="eastAsia" w:hAnsi="宋体" w:cs="宋体"/>
                <w:kern w:val="0"/>
                <w:sz w:val="24"/>
                <w:szCs w:val="24"/>
              </w:rPr>
              <w:t>16.1</w:t>
            </w:r>
          </w:p>
        </w:tc>
        <w:tc>
          <w:tcPr>
            <w:tcW w:w="2028" w:type="dxa"/>
            <w:vAlign w:val="center"/>
          </w:tcPr>
          <w:p w14:paraId="3B869002">
            <w:pPr>
              <w:pStyle w:val="18"/>
              <w:spacing w:line="440" w:lineRule="exact"/>
              <w:rPr>
                <w:rFonts w:hAnsi="宋体" w:cs="宋体"/>
                <w:kern w:val="0"/>
                <w:sz w:val="24"/>
                <w:szCs w:val="24"/>
              </w:rPr>
            </w:pPr>
            <w:r>
              <w:rPr>
                <w:rFonts w:hint="eastAsia" w:hAnsi="宋体" w:cs="宋体"/>
                <w:kern w:val="0"/>
                <w:sz w:val="24"/>
                <w:szCs w:val="24"/>
              </w:rPr>
              <w:t>谈判会议时间和地点</w:t>
            </w:r>
          </w:p>
        </w:tc>
        <w:tc>
          <w:tcPr>
            <w:tcW w:w="6556" w:type="dxa"/>
            <w:vAlign w:val="center"/>
          </w:tcPr>
          <w:p w14:paraId="5AC5C817">
            <w:pPr>
              <w:spacing w:line="440" w:lineRule="exact"/>
              <w:rPr>
                <w:rFonts w:ascii="宋体" w:hAnsi="宋体" w:cs="宋体"/>
                <w:kern w:val="0"/>
                <w:sz w:val="24"/>
              </w:rPr>
            </w:pPr>
            <w:r>
              <w:rPr>
                <w:rFonts w:hint="eastAsia" w:ascii="宋体" w:hAnsi="宋体"/>
                <w:sz w:val="24"/>
              </w:rPr>
              <w:t>https://www.zcygov.cn/</w:t>
            </w:r>
          </w:p>
        </w:tc>
      </w:tr>
      <w:tr w14:paraId="1D0DE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064" w:type="dxa"/>
            <w:vMerge w:val="restart"/>
            <w:vAlign w:val="center"/>
          </w:tcPr>
          <w:p w14:paraId="575D9FE4">
            <w:pPr>
              <w:pStyle w:val="18"/>
              <w:spacing w:line="440" w:lineRule="exact"/>
              <w:jc w:val="center"/>
              <w:rPr>
                <w:rFonts w:hAnsi="宋体" w:cs="宋体"/>
                <w:kern w:val="0"/>
                <w:sz w:val="24"/>
                <w:szCs w:val="24"/>
              </w:rPr>
            </w:pPr>
            <w:r>
              <w:rPr>
                <w:rFonts w:hint="eastAsia" w:hAnsi="宋体" w:cs="宋体"/>
                <w:kern w:val="0"/>
                <w:sz w:val="24"/>
                <w:szCs w:val="24"/>
              </w:rPr>
              <w:t>16.4</w:t>
            </w:r>
          </w:p>
        </w:tc>
        <w:tc>
          <w:tcPr>
            <w:tcW w:w="2028" w:type="dxa"/>
            <w:vAlign w:val="center"/>
          </w:tcPr>
          <w:p w14:paraId="1B8D1D0B">
            <w:pPr>
              <w:pStyle w:val="18"/>
              <w:spacing w:line="440" w:lineRule="exact"/>
              <w:rPr>
                <w:rFonts w:hAnsi="宋体" w:cs="宋体"/>
                <w:kern w:val="0"/>
                <w:sz w:val="24"/>
                <w:szCs w:val="24"/>
              </w:rPr>
            </w:pPr>
            <w:r>
              <w:rPr>
                <w:rFonts w:hint="eastAsia" w:hAnsi="宋体" w:cs="宋体"/>
                <w:kern w:val="0"/>
                <w:sz w:val="24"/>
                <w:szCs w:val="24"/>
              </w:rPr>
              <w:t>谈判程序和方法</w:t>
            </w:r>
          </w:p>
        </w:tc>
        <w:tc>
          <w:tcPr>
            <w:tcW w:w="6556" w:type="dxa"/>
            <w:vAlign w:val="center"/>
          </w:tcPr>
          <w:p w14:paraId="74A9AB3F">
            <w:pPr>
              <w:pStyle w:val="18"/>
              <w:spacing w:line="440" w:lineRule="exact"/>
              <w:rPr>
                <w:rFonts w:hAnsi="宋体" w:cs="宋体"/>
                <w:kern w:val="0"/>
                <w:sz w:val="24"/>
                <w:szCs w:val="24"/>
              </w:rPr>
            </w:pPr>
            <w:r>
              <w:rPr>
                <w:rFonts w:hint="eastAsia" w:hAnsi="宋体" w:cs="宋体"/>
                <w:sz w:val="24"/>
              </w:rPr>
              <w:t>经评审的最低评标价法</w:t>
            </w:r>
          </w:p>
        </w:tc>
      </w:tr>
      <w:tr w14:paraId="5F8C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Merge w:val="continue"/>
            <w:vAlign w:val="center"/>
          </w:tcPr>
          <w:p w14:paraId="277C55DE">
            <w:pPr>
              <w:pStyle w:val="18"/>
              <w:spacing w:line="440" w:lineRule="exact"/>
              <w:jc w:val="center"/>
              <w:rPr>
                <w:rFonts w:hAnsi="宋体" w:cs="宋体"/>
                <w:kern w:val="0"/>
                <w:sz w:val="24"/>
                <w:szCs w:val="24"/>
              </w:rPr>
            </w:pPr>
          </w:p>
        </w:tc>
        <w:tc>
          <w:tcPr>
            <w:tcW w:w="8584" w:type="dxa"/>
            <w:gridSpan w:val="2"/>
            <w:vAlign w:val="center"/>
          </w:tcPr>
          <w:p w14:paraId="4211494F">
            <w:pPr>
              <w:pStyle w:val="18"/>
              <w:spacing w:line="440" w:lineRule="exact"/>
              <w:rPr>
                <w:rFonts w:hAnsi="宋体" w:cs="宋体"/>
                <w:b/>
                <w:kern w:val="0"/>
                <w:sz w:val="24"/>
                <w:szCs w:val="24"/>
                <w:u w:val="single"/>
              </w:rPr>
            </w:pPr>
            <w:r>
              <w:rPr>
                <w:rFonts w:hint="eastAsia" w:hAnsi="宋体" w:cs="宋体"/>
                <w:b/>
                <w:kern w:val="0"/>
                <w:sz w:val="24"/>
                <w:szCs w:val="24"/>
                <w:u w:val="single"/>
              </w:rPr>
              <w:t>第五章“谈判程序和方法”第2.1款资格审查标准和第2.2款符合性审查标准规定的内容，为参加谈判的供应商必须具备的条件，凡有一条不满足的供应商不再参与谈判。请各参加谈判的供应商仔细阅读资格审查标准和符合性审查标准。</w:t>
            </w:r>
          </w:p>
        </w:tc>
      </w:tr>
      <w:tr w14:paraId="22FC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58398483">
            <w:pPr>
              <w:pStyle w:val="18"/>
              <w:spacing w:line="440" w:lineRule="exact"/>
              <w:jc w:val="center"/>
              <w:rPr>
                <w:rFonts w:hAnsi="宋体" w:cs="宋体"/>
                <w:color w:val="auto"/>
                <w:kern w:val="0"/>
                <w:sz w:val="24"/>
                <w:szCs w:val="24"/>
              </w:rPr>
            </w:pPr>
            <w:r>
              <w:rPr>
                <w:rFonts w:hint="eastAsia" w:hAnsi="宋体" w:cs="宋体"/>
                <w:color w:val="auto"/>
                <w:kern w:val="0"/>
                <w:sz w:val="24"/>
                <w:szCs w:val="24"/>
              </w:rPr>
              <w:t>22.1</w:t>
            </w:r>
          </w:p>
        </w:tc>
        <w:tc>
          <w:tcPr>
            <w:tcW w:w="2028" w:type="dxa"/>
            <w:vAlign w:val="center"/>
          </w:tcPr>
          <w:p w14:paraId="21697D14">
            <w:pPr>
              <w:pStyle w:val="18"/>
              <w:spacing w:line="440" w:lineRule="exact"/>
              <w:rPr>
                <w:rFonts w:hAnsi="宋体" w:cs="宋体"/>
                <w:color w:val="auto"/>
                <w:kern w:val="0"/>
                <w:sz w:val="24"/>
                <w:szCs w:val="24"/>
              </w:rPr>
            </w:pPr>
            <w:r>
              <w:rPr>
                <w:rFonts w:hint="eastAsia" w:hAnsi="宋体" w:cs="宋体"/>
                <w:color w:val="auto"/>
                <w:kern w:val="0"/>
                <w:sz w:val="24"/>
                <w:szCs w:val="24"/>
              </w:rPr>
              <w:t>采购代理服务费</w:t>
            </w:r>
          </w:p>
        </w:tc>
        <w:tc>
          <w:tcPr>
            <w:tcW w:w="6556" w:type="dxa"/>
            <w:vAlign w:val="center"/>
          </w:tcPr>
          <w:p w14:paraId="451DA7D1">
            <w:pPr>
              <w:spacing w:line="440" w:lineRule="exact"/>
              <w:rPr>
                <w:rFonts w:ascii="宋体" w:hAnsi="宋体" w:cs="宋体"/>
                <w:color w:val="auto"/>
                <w:sz w:val="24"/>
              </w:rPr>
            </w:pPr>
            <w:r>
              <w:rPr>
                <w:rFonts w:hint="eastAsia" w:ascii="宋体" w:hAnsi="宋体" w:cs="宋体"/>
                <w:color w:val="auto"/>
                <w:kern w:val="0"/>
                <w:sz w:val="24"/>
              </w:rPr>
              <w:t>参照云南省建设工程招标投标行业协会关于印发《云南省建设工程招标代理服务收费参考意见》的通知（云建招协〔2024〕58号）的规定计算后收取。采购代理服务费由中标（成交）供应商支付，供应商报价应包含采购代理服务费。</w:t>
            </w:r>
          </w:p>
        </w:tc>
      </w:tr>
      <w:tr w14:paraId="622BB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4560AE40">
            <w:pPr>
              <w:pStyle w:val="18"/>
              <w:spacing w:line="440" w:lineRule="exact"/>
              <w:jc w:val="center"/>
              <w:rPr>
                <w:rFonts w:hAnsi="宋体" w:cs="宋体"/>
                <w:color w:val="auto"/>
                <w:kern w:val="0"/>
                <w:sz w:val="24"/>
                <w:szCs w:val="24"/>
              </w:rPr>
            </w:pPr>
            <w:r>
              <w:rPr>
                <w:rFonts w:hint="eastAsia" w:hAnsi="宋体" w:cs="宋体"/>
                <w:color w:val="auto"/>
                <w:kern w:val="0"/>
                <w:sz w:val="24"/>
                <w:szCs w:val="24"/>
              </w:rPr>
              <w:t>24.1</w:t>
            </w:r>
          </w:p>
        </w:tc>
        <w:tc>
          <w:tcPr>
            <w:tcW w:w="8584" w:type="dxa"/>
            <w:gridSpan w:val="2"/>
            <w:vAlign w:val="center"/>
          </w:tcPr>
          <w:p w14:paraId="1FC4ECAD">
            <w:pPr>
              <w:pStyle w:val="18"/>
              <w:spacing w:line="440" w:lineRule="exact"/>
              <w:rPr>
                <w:rFonts w:hAnsi="宋体" w:cs="宋体"/>
                <w:color w:val="auto"/>
                <w:kern w:val="0"/>
                <w:sz w:val="24"/>
                <w:szCs w:val="24"/>
              </w:rPr>
            </w:pPr>
            <w:r>
              <w:rPr>
                <w:rFonts w:hint="eastAsia" w:hAnsi="宋体" w:cs="宋体"/>
                <w:color w:val="auto"/>
                <w:kern w:val="0"/>
                <w:sz w:val="24"/>
                <w:szCs w:val="24"/>
              </w:rPr>
              <w:t>需要补充的其他内容</w:t>
            </w:r>
          </w:p>
        </w:tc>
      </w:tr>
      <w:tr w14:paraId="7D11E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25EDD27A">
            <w:pPr>
              <w:pStyle w:val="18"/>
              <w:spacing w:line="440" w:lineRule="exact"/>
              <w:jc w:val="center"/>
              <w:rPr>
                <w:rFonts w:hAnsi="宋体" w:cs="宋体"/>
                <w:color w:val="auto"/>
                <w:kern w:val="0"/>
                <w:sz w:val="24"/>
                <w:szCs w:val="24"/>
              </w:rPr>
            </w:pPr>
            <w:r>
              <w:rPr>
                <w:rFonts w:hint="eastAsia" w:hAnsi="宋体" w:cs="宋体"/>
                <w:color w:val="auto"/>
                <w:kern w:val="0"/>
                <w:sz w:val="24"/>
                <w:szCs w:val="24"/>
              </w:rPr>
              <w:t>（1）</w:t>
            </w:r>
          </w:p>
        </w:tc>
        <w:tc>
          <w:tcPr>
            <w:tcW w:w="8584" w:type="dxa"/>
            <w:gridSpan w:val="2"/>
            <w:vAlign w:val="center"/>
          </w:tcPr>
          <w:p w14:paraId="7C388F76">
            <w:pPr>
              <w:spacing w:line="440" w:lineRule="exact"/>
              <w:rPr>
                <w:color w:val="auto"/>
              </w:rPr>
            </w:pPr>
            <w:r>
              <w:rPr>
                <w:rFonts w:hint="eastAsia" w:ascii="宋体" w:hAnsi="宋体"/>
                <w:b/>
                <w:bCs/>
                <w:color w:val="auto"/>
                <w:sz w:val="24"/>
              </w:rPr>
              <w:t>付款方式</w:t>
            </w:r>
            <w:r>
              <w:rPr>
                <w:rFonts w:hint="eastAsia" w:ascii="宋体" w:hAnsi="宋体"/>
                <w:b/>
                <w:bCs/>
                <w:color w:val="auto"/>
                <w:sz w:val="24"/>
                <w:highlight w:val="none"/>
              </w:rPr>
              <w:t>：</w:t>
            </w:r>
            <w:r>
              <w:rPr>
                <w:rFonts w:hint="eastAsia" w:ascii="宋体" w:hAnsi="宋体" w:cs="宋体"/>
                <w:color w:val="auto"/>
                <w:kern w:val="0"/>
                <w:sz w:val="24"/>
                <w:highlight w:val="none"/>
              </w:rPr>
              <w:t>合同签订后，</w:t>
            </w:r>
            <w:r>
              <w:rPr>
                <w:rFonts w:hint="eastAsia" w:ascii="宋体" w:hAnsi="宋体" w:cs="宋体"/>
                <w:color w:val="auto"/>
                <w:kern w:val="0"/>
                <w:sz w:val="24"/>
                <w:highlight w:val="none"/>
                <w:lang w:val="en-US" w:eastAsia="zh-CN"/>
              </w:rPr>
              <w:t>成交供应商进行供货、调试、验收，</w:t>
            </w:r>
            <w:r>
              <w:rPr>
                <w:rFonts w:hint="eastAsia" w:ascii="宋体" w:hAnsi="宋体" w:cs="宋体"/>
                <w:color w:val="auto"/>
                <w:kern w:val="0"/>
                <w:sz w:val="24"/>
                <w:highlight w:val="none"/>
              </w:rPr>
              <w:t>项目验收合格后</w:t>
            </w:r>
            <w:r>
              <w:rPr>
                <w:rFonts w:hint="eastAsia" w:ascii="宋体" w:hAnsi="宋体" w:cs="宋体"/>
                <w:color w:val="auto"/>
                <w:kern w:val="0"/>
                <w:sz w:val="24"/>
                <w:highlight w:val="none"/>
                <w:lang w:val="en-US" w:eastAsia="zh-CN"/>
              </w:rPr>
              <w:t>一次性支付全部款项</w:t>
            </w:r>
            <w:r>
              <w:rPr>
                <w:rFonts w:hint="eastAsia"/>
                <w:color w:val="auto"/>
                <w:sz w:val="24"/>
                <w:highlight w:val="none"/>
              </w:rPr>
              <w:t>。</w:t>
            </w:r>
          </w:p>
        </w:tc>
      </w:tr>
      <w:tr w14:paraId="5F35E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07568F56">
            <w:pPr>
              <w:pStyle w:val="18"/>
              <w:spacing w:line="440" w:lineRule="exact"/>
              <w:jc w:val="center"/>
              <w:rPr>
                <w:rFonts w:hAnsi="宋体" w:cs="宋体"/>
                <w:color w:val="auto"/>
                <w:kern w:val="0"/>
                <w:sz w:val="24"/>
                <w:szCs w:val="24"/>
              </w:rPr>
            </w:pPr>
            <w:r>
              <w:rPr>
                <w:rFonts w:hint="eastAsia" w:hAnsi="宋体" w:cs="宋体"/>
                <w:color w:val="auto"/>
                <w:kern w:val="0"/>
                <w:sz w:val="24"/>
                <w:szCs w:val="24"/>
              </w:rPr>
              <w:t>（2）</w:t>
            </w:r>
          </w:p>
        </w:tc>
        <w:tc>
          <w:tcPr>
            <w:tcW w:w="8584" w:type="dxa"/>
            <w:gridSpan w:val="2"/>
            <w:vAlign w:val="center"/>
          </w:tcPr>
          <w:p w14:paraId="54EB3FED">
            <w:pPr>
              <w:spacing w:line="440" w:lineRule="exact"/>
              <w:jc w:val="left"/>
              <w:rPr>
                <w:rFonts w:ascii="宋体" w:hAnsi="宋体"/>
                <w:b/>
                <w:bCs/>
                <w:color w:val="auto"/>
                <w:sz w:val="24"/>
              </w:rPr>
            </w:pPr>
            <w:r>
              <w:rPr>
                <w:rFonts w:hint="eastAsia" w:ascii="宋体" w:hAnsi="宋体" w:cs="宋体"/>
                <w:b/>
                <w:bCs/>
                <w:color w:val="auto"/>
                <w:kern w:val="0"/>
                <w:sz w:val="24"/>
              </w:rPr>
              <w:t>采用最低评标价法的采购项目，提供相同品牌产品的不同供应商参加同一合同项下投标的，以其中通过资格审查、符合性审查且报价最低的参加评标；报价相同的，由采购人或者采购人委托评标委员会按照谈判文件规定的方式确定一个参加评标的供应商，谈判文件未规定的采取随机抽取方式确定，其他投标无效。</w:t>
            </w:r>
          </w:p>
        </w:tc>
      </w:tr>
      <w:tr w14:paraId="1D380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59DF3A43">
            <w:pPr>
              <w:pStyle w:val="18"/>
              <w:spacing w:line="440" w:lineRule="exact"/>
              <w:jc w:val="center"/>
              <w:rPr>
                <w:rFonts w:hAnsi="宋体" w:cs="宋体"/>
                <w:kern w:val="0"/>
                <w:sz w:val="24"/>
                <w:szCs w:val="24"/>
              </w:rPr>
            </w:pPr>
            <w:r>
              <w:rPr>
                <w:rFonts w:hint="eastAsia" w:hAnsi="宋体" w:cs="宋体"/>
                <w:kern w:val="0"/>
                <w:sz w:val="24"/>
                <w:szCs w:val="24"/>
              </w:rPr>
              <w:t>（3）</w:t>
            </w:r>
          </w:p>
        </w:tc>
        <w:tc>
          <w:tcPr>
            <w:tcW w:w="8584" w:type="dxa"/>
            <w:gridSpan w:val="2"/>
            <w:vAlign w:val="center"/>
          </w:tcPr>
          <w:p w14:paraId="31A714CE">
            <w:pPr>
              <w:spacing w:line="440" w:lineRule="exact"/>
              <w:jc w:val="left"/>
              <w:rPr>
                <w:rFonts w:ascii="宋体" w:hAnsi="宋体" w:cs="宋体"/>
                <w:kern w:val="0"/>
                <w:sz w:val="24"/>
              </w:rPr>
            </w:pPr>
            <w:r>
              <w:rPr>
                <w:rFonts w:hint="eastAsia" w:ascii="宋体" w:hAnsi="宋体" w:cs="宋体"/>
                <w:kern w:val="0"/>
                <w:sz w:val="24"/>
              </w:rPr>
              <w:t>一、政府采购政策响应：</w:t>
            </w:r>
          </w:p>
          <w:p w14:paraId="00800DE8">
            <w:pPr>
              <w:pStyle w:val="12"/>
              <w:autoSpaceDE w:val="0"/>
              <w:autoSpaceDN w:val="0"/>
              <w:spacing w:before="0" w:line="440" w:lineRule="exact"/>
              <w:ind w:firstLine="480" w:firstLineChars="200"/>
              <w:rPr>
                <w:rFonts w:ascii="宋体" w:hAnsi="宋体" w:cs="宋体"/>
              </w:rPr>
            </w:pPr>
            <w:r>
              <w:rPr>
                <w:rFonts w:hint="eastAsia" w:ascii="宋体" w:hAnsi="宋体" w:cs="宋体"/>
              </w:rPr>
              <w:t>1、小型和微型企业价格评分优惠政策</w:t>
            </w:r>
          </w:p>
          <w:p w14:paraId="790F9985">
            <w:pPr>
              <w:pStyle w:val="12"/>
              <w:autoSpaceDE w:val="0"/>
              <w:autoSpaceDN w:val="0"/>
              <w:spacing w:before="0" w:line="440" w:lineRule="exact"/>
              <w:ind w:firstLine="480" w:firstLineChars="200"/>
              <w:rPr>
                <w:rFonts w:ascii="宋体" w:hAnsi="宋体" w:cs="宋体"/>
              </w:rPr>
            </w:pPr>
            <w:r>
              <w:rPr>
                <w:rFonts w:hint="eastAsia" w:ascii="宋体" w:hAnsi="宋体" w:cs="宋体"/>
              </w:rPr>
              <w:t>(1)</w:t>
            </w:r>
            <w:r>
              <w:rPr>
                <w:rFonts w:hint="eastAsia" w:ascii="宋体" w:hAnsi="宋体" w:cs="宋体"/>
                <w:kern w:val="0"/>
              </w:rPr>
              <w:t>根据《国家统计局关于印发统计上大中小微型企业划分办法（2017）的通知》(国统字[2017]213号)</w:t>
            </w:r>
            <w:r>
              <w:rPr>
                <w:rFonts w:hint="eastAsia" w:ascii="宋体" w:hAnsi="宋体" w:cs="宋体"/>
              </w:rPr>
              <w:t>、《政府采购促进中小企业发展管理办法》（财库﹝2020﹞46 号）、</w:t>
            </w:r>
            <w:r>
              <w:rPr>
                <w:rFonts w:hint="eastAsia" w:ascii="宋体" w:hAnsi="宋体" w:cs="宋体"/>
                <w:kern w:val="0"/>
              </w:rPr>
              <w:t>《关于进一步加大政府采购支持中小企业力度的通知》（财库〔2022〕19号）</w:t>
            </w:r>
            <w:r>
              <w:rPr>
                <w:rFonts w:hint="eastAsia" w:ascii="宋体" w:hAnsi="宋体" w:cs="宋体"/>
              </w:rPr>
              <w:t>的规定，对符合条件的小型和微型投标人，在投标报价评分时给予投标报价10%的扣除，用扣除后的投标报价参与投标报价评分。</w:t>
            </w:r>
          </w:p>
          <w:p w14:paraId="131229A3">
            <w:pPr>
              <w:pStyle w:val="12"/>
              <w:autoSpaceDE w:val="0"/>
              <w:autoSpaceDN w:val="0"/>
              <w:spacing w:before="0" w:line="440" w:lineRule="exact"/>
              <w:ind w:firstLine="480" w:firstLineChars="200"/>
              <w:rPr>
                <w:rFonts w:ascii="宋体" w:hAnsi="宋体" w:cs="宋体"/>
              </w:rPr>
            </w:pPr>
            <w:r>
              <w:rPr>
                <w:rFonts w:hint="eastAsia" w:ascii="宋体" w:hAnsi="宋体" w:cs="宋体"/>
              </w:rPr>
              <w:t>(2)请供应商根据自身情况提供书面声明，无书面声明的在价格评分时不对投标报价进行扣除。</w:t>
            </w:r>
          </w:p>
          <w:p w14:paraId="36CFCCAE">
            <w:pPr>
              <w:pStyle w:val="12"/>
              <w:autoSpaceDE w:val="0"/>
              <w:autoSpaceDN w:val="0"/>
              <w:spacing w:before="0" w:line="440" w:lineRule="exact"/>
              <w:ind w:firstLine="480" w:firstLineChars="200"/>
              <w:rPr>
                <w:rFonts w:ascii="宋体" w:hAnsi="宋体" w:cs="宋体"/>
              </w:rPr>
            </w:pPr>
            <w:r>
              <w:rPr>
                <w:rFonts w:hint="eastAsia" w:ascii="宋体" w:hAnsi="宋体" w:cs="宋体"/>
              </w:rPr>
              <w:t>2、监狱企业优惠政策</w:t>
            </w:r>
          </w:p>
          <w:p w14:paraId="73BC38AA">
            <w:pPr>
              <w:pStyle w:val="12"/>
              <w:autoSpaceDE w:val="0"/>
              <w:autoSpaceDN w:val="0"/>
              <w:spacing w:before="0" w:line="440" w:lineRule="exact"/>
              <w:ind w:firstLine="480" w:firstLineChars="200"/>
              <w:rPr>
                <w:rFonts w:ascii="宋体" w:hAnsi="宋体" w:cs="宋体"/>
              </w:rPr>
            </w:pPr>
            <w:r>
              <w:rPr>
                <w:rFonts w:hint="eastAsia" w:ascii="宋体" w:hAnsi="宋体" w:cs="宋体"/>
              </w:rPr>
              <w:t>根据《关于政府采购支持监狱企业发展有关问题的通知》(财库[2014]68号)的规定，监狱企业优惠政策，监狱企业参与本项目投标时，提供由省级以上监狱管理局、戒毒管理局(含新疆生产建设兵团)出具的属于监狱企业的证明文件的，视同小型、微型企业享受价格扣除等优惠政策。</w:t>
            </w:r>
          </w:p>
          <w:p w14:paraId="4FE84D84">
            <w:pPr>
              <w:pStyle w:val="12"/>
              <w:autoSpaceDE w:val="0"/>
              <w:autoSpaceDN w:val="0"/>
              <w:spacing w:before="0" w:line="440" w:lineRule="exact"/>
              <w:ind w:firstLine="480" w:firstLineChars="200"/>
              <w:rPr>
                <w:rFonts w:ascii="宋体" w:hAnsi="宋体" w:cs="宋体"/>
              </w:rPr>
            </w:pPr>
            <w:r>
              <w:rPr>
                <w:rFonts w:hint="eastAsia" w:ascii="宋体" w:hAnsi="宋体" w:cs="宋体"/>
              </w:rPr>
              <w:t>3、残疾人福利性单位优惠政策</w:t>
            </w:r>
          </w:p>
          <w:p w14:paraId="77AB91F7">
            <w:pPr>
              <w:pStyle w:val="12"/>
              <w:autoSpaceDE w:val="0"/>
              <w:autoSpaceDN w:val="0"/>
              <w:spacing w:before="0" w:line="440" w:lineRule="exact"/>
              <w:ind w:firstLine="480" w:firstLineChars="200"/>
              <w:rPr>
                <w:rFonts w:ascii="宋体" w:hAnsi="宋体" w:cs="宋体"/>
              </w:rPr>
            </w:pPr>
            <w:r>
              <w:rPr>
                <w:rFonts w:hint="eastAsia" w:ascii="宋体" w:hAnsi="宋体" w:cs="宋体"/>
              </w:rPr>
              <w:t>根据《关于促进残疾人就业政府采购政策的通知》(财库[2017]141号)的规定，残疾人福利性单位优惠政策，残疾人福利性单位参与本项目投标时，提供《残疾人福利性 单位声明函》并对声明的真实性负责，视同小型、微型企业享受价格扣除等优惠政策。疾人福利性单位同属于小型、微型企业的，不重复享受政策。</w:t>
            </w:r>
          </w:p>
          <w:p w14:paraId="0B48CB2B">
            <w:pPr>
              <w:shd w:val="clear" w:color="auto" w:fill="FFFFFF"/>
              <w:autoSpaceDE w:val="0"/>
              <w:autoSpaceDN w:val="0"/>
              <w:spacing w:line="440" w:lineRule="exact"/>
              <w:ind w:firstLine="482"/>
              <w:rPr>
                <w:rFonts w:ascii="宋体" w:hAnsi="宋体" w:cs="宋体"/>
              </w:rPr>
            </w:pPr>
            <w:r>
              <w:rPr>
                <w:rFonts w:hint="eastAsia" w:ascii="宋体" w:hAnsi="宋体" w:cs="宋体"/>
                <w:sz w:val="24"/>
              </w:rPr>
              <w:t>4、根据《中华人民共和国政府采购法》、《中华人民共和国政府采购法实施条例》、《政府采购货物和服务招标投标管理办法》(财政部令第87号)的规定，采购人应当在货物服务招标投标活动中落实节约能源、保护环境、扶持不发达地区和少数民族地区、促进中小企业发展等政府采购政策。</w:t>
            </w:r>
          </w:p>
          <w:p w14:paraId="5BC32F48">
            <w:pPr>
              <w:spacing w:line="440" w:lineRule="exact"/>
              <w:jc w:val="left"/>
              <w:rPr>
                <w:rFonts w:ascii="宋体" w:hAnsi="宋体"/>
                <w:sz w:val="24"/>
              </w:rPr>
            </w:pPr>
            <w:r>
              <w:rPr>
                <w:rFonts w:hint="eastAsia" w:ascii="宋体" w:hAnsi="宋体"/>
                <w:b/>
                <w:bCs/>
                <w:sz w:val="24"/>
                <w:szCs w:val="21"/>
                <w:shd w:val="clear" w:color="auto" w:fill="FFFFFF"/>
              </w:rPr>
              <w:t>对于提供中小企业、监狱企业、残疾人福利性单位声明材料的供应商，若中标将会对相关信息与成交公告一同公示，供应商对提供材料的真实性负责。</w:t>
            </w:r>
          </w:p>
        </w:tc>
      </w:tr>
      <w:tr w14:paraId="7455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415E4A18">
            <w:pPr>
              <w:pStyle w:val="18"/>
              <w:spacing w:line="440" w:lineRule="exact"/>
              <w:jc w:val="center"/>
              <w:rPr>
                <w:rFonts w:hAnsi="宋体" w:cs="宋体"/>
                <w:kern w:val="0"/>
                <w:sz w:val="24"/>
                <w:szCs w:val="24"/>
              </w:rPr>
            </w:pPr>
            <w:bookmarkStart w:id="40" w:name="_Toc450312162"/>
            <w:bookmarkStart w:id="41" w:name="_Toc86124040"/>
            <w:r>
              <w:rPr>
                <w:rFonts w:hint="eastAsia" w:hAnsi="宋体" w:cs="宋体"/>
                <w:kern w:val="0"/>
                <w:sz w:val="24"/>
                <w:szCs w:val="24"/>
              </w:rPr>
              <w:t>（4）</w:t>
            </w:r>
          </w:p>
        </w:tc>
        <w:tc>
          <w:tcPr>
            <w:tcW w:w="8584" w:type="dxa"/>
            <w:gridSpan w:val="2"/>
            <w:vAlign w:val="center"/>
          </w:tcPr>
          <w:p w14:paraId="0293C6A9">
            <w:pPr>
              <w:spacing w:line="440" w:lineRule="exact"/>
              <w:jc w:val="left"/>
              <w:rPr>
                <w:rFonts w:ascii="宋体" w:hAnsi="宋体"/>
                <w:b/>
                <w:bCs/>
                <w:sz w:val="24"/>
                <w:szCs w:val="21"/>
                <w:shd w:val="clear" w:color="auto" w:fill="FFFFFF"/>
              </w:rPr>
            </w:pPr>
            <w:r>
              <w:rPr>
                <w:rFonts w:hint="eastAsia" w:ascii="宋体" w:hAnsi="宋体" w:cs="宋体"/>
                <w:kern w:val="0"/>
                <w:sz w:val="24"/>
              </w:rPr>
              <w:t>★供应商所投产品为“节能产品政府采购品目清单”中政府强制采购产品，则选报的该产品必须具备国家确定的认证机构（“市场监管总局关于发布参与实施政府采购节能产品、环境标志产品认证机构名录的公告”所列认证机构；如有新增确定的认证机构，提供相应证明材料即可）出具的、处于有效期之内的节能产品认证证书，并在投标文件中提供该证书（包含证书附录）复印件，并在附录中标明所投产品型号，否则其投标文件无效；如所投产品型号与认证证书或证书附录不一致，则其投标文件无效。</w:t>
            </w:r>
          </w:p>
        </w:tc>
      </w:tr>
      <w:tr w14:paraId="03B04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4" w:type="dxa"/>
            <w:vAlign w:val="center"/>
          </w:tcPr>
          <w:p w14:paraId="4C1A6BCB">
            <w:pPr>
              <w:pStyle w:val="18"/>
              <w:spacing w:line="440" w:lineRule="exact"/>
              <w:jc w:val="center"/>
              <w:rPr>
                <w:rFonts w:hint="default" w:hAnsi="宋体" w:eastAsia="宋体" w:cs="宋体"/>
                <w:kern w:val="0"/>
                <w:sz w:val="24"/>
                <w:szCs w:val="24"/>
                <w:lang w:val="en-US" w:eastAsia="zh-CN"/>
              </w:rPr>
            </w:pPr>
            <w:r>
              <w:rPr>
                <w:rFonts w:hint="eastAsia" w:hAnsi="宋体" w:cs="宋体"/>
                <w:kern w:val="0"/>
                <w:sz w:val="24"/>
                <w:szCs w:val="24"/>
                <w:lang w:val="en-US" w:eastAsia="zh-CN"/>
              </w:rPr>
              <w:t>（5）</w:t>
            </w:r>
          </w:p>
        </w:tc>
        <w:tc>
          <w:tcPr>
            <w:tcW w:w="8584" w:type="dxa"/>
            <w:gridSpan w:val="2"/>
            <w:vAlign w:val="center"/>
          </w:tcPr>
          <w:p w14:paraId="027984E3">
            <w:pPr>
              <w:spacing w:line="440" w:lineRule="exact"/>
              <w:jc w:val="left"/>
              <w:rPr>
                <w:rFonts w:hint="default" w:ascii="宋体" w:hAnsi="宋体" w:eastAsia="宋体" w:cs="宋体"/>
                <w:kern w:val="0"/>
                <w:sz w:val="24"/>
                <w:lang w:val="en-US" w:eastAsia="zh-CN"/>
              </w:rPr>
            </w:pPr>
            <w:r>
              <w:rPr>
                <w:rFonts w:hint="eastAsia" w:ascii="宋体" w:hAnsi="宋体" w:cs="宋体"/>
                <w:b/>
                <w:bCs/>
                <w:kern w:val="0"/>
                <w:sz w:val="24"/>
                <w:highlight w:val="none"/>
                <w:lang w:val="en-US" w:eastAsia="zh-CN"/>
              </w:rPr>
              <w:t>核心产品：中型四旋翼行业无人机</w:t>
            </w:r>
          </w:p>
        </w:tc>
      </w:tr>
    </w:tbl>
    <w:p w14:paraId="63ADF31B">
      <w:pPr>
        <w:pStyle w:val="4"/>
        <w:spacing w:before="0" w:after="0" w:line="480" w:lineRule="exact"/>
        <w:rPr>
          <w:rFonts w:ascii="宋体" w:hAnsi="宋体" w:cs="宋体"/>
          <w:sz w:val="24"/>
          <w:szCs w:val="24"/>
        </w:rPr>
      </w:pPr>
      <w:r>
        <w:rPr>
          <w:rFonts w:hint="eastAsia" w:ascii="宋体" w:hAnsi="宋体" w:cs="宋体"/>
          <w:sz w:val="24"/>
          <w:szCs w:val="24"/>
        </w:rPr>
        <w:br w:type="page"/>
      </w:r>
      <w:bookmarkStart w:id="42" w:name="_Toc495941894"/>
      <w:bookmarkStart w:id="43" w:name="_Toc498367334"/>
      <w:bookmarkStart w:id="44" w:name="_Toc505612959"/>
      <w:r>
        <w:rPr>
          <w:rFonts w:hint="eastAsia" w:ascii="宋体" w:hAnsi="宋体" w:cs="宋体"/>
          <w:sz w:val="24"/>
          <w:szCs w:val="24"/>
        </w:rPr>
        <w:t>二、总  则</w:t>
      </w:r>
      <w:bookmarkEnd w:id="40"/>
      <w:bookmarkEnd w:id="41"/>
      <w:bookmarkEnd w:id="42"/>
      <w:bookmarkEnd w:id="43"/>
      <w:bookmarkEnd w:id="44"/>
    </w:p>
    <w:p w14:paraId="2C0137DC">
      <w:pPr>
        <w:spacing w:line="480" w:lineRule="exact"/>
        <w:rPr>
          <w:rFonts w:ascii="宋体" w:hAnsi="宋体"/>
          <w:b/>
          <w:sz w:val="24"/>
        </w:rPr>
      </w:pPr>
      <w:bookmarkStart w:id="45" w:name="_Toc383175474"/>
      <w:bookmarkStart w:id="46" w:name="_Toc450312163"/>
      <w:bookmarkStart w:id="47" w:name="_Toc383175276"/>
      <w:bookmarkStart w:id="48" w:name="_Toc495941895"/>
      <w:bookmarkStart w:id="49" w:name="_Toc383175052"/>
      <w:bookmarkStart w:id="50" w:name="_Toc329810186"/>
      <w:r>
        <w:rPr>
          <w:rFonts w:hint="eastAsia" w:ascii="宋体" w:hAnsi="宋体"/>
          <w:b/>
          <w:sz w:val="24"/>
        </w:rPr>
        <w:t>1.项目概况</w:t>
      </w:r>
      <w:bookmarkEnd w:id="45"/>
      <w:bookmarkEnd w:id="46"/>
      <w:bookmarkEnd w:id="47"/>
      <w:bookmarkEnd w:id="48"/>
      <w:bookmarkEnd w:id="49"/>
      <w:bookmarkEnd w:id="50"/>
    </w:p>
    <w:p w14:paraId="7FC69E94">
      <w:pPr>
        <w:spacing w:line="480" w:lineRule="exact"/>
        <w:ind w:firstLine="480" w:firstLineChars="200"/>
        <w:jc w:val="left"/>
        <w:rPr>
          <w:rFonts w:ascii="宋体" w:hAnsi="宋体" w:cs="宋体"/>
          <w:sz w:val="24"/>
        </w:rPr>
      </w:pPr>
      <w:r>
        <w:rPr>
          <w:rFonts w:hint="eastAsia" w:ascii="宋体" w:hAnsi="宋体" w:cs="宋体"/>
          <w:sz w:val="24"/>
        </w:rPr>
        <w:t>1.1 根据《中华人民共和国政府采购法》等有关法律、法规和规章的规定，本项目已获主管部门批准，现对本项目进行竞争性谈判采购。</w:t>
      </w:r>
    </w:p>
    <w:p w14:paraId="6B6E031D">
      <w:pPr>
        <w:spacing w:line="480" w:lineRule="exact"/>
        <w:ind w:firstLine="480" w:firstLineChars="200"/>
        <w:jc w:val="left"/>
        <w:rPr>
          <w:rFonts w:ascii="宋体" w:hAnsi="宋体" w:cs="宋体"/>
          <w:sz w:val="24"/>
        </w:rPr>
      </w:pPr>
      <w:r>
        <w:rPr>
          <w:rFonts w:hint="eastAsia" w:ascii="宋体" w:hAnsi="宋体" w:cs="宋体"/>
          <w:sz w:val="24"/>
        </w:rPr>
        <w:t>1.2本项目采购人、采购代理机构、项目名称及项目编号：见“供应商须知前附表”。</w:t>
      </w:r>
      <w:bookmarkStart w:id="51" w:name="_Toc383175475"/>
      <w:bookmarkStart w:id="52" w:name="_Toc383175277"/>
      <w:bookmarkStart w:id="53" w:name="_Toc329810187"/>
      <w:bookmarkStart w:id="54" w:name="_Toc383175053"/>
      <w:bookmarkStart w:id="55" w:name="_Toc265142411"/>
    </w:p>
    <w:p w14:paraId="4206EECA">
      <w:pPr>
        <w:spacing w:line="480" w:lineRule="exact"/>
        <w:rPr>
          <w:rFonts w:ascii="宋体" w:hAnsi="宋体"/>
          <w:b/>
          <w:sz w:val="24"/>
        </w:rPr>
      </w:pPr>
      <w:r>
        <w:rPr>
          <w:rFonts w:hint="eastAsia" w:ascii="宋体" w:hAnsi="宋体"/>
          <w:b/>
          <w:sz w:val="24"/>
        </w:rPr>
        <w:t>2.资金来源</w:t>
      </w:r>
      <w:bookmarkEnd w:id="51"/>
      <w:bookmarkEnd w:id="52"/>
      <w:bookmarkEnd w:id="53"/>
      <w:bookmarkEnd w:id="54"/>
      <w:bookmarkEnd w:id="55"/>
    </w:p>
    <w:p w14:paraId="3D5F8ECD">
      <w:pPr>
        <w:spacing w:line="480" w:lineRule="exact"/>
        <w:ind w:firstLine="465"/>
        <w:jc w:val="left"/>
        <w:rPr>
          <w:rFonts w:ascii="宋体" w:hAnsi="宋体" w:cs="宋体"/>
          <w:sz w:val="24"/>
        </w:rPr>
      </w:pPr>
      <w:r>
        <w:rPr>
          <w:rFonts w:hint="eastAsia" w:ascii="宋体" w:hAnsi="宋体" w:cs="宋体"/>
          <w:sz w:val="24"/>
        </w:rPr>
        <w:t>2.1财政资金，用于采购“采购需求”所列内容。预算金额及最高限价：见“供应商须知前附表”。</w:t>
      </w:r>
    </w:p>
    <w:p w14:paraId="7D8AD13D">
      <w:pPr>
        <w:spacing w:line="480" w:lineRule="exact"/>
        <w:rPr>
          <w:rFonts w:ascii="宋体" w:hAnsi="宋体"/>
          <w:b/>
          <w:sz w:val="24"/>
        </w:rPr>
      </w:pPr>
      <w:bookmarkStart w:id="56" w:name="_Toc383175278"/>
      <w:bookmarkStart w:id="57" w:name="_Toc450312164"/>
      <w:bookmarkStart w:id="58" w:name="_Toc329810188"/>
      <w:bookmarkStart w:id="59" w:name="_Toc495941896"/>
      <w:bookmarkStart w:id="60" w:name="_Toc383175054"/>
      <w:bookmarkStart w:id="61" w:name="_Toc265142412"/>
      <w:bookmarkStart w:id="62" w:name="_Toc383175476"/>
      <w:r>
        <w:rPr>
          <w:rFonts w:hint="eastAsia" w:ascii="宋体" w:hAnsi="宋体"/>
          <w:b/>
          <w:sz w:val="24"/>
        </w:rPr>
        <w:t>3.采购范围</w:t>
      </w:r>
      <w:bookmarkEnd w:id="56"/>
      <w:bookmarkEnd w:id="57"/>
      <w:bookmarkEnd w:id="58"/>
      <w:bookmarkEnd w:id="59"/>
      <w:bookmarkEnd w:id="60"/>
      <w:bookmarkEnd w:id="61"/>
      <w:bookmarkEnd w:id="62"/>
    </w:p>
    <w:p w14:paraId="3365DFE9">
      <w:pPr>
        <w:spacing w:line="480" w:lineRule="exact"/>
        <w:ind w:firstLine="465"/>
        <w:jc w:val="left"/>
        <w:rPr>
          <w:rFonts w:ascii="宋体" w:hAnsi="宋体" w:cs="宋体"/>
          <w:sz w:val="24"/>
        </w:rPr>
      </w:pPr>
      <w:bookmarkStart w:id="63" w:name="_Toc495941897"/>
      <w:bookmarkStart w:id="64" w:name="_Toc383175055"/>
      <w:bookmarkStart w:id="65" w:name="_Toc450312165"/>
      <w:bookmarkStart w:id="66" w:name="_Toc329810189"/>
      <w:bookmarkStart w:id="67" w:name="_Toc383175477"/>
      <w:bookmarkStart w:id="68" w:name="_Toc383175279"/>
      <w:r>
        <w:rPr>
          <w:rFonts w:hint="eastAsia" w:ascii="宋体" w:hAnsi="宋体" w:cs="宋体"/>
          <w:sz w:val="24"/>
        </w:rPr>
        <w:t>3.1 本项目项目完成时限、质保期及质量要求：见“供应商须知前附表”。</w:t>
      </w:r>
      <w:bookmarkEnd w:id="63"/>
    </w:p>
    <w:p w14:paraId="20835870">
      <w:pPr>
        <w:spacing w:line="480" w:lineRule="exact"/>
        <w:ind w:firstLine="465"/>
        <w:jc w:val="left"/>
        <w:rPr>
          <w:rFonts w:ascii="宋体" w:hAnsi="宋体" w:cs="宋体"/>
          <w:sz w:val="24"/>
        </w:rPr>
      </w:pPr>
      <w:bookmarkStart w:id="69" w:name="_Toc495941898"/>
      <w:r>
        <w:rPr>
          <w:rFonts w:hint="eastAsia" w:ascii="宋体" w:hAnsi="宋体" w:cs="宋体"/>
          <w:sz w:val="24"/>
        </w:rPr>
        <w:t>3.2 本项目交货地点：见“供应商须知前附表”。</w:t>
      </w:r>
      <w:bookmarkEnd w:id="69"/>
    </w:p>
    <w:p w14:paraId="51789EC9">
      <w:pPr>
        <w:spacing w:line="480" w:lineRule="exact"/>
        <w:ind w:firstLine="465"/>
        <w:jc w:val="left"/>
        <w:rPr>
          <w:rFonts w:ascii="宋体" w:hAnsi="宋体" w:cs="宋体"/>
          <w:sz w:val="24"/>
        </w:rPr>
      </w:pPr>
      <w:bookmarkStart w:id="70" w:name="_Toc495941899"/>
      <w:r>
        <w:rPr>
          <w:rFonts w:hint="eastAsia" w:ascii="宋体" w:hAnsi="宋体" w:cs="宋体"/>
          <w:sz w:val="24"/>
        </w:rPr>
        <w:t>3.3 本项目采购范围：见“供应商须知前附表”。</w:t>
      </w:r>
      <w:bookmarkEnd w:id="70"/>
    </w:p>
    <w:p w14:paraId="5E56D7DA">
      <w:pPr>
        <w:spacing w:line="480" w:lineRule="exact"/>
        <w:rPr>
          <w:rFonts w:ascii="宋体" w:hAnsi="宋体"/>
          <w:b/>
          <w:sz w:val="24"/>
        </w:rPr>
      </w:pPr>
      <w:bookmarkStart w:id="71" w:name="_Toc495941900"/>
      <w:r>
        <w:rPr>
          <w:rFonts w:hint="eastAsia" w:ascii="宋体" w:hAnsi="宋体"/>
          <w:b/>
          <w:sz w:val="24"/>
        </w:rPr>
        <w:t>4.合格的供应商（以下简称供应商）</w:t>
      </w:r>
      <w:bookmarkEnd w:id="64"/>
      <w:bookmarkEnd w:id="65"/>
      <w:bookmarkEnd w:id="66"/>
      <w:bookmarkEnd w:id="67"/>
      <w:bookmarkEnd w:id="68"/>
      <w:bookmarkEnd w:id="71"/>
    </w:p>
    <w:p w14:paraId="23FF95B2">
      <w:pPr>
        <w:spacing w:line="480" w:lineRule="exact"/>
        <w:ind w:firstLine="480" w:firstLineChars="200"/>
        <w:jc w:val="left"/>
        <w:rPr>
          <w:rFonts w:ascii="宋体" w:hAnsi="宋体" w:cs="宋体"/>
          <w:sz w:val="24"/>
        </w:rPr>
      </w:pPr>
      <w:bookmarkStart w:id="72" w:name="_Hlt200176664"/>
      <w:bookmarkEnd w:id="72"/>
      <w:bookmarkStart w:id="73" w:name="_Toc329810190"/>
      <w:bookmarkStart w:id="74" w:name="_Toc383175280"/>
      <w:bookmarkStart w:id="75" w:name="_Toc383175056"/>
      <w:bookmarkStart w:id="76" w:name="_Toc450312166"/>
      <w:bookmarkStart w:id="77" w:name="_Toc383175478"/>
      <w:r>
        <w:rPr>
          <w:rFonts w:hint="eastAsia" w:ascii="宋体" w:hAnsi="宋体" w:cs="宋体"/>
          <w:sz w:val="24"/>
        </w:rPr>
        <w:t>见“</w:t>
      </w:r>
      <w:r>
        <w:rPr>
          <w:rFonts w:hint="eastAsia" w:ascii="宋体" w:hAnsi="宋体" w:cs="宋体"/>
          <w:bCs/>
          <w:sz w:val="24"/>
        </w:rPr>
        <w:t>供应商须知前附表</w:t>
      </w:r>
      <w:r>
        <w:rPr>
          <w:rFonts w:hint="eastAsia" w:ascii="宋体" w:hAnsi="宋体" w:cs="宋体"/>
          <w:sz w:val="24"/>
        </w:rPr>
        <w:t>”。</w:t>
      </w:r>
    </w:p>
    <w:p w14:paraId="583B2C1A">
      <w:pPr>
        <w:spacing w:line="480" w:lineRule="exact"/>
        <w:rPr>
          <w:rFonts w:ascii="宋体" w:hAnsi="宋体"/>
          <w:b/>
          <w:sz w:val="24"/>
        </w:rPr>
      </w:pPr>
      <w:bookmarkStart w:id="78" w:name="_Toc495941901"/>
      <w:r>
        <w:rPr>
          <w:rFonts w:hint="eastAsia" w:ascii="宋体" w:hAnsi="宋体"/>
          <w:b/>
          <w:sz w:val="24"/>
        </w:rPr>
        <w:t>5.现场踏勘及谈判费用</w:t>
      </w:r>
      <w:bookmarkEnd w:id="73"/>
      <w:bookmarkEnd w:id="74"/>
      <w:bookmarkEnd w:id="75"/>
      <w:bookmarkEnd w:id="76"/>
      <w:bookmarkEnd w:id="77"/>
      <w:bookmarkEnd w:id="78"/>
    </w:p>
    <w:p w14:paraId="1F025411">
      <w:pPr>
        <w:spacing w:line="480" w:lineRule="exact"/>
        <w:ind w:firstLine="480" w:firstLineChars="200"/>
        <w:jc w:val="left"/>
        <w:rPr>
          <w:rFonts w:ascii="宋体" w:hAnsi="宋体"/>
          <w:sz w:val="24"/>
        </w:rPr>
      </w:pPr>
      <w:r>
        <w:rPr>
          <w:rFonts w:hint="eastAsia" w:ascii="宋体" w:hAnsi="宋体" w:cs="宋体"/>
          <w:sz w:val="24"/>
        </w:rPr>
        <w:t>5.1</w:t>
      </w:r>
      <w:r>
        <w:rPr>
          <w:rFonts w:hint="eastAsia" w:ascii="宋体" w:hAnsi="宋体" w:cs="宋体"/>
          <w:kern w:val="0"/>
          <w:sz w:val="24"/>
        </w:rPr>
        <w:t>采购人不组织现场踏勘。若供应商认为有必要时，报请采购人批准后自行踏勘现场，</w:t>
      </w:r>
      <w:r>
        <w:rPr>
          <w:rFonts w:hint="eastAsia" w:ascii="宋体" w:hAnsi="宋体"/>
          <w:sz w:val="24"/>
        </w:rPr>
        <w:t>本项目不组织答疑会</w:t>
      </w:r>
      <w:r>
        <w:rPr>
          <w:rFonts w:ascii="宋体" w:hAnsi="宋体"/>
          <w:sz w:val="24"/>
        </w:rPr>
        <w:t>。</w:t>
      </w:r>
    </w:p>
    <w:p w14:paraId="10825480">
      <w:pPr>
        <w:spacing w:line="480" w:lineRule="exact"/>
        <w:ind w:firstLine="480" w:firstLineChars="200"/>
        <w:jc w:val="left"/>
        <w:rPr>
          <w:rFonts w:ascii="宋体" w:hAnsi="宋体"/>
          <w:sz w:val="24"/>
        </w:rPr>
      </w:pPr>
      <w:r>
        <w:rPr>
          <w:rFonts w:hint="eastAsia" w:ascii="宋体" w:hAnsi="宋体"/>
          <w:sz w:val="24"/>
        </w:rPr>
        <w:t>5.2成交供应商需向采购代理机构缴纳成交服务费。</w:t>
      </w:r>
    </w:p>
    <w:p w14:paraId="24B58826">
      <w:pPr>
        <w:spacing w:line="480" w:lineRule="exact"/>
        <w:ind w:firstLine="480" w:firstLineChars="200"/>
        <w:jc w:val="left"/>
        <w:rPr>
          <w:rFonts w:ascii="宋体" w:hAnsi="宋体"/>
          <w:sz w:val="24"/>
        </w:rPr>
      </w:pPr>
      <w:r>
        <w:rPr>
          <w:rFonts w:hint="eastAsia" w:ascii="宋体" w:hAnsi="宋体"/>
          <w:sz w:val="24"/>
        </w:rPr>
        <w:t>5.3上述5.1和5.2两项中的费用均包含在谈判报价中。</w:t>
      </w:r>
    </w:p>
    <w:p w14:paraId="21AF1FAC">
      <w:pPr>
        <w:spacing w:line="480" w:lineRule="exact"/>
        <w:ind w:firstLine="480" w:firstLineChars="200"/>
        <w:rPr>
          <w:rFonts w:ascii="宋体" w:hAnsi="宋体" w:cs="宋体"/>
          <w:sz w:val="24"/>
        </w:rPr>
      </w:pPr>
      <w:r>
        <w:rPr>
          <w:rFonts w:hint="eastAsia" w:ascii="宋体" w:hAnsi="宋体" w:cs="宋体"/>
          <w:sz w:val="24"/>
        </w:rPr>
        <w:t>5.4无论是否成交，供应商自行承担所有与参加谈判及踏勘有关的全部费用</w:t>
      </w:r>
      <w:r>
        <w:rPr>
          <w:rFonts w:hint="eastAsia" w:ascii="宋体" w:hAnsi="宋体" w:cs="宋体"/>
          <w:kern w:val="0"/>
          <w:sz w:val="24"/>
        </w:rPr>
        <w:t>和风险</w:t>
      </w:r>
      <w:r>
        <w:rPr>
          <w:rFonts w:hint="eastAsia" w:ascii="宋体" w:hAnsi="宋体" w:cs="宋体"/>
          <w:sz w:val="24"/>
        </w:rPr>
        <w:t>。</w:t>
      </w:r>
    </w:p>
    <w:p w14:paraId="18C1EA32">
      <w:pPr>
        <w:pStyle w:val="4"/>
        <w:spacing w:before="0" w:after="0" w:line="480" w:lineRule="exact"/>
        <w:rPr>
          <w:rFonts w:ascii="宋体" w:hAnsi="宋体" w:cs="宋体"/>
          <w:sz w:val="24"/>
          <w:szCs w:val="24"/>
        </w:rPr>
      </w:pPr>
      <w:bookmarkStart w:id="79" w:name="_Toc505612960"/>
      <w:bookmarkStart w:id="80" w:name="_Toc495941902"/>
      <w:bookmarkStart w:id="81" w:name="_Toc498367335"/>
      <w:bookmarkStart w:id="82" w:name="_Toc450312167"/>
      <w:bookmarkStart w:id="83" w:name="_Toc86124047"/>
      <w:r>
        <w:rPr>
          <w:rFonts w:hint="eastAsia" w:ascii="宋体" w:hAnsi="宋体" w:cs="宋体"/>
          <w:sz w:val="24"/>
          <w:szCs w:val="24"/>
        </w:rPr>
        <w:t>三、谈判文件</w:t>
      </w:r>
      <w:bookmarkEnd w:id="79"/>
      <w:bookmarkEnd w:id="80"/>
      <w:bookmarkEnd w:id="81"/>
      <w:bookmarkEnd w:id="82"/>
      <w:bookmarkEnd w:id="83"/>
    </w:p>
    <w:p w14:paraId="645B3287">
      <w:pPr>
        <w:spacing w:line="480" w:lineRule="exact"/>
        <w:rPr>
          <w:rFonts w:ascii="宋体" w:hAnsi="宋体"/>
          <w:b/>
          <w:sz w:val="24"/>
        </w:rPr>
      </w:pPr>
      <w:bookmarkStart w:id="84" w:name="_Toc450312168"/>
      <w:bookmarkStart w:id="85" w:name="_Toc383175480"/>
      <w:bookmarkStart w:id="86" w:name="_Toc495941903"/>
      <w:bookmarkStart w:id="87" w:name="_Toc383175282"/>
      <w:bookmarkStart w:id="88" w:name="_Toc329810192"/>
      <w:bookmarkStart w:id="89" w:name="_Toc383175058"/>
      <w:r>
        <w:rPr>
          <w:rFonts w:hint="eastAsia" w:ascii="宋体" w:hAnsi="宋体"/>
          <w:b/>
          <w:sz w:val="24"/>
        </w:rPr>
        <w:t>6.谈判文件的组成</w:t>
      </w:r>
      <w:bookmarkEnd w:id="84"/>
      <w:bookmarkEnd w:id="85"/>
      <w:bookmarkEnd w:id="86"/>
      <w:bookmarkEnd w:id="87"/>
      <w:bookmarkEnd w:id="88"/>
      <w:bookmarkEnd w:id="89"/>
    </w:p>
    <w:p w14:paraId="4125F3C8">
      <w:pPr>
        <w:spacing w:line="480" w:lineRule="exact"/>
        <w:ind w:firstLine="501" w:firstLineChars="209"/>
        <w:jc w:val="left"/>
        <w:rPr>
          <w:rFonts w:ascii="宋体" w:hAnsi="宋体" w:cs="宋体"/>
          <w:sz w:val="24"/>
        </w:rPr>
      </w:pPr>
      <w:r>
        <w:rPr>
          <w:rFonts w:hint="eastAsia" w:ascii="宋体" w:hAnsi="宋体" w:cs="宋体"/>
          <w:sz w:val="24"/>
        </w:rPr>
        <w:t>要求提供的货物、采购过程及合同条款在谈判文件中均有说明，谈判文件共六章，各章的内容如下：</w:t>
      </w:r>
    </w:p>
    <w:p w14:paraId="61A9DED7">
      <w:pPr>
        <w:spacing w:line="480" w:lineRule="exact"/>
        <w:ind w:firstLine="480" w:firstLineChars="200"/>
        <w:jc w:val="left"/>
        <w:rPr>
          <w:rFonts w:ascii="宋体" w:hAnsi="宋体" w:cs="宋体"/>
          <w:sz w:val="24"/>
        </w:rPr>
      </w:pPr>
      <w:r>
        <w:rPr>
          <w:rFonts w:hint="eastAsia" w:ascii="宋体" w:hAnsi="宋体" w:cs="宋体"/>
          <w:sz w:val="24"/>
        </w:rPr>
        <w:t>第一章  竞争性谈判公告</w:t>
      </w:r>
    </w:p>
    <w:p w14:paraId="48CDCEFA">
      <w:pPr>
        <w:spacing w:line="480" w:lineRule="exact"/>
        <w:ind w:firstLine="480" w:firstLineChars="200"/>
        <w:jc w:val="left"/>
        <w:rPr>
          <w:rFonts w:ascii="宋体" w:hAnsi="宋体" w:cs="宋体"/>
          <w:sz w:val="24"/>
        </w:rPr>
      </w:pPr>
      <w:r>
        <w:rPr>
          <w:rFonts w:hint="eastAsia" w:ascii="宋体" w:hAnsi="宋体" w:cs="宋体"/>
          <w:sz w:val="24"/>
        </w:rPr>
        <w:t>第二章  供应商须知</w:t>
      </w:r>
    </w:p>
    <w:p w14:paraId="33F45DF9">
      <w:pPr>
        <w:spacing w:line="480" w:lineRule="exact"/>
        <w:ind w:firstLine="480" w:firstLineChars="200"/>
        <w:jc w:val="left"/>
        <w:rPr>
          <w:rFonts w:ascii="宋体" w:hAnsi="宋体" w:cs="宋体"/>
          <w:sz w:val="24"/>
        </w:rPr>
      </w:pPr>
      <w:r>
        <w:rPr>
          <w:rFonts w:hint="eastAsia" w:ascii="宋体" w:hAnsi="宋体" w:cs="宋体"/>
          <w:sz w:val="24"/>
        </w:rPr>
        <w:t>第三章  合同书样式及主要条款</w:t>
      </w:r>
    </w:p>
    <w:p w14:paraId="75F403DD">
      <w:pPr>
        <w:spacing w:line="480" w:lineRule="exact"/>
        <w:ind w:firstLine="480" w:firstLineChars="200"/>
        <w:jc w:val="left"/>
        <w:rPr>
          <w:rFonts w:ascii="宋体" w:hAnsi="宋体" w:cs="宋体"/>
          <w:sz w:val="24"/>
        </w:rPr>
      </w:pPr>
      <w:r>
        <w:rPr>
          <w:rFonts w:hint="eastAsia" w:ascii="宋体" w:hAnsi="宋体" w:cs="宋体"/>
          <w:sz w:val="24"/>
        </w:rPr>
        <w:t>第四章  响应文件格式</w:t>
      </w:r>
    </w:p>
    <w:p w14:paraId="2BCD23B3">
      <w:pPr>
        <w:spacing w:line="480" w:lineRule="exact"/>
        <w:ind w:firstLine="480" w:firstLineChars="200"/>
        <w:jc w:val="left"/>
        <w:rPr>
          <w:rFonts w:ascii="宋体" w:hAnsi="宋体" w:cs="宋体"/>
          <w:sz w:val="24"/>
        </w:rPr>
      </w:pPr>
      <w:r>
        <w:rPr>
          <w:rFonts w:hint="eastAsia" w:ascii="宋体" w:hAnsi="宋体" w:cs="宋体"/>
          <w:sz w:val="24"/>
        </w:rPr>
        <w:t>第五章  谈判程序及方法</w:t>
      </w:r>
    </w:p>
    <w:p w14:paraId="1304D88C">
      <w:pPr>
        <w:spacing w:line="480" w:lineRule="exact"/>
        <w:ind w:firstLine="480" w:firstLineChars="200"/>
        <w:jc w:val="left"/>
        <w:rPr>
          <w:rFonts w:ascii="宋体" w:hAnsi="宋体" w:cs="宋体"/>
          <w:sz w:val="24"/>
        </w:rPr>
      </w:pPr>
      <w:r>
        <w:rPr>
          <w:rFonts w:hint="eastAsia" w:ascii="宋体" w:hAnsi="宋体" w:cs="宋体"/>
          <w:sz w:val="24"/>
        </w:rPr>
        <w:t>第六章  采购需求</w:t>
      </w:r>
    </w:p>
    <w:p w14:paraId="2916569A">
      <w:pPr>
        <w:spacing w:line="480" w:lineRule="exact"/>
        <w:rPr>
          <w:rFonts w:ascii="宋体" w:hAnsi="宋体"/>
          <w:b/>
          <w:sz w:val="24"/>
        </w:rPr>
      </w:pPr>
      <w:bookmarkStart w:id="90" w:name="_Toc86124049"/>
      <w:bookmarkStart w:id="91" w:name="_Toc383175481"/>
      <w:bookmarkStart w:id="92" w:name="_Toc495941904"/>
      <w:bookmarkStart w:id="93" w:name="_Toc450312169"/>
      <w:bookmarkStart w:id="94" w:name="_Toc383175059"/>
      <w:bookmarkStart w:id="95" w:name="_Toc383175283"/>
      <w:bookmarkStart w:id="96" w:name="_Toc329810193"/>
      <w:r>
        <w:rPr>
          <w:rFonts w:hint="eastAsia" w:ascii="宋体" w:hAnsi="宋体"/>
          <w:b/>
          <w:sz w:val="24"/>
        </w:rPr>
        <w:t>7.谈判文件的澄清</w:t>
      </w:r>
      <w:bookmarkEnd w:id="90"/>
      <w:r>
        <w:rPr>
          <w:rFonts w:hint="eastAsia" w:ascii="宋体" w:hAnsi="宋体"/>
          <w:b/>
          <w:sz w:val="24"/>
        </w:rPr>
        <w:t>、修改</w:t>
      </w:r>
      <w:bookmarkEnd w:id="91"/>
      <w:bookmarkEnd w:id="92"/>
      <w:bookmarkEnd w:id="93"/>
      <w:bookmarkEnd w:id="94"/>
      <w:bookmarkEnd w:id="95"/>
      <w:bookmarkEnd w:id="96"/>
    </w:p>
    <w:p w14:paraId="532FD3DD">
      <w:pPr>
        <w:spacing w:line="480" w:lineRule="exact"/>
        <w:ind w:firstLine="480" w:firstLineChars="200"/>
        <w:jc w:val="left"/>
        <w:rPr>
          <w:rFonts w:ascii="宋体" w:hAnsi="宋体" w:cs="宋体"/>
          <w:sz w:val="24"/>
        </w:rPr>
      </w:pPr>
      <w:r>
        <w:rPr>
          <w:rFonts w:hint="eastAsia" w:ascii="宋体" w:hAnsi="宋体" w:cs="宋体"/>
          <w:sz w:val="24"/>
        </w:rPr>
        <w:t>7.1 参加供应商应认真审核谈判文件，如有疑问的，供应商可以在“供应商须知前附表”规定截止时间前以在线不署名形式要求采购代理机构澄清，截止时间后送达的澄清要求概不接受。所有获取了采购文件的潜在供应商凭企业数字证书（CA）登录“政采云”平台，通过在线方式进行不署名提问。</w:t>
      </w:r>
    </w:p>
    <w:p w14:paraId="66EFCAAC">
      <w:pPr>
        <w:spacing w:line="480" w:lineRule="exact"/>
        <w:ind w:firstLine="480" w:firstLineChars="200"/>
        <w:jc w:val="left"/>
        <w:rPr>
          <w:rFonts w:ascii="宋体" w:hAnsi="宋体" w:cs="宋体"/>
          <w:sz w:val="24"/>
        </w:rPr>
      </w:pPr>
      <w:r>
        <w:rPr>
          <w:rFonts w:hint="eastAsia" w:ascii="宋体" w:hAnsi="宋体" w:cs="宋体"/>
          <w:sz w:val="24"/>
        </w:rPr>
        <w:t>7.2 采购代理机构将以书面形式答复所有购买谈判文件的供应商要求澄清的问题（答复中不包含问题的来源），其他澄清方式无效。供应商应在递交响应文件截止时间前及时登录“政采云”平台中查看有关该服务</w:t>
      </w:r>
      <w:r>
        <w:rPr>
          <w:rFonts w:hint="eastAsia" w:ascii="宋体" w:hAnsi="宋体" w:cs="宋体"/>
          <w:sz w:val="24"/>
          <w:lang w:eastAsia="zh-CN"/>
        </w:rPr>
        <w:t>谈判</w:t>
      </w:r>
      <w:r>
        <w:rPr>
          <w:rFonts w:hint="eastAsia" w:ascii="宋体" w:hAnsi="宋体" w:cs="宋体"/>
          <w:sz w:val="24"/>
        </w:rPr>
        <w:t>文件的答疑、补遗内容。否则，后果自负。</w:t>
      </w:r>
    </w:p>
    <w:p w14:paraId="57D80936">
      <w:pPr>
        <w:spacing w:line="480" w:lineRule="exact"/>
        <w:ind w:firstLine="480" w:firstLineChars="200"/>
        <w:jc w:val="left"/>
        <w:rPr>
          <w:rFonts w:ascii="宋体" w:hAnsi="宋体" w:cs="宋体"/>
          <w:sz w:val="24"/>
        </w:rPr>
      </w:pPr>
      <w:r>
        <w:rPr>
          <w:rFonts w:hint="eastAsia" w:ascii="宋体" w:hAnsi="宋体" w:cs="宋体"/>
          <w:sz w:val="24"/>
        </w:rPr>
        <w:t>7.3采购人、采购代理机构对已发出的谈判文件进行必要的澄清或者修改的，澄清或者修改的内容作为谈判文件的组成部分。澄清或者修改的内容可能影响响应文件编制的，采购人、采购代理机构将在提交首次响应文件截止之日3日前，以书面形式通知所有接收谈判文件的供应商，不足3日的，将顺延提交首次响应文件截止之日。</w:t>
      </w:r>
    </w:p>
    <w:p w14:paraId="6FAF946A">
      <w:pPr>
        <w:spacing w:line="480" w:lineRule="exact"/>
        <w:ind w:firstLine="480" w:firstLineChars="200"/>
        <w:jc w:val="left"/>
        <w:rPr>
          <w:rFonts w:ascii="宋体" w:hAnsi="宋体" w:cs="宋体"/>
          <w:sz w:val="24"/>
        </w:rPr>
      </w:pPr>
      <w:r>
        <w:rPr>
          <w:rFonts w:hint="eastAsia" w:ascii="宋体" w:hAnsi="宋体" w:cs="宋体"/>
          <w:sz w:val="24"/>
        </w:rPr>
        <w:t>7.4采购代理机构和采购人可以视采购具体情况，推迟递交响应文件截止时间，并将变更时间书面通知所有购买谈判文件的供应商。</w:t>
      </w:r>
    </w:p>
    <w:p w14:paraId="1B5E0CA3">
      <w:pPr>
        <w:spacing w:line="480" w:lineRule="exact"/>
        <w:ind w:firstLine="480" w:firstLineChars="200"/>
        <w:jc w:val="left"/>
        <w:rPr>
          <w:rFonts w:ascii="宋体" w:hAnsi="宋体" w:cs="宋体"/>
          <w:sz w:val="24"/>
        </w:rPr>
      </w:pPr>
      <w:r>
        <w:rPr>
          <w:rFonts w:hint="eastAsia" w:ascii="宋体" w:hAnsi="宋体" w:cs="宋体"/>
          <w:sz w:val="24"/>
        </w:rPr>
        <w:t>7.5在谈判过程中，谈判小组可以根据谈判文件和谈判情况实质性变动采购需求中的技术、服务要求以及合同草案条款，但不得变动谈判文件中的其他内容。实质性变动的内容，须经采购人代表确认。本项目谈判小组根据与供应商谈判情况可能实质性变动的内容见供应商须知前附表。</w:t>
      </w:r>
    </w:p>
    <w:p w14:paraId="2E545E64">
      <w:pPr>
        <w:pStyle w:val="4"/>
        <w:spacing w:before="0" w:after="0" w:line="480" w:lineRule="exact"/>
        <w:rPr>
          <w:rFonts w:ascii="宋体" w:hAnsi="宋体" w:cs="宋体"/>
          <w:sz w:val="24"/>
          <w:szCs w:val="24"/>
        </w:rPr>
      </w:pPr>
      <w:bookmarkStart w:id="97" w:name="_Toc498367336"/>
      <w:bookmarkStart w:id="98" w:name="_Toc505612961"/>
      <w:bookmarkStart w:id="99" w:name="_Toc86124051"/>
      <w:bookmarkStart w:id="100" w:name="_Toc450312170"/>
      <w:bookmarkStart w:id="101" w:name="_Toc495941905"/>
      <w:r>
        <w:rPr>
          <w:rFonts w:hint="eastAsia" w:ascii="宋体" w:hAnsi="宋体" w:cs="宋体"/>
          <w:sz w:val="24"/>
          <w:szCs w:val="24"/>
        </w:rPr>
        <w:t>四、响应文件</w:t>
      </w:r>
      <w:bookmarkEnd w:id="97"/>
      <w:bookmarkEnd w:id="98"/>
      <w:bookmarkEnd w:id="99"/>
      <w:bookmarkEnd w:id="100"/>
      <w:bookmarkEnd w:id="101"/>
    </w:p>
    <w:p w14:paraId="2A67177C">
      <w:pPr>
        <w:spacing w:line="480" w:lineRule="exact"/>
        <w:rPr>
          <w:rFonts w:ascii="宋体" w:hAnsi="宋体"/>
          <w:b/>
          <w:sz w:val="24"/>
        </w:rPr>
      </w:pPr>
      <w:bookmarkStart w:id="102" w:name="_Toc383175061"/>
      <w:bookmarkStart w:id="103" w:name="_Toc383175285"/>
      <w:bookmarkStart w:id="104" w:name="_Toc86124052"/>
      <w:bookmarkStart w:id="105" w:name="_Toc383175483"/>
      <w:bookmarkStart w:id="106" w:name="_Toc495941906"/>
      <w:bookmarkStart w:id="107" w:name="_Toc329810195"/>
      <w:bookmarkStart w:id="108" w:name="_Toc450312171"/>
      <w:r>
        <w:rPr>
          <w:rFonts w:hint="eastAsia" w:ascii="宋体" w:hAnsi="宋体"/>
          <w:b/>
          <w:sz w:val="24"/>
        </w:rPr>
        <w:t>8.响应文件编写注意事项</w:t>
      </w:r>
      <w:bookmarkEnd w:id="102"/>
      <w:bookmarkEnd w:id="103"/>
      <w:bookmarkEnd w:id="104"/>
      <w:bookmarkEnd w:id="105"/>
      <w:bookmarkEnd w:id="106"/>
      <w:bookmarkEnd w:id="107"/>
      <w:bookmarkEnd w:id="108"/>
    </w:p>
    <w:p w14:paraId="0CDE8243">
      <w:pPr>
        <w:spacing w:line="480" w:lineRule="exact"/>
        <w:ind w:firstLine="480" w:firstLineChars="200"/>
        <w:jc w:val="left"/>
        <w:rPr>
          <w:rFonts w:ascii="宋体" w:hAnsi="宋体" w:cs="宋体"/>
          <w:sz w:val="24"/>
        </w:rPr>
      </w:pPr>
      <w:r>
        <w:rPr>
          <w:rFonts w:hint="eastAsia" w:ascii="宋体" w:hAnsi="宋体" w:cs="宋体"/>
          <w:sz w:val="24"/>
        </w:rPr>
        <w:t>8.1 供应商应仔细阅读谈判文件，在完全了解采购的内容、技术性能要求（见第六章“采购需求”）和商务条件后，编写响应文件。</w:t>
      </w:r>
    </w:p>
    <w:p w14:paraId="515E1697">
      <w:pPr>
        <w:spacing w:line="480" w:lineRule="exact"/>
        <w:ind w:firstLine="480" w:firstLineChars="200"/>
        <w:jc w:val="left"/>
        <w:rPr>
          <w:rFonts w:ascii="宋体" w:hAnsi="宋体" w:cs="宋体"/>
          <w:sz w:val="24"/>
        </w:rPr>
      </w:pPr>
      <w:r>
        <w:rPr>
          <w:rFonts w:hint="eastAsia" w:ascii="宋体" w:hAnsi="宋体" w:cs="宋体"/>
          <w:sz w:val="24"/>
        </w:rPr>
        <w:t>8.2 对谈判文件提出的实质性要求和条件作出响应是指供应商必须对谈判文件中规定的成交实质性要求和条件作出满足或者优于原要求和条件的承诺，并提供相应的证明材料。</w:t>
      </w:r>
    </w:p>
    <w:p w14:paraId="1F3BC238">
      <w:pPr>
        <w:spacing w:line="480" w:lineRule="exact"/>
        <w:rPr>
          <w:rFonts w:ascii="宋体" w:hAnsi="宋体"/>
          <w:b/>
          <w:sz w:val="24"/>
        </w:rPr>
      </w:pPr>
      <w:bookmarkStart w:id="109" w:name="_Toc329810196"/>
      <w:bookmarkStart w:id="110" w:name="_Toc495941907"/>
      <w:bookmarkStart w:id="111" w:name="_Toc86124054"/>
      <w:bookmarkStart w:id="112" w:name="_Toc383175286"/>
      <w:bookmarkStart w:id="113" w:name="_Toc450312172"/>
      <w:bookmarkStart w:id="114" w:name="_Toc383175062"/>
      <w:bookmarkStart w:id="115" w:name="_Toc383175484"/>
      <w:r>
        <w:rPr>
          <w:rFonts w:hint="eastAsia" w:ascii="宋体" w:hAnsi="宋体"/>
          <w:b/>
          <w:sz w:val="24"/>
        </w:rPr>
        <w:t>9.响应文件构成</w:t>
      </w:r>
      <w:bookmarkEnd w:id="109"/>
      <w:bookmarkEnd w:id="110"/>
      <w:bookmarkEnd w:id="111"/>
      <w:bookmarkEnd w:id="112"/>
      <w:bookmarkEnd w:id="113"/>
      <w:bookmarkEnd w:id="114"/>
      <w:bookmarkEnd w:id="115"/>
    </w:p>
    <w:p w14:paraId="420F7627">
      <w:pPr>
        <w:spacing w:line="480" w:lineRule="exact"/>
        <w:ind w:firstLine="480" w:firstLineChars="200"/>
        <w:jc w:val="left"/>
        <w:rPr>
          <w:rFonts w:ascii="宋体" w:hAnsi="宋体" w:cs="宋体"/>
          <w:sz w:val="24"/>
        </w:rPr>
      </w:pPr>
      <w:r>
        <w:rPr>
          <w:rFonts w:hint="eastAsia" w:ascii="宋体" w:hAnsi="宋体" w:cs="宋体"/>
          <w:sz w:val="24"/>
        </w:rPr>
        <w:t>9.1供应商编写的响应文件应按第四章“响应文件格式”要求填写。有关文件的提交如未特别注明需提供原件的，可提供复印件。</w:t>
      </w:r>
    </w:p>
    <w:p w14:paraId="08879F49">
      <w:pPr>
        <w:spacing w:line="480" w:lineRule="exact"/>
        <w:rPr>
          <w:rFonts w:ascii="宋体" w:hAnsi="宋体"/>
          <w:b/>
          <w:sz w:val="24"/>
        </w:rPr>
      </w:pPr>
      <w:bookmarkStart w:id="116" w:name="_Toc86124056"/>
      <w:bookmarkStart w:id="117" w:name="_Toc450312173"/>
      <w:bookmarkStart w:id="118" w:name="_Toc383175287"/>
      <w:bookmarkStart w:id="119" w:name="_Toc495941908"/>
      <w:bookmarkStart w:id="120" w:name="_Toc383175063"/>
      <w:bookmarkStart w:id="121" w:name="_Toc383175485"/>
      <w:bookmarkStart w:id="122" w:name="_Toc329810197"/>
      <w:r>
        <w:rPr>
          <w:rFonts w:hint="eastAsia" w:ascii="宋体" w:hAnsi="宋体"/>
          <w:b/>
          <w:sz w:val="24"/>
        </w:rPr>
        <w:t>10报价</w:t>
      </w:r>
      <w:bookmarkEnd w:id="116"/>
      <w:r>
        <w:rPr>
          <w:rFonts w:hint="eastAsia" w:ascii="宋体" w:hAnsi="宋体"/>
          <w:b/>
          <w:sz w:val="24"/>
        </w:rPr>
        <w:t>和报价货币</w:t>
      </w:r>
      <w:bookmarkEnd w:id="117"/>
      <w:bookmarkEnd w:id="118"/>
      <w:bookmarkEnd w:id="119"/>
      <w:bookmarkEnd w:id="120"/>
      <w:bookmarkEnd w:id="121"/>
      <w:bookmarkEnd w:id="122"/>
    </w:p>
    <w:p w14:paraId="1C3C9312">
      <w:pPr>
        <w:spacing w:line="480" w:lineRule="exact"/>
        <w:ind w:firstLine="480" w:firstLineChars="200"/>
        <w:jc w:val="left"/>
        <w:rPr>
          <w:rFonts w:ascii="宋体" w:hAnsi="宋体" w:cs="宋体"/>
          <w:sz w:val="24"/>
        </w:rPr>
      </w:pPr>
      <w:r>
        <w:rPr>
          <w:rFonts w:hint="eastAsia" w:ascii="宋体" w:hAnsi="宋体" w:cs="宋体"/>
          <w:sz w:val="24"/>
        </w:rPr>
        <w:t>10.1本项目采购预算详见“供应商须知前附表”，最后报价超过采购预算的供应商将按无效处理。</w:t>
      </w:r>
    </w:p>
    <w:p w14:paraId="1808DB9E">
      <w:pPr>
        <w:spacing w:line="480" w:lineRule="exact"/>
        <w:ind w:firstLine="480" w:firstLineChars="200"/>
        <w:jc w:val="left"/>
        <w:rPr>
          <w:rFonts w:ascii="宋体" w:hAnsi="宋体" w:cs="宋体"/>
          <w:sz w:val="24"/>
        </w:rPr>
      </w:pPr>
      <w:r>
        <w:rPr>
          <w:rFonts w:hint="eastAsia" w:ascii="宋体" w:hAnsi="宋体" w:cs="宋体"/>
          <w:sz w:val="24"/>
        </w:rPr>
        <w:t>10.2供应商须就“采购需求”中所有采购内容作完整唯一报价。</w:t>
      </w:r>
    </w:p>
    <w:p w14:paraId="71402160">
      <w:pPr>
        <w:pStyle w:val="18"/>
        <w:spacing w:line="480" w:lineRule="exact"/>
        <w:ind w:firstLine="480" w:firstLineChars="200"/>
        <w:rPr>
          <w:rFonts w:hAnsi="宋体" w:cs="宋体"/>
          <w:sz w:val="24"/>
          <w:szCs w:val="24"/>
        </w:rPr>
      </w:pPr>
      <w:r>
        <w:rPr>
          <w:rFonts w:hint="eastAsia" w:hAnsi="宋体" w:cs="宋体"/>
          <w:sz w:val="24"/>
          <w:szCs w:val="24"/>
        </w:rPr>
        <w:t>10.3供应商应依据谈判文件的要求及有关资料，执行国家或行业现行技术经济标准、定额及规范，自行测算出满足采购要求的竞争性报价。报价均为人民币元，谈判报价应包括完成本项目所需的一切费用（含税），该报价应符合国内行情并能保证供应商完成履行合同所需的一切工作,为包干总价</w:t>
      </w:r>
      <w:r>
        <w:rPr>
          <w:rFonts w:hint="eastAsia" w:hAnsi="宋体" w:cs="宋体"/>
          <w:sz w:val="24"/>
          <w:szCs w:val="24"/>
          <w:lang w:eastAsia="zh-CN"/>
        </w:rPr>
        <w:t>。</w:t>
      </w:r>
      <w:r>
        <w:rPr>
          <w:rFonts w:hint="eastAsia" w:hAnsi="宋体" w:cs="宋体"/>
          <w:b/>
          <w:bCs/>
          <w:sz w:val="24"/>
          <w:szCs w:val="24"/>
          <w:lang w:val="en-US" w:eastAsia="zh-CN"/>
        </w:rPr>
        <w:t>供应商谈判报价不能低于本次采购产品的市场价格，若供应商低于市场价或低价请按照评标委员会要求在规定时间内提供相关证明材料并保证你公司所提供的产品是正品及全新产品。</w:t>
      </w:r>
      <w:r>
        <w:rPr>
          <w:rFonts w:hint="eastAsia" w:hAnsi="宋体" w:cs="宋体"/>
          <w:sz w:val="24"/>
          <w:szCs w:val="24"/>
          <w:lang w:val="en-US" w:eastAsia="zh-CN"/>
        </w:rPr>
        <w:t>需要</w:t>
      </w:r>
      <w:r>
        <w:rPr>
          <w:rFonts w:hint="eastAsia" w:hAnsi="宋体" w:cs="宋体"/>
          <w:sz w:val="24"/>
          <w:szCs w:val="24"/>
        </w:rPr>
        <w:t>合同一旦签订，此价格在合同实施期间将不因市场价格等的变化而调整。</w:t>
      </w:r>
    </w:p>
    <w:p w14:paraId="28A73141">
      <w:pPr>
        <w:pStyle w:val="18"/>
        <w:spacing w:line="480" w:lineRule="exact"/>
        <w:ind w:firstLine="480" w:firstLineChars="200"/>
        <w:rPr>
          <w:rFonts w:hAnsi="宋体" w:cs="宋体"/>
          <w:sz w:val="24"/>
          <w:szCs w:val="24"/>
        </w:rPr>
      </w:pPr>
      <w:r>
        <w:rPr>
          <w:rFonts w:hint="eastAsia" w:hAnsi="宋体" w:cs="宋体"/>
          <w:sz w:val="24"/>
          <w:szCs w:val="24"/>
        </w:rPr>
        <w:t>10.4须完整报价，少报、漏报、错报视为已包含在谈判总报价中，结算时不做调整。</w:t>
      </w:r>
    </w:p>
    <w:p w14:paraId="701E8915">
      <w:pPr>
        <w:pStyle w:val="18"/>
        <w:spacing w:line="480" w:lineRule="exact"/>
        <w:ind w:firstLine="480" w:firstLineChars="200"/>
        <w:rPr>
          <w:rFonts w:hAnsi="宋体" w:cs="宋体"/>
          <w:sz w:val="24"/>
          <w:szCs w:val="24"/>
        </w:rPr>
      </w:pPr>
      <w:r>
        <w:rPr>
          <w:rFonts w:hint="eastAsia" w:hAnsi="宋体" w:cs="宋体"/>
          <w:sz w:val="24"/>
          <w:szCs w:val="24"/>
        </w:rPr>
        <w:t>10.5供应商应根据“报价表”要求填写谈判报价组成情况。</w:t>
      </w:r>
    </w:p>
    <w:p w14:paraId="643C611F">
      <w:pPr>
        <w:spacing w:line="480" w:lineRule="exact"/>
        <w:ind w:firstLine="480" w:firstLineChars="200"/>
        <w:jc w:val="left"/>
        <w:rPr>
          <w:rFonts w:ascii="宋体" w:hAnsi="宋体" w:cs="宋体"/>
          <w:b/>
          <w:sz w:val="24"/>
        </w:rPr>
      </w:pPr>
      <w:r>
        <w:rPr>
          <w:rFonts w:hint="eastAsia" w:ascii="宋体" w:hAnsi="宋体" w:cs="宋体"/>
          <w:sz w:val="24"/>
        </w:rPr>
        <w:t>10.6</w:t>
      </w:r>
      <w:r>
        <w:rPr>
          <w:rFonts w:hint="eastAsia" w:ascii="宋体" w:hAnsi="宋体" w:cs="宋体"/>
          <w:b/>
          <w:sz w:val="24"/>
        </w:rPr>
        <w:t>通过实质性审查的供应商才能进入谈判程序并进行第二轮报价，第二轮报价为最终报价。</w:t>
      </w:r>
    </w:p>
    <w:p w14:paraId="39EA3262">
      <w:pPr>
        <w:spacing w:line="480" w:lineRule="exact"/>
        <w:ind w:firstLine="482" w:firstLineChars="200"/>
        <w:jc w:val="left"/>
        <w:rPr>
          <w:rFonts w:hint="default" w:eastAsia="宋体"/>
          <w:lang w:val="en-US" w:eastAsia="zh-CN"/>
        </w:rPr>
      </w:pPr>
      <w:r>
        <w:rPr>
          <w:rFonts w:hint="eastAsia" w:ascii="宋体" w:hAnsi="宋体" w:cs="宋体"/>
          <w:b/>
          <w:sz w:val="24"/>
        </w:rPr>
        <w:t>第二轮报价为最终报价即总包干价，采购人不再支付任何费用与成交供应商。</w:t>
      </w:r>
    </w:p>
    <w:p w14:paraId="65354110">
      <w:pPr>
        <w:spacing w:line="480" w:lineRule="exact"/>
        <w:ind w:firstLine="482" w:firstLineChars="200"/>
        <w:jc w:val="left"/>
        <w:rPr>
          <w:rFonts w:ascii="宋体" w:hAnsi="宋体" w:cs="宋体"/>
          <w:b/>
          <w:sz w:val="24"/>
        </w:rPr>
      </w:pPr>
      <w:r>
        <w:rPr>
          <w:rFonts w:hint="eastAsia" w:ascii="宋体" w:hAnsi="宋体" w:cs="宋体"/>
          <w:b/>
          <w:sz w:val="24"/>
        </w:rPr>
        <w:t>10.7最终报价文件应由法定代表人或委托代理人签字，在电子谈判规定的时间递交。若已递交的最终报价文件若出现含义不明确、同类问题表述不一致或者签署不完整、有明显文字和计算错误的，可以进行澄清和补充，但不得改变最终报价文件中报价等实质性内容（算术性错误修正的除外）。</w:t>
      </w:r>
    </w:p>
    <w:p w14:paraId="1C8AA194">
      <w:pPr>
        <w:spacing w:line="480" w:lineRule="exact"/>
        <w:ind w:firstLine="480" w:firstLineChars="200"/>
        <w:jc w:val="left"/>
        <w:rPr>
          <w:rFonts w:ascii="宋体" w:hAnsi="宋体" w:cs="宋体"/>
          <w:b/>
          <w:sz w:val="24"/>
        </w:rPr>
      </w:pPr>
      <w:r>
        <w:rPr>
          <w:rFonts w:hint="eastAsia" w:ascii="宋体" w:hAnsi="宋体" w:cs="宋体"/>
          <w:kern w:val="0"/>
          <w:sz w:val="24"/>
        </w:rPr>
        <w:t>供应商的澄清、说明或者更正应当由法定代表人或其授权代表签字或者电子签章。由授权代表签字的，应当附法定代表人授权书。供应商为自然人的，应当由本人签字并附身份证明。</w:t>
      </w:r>
    </w:p>
    <w:p w14:paraId="1FD94052">
      <w:pPr>
        <w:adjustRightInd w:val="0"/>
        <w:spacing w:line="480" w:lineRule="exact"/>
        <w:ind w:firstLine="480" w:firstLineChars="200"/>
        <w:rPr>
          <w:rFonts w:ascii="宋体" w:hAnsi="宋体" w:cs="宋体"/>
          <w:sz w:val="24"/>
        </w:rPr>
      </w:pPr>
      <w:r>
        <w:rPr>
          <w:rFonts w:hint="eastAsia" w:ascii="宋体" w:hAnsi="宋体" w:cs="宋体"/>
          <w:sz w:val="24"/>
        </w:rPr>
        <w:t>10.8供应商不得哄抬报价，也不应低于成本价（或进价）报价。谈判小组认为供应商的最低报价或者某些分项报价明显不合理或者低于成本，有可能影响项目质量和不能诚信履约的，将要求其在规定的期限内提供书面文件予以解释说明，并提交相关证明材料。否则，谈判小组可以取消该供应商的成交候选资格。</w:t>
      </w:r>
    </w:p>
    <w:p w14:paraId="18B272B2">
      <w:pPr>
        <w:adjustRightInd w:val="0"/>
        <w:spacing w:line="480" w:lineRule="exact"/>
        <w:ind w:firstLine="480" w:firstLineChars="200"/>
        <w:rPr>
          <w:rFonts w:ascii="宋体" w:hAnsi="宋体" w:cs="宋体"/>
          <w:sz w:val="24"/>
        </w:rPr>
      </w:pPr>
      <w:r>
        <w:rPr>
          <w:rFonts w:hint="eastAsia" w:ascii="宋体" w:hAnsi="宋体" w:cs="宋体"/>
          <w:sz w:val="24"/>
        </w:rPr>
        <w:t>10.9报价货币为人民币。</w:t>
      </w:r>
    </w:p>
    <w:p w14:paraId="28F7230B">
      <w:pPr>
        <w:spacing w:line="480" w:lineRule="exact"/>
        <w:rPr>
          <w:rFonts w:ascii="宋体" w:hAnsi="宋体"/>
          <w:b/>
          <w:sz w:val="24"/>
        </w:rPr>
      </w:pPr>
      <w:bookmarkStart w:id="123" w:name="_Toc495941909"/>
      <w:bookmarkStart w:id="124" w:name="_Toc450312174"/>
      <w:bookmarkStart w:id="125" w:name="_Toc383175064"/>
      <w:bookmarkStart w:id="126" w:name="_Toc383175486"/>
      <w:bookmarkStart w:id="127" w:name="_Toc329810198"/>
      <w:bookmarkStart w:id="128" w:name="_Toc383175288"/>
      <w:bookmarkStart w:id="129" w:name="_Toc86124058"/>
      <w:r>
        <w:rPr>
          <w:rFonts w:hint="eastAsia" w:ascii="宋体" w:hAnsi="宋体"/>
          <w:b/>
          <w:sz w:val="24"/>
        </w:rPr>
        <w:t>11.有效期</w:t>
      </w:r>
      <w:bookmarkEnd w:id="123"/>
      <w:bookmarkEnd w:id="124"/>
      <w:bookmarkEnd w:id="125"/>
      <w:bookmarkEnd w:id="126"/>
      <w:bookmarkEnd w:id="127"/>
      <w:bookmarkEnd w:id="128"/>
      <w:bookmarkEnd w:id="129"/>
    </w:p>
    <w:p w14:paraId="730762F8">
      <w:pPr>
        <w:spacing w:line="480" w:lineRule="exact"/>
        <w:ind w:firstLine="480" w:firstLineChars="200"/>
        <w:jc w:val="left"/>
        <w:rPr>
          <w:rFonts w:ascii="宋体" w:hAnsi="宋体" w:cs="宋体"/>
          <w:sz w:val="24"/>
        </w:rPr>
      </w:pPr>
      <w:r>
        <w:rPr>
          <w:rFonts w:hint="eastAsia" w:ascii="宋体" w:hAnsi="宋体" w:cs="宋体"/>
          <w:sz w:val="24"/>
        </w:rPr>
        <w:t>11.1 在“供应商须知前附表”规定的有效期内，供应商不得要求撤销或修改其响应文件。</w:t>
      </w:r>
    </w:p>
    <w:p w14:paraId="4C35D483">
      <w:pPr>
        <w:spacing w:line="480" w:lineRule="exact"/>
        <w:ind w:firstLine="480" w:firstLineChars="200"/>
        <w:jc w:val="left"/>
        <w:rPr>
          <w:rFonts w:ascii="宋体" w:hAnsi="宋体" w:cs="宋体"/>
          <w:sz w:val="24"/>
        </w:rPr>
      </w:pPr>
      <w:r>
        <w:rPr>
          <w:rFonts w:hint="eastAsia" w:ascii="宋体" w:hAnsi="宋体" w:cs="宋体"/>
          <w:sz w:val="24"/>
        </w:rPr>
        <w:t>11.2 因特殊情况需要延长有效期的，采购代理机构以书面形式通知所有供应商延长有效期。供应商同意延长的，应相应延长其保证金的有效期，但不得要求或被允许修改或撤销其响应文件；供应商拒绝延长的，其响应文件失效，但供应商有权收回其保证金。</w:t>
      </w:r>
    </w:p>
    <w:p w14:paraId="67187BD4">
      <w:pPr>
        <w:spacing w:line="480" w:lineRule="exact"/>
        <w:rPr>
          <w:rFonts w:ascii="宋体" w:hAnsi="宋体"/>
          <w:b/>
          <w:sz w:val="24"/>
        </w:rPr>
      </w:pPr>
      <w:bookmarkStart w:id="130" w:name="_Toc329810199"/>
      <w:bookmarkStart w:id="131" w:name="_Toc86124059"/>
      <w:bookmarkStart w:id="132" w:name="_Toc383175289"/>
      <w:bookmarkStart w:id="133" w:name="_Toc383175065"/>
      <w:bookmarkStart w:id="134" w:name="_Toc383175487"/>
      <w:bookmarkStart w:id="135" w:name="_Toc450312175"/>
      <w:bookmarkStart w:id="136" w:name="_Toc495941910"/>
      <w:r>
        <w:rPr>
          <w:rFonts w:hint="eastAsia" w:ascii="宋体" w:hAnsi="宋体"/>
          <w:b/>
          <w:sz w:val="24"/>
        </w:rPr>
        <w:t>12.响应文件的</w:t>
      </w:r>
      <w:bookmarkEnd w:id="130"/>
      <w:bookmarkEnd w:id="131"/>
      <w:r>
        <w:rPr>
          <w:rFonts w:hint="eastAsia" w:ascii="宋体" w:hAnsi="宋体"/>
          <w:b/>
          <w:sz w:val="24"/>
        </w:rPr>
        <w:t>编制</w:t>
      </w:r>
      <w:bookmarkEnd w:id="132"/>
      <w:bookmarkEnd w:id="133"/>
      <w:bookmarkEnd w:id="134"/>
      <w:bookmarkEnd w:id="135"/>
      <w:bookmarkEnd w:id="136"/>
    </w:p>
    <w:p w14:paraId="0AA0597A">
      <w:pPr>
        <w:spacing w:line="480" w:lineRule="exact"/>
        <w:ind w:firstLine="480" w:firstLineChars="200"/>
        <w:jc w:val="left"/>
        <w:rPr>
          <w:rFonts w:ascii="宋体" w:hAnsi="宋体" w:cs="宋体"/>
          <w:sz w:val="24"/>
        </w:rPr>
      </w:pPr>
      <w:r>
        <w:rPr>
          <w:rFonts w:hint="eastAsia" w:ascii="宋体" w:hAnsi="宋体" w:cs="宋体"/>
          <w:sz w:val="24"/>
        </w:rPr>
        <w:t>12.1 响应文件全部采用电子文档，供应商应安装客户端软件—“政采云电子交易客户端”，并按照谈判文件和政采云电子交易平台的要求编制，编制后应进行电子签名及加密。</w:t>
      </w:r>
    </w:p>
    <w:p w14:paraId="0A0D9961">
      <w:pPr>
        <w:spacing w:line="480" w:lineRule="exact"/>
        <w:ind w:firstLine="480" w:firstLineChars="200"/>
        <w:jc w:val="left"/>
        <w:rPr>
          <w:rFonts w:ascii="宋体" w:hAnsi="宋体" w:cs="宋体"/>
          <w:sz w:val="24"/>
        </w:rPr>
      </w:pPr>
      <w:r>
        <w:rPr>
          <w:rFonts w:hint="eastAsia" w:ascii="宋体" w:hAnsi="宋体" w:cs="宋体"/>
          <w:sz w:val="24"/>
        </w:rPr>
        <w:t>12.2 如供应商提交的电子标书未按谈判文件要求或开标时无法读取导入或解密，其响应文件将不予受理。</w:t>
      </w:r>
    </w:p>
    <w:p w14:paraId="6B21EA46">
      <w:pPr>
        <w:spacing w:line="480" w:lineRule="exact"/>
        <w:ind w:firstLine="480" w:firstLineChars="200"/>
        <w:jc w:val="left"/>
        <w:rPr>
          <w:rFonts w:ascii="宋体" w:hAnsi="宋体" w:cs="宋体"/>
          <w:sz w:val="24"/>
        </w:rPr>
      </w:pPr>
      <w:r>
        <w:rPr>
          <w:rFonts w:hint="eastAsia" w:ascii="宋体" w:hAnsi="宋体" w:cs="宋体"/>
          <w:sz w:val="24"/>
        </w:rPr>
        <w:t>12.3 响应文件应尽量避免涂改、行间插字或删除。如果出现上述情况，改动之处应加盖单位章或由供应商的法定代表人（签名或盖章）确认。</w:t>
      </w:r>
    </w:p>
    <w:p w14:paraId="537CD8B3">
      <w:pPr>
        <w:spacing w:line="480" w:lineRule="exact"/>
        <w:ind w:firstLine="480" w:firstLineChars="200"/>
        <w:jc w:val="left"/>
        <w:rPr>
          <w:rFonts w:ascii="宋体" w:hAnsi="宋体" w:cs="宋体"/>
          <w:sz w:val="24"/>
        </w:rPr>
      </w:pPr>
      <w:r>
        <w:rPr>
          <w:rFonts w:hint="eastAsia" w:ascii="宋体" w:hAnsi="宋体" w:cs="宋体"/>
          <w:sz w:val="24"/>
        </w:rPr>
        <w:t>12.4 关键内容字迹潦草、表达不清、未按要求填写而导致非唯一理解，视为未实质性响应谈判文件的响应文件。</w:t>
      </w:r>
    </w:p>
    <w:p w14:paraId="168027A0">
      <w:pPr>
        <w:spacing w:line="480" w:lineRule="exact"/>
        <w:ind w:firstLine="480" w:firstLineChars="200"/>
        <w:jc w:val="left"/>
        <w:rPr>
          <w:rFonts w:ascii="宋体" w:hAnsi="宋体" w:cs="宋体"/>
          <w:sz w:val="24"/>
        </w:rPr>
      </w:pPr>
      <w:r>
        <w:rPr>
          <w:rFonts w:hint="eastAsia" w:ascii="宋体" w:hAnsi="宋体" w:cs="宋体"/>
          <w:sz w:val="24"/>
        </w:rPr>
        <w:t>12.5 响应文件中提供的资料（扫描件），内容必须清晰可辨，若内容模糊，无法辨识，均视为未提供。</w:t>
      </w:r>
    </w:p>
    <w:p w14:paraId="79BE0CD9">
      <w:pPr>
        <w:spacing w:line="480" w:lineRule="exact"/>
        <w:rPr>
          <w:rFonts w:ascii="宋体" w:hAnsi="宋体"/>
          <w:b/>
          <w:sz w:val="24"/>
        </w:rPr>
      </w:pPr>
      <w:bookmarkStart w:id="137" w:name="_Toc495941911"/>
      <w:bookmarkStart w:id="138" w:name="_Toc450312176"/>
      <w:r>
        <w:rPr>
          <w:rFonts w:hint="eastAsia" w:ascii="宋体" w:hAnsi="宋体"/>
          <w:b/>
          <w:sz w:val="24"/>
        </w:rPr>
        <w:t>13.谈判保证金</w:t>
      </w:r>
      <w:bookmarkEnd w:id="137"/>
      <w:bookmarkEnd w:id="138"/>
    </w:p>
    <w:p w14:paraId="5D70585D">
      <w:pPr>
        <w:spacing w:line="480" w:lineRule="exact"/>
        <w:ind w:firstLine="480" w:firstLineChars="200"/>
        <w:jc w:val="left"/>
        <w:rPr>
          <w:rFonts w:ascii="宋体" w:hAnsi="宋体" w:cs="宋体"/>
          <w:sz w:val="24"/>
        </w:rPr>
      </w:pPr>
      <w:r>
        <w:rPr>
          <w:rFonts w:hint="eastAsia" w:ascii="宋体" w:hAnsi="宋体" w:cs="宋体"/>
          <w:sz w:val="24"/>
        </w:rPr>
        <w:t>13.1谈判保证金为人民币。供应商应在递交响应文件截止时间以前按“供应商须知前附表”规定的方式及金额交至采购代理机构，并在谈判有效期内保持有效。</w:t>
      </w:r>
    </w:p>
    <w:p w14:paraId="4A0B6869">
      <w:pPr>
        <w:spacing w:line="480" w:lineRule="exact"/>
        <w:ind w:firstLine="480" w:firstLineChars="200"/>
        <w:jc w:val="left"/>
        <w:rPr>
          <w:rFonts w:ascii="宋体" w:hAnsi="宋体" w:cs="宋体"/>
          <w:sz w:val="24"/>
        </w:rPr>
      </w:pPr>
      <w:r>
        <w:rPr>
          <w:rFonts w:hint="eastAsia" w:ascii="宋体" w:hAnsi="宋体" w:cs="宋体"/>
          <w:sz w:val="24"/>
        </w:rPr>
        <w:t>13.2 办理保证金手续时，请务必在银行进账单或电汇单的用途栏或空白栏上注明采购项目编号。</w:t>
      </w:r>
    </w:p>
    <w:p w14:paraId="3D09B9F5">
      <w:pPr>
        <w:spacing w:line="480" w:lineRule="exact"/>
        <w:ind w:firstLine="480" w:firstLineChars="200"/>
        <w:jc w:val="left"/>
        <w:rPr>
          <w:rFonts w:ascii="宋体" w:hAnsi="宋体" w:cs="宋体"/>
          <w:sz w:val="24"/>
        </w:rPr>
      </w:pPr>
      <w:r>
        <w:rPr>
          <w:rFonts w:hint="eastAsia" w:ascii="宋体" w:hAnsi="宋体" w:cs="宋体"/>
          <w:sz w:val="24"/>
        </w:rPr>
        <w:t>13.3谈判保证金退还：见“供应商须知前附表”。</w:t>
      </w:r>
    </w:p>
    <w:p w14:paraId="2F90B795">
      <w:pPr>
        <w:spacing w:line="480" w:lineRule="exact"/>
        <w:ind w:firstLine="480" w:firstLineChars="200"/>
        <w:jc w:val="left"/>
        <w:rPr>
          <w:rFonts w:ascii="宋体" w:hAnsi="宋体" w:cs="宋体"/>
          <w:sz w:val="24"/>
        </w:rPr>
      </w:pPr>
      <w:r>
        <w:rPr>
          <w:rFonts w:hint="eastAsia" w:ascii="宋体" w:hAnsi="宋体" w:cs="宋体"/>
          <w:sz w:val="24"/>
        </w:rPr>
        <w:t>13.4 下列情况发生时，谈判保证金将不予退还：</w:t>
      </w:r>
    </w:p>
    <w:p w14:paraId="6BF254D9">
      <w:pPr>
        <w:spacing w:line="480" w:lineRule="exact"/>
        <w:ind w:firstLine="480" w:firstLineChars="200"/>
        <w:jc w:val="left"/>
        <w:rPr>
          <w:rFonts w:ascii="宋体" w:hAnsi="宋体" w:cs="宋体"/>
          <w:sz w:val="24"/>
        </w:rPr>
      </w:pPr>
      <w:r>
        <w:rPr>
          <w:rFonts w:hint="eastAsia" w:ascii="宋体" w:hAnsi="宋体" w:cs="宋体"/>
          <w:sz w:val="24"/>
        </w:rPr>
        <w:t>（一）供应商在提交响应文件截止时间后撤回响应文件的；</w:t>
      </w:r>
    </w:p>
    <w:p w14:paraId="5C9E454E">
      <w:pPr>
        <w:spacing w:line="480" w:lineRule="exact"/>
        <w:ind w:firstLine="480" w:firstLineChars="200"/>
        <w:jc w:val="left"/>
        <w:rPr>
          <w:rFonts w:ascii="宋体" w:hAnsi="宋体" w:cs="宋体"/>
          <w:sz w:val="24"/>
        </w:rPr>
      </w:pPr>
      <w:r>
        <w:rPr>
          <w:rFonts w:hint="eastAsia" w:ascii="宋体" w:hAnsi="宋体" w:cs="宋体"/>
          <w:sz w:val="24"/>
        </w:rPr>
        <w:t>（二）供应商在响应文件中提供虚假材料的；</w:t>
      </w:r>
    </w:p>
    <w:p w14:paraId="23DCDDA0">
      <w:pPr>
        <w:spacing w:line="480" w:lineRule="exact"/>
        <w:ind w:firstLine="480" w:firstLineChars="200"/>
        <w:jc w:val="left"/>
        <w:rPr>
          <w:rFonts w:ascii="宋体" w:hAnsi="宋体" w:cs="宋体"/>
          <w:sz w:val="24"/>
        </w:rPr>
      </w:pPr>
      <w:r>
        <w:rPr>
          <w:rFonts w:hint="eastAsia" w:ascii="宋体" w:hAnsi="宋体" w:cs="宋体"/>
          <w:sz w:val="24"/>
        </w:rPr>
        <w:t>（三）除因不可抗力或谈判文件认可的情形以外，成交供应商不与采购人签订合同的；</w:t>
      </w:r>
    </w:p>
    <w:p w14:paraId="18A04C24">
      <w:pPr>
        <w:spacing w:line="480" w:lineRule="exact"/>
        <w:ind w:firstLine="480" w:firstLineChars="200"/>
        <w:jc w:val="left"/>
        <w:rPr>
          <w:rFonts w:ascii="宋体" w:hAnsi="宋体" w:cs="宋体"/>
          <w:sz w:val="24"/>
        </w:rPr>
      </w:pPr>
      <w:r>
        <w:rPr>
          <w:rFonts w:hint="eastAsia" w:ascii="宋体" w:hAnsi="宋体" w:cs="宋体"/>
          <w:sz w:val="24"/>
        </w:rPr>
        <w:t>（四）供应商与采购人、其他供应商或者采购代理机构恶意串通的；</w:t>
      </w:r>
    </w:p>
    <w:p w14:paraId="10EC0FB9">
      <w:pPr>
        <w:spacing w:line="480" w:lineRule="exact"/>
        <w:ind w:firstLine="480" w:firstLineChars="200"/>
        <w:jc w:val="left"/>
        <w:rPr>
          <w:rFonts w:ascii="宋体" w:hAnsi="宋体" w:cs="宋体"/>
          <w:sz w:val="24"/>
        </w:rPr>
      </w:pPr>
      <w:r>
        <w:rPr>
          <w:rFonts w:hint="eastAsia" w:ascii="宋体" w:hAnsi="宋体" w:cs="宋体"/>
          <w:sz w:val="24"/>
        </w:rPr>
        <w:t>（五）采购文件规定的其他情形。</w:t>
      </w:r>
    </w:p>
    <w:p w14:paraId="7FD1A620">
      <w:pPr>
        <w:pStyle w:val="4"/>
        <w:spacing w:before="0" w:after="0" w:line="480" w:lineRule="exact"/>
        <w:rPr>
          <w:rFonts w:ascii="宋体" w:hAnsi="宋体" w:cs="宋体"/>
          <w:sz w:val="24"/>
          <w:szCs w:val="24"/>
        </w:rPr>
      </w:pPr>
      <w:bookmarkStart w:id="139" w:name="_Toc450312177"/>
      <w:bookmarkStart w:id="140" w:name="_Toc86124061"/>
      <w:bookmarkStart w:id="141" w:name="_Toc498367337"/>
      <w:bookmarkStart w:id="142" w:name="_Toc495941912"/>
      <w:bookmarkStart w:id="143" w:name="_Toc505612962"/>
      <w:r>
        <w:rPr>
          <w:rFonts w:hint="eastAsia" w:ascii="宋体" w:hAnsi="宋体" w:cs="宋体"/>
          <w:sz w:val="24"/>
          <w:szCs w:val="24"/>
        </w:rPr>
        <w:t>五、响应文件的提交</w:t>
      </w:r>
      <w:bookmarkEnd w:id="139"/>
      <w:bookmarkEnd w:id="140"/>
      <w:bookmarkEnd w:id="141"/>
      <w:bookmarkEnd w:id="142"/>
      <w:bookmarkEnd w:id="143"/>
    </w:p>
    <w:p w14:paraId="437BBA60">
      <w:pPr>
        <w:spacing w:line="480" w:lineRule="exact"/>
        <w:ind w:firstLine="482" w:firstLineChars="200"/>
        <w:jc w:val="left"/>
        <w:rPr>
          <w:rFonts w:ascii="宋体" w:hAnsi="宋体" w:cs="宋体"/>
          <w:b/>
          <w:bCs/>
          <w:sz w:val="24"/>
        </w:rPr>
      </w:pPr>
      <w:r>
        <w:rPr>
          <w:rFonts w:hint="eastAsia" w:ascii="宋体" w:hAnsi="宋体" w:cs="宋体"/>
          <w:b/>
          <w:bCs/>
          <w:sz w:val="24"/>
        </w:rPr>
        <w:t>14.响应文件的加密与上传</w:t>
      </w:r>
    </w:p>
    <w:p w14:paraId="7989354E">
      <w:pPr>
        <w:spacing w:line="480" w:lineRule="exact"/>
        <w:ind w:firstLine="480" w:firstLineChars="200"/>
        <w:jc w:val="left"/>
        <w:rPr>
          <w:rFonts w:ascii="宋体" w:hAnsi="宋体" w:cs="宋体"/>
          <w:sz w:val="24"/>
        </w:rPr>
      </w:pPr>
      <w:r>
        <w:rPr>
          <w:rFonts w:hint="eastAsia" w:ascii="宋体" w:hAnsi="宋体" w:cs="宋体"/>
          <w:sz w:val="24"/>
        </w:rPr>
        <w:t>14.1 供应商进行电子交易应安装客户端软件—“政采云电子交易客户端”，并按照谈判文件和电子交易平台的要求编制并加密响应文件。供应商未按规定加密的响应文件，电子交易平台将拒收并提示。</w:t>
      </w:r>
    </w:p>
    <w:p w14:paraId="77DFC7F7">
      <w:pPr>
        <w:spacing w:line="480" w:lineRule="exact"/>
        <w:ind w:firstLine="480" w:firstLineChars="200"/>
        <w:jc w:val="left"/>
        <w:rPr>
          <w:rFonts w:ascii="宋体" w:hAnsi="宋体" w:cs="宋体"/>
          <w:sz w:val="24"/>
        </w:rPr>
      </w:pPr>
      <w:r>
        <w:rPr>
          <w:rFonts w:hint="eastAsia" w:ascii="宋体" w:hAnsi="宋体" w:cs="宋体"/>
          <w:sz w:val="24"/>
        </w:rPr>
        <w:t>14.2 使用“政采云电子交易客户端”需要提前申领 CA 数字证书，申领流程见该项目采购公告附件。</w:t>
      </w:r>
    </w:p>
    <w:p w14:paraId="6A84FBC4">
      <w:pPr>
        <w:spacing w:line="480" w:lineRule="exact"/>
        <w:ind w:firstLine="480" w:firstLineChars="200"/>
        <w:jc w:val="left"/>
        <w:rPr>
          <w:rFonts w:ascii="宋体" w:hAnsi="宋体" w:cs="宋体"/>
          <w:sz w:val="24"/>
        </w:rPr>
      </w:pPr>
      <w:r>
        <w:rPr>
          <w:rFonts w:hint="eastAsia" w:ascii="宋体" w:hAnsi="宋体" w:cs="宋体"/>
          <w:sz w:val="24"/>
        </w:rPr>
        <w:t>14.3 为确保网上操作合法、有效和安全，供应商应当在响应文件提交截止时间前完成在“政府采购云平台”的身份认证，确保在电子交易过程中能够对相关数据电文进行加密和使用电子签名。</w:t>
      </w:r>
    </w:p>
    <w:p w14:paraId="1DC1A75C">
      <w:pPr>
        <w:spacing w:line="480" w:lineRule="exact"/>
        <w:ind w:firstLine="482" w:firstLineChars="200"/>
        <w:jc w:val="left"/>
        <w:rPr>
          <w:rFonts w:ascii="宋体" w:hAnsi="宋体" w:cs="宋体"/>
          <w:b/>
          <w:bCs/>
          <w:sz w:val="24"/>
        </w:rPr>
      </w:pPr>
      <w:r>
        <w:rPr>
          <w:rFonts w:hint="eastAsia" w:ascii="宋体" w:hAnsi="宋体" w:cs="宋体"/>
          <w:b/>
          <w:bCs/>
          <w:sz w:val="24"/>
        </w:rPr>
        <w:t>15.递交响应文件的截止时间和地点</w:t>
      </w:r>
    </w:p>
    <w:p w14:paraId="13A8957C">
      <w:pPr>
        <w:spacing w:line="480" w:lineRule="exact"/>
        <w:ind w:firstLine="480" w:firstLineChars="200"/>
        <w:jc w:val="left"/>
        <w:rPr>
          <w:rFonts w:ascii="宋体" w:hAnsi="宋体" w:cs="宋体"/>
          <w:sz w:val="24"/>
        </w:rPr>
      </w:pPr>
      <w:r>
        <w:rPr>
          <w:rFonts w:hint="eastAsia" w:ascii="宋体" w:hAnsi="宋体" w:cs="宋体"/>
          <w:sz w:val="24"/>
        </w:rPr>
        <w:t>15.1 响应文件的递交/上传不得迟于“供应商须知前附表”规定的递交响应文件截止时间。逾期送达/上传的响应文件，采购人不予接收。</w:t>
      </w:r>
    </w:p>
    <w:p w14:paraId="685D4A7A">
      <w:pPr>
        <w:spacing w:line="480" w:lineRule="exact"/>
        <w:ind w:firstLine="480" w:firstLineChars="200"/>
        <w:jc w:val="left"/>
        <w:rPr>
          <w:rFonts w:ascii="宋体" w:hAnsi="宋体" w:cs="宋体"/>
          <w:sz w:val="24"/>
        </w:rPr>
      </w:pPr>
      <w:r>
        <w:rPr>
          <w:rFonts w:hint="eastAsia" w:ascii="宋体" w:hAnsi="宋体" w:cs="宋体"/>
          <w:sz w:val="24"/>
        </w:rPr>
        <w:t>15.2 供应商必须在规定时间内将响应文件递交/上传到“供应商须知前附表”规定的地点。</w:t>
      </w:r>
    </w:p>
    <w:p w14:paraId="6FEE99BA">
      <w:pPr>
        <w:spacing w:line="480" w:lineRule="exact"/>
        <w:ind w:firstLine="480" w:firstLineChars="200"/>
        <w:jc w:val="left"/>
        <w:rPr>
          <w:rFonts w:ascii="宋体" w:hAnsi="宋体" w:cs="宋体"/>
          <w:sz w:val="24"/>
        </w:rPr>
      </w:pPr>
      <w:r>
        <w:rPr>
          <w:rFonts w:hint="eastAsia" w:ascii="宋体" w:hAnsi="宋体" w:cs="宋体"/>
          <w:sz w:val="24"/>
        </w:rPr>
        <w:t>15.3 除“供应商须知前附表”另有规定外，供应商所递交的响应文件不予退还。</w:t>
      </w:r>
    </w:p>
    <w:p w14:paraId="2FBB34E8">
      <w:pPr>
        <w:pStyle w:val="4"/>
        <w:spacing w:before="0" w:after="0" w:line="480" w:lineRule="exact"/>
        <w:rPr>
          <w:rFonts w:ascii="宋体" w:hAnsi="宋体" w:cs="宋体"/>
          <w:sz w:val="24"/>
          <w:szCs w:val="24"/>
        </w:rPr>
      </w:pPr>
      <w:bookmarkStart w:id="144" w:name="_Toc86124064"/>
      <w:bookmarkStart w:id="145" w:name="_Toc450312180"/>
      <w:bookmarkStart w:id="146" w:name="_Toc495941915"/>
      <w:bookmarkStart w:id="147" w:name="_Toc505612963"/>
      <w:bookmarkStart w:id="148" w:name="_Toc498367338"/>
      <w:r>
        <w:rPr>
          <w:rFonts w:hint="eastAsia" w:ascii="宋体" w:hAnsi="宋体" w:cs="宋体"/>
          <w:sz w:val="24"/>
          <w:szCs w:val="24"/>
        </w:rPr>
        <w:t>六、</w:t>
      </w:r>
      <w:bookmarkEnd w:id="144"/>
      <w:bookmarkEnd w:id="145"/>
      <w:r>
        <w:rPr>
          <w:rFonts w:hint="eastAsia" w:ascii="宋体" w:hAnsi="宋体" w:cs="宋体"/>
          <w:sz w:val="24"/>
          <w:szCs w:val="24"/>
        </w:rPr>
        <w:t>谈判</w:t>
      </w:r>
      <w:bookmarkEnd w:id="146"/>
      <w:bookmarkEnd w:id="147"/>
      <w:bookmarkEnd w:id="148"/>
    </w:p>
    <w:p w14:paraId="06993E5D">
      <w:pPr>
        <w:spacing w:line="480" w:lineRule="exact"/>
        <w:rPr>
          <w:rFonts w:ascii="宋体" w:hAnsi="宋体"/>
          <w:b/>
          <w:sz w:val="24"/>
        </w:rPr>
      </w:pPr>
      <w:bookmarkStart w:id="149" w:name="_Toc450312181"/>
      <w:bookmarkStart w:id="150" w:name="_Toc495941916"/>
      <w:r>
        <w:rPr>
          <w:rFonts w:hint="eastAsia" w:ascii="宋体" w:hAnsi="宋体"/>
          <w:b/>
          <w:sz w:val="24"/>
        </w:rPr>
        <w:t>16.</w:t>
      </w:r>
      <w:bookmarkEnd w:id="149"/>
      <w:r>
        <w:rPr>
          <w:rFonts w:hint="eastAsia" w:ascii="宋体" w:hAnsi="宋体"/>
          <w:b/>
          <w:sz w:val="24"/>
        </w:rPr>
        <w:t>谈判</w:t>
      </w:r>
      <w:bookmarkEnd w:id="150"/>
    </w:p>
    <w:p w14:paraId="2941EA79">
      <w:pPr>
        <w:spacing w:line="480" w:lineRule="exact"/>
        <w:ind w:firstLine="480" w:firstLineChars="200"/>
        <w:jc w:val="left"/>
        <w:rPr>
          <w:rFonts w:ascii="宋体" w:hAnsi="宋体" w:cs="宋体"/>
          <w:sz w:val="24"/>
        </w:rPr>
      </w:pPr>
      <w:r>
        <w:rPr>
          <w:rFonts w:hint="eastAsia" w:ascii="宋体" w:hAnsi="宋体" w:cs="宋体"/>
          <w:sz w:val="24"/>
        </w:rPr>
        <w:t>16.1采购代理机构将在“供应商须知前附表”规定的时间和地点召开</w:t>
      </w:r>
      <w:r>
        <w:rPr>
          <w:rFonts w:hint="eastAsia" w:hAnsi="宋体" w:cs="宋体"/>
          <w:kern w:val="0"/>
          <w:sz w:val="24"/>
        </w:rPr>
        <w:t>谈判会议</w:t>
      </w:r>
      <w:r>
        <w:rPr>
          <w:rFonts w:hint="eastAsia" w:ascii="宋体" w:hAnsi="宋体" w:cs="宋体"/>
          <w:sz w:val="24"/>
        </w:rPr>
        <w:t>，供应商的法定代表人或其委托代理人应按时参加。</w:t>
      </w:r>
    </w:p>
    <w:p w14:paraId="53103BE9">
      <w:pPr>
        <w:spacing w:line="480" w:lineRule="exact"/>
        <w:ind w:firstLine="480" w:firstLineChars="200"/>
        <w:jc w:val="left"/>
        <w:rPr>
          <w:rFonts w:ascii="宋体" w:hAnsi="宋体" w:cs="宋体"/>
          <w:sz w:val="24"/>
        </w:rPr>
      </w:pPr>
      <w:r>
        <w:rPr>
          <w:rFonts w:hint="eastAsia" w:ascii="宋体" w:hAnsi="宋体" w:cs="宋体"/>
          <w:sz w:val="24"/>
        </w:rPr>
        <w:t>16.2 谈判由谈判小组负责。谈判小组由采购人的代表和有关技术、经济等方面的专家组成，成员人数应当为3人以上单数。其中，技术、经济等方面的专家不得少于成员总数的三分之二。谈判应当推选组长，但采购人代表不得担任组长。</w:t>
      </w:r>
    </w:p>
    <w:p w14:paraId="1F584975">
      <w:pPr>
        <w:spacing w:line="480" w:lineRule="exact"/>
        <w:ind w:firstLine="480" w:firstLineChars="200"/>
        <w:jc w:val="left"/>
        <w:rPr>
          <w:rFonts w:ascii="宋体" w:hAnsi="宋体" w:cs="宋体"/>
          <w:sz w:val="24"/>
        </w:rPr>
      </w:pPr>
      <w:r>
        <w:rPr>
          <w:rFonts w:hint="eastAsia" w:ascii="宋体" w:hAnsi="宋体" w:cs="宋体"/>
          <w:sz w:val="24"/>
        </w:rPr>
        <w:t>采购人委派代表参加谈判会议的，要向采购代理机构出具授权函。</w:t>
      </w:r>
    </w:p>
    <w:p w14:paraId="5446A6A6">
      <w:pPr>
        <w:spacing w:line="480" w:lineRule="exact"/>
        <w:ind w:firstLine="480" w:firstLineChars="200"/>
        <w:jc w:val="left"/>
        <w:rPr>
          <w:rFonts w:ascii="宋体" w:hAnsi="宋体" w:cs="宋体"/>
          <w:sz w:val="24"/>
        </w:rPr>
      </w:pPr>
      <w:r>
        <w:rPr>
          <w:rFonts w:hint="eastAsia" w:ascii="宋体" w:hAnsi="宋体" w:cs="宋体"/>
          <w:sz w:val="24"/>
        </w:rPr>
        <w:t>16.3 谈判原则</w:t>
      </w:r>
    </w:p>
    <w:p w14:paraId="7CE6CA96">
      <w:pPr>
        <w:spacing w:line="480" w:lineRule="exact"/>
        <w:ind w:firstLine="480" w:firstLineChars="200"/>
        <w:jc w:val="left"/>
        <w:rPr>
          <w:rFonts w:ascii="宋体" w:hAnsi="宋体" w:cs="宋体"/>
          <w:sz w:val="24"/>
        </w:rPr>
      </w:pPr>
      <w:r>
        <w:rPr>
          <w:rFonts w:hint="eastAsia" w:ascii="宋体" w:hAnsi="宋体" w:cs="宋体"/>
          <w:sz w:val="24"/>
        </w:rPr>
        <w:t>谈判小组对各供应商的响应文件进行详细评审。</w:t>
      </w:r>
      <w:r>
        <w:rPr>
          <w:rFonts w:hint="eastAsia" w:ascii="宋体" w:hAnsi="宋体" w:cs="宋体"/>
          <w:kern w:val="0"/>
          <w:sz w:val="24"/>
        </w:rPr>
        <w:t>谈判小组按照供应商的谈判评审报价（未超预算价）由低到高推荐成交候选人，推荐成交候选人3人，并标明排列顺序。若出现谈判评审报价相同的情况，按最终报价由低到高的顺序推荐，若最终报价也相同时，谈判小组对</w:t>
      </w:r>
      <w:r>
        <w:rPr>
          <w:rFonts w:hint="eastAsia" w:ascii="宋体" w:hAnsi="宋体"/>
          <w:bCs/>
          <w:sz w:val="24"/>
        </w:rPr>
        <w:t>供应商</w:t>
      </w:r>
      <w:r>
        <w:rPr>
          <w:rFonts w:hint="eastAsia" w:ascii="宋体" w:hAnsi="宋体" w:cs="宋体"/>
          <w:kern w:val="0"/>
          <w:sz w:val="24"/>
        </w:rPr>
        <w:t>响应文件的技术部分内容进行评价，择优选择。</w:t>
      </w:r>
    </w:p>
    <w:p w14:paraId="259C522E">
      <w:pPr>
        <w:tabs>
          <w:tab w:val="left" w:pos="7980"/>
        </w:tabs>
        <w:spacing w:line="480" w:lineRule="exact"/>
        <w:ind w:firstLine="480" w:firstLineChars="200"/>
        <w:jc w:val="left"/>
        <w:rPr>
          <w:rFonts w:ascii="宋体" w:hAnsi="宋体" w:cs="宋体"/>
          <w:sz w:val="24"/>
        </w:rPr>
      </w:pPr>
      <w:r>
        <w:rPr>
          <w:rFonts w:hint="eastAsia" w:ascii="宋体" w:hAnsi="宋体" w:cs="宋体"/>
          <w:sz w:val="24"/>
        </w:rPr>
        <w:t>16.4 谈判程序和方法</w:t>
      </w:r>
    </w:p>
    <w:p w14:paraId="07F08E05">
      <w:pPr>
        <w:spacing w:line="480" w:lineRule="exact"/>
        <w:ind w:firstLine="480" w:firstLineChars="200"/>
        <w:jc w:val="left"/>
        <w:rPr>
          <w:rFonts w:ascii="宋体" w:hAnsi="宋体" w:cs="宋体"/>
          <w:sz w:val="24"/>
        </w:rPr>
      </w:pPr>
      <w:r>
        <w:rPr>
          <w:rFonts w:hint="eastAsia" w:ascii="宋体" w:hAnsi="宋体" w:cs="宋体"/>
          <w:sz w:val="24"/>
        </w:rPr>
        <w:t>谈判小组按照第五章“谈判程序和方法”规定的方法、因素、标准和程序进行谈判。</w:t>
      </w:r>
    </w:p>
    <w:p w14:paraId="1438D2C9">
      <w:pPr>
        <w:spacing w:line="480" w:lineRule="exact"/>
        <w:ind w:firstLine="480" w:firstLineChars="200"/>
        <w:jc w:val="left"/>
        <w:rPr>
          <w:rFonts w:ascii="宋体" w:hAnsi="宋体" w:cs="宋体"/>
          <w:sz w:val="24"/>
        </w:rPr>
      </w:pPr>
      <w:r>
        <w:rPr>
          <w:rFonts w:hint="eastAsia" w:ascii="宋体" w:hAnsi="宋体" w:cs="宋体"/>
          <w:sz w:val="24"/>
        </w:rPr>
        <w:t>16.5谈判文件</w:t>
      </w:r>
      <w:r>
        <w:rPr>
          <w:rFonts w:hint="eastAsia" w:ascii="宋体" w:hAnsi="宋体" w:cs="宋体"/>
          <w:b/>
          <w:sz w:val="24"/>
          <w:u w:val="single"/>
        </w:rPr>
        <w:t>第五章“谈判程序和方法”前附表第2.1款和2.2款实质性要求为谈判文件的实质性内容，未实质性响应谈判文件的供应商的响应文件将按无效处理，该供应商不得再继续参加谈判</w:t>
      </w:r>
      <w:r>
        <w:rPr>
          <w:rFonts w:hint="eastAsia" w:ascii="宋体" w:hAnsi="宋体" w:cs="宋体"/>
          <w:sz w:val="24"/>
        </w:rPr>
        <w:t>。</w:t>
      </w:r>
    </w:p>
    <w:p w14:paraId="7E186992">
      <w:pPr>
        <w:spacing w:line="480" w:lineRule="exact"/>
        <w:ind w:firstLine="480" w:firstLineChars="200"/>
        <w:jc w:val="left"/>
        <w:rPr>
          <w:rFonts w:ascii="宋体" w:hAnsi="宋体" w:cs="宋体"/>
          <w:sz w:val="24"/>
        </w:rPr>
      </w:pPr>
      <w:r>
        <w:rPr>
          <w:rFonts w:hint="eastAsia" w:ascii="宋体" w:hAnsi="宋体" w:cs="宋体"/>
          <w:sz w:val="24"/>
        </w:rPr>
        <w:t>16.6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3DBBFD3">
      <w:pPr>
        <w:spacing w:line="480" w:lineRule="exact"/>
        <w:ind w:firstLine="480" w:firstLineChars="200"/>
        <w:jc w:val="left"/>
        <w:rPr>
          <w:rFonts w:ascii="宋体" w:hAnsi="宋体" w:cs="宋体"/>
          <w:sz w:val="24"/>
        </w:rPr>
      </w:pPr>
      <w:r>
        <w:rPr>
          <w:rFonts w:hint="eastAsia" w:ascii="宋体" w:hAnsi="宋体" w:cs="宋体"/>
          <w:sz w:val="24"/>
        </w:rPr>
        <w:t>谈判小组要求供应商澄清、说明或者更正响应文件应当以书面形式作出。供应商的澄清、说明或者更正应当由法定代表人或其授权代表签字或者电子签章。由授权代表签字的，应当附法定代表人授权书。供应商为自然人的，应当由本人签字并附身份证明。</w:t>
      </w:r>
    </w:p>
    <w:p w14:paraId="0BD3EFF9">
      <w:pPr>
        <w:spacing w:line="480" w:lineRule="exact"/>
        <w:rPr>
          <w:rFonts w:ascii="宋体" w:hAnsi="宋体"/>
          <w:b/>
          <w:sz w:val="24"/>
        </w:rPr>
      </w:pPr>
      <w:bookmarkStart w:id="151" w:name="_Toc450312182"/>
      <w:bookmarkStart w:id="152" w:name="_Toc495941917"/>
      <w:bookmarkStart w:id="153" w:name="_Toc383175494"/>
      <w:bookmarkStart w:id="154" w:name="_Toc383175072"/>
      <w:bookmarkStart w:id="155" w:name="_Toc329810207"/>
      <w:bookmarkStart w:id="156" w:name="_Toc86124067"/>
      <w:bookmarkStart w:id="157" w:name="_Toc383175296"/>
      <w:r>
        <w:rPr>
          <w:rFonts w:hint="eastAsia" w:ascii="宋体" w:hAnsi="宋体"/>
          <w:b/>
          <w:sz w:val="24"/>
        </w:rPr>
        <w:t>17.谈判过程的保密</w:t>
      </w:r>
      <w:bookmarkEnd w:id="151"/>
      <w:bookmarkEnd w:id="152"/>
      <w:bookmarkEnd w:id="153"/>
      <w:bookmarkEnd w:id="154"/>
      <w:bookmarkEnd w:id="155"/>
      <w:bookmarkEnd w:id="156"/>
      <w:bookmarkEnd w:id="157"/>
    </w:p>
    <w:p w14:paraId="58E35816">
      <w:pPr>
        <w:spacing w:line="480" w:lineRule="exact"/>
        <w:ind w:firstLine="480" w:firstLineChars="200"/>
        <w:jc w:val="left"/>
        <w:rPr>
          <w:rFonts w:ascii="宋体" w:hAnsi="宋体" w:cs="宋体"/>
          <w:sz w:val="24"/>
        </w:rPr>
      </w:pPr>
      <w:r>
        <w:rPr>
          <w:rFonts w:hint="eastAsia" w:ascii="宋体" w:hAnsi="宋体" w:cs="宋体"/>
          <w:sz w:val="24"/>
        </w:rPr>
        <w:t>在谈判中，谈判的任何一方不得透露与谈判有关的其他供应商的技术资料、价格和其他信息。谈判开始后，直到授予供应商合同止，凡是属于审查、澄清、谈判和比较的有关资料以及成交建议等均不向供应商或其他人员透露。</w:t>
      </w:r>
    </w:p>
    <w:p w14:paraId="244990E0">
      <w:pPr>
        <w:spacing w:line="480" w:lineRule="exact"/>
        <w:rPr>
          <w:rFonts w:ascii="宋体" w:hAnsi="宋体"/>
          <w:b/>
          <w:sz w:val="24"/>
        </w:rPr>
      </w:pPr>
      <w:bookmarkStart w:id="158" w:name="_Toc495941918"/>
      <w:bookmarkStart w:id="159" w:name="_Toc450312183"/>
      <w:bookmarkStart w:id="160" w:name="_Toc383175495"/>
      <w:bookmarkStart w:id="161" w:name="_Toc383175297"/>
      <w:bookmarkStart w:id="162" w:name="_Toc378499713"/>
      <w:bookmarkStart w:id="163" w:name="_Toc86124068"/>
      <w:bookmarkStart w:id="164" w:name="_Toc329810208"/>
      <w:bookmarkStart w:id="165" w:name="_Toc383175073"/>
      <w:r>
        <w:rPr>
          <w:rFonts w:hint="eastAsia" w:ascii="宋体" w:hAnsi="宋体"/>
          <w:b/>
          <w:sz w:val="24"/>
        </w:rPr>
        <w:t>18.出现下列情形之一的，将终止竞争性谈判采购活动，并发布项目终止公告并说明原因，重新开展采购活动：</w:t>
      </w:r>
      <w:bookmarkEnd w:id="158"/>
      <w:bookmarkEnd w:id="159"/>
      <w:bookmarkEnd w:id="160"/>
      <w:bookmarkEnd w:id="161"/>
      <w:bookmarkEnd w:id="162"/>
      <w:bookmarkEnd w:id="163"/>
      <w:bookmarkEnd w:id="164"/>
      <w:bookmarkEnd w:id="165"/>
    </w:p>
    <w:p w14:paraId="49021037">
      <w:pPr>
        <w:spacing w:line="480" w:lineRule="exact"/>
        <w:ind w:firstLine="480" w:firstLineChars="200"/>
        <w:jc w:val="left"/>
        <w:rPr>
          <w:rFonts w:ascii="宋体" w:hAnsi="宋体" w:cs="宋体"/>
          <w:sz w:val="24"/>
        </w:rPr>
      </w:pPr>
      <w:r>
        <w:rPr>
          <w:rFonts w:hint="eastAsia" w:ascii="宋体" w:hAnsi="宋体" w:cs="宋体"/>
          <w:sz w:val="24"/>
        </w:rPr>
        <w:t>（1）因情况变化，不再符合规定的竞争性谈判采购方式适用情形的；</w:t>
      </w:r>
    </w:p>
    <w:p w14:paraId="27EB1D0F">
      <w:pPr>
        <w:spacing w:line="480" w:lineRule="exact"/>
        <w:ind w:firstLine="480" w:firstLineChars="200"/>
        <w:jc w:val="left"/>
        <w:rPr>
          <w:rFonts w:ascii="宋体" w:hAnsi="宋体" w:cs="宋体"/>
          <w:sz w:val="24"/>
        </w:rPr>
      </w:pPr>
      <w:r>
        <w:rPr>
          <w:rFonts w:hint="eastAsia" w:ascii="宋体" w:hAnsi="宋体" w:cs="宋体"/>
          <w:sz w:val="24"/>
        </w:rPr>
        <w:t>（2）出现影响采购公正的违法、违规行为的；</w:t>
      </w:r>
    </w:p>
    <w:p w14:paraId="29FE7CA9">
      <w:pPr>
        <w:spacing w:line="480" w:lineRule="exact"/>
        <w:ind w:firstLine="480" w:firstLineChars="200"/>
        <w:jc w:val="left"/>
        <w:rPr>
          <w:rFonts w:ascii="宋体" w:hAnsi="宋体" w:cs="宋体"/>
          <w:sz w:val="24"/>
        </w:rPr>
      </w:pPr>
      <w:r>
        <w:rPr>
          <w:rFonts w:hint="eastAsia" w:ascii="宋体" w:hAnsi="宋体" w:cs="宋体"/>
          <w:sz w:val="24"/>
        </w:rPr>
        <w:t>（3）在采购过程中符合竞争要求的供应商或者</w:t>
      </w:r>
      <w:r>
        <w:rPr>
          <w:rFonts w:hint="eastAsia" w:ascii="宋体" w:hAnsi="宋体" w:cs="宋体"/>
          <w:b/>
          <w:sz w:val="24"/>
        </w:rPr>
        <w:t>报价未超过采购预算的供应商不足3家</w:t>
      </w:r>
      <w:r>
        <w:rPr>
          <w:rFonts w:hint="eastAsia" w:ascii="宋体" w:hAnsi="宋体" w:cs="宋体"/>
          <w:sz w:val="24"/>
        </w:rPr>
        <w:t>的。</w:t>
      </w:r>
    </w:p>
    <w:p w14:paraId="25CB9282">
      <w:pPr>
        <w:pStyle w:val="4"/>
        <w:spacing w:before="0" w:after="0" w:line="480" w:lineRule="exact"/>
        <w:rPr>
          <w:rFonts w:ascii="宋体" w:hAnsi="宋体" w:cs="宋体"/>
          <w:sz w:val="24"/>
          <w:szCs w:val="24"/>
        </w:rPr>
      </w:pPr>
      <w:bookmarkStart w:id="166" w:name="_Toc505612964"/>
      <w:bookmarkStart w:id="167" w:name="_Toc450312184"/>
      <w:bookmarkStart w:id="168" w:name="_Toc86124069"/>
      <w:bookmarkStart w:id="169" w:name="_Toc495941919"/>
      <w:bookmarkStart w:id="170" w:name="_Toc498367339"/>
      <w:r>
        <w:rPr>
          <w:rFonts w:hint="eastAsia" w:ascii="宋体" w:hAnsi="宋体" w:cs="宋体"/>
          <w:sz w:val="24"/>
          <w:szCs w:val="24"/>
        </w:rPr>
        <w:t>七、成交结果</w:t>
      </w:r>
      <w:bookmarkEnd w:id="166"/>
      <w:bookmarkEnd w:id="167"/>
      <w:bookmarkEnd w:id="168"/>
      <w:bookmarkEnd w:id="169"/>
      <w:bookmarkEnd w:id="170"/>
    </w:p>
    <w:p w14:paraId="53122D88">
      <w:pPr>
        <w:spacing w:line="480" w:lineRule="exact"/>
        <w:rPr>
          <w:rFonts w:ascii="宋体" w:hAnsi="宋体"/>
          <w:b/>
          <w:sz w:val="24"/>
        </w:rPr>
      </w:pPr>
      <w:bookmarkStart w:id="171" w:name="_Toc383175497"/>
      <w:bookmarkStart w:id="172" w:name="_Toc329810210"/>
      <w:bookmarkStart w:id="173" w:name="_Toc450312185"/>
      <w:bookmarkStart w:id="174" w:name="_Toc495941920"/>
      <w:bookmarkStart w:id="175" w:name="_Toc86124070"/>
      <w:bookmarkStart w:id="176" w:name="_Toc383175299"/>
      <w:bookmarkStart w:id="177" w:name="_Toc383175075"/>
      <w:r>
        <w:rPr>
          <w:rFonts w:hint="eastAsia" w:ascii="宋体" w:hAnsi="宋体"/>
          <w:b/>
          <w:sz w:val="24"/>
        </w:rPr>
        <w:t>19.成交供应商的确定</w:t>
      </w:r>
      <w:bookmarkEnd w:id="171"/>
      <w:bookmarkEnd w:id="172"/>
      <w:bookmarkEnd w:id="173"/>
      <w:bookmarkEnd w:id="174"/>
      <w:bookmarkEnd w:id="175"/>
      <w:bookmarkEnd w:id="176"/>
      <w:bookmarkEnd w:id="177"/>
    </w:p>
    <w:p w14:paraId="75565865">
      <w:pPr>
        <w:spacing w:line="480" w:lineRule="exact"/>
        <w:ind w:firstLine="480" w:firstLineChars="200"/>
        <w:jc w:val="left"/>
        <w:rPr>
          <w:rFonts w:ascii="宋体" w:hAnsi="宋体" w:cs="宋体"/>
          <w:sz w:val="24"/>
        </w:rPr>
      </w:pPr>
      <w:bookmarkStart w:id="178" w:name="_Toc329810211"/>
      <w:r>
        <w:rPr>
          <w:rFonts w:hint="eastAsia" w:ascii="宋体" w:hAnsi="宋体" w:cs="宋体"/>
          <w:sz w:val="24"/>
        </w:rPr>
        <w:t>19.1采购代理机构在评审结束后2个工作日内将评审报告送采购人确认。</w:t>
      </w:r>
    </w:p>
    <w:p w14:paraId="68E4DC3C">
      <w:pPr>
        <w:spacing w:line="480" w:lineRule="exact"/>
        <w:ind w:firstLine="480" w:firstLineChars="200"/>
        <w:jc w:val="left"/>
        <w:rPr>
          <w:rFonts w:ascii="宋体" w:hAnsi="宋体" w:cs="宋体"/>
          <w:sz w:val="24"/>
        </w:rPr>
      </w:pPr>
      <w:r>
        <w:rPr>
          <w:rFonts w:hint="eastAsia" w:ascii="宋体" w:hAnsi="宋体" w:cs="宋体"/>
          <w:sz w:val="24"/>
        </w:rPr>
        <w:t>19.2采购人应当在收到评审报告后5个工作日内，从评审报告提出的成交候选人中，根据质量和服务均能满足采购文件实质性响应要求且报价最低的原则确定成交供应商，也可以书面授权谈判小组直接确定成交供应商。采购人逾期未确定成交供应商且不提出异议的，视为确定评审报告提出的最后报价最低的供应商为成交供应商。</w:t>
      </w:r>
    </w:p>
    <w:p w14:paraId="639275A7">
      <w:pPr>
        <w:spacing w:line="480" w:lineRule="exact"/>
        <w:rPr>
          <w:rFonts w:ascii="宋体" w:hAnsi="宋体"/>
          <w:b/>
          <w:sz w:val="24"/>
        </w:rPr>
      </w:pPr>
      <w:bookmarkStart w:id="179" w:name="_Toc383175076"/>
      <w:bookmarkStart w:id="180" w:name="_Toc495941921"/>
      <w:bookmarkStart w:id="181" w:name="_Toc450312186"/>
      <w:bookmarkStart w:id="182" w:name="_Toc383175498"/>
      <w:bookmarkStart w:id="183" w:name="_Toc383175300"/>
      <w:r>
        <w:rPr>
          <w:rFonts w:hint="eastAsia" w:ascii="宋体" w:hAnsi="宋体"/>
          <w:b/>
          <w:sz w:val="24"/>
        </w:rPr>
        <w:t>20.成交通知书</w:t>
      </w:r>
      <w:bookmarkEnd w:id="178"/>
      <w:bookmarkEnd w:id="179"/>
      <w:bookmarkEnd w:id="180"/>
      <w:bookmarkEnd w:id="181"/>
      <w:bookmarkEnd w:id="182"/>
      <w:bookmarkEnd w:id="183"/>
    </w:p>
    <w:p w14:paraId="2341A2FC">
      <w:pPr>
        <w:spacing w:line="480" w:lineRule="exact"/>
        <w:ind w:firstLine="480" w:firstLineChars="200"/>
        <w:jc w:val="left"/>
        <w:rPr>
          <w:rFonts w:ascii="宋体" w:hAnsi="宋体" w:cs="宋体"/>
          <w:sz w:val="24"/>
        </w:rPr>
      </w:pPr>
      <w:bookmarkStart w:id="184" w:name="_Toc329810212"/>
      <w:bookmarkStart w:id="185" w:name="_Toc86124072"/>
      <w:r>
        <w:rPr>
          <w:rFonts w:hint="eastAsia" w:ascii="宋体" w:hAnsi="宋体" w:cs="宋体"/>
          <w:sz w:val="24"/>
        </w:rPr>
        <w:t>20.1采购代理机构将在成交供应商确定后2个工作日内，在发布竞争性谈判公告的网站上发布成交公告,同时向成交供应商发出成交通知书。</w:t>
      </w:r>
    </w:p>
    <w:p w14:paraId="1EC4EB7F">
      <w:pPr>
        <w:spacing w:line="480" w:lineRule="exact"/>
        <w:ind w:firstLine="480" w:firstLineChars="200"/>
        <w:jc w:val="left"/>
        <w:rPr>
          <w:rFonts w:ascii="宋体" w:hAnsi="宋体" w:cs="宋体"/>
          <w:sz w:val="24"/>
        </w:rPr>
      </w:pPr>
      <w:r>
        <w:rPr>
          <w:rFonts w:hint="eastAsia" w:ascii="宋体" w:hAnsi="宋体" w:cs="宋体"/>
          <w:sz w:val="24"/>
        </w:rPr>
        <w:t>20.2 成交通知书是合同的一个组成部分。</w:t>
      </w:r>
    </w:p>
    <w:p w14:paraId="343D960A">
      <w:pPr>
        <w:spacing w:line="480" w:lineRule="exact"/>
        <w:ind w:firstLine="480" w:firstLineChars="200"/>
        <w:jc w:val="left"/>
        <w:rPr>
          <w:rFonts w:ascii="宋体" w:hAnsi="宋体" w:cs="宋体"/>
          <w:sz w:val="24"/>
        </w:rPr>
      </w:pPr>
      <w:r>
        <w:rPr>
          <w:rFonts w:hint="eastAsia" w:ascii="宋体" w:hAnsi="宋体" w:cs="宋体"/>
          <w:sz w:val="24"/>
        </w:rPr>
        <w:t>20.3除不可抗力等因素外，成交通知书发出后，采购人改变成交结果，或者成交供应商拒绝签订政府采购合同的，应当承担相应的法律责任。</w:t>
      </w:r>
    </w:p>
    <w:p w14:paraId="6E475623">
      <w:pPr>
        <w:spacing w:line="480" w:lineRule="exact"/>
        <w:ind w:firstLine="480" w:firstLineChars="200"/>
        <w:jc w:val="left"/>
        <w:rPr>
          <w:rFonts w:ascii="宋体" w:hAnsi="宋体" w:cs="宋体"/>
          <w:sz w:val="24"/>
        </w:rPr>
      </w:pPr>
      <w:r>
        <w:rPr>
          <w:rFonts w:hint="eastAsia" w:ascii="宋体" w:hAnsi="宋体" w:cs="宋体"/>
          <w:sz w:val="24"/>
        </w:rPr>
        <w:t>20.4采购代理机构无义务向未成交供应商解释未成交原因和退回响应文件。</w:t>
      </w:r>
    </w:p>
    <w:p w14:paraId="77E5BA33">
      <w:pPr>
        <w:spacing w:line="480" w:lineRule="exact"/>
        <w:rPr>
          <w:rFonts w:ascii="宋体" w:hAnsi="宋体"/>
          <w:b/>
          <w:sz w:val="24"/>
        </w:rPr>
      </w:pPr>
      <w:bookmarkStart w:id="186" w:name="_Toc383175301"/>
      <w:bookmarkStart w:id="187" w:name="_Toc383175499"/>
      <w:bookmarkStart w:id="188" w:name="_Toc495941922"/>
      <w:bookmarkStart w:id="189" w:name="_Toc450312187"/>
      <w:bookmarkStart w:id="190" w:name="_Toc383175077"/>
      <w:r>
        <w:rPr>
          <w:rFonts w:hint="eastAsia" w:ascii="宋体" w:hAnsi="宋体"/>
          <w:b/>
          <w:sz w:val="24"/>
        </w:rPr>
        <w:t>21.签订合同</w:t>
      </w:r>
      <w:bookmarkEnd w:id="184"/>
      <w:bookmarkEnd w:id="185"/>
      <w:bookmarkEnd w:id="186"/>
      <w:bookmarkEnd w:id="187"/>
      <w:bookmarkEnd w:id="188"/>
      <w:bookmarkEnd w:id="189"/>
      <w:bookmarkEnd w:id="190"/>
    </w:p>
    <w:p w14:paraId="597567B6">
      <w:pPr>
        <w:spacing w:line="480" w:lineRule="exact"/>
        <w:ind w:firstLine="480" w:firstLineChars="200"/>
        <w:jc w:val="left"/>
        <w:rPr>
          <w:rFonts w:ascii="宋体" w:hAnsi="宋体" w:cs="宋体"/>
          <w:sz w:val="24"/>
        </w:rPr>
      </w:pPr>
      <w:bookmarkStart w:id="191" w:name="_Toc86124073"/>
      <w:bookmarkStart w:id="192" w:name="_Toc329810213"/>
      <w:r>
        <w:rPr>
          <w:rFonts w:hint="eastAsia" w:ascii="宋体" w:hAnsi="宋体" w:cs="宋体"/>
          <w:sz w:val="24"/>
        </w:rPr>
        <w:t>21.1采购人与成交供应商应当在成交通知书发出之日起30日内，按照采购文件确定的合同文本以及采购标的、规格型号、采购金额、采购数量、技术和服务要求等事项签订政府采购合同。</w:t>
      </w:r>
    </w:p>
    <w:p w14:paraId="7E43EBBB">
      <w:pPr>
        <w:spacing w:line="480" w:lineRule="exact"/>
        <w:ind w:firstLine="480" w:firstLineChars="200"/>
        <w:jc w:val="left"/>
        <w:rPr>
          <w:rFonts w:ascii="宋体" w:hAnsi="宋体" w:cs="宋体"/>
          <w:sz w:val="24"/>
        </w:rPr>
      </w:pPr>
      <w:r>
        <w:rPr>
          <w:rFonts w:hint="eastAsia" w:ascii="宋体" w:hAnsi="宋体" w:cs="宋体"/>
          <w:sz w:val="24"/>
        </w:rPr>
        <w:t>21.2成交供应商拒绝签订政府采购合同的，采购人可以按照《政府采购非招标采购方式管理办法》规定的原则确定其他供应商作为成交供应商并签订政府采购合同，也可以重新开展采购活动。拒绝签订政府采购合同的成交供应商不得参加对该项目重新开展的采购活动。</w:t>
      </w:r>
    </w:p>
    <w:bookmarkEnd w:id="191"/>
    <w:bookmarkEnd w:id="192"/>
    <w:p w14:paraId="1C7F8ED4">
      <w:pPr>
        <w:pStyle w:val="4"/>
        <w:spacing w:before="0" w:after="0" w:line="480" w:lineRule="exact"/>
        <w:rPr>
          <w:rFonts w:ascii="宋体" w:hAnsi="宋体" w:cs="宋体"/>
          <w:sz w:val="24"/>
          <w:szCs w:val="24"/>
        </w:rPr>
      </w:pPr>
      <w:bookmarkStart w:id="193" w:name="_Toc86124074"/>
      <w:bookmarkStart w:id="194" w:name="_Toc450312188"/>
      <w:bookmarkStart w:id="195" w:name="_Toc505612965"/>
      <w:bookmarkStart w:id="196" w:name="_Toc498367340"/>
      <w:bookmarkStart w:id="197" w:name="_Toc495941923"/>
      <w:r>
        <w:rPr>
          <w:rFonts w:hint="eastAsia" w:ascii="宋体" w:hAnsi="宋体" w:cs="宋体"/>
          <w:sz w:val="24"/>
          <w:szCs w:val="24"/>
        </w:rPr>
        <w:t>八、其他事项</w:t>
      </w:r>
      <w:bookmarkEnd w:id="193"/>
      <w:bookmarkEnd w:id="194"/>
      <w:bookmarkEnd w:id="195"/>
      <w:bookmarkEnd w:id="196"/>
      <w:bookmarkEnd w:id="197"/>
    </w:p>
    <w:p w14:paraId="743928D4">
      <w:pPr>
        <w:spacing w:line="480" w:lineRule="exact"/>
        <w:rPr>
          <w:rFonts w:ascii="宋体" w:hAnsi="宋体"/>
          <w:b/>
          <w:sz w:val="24"/>
        </w:rPr>
      </w:pPr>
      <w:bookmarkStart w:id="198" w:name="_Toc450312189"/>
      <w:bookmarkStart w:id="199" w:name="_Toc383175081"/>
      <w:bookmarkStart w:id="200" w:name="_Toc86124075"/>
      <w:bookmarkStart w:id="201" w:name="_Toc495941924"/>
      <w:bookmarkStart w:id="202" w:name="_Toc383175503"/>
      <w:bookmarkStart w:id="203" w:name="_Toc329810216"/>
      <w:bookmarkStart w:id="204" w:name="_Toc383175305"/>
      <w:r>
        <w:rPr>
          <w:rFonts w:hint="eastAsia" w:ascii="宋体" w:hAnsi="宋体"/>
          <w:b/>
          <w:sz w:val="24"/>
        </w:rPr>
        <w:t>22.采购代理服务费</w:t>
      </w:r>
      <w:bookmarkEnd w:id="198"/>
      <w:bookmarkEnd w:id="199"/>
      <w:bookmarkEnd w:id="200"/>
      <w:bookmarkEnd w:id="201"/>
      <w:bookmarkEnd w:id="202"/>
      <w:bookmarkEnd w:id="203"/>
      <w:bookmarkEnd w:id="204"/>
    </w:p>
    <w:p w14:paraId="4C820401">
      <w:pPr>
        <w:spacing w:line="480" w:lineRule="exact"/>
        <w:ind w:firstLine="480" w:firstLineChars="200"/>
        <w:jc w:val="left"/>
        <w:rPr>
          <w:rFonts w:ascii="宋体" w:hAnsi="宋体" w:cs="宋体"/>
          <w:sz w:val="24"/>
        </w:rPr>
      </w:pPr>
      <w:r>
        <w:rPr>
          <w:rFonts w:hint="eastAsia" w:ascii="宋体" w:hAnsi="宋体" w:cs="宋体"/>
          <w:sz w:val="24"/>
        </w:rPr>
        <w:t>22.1采购代理服务费由采购代理机构向成交供应商收取，收取标准详见“供应商须知前附表”。</w:t>
      </w:r>
    </w:p>
    <w:p w14:paraId="1EA0238E">
      <w:pPr>
        <w:spacing w:line="480" w:lineRule="exact"/>
        <w:ind w:firstLine="480" w:firstLineChars="200"/>
        <w:jc w:val="left"/>
        <w:rPr>
          <w:rFonts w:ascii="宋体" w:hAnsi="宋体" w:cs="宋体"/>
          <w:sz w:val="24"/>
        </w:rPr>
      </w:pPr>
      <w:r>
        <w:rPr>
          <w:rFonts w:hint="eastAsia" w:ascii="宋体" w:hAnsi="宋体" w:cs="宋体"/>
          <w:sz w:val="24"/>
        </w:rPr>
        <w:t>22.2成交供应商应在接受“成交通知书”时向采购代理机构一次付清代理服务费。</w:t>
      </w:r>
    </w:p>
    <w:p w14:paraId="36AE14F1">
      <w:pPr>
        <w:spacing w:line="480" w:lineRule="exact"/>
        <w:rPr>
          <w:rFonts w:ascii="宋体" w:hAnsi="宋体"/>
          <w:b/>
          <w:sz w:val="24"/>
        </w:rPr>
      </w:pPr>
      <w:bookmarkStart w:id="205" w:name="_Toc383175082"/>
      <w:bookmarkStart w:id="206" w:name="_Toc383175306"/>
      <w:bookmarkStart w:id="207" w:name="_Toc329810217"/>
      <w:bookmarkStart w:id="208" w:name="_Toc450312190"/>
      <w:bookmarkStart w:id="209" w:name="_Toc383175504"/>
      <w:bookmarkStart w:id="210" w:name="_Toc495941925"/>
      <w:r>
        <w:rPr>
          <w:rFonts w:hint="eastAsia" w:ascii="宋体" w:hAnsi="宋体"/>
          <w:b/>
          <w:sz w:val="24"/>
        </w:rPr>
        <w:t>23.谈判文件编制依据</w:t>
      </w:r>
      <w:bookmarkEnd w:id="205"/>
      <w:bookmarkEnd w:id="206"/>
      <w:bookmarkEnd w:id="207"/>
      <w:bookmarkEnd w:id="208"/>
      <w:bookmarkEnd w:id="209"/>
      <w:bookmarkEnd w:id="210"/>
    </w:p>
    <w:p w14:paraId="70179D87">
      <w:pPr>
        <w:spacing w:line="480" w:lineRule="exact"/>
        <w:ind w:firstLine="480" w:firstLineChars="200"/>
        <w:jc w:val="left"/>
        <w:rPr>
          <w:rFonts w:ascii="宋体" w:hAnsi="宋体" w:cs="宋体"/>
          <w:sz w:val="24"/>
        </w:rPr>
      </w:pPr>
      <w:r>
        <w:rPr>
          <w:rFonts w:hint="eastAsia" w:ascii="宋体" w:hAnsi="宋体" w:cs="宋体"/>
          <w:sz w:val="24"/>
        </w:rPr>
        <w:t>本谈判文件是根据《中华人民共和国政府采购法》及相关法律法规编制。</w:t>
      </w:r>
    </w:p>
    <w:p w14:paraId="2A45F285">
      <w:pPr>
        <w:spacing w:line="480" w:lineRule="exact"/>
        <w:rPr>
          <w:rFonts w:ascii="宋体" w:hAnsi="宋体"/>
          <w:b/>
          <w:sz w:val="24"/>
        </w:rPr>
      </w:pPr>
      <w:bookmarkStart w:id="211" w:name="_Toc450312191"/>
      <w:bookmarkStart w:id="212" w:name="_Toc495941926"/>
      <w:bookmarkStart w:id="213" w:name="_Toc86124077"/>
      <w:bookmarkStart w:id="214" w:name="_Toc329810218"/>
      <w:bookmarkStart w:id="215" w:name="_Toc383175307"/>
      <w:bookmarkStart w:id="216" w:name="_Toc383175505"/>
      <w:bookmarkStart w:id="217" w:name="_Toc383175083"/>
      <w:r>
        <w:rPr>
          <w:rFonts w:hint="eastAsia" w:ascii="宋体" w:hAnsi="宋体"/>
          <w:b/>
          <w:sz w:val="24"/>
        </w:rPr>
        <w:t>24.需要补充的其他内容</w:t>
      </w:r>
      <w:bookmarkEnd w:id="211"/>
      <w:bookmarkEnd w:id="212"/>
      <w:bookmarkEnd w:id="213"/>
      <w:bookmarkEnd w:id="214"/>
      <w:bookmarkEnd w:id="215"/>
      <w:bookmarkEnd w:id="216"/>
      <w:bookmarkEnd w:id="217"/>
    </w:p>
    <w:p w14:paraId="5FB63A0D">
      <w:pPr>
        <w:spacing w:line="480" w:lineRule="exact"/>
        <w:ind w:firstLine="480" w:firstLineChars="200"/>
        <w:jc w:val="left"/>
        <w:rPr>
          <w:rFonts w:ascii="宋体" w:hAnsi="宋体" w:cs="宋体"/>
          <w:sz w:val="24"/>
        </w:rPr>
      </w:pPr>
      <w:r>
        <w:rPr>
          <w:rFonts w:hint="eastAsia" w:ascii="宋体" w:hAnsi="宋体" w:cs="宋体"/>
          <w:sz w:val="24"/>
        </w:rPr>
        <w:t>24.1需要补充的其他内容：见“供应商须知前附表”。</w:t>
      </w:r>
    </w:p>
    <w:p w14:paraId="5A21C692">
      <w:pPr>
        <w:pStyle w:val="4"/>
        <w:spacing w:before="0" w:after="0" w:line="480" w:lineRule="exact"/>
        <w:rPr>
          <w:rFonts w:ascii="宋体" w:hAnsi="宋体" w:cs="宋体"/>
          <w:sz w:val="24"/>
          <w:szCs w:val="24"/>
        </w:rPr>
      </w:pPr>
      <w:bookmarkStart w:id="218" w:name="_Toc495941927"/>
      <w:bookmarkStart w:id="219" w:name="_Toc484424754"/>
      <w:bookmarkStart w:id="220" w:name="_Toc498367341"/>
      <w:bookmarkStart w:id="221" w:name="_Toc505612966"/>
      <w:r>
        <w:rPr>
          <w:rFonts w:hint="eastAsia" w:ascii="宋体" w:hAnsi="宋体" w:cs="宋体"/>
          <w:sz w:val="24"/>
          <w:szCs w:val="24"/>
        </w:rPr>
        <w:t>九、质疑及投诉</w:t>
      </w:r>
      <w:bookmarkEnd w:id="218"/>
      <w:bookmarkEnd w:id="219"/>
      <w:bookmarkEnd w:id="220"/>
      <w:bookmarkEnd w:id="221"/>
    </w:p>
    <w:p w14:paraId="6DF44080">
      <w:pPr>
        <w:spacing w:line="480" w:lineRule="exact"/>
        <w:ind w:firstLine="482" w:firstLineChars="200"/>
        <w:jc w:val="left"/>
        <w:rPr>
          <w:rFonts w:ascii="宋体" w:hAnsi="宋体"/>
          <w:b/>
          <w:sz w:val="24"/>
          <w:shd w:val="clear" w:color="auto" w:fill="FFFFFF"/>
        </w:rPr>
      </w:pPr>
      <w:bookmarkStart w:id="222" w:name="_Toc321836356"/>
      <w:bookmarkStart w:id="223" w:name="_Toc86124078"/>
      <w:r>
        <w:rPr>
          <w:rFonts w:hint="eastAsia" w:ascii="宋体" w:hAnsi="宋体"/>
          <w:b/>
          <w:sz w:val="24"/>
          <w:shd w:val="clear" w:color="auto" w:fill="FFFFFF"/>
        </w:rPr>
        <w:t>25.</w:t>
      </w:r>
      <w:r>
        <w:rPr>
          <w:rFonts w:ascii="宋体" w:hAnsi="宋体"/>
          <w:b/>
          <w:sz w:val="24"/>
          <w:shd w:val="clear" w:color="auto" w:fill="FFFFFF"/>
        </w:rPr>
        <w:t>质疑</w:t>
      </w:r>
      <w:bookmarkEnd w:id="222"/>
    </w:p>
    <w:p w14:paraId="58EF1DB3">
      <w:pPr>
        <w:spacing w:line="480" w:lineRule="exact"/>
        <w:ind w:firstLine="482" w:firstLineChars="200"/>
        <w:jc w:val="left"/>
        <w:rPr>
          <w:rFonts w:ascii="宋体" w:hAnsi="宋体"/>
          <w:b/>
          <w:sz w:val="24"/>
          <w:shd w:val="clear" w:color="auto" w:fill="FFFFFF"/>
        </w:rPr>
      </w:pPr>
      <w:r>
        <w:rPr>
          <w:rFonts w:hint="eastAsia" w:ascii="宋体" w:hAnsi="宋体"/>
          <w:b/>
          <w:bCs/>
          <w:sz w:val="24"/>
          <w:u w:val="single"/>
          <w:shd w:val="clear" w:color="auto" w:fill="FFFFFF"/>
        </w:rPr>
        <w:t>供应商提供的质疑书应符合中华人民共和国财政部令第94号--政府采购质疑和投诉办法的规定。</w:t>
      </w:r>
    </w:p>
    <w:p w14:paraId="02C6DFD4">
      <w:pPr>
        <w:spacing w:line="480" w:lineRule="exact"/>
        <w:ind w:firstLine="482" w:firstLineChars="200"/>
        <w:jc w:val="left"/>
        <w:rPr>
          <w:rFonts w:ascii="宋体" w:hAnsi="宋体"/>
          <w:b/>
          <w:bCs/>
          <w:sz w:val="24"/>
          <w:shd w:val="clear" w:color="auto" w:fill="FFFFFF"/>
        </w:rPr>
      </w:pPr>
      <w:r>
        <w:rPr>
          <w:rFonts w:hint="eastAsia" w:ascii="宋体" w:hAnsi="宋体"/>
          <w:b/>
          <w:bCs/>
          <w:sz w:val="24"/>
          <w:shd w:val="clear" w:color="auto" w:fill="FFFFFF"/>
        </w:rPr>
        <w:t>25.</w:t>
      </w:r>
      <w:r>
        <w:rPr>
          <w:rFonts w:ascii="宋体" w:hAnsi="宋体"/>
          <w:b/>
          <w:bCs/>
          <w:sz w:val="24"/>
          <w:shd w:val="clear" w:color="auto" w:fill="FFFFFF"/>
        </w:rPr>
        <w:t xml:space="preserve">1 </w:t>
      </w:r>
      <w:r>
        <w:rPr>
          <w:rFonts w:hint="eastAsia" w:ascii="宋体" w:hAnsi="宋体"/>
          <w:b/>
          <w:bCs/>
          <w:sz w:val="24"/>
          <w:shd w:val="clear" w:color="auto" w:fill="FFFFFF"/>
        </w:rPr>
        <w:t>供应商</w:t>
      </w:r>
      <w:r>
        <w:rPr>
          <w:rFonts w:ascii="宋体" w:hAnsi="宋体"/>
          <w:b/>
          <w:bCs/>
          <w:sz w:val="24"/>
          <w:shd w:val="clear" w:color="auto" w:fill="FFFFFF"/>
        </w:rPr>
        <w:t>认为竞争性谈判文件、谈判过程和成交结果使自己的权益受到损害的，应当在知道或者应知其权益受到损害之日起七个工作日内，以书面形式</w:t>
      </w:r>
      <w:r>
        <w:rPr>
          <w:rFonts w:hint="eastAsia" w:ascii="宋体" w:hAnsi="宋体" w:cs="宋体"/>
          <w:b/>
          <w:bCs/>
          <w:sz w:val="24"/>
          <w:shd w:val="clear" w:color="auto" w:fill="FFFFFF"/>
        </w:rPr>
        <w:t>向采购人、采购代理机构提出质疑</w:t>
      </w:r>
      <w:r>
        <w:rPr>
          <w:rFonts w:ascii="宋体" w:hAnsi="宋体"/>
          <w:b/>
          <w:bCs/>
          <w:sz w:val="24"/>
          <w:shd w:val="clear" w:color="auto" w:fill="FFFFFF"/>
        </w:rPr>
        <w:t>。质疑内容不得含有虚假、恶意成分。当事人对自己提出的主张，有责任提供证据，提出质疑时</w:t>
      </w:r>
      <w:r>
        <w:rPr>
          <w:rFonts w:hint="eastAsia" w:ascii="宋体" w:hAnsi="宋体"/>
          <w:b/>
          <w:bCs/>
          <w:sz w:val="24"/>
          <w:shd w:val="clear" w:color="auto" w:fill="FFFFFF"/>
        </w:rPr>
        <w:t>应</w:t>
      </w:r>
      <w:r>
        <w:rPr>
          <w:rFonts w:ascii="宋体" w:hAnsi="宋体"/>
          <w:b/>
          <w:bCs/>
          <w:sz w:val="24"/>
          <w:shd w:val="clear" w:color="auto" w:fill="FFFFFF"/>
        </w:rPr>
        <w:t>同时提交相关证据材料和注明事实的确切来源。</w:t>
      </w:r>
    </w:p>
    <w:p w14:paraId="00035D6B">
      <w:pPr>
        <w:spacing w:line="480" w:lineRule="exact"/>
        <w:ind w:firstLine="482" w:firstLineChars="200"/>
        <w:jc w:val="left"/>
        <w:rPr>
          <w:rFonts w:ascii="宋体" w:hAnsi="宋体"/>
          <w:b/>
          <w:bCs/>
          <w:sz w:val="24"/>
          <w:shd w:val="clear" w:color="auto" w:fill="FFFFFF"/>
        </w:rPr>
      </w:pPr>
      <w:r>
        <w:rPr>
          <w:rFonts w:hint="eastAsia" w:ascii="宋体" w:hAnsi="宋体" w:cs="宋体"/>
          <w:b/>
          <w:bCs/>
          <w:sz w:val="24"/>
          <w:shd w:val="clear" w:color="auto" w:fill="FFFFFF"/>
        </w:rPr>
        <w:t>质疑的提出：供应商在法定质疑期内一次性提出针对同一采购程序环节的质疑。供应商对同一采购程序环节的质疑必须一次性提出，代理公司、采购人不多次接受同一采购程序环节的质疑。</w:t>
      </w:r>
    </w:p>
    <w:p w14:paraId="276511B0">
      <w:pPr>
        <w:spacing w:line="480" w:lineRule="exact"/>
        <w:ind w:firstLine="482" w:firstLineChars="200"/>
        <w:jc w:val="left"/>
        <w:rPr>
          <w:rFonts w:ascii="宋体" w:hAnsi="宋体" w:cs="宋体"/>
          <w:b/>
          <w:bCs/>
          <w:sz w:val="24"/>
          <w:shd w:val="clear" w:color="auto" w:fill="FFFFFF"/>
        </w:rPr>
      </w:pPr>
      <w:r>
        <w:rPr>
          <w:rFonts w:hint="eastAsia" w:ascii="宋体" w:hAnsi="宋体" w:cs="宋体"/>
          <w:b/>
          <w:bCs/>
          <w:sz w:val="24"/>
          <w:shd w:val="clear" w:color="auto" w:fill="FFFFFF"/>
        </w:rPr>
        <w:t>代理机构接收质疑联系方式：</w:t>
      </w:r>
    </w:p>
    <w:p w14:paraId="07DA0D1F">
      <w:pPr>
        <w:spacing w:line="480" w:lineRule="exact"/>
        <w:ind w:firstLine="482" w:firstLineChars="200"/>
        <w:jc w:val="left"/>
        <w:rPr>
          <w:rFonts w:ascii="宋体" w:hAnsi="宋体" w:cs="宋体"/>
          <w:b/>
          <w:bCs/>
          <w:sz w:val="24"/>
          <w:shd w:val="clear" w:color="auto" w:fill="FFFFFF"/>
        </w:rPr>
      </w:pPr>
      <w:r>
        <w:rPr>
          <w:rFonts w:hint="eastAsia" w:ascii="宋体" w:hAnsi="宋体" w:cs="宋体"/>
          <w:b/>
          <w:bCs/>
          <w:sz w:val="24"/>
          <w:shd w:val="clear" w:color="auto" w:fill="FFFFFF"/>
        </w:rPr>
        <w:t>联系人：</w:t>
      </w:r>
      <w:r>
        <w:rPr>
          <w:rFonts w:hint="eastAsia" w:ascii="宋体" w:hAnsi="宋体" w:cs="宋体"/>
          <w:b/>
          <w:bCs/>
          <w:sz w:val="24"/>
          <w:shd w:val="clear" w:color="auto" w:fill="FFFFFF"/>
          <w:lang w:val="en-US" w:eastAsia="zh-CN"/>
        </w:rPr>
        <w:t>郑工</w:t>
      </w:r>
      <w:r>
        <w:rPr>
          <w:rFonts w:hint="eastAsia" w:ascii="宋体" w:hAnsi="宋体" w:cs="宋体"/>
          <w:b/>
          <w:bCs/>
          <w:sz w:val="24"/>
          <w:shd w:val="clear" w:color="auto" w:fill="FFFFFF"/>
        </w:rPr>
        <w:t>；联系电话：</w:t>
      </w:r>
      <w:r>
        <w:rPr>
          <w:rFonts w:hint="eastAsia" w:ascii="宋体" w:hAnsi="宋体" w:cs="宋体"/>
          <w:b/>
          <w:bCs/>
          <w:sz w:val="24"/>
          <w:shd w:val="clear" w:color="auto" w:fill="FFFFFF"/>
          <w:lang w:val="en-US" w:eastAsia="zh-CN"/>
        </w:rPr>
        <w:t>18487628518</w:t>
      </w:r>
      <w:r>
        <w:rPr>
          <w:rFonts w:hint="eastAsia" w:ascii="宋体" w:hAnsi="宋体" w:cs="宋体"/>
          <w:b/>
          <w:bCs/>
          <w:sz w:val="24"/>
          <w:shd w:val="clear" w:color="auto" w:fill="FFFFFF"/>
        </w:rPr>
        <w:t>；联系地址：</w:t>
      </w:r>
      <w:r>
        <w:rPr>
          <w:rFonts w:hint="eastAsia" w:ascii="宋体" w:hAnsi="宋体" w:cs="宋体"/>
          <w:b/>
          <w:bCs/>
          <w:sz w:val="24"/>
          <w:shd w:val="clear" w:color="auto" w:fill="FFFFFF"/>
          <w:lang w:eastAsia="zh-CN"/>
        </w:rPr>
        <w:t>云南璟成工程项目管理有限公司</w:t>
      </w:r>
      <w:r>
        <w:rPr>
          <w:rFonts w:hint="eastAsia" w:ascii="宋体" w:hAnsi="宋体" w:cs="宋体"/>
          <w:b/>
          <w:bCs/>
          <w:sz w:val="24"/>
          <w:highlight w:val="none"/>
          <w:shd w:val="clear" w:color="auto" w:fill="FFFFFF"/>
          <w:lang w:eastAsia="zh-CN"/>
        </w:rPr>
        <w:t>（昭通市昭阳区凤霞路凤凰城6幢1单元1303室）</w:t>
      </w:r>
      <w:r>
        <w:rPr>
          <w:rFonts w:hint="eastAsia" w:ascii="宋体" w:hAnsi="宋体" w:cs="宋体"/>
          <w:b/>
          <w:bCs/>
          <w:sz w:val="24"/>
          <w:shd w:val="clear" w:color="auto" w:fill="FFFFFF"/>
        </w:rPr>
        <w:t>。</w:t>
      </w:r>
    </w:p>
    <w:p w14:paraId="126AA433">
      <w:pPr>
        <w:spacing w:line="480" w:lineRule="exact"/>
        <w:ind w:firstLine="482" w:firstLineChars="200"/>
        <w:jc w:val="left"/>
        <w:rPr>
          <w:rFonts w:ascii="宋体" w:hAnsi="宋体" w:cs="宋体"/>
          <w:b/>
          <w:bCs/>
          <w:sz w:val="24"/>
          <w:shd w:val="clear" w:color="auto" w:fill="FFFFFF"/>
        </w:rPr>
      </w:pPr>
      <w:r>
        <w:rPr>
          <w:rFonts w:hint="eastAsia" w:ascii="宋体" w:hAnsi="宋体" w:cs="宋体"/>
          <w:b/>
          <w:bCs/>
          <w:sz w:val="24"/>
          <w:shd w:val="clear" w:color="auto" w:fill="FFFFFF"/>
        </w:rPr>
        <w:t>质疑送达方式：以书面形式的原件送达代理机构接收质疑联系人处。</w:t>
      </w:r>
    </w:p>
    <w:p w14:paraId="1E029375">
      <w:pPr>
        <w:spacing w:line="480" w:lineRule="exact"/>
        <w:ind w:firstLine="482" w:firstLineChars="200"/>
        <w:jc w:val="left"/>
        <w:rPr>
          <w:rFonts w:ascii="宋体" w:hAnsi="宋体"/>
          <w:b/>
          <w:bCs/>
          <w:sz w:val="24"/>
          <w:shd w:val="clear" w:color="auto" w:fill="FFFFFF"/>
        </w:rPr>
      </w:pPr>
      <w:r>
        <w:rPr>
          <w:rFonts w:hint="eastAsia" w:ascii="宋体" w:hAnsi="宋体"/>
          <w:b/>
          <w:bCs/>
          <w:sz w:val="24"/>
          <w:shd w:val="clear" w:color="auto" w:fill="FFFFFF"/>
        </w:rPr>
        <w:t>25.2质疑供应商：提出质疑的供应商（以下简称质疑供应商）应当是参与所质疑项目采购活动的供应商。</w:t>
      </w:r>
    </w:p>
    <w:p w14:paraId="1B4BE436">
      <w:pPr>
        <w:spacing w:line="480" w:lineRule="exact"/>
        <w:ind w:firstLine="482" w:firstLineChars="200"/>
        <w:jc w:val="left"/>
        <w:rPr>
          <w:rFonts w:ascii="宋体" w:hAnsi="宋体"/>
          <w:sz w:val="24"/>
          <w:shd w:val="clear" w:color="auto" w:fill="FFFFFF"/>
        </w:rPr>
      </w:pPr>
      <w:r>
        <w:rPr>
          <w:rFonts w:hint="eastAsia" w:ascii="宋体" w:hAnsi="宋体"/>
          <w:b/>
          <w:bCs/>
          <w:sz w:val="24"/>
          <w:shd w:val="clear" w:color="auto" w:fill="FFFFFF"/>
        </w:rPr>
        <w:t>潜在供应商已依法获取（依法获取是指在招标代理公司购买竞争性谈判文件和做相应登记）其可质疑的采购文件的，可以对该文件提出质疑。</w:t>
      </w:r>
    </w:p>
    <w:p w14:paraId="08E3E446">
      <w:pPr>
        <w:spacing w:line="480" w:lineRule="exact"/>
        <w:ind w:firstLine="480" w:firstLineChars="200"/>
        <w:jc w:val="left"/>
        <w:rPr>
          <w:rFonts w:ascii="宋体" w:hAnsi="宋体"/>
          <w:sz w:val="24"/>
          <w:shd w:val="clear" w:color="auto" w:fill="FFFFFF"/>
        </w:rPr>
      </w:pPr>
      <w:r>
        <w:rPr>
          <w:rFonts w:hint="eastAsia" w:ascii="宋体" w:hAnsi="宋体"/>
          <w:bCs/>
          <w:sz w:val="24"/>
          <w:shd w:val="clear" w:color="auto" w:fill="FFFFFF"/>
        </w:rPr>
        <w:t>25.3</w:t>
      </w:r>
      <w:r>
        <w:rPr>
          <w:rFonts w:hint="eastAsia" w:ascii="宋体" w:hAnsi="宋体"/>
          <w:sz w:val="24"/>
          <w:shd w:val="clear" w:color="auto" w:fill="FFFFFF"/>
        </w:rPr>
        <w:t>供应商</w:t>
      </w:r>
      <w:r>
        <w:rPr>
          <w:rFonts w:hint="eastAsia" w:ascii="宋体" w:hAnsi="宋体" w:cs="宋体"/>
          <w:sz w:val="24"/>
          <w:shd w:val="clear" w:color="auto" w:fill="FFFFFF"/>
        </w:rPr>
        <w:t>提出质疑应当提交质疑函和必要的证明材料</w:t>
      </w:r>
      <w:r>
        <w:rPr>
          <w:rFonts w:ascii="宋体" w:hAnsi="宋体"/>
          <w:sz w:val="24"/>
          <w:shd w:val="clear" w:color="auto" w:fill="FFFFFF"/>
        </w:rPr>
        <w:t>（如材料中有外文资料应同时附上中文译本）</w:t>
      </w:r>
      <w:r>
        <w:rPr>
          <w:rFonts w:hint="eastAsia" w:ascii="宋体" w:hAnsi="宋体"/>
          <w:sz w:val="24"/>
          <w:shd w:val="clear" w:color="auto" w:fill="FFFFFF"/>
        </w:rPr>
        <w:t>，质疑函应当包括下列内容：</w:t>
      </w:r>
    </w:p>
    <w:p w14:paraId="4500B351">
      <w:pPr>
        <w:spacing w:line="48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（一）供应商的姓名或者名称、地址、邮编、联系人及联系电话；</w:t>
      </w:r>
    </w:p>
    <w:p w14:paraId="3EC5F79B">
      <w:pPr>
        <w:spacing w:line="48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（二）质疑项目的名称、编号；</w:t>
      </w:r>
    </w:p>
    <w:p w14:paraId="6FE96FDD">
      <w:pPr>
        <w:spacing w:line="48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（三）具体、明确的质疑事项和与质疑事项相关的请求；</w:t>
      </w:r>
    </w:p>
    <w:p w14:paraId="79D15E3A">
      <w:pPr>
        <w:spacing w:line="48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（四）事实依据；</w:t>
      </w:r>
    </w:p>
    <w:p w14:paraId="209492CB">
      <w:pPr>
        <w:spacing w:line="48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（五）必要的法律依据；</w:t>
      </w:r>
    </w:p>
    <w:p w14:paraId="0AFF21CF">
      <w:pPr>
        <w:spacing w:line="48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（六）提出质疑的日期。</w:t>
      </w:r>
    </w:p>
    <w:p w14:paraId="75187644">
      <w:pPr>
        <w:spacing w:line="480" w:lineRule="exact"/>
        <w:ind w:firstLine="480" w:firstLineChars="200"/>
        <w:jc w:val="left"/>
        <w:rPr>
          <w:rFonts w:ascii="宋体" w:hAnsi="宋体" w:cs="宋体"/>
          <w:sz w:val="24"/>
          <w:shd w:val="clear" w:color="auto" w:fill="FFFFFF"/>
        </w:rPr>
      </w:pPr>
      <w:r>
        <w:rPr>
          <w:rFonts w:hint="eastAsia" w:ascii="宋体" w:hAnsi="宋体" w:cs="宋体"/>
          <w:sz w:val="24"/>
          <w:shd w:val="clear" w:color="auto" w:fill="FFFFFF"/>
        </w:rPr>
        <w:t>供应商为自然人的，应当由本人签字；供应商为法人或者其他组织的，应当由法定代表人、主要负责人，或者其授权代表签字或者盖章，并电子签章。</w:t>
      </w:r>
    </w:p>
    <w:p w14:paraId="068D7EDF">
      <w:pPr>
        <w:spacing w:line="480" w:lineRule="exact"/>
        <w:ind w:firstLine="482" w:firstLineChars="200"/>
        <w:jc w:val="left"/>
        <w:rPr>
          <w:rFonts w:ascii="宋体" w:hAnsi="宋体"/>
          <w:b/>
          <w:bCs/>
          <w:sz w:val="24"/>
          <w:u w:val="single"/>
          <w:shd w:val="clear" w:color="auto" w:fill="FFFFFF"/>
        </w:rPr>
      </w:pPr>
      <w:r>
        <w:rPr>
          <w:rFonts w:ascii="宋体" w:hAnsi="宋体"/>
          <w:b/>
          <w:bCs/>
          <w:sz w:val="24"/>
          <w:u w:val="single"/>
          <w:shd w:val="clear" w:color="auto" w:fill="FFFFFF"/>
        </w:rPr>
        <w:t>质疑书实行实名制</w:t>
      </w:r>
      <w:r>
        <w:rPr>
          <w:rFonts w:hint="eastAsia" w:ascii="宋体" w:hAnsi="宋体"/>
          <w:b/>
          <w:bCs/>
          <w:sz w:val="24"/>
          <w:u w:val="single"/>
          <w:shd w:val="clear" w:color="auto" w:fill="FFFFFF"/>
        </w:rPr>
        <w:t>，并提交</w:t>
      </w:r>
      <w:r>
        <w:rPr>
          <w:rFonts w:ascii="宋体" w:hAnsi="宋体"/>
          <w:b/>
          <w:bCs/>
          <w:sz w:val="24"/>
          <w:u w:val="single"/>
          <w:shd w:val="clear" w:color="auto" w:fill="FFFFFF"/>
        </w:rPr>
        <w:t>由法定代表人或其</w:t>
      </w:r>
      <w:r>
        <w:rPr>
          <w:rFonts w:hint="eastAsia" w:ascii="宋体" w:hAnsi="宋体"/>
          <w:b/>
          <w:bCs/>
          <w:sz w:val="24"/>
          <w:u w:val="single"/>
          <w:shd w:val="clear" w:color="auto" w:fill="FFFFFF"/>
        </w:rPr>
        <w:t>委托</w:t>
      </w:r>
      <w:r>
        <w:rPr>
          <w:rFonts w:ascii="宋体" w:hAnsi="宋体"/>
          <w:b/>
          <w:bCs/>
          <w:sz w:val="24"/>
          <w:u w:val="single"/>
          <w:shd w:val="clear" w:color="auto" w:fill="FFFFFF"/>
        </w:rPr>
        <w:t>代理人签字</w:t>
      </w:r>
      <w:r>
        <w:rPr>
          <w:rFonts w:hint="eastAsia" w:ascii="宋体" w:hAnsi="宋体"/>
          <w:b/>
          <w:bCs/>
          <w:sz w:val="24"/>
          <w:u w:val="single"/>
          <w:shd w:val="clear" w:color="auto" w:fill="FFFFFF"/>
        </w:rPr>
        <w:t>且</w:t>
      </w:r>
      <w:r>
        <w:rPr>
          <w:rFonts w:ascii="宋体" w:hAnsi="宋体"/>
          <w:b/>
          <w:bCs/>
          <w:sz w:val="24"/>
          <w:u w:val="single"/>
          <w:shd w:val="clear" w:color="auto" w:fill="FFFFFF"/>
        </w:rPr>
        <w:t>盖</w:t>
      </w:r>
      <w:r>
        <w:rPr>
          <w:rFonts w:hint="eastAsia" w:ascii="宋体" w:hAnsi="宋体"/>
          <w:b/>
          <w:bCs/>
          <w:sz w:val="24"/>
          <w:u w:val="single"/>
          <w:shd w:val="clear" w:color="auto" w:fill="FFFFFF"/>
        </w:rPr>
        <w:t>单位</w:t>
      </w:r>
      <w:r>
        <w:rPr>
          <w:rFonts w:ascii="宋体" w:hAnsi="宋体"/>
          <w:b/>
          <w:bCs/>
          <w:sz w:val="24"/>
          <w:u w:val="single"/>
          <w:shd w:val="clear" w:color="auto" w:fill="FFFFFF"/>
        </w:rPr>
        <w:t>章</w:t>
      </w:r>
      <w:r>
        <w:rPr>
          <w:rFonts w:hint="eastAsia" w:ascii="宋体" w:hAnsi="宋体"/>
          <w:b/>
          <w:bCs/>
          <w:sz w:val="24"/>
          <w:u w:val="single"/>
          <w:shd w:val="clear" w:color="auto" w:fill="FFFFFF"/>
        </w:rPr>
        <w:t>的原件。</w:t>
      </w:r>
    </w:p>
    <w:p w14:paraId="27F32E6D">
      <w:pPr>
        <w:spacing w:line="480" w:lineRule="exact"/>
        <w:jc w:val="center"/>
        <w:rPr>
          <w:rFonts w:ascii="宋体" w:hAnsi="宋体" w:cs="仿宋"/>
          <w:b/>
          <w:bCs/>
          <w:color w:val="000000"/>
          <w:sz w:val="42"/>
          <w:shd w:val="clear" w:color="auto" w:fill="FFFFFF"/>
        </w:rPr>
      </w:pPr>
      <w:r>
        <w:rPr>
          <w:rFonts w:hint="eastAsia" w:ascii="宋体" w:hAnsi="宋体" w:cs="仿宋"/>
          <w:b/>
          <w:bCs/>
          <w:color w:val="000000"/>
          <w:sz w:val="42"/>
          <w:shd w:val="clear" w:color="auto" w:fill="FFFFFF"/>
        </w:rPr>
        <w:t>质疑函范本</w:t>
      </w:r>
    </w:p>
    <w:p w14:paraId="427DEF06">
      <w:pPr>
        <w:widowControl/>
        <w:spacing w:line="360" w:lineRule="auto"/>
        <w:ind w:firstLine="482" w:firstLineChars="200"/>
        <w:jc w:val="left"/>
        <w:rPr>
          <w:rFonts w:ascii="宋体" w:hAnsi="宋体" w:cs="黑体"/>
          <w:b/>
          <w:bCs/>
          <w:sz w:val="24"/>
        </w:rPr>
      </w:pPr>
      <w:r>
        <w:rPr>
          <w:rFonts w:hint="eastAsia" w:ascii="宋体" w:hAnsi="宋体" w:cs="黑体"/>
          <w:b/>
          <w:bCs/>
          <w:sz w:val="24"/>
        </w:rPr>
        <w:t>一、质疑供应商基本信息</w:t>
      </w:r>
    </w:p>
    <w:p w14:paraId="4B46751D">
      <w:pPr>
        <w:widowControl/>
        <w:spacing w:line="360" w:lineRule="auto"/>
        <w:ind w:firstLine="480" w:firstLineChars="200"/>
        <w:jc w:val="left"/>
        <w:rPr>
          <w:rFonts w:ascii="宋体" w:hAnsi="宋体" w:cs="黑体"/>
          <w:sz w:val="24"/>
        </w:rPr>
      </w:pPr>
      <w:r>
        <w:rPr>
          <w:rFonts w:hint="eastAsia" w:ascii="宋体" w:hAnsi="宋体" w:cs="黑体"/>
          <w:sz w:val="24"/>
        </w:rPr>
        <w:t xml:space="preserve">质疑供应商：                                        </w:t>
      </w:r>
    </w:p>
    <w:p w14:paraId="71B294DD">
      <w:pPr>
        <w:widowControl/>
        <w:spacing w:line="360" w:lineRule="auto"/>
        <w:ind w:firstLine="480" w:firstLineChars="200"/>
        <w:jc w:val="left"/>
        <w:rPr>
          <w:rFonts w:ascii="宋体" w:hAnsi="宋体" w:cs="黑体"/>
          <w:sz w:val="24"/>
        </w:rPr>
      </w:pPr>
      <w:r>
        <w:rPr>
          <w:rFonts w:hint="eastAsia" w:ascii="宋体" w:hAnsi="宋体" w:cs="黑体"/>
          <w:sz w:val="24"/>
        </w:rPr>
        <w:t xml:space="preserve">地址：                          邮编：               </w:t>
      </w:r>
    </w:p>
    <w:p w14:paraId="23821A96">
      <w:pPr>
        <w:widowControl/>
        <w:spacing w:line="360" w:lineRule="auto"/>
        <w:ind w:firstLine="480" w:firstLineChars="200"/>
        <w:jc w:val="left"/>
        <w:rPr>
          <w:rFonts w:ascii="宋体" w:hAnsi="宋体" w:cs="黑体"/>
          <w:sz w:val="24"/>
        </w:rPr>
      </w:pPr>
      <w:r>
        <w:rPr>
          <w:rFonts w:hint="eastAsia" w:ascii="宋体" w:hAnsi="宋体" w:cs="黑体"/>
          <w:sz w:val="24"/>
        </w:rPr>
        <w:t xml:space="preserve">联系人：                      联系电话：             </w:t>
      </w:r>
    </w:p>
    <w:p w14:paraId="10CC086A">
      <w:pPr>
        <w:widowControl/>
        <w:spacing w:line="360" w:lineRule="auto"/>
        <w:ind w:firstLine="480" w:firstLineChars="200"/>
        <w:jc w:val="left"/>
        <w:rPr>
          <w:rFonts w:ascii="宋体" w:hAnsi="宋体" w:cs="黑体"/>
          <w:sz w:val="24"/>
        </w:rPr>
      </w:pPr>
      <w:r>
        <w:rPr>
          <w:rFonts w:hint="eastAsia" w:ascii="宋体" w:hAnsi="宋体" w:cs="黑体"/>
          <w:sz w:val="24"/>
        </w:rPr>
        <w:t xml:space="preserve">授权代表：                                          </w:t>
      </w:r>
    </w:p>
    <w:p w14:paraId="20634977">
      <w:pPr>
        <w:widowControl/>
        <w:spacing w:line="360" w:lineRule="auto"/>
        <w:ind w:firstLine="480" w:firstLineChars="200"/>
        <w:jc w:val="left"/>
        <w:rPr>
          <w:rFonts w:ascii="宋体" w:hAnsi="宋体" w:cs="黑体"/>
          <w:sz w:val="24"/>
        </w:rPr>
      </w:pPr>
      <w:r>
        <w:rPr>
          <w:rFonts w:hint="eastAsia" w:ascii="宋体" w:hAnsi="宋体" w:cs="黑体"/>
          <w:sz w:val="24"/>
        </w:rPr>
        <w:t xml:space="preserve">联系电话：                                            </w:t>
      </w:r>
    </w:p>
    <w:p w14:paraId="7DD3C6DA">
      <w:pPr>
        <w:widowControl/>
        <w:spacing w:line="360" w:lineRule="auto"/>
        <w:ind w:firstLine="480" w:firstLineChars="200"/>
        <w:jc w:val="left"/>
        <w:rPr>
          <w:rFonts w:ascii="宋体" w:hAnsi="宋体" w:cs="黑体"/>
          <w:sz w:val="24"/>
        </w:rPr>
      </w:pPr>
      <w:r>
        <w:rPr>
          <w:rFonts w:hint="eastAsia" w:ascii="宋体" w:hAnsi="宋体" w:cs="黑体"/>
          <w:sz w:val="24"/>
        </w:rPr>
        <w:t xml:space="preserve">地址：                         邮编：                 </w:t>
      </w:r>
    </w:p>
    <w:p w14:paraId="3BF6007F">
      <w:pPr>
        <w:widowControl/>
        <w:spacing w:line="360" w:lineRule="auto"/>
        <w:ind w:firstLine="482" w:firstLineChars="200"/>
        <w:jc w:val="left"/>
        <w:rPr>
          <w:rFonts w:ascii="宋体" w:hAnsi="宋体" w:cs="黑体"/>
          <w:b/>
          <w:bCs/>
          <w:sz w:val="24"/>
        </w:rPr>
      </w:pPr>
      <w:r>
        <w:rPr>
          <w:rFonts w:hint="eastAsia" w:ascii="宋体" w:hAnsi="宋体" w:cs="黑体"/>
          <w:b/>
          <w:bCs/>
          <w:sz w:val="24"/>
        </w:rPr>
        <w:t>二、质疑项目基本情况</w:t>
      </w:r>
    </w:p>
    <w:p w14:paraId="2377B9C4">
      <w:pPr>
        <w:widowControl/>
        <w:spacing w:line="360" w:lineRule="auto"/>
        <w:ind w:firstLine="480" w:firstLineChars="200"/>
        <w:jc w:val="left"/>
        <w:rPr>
          <w:rFonts w:ascii="宋体" w:hAnsi="宋体" w:cs="黑体"/>
          <w:sz w:val="24"/>
        </w:rPr>
      </w:pPr>
      <w:r>
        <w:rPr>
          <w:rFonts w:hint="eastAsia" w:ascii="宋体" w:hAnsi="宋体" w:cs="黑体"/>
          <w:sz w:val="24"/>
        </w:rPr>
        <w:t xml:space="preserve">质疑项目的名称：                                      </w:t>
      </w:r>
    </w:p>
    <w:p w14:paraId="57773361">
      <w:pPr>
        <w:widowControl/>
        <w:spacing w:line="360" w:lineRule="auto"/>
        <w:ind w:firstLine="480" w:firstLineChars="200"/>
        <w:jc w:val="left"/>
        <w:rPr>
          <w:rFonts w:ascii="宋体" w:hAnsi="宋体" w:cs="黑体"/>
          <w:sz w:val="24"/>
        </w:rPr>
      </w:pPr>
      <w:r>
        <w:rPr>
          <w:rFonts w:hint="eastAsia" w:ascii="宋体" w:hAnsi="宋体" w:cs="黑体"/>
          <w:sz w:val="24"/>
        </w:rPr>
        <w:t xml:space="preserve">质疑项目的编号：               包号：                 </w:t>
      </w:r>
    </w:p>
    <w:p w14:paraId="5CC676A2">
      <w:pPr>
        <w:widowControl/>
        <w:spacing w:line="360" w:lineRule="auto"/>
        <w:ind w:firstLine="480" w:firstLineChars="200"/>
        <w:jc w:val="left"/>
        <w:rPr>
          <w:rFonts w:ascii="宋体" w:hAnsi="宋体" w:cs="黑体"/>
          <w:sz w:val="24"/>
        </w:rPr>
      </w:pPr>
      <w:r>
        <w:rPr>
          <w:rFonts w:hint="eastAsia" w:ascii="宋体" w:hAnsi="宋体" w:cs="黑体"/>
          <w:sz w:val="24"/>
        </w:rPr>
        <w:t xml:space="preserve">采购人名称：                                         </w:t>
      </w:r>
    </w:p>
    <w:p w14:paraId="7B3B1803">
      <w:pPr>
        <w:widowControl/>
        <w:spacing w:line="360" w:lineRule="auto"/>
        <w:ind w:firstLine="480" w:firstLineChars="200"/>
        <w:jc w:val="left"/>
        <w:rPr>
          <w:rFonts w:ascii="宋体" w:hAnsi="宋体" w:cs="黑体"/>
          <w:sz w:val="24"/>
        </w:rPr>
      </w:pPr>
      <w:r>
        <w:rPr>
          <w:rFonts w:hint="eastAsia" w:ascii="宋体" w:hAnsi="宋体" w:cs="黑体"/>
          <w:sz w:val="24"/>
        </w:rPr>
        <w:t xml:space="preserve">采购文件获取日期：                                   </w:t>
      </w:r>
    </w:p>
    <w:p w14:paraId="26E8B6D1">
      <w:pPr>
        <w:widowControl/>
        <w:spacing w:line="360" w:lineRule="auto"/>
        <w:ind w:firstLine="482" w:firstLineChars="200"/>
        <w:jc w:val="left"/>
        <w:rPr>
          <w:rFonts w:ascii="宋体" w:hAnsi="宋体" w:cs="黑体"/>
          <w:b/>
          <w:bCs/>
          <w:sz w:val="24"/>
        </w:rPr>
      </w:pPr>
      <w:r>
        <w:rPr>
          <w:rFonts w:hint="eastAsia" w:ascii="宋体" w:hAnsi="宋体" w:cs="黑体"/>
          <w:b/>
          <w:bCs/>
          <w:sz w:val="24"/>
        </w:rPr>
        <w:t>三、质疑事项具体内容</w:t>
      </w:r>
    </w:p>
    <w:p w14:paraId="6BCD1A71">
      <w:pPr>
        <w:widowControl/>
        <w:spacing w:line="360" w:lineRule="auto"/>
        <w:ind w:firstLine="480" w:firstLineChars="200"/>
        <w:jc w:val="left"/>
        <w:rPr>
          <w:rFonts w:ascii="宋体" w:hAnsi="宋体" w:cs="黑体"/>
          <w:sz w:val="24"/>
        </w:rPr>
      </w:pPr>
      <w:r>
        <w:rPr>
          <w:rFonts w:hint="eastAsia" w:ascii="宋体" w:hAnsi="宋体" w:cs="黑体"/>
          <w:sz w:val="24"/>
        </w:rPr>
        <w:t xml:space="preserve">质疑事项1：                                         </w:t>
      </w:r>
    </w:p>
    <w:p w14:paraId="4FB164E3">
      <w:pPr>
        <w:widowControl/>
        <w:spacing w:line="360" w:lineRule="auto"/>
        <w:ind w:firstLine="480" w:firstLineChars="200"/>
        <w:jc w:val="left"/>
        <w:rPr>
          <w:rFonts w:ascii="宋体" w:hAnsi="宋体" w:cs="黑体"/>
          <w:sz w:val="24"/>
        </w:rPr>
      </w:pPr>
      <w:r>
        <w:rPr>
          <w:rFonts w:hint="eastAsia" w:ascii="宋体" w:hAnsi="宋体" w:cs="黑体"/>
          <w:sz w:val="24"/>
        </w:rPr>
        <w:t xml:space="preserve">事实依据：                                          </w:t>
      </w:r>
    </w:p>
    <w:p w14:paraId="683EFD08">
      <w:pPr>
        <w:widowControl/>
        <w:spacing w:line="360" w:lineRule="auto"/>
        <w:ind w:firstLine="480" w:firstLineChars="200"/>
        <w:jc w:val="left"/>
        <w:rPr>
          <w:rFonts w:ascii="宋体" w:hAnsi="宋体" w:cs="黑体"/>
          <w:sz w:val="24"/>
        </w:rPr>
      </w:pPr>
      <w:r>
        <w:rPr>
          <w:rFonts w:hint="eastAsia" w:ascii="宋体" w:hAnsi="宋体" w:cs="黑体"/>
          <w:sz w:val="24"/>
        </w:rPr>
        <w:t xml:space="preserve">                                                       </w:t>
      </w:r>
    </w:p>
    <w:p w14:paraId="6CB83471">
      <w:pPr>
        <w:widowControl/>
        <w:spacing w:line="360" w:lineRule="auto"/>
        <w:ind w:firstLine="480" w:firstLineChars="200"/>
        <w:jc w:val="left"/>
        <w:rPr>
          <w:rFonts w:ascii="宋体" w:hAnsi="宋体" w:cs="黑体"/>
          <w:sz w:val="24"/>
        </w:rPr>
      </w:pPr>
      <w:r>
        <w:rPr>
          <w:rFonts w:hint="eastAsia" w:ascii="宋体" w:hAnsi="宋体" w:cs="黑体"/>
          <w:sz w:val="24"/>
        </w:rPr>
        <w:t xml:space="preserve">法律依据：                                          </w:t>
      </w:r>
    </w:p>
    <w:p w14:paraId="04960496">
      <w:pPr>
        <w:widowControl/>
        <w:spacing w:line="360" w:lineRule="auto"/>
        <w:ind w:firstLine="480" w:firstLineChars="200"/>
        <w:jc w:val="left"/>
        <w:rPr>
          <w:rFonts w:ascii="宋体" w:hAnsi="宋体" w:cs="黑体"/>
          <w:sz w:val="24"/>
        </w:rPr>
      </w:pPr>
      <w:r>
        <w:rPr>
          <w:rFonts w:hint="eastAsia" w:ascii="宋体" w:hAnsi="宋体" w:cs="黑体"/>
          <w:sz w:val="24"/>
        </w:rPr>
        <w:t xml:space="preserve">                                                     </w:t>
      </w:r>
    </w:p>
    <w:p w14:paraId="688B8CA8">
      <w:pPr>
        <w:widowControl/>
        <w:spacing w:line="360" w:lineRule="auto"/>
        <w:ind w:firstLine="480" w:firstLineChars="200"/>
        <w:jc w:val="left"/>
        <w:rPr>
          <w:rFonts w:ascii="宋体" w:hAnsi="宋体" w:cs="黑体"/>
          <w:sz w:val="24"/>
        </w:rPr>
      </w:pPr>
      <w:r>
        <w:rPr>
          <w:rFonts w:hint="eastAsia" w:ascii="宋体" w:hAnsi="宋体" w:cs="黑体"/>
          <w:sz w:val="24"/>
        </w:rPr>
        <w:t>质疑事项2</w:t>
      </w:r>
    </w:p>
    <w:p w14:paraId="06CAC8B7">
      <w:pPr>
        <w:widowControl/>
        <w:spacing w:line="360" w:lineRule="auto"/>
        <w:ind w:firstLine="480" w:firstLineChars="200"/>
        <w:jc w:val="left"/>
        <w:rPr>
          <w:rFonts w:ascii="宋体" w:hAnsi="宋体" w:cs="黑体"/>
          <w:sz w:val="24"/>
        </w:rPr>
      </w:pPr>
      <w:r>
        <w:rPr>
          <w:rFonts w:hint="eastAsia" w:ascii="宋体" w:hAnsi="宋体" w:cs="黑体"/>
          <w:sz w:val="24"/>
        </w:rPr>
        <w:t>……</w:t>
      </w:r>
    </w:p>
    <w:p w14:paraId="6DA66495">
      <w:pPr>
        <w:widowControl/>
        <w:spacing w:line="360" w:lineRule="auto"/>
        <w:ind w:firstLine="482" w:firstLineChars="200"/>
        <w:jc w:val="left"/>
        <w:rPr>
          <w:rFonts w:ascii="宋体" w:hAnsi="宋体" w:cs="黑体"/>
          <w:b/>
          <w:bCs/>
          <w:sz w:val="24"/>
        </w:rPr>
      </w:pPr>
      <w:r>
        <w:rPr>
          <w:rFonts w:hint="eastAsia" w:ascii="宋体" w:hAnsi="宋体" w:cs="黑体"/>
          <w:b/>
          <w:bCs/>
          <w:sz w:val="24"/>
        </w:rPr>
        <w:t>四、与质疑事项相关的质疑请求</w:t>
      </w:r>
    </w:p>
    <w:p w14:paraId="736E4ADC">
      <w:pPr>
        <w:widowControl/>
        <w:spacing w:line="360" w:lineRule="auto"/>
        <w:ind w:firstLine="480" w:firstLineChars="200"/>
        <w:jc w:val="left"/>
        <w:rPr>
          <w:rFonts w:ascii="宋体" w:hAnsi="宋体" w:cs="黑体"/>
          <w:sz w:val="24"/>
        </w:rPr>
      </w:pPr>
      <w:r>
        <w:rPr>
          <w:rFonts w:hint="eastAsia" w:ascii="宋体" w:hAnsi="宋体" w:cs="黑体"/>
          <w:sz w:val="24"/>
        </w:rPr>
        <w:t xml:space="preserve">请求：                                               </w:t>
      </w:r>
    </w:p>
    <w:p w14:paraId="24080373">
      <w:pPr>
        <w:widowControl/>
        <w:spacing w:line="360" w:lineRule="auto"/>
        <w:ind w:firstLine="480" w:firstLineChars="200"/>
        <w:jc w:val="left"/>
        <w:rPr>
          <w:rFonts w:ascii="宋体" w:hAnsi="宋体" w:cs="黑体"/>
          <w:sz w:val="24"/>
        </w:rPr>
      </w:pPr>
      <w:r>
        <w:rPr>
          <w:rFonts w:hint="eastAsia" w:ascii="宋体" w:hAnsi="宋体" w:cs="黑体"/>
          <w:sz w:val="24"/>
        </w:rPr>
        <w:t xml:space="preserve">签字(签章)：                   公章：                      </w:t>
      </w:r>
    </w:p>
    <w:p w14:paraId="6CBC1E0C">
      <w:pPr>
        <w:widowControl/>
        <w:spacing w:line="360" w:lineRule="auto"/>
        <w:ind w:firstLine="480" w:firstLineChars="200"/>
        <w:jc w:val="left"/>
        <w:rPr>
          <w:rFonts w:ascii="宋体" w:hAnsi="宋体" w:cs="黑体"/>
          <w:sz w:val="24"/>
        </w:rPr>
      </w:pPr>
      <w:r>
        <w:rPr>
          <w:rFonts w:hint="eastAsia" w:ascii="宋体" w:hAnsi="宋体" w:cs="黑体"/>
          <w:sz w:val="24"/>
        </w:rPr>
        <w:t xml:space="preserve">日期：    </w:t>
      </w:r>
    </w:p>
    <w:p w14:paraId="2E5714C9">
      <w:pPr>
        <w:spacing w:line="600" w:lineRule="exact"/>
        <w:rPr>
          <w:rFonts w:ascii="宋体" w:hAnsi="宋体"/>
          <w:b/>
          <w:color w:val="000000"/>
          <w:sz w:val="24"/>
          <w:shd w:val="clear" w:color="auto" w:fill="FFFFFF"/>
        </w:rPr>
      </w:pPr>
    </w:p>
    <w:p w14:paraId="0508F4E8">
      <w:pPr>
        <w:spacing w:line="600" w:lineRule="exact"/>
        <w:rPr>
          <w:rFonts w:ascii="宋体" w:hAnsi="宋体"/>
          <w:b/>
          <w:color w:val="000000"/>
          <w:sz w:val="24"/>
          <w:shd w:val="clear" w:color="auto" w:fill="FFFFFF"/>
        </w:rPr>
      </w:pPr>
      <w:r>
        <w:rPr>
          <w:rFonts w:hint="eastAsia" w:ascii="宋体" w:hAnsi="宋体"/>
          <w:b/>
          <w:color w:val="000000"/>
          <w:sz w:val="24"/>
          <w:shd w:val="clear" w:color="auto" w:fill="FFFFFF"/>
        </w:rPr>
        <w:t>质疑函制作说明：</w:t>
      </w:r>
    </w:p>
    <w:p w14:paraId="49E0C3DF">
      <w:pPr>
        <w:widowControl/>
        <w:spacing w:line="6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1.供应商提出质疑时，应提交质疑函和必要的证明材料。</w:t>
      </w:r>
    </w:p>
    <w:p w14:paraId="05A23BF9">
      <w:pPr>
        <w:widowControl/>
        <w:spacing w:line="6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2.质疑供应商若委托代理人进行质疑的，质疑函应按要求列明“授权代表”的有关内容，并在附件中提交由质疑</w:t>
      </w:r>
      <w:r>
        <w:rPr>
          <w:rFonts w:hint="eastAsia" w:ascii="宋体" w:hAnsi="宋体" w:cs="宋体"/>
          <w:color w:val="000000"/>
          <w:kern w:val="0"/>
          <w:sz w:val="24"/>
          <w:shd w:val="clear" w:color="auto" w:fill="FFFFFF"/>
        </w:rPr>
        <w:t>供应商签署的授权委托书。授权委托书应载明代理人的姓名或者名称、代理事项、具体权限、期限和相关事项。</w:t>
      </w:r>
    </w:p>
    <w:p w14:paraId="3BB87899">
      <w:pPr>
        <w:widowControl/>
        <w:spacing w:line="6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3.质疑供应商若对项目的某一分包进行质疑，质疑函中应列明具体分包号。</w:t>
      </w:r>
    </w:p>
    <w:p w14:paraId="45110AB5">
      <w:pPr>
        <w:widowControl/>
        <w:spacing w:line="6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4.质疑函的质疑事项应具体、明确，并有必要的事实依据和法律依据。</w:t>
      </w:r>
    </w:p>
    <w:p w14:paraId="15622FF2">
      <w:pPr>
        <w:widowControl/>
        <w:spacing w:line="600" w:lineRule="exact"/>
        <w:ind w:firstLine="480" w:firstLineChars="200"/>
        <w:jc w:val="left"/>
        <w:rPr>
          <w:rFonts w:ascii="宋体" w:hAnsi="宋体"/>
          <w:color w:val="000000"/>
          <w:sz w:val="24"/>
          <w:shd w:val="clear" w:color="auto" w:fill="FFFFFF"/>
        </w:rPr>
      </w:pPr>
      <w:r>
        <w:rPr>
          <w:rFonts w:hint="eastAsia" w:ascii="宋体" w:hAnsi="宋体"/>
          <w:color w:val="000000"/>
          <w:sz w:val="24"/>
          <w:shd w:val="clear" w:color="auto" w:fill="FFFFFF"/>
        </w:rPr>
        <w:t>5.质疑函的质疑请求应与质疑事项相关。</w:t>
      </w:r>
    </w:p>
    <w:p w14:paraId="2F1C1D6B">
      <w:pPr>
        <w:spacing w:line="480" w:lineRule="exact"/>
        <w:jc w:val="left"/>
        <w:rPr>
          <w:rFonts w:ascii="宋体" w:hAnsi="宋体"/>
          <w:color w:val="000000"/>
          <w:sz w:val="24"/>
          <w:shd w:val="clear" w:color="auto" w:fill="FFFFFF"/>
        </w:rPr>
      </w:pPr>
      <w:r>
        <w:rPr>
          <w:rFonts w:hint="eastAsia" w:ascii="宋体" w:hAnsi="宋体"/>
          <w:color w:val="000000"/>
          <w:sz w:val="24"/>
          <w:shd w:val="clear" w:color="auto" w:fill="FFFFFF"/>
        </w:rPr>
        <w:t>6.质疑供应商为自然人的，质疑函应由本人签字；质疑供应商为法人或者其他组织的，质疑函应由法定代表人、主要负责人，或者其授权代表签字或者盖章，并电子签章。</w:t>
      </w:r>
    </w:p>
    <w:p w14:paraId="66312575">
      <w:pPr>
        <w:spacing w:line="480" w:lineRule="exact"/>
        <w:jc w:val="left"/>
        <w:rPr>
          <w:rFonts w:ascii="宋体" w:hAnsi="宋体"/>
          <w:bCs/>
          <w:sz w:val="24"/>
          <w:shd w:val="clear" w:color="auto" w:fill="FFFFFF"/>
        </w:rPr>
      </w:pPr>
      <w:r>
        <w:rPr>
          <w:rFonts w:hint="eastAsia" w:ascii="宋体" w:hAnsi="宋体"/>
          <w:b/>
          <w:bCs/>
          <w:sz w:val="24"/>
          <w:shd w:val="clear" w:color="auto" w:fill="FFFFFF"/>
        </w:rPr>
        <w:t xml:space="preserve">    </w:t>
      </w:r>
      <w:r>
        <w:rPr>
          <w:rFonts w:hint="eastAsia" w:ascii="宋体" w:hAnsi="宋体"/>
          <w:bCs/>
          <w:sz w:val="24"/>
          <w:shd w:val="clear" w:color="auto" w:fill="FFFFFF"/>
        </w:rPr>
        <w:t>25.4采购人、采购代理机构不得拒收质疑供应商在法定质疑期内发出的质疑函，应当在收到质疑函后7个工作日内作出答复，并以书面形式通知质疑供应商和其他有关供应商。</w:t>
      </w:r>
      <w:r>
        <w:rPr>
          <w:rFonts w:hint="eastAsia" w:hAnsi="宋体"/>
          <w:b/>
          <w:sz w:val="24"/>
          <w:shd w:val="clear" w:color="auto" w:fill="FFFFFF"/>
        </w:rPr>
        <w:t>质疑答复的内容不得涉及商业秘密。</w:t>
      </w:r>
    </w:p>
    <w:p w14:paraId="0E762029">
      <w:pPr>
        <w:pStyle w:val="33"/>
        <w:widowControl w:val="0"/>
        <w:shd w:val="clear" w:color="auto" w:fill="FFFFFF"/>
        <w:spacing w:before="0" w:beforeAutospacing="0" w:after="0" w:afterAutospacing="0" w:line="480" w:lineRule="exact"/>
        <w:ind w:firstLine="482" w:firstLineChars="200"/>
        <w:jc w:val="both"/>
        <w:textAlignment w:val="baseline"/>
        <w:rPr>
          <w:b/>
          <w:shd w:val="clear" w:color="auto" w:fill="FFFFFF"/>
        </w:rPr>
      </w:pPr>
      <w:r>
        <w:rPr>
          <w:rFonts w:hint="eastAsia"/>
          <w:b/>
          <w:shd w:val="clear" w:color="auto" w:fill="FFFFFF"/>
        </w:rPr>
        <w:t>25.5</w:t>
      </w:r>
      <w:r>
        <w:rPr>
          <w:rFonts w:hint="eastAsia" w:cs="宋体"/>
          <w:b/>
          <w:shd w:val="clear" w:color="auto" w:fill="FFFFFF"/>
        </w:rPr>
        <w:t>参与政府采购活动的供应商对评审过程或者结果提出质疑的，采购人或采购代理机构可以组织原评标委员会协助处理质疑事项，并依据评标委员会出具的意见进行答复。</w:t>
      </w:r>
      <w:r>
        <w:rPr>
          <w:rFonts w:hint="eastAsia" w:cs="宋体"/>
          <w:shd w:val="clear" w:color="auto" w:fill="FFFFFF"/>
        </w:rPr>
        <w:t>质疑答复导致中标、成交结果改变的，采购人或者采购代理机构应当将有关情况书面报告本级财政部门。</w:t>
      </w:r>
    </w:p>
    <w:p w14:paraId="13921861">
      <w:pPr>
        <w:pStyle w:val="5"/>
        <w:keepLines w:val="0"/>
        <w:tabs>
          <w:tab w:val="left" w:pos="900"/>
          <w:tab w:val="left" w:pos="1588"/>
        </w:tabs>
        <w:spacing w:before="0" w:after="0" w:line="480" w:lineRule="exact"/>
        <w:ind w:firstLine="482"/>
        <w:jc w:val="left"/>
        <w:rPr>
          <w:rFonts w:hAnsi="宋体"/>
          <w:kern w:val="2"/>
          <w:sz w:val="24"/>
          <w:szCs w:val="24"/>
          <w:shd w:val="clear" w:color="auto" w:fill="FFFFFF"/>
        </w:rPr>
      </w:pPr>
      <w:bookmarkStart w:id="224" w:name="_Toc321836357"/>
      <w:bookmarkStart w:id="225" w:name="_Toc512526414"/>
      <w:r>
        <w:rPr>
          <w:rFonts w:hint="eastAsia" w:hAnsi="宋体"/>
          <w:kern w:val="2"/>
          <w:sz w:val="24"/>
          <w:szCs w:val="24"/>
          <w:shd w:val="clear" w:color="auto" w:fill="FFFFFF"/>
        </w:rPr>
        <w:t>26.</w:t>
      </w:r>
      <w:r>
        <w:rPr>
          <w:rFonts w:hAnsi="宋体"/>
          <w:kern w:val="2"/>
          <w:sz w:val="24"/>
          <w:szCs w:val="24"/>
          <w:shd w:val="clear" w:color="auto" w:fill="FFFFFF"/>
        </w:rPr>
        <w:t>投诉</w:t>
      </w:r>
      <w:bookmarkEnd w:id="224"/>
      <w:bookmarkEnd w:id="225"/>
    </w:p>
    <w:p w14:paraId="179FA710">
      <w:pPr>
        <w:spacing w:line="480" w:lineRule="exact"/>
        <w:ind w:firstLine="482" w:firstLineChars="200"/>
        <w:jc w:val="left"/>
        <w:rPr>
          <w:rFonts w:ascii="宋体" w:hAnsi="宋体" w:cs="宋体"/>
          <w:sz w:val="24"/>
          <w:shd w:val="clear" w:color="auto" w:fill="FFFFFF"/>
        </w:rPr>
      </w:pPr>
      <w:r>
        <w:rPr>
          <w:rFonts w:hint="eastAsia" w:hAnsi="宋体"/>
          <w:b/>
          <w:bCs/>
          <w:sz w:val="24"/>
          <w:u w:val="single"/>
          <w:shd w:val="clear" w:color="auto" w:fill="FFFFFF"/>
        </w:rPr>
        <w:t>供应商提供的投诉书应符合中华人民共和国财政部令第94号--政府采购质疑和投诉办法的规定。</w:t>
      </w:r>
      <w:r>
        <w:rPr>
          <w:rFonts w:hAnsi="宋体"/>
          <w:sz w:val="24"/>
          <w:shd w:val="clear" w:color="auto" w:fill="FFFFFF"/>
        </w:rPr>
        <w:t>投诉必须首先经过质疑程序。质疑</w:t>
      </w:r>
      <w:r>
        <w:rPr>
          <w:rFonts w:hint="eastAsia" w:hAnsi="宋体"/>
          <w:sz w:val="24"/>
          <w:shd w:val="clear" w:color="auto" w:fill="FFFFFF"/>
        </w:rPr>
        <w:t>人</w:t>
      </w:r>
      <w:r>
        <w:rPr>
          <w:rFonts w:hAnsi="宋体"/>
          <w:sz w:val="24"/>
          <w:shd w:val="clear" w:color="auto" w:fill="FFFFFF"/>
        </w:rPr>
        <w:t>对采购人、采购代理机构的答复不满意，或者采购人、采购代理机构未在规定的时间内做出答复的，可以在答复期满后十五个工作日内书面向</w:t>
      </w:r>
      <w:r>
        <w:rPr>
          <w:rFonts w:hint="eastAsia" w:hAnsi="宋体"/>
          <w:sz w:val="24"/>
          <w:shd w:val="clear" w:color="auto" w:fill="FFFFFF"/>
        </w:rPr>
        <w:t>同</w:t>
      </w:r>
      <w:r>
        <w:rPr>
          <w:rFonts w:hAnsi="宋体"/>
          <w:sz w:val="24"/>
          <w:shd w:val="clear" w:color="auto" w:fill="FFFFFF"/>
        </w:rPr>
        <w:t>级财政部门</w:t>
      </w:r>
      <w:r>
        <w:rPr>
          <w:rFonts w:hint="eastAsia" w:hAnsi="宋体"/>
          <w:sz w:val="24"/>
          <w:shd w:val="clear" w:color="auto" w:fill="FFFFFF"/>
        </w:rPr>
        <w:t>提出</w:t>
      </w:r>
      <w:r>
        <w:rPr>
          <w:rFonts w:hAnsi="宋体"/>
          <w:sz w:val="24"/>
          <w:shd w:val="clear" w:color="auto" w:fill="FFFFFF"/>
        </w:rPr>
        <w:t>投诉。</w:t>
      </w:r>
    </w:p>
    <w:p w14:paraId="47C526D5">
      <w:pPr>
        <w:spacing w:line="480" w:lineRule="exact"/>
        <w:jc w:val="center"/>
        <w:outlineLvl w:val="9"/>
        <w:rPr>
          <w:rFonts w:ascii="宋体" w:hAnsi="宋体" w:eastAsia="宋体" w:cs="宋体"/>
          <w:color w:val="auto"/>
          <w:sz w:val="24"/>
          <w:szCs w:val="24"/>
        </w:rPr>
      </w:pPr>
      <w:r>
        <w:rPr>
          <w:rFonts w:hint="eastAsia" w:ascii="宋体" w:hAnsi="宋体" w:eastAsia="宋体" w:cs="宋体"/>
          <w:color w:val="auto"/>
          <w:sz w:val="24"/>
          <w:szCs w:val="24"/>
        </w:rPr>
        <w:br w:type="page"/>
      </w:r>
    </w:p>
    <w:p w14:paraId="7B869211">
      <w:pPr>
        <w:spacing w:line="480" w:lineRule="exact"/>
        <w:jc w:val="center"/>
        <w:outlineLvl w:val="9"/>
        <w:rPr>
          <w:rFonts w:ascii="宋体" w:hAnsi="宋体" w:eastAsia="宋体" w:cs="宋体"/>
          <w:color w:val="auto"/>
          <w:sz w:val="24"/>
          <w:szCs w:val="24"/>
        </w:rPr>
      </w:pPr>
    </w:p>
    <w:p w14:paraId="4EE61037">
      <w:pPr>
        <w:spacing w:line="480" w:lineRule="exact"/>
        <w:jc w:val="center"/>
        <w:outlineLvl w:val="9"/>
        <w:rPr>
          <w:rFonts w:ascii="宋体" w:hAnsi="宋体" w:eastAsia="宋体" w:cs="宋体"/>
          <w:color w:val="auto"/>
          <w:sz w:val="24"/>
          <w:szCs w:val="24"/>
        </w:rPr>
      </w:pPr>
    </w:p>
    <w:p w14:paraId="088DFFD9">
      <w:pPr>
        <w:spacing w:line="480" w:lineRule="exact"/>
        <w:jc w:val="center"/>
        <w:outlineLvl w:val="9"/>
        <w:rPr>
          <w:rFonts w:ascii="宋体" w:hAnsi="宋体" w:eastAsia="宋体" w:cs="宋体"/>
          <w:color w:val="auto"/>
          <w:sz w:val="24"/>
          <w:szCs w:val="24"/>
        </w:rPr>
      </w:pPr>
    </w:p>
    <w:p w14:paraId="18A8AF50">
      <w:pPr>
        <w:outlineLvl w:val="9"/>
        <w:rPr>
          <w:rFonts w:ascii="宋体" w:hAnsi="宋体" w:cs="宋体"/>
        </w:rPr>
      </w:pPr>
    </w:p>
    <w:p w14:paraId="56D0FA73">
      <w:pPr>
        <w:outlineLvl w:val="9"/>
        <w:rPr>
          <w:rFonts w:ascii="宋体" w:hAnsi="宋体" w:cs="宋体"/>
        </w:rPr>
      </w:pPr>
    </w:p>
    <w:p w14:paraId="46402F92">
      <w:pPr>
        <w:spacing w:line="480" w:lineRule="exact"/>
        <w:jc w:val="center"/>
        <w:outlineLvl w:val="9"/>
        <w:rPr>
          <w:rFonts w:ascii="宋体" w:hAnsi="宋体" w:eastAsia="宋体" w:cs="宋体"/>
          <w:color w:val="auto"/>
          <w:sz w:val="24"/>
          <w:szCs w:val="24"/>
        </w:rPr>
      </w:pPr>
    </w:p>
    <w:p w14:paraId="61511CEA">
      <w:pPr>
        <w:outlineLvl w:val="9"/>
        <w:rPr>
          <w:rFonts w:ascii="宋体" w:hAnsi="宋体" w:cs="宋体"/>
        </w:rPr>
      </w:pPr>
    </w:p>
    <w:p w14:paraId="301B40AD">
      <w:pPr>
        <w:outlineLvl w:val="9"/>
        <w:rPr>
          <w:rFonts w:ascii="宋体" w:hAnsi="宋体" w:cs="宋体"/>
        </w:rPr>
      </w:pPr>
    </w:p>
    <w:p w14:paraId="2132CD46">
      <w:pPr>
        <w:spacing w:line="480" w:lineRule="exact"/>
        <w:jc w:val="center"/>
        <w:outlineLvl w:val="9"/>
        <w:rPr>
          <w:rFonts w:ascii="宋体" w:hAnsi="宋体" w:eastAsia="宋体" w:cs="宋体"/>
          <w:color w:val="auto"/>
          <w:sz w:val="24"/>
          <w:szCs w:val="24"/>
        </w:rPr>
      </w:pPr>
    </w:p>
    <w:p w14:paraId="63379582">
      <w:pPr>
        <w:spacing w:line="480" w:lineRule="exact"/>
        <w:jc w:val="both"/>
        <w:outlineLvl w:val="9"/>
        <w:rPr>
          <w:rFonts w:ascii="宋体" w:hAnsi="宋体" w:eastAsia="宋体" w:cs="宋体"/>
          <w:color w:val="auto"/>
          <w:sz w:val="24"/>
          <w:szCs w:val="24"/>
        </w:rPr>
      </w:pPr>
    </w:p>
    <w:p w14:paraId="54304771">
      <w:pPr>
        <w:spacing w:line="480" w:lineRule="exact"/>
        <w:jc w:val="center"/>
        <w:outlineLvl w:val="9"/>
        <w:rPr>
          <w:rFonts w:ascii="宋体" w:hAnsi="宋体" w:eastAsia="宋体" w:cs="宋体"/>
          <w:color w:val="auto"/>
          <w:sz w:val="24"/>
          <w:szCs w:val="24"/>
        </w:rPr>
      </w:pPr>
    </w:p>
    <w:p w14:paraId="14A15417">
      <w:pPr>
        <w:spacing w:line="480" w:lineRule="exact"/>
        <w:jc w:val="center"/>
        <w:outlineLvl w:val="9"/>
        <w:rPr>
          <w:rFonts w:ascii="宋体" w:hAnsi="宋体" w:eastAsia="宋体" w:cs="宋体"/>
          <w:color w:val="auto"/>
          <w:sz w:val="24"/>
          <w:szCs w:val="24"/>
        </w:rPr>
      </w:pPr>
    </w:p>
    <w:p w14:paraId="3ADF589F">
      <w:pPr>
        <w:pStyle w:val="3"/>
        <w:numPr>
          <w:ilvl w:val="0"/>
          <w:numId w:val="4"/>
        </w:numPr>
        <w:spacing w:line="480" w:lineRule="exact"/>
        <w:jc w:val="center"/>
        <w:rPr>
          <w:rFonts w:ascii="宋体" w:hAnsi="宋体" w:eastAsia="宋体" w:cs="宋体"/>
          <w:color w:val="auto"/>
          <w:sz w:val="36"/>
          <w:szCs w:val="36"/>
        </w:rPr>
      </w:pPr>
      <w:r>
        <w:rPr>
          <w:rFonts w:hint="eastAsia" w:ascii="宋体" w:hAnsi="宋体" w:eastAsia="宋体" w:cs="宋体"/>
          <w:color w:val="auto"/>
          <w:sz w:val="36"/>
          <w:szCs w:val="36"/>
        </w:rPr>
        <w:t xml:space="preserve">  </w:t>
      </w:r>
      <w:bookmarkStart w:id="226" w:name="_Toc505612967"/>
      <w:r>
        <w:rPr>
          <w:rFonts w:hint="eastAsia" w:ascii="宋体" w:hAnsi="宋体" w:eastAsia="宋体" w:cs="宋体"/>
          <w:color w:val="auto"/>
          <w:sz w:val="36"/>
          <w:szCs w:val="36"/>
        </w:rPr>
        <w:t>合同书样式及主要条款</w:t>
      </w:r>
      <w:bookmarkEnd w:id="223"/>
      <w:bookmarkEnd w:id="226"/>
    </w:p>
    <w:p w14:paraId="7AE6749C">
      <w:pPr>
        <w:rPr>
          <w:rFonts w:ascii="宋体" w:hAnsi="宋体" w:cs="宋体"/>
        </w:rPr>
      </w:pPr>
    </w:p>
    <w:p w14:paraId="3386FB95">
      <w:pPr>
        <w:spacing w:line="360" w:lineRule="auto"/>
        <w:jc w:val="center"/>
        <w:rPr>
          <w:rFonts w:ascii="宋体" w:hAnsi="宋体" w:cs="宋体"/>
          <w:b/>
          <w:i w:val="0"/>
          <w:iCs w:val="0"/>
          <w:sz w:val="30"/>
          <w:szCs w:val="30"/>
        </w:rPr>
      </w:pPr>
      <w:r>
        <w:rPr>
          <w:rFonts w:hint="eastAsia" w:ascii="宋体" w:hAnsi="宋体" w:cs="宋体"/>
          <w:b/>
          <w:i w:val="0"/>
          <w:iCs w:val="0"/>
          <w:sz w:val="30"/>
          <w:szCs w:val="30"/>
        </w:rPr>
        <w:t>注：</w:t>
      </w:r>
      <w:r>
        <w:rPr>
          <w:rFonts w:hint="eastAsia" w:ascii="宋体" w:hAnsi="宋体" w:cs="宋体"/>
          <w:b/>
          <w:i w:val="0"/>
          <w:iCs w:val="0"/>
          <w:sz w:val="30"/>
          <w:szCs w:val="30"/>
          <w:u w:val="single"/>
        </w:rPr>
        <w:t>本合同仅供参考，具体合同内容甲乙双方根据竞争性谈判文件、响应文件内容签订</w:t>
      </w:r>
      <w:r>
        <w:rPr>
          <w:rFonts w:hint="eastAsia" w:ascii="宋体" w:hAnsi="宋体" w:cs="宋体"/>
          <w:b/>
          <w:i w:val="0"/>
          <w:iCs w:val="0"/>
          <w:sz w:val="30"/>
          <w:szCs w:val="30"/>
        </w:rPr>
        <w:t>。</w:t>
      </w:r>
    </w:p>
    <w:p w14:paraId="5959BA54">
      <w:pPr>
        <w:spacing w:line="480" w:lineRule="exact"/>
        <w:rPr>
          <w:rFonts w:ascii="宋体" w:hAnsi="宋体" w:cs="宋体"/>
          <w:sz w:val="24"/>
        </w:rPr>
      </w:pPr>
    </w:p>
    <w:p w14:paraId="4DDEDF8A">
      <w:pPr>
        <w:spacing w:line="480" w:lineRule="exact"/>
        <w:jc w:val="center"/>
        <w:outlineLvl w:val="9"/>
        <w:rPr>
          <w:rFonts w:ascii="宋体" w:hAnsi="宋体" w:eastAsia="宋体" w:cs="宋体"/>
          <w:color w:val="auto"/>
          <w:sz w:val="24"/>
          <w:szCs w:val="24"/>
        </w:rPr>
      </w:pPr>
    </w:p>
    <w:p w14:paraId="5D2CFF0A">
      <w:pPr>
        <w:spacing w:line="480" w:lineRule="exact"/>
        <w:jc w:val="center"/>
        <w:outlineLvl w:val="9"/>
        <w:rPr>
          <w:rFonts w:ascii="宋体" w:hAnsi="宋体" w:cs="宋体"/>
          <w:sz w:val="24"/>
        </w:rPr>
      </w:pPr>
    </w:p>
    <w:p w14:paraId="42747208">
      <w:pPr>
        <w:spacing w:line="480" w:lineRule="exact"/>
        <w:jc w:val="center"/>
        <w:outlineLvl w:val="9"/>
        <w:rPr>
          <w:rFonts w:ascii="宋体" w:hAnsi="宋体" w:cs="宋体"/>
          <w:sz w:val="24"/>
        </w:rPr>
      </w:pPr>
    </w:p>
    <w:p w14:paraId="264586E3">
      <w:pPr>
        <w:jc w:val="center"/>
        <w:outlineLvl w:val="9"/>
        <w:rPr>
          <w:rFonts w:ascii="宋体" w:hAnsi="宋体" w:cs="宋体"/>
          <w:sz w:val="24"/>
        </w:rPr>
      </w:pPr>
      <w:r>
        <w:rPr>
          <w:rFonts w:hint="eastAsia" w:ascii="宋体" w:hAnsi="宋体" w:cs="宋体"/>
          <w:sz w:val="24"/>
        </w:rPr>
        <w:br w:type="page"/>
      </w:r>
      <w:r>
        <w:rPr>
          <w:rFonts w:hint="eastAsia" w:ascii="宋体" w:hAnsi="宋体"/>
          <w:b/>
          <w:sz w:val="30"/>
        </w:rPr>
        <w:t>合同前附表</w:t>
      </w:r>
    </w:p>
    <w:tbl>
      <w:tblPr>
        <w:tblStyle w:val="38"/>
        <w:tblW w:w="9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8417"/>
      </w:tblGrid>
      <w:tr w14:paraId="2E18F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15" w:type="dxa"/>
            <w:vAlign w:val="center"/>
          </w:tcPr>
          <w:p w14:paraId="1DEA1CE3">
            <w:pPr>
              <w:pStyle w:val="18"/>
              <w:spacing w:line="400" w:lineRule="exact"/>
              <w:jc w:val="center"/>
              <w:rPr>
                <w:rFonts w:hAnsi="宋体"/>
                <w:bCs/>
                <w:sz w:val="24"/>
                <w:szCs w:val="24"/>
              </w:rPr>
            </w:pPr>
            <w:r>
              <w:rPr>
                <w:rFonts w:hint="eastAsia" w:hAnsi="宋体"/>
                <w:bCs/>
                <w:sz w:val="24"/>
                <w:szCs w:val="24"/>
              </w:rPr>
              <w:t>序号</w:t>
            </w:r>
          </w:p>
        </w:tc>
        <w:tc>
          <w:tcPr>
            <w:tcW w:w="8417" w:type="dxa"/>
            <w:vAlign w:val="center"/>
          </w:tcPr>
          <w:p w14:paraId="5601FE5E">
            <w:pPr>
              <w:pStyle w:val="18"/>
              <w:spacing w:line="400" w:lineRule="exact"/>
              <w:ind w:firstLine="2" w:firstLineChars="1"/>
              <w:jc w:val="center"/>
              <w:rPr>
                <w:rFonts w:hAnsi="宋体"/>
                <w:bCs/>
                <w:sz w:val="24"/>
                <w:szCs w:val="24"/>
              </w:rPr>
            </w:pPr>
            <w:r>
              <w:rPr>
                <w:rFonts w:hint="eastAsia" w:hAnsi="宋体"/>
                <w:bCs/>
                <w:sz w:val="24"/>
                <w:szCs w:val="24"/>
              </w:rPr>
              <w:t>内      容</w:t>
            </w:r>
          </w:p>
        </w:tc>
      </w:tr>
      <w:tr w14:paraId="0AA0E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5" w:type="dxa"/>
            <w:vAlign w:val="center"/>
          </w:tcPr>
          <w:p w14:paraId="3150D9DD">
            <w:pPr>
              <w:spacing w:line="400" w:lineRule="exact"/>
              <w:jc w:val="center"/>
              <w:rPr>
                <w:rFonts w:ascii="宋体" w:hAnsi="宋体"/>
                <w:sz w:val="24"/>
              </w:rPr>
            </w:pPr>
            <w:r>
              <w:rPr>
                <w:rFonts w:hint="eastAsia" w:ascii="宋体" w:hAnsi="宋体"/>
                <w:sz w:val="24"/>
              </w:rPr>
              <w:t>1</w:t>
            </w:r>
          </w:p>
        </w:tc>
        <w:tc>
          <w:tcPr>
            <w:tcW w:w="8417" w:type="dxa"/>
            <w:vAlign w:val="center"/>
          </w:tcPr>
          <w:p w14:paraId="711B5286">
            <w:pPr>
              <w:pStyle w:val="12"/>
              <w:spacing w:before="0" w:line="440" w:lineRule="exact"/>
              <w:rPr>
                <w:rFonts w:ascii="宋体" w:hAnsi="宋体"/>
              </w:rPr>
            </w:pPr>
            <w:r>
              <w:rPr>
                <w:rFonts w:hint="eastAsia" w:ascii="宋体" w:hAnsi="宋体"/>
                <w:b/>
                <w:kern w:val="0"/>
              </w:rPr>
              <w:t>项目完成时限</w:t>
            </w:r>
            <w:r>
              <w:rPr>
                <w:rFonts w:hint="eastAsia" w:ascii="宋体" w:hAnsi="宋体" w:cs="宋体"/>
                <w:b/>
                <w:bCs/>
                <w:kern w:val="0"/>
              </w:rPr>
              <w:t>：</w:t>
            </w:r>
            <w:r>
              <w:rPr>
                <w:rFonts w:hint="eastAsia" w:ascii="宋体" w:hAnsi="宋体"/>
                <w:highlight w:val="none"/>
                <w:lang w:eastAsia="zh-CN"/>
              </w:rPr>
              <w:t>合同签订后10个日历天内完成交货、安装、调试</w:t>
            </w:r>
            <w:r>
              <w:rPr>
                <w:rFonts w:hint="eastAsia" w:ascii="宋体" w:hAnsi="宋体"/>
                <w:highlight w:val="none"/>
              </w:rPr>
              <w:t>。</w:t>
            </w:r>
          </w:p>
          <w:p w14:paraId="00666014">
            <w:pPr>
              <w:pStyle w:val="12"/>
              <w:spacing w:before="0" w:line="440" w:lineRule="exact"/>
              <w:rPr>
                <w:rFonts w:ascii="宋体" w:hAnsi="宋体" w:cs="宋体"/>
                <w:kern w:val="0"/>
              </w:rPr>
            </w:pPr>
            <w:r>
              <w:rPr>
                <w:rFonts w:hint="eastAsia" w:ascii="宋体" w:hAnsi="宋体" w:cs="宋体"/>
                <w:b/>
                <w:bCs/>
                <w:kern w:val="0"/>
              </w:rPr>
              <w:t>质保期：</w:t>
            </w:r>
            <w:r>
              <w:rPr>
                <w:rFonts w:hint="eastAsia" w:ascii="宋体" w:hAnsi="宋体" w:cs="宋体"/>
                <w:kern w:val="0"/>
              </w:rPr>
              <w:t>不低于三年。</w:t>
            </w:r>
          </w:p>
          <w:p w14:paraId="663A0FF4">
            <w:pPr>
              <w:pStyle w:val="18"/>
              <w:spacing w:line="400" w:lineRule="exact"/>
            </w:pPr>
            <w:r>
              <w:rPr>
                <w:rFonts w:hint="eastAsia" w:hAnsi="宋体" w:cs="宋体"/>
                <w:b/>
                <w:bCs/>
                <w:kern w:val="0"/>
                <w:sz w:val="24"/>
                <w:szCs w:val="24"/>
              </w:rPr>
              <w:t>质量要求：</w:t>
            </w:r>
            <w:r>
              <w:rPr>
                <w:rFonts w:hint="eastAsia" w:hAnsi="宋体" w:cs="宋体"/>
                <w:kern w:val="0"/>
                <w:sz w:val="24"/>
                <w:szCs w:val="24"/>
              </w:rPr>
              <w:t>符合现行国家相关规定及行业标准、要求，满足业主方要求，一次性验收合格。</w:t>
            </w:r>
          </w:p>
        </w:tc>
      </w:tr>
      <w:tr w14:paraId="4B24A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5" w:type="dxa"/>
            <w:vAlign w:val="center"/>
          </w:tcPr>
          <w:p w14:paraId="11A52DF0">
            <w:pPr>
              <w:pStyle w:val="18"/>
              <w:spacing w:line="400" w:lineRule="exact"/>
              <w:jc w:val="center"/>
              <w:rPr>
                <w:rFonts w:hAnsi="宋体"/>
                <w:bCs/>
                <w:sz w:val="24"/>
                <w:szCs w:val="24"/>
              </w:rPr>
            </w:pPr>
            <w:r>
              <w:rPr>
                <w:rFonts w:hint="eastAsia" w:hAnsi="宋体"/>
                <w:bCs/>
                <w:sz w:val="24"/>
                <w:szCs w:val="24"/>
              </w:rPr>
              <w:t>2</w:t>
            </w:r>
          </w:p>
        </w:tc>
        <w:tc>
          <w:tcPr>
            <w:tcW w:w="8417" w:type="dxa"/>
            <w:vAlign w:val="center"/>
          </w:tcPr>
          <w:p w14:paraId="1DDF33F9">
            <w:pPr>
              <w:spacing w:line="400" w:lineRule="exact"/>
              <w:rPr>
                <w:rFonts w:hint="eastAsia" w:ascii="宋体" w:hAnsi="宋体" w:eastAsia="宋体" w:cs="宋体"/>
                <w:sz w:val="24"/>
                <w:lang w:eastAsia="zh-CN"/>
              </w:rPr>
            </w:pPr>
            <w:r>
              <w:rPr>
                <w:rFonts w:hint="eastAsia" w:hAnsi="宋体" w:cs="宋体"/>
                <w:b/>
                <w:bCs/>
                <w:sz w:val="24"/>
              </w:rPr>
              <w:t>交货地点：</w:t>
            </w:r>
            <w:r>
              <w:rPr>
                <w:rFonts w:hint="eastAsia" w:ascii="宋体" w:hAnsi="宋体" w:cs="宋体"/>
                <w:bCs/>
                <w:kern w:val="0"/>
                <w:sz w:val="24"/>
                <w:lang w:eastAsia="zh-CN"/>
              </w:rPr>
              <w:t>昭通市公安局交通管理支队</w:t>
            </w:r>
          </w:p>
        </w:tc>
      </w:tr>
      <w:tr w14:paraId="4429F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15" w:type="dxa"/>
            <w:vAlign w:val="center"/>
          </w:tcPr>
          <w:p w14:paraId="161D4271">
            <w:pPr>
              <w:pStyle w:val="18"/>
              <w:spacing w:line="400" w:lineRule="exact"/>
              <w:jc w:val="center"/>
              <w:rPr>
                <w:rFonts w:hAnsi="宋体"/>
                <w:bCs/>
                <w:sz w:val="24"/>
                <w:szCs w:val="24"/>
                <w:highlight w:val="none"/>
              </w:rPr>
            </w:pPr>
            <w:r>
              <w:rPr>
                <w:rFonts w:hint="eastAsia" w:hAnsi="宋体"/>
                <w:bCs/>
                <w:sz w:val="24"/>
                <w:szCs w:val="24"/>
                <w:highlight w:val="none"/>
              </w:rPr>
              <w:t>3</w:t>
            </w:r>
          </w:p>
        </w:tc>
        <w:tc>
          <w:tcPr>
            <w:tcW w:w="8417" w:type="dxa"/>
            <w:vAlign w:val="center"/>
          </w:tcPr>
          <w:p w14:paraId="52B25381">
            <w:pPr>
              <w:autoSpaceDE w:val="0"/>
              <w:autoSpaceDN w:val="0"/>
              <w:spacing w:line="400" w:lineRule="exact"/>
              <w:rPr>
                <w:rFonts w:hAnsi="宋体" w:cs="宋体"/>
                <w:sz w:val="24"/>
                <w:highlight w:val="none"/>
              </w:rPr>
            </w:pPr>
            <w:r>
              <w:rPr>
                <w:rFonts w:hint="eastAsia" w:ascii="宋体" w:hAnsi="宋体"/>
                <w:b/>
                <w:bCs/>
                <w:sz w:val="24"/>
                <w:highlight w:val="none"/>
              </w:rPr>
              <w:t>付款方式：</w:t>
            </w:r>
            <w:r>
              <w:rPr>
                <w:rFonts w:hint="eastAsia" w:ascii="宋体" w:hAnsi="宋体" w:cs="宋体"/>
                <w:color w:val="auto"/>
                <w:kern w:val="0"/>
                <w:sz w:val="24"/>
                <w:highlight w:val="none"/>
              </w:rPr>
              <w:t>合同签订后，</w:t>
            </w:r>
            <w:r>
              <w:rPr>
                <w:rFonts w:hint="eastAsia" w:ascii="宋体" w:hAnsi="宋体" w:cs="宋体"/>
                <w:color w:val="auto"/>
                <w:kern w:val="0"/>
                <w:sz w:val="24"/>
                <w:highlight w:val="none"/>
                <w:lang w:val="en-US" w:eastAsia="zh-CN"/>
              </w:rPr>
              <w:t>成交供应商进行供货、调试、验收，</w:t>
            </w:r>
            <w:r>
              <w:rPr>
                <w:rFonts w:hint="eastAsia" w:ascii="宋体" w:hAnsi="宋体" w:cs="宋体"/>
                <w:color w:val="auto"/>
                <w:kern w:val="0"/>
                <w:sz w:val="24"/>
                <w:highlight w:val="none"/>
              </w:rPr>
              <w:t>项目验收合格后</w:t>
            </w:r>
            <w:r>
              <w:rPr>
                <w:rFonts w:hint="eastAsia" w:ascii="宋体" w:hAnsi="宋体" w:cs="宋体"/>
                <w:color w:val="auto"/>
                <w:kern w:val="0"/>
                <w:sz w:val="24"/>
                <w:highlight w:val="none"/>
                <w:lang w:val="en-US" w:eastAsia="zh-CN"/>
              </w:rPr>
              <w:t>一次性支付全部款项</w:t>
            </w:r>
            <w:r>
              <w:rPr>
                <w:rFonts w:hint="eastAsia"/>
                <w:color w:val="auto"/>
                <w:sz w:val="24"/>
                <w:highlight w:val="none"/>
              </w:rPr>
              <w:t>。</w:t>
            </w:r>
          </w:p>
        </w:tc>
      </w:tr>
    </w:tbl>
    <w:p w14:paraId="25F5C56F">
      <w:pPr>
        <w:jc w:val="center"/>
        <w:rPr>
          <w:rFonts w:ascii="宋体" w:hAnsi="宋体" w:cs="宋体"/>
          <w:kern w:val="0"/>
          <w:sz w:val="23"/>
          <w:szCs w:val="23"/>
        </w:rPr>
      </w:pPr>
      <w:r>
        <w:rPr>
          <w:rFonts w:ascii="宋体" w:hAnsi="宋体" w:cs="宋体"/>
          <w:sz w:val="24"/>
        </w:rPr>
        <w:br w:type="page"/>
      </w:r>
    </w:p>
    <w:p w14:paraId="4A31FFA7">
      <w:pPr>
        <w:pStyle w:val="2"/>
        <w:jc w:val="center"/>
        <w:rPr>
          <w:rFonts w:hint="eastAsia" w:hAnsi="宋体" w:cs="宋体"/>
          <w:b/>
          <w:color w:val="auto"/>
          <w:spacing w:val="-20"/>
          <w:sz w:val="48"/>
          <w:szCs w:val="48"/>
          <w:highlight w:val="none"/>
        </w:rPr>
      </w:pPr>
      <w:r>
        <w:rPr>
          <w:rFonts w:hint="eastAsia" w:hAnsi="宋体" w:cs="宋体"/>
          <w:b/>
          <w:color w:val="auto"/>
          <w:spacing w:val="-20"/>
          <w:sz w:val="48"/>
          <w:szCs w:val="48"/>
          <w:highlight w:val="none"/>
        </w:rPr>
        <w:t>政府采购货物买卖合同</w:t>
      </w:r>
    </w:p>
    <w:p w14:paraId="0F8B30C0">
      <w:pPr>
        <w:pStyle w:val="2"/>
        <w:jc w:val="center"/>
        <w:rPr>
          <w:rFonts w:hint="eastAsia" w:hAnsi="宋体" w:cs="宋体"/>
          <w:b/>
          <w:color w:val="auto"/>
          <w:spacing w:val="-20"/>
          <w:sz w:val="48"/>
          <w:szCs w:val="48"/>
          <w:highlight w:val="none"/>
        </w:rPr>
      </w:pPr>
      <w:r>
        <w:rPr>
          <w:rFonts w:hint="eastAsia" w:hAnsi="宋体" w:cs="宋体"/>
          <w:b/>
          <w:color w:val="auto"/>
          <w:spacing w:val="-20"/>
          <w:sz w:val="48"/>
          <w:szCs w:val="48"/>
          <w:highlight w:val="none"/>
        </w:rPr>
        <w:t>（试行）</w:t>
      </w:r>
    </w:p>
    <w:p w14:paraId="3A2360D6">
      <w:pPr>
        <w:rPr>
          <w:rFonts w:ascii="宋体" w:hAnsi="宋体" w:cs="宋体"/>
          <w:b/>
          <w:bCs/>
          <w:color w:val="auto"/>
          <w:spacing w:val="-20"/>
          <w:kern w:val="44"/>
          <w:sz w:val="40"/>
          <w:szCs w:val="40"/>
          <w:highlight w:val="none"/>
        </w:rPr>
      </w:pPr>
    </w:p>
    <w:p w14:paraId="6EEBF3EF">
      <w:pPr>
        <w:rPr>
          <w:rFonts w:ascii="宋体" w:hAnsi="宋体" w:cs="宋体"/>
          <w:b/>
          <w:bCs/>
          <w:color w:val="auto"/>
          <w:spacing w:val="-20"/>
          <w:kern w:val="44"/>
          <w:sz w:val="40"/>
          <w:szCs w:val="40"/>
          <w:highlight w:val="none"/>
        </w:rPr>
      </w:pPr>
    </w:p>
    <w:p w14:paraId="1B1B6B44">
      <w:pPr>
        <w:rPr>
          <w:rFonts w:ascii="宋体" w:hAnsi="宋体" w:cs="宋体"/>
          <w:b/>
          <w:bCs/>
          <w:color w:val="auto"/>
          <w:spacing w:val="-20"/>
          <w:kern w:val="44"/>
          <w:sz w:val="40"/>
          <w:szCs w:val="40"/>
          <w:highlight w:val="none"/>
        </w:rPr>
      </w:pPr>
    </w:p>
    <w:p w14:paraId="2197EA1C">
      <w:pPr>
        <w:spacing w:line="360" w:lineRule="auto"/>
        <w:ind w:left="420" w:leftChars="200" w:firstLine="1280" w:firstLineChars="400"/>
        <w:rPr>
          <w:color w:val="auto"/>
          <w:sz w:val="32"/>
          <w:szCs w:val="32"/>
          <w:highlight w:val="none"/>
        </w:rPr>
      </w:pPr>
      <w:r>
        <w:rPr>
          <w:rFonts w:hint="eastAsia" w:ascii="宋体" w:hAnsi="宋体" w:cs="宋体"/>
          <w:color w:val="auto"/>
          <w:kern w:val="0"/>
          <w:sz w:val="32"/>
          <w:szCs w:val="32"/>
          <w:highlight w:val="none"/>
        </w:rPr>
        <w:t>项目名称：</w:t>
      </w:r>
      <w:r>
        <w:rPr>
          <w:rFonts w:hint="eastAsia"/>
          <w:color w:val="auto"/>
          <w:sz w:val="32"/>
          <w:szCs w:val="32"/>
          <w:highlight w:val="none"/>
          <w:u w:val="single"/>
        </w:rPr>
        <w:t xml:space="preserve">                             </w:t>
      </w:r>
    </w:p>
    <w:p w14:paraId="2C0E2A5C">
      <w:pPr>
        <w:spacing w:line="360" w:lineRule="auto"/>
        <w:ind w:left="420" w:leftChars="200" w:firstLine="1280" w:firstLineChars="400"/>
        <w:rPr>
          <w:color w:val="auto"/>
          <w:sz w:val="32"/>
          <w:szCs w:val="32"/>
          <w:highlight w:val="none"/>
          <w:u w:val="single"/>
        </w:rPr>
      </w:pPr>
      <w:r>
        <w:rPr>
          <w:rFonts w:hint="eastAsia"/>
          <w:color w:val="auto"/>
          <w:sz w:val="32"/>
          <w:szCs w:val="32"/>
          <w:highlight w:val="none"/>
        </w:rPr>
        <w:t>合同编号：</w:t>
      </w:r>
      <w:r>
        <w:rPr>
          <w:rFonts w:hint="eastAsia"/>
          <w:color w:val="auto"/>
          <w:sz w:val="32"/>
          <w:szCs w:val="32"/>
          <w:highlight w:val="none"/>
          <w:u w:val="single"/>
        </w:rPr>
        <w:t xml:space="preserve">                             </w:t>
      </w:r>
    </w:p>
    <w:p w14:paraId="42C7C7ED">
      <w:pPr>
        <w:spacing w:line="360" w:lineRule="auto"/>
        <w:ind w:left="420" w:leftChars="200" w:firstLine="1280" w:firstLineChars="400"/>
        <w:rPr>
          <w:color w:val="auto"/>
          <w:sz w:val="32"/>
          <w:szCs w:val="32"/>
          <w:highlight w:val="none"/>
        </w:rPr>
      </w:pPr>
      <w:r>
        <w:rPr>
          <w:rFonts w:hint="eastAsia"/>
          <w:color w:val="auto"/>
          <w:sz w:val="32"/>
          <w:szCs w:val="32"/>
          <w:highlight w:val="none"/>
        </w:rPr>
        <w:t>甲    方：</w:t>
      </w:r>
      <w:r>
        <w:rPr>
          <w:rFonts w:hint="eastAsia"/>
          <w:color w:val="auto"/>
          <w:sz w:val="32"/>
          <w:szCs w:val="32"/>
          <w:highlight w:val="none"/>
          <w:u w:val="single"/>
        </w:rPr>
        <w:t xml:space="preserve">                             </w:t>
      </w:r>
    </w:p>
    <w:p w14:paraId="63C48862">
      <w:pPr>
        <w:spacing w:line="360" w:lineRule="auto"/>
        <w:ind w:left="420" w:leftChars="200" w:firstLine="1280" w:firstLineChars="400"/>
        <w:rPr>
          <w:color w:val="auto"/>
          <w:sz w:val="32"/>
          <w:szCs w:val="32"/>
          <w:highlight w:val="none"/>
          <w:u w:val="single"/>
        </w:rPr>
      </w:pPr>
      <w:r>
        <w:rPr>
          <w:rFonts w:hint="eastAsia"/>
          <w:color w:val="auto"/>
          <w:sz w:val="32"/>
          <w:szCs w:val="32"/>
          <w:highlight w:val="none"/>
        </w:rPr>
        <w:t>乙    方：</w:t>
      </w:r>
      <w:r>
        <w:rPr>
          <w:rFonts w:hint="eastAsia"/>
          <w:color w:val="auto"/>
          <w:sz w:val="32"/>
          <w:szCs w:val="32"/>
          <w:highlight w:val="none"/>
          <w:u w:val="single"/>
        </w:rPr>
        <w:t xml:space="preserve">                             </w:t>
      </w:r>
    </w:p>
    <w:p w14:paraId="00063B9F">
      <w:pPr>
        <w:spacing w:line="360" w:lineRule="auto"/>
        <w:ind w:left="420" w:leftChars="200" w:firstLine="1280" w:firstLineChars="400"/>
        <w:rPr>
          <w:color w:val="auto"/>
          <w:sz w:val="32"/>
          <w:szCs w:val="32"/>
          <w:highlight w:val="none"/>
        </w:rPr>
      </w:pPr>
      <w:r>
        <w:rPr>
          <w:rFonts w:hint="eastAsia"/>
          <w:color w:val="auto"/>
          <w:sz w:val="32"/>
          <w:szCs w:val="32"/>
          <w:highlight w:val="none"/>
        </w:rPr>
        <w:t>签订时间：</w:t>
      </w:r>
      <w:r>
        <w:rPr>
          <w:rFonts w:hint="eastAsia"/>
          <w:color w:val="auto"/>
          <w:sz w:val="32"/>
          <w:szCs w:val="32"/>
          <w:highlight w:val="none"/>
          <w:u w:val="single"/>
        </w:rPr>
        <w:t xml:space="preserve">      </w:t>
      </w:r>
      <w:r>
        <w:rPr>
          <w:color w:val="auto"/>
          <w:sz w:val="32"/>
          <w:szCs w:val="32"/>
          <w:highlight w:val="none"/>
          <w:u w:val="single"/>
        </w:rPr>
        <w:t xml:space="preserve">           </w:t>
      </w:r>
      <w:r>
        <w:rPr>
          <w:rFonts w:hint="eastAsia"/>
          <w:color w:val="auto"/>
          <w:sz w:val="32"/>
          <w:szCs w:val="32"/>
          <w:highlight w:val="none"/>
          <w:u w:val="single"/>
        </w:rPr>
        <w:t xml:space="preserve">            </w:t>
      </w:r>
    </w:p>
    <w:p w14:paraId="2D500692">
      <w:pPr>
        <w:jc w:val="center"/>
        <w:rPr>
          <w:rFonts w:hint="eastAsia" w:eastAsia="黑体"/>
          <w:color w:val="auto"/>
          <w:sz w:val="44"/>
          <w:szCs w:val="44"/>
          <w:highlight w:val="none"/>
        </w:rPr>
      </w:pPr>
      <w:r>
        <w:rPr>
          <w:rFonts w:hint="eastAsia" w:eastAsia="黑体"/>
          <w:color w:val="auto"/>
          <w:sz w:val="44"/>
          <w:szCs w:val="44"/>
          <w:highlight w:val="none"/>
        </w:rPr>
        <w:t>使 用 说 明</w:t>
      </w:r>
    </w:p>
    <w:p w14:paraId="65E1E3CA">
      <w:pPr>
        <w:ind w:firstLine="640" w:firstLineChars="200"/>
        <w:rPr>
          <w:rFonts w:hint="eastAsia" w:ascii="仿宋_GB2312" w:hAnsi="仿宋_GB2312" w:eastAsia="仿宋_GB2312" w:cs="仿宋_GB2312"/>
          <w:color w:val="auto"/>
          <w:sz w:val="32"/>
          <w:szCs w:val="32"/>
          <w:highlight w:val="none"/>
        </w:rPr>
      </w:pPr>
    </w:p>
    <w:p w14:paraId="5545919C">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1.本合同标准文本适用于购买现成货物的采购项目，不包括需要供应商定制开发、创新研发的货物采购项目。</w:t>
      </w:r>
    </w:p>
    <w:p w14:paraId="2B0C0D83">
      <w:pPr>
        <w:rPr>
          <w:rFonts w:eastAsia="黑体"/>
          <w:color w:val="auto"/>
          <w:sz w:val="44"/>
          <w:szCs w:val="44"/>
          <w:highlight w:val="none"/>
        </w:rPr>
      </w:pPr>
      <w:r>
        <w:rPr>
          <w:rFonts w:hint="eastAsia" w:eastAsia="黑体"/>
          <w:color w:val="auto"/>
          <w:sz w:val="44"/>
          <w:szCs w:val="44"/>
          <w:highlight w:val="none"/>
        </w:rPr>
        <w:t xml:space="preserve">   </w:t>
      </w:r>
      <w:r>
        <w:rPr>
          <w:rFonts w:hint="eastAsia" w:ascii="仿宋_GB2312" w:hAnsi="仿宋_GB2312" w:eastAsia="仿宋_GB2312" w:cs="仿宋_GB2312"/>
          <w:color w:val="auto"/>
          <w:sz w:val="32"/>
          <w:szCs w:val="32"/>
          <w:highlight w:val="none"/>
        </w:rPr>
        <w:t>2.本合同标准文本为政府采购货物买卖合同编制提供参考，可以结合采购项目具体情况，对文本作必要的调整修订后使用。</w:t>
      </w:r>
    </w:p>
    <w:p w14:paraId="06EA3989">
      <w:pPr>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3.本合同标准文本各条款中，如涉及填写多家供应商、制造商，多种采购标的、分包主要内容等信息的，可根据采购项目具体情况添加信息项。</w:t>
      </w:r>
    </w:p>
    <w:p w14:paraId="796C6D3E">
      <w:pPr>
        <w:ind w:firstLine="880" w:firstLineChars="200"/>
        <w:rPr>
          <w:rFonts w:eastAsia="黑体"/>
          <w:color w:val="auto"/>
          <w:sz w:val="44"/>
          <w:szCs w:val="44"/>
          <w:highlight w:val="none"/>
        </w:rPr>
        <w:sectPr>
          <w:footerReference r:id="rId9" w:type="default"/>
          <w:pgSz w:w="11906" w:h="16838"/>
          <w:pgMar w:top="1440" w:right="1800" w:bottom="1440" w:left="1800" w:header="851" w:footer="992" w:gutter="0"/>
          <w:pgNumType w:fmt="decimal" w:start="1"/>
          <w:cols w:space="720" w:num="1"/>
          <w:docGrid w:type="lines" w:linePitch="312" w:charSpace="0"/>
        </w:sectPr>
      </w:pPr>
    </w:p>
    <w:p w14:paraId="50F6850B">
      <w:pPr>
        <w:pStyle w:val="4"/>
        <w:tabs>
          <w:tab w:val="left" w:pos="720"/>
        </w:tabs>
        <w:adjustRightInd w:val="0"/>
        <w:snapToGrid w:val="0"/>
        <w:spacing w:line="400" w:lineRule="exact"/>
        <w:ind w:left="3330"/>
        <w:jc w:val="both"/>
        <w:rPr>
          <w:rFonts w:hint="eastAsia" w:ascii="仿宋" w:hAnsi="仿宋" w:eastAsia="仿宋" w:cs="仿宋"/>
          <w:color w:val="auto"/>
          <w:sz w:val="24"/>
          <w:szCs w:val="24"/>
          <w:highlight w:val="none"/>
        </w:rPr>
      </w:pPr>
      <w:bookmarkStart w:id="227" w:name="_Toc22209"/>
      <w:r>
        <w:rPr>
          <w:rFonts w:hint="eastAsia" w:ascii="仿宋" w:hAnsi="仿宋" w:eastAsia="仿宋" w:cs="仿宋"/>
          <w:color w:val="auto"/>
          <w:sz w:val="24"/>
          <w:szCs w:val="24"/>
          <w:highlight w:val="none"/>
        </w:rPr>
        <w:t>第一节 政府采购合同协议书</w:t>
      </w:r>
      <w:bookmarkEnd w:id="227"/>
    </w:p>
    <w:p w14:paraId="6538453C">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（采购人、受采购人委托签订合同的单位或采购</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文件约定的合同甲方）</w:t>
      </w:r>
    </w:p>
    <w:p w14:paraId="018C72DF">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乙方1（全称）：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（供应商）</w:t>
      </w:r>
    </w:p>
    <w:p w14:paraId="751FD96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乙方2（全称）：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（联合体成员供应商或其他合同主体）（如有）</w:t>
      </w:r>
    </w:p>
    <w:p w14:paraId="13569E65">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乙方3（全称）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（联合体成员供应商或其他合同主体）（如有）</w:t>
      </w:r>
    </w:p>
    <w:p w14:paraId="4DC559ED">
      <w:pPr>
        <w:spacing w:line="400" w:lineRule="exact"/>
        <w:rPr>
          <w:rFonts w:hint="eastAsia" w:ascii="仿宋" w:hAnsi="仿宋" w:eastAsia="仿宋" w:cs="仿宋"/>
          <w:color w:val="auto"/>
          <w:sz w:val="24"/>
          <w:highlight w:val="none"/>
        </w:rPr>
      </w:pPr>
    </w:p>
    <w:p w14:paraId="65811E7B">
      <w:pPr>
        <w:pStyle w:val="14"/>
        <w:adjustRightInd w:val="0"/>
        <w:snapToGrid w:val="0"/>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依据《中华人民共和国民法典》、《中华人民共和国政府采购法》等有关的法律法规，以及本采购项目的招标/谈判文件等采购文件、乙方的《投标（响应）文件》及《中标（成交）通知书》，甲乙双方同意签订本合同。具体情况及要求如下：     </w:t>
      </w:r>
    </w:p>
    <w:p w14:paraId="0F71CF2A">
      <w:pPr>
        <w:numPr>
          <w:ilvl w:val="0"/>
          <w:numId w:val="5"/>
        </w:numPr>
        <w:adjustRightInd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项目信息</w:t>
      </w:r>
    </w:p>
    <w:p w14:paraId="1E861B75">
      <w:pPr>
        <w:pStyle w:val="14"/>
        <w:numPr>
          <w:ilvl w:val="0"/>
          <w:numId w:val="6"/>
        </w:numPr>
        <w:adjustRightInd w:val="0"/>
        <w:snapToGrid w:val="0"/>
        <w:spacing w:line="400" w:lineRule="exact"/>
        <w:ind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rPr>
        <w:t xml:space="preserve">                                          </w:t>
      </w:r>
    </w:p>
    <w:p w14:paraId="55A85037">
      <w:pPr>
        <w:pStyle w:val="14"/>
        <w:tabs>
          <w:tab w:val="left" w:pos="999"/>
        </w:tabs>
        <w:adjustRightInd w:val="0"/>
        <w:snapToGrid w:val="0"/>
        <w:spacing w:line="400" w:lineRule="exact"/>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采购项目编号：</w:t>
      </w:r>
      <w:r>
        <w:rPr>
          <w:rFonts w:hint="eastAsia" w:ascii="仿宋" w:hAnsi="仿宋" w:eastAsia="仿宋" w:cs="仿宋"/>
          <w:color w:val="auto"/>
          <w:sz w:val="24"/>
          <w:highlight w:val="none"/>
          <w:u w:val="single"/>
        </w:rPr>
        <w:t xml:space="preserve">                                          </w:t>
      </w:r>
    </w:p>
    <w:p w14:paraId="5D1D2206">
      <w:pPr>
        <w:pStyle w:val="14"/>
        <w:adjustRightInd w:val="0"/>
        <w:snapToGrid w:val="0"/>
        <w:spacing w:line="40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（2）采购计划编号：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6E42DCE6">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（3）项目内容：</w:t>
      </w:r>
    </w:p>
    <w:p w14:paraId="04540AA8">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采购标的及数量（台/套</w:t>
      </w:r>
      <w:r>
        <w:rPr>
          <w:rFonts w:hint="eastAsia" w:ascii="仿宋" w:hAnsi="仿宋" w:eastAsia="仿宋" w:cs="仿宋"/>
          <w:color w:val="auto"/>
          <w:sz w:val="24"/>
          <w:highlight w:val="none"/>
          <w:lang w:val="en"/>
        </w:rPr>
        <w:t>/个/架/组等</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251636EE">
      <w:pPr>
        <w:adjustRightInd w:val="0"/>
        <w:snapToGrid w:val="0"/>
        <w:spacing w:line="400" w:lineRule="exact"/>
        <w:ind w:firstLine="480" w:firstLineChars="200"/>
        <w:rPr>
          <w:rFonts w:hint="eastAsia" w:ascii="仿宋" w:hAnsi="仿宋" w:eastAsia="仿宋" w:cs="仿宋"/>
          <w:color w:val="auto"/>
          <w:sz w:val="24"/>
          <w:highlight w:val="none"/>
          <w:lang w:val="en"/>
        </w:rPr>
      </w:pPr>
      <w:r>
        <w:rPr>
          <w:rFonts w:hint="eastAsia" w:ascii="仿宋" w:hAnsi="仿宋" w:eastAsia="仿宋" w:cs="仿宋"/>
          <w:color w:val="auto"/>
          <w:sz w:val="24"/>
          <w:highlight w:val="none"/>
        </w:rPr>
        <w:t xml:space="preserve">     品牌：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lang w:val="en"/>
        </w:rPr>
        <w:t xml:space="preserve">     </w:t>
      </w:r>
      <w:r>
        <w:rPr>
          <w:rFonts w:hint="eastAsia" w:ascii="仿宋" w:hAnsi="仿宋" w:eastAsia="仿宋" w:cs="仿宋"/>
          <w:color w:val="auto"/>
          <w:sz w:val="24"/>
          <w:highlight w:val="none"/>
        </w:rPr>
        <w:t>规格型号：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
        </w:rPr>
        <w:t xml:space="preserve">   </w:t>
      </w:r>
    </w:p>
    <w:p w14:paraId="5E0B464D">
      <w:pPr>
        <w:adjustRightInd w:val="0"/>
        <w:snapToGrid w:val="0"/>
        <w:spacing w:line="400" w:lineRule="exact"/>
        <w:ind w:firstLine="1080" w:firstLineChars="45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采购标的的技术要求、商务要求具体见附件。</w:t>
      </w:r>
    </w:p>
    <w:p w14:paraId="1553E187">
      <w:pPr>
        <w:adjustRightInd w:val="0"/>
        <w:snapToGrid w:val="0"/>
        <w:spacing w:line="400" w:lineRule="exact"/>
        <w:ind w:firstLine="1080" w:firstLineChars="450"/>
        <w:rPr>
          <w:rFonts w:hint="eastAsia" w:ascii="仿宋" w:hAnsi="仿宋" w:eastAsia="仿宋" w:cs="仿宋"/>
          <w:color w:val="auto"/>
          <w:sz w:val="24"/>
          <w:highlight w:val="none"/>
        </w:rPr>
      </w:pPr>
      <w:r>
        <w:rPr>
          <w:rFonts w:hint="eastAsia" w:ascii="仿宋" w:hAnsi="仿宋" w:eastAsia="仿宋" w:cs="仿宋"/>
          <w:color w:val="auto"/>
          <w:sz w:val="24"/>
          <w:highlight w:val="none"/>
        </w:rPr>
        <w:t>①涉及信息类产品，请填写该产品关键部件的品牌、型号：</w:t>
      </w:r>
    </w:p>
    <w:p w14:paraId="49F40B69">
      <w:pPr>
        <w:adjustRightInd w:val="0"/>
        <w:snapToGrid w:val="0"/>
        <w:spacing w:line="400" w:lineRule="exact"/>
        <w:ind w:firstLine="480" w:firstLineChars="200"/>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rPr>
        <w:t xml:space="preserve">     标的名称：</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
        </w:rPr>
        <w:t xml:space="preserve">               </w:t>
      </w:r>
      <w:r>
        <w:rPr>
          <w:rFonts w:hint="eastAsia" w:ascii="仿宋" w:hAnsi="仿宋" w:eastAsia="仿宋" w:cs="仿宋"/>
          <w:color w:val="auto"/>
          <w:kern w:val="0"/>
          <w:sz w:val="24"/>
          <w:highlight w:val="none"/>
          <w:u w:val="single"/>
        </w:rPr>
        <w:t xml:space="preserve">    </w:t>
      </w:r>
    </w:p>
    <w:p w14:paraId="70EFBE85">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关键部件：</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品牌：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型号：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F4CF297">
      <w:pPr>
        <w:pStyle w:val="194"/>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rPr>
        <w:t>关键部件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6285CF4">
      <w:pPr>
        <w:pStyle w:val="194"/>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关键部件：</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品牌：</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型号：</w:t>
      </w:r>
      <w:r>
        <w:rPr>
          <w:rFonts w:hint="eastAsia" w:ascii="仿宋" w:hAnsi="仿宋" w:eastAsia="仿宋" w:cs="仿宋"/>
          <w:color w:val="auto"/>
          <w:sz w:val="24"/>
          <w:szCs w:val="24"/>
          <w:highlight w:val="none"/>
          <w:u w:val="single"/>
        </w:rPr>
        <w:t xml:space="preserve">       </w:t>
      </w:r>
    </w:p>
    <w:p w14:paraId="74827B29">
      <w:pPr>
        <w:pStyle w:val="194"/>
        <w:snapToGrid w:val="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（注：关键部件是指财政部会同有关部门发布的政府采购需求标准规定的需要通过国家有关部门指定的测评机构开展的安全可靠测评的软硬件，如CPU芯片、操作系统、数据库等。）</w:t>
      </w:r>
    </w:p>
    <w:p w14:paraId="79D7C8A5">
      <w:pPr>
        <w:pStyle w:val="194"/>
        <w:snapToGrid w:val="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②涉及车辆采购，请填写是否属于新能源汽车：</w:t>
      </w:r>
    </w:p>
    <w:p w14:paraId="56FA8D97">
      <w:pPr>
        <w:pStyle w:val="194"/>
        <w:snapToGrid w:val="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是，《政府采购品目分类目录》底级品目名称：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数量：</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金额：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3C78587B">
      <w:pPr>
        <w:pStyle w:val="194"/>
        <w:snapToGrid w:val="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否</w:t>
      </w:r>
    </w:p>
    <w:p w14:paraId="5CBE4A67">
      <w:pPr>
        <w:pStyle w:val="194"/>
        <w:snapToGrid w:val="0"/>
        <w:ind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4</w:t>
      </w:r>
      <w:r>
        <w:rPr>
          <w:rFonts w:hint="eastAsia" w:ascii="仿宋" w:hAnsi="仿宋" w:eastAsia="仿宋" w:cs="仿宋"/>
          <w:color w:val="auto"/>
          <w:sz w:val="24"/>
          <w:szCs w:val="24"/>
          <w:highlight w:val="none"/>
        </w:rPr>
        <w:t>）政府采购组织形式：</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政府集中采购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部门集中采购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分散采购</w:t>
      </w:r>
    </w:p>
    <w:p w14:paraId="5237B817">
      <w:pPr>
        <w:pStyle w:val="194"/>
        <w:snapToGrid w:val="0"/>
        <w:ind w:firstLine="42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
        </w:rPr>
        <w:t>5</w:t>
      </w:r>
      <w:r>
        <w:rPr>
          <w:rFonts w:hint="eastAsia" w:ascii="仿宋" w:hAnsi="仿宋" w:eastAsia="仿宋" w:cs="仿宋"/>
          <w:color w:val="auto"/>
          <w:sz w:val="24"/>
          <w:szCs w:val="24"/>
          <w:highlight w:val="none"/>
        </w:rPr>
        <w:t>）政府采购方式：</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公开招标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邀请招标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竞争性谈判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竞争性</w:t>
      </w:r>
      <w:r>
        <w:rPr>
          <w:rFonts w:hint="eastAsia" w:ascii="仿宋" w:hAnsi="仿宋" w:eastAsia="仿宋" w:cs="仿宋"/>
          <w:color w:val="auto"/>
          <w:sz w:val="24"/>
          <w:szCs w:val="24"/>
          <w:highlight w:val="none"/>
          <w:lang w:eastAsia="zh-CN"/>
        </w:rPr>
        <w:t>谈判</w:t>
      </w:r>
    </w:p>
    <w:p w14:paraId="71E9D2AC">
      <w:pPr>
        <w:pStyle w:val="194"/>
        <w:snapToGrid w:val="0"/>
        <w:ind w:firstLine="42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询价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单一来源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 xml:space="preserve">框架协议 </w:t>
      </w:r>
      <w:r>
        <w:rPr>
          <w:rFonts w:hint="eastAsia" w:ascii="仿宋" w:hAnsi="仿宋" w:eastAsia="仿宋" w:cs="仿宋"/>
          <w:color w:val="auto"/>
          <w:sz w:val="24"/>
          <w:szCs w:val="24"/>
          <w:highlight w:val="none"/>
        </w:rPr>
        <w:sym w:font="Wingdings" w:char="00A8"/>
      </w:r>
      <w:r>
        <w:rPr>
          <w:rFonts w:hint="eastAsia" w:ascii="仿宋" w:hAnsi="仿宋" w:eastAsia="仿宋" w:cs="仿宋"/>
          <w:color w:val="auto"/>
          <w:sz w:val="24"/>
          <w:szCs w:val="24"/>
          <w:highlight w:val="none"/>
        </w:rPr>
        <w:t>其他：</w:t>
      </w:r>
      <w:r>
        <w:rPr>
          <w:rFonts w:hint="eastAsia" w:ascii="仿宋" w:hAnsi="仿宋" w:eastAsia="仿宋" w:cs="仿宋"/>
          <w:color w:val="auto"/>
          <w:sz w:val="24"/>
          <w:szCs w:val="24"/>
          <w:highlight w:val="none"/>
          <w:u w:val="single"/>
        </w:rPr>
        <w:t xml:space="preserve">          </w:t>
      </w:r>
    </w:p>
    <w:p w14:paraId="71F74C08">
      <w:pPr>
        <w:pStyle w:val="194"/>
        <w:snapToGrid w:val="0"/>
        <w:ind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（注：在框架协议采购的第二阶段，可选择使用该合同文本）</w:t>
      </w:r>
    </w:p>
    <w:p w14:paraId="0C8C0CC7">
      <w:pPr>
        <w:pStyle w:val="194"/>
        <w:snapToGrid w:val="0"/>
        <w:ind w:firstLine="240" w:firstLineChars="10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
        </w:rPr>
        <w:t>6</w:t>
      </w:r>
      <w:r>
        <w:rPr>
          <w:rFonts w:hint="eastAsia" w:ascii="仿宋" w:hAnsi="仿宋" w:eastAsia="仿宋" w:cs="仿宋"/>
          <w:color w:val="auto"/>
          <w:sz w:val="24"/>
          <w:szCs w:val="24"/>
          <w:highlight w:val="none"/>
        </w:rPr>
        <w:t>）</w:t>
      </w:r>
      <w:r>
        <w:rPr>
          <w:rFonts w:hint="eastAsia" w:ascii="仿宋" w:hAnsi="仿宋" w:eastAsia="仿宋" w:cs="仿宋"/>
          <w:color w:val="auto"/>
          <w:kern w:val="2"/>
          <w:sz w:val="24"/>
          <w:szCs w:val="24"/>
          <w:highlight w:val="none"/>
        </w:rPr>
        <w:t>中标（成交）采购标的制造商是否为中小企业：</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 xml:space="preserve">是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425A1139">
      <w:pPr>
        <w:adjustRightInd w:val="0"/>
        <w:snapToGrid w:val="0"/>
        <w:spacing w:line="400" w:lineRule="exact"/>
        <w:rPr>
          <w:rFonts w:hint="eastAsia" w:ascii="仿宋" w:hAnsi="仿宋" w:eastAsia="仿宋" w:cs="仿宋"/>
          <w:iCs/>
          <w:color w:val="auto"/>
          <w:sz w:val="24"/>
          <w:highlight w:val="none"/>
        </w:rPr>
      </w:pPr>
      <w:r>
        <w:rPr>
          <w:rFonts w:hint="eastAsia" w:ascii="仿宋" w:hAnsi="仿宋" w:eastAsia="仿宋" w:cs="仿宋"/>
          <w:color w:val="auto"/>
          <w:sz w:val="24"/>
          <w:highlight w:val="none"/>
        </w:rPr>
        <w:t xml:space="preserve">       本合同是否为专门面向中小企业的采购合同（中小企业预留合同）：</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63F75FC6">
      <w:pPr>
        <w:adjustRightInd w:val="0"/>
        <w:snapToGrid w:val="0"/>
        <w:spacing w:line="400" w:lineRule="exact"/>
        <w:rPr>
          <w:rFonts w:hint="eastAsia" w:ascii="仿宋" w:hAnsi="仿宋" w:eastAsia="仿宋" w:cs="仿宋"/>
          <w:iCs/>
          <w:color w:val="auto"/>
          <w:sz w:val="24"/>
          <w:highlight w:val="none"/>
        </w:rPr>
      </w:pPr>
      <w:r>
        <w:rPr>
          <w:rFonts w:hint="eastAsia" w:ascii="仿宋" w:hAnsi="仿宋" w:eastAsia="仿宋" w:cs="仿宋"/>
          <w:color w:val="auto"/>
          <w:sz w:val="24"/>
          <w:highlight w:val="none"/>
        </w:rPr>
        <w:t xml:space="preserve">       若本项目不专门面向中小企业采购，是否给予小微企业评审优惠：</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005CBCDF">
      <w:pPr>
        <w:adjustRightInd w:val="0"/>
        <w:snapToGrid w:val="0"/>
        <w:spacing w:line="400" w:lineRule="exact"/>
        <w:rPr>
          <w:rFonts w:hint="eastAsia" w:ascii="仿宋" w:hAnsi="仿宋" w:eastAsia="仿宋" w:cs="仿宋"/>
          <w:iCs/>
          <w:color w:val="auto"/>
          <w:sz w:val="24"/>
          <w:highlight w:val="none"/>
        </w:rPr>
      </w:pPr>
      <w:r>
        <w:rPr>
          <w:rFonts w:hint="eastAsia" w:ascii="仿宋" w:hAnsi="仿宋" w:eastAsia="仿宋" w:cs="仿宋"/>
          <w:color w:val="auto"/>
          <w:sz w:val="24"/>
          <w:highlight w:val="none"/>
        </w:rPr>
        <w:t xml:space="preserve">       中标（成交）采购标的制造商是否为残疾人福利性单位：</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6FC491C3">
      <w:pPr>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中标（成交）采购标的制造商是否为监狱企业：</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67EDD738">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
        </w:rPr>
        <w:t>7</w:t>
      </w:r>
      <w:r>
        <w:rPr>
          <w:rFonts w:hint="eastAsia" w:ascii="仿宋" w:hAnsi="仿宋" w:eastAsia="仿宋" w:cs="仿宋"/>
          <w:color w:val="auto"/>
          <w:sz w:val="24"/>
          <w:highlight w:val="none"/>
        </w:rPr>
        <w:t>）合同是否分包：</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1EA39C7A">
      <w:pPr>
        <w:adjustRightInd w:val="0"/>
        <w:snapToGrid w:val="0"/>
        <w:spacing w:line="400" w:lineRule="exac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分包主要内容：</w:t>
      </w:r>
      <w:r>
        <w:rPr>
          <w:rFonts w:hint="eastAsia" w:ascii="仿宋" w:hAnsi="仿宋" w:eastAsia="仿宋" w:cs="仿宋"/>
          <w:color w:val="auto"/>
          <w:sz w:val="24"/>
          <w:highlight w:val="none"/>
          <w:u w:val="single"/>
        </w:rPr>
        <w:t xml:space="preserve">                                            </w:t>
      </w:r>
    </w:p>
    <w:p w14:paraId="33F1FA68">
      <w:pPr>
        <w:adjustRightInd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分包供应商/制造商名称（如供应商和制造商不同，请分别填写）：</w:t>
      </w:r>
    </w:p>
    <w:p w14:paraId="78B2CD5E">
      <w:pPr>
        <w:adjustRightInd w:val="0"/>
        <w:snapToGrid w:val="0"/>
        <w:spacing w:line="400" w:lineRule="exac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3528D15D">
      <w:pPr>
        <w:adjustRightInd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分包供应商/制造商类型（如果供应商和制造商不同，只填写制造商类型）：</w:t>
      </w:r>
    </w:p>
    <w:p w14:paraId="572D65C9">
      <w:pPr>
        <w:adjustRightInd w:val="0"/>
        <w:snapToGrid w:val="0"/>
        <w:spacing w:line="400" w:lineRule="exact"/>
        <w:ind w:firstLine="960" w:firstLineChars="400"/>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 xml:space="preserve">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大型企业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中型企业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小微型企业  </w:t>
      </w:r>
    </w:p>
    <w:p w14:paraId="7BA75DA3">
      <w:pPr>
        <w:adjustRightInd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iCs/>
          <w:color w:val="auto"/>
          <w:sz w:val="24"/>
          <w:highlight w:val="none"/>
        </w:rPr>
        <w:t xml:space="preserve">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残疾人福利性单位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监狱企业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其他</w:t>
      </w:r>
    </w:p>
    <w:p w14:paraId="5CEC16EF">
      <w:pPr>
        <w:adjustRightInd w:val="0"/>
        <w:snapToGrid w:val="0"/>
        <w:spacing w:line="400" w:lineRule="exact"/>
        <w:rPr>
          <w:rFonts w:hint="eastAsia" w:ascii="仿宋" w:hAnsi="仿宋" w:eastAsia="仿宋" w:cs="仿宋"/>
          <w:i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
        </w:rPr>
        <w:t>8</w:t>
      </w:r>
      <w:r>
        <w:rPr>
          <w:rFonts w:hint="eastAsia" w:ascii="仿宋" w:hAnsi="仿宋" w:eastAsia="仿宋" w:cs="仿宋"/>
          <w:color w:val="auto"/>
          <w:sz w:val="24"/>
          <w:highlight w:val="none"/>
        </w:rPr>
        <w:t>）中标（成交）供应商是否为外商投资企业：</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是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否</w:t>
      </w:r>
    </w:p>
    <w:p w14:paraId="21CD1AA7">
      <w:pPr>
        <w:pStyle w:val="194"/>
        <w:tabs>
          <w:tab w:val="left" w:pos="1340"/>
        </w:tabs>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 xml:space="preserve">     外商投资企业类型：</w:t>
      </w:r>
      <w:r>
        <w:rPr>
          <w:rFonts w:hint="eastAsia" w:ascii="仿宋" w:hAnsi="仿宋" w:eastAsia="仿宋" w:cs="仿宋"/>
          <w:iCs/>
          <w:color w:val="auto"/>
          <w:sz w:val="24"/>
          <w:szCs w:val="24"/>
          <w:highlight w:val="none"/>
        </w:rPr>
        <w:sym w:font="Wingdings" w:char="00A8"/>
      </w:r>
      <w:r>
        <w:rPr>
          <w:rFonts w:hint="eastAsia" w:ascii="仿宋" w:hAnsi="仿宋" w:eastAsia="仿宋" w:cs="仿宋"/>
          <w:color w:val="auto"/>
          <w:sz w:val="24"/>
          <w:szCs w:val="24"/>
          <w:highlight w:val="none"/>
        </w:rPr>
        <w:t xml:space="preserve">全部由外国投资者投资  </w:t>
      </w:r>
      <w:r>
        <w:rPr>
          <w:rFonts w:hint="eastAsia" w:ascii="仿宋" w:hAnsi="仿宋" w:eastAsia="仿宋" w:cs="仿宋"/>
          <w:iCs/>
          <w:color w:val="auto"/>
          <w:sz w:val="24"/>
          <w:szCs w:val="24"/>
          <w:highlight w:val="none"/>
        </w:rPr>
        <w:sym w:font="Wingdings" w:char="00A8"/>
      </w:r>
      <w:r>
        <w:rPr>
          <w:rFonts w:hint="eastAsia" w:ascii="仿宋" w:hAnsi="仿宋" w:eastAsia="仿宋" w:cs="仿宋"/>
          <w:iCs/>
          <w:color w:val="auto"/>
          <w:sz w:val="24"/>
          <w:szCs w:val="24"/>
          <w:highlight w:val="none"/>
        </w:rPr>
        <w:t>部分由外国投资者投资</w:t>
      </w:r>
    </w:p>
    <w:p w14:paraId="7A953277">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
        </w:rPr>
        <w:t>9</w:t>
      </w:r>
      <w:r>
        <w:rPr>
          <w:rFonts w:hint="eastAsia" w:ascii="仿宋" w:hAnsi="仿宋" w:eastAsia="仿宋" w:cs="仿宋"/>
          <w:color w:val="auto"/>
          <w:sz w:val="24"/>
          <w:highlight w:val="none"/>
        </w:rPr>
        <w:t>）是否涉及进口产品：</w:t>
      </w:r>
    </w:p>
    <w:p w14:paraId="23E5E4FD">
      <w:pPr>
        <w:adjustRightInd w:val="0"/>
        <w:snapToGrid w:val="0"/>
        <w:spacing w:line="400" w:lineRule="exac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是，《政府采购品目分类目录》底级品目名称：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金额：</w:t>
      </w:r>
      <w:r>
        <w:rPr>
          <w:rFonts w:hint="eastAsia" w:ascii="仿宋" w:hAnsi="仿宋" w:eastAsia="仿宋" w:cs="仿宋"/>
          <w:color w:val="auto"/>
          <w:sz w:val="24"/>
          <w:highlight w:val="none"/>
          <w:u w:val="single"/>
        </w:rPr>
        <w:t xml:space="preserve">        </w:t>
      </w:r>
    </w:p>
    <w:p w14:paraId="14E1BE10">
      <w:pPr>
        <w:adjustRightInd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国别：</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品牌：</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规格型号：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w:t>
      </w:r>
    </w:p>
    <w:p w14:paraId="2129DE2E">
      <w:pPr>
        <w:adjustRightInd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p w14:paraId="46B975F8">
      <w:pPr>
        <w:tabs>
          <w:tab w:val="left" w:pos="740"/>
        </w:tabs>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r>
        <w:rPr>
          <w:rFonts w:hint="eastAsia" w:ascii="仿宋" w:hAnsi="仿宋" w:eastAsia="仿宋" w:cs="仿宋"/>
          <w:color w:val="auto"/>
          <w:sz w:val="24"/>
          <w:highlight w:val="none"/>
          <w:lang w:val="en"/>
        </w:rPr>
        <w:t>0</w:t>
      </w:r>
      <w:r>
        <w:rPr>
          <w:rFonts w:hint="eastAsia" w:ascii="仿宋" w:hAnsi="仿宋" w:eastAsia="仿宋" w:cs="仿宋"/>
          <w:color w:val="auto"/>
          <w:sz w:val="24"/>
          <w:highlight w:val="none"/>
        </w:rPr>
        <w:t>）是否涉及节能产品：</w:t>
      </w:r>
    </w:p>
    <w:p w14:paraId="4345BAC5">
      <w:pPr>
        <w:tabs>
          <w:tab w:val="left" w:pos="740"/>
        </w:tabs>
        <w:adjustRightInd w:val="0"/>
        <w:snapToGrid w:val="0"/>
        <w:spacing w:line="400" w:lineRule="exact"/>
        <w:rPr>
          <w:rFonts w:hint="eastAsia" w:ascii="仿宋" w:hAnsi="仿宋" w:eastAsia="仿宋" w:cs="仿宋"/>
          <w:iCs/>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是，《节能产品政府采购品目清单》的底级品目名称：</w:t>
      </w:r>
      <w:r>
        <w:rPr>
          <w:rFonts w:hint="eastAsia" w:ascii="仿宋" w:hAnsi="仿宋" w:eastAsia="仿宋" w:cs="仿宋"/>
          <w:color w:val="auto"/>
          <w:sz w:val="24"/>
          <w:highlight w:val="none"/>
          <w:u w:val="single"/>
        </w:rPr>
        <w:t xml:space="preserve">         </w:t>
      </w:r>
      <w:r>
        <w:rPr>
          <w:rFonts w:hint="eastAsia" w:ascii="仿宋" w:hAnsi="仿宋" w:eastAsia="仿宋" w:cs="仿宋"/>
          <w:iCs/>
          <w:color w:val="auto"/>
          <w:sz w:val="24"/>
          <w:highlight w:val="none"/>
        </w:rPr>
        <w:t xml:space="preserve">     </w:t>
      </w:r>
    </w:p>
    <w:p w14:paraId="7151356E">
      <w:pPr>
        <w:tabs>
          <w:tab w:val="left" w:pos="740"/>
        </w:tabs>
        <w:adjustRightInd w:val="0"/>
        <w:snapToGrid w:val="0"/>
        <w:spacing w:line="400" w:lineRule="exac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 xml:space="preserve">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优先采购    </w:t>
      </w:r>
    </w:p>
    <w:p w14:paraId="5C47AC00">
      <w:pPr>
        <w:tabs>
          <w:tab w:val="left" w:pos="740"/>
        </w:tabs>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iCs/>
          <w:color w:val="auto"/>
          <w:sz w:val="24"/>
          <w:highlight w:val="none"/>
        </w:rPr>
        <w:t xml:space="preserve">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p w14:paraId="478E0D8B">
      <w:pPr>
        <w:tabs>
          <w:tab w:val="left" w:pos="740"/>
        </w:tabs>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是否涉及环境标志产品：</w:t>
      </w:r>
    </w:p>
    <w:p w14:paraId="42FFD9E9">
      <w:pPr>
        <w:tabs>
          <w:tab w:val="left" w:pos="740"/>
        </w:tabs>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是，《环境标志产品政府采购品目清单》的底级品目名称：</w:t>
      </w:r>
      <w:r>
        <w:rPr>
          <w:rFonts w:hint="eastAsia" w:ascii="仿宋" w:hAnsi="仿宋" w:eastAsia="仿宋" w:cs="仿宋"/>
          <w:color w:val="auto"/>
          <w:sz w:val="24"/>
          <w:highlight w:val="none"/>
          <w:u w:val="single"/>
        </w:rPr>
        <w:t xml:space="preserve">         </w:t>
      </w:r>
      <w:r>
        <w:rPr>
          <w:rFonts w:hint="eastAsia" w:ascii="仿宋" w:hAnsi="仿宋" w:eastAsia="仿宋" w:cs="仿宋"/>
          <w:iCs/>
          <w:color w:val="auto"/>
          <w:sz w:val="24"/>
          <w:highlight w:val="none"/>
        </w:rPr>
        <w:t xml:space="preserve"> </w:t>
      </w:r>
    </w:p>
    <w:p w14:paraId="54741B29">
      <w:pPr>
        <w:tabs>
          <w:tab w:val="left" w:pos="740"/>
        </w:tabs>
        <w:adjustRightInd w:val="0"/>
        <w:snapToGrid w:val="0"/>
        <w:spacing w:line="400" w:lineRule="exac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 xml:space="preserve">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优先采购    </w:t>
      </w:r>
    </w:p>
    <w:p w14:paraId="60521AD4">
      <w:pPr>
        <w:tabs>
          <w:tab w:val="left" w:pos="740"/>
        </w:tabs>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iCs/>
          <w:color w:val="auto"/>
          <w:sz w:val="24"/>
          <w:highlight w:val="none"/>
        </w:rPr>
        <w:t xml:space="preserve">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p w14:paraId="49FAC188">
      <w:pPr>
        <w:pStyle w:val="194"/>
        <w:snapToGrid w:val="0"/>
        <w:ind w:firstLine="0" w:firstLineChars="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kern w:val="2"/>
          <w:sz w:val="24"/>
          <w:szCs w:val="24"/>
          <w:highlight w:val="none"/>
        </w:rPr>
        <w:t xml:space="preserve">是否涉及绿色产品： </w:t>
      </w:r>
    </w:p>
    <w:p w14:paraId="7F84D8E4">
      <w:pPr>
        <w:pStyle w:val="194"/>
        <w:ind w:firstLine="420" w:firstLineChars="0"/>
        <w:rPr>
          <w:rFonts w:hint="eastAsia" w:ascii="仿宋" w:hAnsi="仿宋" w:eastAsia="仿宋" w:cs="仿宋"/>
          <w:color w:val="auto"/>
          <w:sz w:val="24"/>
          <w:szCs w:val="24"/>
          <w:highlight w:val="none"/>
          <w:u w:val="singl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是，绿色产品政府采购相关政策确定的底级品目名称：</w:t>
      </w:r>
      <w:r>
        <w:rPr>
          <w:rFonts w:hint="eastAsia" w:ascii="仿宋" w:hAnsi="仿宋" w:eastAsia="仿宋" w:cs="仿宋"/>
          <w:color w:val="auto"/>
          <w:sz w:val="24"/>
          <w:szCs w:val="24"/>
          <w:highlight w:val="none"/>
          <w:u w:val="single"/>
        </w:rPr>
        <w:t xml:space="preserve">         </w:t>
      </w:r>
    </w:p>
    <w:p w14:paraId="2565811B">
      <w:pPr>
        <w:tabs>
          <w:tab w:val="left" w:pos="740"/>
        </w:tabs>
        <w:adjustRightInd w:val="0"/>
        <w:snapToGrid w:val="0"/>
        <w:spacing w:line="400" w:lineRule="exac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 xml:space="preserve">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强制采购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优先采购    </w:t>
      </w:r>
    </w:p>
    <w:p w14:paraId="1401D5BB">
      <w:pPr>
        <w:pStyle w:val="194"/>
        <w:ind w:firstLine="420" w:firstLineChars="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 xml:space="preserve">     </w:t>
      </w:r>
      <w:r>
        <w:rPr>
          <w:rFonts w:hint="eastAsia" w:ascii="仿宋" w:hAnsi="仿宋" w:eastAsia="仿宋" w:cs="仿宋"/>
          <w:color w:val="auto"/>
          <w:kern w:val="2"/>
          <w:sz w:val="24"/>
          <w:szCs w:val="24"/>
          <w:highlight w:val="none"/>
        </w:rPr>
        <w:sym w:font="Wingdings" w:char="00A8"/>
      </w:r>
      <w:r>
        <w:rPr>
          <w:rFonts w:hint="eastAsia" w:ascii="仿宋" w:hAnsi="仿宋" w:eastAsia="仿宋" w:cs="仿宋"/>
          <w:color w:val="auto"/>
          <w:kern w:val="2"/>
          <w:sz w:val="24"/>
          <w:szCs w:val="24"/>
          <w:highlight w:val="none"/>
        </w:rPr>
        <w:t>否</w:t>
      </w:r>
    </w:p>
    <w:p w14:paraId="4C1A1D2E">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w:t>
      </w:r>
      <w:r>
        <w:rPr>
          <w:rFonts w:hint="eastAsia" w:ascii="仿宋" w:hAnsi="仿宋" w:eastAsia="仿宋" w:cs="仿宋"/>
          <w:color w:val="auto"/>
          <w:sz w:val="24"/>
          <w:highlight w:val="none"/>
          <w:lang w:val="en"/>
        </w:rPr>
        <w:t>1</w:t>
      </w:r>
      <w:r>
        <w:rPr>
          <w:rFonts w:hint="eastAsia" w:ascii="仿宋" w:hAnsi="仿宋" w:eastAsia="仿宋" w:cs="仿宋"/>
          <w:color w:val="auto"/>
          <w:sz w:val="24"/>
          <w:highlight w:val="none"/>
        </w:rPr>
        <w:t>）涉及商品包装和快递包装的，是否参考《商品包装政府采购需求标准（试行）》、《快递包装政府采购需求标准（试行）》明确产品及相关快递服务的具体包装要求：</w:t>
      </w:r>
    </w:p>
    <w:p w14:paraId="698E5848">
      <w:pPr>
        <w:adjustRightInd w:val="0"/>
        <w:snapToGrid w:val="0"/>
        <w:spacing w:line="400" w:lineRule="exact"/>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否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不涉及</w:t>
      </w:r>
    </w:p>
    <w:p w14:paraId="2164BC53">
      <w:pPr>
        <w:numPr>
          <w:ilvl w:val="0"/>
          <w:numId w:val="5"/>
        </w:numPr>
        <w:adjustRightInd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合同金额</w:t>
      </w:r>
    </w:p>
    <w:p w14:paraId="4C1AEDEC">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（1）合同金额小写：</w:t>
      </w:r>
      <w:r>
        <w:rPr>
          <w:rFonts w:hint="eastAsia" w:ascii="仿宋" w:hAnsi="仿宋" w:eastAsia="仿宋" w:cs="仿宋"/>
          <w:color w:val="auto"/>
          <w:sz w:val="24"/>
          <w:highlight w:val="none"/>
          <w:u w:val="single"/>
        </w:rPr>
        <w:t xml:space="preserve">                           </w:t>
      </w:r>
    </w:p>
    <w:p w14:paraId="7FAA3B86">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大写：</w:t>
      </w:r>
      <w:r>
        <w:rPr>
          <w:rFonts w:hint="eastAsia" w:ascii="仿宋" w:hAnsi="仿宋" w:eastAsia="仿宋" w:cs="仿宋"/>
          <w:color w:val="auto"/>
          <w:sz w:val="24"/>
          <w:highlight w:val="none"/>
          <w:u w:val="single"/>
        </w:rPr>
        <w:t xml:space="preserve">                           </w:t>
      </w:r>
    </w:p>
    <w:p w14:paraId="111C03D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分包金额（如有）小写：</w:t>
      </w:r>
      <w:r>
        <w:rPr>
          <w:rFonts w:hint="eastAsia" w:ascii="仿宋" w:hAnsi="仿宋" w:eastAsia="仿宋" w:cs="仿宋"/>
          <w:color w:val="auto"/>
          <w:sz w:val="24"/>
          <w:highlight w:val="none"/>
          <w:u w:val="single"/>
        </w:rPr>
        <w:t xml:space="preserve">                   </w:t>
      </w:r>
    </w:p>
    <w:p w14:paraId="542E9C9A">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大写：</w:t>
      </w:r>
      <w:r>
        <w:rPr>
          <w:rFonts w:hint="eastAsia" w:ascii="仿宋" w:hAnsi="仿宋" w:eastAsia="仿宋" w:cs="仿宋"/>
          <w:color w:val="auto"/>
          <w:sz w:val="24"/>
          <w:highlight w:val="none"/>
          <w:u w:val="single"/>
        </w:rPr>
        <w:t xml:space="preserve">                       </w:t>
      </w:r>
    </w:p>
    <w:p w14:paraId="0ACE1682">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（注：固定单价合同应填写单价和最高限价）</w:t>
      </w:r>
    </w:p>
    <w:p w14:paraId="3F6D9D6B">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（2）合同定价方式（采用组合定价方式的，可以勾选多项）：</w:t>
      </w:r>
    </w:p>
    <w:p w14:paraId="01A9BF2E">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iCs/>
          <w:color w:val="auto"/>
          <w:sz w:val="24"/>
          <w:highlight w:val="none"/>
        </w:rPr>
        <w:t xml:space="preserve">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固定总价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固定单价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固定费率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成本补偿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 xml:space="preserve">绩效激励 </w:t>
      </w:r>
      <w:r>
        <w:rPr>
          <w:rFonts w:hint="eastAsia" w:ascii="仿宋" w:hAnsi="仿宋" w:eastAsia="仿宋" w:cs="仿宋"/>
          <w:iCs/>
          <w:color w:val="auto"/>
          <w:sz w:val="24"/>
          <w:highlight w:val="none"/>
        </w:rPr>
        <w:sym w:font="Wingdings" w:char="00A8"/>
      </w:r>
      <w:r>
        <w:rPr>
          <w:rFonts w:hint="eastAsia" w:ascii="仿宋" w:hAnsi="仿宋" w:eastAsia="仿宋" w:cs="仿宋"/>
          <w:iCs/>
          <w:color w:val="auto"/>
          <w:sz w:val="24"/>
          <w:highlight w:val="none"/>
        </w:rPr>
        <w:t>其他</w:t>
      </w:r>
      <w:r>
        <w:rPr>
          <w:rFonts w:hint="eastAsia" w:ascii="仿宋" w:hAnsi="仿宋" w:eastAsia="仿宋" w:cs="仿宋"/>
          <w:color w:val="auto"/>
          <w:sz w:val="24"/>
          <w:highlight w:val="none"/>
          <w:u w:val="single"/>
        </w:rPr>
        <w:t xml:space="preserve">       </w:t>
      </w:r>
    </w:p>
    <w:p w14:paraId="48996F0F">
      <w:pPr>
        <w:pStyle w:val="122"/>
        <w:spacing w:line="40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（3）付款方式（按项目实际勾选填写）：</w:t>
      </w:r>
    </w:p>
    <w:p w14:paraId="4B041991">
      <w:pPr>
        <w:adjustRightInd w:val="0"/>
        <w:snapToGrid w:val="0"/>
        <w:spacing w:line="400" w:lineRule="exact"/>
        <w:ind w:firstLine="720" w:firstLine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全额付款：</w:t>
      </w:r>
      <w:r>
        <w:rPr>
          <w:rFonts w:hint="eastAsia" w:ascii="仿宋" w:hAnsi="仿宋" w:eastAsia="仿宋" w:cs="仿宋"/>
          <w:color w:val="auto"/>
          <w:sz w:val="24"/>
          <w:highlight w:val="none"/>
          <w:u w:val="single"/>
        </w:rPr>
        <w:t xml:space="preserve">     （应明确一次性支付合同款项的条件）                    </w:t>
      </w:r>
    </w:p>
    <w:p w14:paraId="192C7BE5">
      <w:pPr>
        <w:snapToGrid w:val="0"/>
        <w:spacing w:line="4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分期付款：</w:t>
      </w:r>
      <w:r>
        <w:rPr>
          <w:rFonts w:hint="eastAsia" w:ascii="仿宋" w:hAnsi="仿宋" w:eastAsia="仿宋" w:cs="仿宋"/>
          <w:color w:val="auto"/>
          <w:sz w:val="24"/>
          <w:highlight w:val="none"/>
          <w:u w:val="single"/>
        </w:rPr>
        <w:t xml:space="preserve">  （应明确分期支付合同款项的各期比例和支付条件，各期支付条件应与分期履约验收情况挂钩） </w:t>
      </w:r>
      <w:r>
        <w:rPr>
          <w:rFonts w:hint="eastAsia" w:ascii="仿宋" w:hAnsi="仿宋" w:eastAsia="仿宋" w:cs="仿宋"/>
          <w:color w:val="auto"/>
          <w:sz w:val="24"/>
          <w:highlight w:val="none"/>
        </w:rPr>
        <w:t>，其中涉及预付款的：</w:t>
      </w:r>
      <w:r>
        <w:rPr>
          <w:rFonts w:hint="eastAsia" w:ascii="仿宋" w:hAnsi="仿宋" w:eastAsia="仿宋" w:cs="仿宋"/>
          <w:color w:val="auto"/>
          <w:sz w:val="24"/>
          <w:highlight w:val="none"/>
          <w:u w:val="single"/>
        </w:rPr>
        <w:t xml:space="preserve"> （应明确预付款的支付比例和支付条件） </w:t>
      </w:r>
    </w:p>
    <w:p w14:paraId="7A605656">
      <w:pPr>
        <w:adjustRightInd w:val="0"/>
        <w:snapToGrid w:val="0"/>
        <w:spacing w:line="400" w:lineRule="exact"/>
        <w:ind w:firstLine="720" w:firstLineChars="3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成本补偿：</w:t>
      </w:r>
      <w:r>
        <w:rPr>
          <w:rFonts w:hint="eastAsia" w:ascii="仿宋" w:hAnsi="仿宋" w:eastAsia="仿宋" w:cs="仿宋"/>
          <w:color w:val="auto"/>
          <w:sz w:val="24"/>
          <w:highlight w:val="none"/>
          <w:u w:val="single"/>
        </w:rPr>
        <w:t xml:space="preserve">      （应明确按照成本补偿方式的支付方式和支付条件）   </w:t>
      </w:r>
    </w:p>
    <w:p w14:paraId="37522845">
      <w:pPr>
        <w:adjustRightInd w:val="0"/>
        <w:snapToGrid w:val="0"/>
        <w:spacing w:line="400" w:lineRule="exact"/>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绩效激励：</w:t>
      </w:r>
      <w:r>
        <w:rPr>
          <w:rFonts w:hint="eastAsia" w:ascii="仿宋" w:hAnsi="仿宋" w:eastAsia="仿宋" w:cs="仿宋"/>
          <w:color w:val="auto"/>
          <w:sz w:val="24"/>
          <w:highlight w:val="none"/>
          <w:u w:val="single"/>
        </w:rPr>
        <w:t xml:space="preserve">      （应明确按照绩效激励方式的支付方式和支付条件）   </w:t>
      </w:r>
    </w:p>
    <w:p w14:paraId="11BA1F4A">
      <w:pPr>
        <w:numPr>
          <w:ilvl w:val="0"/>
          <w:numId w:val="5"/>
        </w:numPr>
        <w:adjustRightInd w:val="0"/>
        <w:snapToGrid w:val="0"/>
        <w:spacing w:line="400" w:lineRule="exact"/>
        <w:ind w:firstLine="480" w:firstLineChars="200"/>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rPr>
        <w:t>合同履行</w:t>
      </w:r>
    </w:p>
    <w:p w14:paraId="1EFBDF40">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（1）起始日期：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日，完成日期：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6553A244">
      <w:pPr>
        <w:adjustRightInd w:val="0"/>
        <w:snapToGrid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（2）履约地点</w:t>
      </w:r>
      <w:r>
        <w:rPr>
          <w:rFonts w:hint="eastAsia" w:ascii="仿宋" w:hAnsi="仿宋" w:eastAsia="仿宋" w:cs="仿宋"/>
          <w:bCs/>
          <w:color w:val="auto"/>
          <w:sz w:val="24"/>
          <w:highlight w:val="none"/>
        </w:rPr>
        <w:t>：</w:t>
      </w:r>
      <w:r>
        <w:rPr>
          <w:rFonts w:hint="eastAsia" w:ascii="仿宋" w:hAnsi="仿宋" w:eastAsia="仿宋" w:cs="仿宋"/>
          <w:color w:val="auto"/>
          <w:sz w:val="24"/>
          <w:highlight w:val="none"/>
          <w:u w:val="single"/>
        </w:rPr>
        <w:t xml:space="preserve">                             </w:t>
      </w:r>
    </w:p>
    <w:p w14:paraId="7FAA75F9">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（3）履约担保：</w:t>
      </w:r>
      <w:r>
        <w:rPr>
          <w:rFonts w:hint="eastAsia" w:ascii="仿宋" w:hAnsi="仿宋" w:eastAsia="仿宋" w:cs="仿宋"/>
          <w:color w:val="auto"/>
          <w:sz w:val="24"/>
          <w:highlight w:val="none"/>
        </w:rPr>
        <w:t>是否收取履约保证金：</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否</w:t>
      </w:r>
    </w:p>
    <w:p w14:paraId="48AA6FCC">
      <w:pPr>
        <w:pStyle w:val="194"/>
        <w:ind w:firstLine="48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 xml:space="preserve">  </w:t>
      </w:r>
      <w:r>
        <w:rPr>
          <w:rFonts w:hint="eastAsia" w:ascii="仿宋" w:hAnsi="仿宋" w:eastAsia="仿宋" w:cs="仿宋"/>
          <w:color w:val="auto"/>
          <w:sz w:val="24"/>
          <w:szCs w:val="24"/>
          <w:highlight w:val="none"/>
        </w:rPr>
        <w:t xml:space="preserve">  收取履约保证金形式：</w:t>
      </w:r>
      <w:r>
        <w:rPr>
          <w:rFonts w:hint="eastAsia" w:ascii="仿宋" w:hAnsi="仿宋" w:eastAsia="仿宋" w:cs="仿宋"/>
          <w:bCs/>
          <w:color w:val="auto"/>
          <w:sz w:val="24"/>
          <w:szCs w:val="24"/>
          <w:highlight w:val="none"/>
          <w:u w:val="single"/>
        </w:rPr>
        <w:t xml:space="preserve">                            </w:t>
      </w:r>
    </w:p>
    <w:p w14:paraId="4FB1CCD0">
      <w:pPr>
        <w:pStyle w:val="194"/>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收取履约保证金金额：</w:t>
      </w:r>
      <w:r>
        <w:rPr>
          <w:rFonts w:hint="eastAsia" w:ascii="仿宋" w:hAnsi="仿宋" w:eastAsia="仿宋" w:cs="仿宋"/>
          <w:bCs/>
          <w:color w:val="auto"/>
          <w:sz w:val="24"/>
          <w:szCs w:val="24"/>
          <w:highlight w:val="none"/>
          <w:u w:val="single"/>
        </w:rPr>
        <w:t xml:space="preserve">                            </w:t>
      </w:r>
    </w:p>
    <w:p w14:paraId="4161F325">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    履约担保期限：</w:t>
      </w:r>
      <w:r>
        <w:rPr>
          <w:rFonts w:hint="eastAsia" w:ascii="仿宋" w:hAnsi="仿宋" w:eastAsia="仿宋" w:cs="仿宋"/>
          <w:bCs/>
          <w:color w:val="auto"/>
          <w:sz w:val="24"/>
          <w:highlight w:val="none"/>
          <w:u w:val="single"/>
        </w:rPr>
        <w:t xml:space="preserve">                                  </w:t>
      </w:r>
    </w:p>
    <w:p w14:paraId="0A9E03FC">
      <w:pPr>
        <w:adjustRightInd w:val="0"/>
        <w:snapToGrid w:val="0"/>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（4）分期履行要求：</w:t>
      </w:r>
      <w:r>
        <w:rPr>
          <w:rFonts w:hint="eastAsia" w:ascii="仿宋" w:hAnsi="仿宋" w:eastAsia="仿宋" w:cs="仿宋"/>
          <w:bCs/>
          <w:color w:val="auto"/>
          <w:sz w:val="24"/>
          <w:highlight w:val="none"/>
          <w:u w:val="single"/>
        </w:rPr>
        <w:t xml:space="preserve">                                                        </w:t>
      </w:r>
    </w:p>
    <w:p w14:paraId="6D81818B">
      <w:pPr>
        <w:adjustRightInd w:val="0"/>
        <w:snapToGrid w:val="0"/>
        <w:spacing w:line="40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bCs/>
          <w:color w:val="auto"/>
          <w:sz w:val="24"/>
          <w:highlight w:val="none"/>
        </w:rPr>
        <w:t>（5）风险处置措施和替代方案：</w:t>
      </w:r>
      <w:r>
        <w:rPr>
          <w:rFonts w:hint="eastAsia" w:ascii="仿宋" w:hAnsi="仿宋" w:eastAsia="仿宋" w:cs="仿宋"/>
          <w:color w:val="auto"/>
          <w:sz w:val="24"/>
          <w:highlight w:val="none"/>
          <w:u w:val="single"/>
        </w:rPr>
        <w:t xml:space="preserve">                                              </w:t>
      </w:r>
    </w:p>
    <w:p w14:paraId="7D87B810">
      <w:pPr>
        <w:numPr>
          <w:ilvl w:val="0"/>
          <w:numId w:val="5"/>
        </w:numPr>
        <w:adjustRightInd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合同验收</w:t>
      </w:r>
    </w:p>
    <w:p w14:paraId="361604C8">
      <w:pPr>
        <w:numPr>
          <w:ilvl w:val="0"/>
          <w:numId w:val="7"/>
        </w:numPr>
        <w:adjustRightInd w:val="0"/>
        <w:snapToGrid w:val="0"/>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验收组织方式：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 xml:space="preserve">自行组织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委托第三方组织</w:t>
      </w:r>
    </w:p>
    <w:p w14:paraId="11877AA8">
      <w:pPr>
        <w:adjustRightInd w:val="0"/>
        <w:snapToGrid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验收主体：</w:t>
      </w:r>
      <w:r>
        <w:rPr>
          <w:rFonts w:hint="eastAsia" w:ascii="仿宋" w:hAnsi="仿宋" w:eastAsia="仿宋" w:cs="仿宋"/>
          <w:bCs/>
          <w:color w:val="auto"/>
          <w:sz w:val="24"/>
          <w:highlight w:val="none"/>
          <w:u w:val="single"/>
        </w:rPr>
        <w:t xml:space="preserve">                  </w:t>
      </w:r>
    </w:p>
    <w:p w14:paraId="07A81650">
      <w:pPr>
        <w:adjustRightInd w:val="0"/>
        <w:snapToGrid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是否邀请本项目的其他供应商参加验收：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否</w:t>
      </w:r>
    </w:p>
    <w:p w14:paraId="1B0DD84A">
      <w:pPr>
        <w:adjustRightInd w:val="0"/>
        <w:snapToGrid w:val="0"/>
        <w:spacing w:line="400" w:lineRule="exact"/>
        <w:ind w:firstLine="960" w:firstLine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是否邀请专家参加验收：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否</w:t>
      </w:r>
    </w:p>
    <w:p w14:paraId="6A19D7F1">
      <w:pPr>
        <w:adjustRightInd w:val="0"/>
        <w:snapToGrid w:val="0"/>
        <w:spacing w:line="400" w:lineRule="exact"/>
        <w:ind w:firstLine="960" w:firstLine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是否邀请服务对象参加验收：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否</w:t>
      </w:r>
    </w:p>
    <w:p w14:paraId="0020071F">
      <w:pPr>
        <w:adjustRightInd w:val="0"/>
        <w:snapToGrid w:val="0"/>
        <w:spacing w:line="400" w:lineRule="exact"/>
        <w:ind w:firstLine="960" w:firstLine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是否邀请第三方检测机构参加验收：</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 xml:space="preserve">是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否</w:t>
      </w:r>
    </w:p>
    <w:p w14:paraId="30B54529">
      <w:pPr>
        <w:adjustRightInd w:val="0"/>
        <w:snapToGrid w:val="0"/>
        <w:spacing w:line="400" w:lineRule="exact"/>
        <w:ind w:firstLine="960" w:firstLine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是否进行抽查检测：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是，抽查比例：</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否</w:t>
      </w:r>
    </w:p>
    <w:p w14:paraId="153F510F">
      <w:pPr>
        <w:adjustRightInd w:val="0"/>
        <w:snapToGrid w:val="0"/>
        <w:spacing w:line="400" w:lineRule="exact"/>
        <w:ind w:firstLine="960" w:firstLineChars="4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是否存在破坏性检测：</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是，</w:t>
      </w:r>
      <w:r>
        <w:rPr>
          <w:rFonts w:hint="eastAsia" w:ascii="仿宋" w:hAnsi="仿宋" w:eastAsia="仿宋" w:cs="仿宋"/>
          <w:bCs/>
          <w:color w:val="auto"/>
          <w:sz w:val="24"/>
          <w:highlight w:val="none"/>
          <w:u w:val="single"/>
        </w:rPr>
        <w:t>（应明确对被破坏的检测产品的处理方式）</w:t>
      </w:r>
    </w:p>
    <w:p w14:paraId="449522FD">
      <w:pPr>
        <w:adjustRightInd w:val="0"/>
        <w:snapToGrid w:val="0"/>
        <w:spacing w:line="400" w:lineRule="exact"/>
        <w:ind w:firstLine="960" w:firstLineChars="4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否</w:t>
      </w:r>
    </w:p>
    <w:p w14:paraId="493A0721">
      <w:pPr>
        <w:adjustRightInd w:val="0"/>
        <w:snapToGrid w:val="0"/>
        <w:spacing w:line="400" w:lineRule="exact"/>
        <w:ind w:firstLine="960" w:firstLineChars="4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验收组织的其他事项：</w:t>
      </w:r>
      <w:r>
        <w:rPr>
          <w:rFonts w:hint="eastAsia" w:ascii="仿宋" w:hAnsi="仿宋" w:eastAsia="仿宋" w:cs="仿宋"/>
          <w:bCs/>
          <w:color w:val="auto"/>
          <w:sz w:val="24"/>
          <w:highlight w:val="none"/>
          <w:u w:val="single"/>
        </w:rPr>
        <w:t xml:space="preserve">                </w:t>
      </w:r>
    </w:p>
    <w:p w14:paraId="532465D5">
      <w:pPr>
        <w:adjustRightInd w:val="0"/>
        <w:snapToGrid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（2）履约验收时间：</w:t>
      </w:r>
      <w:r>
        <w:rPr>
          <w:rFonts w:hint="eastAsia" w:ascii="仿宋" w:hAnsi="仿宋" w:eastAsia="仿宋" w:cs="仿宋"/>
          <w:bCs/>
          <w:color w:val="auto"/>
          <w:sz w:val="24"/>
          <w:highlight w:val="none"/>
          <w:u w:val="single"/>
        </w:rPr>
        <w:t>（计划于何时验收/供应商提出验收申请之日起   日内组织验收）</w:t>
      </w:r>
    </w:p>
    <w:p w14:paraId="297FCEF7">
      <w:pPr>
        <w:adjustRightInd w:val="0"/>
        <w:snapToGrid w:val="0"/>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（3）履约验收方式：</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一次性验收</w:t>
      </w:r>
    </w:p>
    <w:p w14:paraId="318FF0EE">
      <w:pPr>
        <w:adjustRightInd w:val="0"/>
        <w:snapToGrid w:val="0"/>
        <w:spacing w:line="40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r>
        <w:rPr>
          <w:rFonts w:hint="eastAsia" w:ascii="仿宋" w:hAnsi="仿宋" w:eastAsia="仿宋" w:cs="仿宋"/>
          <w:color w:val="auto"/>
          <w:sz w:val="24"/>
          <w:highlight w:val="none"/>
        </w:rPr>
        <w:sym w:font="Wingdings" w:char="00A8"/>
      </w:r>
      <w:r>
        <w:rPr>
          <w:rFonts w:hint="eastAsia" w:ascii="仿宋" w:hAnsi="仿宋" w:eastAsia="仿宋" w:cs="仿宋"/>
          <w:bCs/>
          <w:color w:val="auto"/>
          <w:sz w:val="24"/>
          <w:highlight w:val="none"/>
        </w:rPr>
        <w:t>分期/分项验收：</w:t>
      </w:r>
      <w:r>
        <w:rPr>
          <w:rFonts w:hint="eastAsia" w:ascii="仿宋" w:hAnsi="仿宋" w:eastAsia="仿宋" w:cs="仿宋"/>
          <w:bCs/>
          <w:color w:val="auto"/>
          <w:sz w:val="24"/>
          <w:highlight w:val="none"/>
          <w:u w:val="single"/>
        </w:rPr>
        <w:t xml:space="preserve"> （应明确分期</w:t>
      </w:r>
      <w:r>
        <w:rPr>
          <w:rFonts w:hint="eastAsia" w:ascii="仿宋" w:hAnsi="仿宋" w:eastAsia="仿宋" w:cs="仿宋"/>
          <w:bCs/>
          <w:color w:val="auto"/>
          <w:sz w:val="24"/>
          <w:highlight w:val="none"/>
          <w:u w:val="single"/>
          <w:lang w:val="en"/>
        </w:rPr>
        <w:t>/分项验收的工作安排</w:t>
      </w:r>
      <w:r>
        <w:rPr>
          <w:rFonts w:hint="eastAsia" w:ascii="仿宋" w:hAnsi="仿宋" w:eastAsia="仿宋" w:cs="仿宋"/>
          <w:bCs/>
          <w:color w:val="auto"/>
          <w:sz w:val="24"/>
          <w:highlight w:val="none"/>
          <w:u w:val="single"/>
        </w:rPr>
        <w:t xml:space="preserve">）  </w:t>
      </w:r>
    </w:p>
    <w:p w14:paraId="68C7BD7D">
      <w:pPr>
        <w:adjustRightInd w:val="0"/>
        <w:snapToGrid w:val="0"/>
        <w:spacing w:line="40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（4）履约验收程序：</w:t>
      </w:r>
      <w:r>
        <w:rPr>
          <w:rFonts w:hint="eastAsia" w:ascii="仿宋" w:hAnsi="仿宋" w:eastAsia="仿宋" w:cs="仿宋"/>
          <w:bCs/>
          <w:color w:val="auto"/>
          <w:sz w:val="24"/>
          <w:highlight w:val="none"/>
          <w:u w:val="single"/>
        </w:rPr>
        <w:t xml:space="preserve">                                         </w:t>
      </w:r>
    </w:p>
    <w:p w14:paraId="5EFEB67B">
      <w:pPr>
        <w:adjustRightInd w:val="0"/>
        <w:snapToGrid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（5）履约验收的内容：</w:t>
      </w:r>
      <w:r>
        <w:rPr>
          <w:rFonts w:hint="eastAsia" w:ascii="仿宋" w:hAnsi="仿宋" w:eastAsia="仿宋" w:cs="仿宋"/>
          <w:bCs/>
          <w:color w:val="auto"/>
          <w:sz w:val="24"/>
          <w:highlight w:val="none"/>
          <w:u w:val="single"/>
        </w:rPr>
        <w:t xml:space="preserve"> （应当包括每一项技术和商务要求的履约情况，特别是落实政府采购扶持中小企业，支持绿色发展和乡村振兴等政策情况）                     </w:t>
      </w:r>
    </w:p>
    <w:p w14:paraId="46A5A4AC">
      <w:pPr>
        <w:adjustRightInd w:val="0"/>
        <w:snapToGrid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（6）履约验收标准：</w:t>
      </w:r>
      <w:r>
        <w:rPr>
          <w:rFonts w:hint="eastAsia" w:ascii="仿宋" w:hAnsi="仿宋" w:eastAsia="仿宋" w:cs="仿宋"/>
          <w:bCs/>
          <w:color w:val="auto"/>
          <w:sz w:val="24"/>
          <w:highlight w:val="none"/>
          <w:u w:val="single"/>
        </w:rPr>
        <w:t xml:space="preserve">                                         </w:t>
      </w:r>
    </w:p>
    <w:p w14:paraId="0108C59D">
      <w:pPr>
        <w:pStyle w:val="194"/>
        <w:ind w:firstLine="48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rPr>
        <w:t>（7）是否以采购活动中供应商提供的样品作为参考：</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 xml:space="preserve">是  </w:t>
      </w:r>
      <w:r>
        <w:rPr>
          <w:rFonts w:hint="eastAsia" w:ascii="仿宋" w:hAnsi="仿宋" w:eastAsia="仿宋" w:cs="仿宋"/>
          <w:color w:val="auto"/>
          <w:sz w:val="24"/>
          <w:szCs w:val="24"/>
          <w:highlight w:val="none"/>
        </w:rPr>
        <w:sym w:font="Wingdings" w:char="00A8"/>
      </w:r>
      <w:r>
        <w:rPr>
          <w:rFonts w:hint="eastAsia" w:ascii="仿宋" w:hAnsi="仿宋" w:eastAsia="仿宋" w:cs="仿宋"/>
          <w:bCs/>
          <w:color w:val="auto"/>
          <w:sz w:val="24"/>
          <w:szCs w:val="24"/>
          <w:highlight w:val="none"/>
        </w:rPr>
        <w:t>否</w:t>
      </w:r>
    </w:p>
    <w:p w14:paraId="7264F291">
      <w:pPr>
        <w:adjustRightInd w:val="0"/>
        <w:snapToGrid w:val="0"/>
        <w:spacing w:line="400" w:lineRule="exact"/>
        <w:ind w:firstLine="480" w:firstLineChars="200"/>
        <w:rPr>
          <w:rFonts w:hint="eastAsia" w:ascii="仿宋" w:hAnsi="仿宋" w:eastAsia="仿宋" w:cs="仿宋"/>
          <w:bCs/>
          <w:color w:val="auto"/>
          <w:sz w:val="24"/>
          <w:highlight w:val="none"/>
          <w:u w:val="single"/>
        </w:rPr>
      </w:pPr>
      <w:r>
        <w:rPr>
          <w:rFonts w:hint="eastAsia" w:ascii="仿宋" w:hAnsi="仿宋" w:eastAsia="仿宋" w:cs="仿宋"/>
          <w:bCs/>
          <w:color w:val="auto"/>
          <w:sz w:val="24"/>
          <w:highlight w:val="none"/>
        </w:rPr>
        <w:t>（8）履约验收其他事项：</w:t>
      </w:r>
      <w:r>
        <w:rPr>
          <w:rFonts w:hint="eastAsia" w:ascii="仿宋" w:hAnsi="仿宋" w:eastAsia="仿宋" w:cs="仿宋"/>
          <w:bCs/>
          <w:color w:val="auto"/>
          <w:sz w:val="24"/>
          <w:highlight w:val="none"/>
          <w:u w:val="single"/>
        </w:rPr>
        <w:t xml:space="preserve">      （产权过户登记等）          </w:t>
      </w:r>
    </w:p>
    <w:p w14:paraId="53815E36">
      <w:pPr>
        <w:numPr>
          <w:ilvl w:val="0"/>
          <w:numId w:val="5"/>
        </w:numPr>
        <w:adjustRightInd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组成合同的文件</w:t>
      </w:r>
    </w:p>
    <w:p w14:paraId="4CDC81E9">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本协议书与下列文件一起构成合同文件，如下述文件之间有任何抵触、矛盾或歧义，应按以下顺序解释：</w:t>
      </w:r>
    </w:p>
    <w:p w14:paraId="22B6874A">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（1）政府采购合同协议书及其变更、补充协议</w:t>
      </w:r>
    </w:p>
    <w:p w14:paraId="47198754">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（2）政府采购合同专用条款</w:t>
      </w:r>
    </w:p>
    <w:p w14:paraId="53EC1AFD">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（3）政府采购合同通用条款</w:t>
      </w:r>
    </w:p>
    <w:p w14:paraId="49EA1011">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（4）中标（成交）通知书</w:t>
      </w:r>
    </w:p>
    <w:p w14:paraId="786079DD">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（5）投标（响应）文件</w:t>
      </w:r>
    </w:p>
    <w:p w14:paraId="0F5BB066">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（6）采购文件</w:t>
      </w:r>
    </w:p>
    <w:p w14:paraId="78B9D10E">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（7）有关技术文件，图纸</w:t>
      </w:r>
    </w:p>
    <w:p w14:paraId="2F1A3E3A">
      <w:pPr>
        <w:pStyle w:val="194"/>
        <w:ind w:firstLine="480"/>
        <w:rPr>
          <w:rFonts w:hint="eastAsia" w:ascii="仿宋" w:hAnsi="仿宋" w:eastAsia="仿宋" w:cs="仿宋"/>
          <w:color w:val="auto"/>
          <w:kern w:val="2"/>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kern w:val="2"/>
          <w:sz w:val="24"/>
          <w:szCs w:val="24"/>
          <w:highlight w:val="none"/>
        </w:rPr>
        <w:t>国家法律、行政法规和规章制度规定或合同约定的作为合同组成部分的其他文件</w:t>
      </w:r>
    </w:p>
    <w:p w14:paraId="209FAECD">
      <w:pPr>
        <w:numPr>
          <w:ilvl w:val="0"/>
          <w:numId w:val="5"/>
        </w:numPr>
        <w:adjustRightInd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合同生效</w:t>
      </w:r>
    </w:p>
    <w:p w14:paraId="72688701">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本合同自</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生效。</w:t>
      </w:r>
    </w:p>
    <w:p w14:paraId="2708F657">
      <w:pPr>
        <w:numPr>
          <w:ilvl w:val="0"/>
          <w:numId w:val="5"/>
        </w:numPr>
        <w:adjustRightInd w:val="0"/>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合同份数</w:t>
      </w:r>
    </w:p>
    <w:p w14:paraId="3718C9A0">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本合同一式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份，甲方执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份，乙方执</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份，均具有同等法律效力。</w:t>
      </w:r>
    </w:p>
    <w:p w14:paraId="392FE86E">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合同订立时间：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C00CEC0">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合同订立地点：</w:t>
      </w:r>
      <w:r>
        <w:rPr>
          <w:rFonts w:hint="eastAsia" w:ascii="仿宋" w:hAnsi="仿宋" w:eastAsia="仿宋" w:cs="仿宋"/>
          <w:color w:val="auto"/>
          <w:sz w:val="24"/>
          <w:highlight w:val="none"/>
          <w:u w:val="single"/>
        </w:rPr>
        <w:t xml:space="preserve">                           </w:t>
      </w:r>
    </w:p>
    <w:p w14:paraId="70E13791">
      <w:pPr>
        <w:adjustRightInd w:val="0"/>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附件：具体标的及其技术要求和商务要求、联合协议、分包意向协议等。</w:t>
      </w:r>
    </w:p>
    <w:p w14:paraId="0DEE6AC2">
      <w:pPr>
        <w:pStyle w:val="122"/>
        <w:spacing w:line="400" w:lineRule="exact"/>
        <w:ind w:firstLine="480"/>
        <w:rPr>
          <w:rFonts w:hint="eastAsia" w:ascii="仿宋" w:hAnsi="仿宋" w:eastAsia="仿宋" w:cs="仿宋"/>
          <w:color w:val="auto"/>
          <w:sz w:val="24"/>
          <w:szCs w:val="24"/>
          <w:highlight w:val="none"/>
        </w:rPr>
      </w:pPr>
    </w:p>
    <w:p w14:paraId="408159BC">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44FDEF1">
      <w:pPr>
        <w:pStyle w:val="122"/>
        <w:ind w:firstLine="480"/>
        <w:rPr>
          <w:rFonts w:hint="eastAsia" w:ascii="仿宋" w:hAnsi="仿宋" w:eastAsia="仿宋" w:cs="仿宋"/>
          <w:color w:val="auto"/>
          <w:sz w:val="24"/>
          <w:szCs w:val="24"/>
          <w:highlight w:val="none"/>
        </w:rPr>
      </w:pPr>
    </w:p>
    <w:tbl>
      <w:tblPr>
        <w:tblStyle w:val="38"/>
        <w:tblW w:w="4927" w:type="pct"/>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autofit"/>
        <w:tblCellMar>
          <w:top w:w="0" w:type="dxa"/>
          <w:left w:w="108" w:type="dxa"/>
          <w:bottom w:w="0" w:type="dxa"/>
          <w:right w:w="108" w:type="dxa"/>
        </w:tblCellMar>
      </w:tblPr>
      <w:tblGrid>
        <w:gridCol w:w="2110"/>
        <w:gridCol w:w="2693"/>
        <w:gridCol w:w="2209"/>
        <w:gridCol w:w="2363"/>
      </w:tblGrid>
      <w:tr w14:paraId="6F6EA8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2562" w:type="pct"/>
            <w:gridSpan w:val="2"/>
            <w:tcBorders>
              <w:bottom w:val="single" w:color="auto" w:sz="2" w:space="0"/>
              <w:right w:val="single" w:color="auto" w:sz="2" w:space="0"/>
            </w:tcBorders>
            <w:noWrap w:val="0"/>
            <w:vAlign w:val="center"/>
          </w:tcPr>
          <w:p w14:paraId="12DA177C">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甲方（采购人、受采购人委托签订合同的单位或采购文件约定的合同甲方）</w:t>
            </w:r>
          </w:p>
        </w:tc>
        <w:tc>
          <w:tcPr>
            <w:tcW w:w="2437" w:type="pct"/>
            <w:gridSpan w:val="2"/>
            <w:tcBorders>
              <w:left w:val="single" w:color="auto" w:sz="2" w:space="0"/>
              <w:bottom w:val="single" w:color="auto" w:sz="2" w:space="0"/>
            </w:tcBorders>
            <w:noWrap w:val="0"/>
            <w:vAlign w:val="center"/>
          </w:tcPr>
          <w:p w14:paraId="7CC512A0">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乙方（供应商）</w:t>
            </w:r>
          </w:p>
        </w:tc>
      </w:tr>
      <w:tr w14:paraId="3405F59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126" w:type="pct"/>
            <w:tcBorders>
              <w:top w:val="single" w:color="auto" w:sz="2" w:space="0"/>
              <w:bottom w:val="single" w:color="auto" w:sz="2" w:space="0"/>
              <w:right w:val="single" w:color="auto" w:sz="2" w:space="0"/>
            </w:tcBorders>
            <w:noWrap w:val="0"/>
            <w:vAlign w:val="center"/>
          </w:tcPr>
          <w:p w14:paraId="3D9F77B9">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单位名称（公章或合同章）</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BD0940F">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0A93407B">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单位名称（公章或合同章）</w:t>
            </w:r>
          </w:p>
        </w:tc>
        <w:tc>
          <w:tcPr>
            <w:tcW w:w="1259" w:type="pct"/>
            <w:tcBorders>
              <w:top w:val="single" w:color="auto" w:sz="2" w:space="0"/>
              <w:left w:val="single" w:color="auto" w:sz="2" w:space="0"/>
              <w:bottom w:val="single" w:color="auto" w:sz="2" w:space="0"/>
            </w:tcBorders>
            <w:noWrap w:val="0"/>
            <w:vAlign w:val="center"/>
          </w:tcPr>
          <w:p w14:paraId="2DFAE68A">
            <w:pPr>
              <w:adjustRightInd w:val="0"/>
              <w:snapToGrid w:val="0"/>
              <w:spacing w:line="300" w:lineRule="exact"/>
              <w:jc w:val="center"/>
              <w:rPr>
                <w:rFonts w:hint="eastAsia" w:ascii="仿宋" w:hAnsi="仿宋" w:eastAsia="仿宋" w:cs="仿宋"/>
                <w:color w:val="auto"/>
                <w:spacing w:val="20"/>
                <w:sz w:val="24"/>
                <w:highlight w:val="none"/>
              </w:rPr>
            </w:pPr>
          </w:p>
        </w:tc>
      </w:tr>
      <w:tr w14:paraId="7072B98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126" w:type="pct"/>
            <w:vMerge w:val="restart"/>
            <w:tcBorders>
              <w:top w:val="single" w:color="auto" w:sz="2" w:space="0"/>
              <w:right w:val="single" w:color="auto" w:sz="2" w:space="0"/>
            </w:tcBorders>
            <w:noWrap w:val="0"/>
            <w:vAlign w:val="center"/>
          </w:tcPr>
          <w:p w14:paraId="058DF057">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6BEA8524">
            <w:pPr>
              <w:adjustRightInd w:val="0"/>
              <w:snapToGrid w:val="0"/>
              <w:spacing w:line="300" w:lineRule="exact"/>
              <w:ind w:firstLine="115" w:firstLineChars="48"/>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或其委托代理人（签章）</w:t>
            </w:r>
          </w:p>
        </w:tc>
        <w:tc>
          <w:tcPr>
            <w:tcW w:w="1436" w:type="pct"/>
            <w:vMerge w:val="restart"/>
            <w:tcBorders>
              <w:top w:val="single" w:color="auto" w:sz="2" w:space="0"/>
              <w:left w:val="single" w:color="auto" w:sz="2" w:space="0"/>
              <w:right w:val="single" w:color="auto" w:sz="2" w:space="0"/>
            </w:tcBorders>
            <w:noWrap w:val="0"/>
            <w:vAlign w:val="center"/>
          </w:tcPr>
          <w:p w14:paraId="7775E8A9">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right w:val="single" w:color="auto" w:sz="2" w:space="0"/>
            </w:tcBorders>
            <w:noWrap w:val="0"/>
            <w:vAlign w:val="center"/>
          </w:tcPr>
          <w:p w14:paraId="25784196">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w:t>
            </w:r>
          </w:p>
          <w:p w14:paraId="2B4BF64F">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或其委托代理人（签章）</w:t>
            </w:r>
          </w:p>
        </w:tc>
        <w:tc>
          <w:tcPr>
            <w:tcW w:w="1259" w:type="pct"/>
            <w:tcBorders>
              <w:top w:val="single" w:color="auto" w:sz="2" w:space="0"/>
              <w:left w:val="single" w:color="auto" w:sz="2" w:space="0"/>
              <w:bottom w:val="single" w:color="auto" w:sz="2" w:space="0"/>
            </w:tcBorders>
            <w:noWrap w:val="0"/>
            <w:vAlign w:val="center"/>
          </w:tcPr>
          <w:p w14:paraId="23ED3401">
            <w:pPr>
              <w:adjustRightInd w:val="0"/>
              <w:snapToGrid w:val="0"/>
              <w:spacing w:line="300" w:lineRule="exact"/>
              <w:jc w:val="center"/>
              <w:rPr>
                <w:rFonts w:hint="eastAsia" w:ascii="仿宋" w:hAnsi="仿宋" w:eastAsia="仿宋" w:cs="仿宋"/>
                <w:color w:val="auto"/>
                <w:sz w:val="24"/>
                <w:highlight w:val="none"/>
              </w:rPr>
            </w:pPr>
          </w:p>
        </w:tc>
      </w:tr>
      <w:tr w14:paraId="2A4AFC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vMerge w:val="continue"/>
            <w:tcBorders>
              <w:bottom w:val="single" w:color="auto" w:sz="2" w:space="0"/>
              <w:right w:val="single" w:color="auto" w:sz="2" w:space="0"/>
            </w:tcBorders>
            <w:noWrap w:val="0"/>
            <w:vAlign w:val="center"/>
          </w:tcPr>
          <w:p w14:paraId="0283E880">
            <w:pPr>
              <w:adjustRightInd w:val="0"/>
              <w:snapToGrid w:val="0"/>
              <w:spacing w:line="300" w:lineRule="exact"/>
              <w:jc w:val="center"/>
              <w:rPr>
                <w:rFonts w:hint="eastAsia" w:ascii="仿宋" w:hAnsi="仿宋" w:eastAsia="仿宋" w:cs="仿宋"/>
                <w:color w:val="auto"/>
                <w:sz w:val="24"/>
                <w:highlight w:val="none"/>
              </w:rPr>
            </w:pPr>
          </w:p>
        </w:tc>
        <w:tc>
          <w:tcPr>
            <w:tcW w:w="1436" w:type="pct"/>
            <w:vMerge w:val="continue"/>
            <w:tcBorders>
              <w:left w:val="single" w:color="auto" w:sz="2" w:space="0"/>
              <w:bottom w:val="single" w:color="auto" w:sz="2" w:space="0"/>
              <w:right w:val="single" w:color="auto" w:sz="2" w:space="0"/>
            </w:tcBorders>
            <w:noWrap w:val="0"/>
            <w:vAlign w:val="center"/>
          </w:tcPr>
          <w:p w14:paraId="2E03ACEC">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4BAA577">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拥有者性别</w:t>
            </w:r>
          </w:p>
        </w:tc>
        <w:tc>
          <w:tcPr>
            <w:tcW w:w="1259" w:type="pct"/>
            <w:tcBorders>
              <w:top w:val="single" w:color="auto" w:sz="2" w:space="0"/>
              <w:left w:val="single" w:color="auto" w:sz="2" w:space="0"/>
              <w:bottom w:val="single" w:color="auto" w:sz="2" w:space="0"/>
            </w:tcBorders>
            <w:noWrap w:val="0"/>
            <w:vAlign w:val="center"/>
          </w:tcPr>
          <w:p w14:paraId="3C1B6C70">
            <w:pPr>
              <w:adjustRightInd w:val="0"/>
              <w:snapToGrid w:val="0"/>
              <w:spacing w:line="300" w:lineRule="exact"/>
              <w:jc w:val="center"/>
              <w:rPr>
                <w:rFonts w:hint="eastAsia" w:ascii="仿宋" w:hAnsi="仿宋" w:eastAsia="仿宋" w:cs="仿宋"/>
                <w:color w:val="auto"/>
                <w:spacing w:val="20"/>
                <w:sz w:val="24"/>
                <w:highlight w:val="none"/>
              </w:rPr>
            </w:pPr>
          </w:p>
        </w:tc>
      </w:tr>
      <w:tr w14:paraId="17BA51D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288E05CB">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0B9E10E">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5BD71E0">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住  所</w:t>
            </w:r>
          </w:p>
        </w:tc>
        <w:tc>
          <w:tcPr>
            <w:tcW w:w="1259" w:type="pct"/>
            <w:tcBorders>
              <w:top w:val="single" w:color="auto" w:sz="2" w:space="0"/>
              <w:left w:val="single" w:color="auto" w:sz="2" w:space="0"/>
              <w:bottom w:val="single" w:color="auto" w:sz="2" w:space="0"/>
            </w:tcBorders>
            <w:noWrap w:val="0"/>
            <w:vAlign w:val="center"/>
          </w:tcPr>
          <w:p w14:paraId="0991FC91">
            <w:pPr>
              <w:adjustRightInd w:val="0"/>
              <w:snapToGrid w:val="0"/>
              <w:spacing w:line="300" w:lineRule="exact"/>
              <w:jc w:val="center"/>
              <w:rPr>
                <w:rFonts w:hint="eastAsia" w:ascii="仿宋" w:hAnsi="仿宋" w:eastAsia="仿宋" w:cs="仿宋"/>
                <w:color w:val="auto"/>
                <w:spacing w:val="20"/>
                <w:sz w:val="24"/>
                <w:highlight w:val="none"/>
              </w:rPr>
            </w:pPr>
          </w:p>
        </w:tc>
      </w:tr>
      <w:tr w14:paraId="06E5328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54D83E4">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808542D">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10839BB0">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 系 人</w:t>
            </w:r>
          </w:p>
        </w:tc>
        <w:tc>
          <w:tcPr>
            <w:tcW w:w="1259" w:type="pct"/>
            <w:tcBorders>
              <w:top w:val="single" w:color="auto" w:sz="2" w:space="0"/>
              <w:left w:val="single" w:color="auto" w:sz="2" w:space="0"/>
              <w:bottom w:val="single" w:color="auto" w:sz="2" w:space="0"/>
            </w:tcBorders>
            <w:noWrap w:val="0"/>
            <w:vAlign w:val="center"/>
          </w:tcPr>
          <w:p w14:paraId="1E388610">
            <w:pPr>
              <w:adjustRightInd w:val="0"/>
              <w:snapToGrid w:val="0"/>
              <w:spacing w:line="300" w:lineRule="exact"/>
              <w:jc w:val="center"/>
              <w:rPr>
                <w:rFonts w:hint="eastAsia" w:ascii="仿宋" w:hAnsi="仿宋" w:eastAsia="仿宋" w:cs="仿宋"/>
                <w:color w:val="auto"/>
                <w:spacing w:val="20"/>
                <w:sz w:val="24"/>
                <w:highlight w:val="none"/>
              </w:rPr>
            </w:pPr>
          </w:p>
        </w:tc>
      </w:tr>
      <w:tr w14:paraId="4ED751A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9751044">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5E74132">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481AECB">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p>
        </w:tc>
        <w:tc>
          <w:tcPr>
            <w:tcW w:w="1259" w:type="pct"/>
            <w:tcBorders>
              <w:top w:val="single" w:color="auto" w:sz="2" w:space="0"/>
              <w:left w:val="single" w:color="auto" w:sz="2" w:space="0"/>
              <w:bottom w:val="single" w:color="auto" w:sz="2" w:space="0"/>
            </w:tcBorders>
            <w:noWrap w:val="0"/>
            <w:vAlign w:val="center"/>
          </w:tcPr>
          <w:p w14:paraId="67B10427">
            <w:pPr>
              <w:adjustRightInd w:val="0"/>
              <w:snapToGrid w:val="0"/>
              <w:spacing w:line="300" w:lineRule="exact"/>
              <w:jc w:val="center"/>
              <w:rPr>
                <w:rFonts w:hint="eastAsia" w:ascii="仿宋" w:hAnsi="仿宋" w:eastAsia="仿宋" w:cs="仿宋"/>
                <w:color w:val="auto"/>
                <w:spacing w:val="20"/>
                <w:sz w:val="24"/>
                <w:highlight w:val="none"/>
              </w:rPr>
            </w:pPr>
          </w:p>
        </w:tc>
      </w:tr>
      <w:tr w14:paraId="79ECC97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EB084B3">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62A6953C">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5D2F2BD">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通信地址</w:t>
            </w:r>
          </w:p>
        </w:tc>
        <w:tc>
          <w:tcPr>
            <w:tcW w:w="1259" w:type="pct"/>
            <w:tcBorders>
              <w:top w:val="single" w:color="auto" w:sz="2" w:space="0"/>
              <w:left w:val="single" w:color="auto" w:sz="2" w:space="0"/>
              <w:bottom w:val="single" w:color="auto" w:sz="2" w:space="0"/>
            </w:tcBorders>
            <w:noWrap w:val="0"/>
            <w:vAlign w:val="center"/>
          </w:tcPr>
          <w:p w14:paraId="1CEC7F92">
            <w:pPr>
              <w:adjustRightInd w:val="0"/>
              <w:snapToGrid w:val="0"/>
              <w:spacing w:line="300" w:lineRule="exact"/>
              <w:jc w:val="center"/>
              <w:rPr>
                <w:rFonts w:hint="eastAsia" w:ascii="仿宋" w:hAnsi="仿宋" w:eastAsia="仿宋" w:cs="仿宋"/>
                <w:color w:val="auto"/>
                <w:spacing w:val="20"/>
                <w:sz w:val="24"/>
                <w:highlight w:val="none"/>
              </w:rPr>
            </w:pPr>
          </w:p>
        </w:tc>
      </w:tr>
      <w:tr w14:paraId="3025337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61211C3E">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1EFF13E8">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2DF34B2B">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邮政编码</w:t>
            </w:r>
          </w:p>
        </w:tc>
        <w:tc>
          <w:tcPr>
            <w:tcW w:w="1259" w:type="pct"/>
            <w:tcBorders>
              <w:top w:val="single" w:color="auto" w:sz="2" w:space="0"/>
              <w:left w:val="single" w:color="auto" w:sz="2" w:space="0"/>
              <w:bottom w:val="single" w:color="auto" w:sz="2" w:space="0"/>
            </w:tcBorders>
            <w:noWrap w:val="0"/>
            <w:vAlign w:val="center"/>
          </w:tcPr>
          <w:p w14:paraId="1D931242">
            <w:pPr>
              <w:adjustRightInd w:val="0"/>
              <w:snapToGrid w:val="0"/>
              <w:spacing w:line="300" w:lineRule="exact"/>
              <w:jc w:val="center"/>
              <w:rPr>
                <w:rFonts w:hint="eastAsia" w:ascii="仿宋" w:hAnsi="仿宋" w:eastAsia="仿宋" w:cs="仿宋"/>
                <w:color w:val="auto"/>
                <w:spacing w:val="20"/>
                <w:sz w:val="24"/>
                <w:highlight w:val="none"/>
              </w:rPr>
            </w:pPr>
          </w:p>
        </w:tc>
      </w:tr>
      <w:tr w14:paraId="772DA1E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515CC80C">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7701DB9B">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5CCFD0C2">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电子邮箱</w:t>
            </w:r>
          </w:p>
        </w:tc>
        <w:tc>
          <w:tcPr>
            <w:tcW w:w="1259" w:type="pct"/>
            <w:tcBorders>
              <w:top w:val="single" w:color="auto" w:sz="2" w:space="0"/>
              <w:left w:val="single" w:color="auto" w:sz="2" w:space="0"/>
              <w:bottom w:val="single" w:color="auto" w:sz="2" w:space="0"/>
            </w:tcBorders>
            <w:noWrap w:val="0"/>
            <w:vAlign w:val="center"/>
          </w:tcPr>
          <w:p w14:paraId="5B1D2605">
            <w:pPr>
              <w:adjustRightInd w:val="0"/>
              <w:snapToGrid w:val="0"/>
              <w:spacing w:line="300" w:lineRule="exact"/>
              <w:jc w:val="center"/>
              <w:rPr>
                <w:rFonts w:hint="eastAsia" w:ascii="仿宋" w:hAnsi="仿宋" w:eastAsia="仿宋" w:cs="仿宋"/>
                <w:color w:val="auto"/>
                <w:spacing w:val="20"/>
                <w:sz w:val="24"/>
                <w:highlight w:val="none"/>
              </w:rPr>
            </w:pPr>
          </w:p>
        </w:tc>
      </w:tr>
      <w:tr w14:paraId="3E87B2A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3AFE4D81">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1436" w:type="pct"/>
            <w:tcBorders>
              <w:top w:val="single" w:color="auto" w:sz="2" w:space="0"/>
              <w:left w:val="single" w:color="auto" w:sz="2" w:space="0"/>
              <w:bottom w:val="single" w:color="auto" w:sz="2" w:space="0"/>
              <w:right w:val="single" w:color="auto" w:sz="2" w:space="0"/>
            </w:tcBorders>
            <w:noWrap w:val="0"/>
            <w:vAlign w:val="center"/>
          </w:tcPr>
          <w:p w14:paraId="509F4828">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75F936BC">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tc>
        <w:tc>
          <w:tcPr>
            <w:tcW w:w="1259" w:type="pct"/>
            <w:tcBorders>
              <w:top w:val="single" w:color="auto" w:sz="2" w:space="0"/>
              <w:left w:val="single" w:color="auto" w:sz="2" w:space="0"/>
              <w:bottom w:val="single" w:color="auto" w:sz="2" w:space="0"/>
            </w:tcBorders>
            <w:noWrap w:val="0"/>
            <w:vAlign w:val="center"/>
          </w:tcPr>
          <w:p w14:paraId="7B0D1A6A">
            <w:pPr>
              <w:adjustRightInd w:val="0"/>
              <w:snapToGrid w:val="0"/>
              <w:spacing w:line="300" w:lineRule="exact"/>
              <w:jc w:val="center"/>
              <w:rPr>
                <w:rFonts w:hint="eastAsia" w:ascii="仿宋" w:hAnsi="仿宋" w:eastAsia="仿宋" w:cs="仿宋"/>
                <w:color w:val="auto"/>
                <w:spacing w:val="20"/>
                <w:sz w:val="24"/>
                <w:highlight w:val="none"/>
              </w:rPr>
            </w:pPr>
          </w:p>
        </w:tc>
      </w:tr>
      <w:tr w14:paraId="2A02487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1386A72B">
            <w:pPr>
              <w:adjustRightInd w:val="0"/>
              <w:snapToGrid w:val="0"/>
              <w:spacing w:line="300" w:lineRule="exact"/>
              <w:jc w:val="center"/>
              <w:rPr>
                <w:rFonts w:hint="eastAsia" w:ascii="仿宋" w:hAnsi="仿宋" w:eastAsia="仿宋" w:cs="仿宋"/>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0D6FF18">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DE1064A">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开户名称</w:t>
            </w:r>
          </w:p>
        </w:tc>
        <w:tc>
          <w:tcPr>
            <w:tcW w:w="1259" w:type="pct"/>
            <w:tcBorders>
              <w:top w:val="single" w:color="auto" w:sz="2" w:space="0"/>
              <w:left w:val="single" w:color="auto" w:sz="2" w:space="0"/>
              <w:bottom w:val="single" w:color="auto" w:sz="2" w:space="0"/>
            </w:tcBorders>
            <w:noWrap w:val="0"/>
            <w:vAlign w:val="center"/>
          </w:tcPr>
          <w:p w14:paraId="7CA99F0E">
            <w:pPr>
              <w:adjustRightInd w:val="0"/>
              <w:snapToGrid w:val="0"/>
              <w:spacing w:line="300" w:lineRule="exact"/>
              <w:jc w:val="center"/>
              <w:rPr>
                <w:rFonts w:hint="eastAsia" w:ascii="仿宋" w:hAnsi="仿宋" w:eastAsia="仿宋" w:cs="仿宋"/>
                <w:color w:val="auto"/>
                <w:spacing w:val="20"/>
                <w:sz w:val="24"/>
                <w:highlight w:val="none"/>
              </w:rPr>
            </w:pPr>
          </w:p>
        </w:tc>
      </w:tr>
      <w:tr w14:paraId="5750893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D5C2A89">
            <w:pPr>
              <w:adjustRightInd w:val="0"/>
              <w:snapToGrid w:val="0"/>
              <w:spacing w:line="300" w:lineRule="exact"/>
              <w:jc w:val="center"/>
              <w:rPr>
                <w:rFonts w:hint="eastAsia" w:ascii="仿宋" w:hAnsi="仿宋" w:eastAsia="仿宋" w:cs="仿宋"/>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0F4DC76B">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6009A754">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1259" w:type="pct"/>
            <w:tcBorders>
              <w:top w:val="single" w:color="auto" w:sz="2" w:space="0"/>
              <w:left w:val="single" w:color="auto" w:sz="2" w:space="0"/>
              <w:bottom w:val="single" w:color="auto" w:sz="2" w:space="0"/>
            </w:tcBorders>
            <w:noWrap w:val="0"/>
            <w:vAlign w:val="center"/>
          </w:tcPr>
          <w:p w14:paraId="6C56BC73">
            <w:pPr>
              <w:adjustRightInd w:val="0"/>
              <w:snapToGrid w:val="0"/>
              <w:spacing w:line="300" w:lineRule="exact"/>
              <w:jc w:val="center"/>
              <w:rPr>
                <w:rFonts w:hint="eastAsia" w:ascii="仿宋" w:hAnsi="仿宋" w:eastAsia="仿宋" w:cs="仿宋"/>
                <w:color w:val="auto"/>
                <w:spacing w:val="20"/>
                <w:sz w:val="24"/>
                <w:highlight w:val="none"/>
              </w:rPr>
            </w:pPr>
          </w:p>
        </w:tc>
      </w:tr>
      <w:tr w14:paraId="71D455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126" w:type="pct"/>
            <w:tcBorders>
              <w:top w:val="single" w:color="auto" w:sz="2" w:space="0"/>
              <w:bottom w:val="single" w:color="auto" w:sz="2" w:space="0"/>
              <w:right w:val="single" w:color="auto" w:sz="2" w:space="0"/>
            </w:tcBorders>
            <w:noWrap w:val="0"/>
            <w:vAlign w:val="center"/>
          </w:tcPr>
          <w:p w14:paraId="777CA9A6">
            <w:pPr>
              <w:adjustRightInd w:val="0"/>
              <w:snapToGrid w:val="0"/>
              <w:spacing w:line="300" w:lineRule="exact"/>
              <w:jc w:val="center"/>
              <w:rPr>
                <w:rFonts w:hint="eastAsia" w:ascii="仿宋" w:hAnsi="仿宋" w:eastAsia="仿宋" w:cs="仿宋"/>
                <w:color w:val="auto"/>
                <w:sz w:val="24"/>
                <w:highlight w:val="none"/>
              </w:rPr>
            </w:pPr>
          </w:p>
        </w:tc>
        <w:tc>
          <w:tcPr>
            <w:tcW w:w="1436" w:type="pct"/>
            <w:tcBorders>
              <w:top w:val="single" w:color="auto" w:sz="2" w:space="0"/>
              <w:left w:val="single" w:color="auto" w:sz="2" w:space="0"/>
              <w:bottom w:val="single" w:color="auto" w:sz="2" w:space="0"/>
              <w:right w:val="single" w:color="auto" w:sz="2" w:space="0"/>
            </w:tcBorders>
            <w:noWrap w:val="0"/>
            <w:vAlign w:val="center"/>
          </w:tcPr>
          <w:p w14:paraId="213A113E">
            <w:pPr>
              <w:adjustRightInd w:val="0"/>
              <w:snapToGrid w:val="0"/>
              <w:spacing w:line="300" w:lineRule="exact"/>
              <w:jc w:val="center"/>
              <w:rPr>
                <w:rFonts w:hint="eastAsia" w:ascii="仿宋" w:hAnsi="仿宋" w:eastAsia="仿宋" w:cs="仿宋"/>
                <w:color w:val="auto"/>
                <w:sz w:val="24"/>
                <w:highlight w:val="none"/>
              </w:rPr>
            </w:pPr>
          </w:p>
        </w:tc>
        <w:tc>
          <w:tcPr>
            <w:tcW w:w="1178" w:type="pct"/>
            <w:tcBorders>
              <w:top w:val="single" w:color="auto" w:sz="2" w:space="0"/>
              <w:left w:val="single" w:color="auto" w:sz="2" w:space="0"/>
              <w:bottom w:val="single" w:color="auto" w:sz="2" w:space="0"/>
              <w:right w:val="single" w:color="auto" w:sz="2" w:space="0"/>
            </w:tcBorders>
            <w:noWrap w:val="0"/>
            <w:vAlign w:val="center"/>
          </w:tcPr>
          <w:p w14:paraId="480ED2CF">
            <w:pPr>
              <w:adjustRightInd w:val="0"/>
              <w:snapToGrid w:val="0"/>
              <w:spacing w:line="3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银行账号</w:t>
            </w:r>
          </w:p>
        </w:tc>
        <w:tc>
          <w:tcPr>
            <w:tcW w:w="1259" w:type="pct"/>
            <w:tcBorders>
              <w:top w:val="single" w:color="auto" w:sz="2" w:space="0"/>
              <w:left w:val="single" w:color="auto" w:sz="2" w:space="0"/>
              <w:bottom w:val="single" w:color="auto" w:sz="2" w:space="0"/>
            </w:tcBorders>
            <w:noWrap w:val="0"/>
            <w:vAlign w:val="center"/>
          </w:tcPr>
          <w:p w14:paraId="27E52D36">
            <w:pPr>
              <w:adjustRightInd w:val="0"/>
              <w:snapToGrid w:val="0"/>
              <w:spacing w:line="300" w:lineRule="exact"/>
              <w:jc w:val="center"/>
              <w:rPr>
                <w:rFonts w:hint="eastAsia" w:ascii="仿宋" w:hAnsi="仿宋" w:eastAsia="仿宋" w:cs="仿宋"/>
                <w:color w:val="auto"/>
                <w:spacing w:val="20"/>
                <w:sz w:val="24"/>
                <w:highlight w:val="none"/>
              </w:rPr>
            </w:pPr>
          </w:p>
        </w:tc>
      </w:tr>
      <w:tr w14:paraId="38782AE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5000" w:type="pct"/>
            <w:gridSpan w:val="4"/>
            <w:tcBorders>
              <w:top w:val="single" w:color="auto" w:sz="2" w:space="0"/>
            </w:tcBorders>
            <w:noWrap w:val="0"/>
            <w:vAlign w:val="center"/>
          </w:tcPr>
          <w:p w14:paraId="1D050700">
            <w:pPr>
              <w:pStyle w:val="14"/>
              <w:adjustRightInd w:val="0"/>
              <w:snapToGrid w:val="0"/>
              <w:spacing w:before="156" w:beforeLines="50" w:line="360" w:lineRule="auto"/>
              <w:ind w:firstLine="480"/>
              <w:rPr>
                <w:rFonts w:hint="eastAsia" w:ascii="仿宋" w:hAnsi="仿宋" w:eastAsia="仿宋" w:cs="仿宋"/>
                <w:color w:val="auto"/>
                <w:spacing w:val="20"/>
                <w:sz w:val="24"/>
                <w:highlight w:val="none"/>
              </w:rPr>
            </w:pPr>
            <w:r>
              <w:rPr>
                <w:rFonts w:hint="eastAsia" w:ascii="仿宋" w:hAnsi="仿宋" w:eastAsia="仿宋" w:cs="仿宋"/>
                <w:color w:val="auto"/>
                <w:sz w:val="24"/>
                <w:highlight w:val="none"/>
              </w:rPr>
              <w:t>注：涉及联合体或其他合同主体的信息应按上表格式加列。</w:t>
            </w:r>
          </w:p>
        </w:tc>
      </w:tr>
    </w:tbl>
    <w:p w14:paraId="086E2FF0">
      <w:pPr>
        <w:pStyle w:val="4"/>
        <w:adjustRightInd w:val="0"/>
        <w:snapToGrid w:val="0"/>
        <w:spacing w:before="156" w:beforeLines="50"/>
        <w:ind w:left="3690" w:hanging="3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br w:type="page"/>
      </w:r>
      <w:bookmarkStart w:id="228" w:name="_Toc27624"/>
      <w:r>
        <w:rPr>
          <w:rFonts w:hint="eastAsia" w:ascii="仿宋" w:hAnsi="仿宋" w:eastAsia="仿宋" w:cs="仿宋"/>
          <w:color w:val="auto"/>
          <w:sz w:val="24"/>
          <w:szCs w:val="24"/>
          <w:highlight w:val="none"/>
        </w:rPr>
        <w:t>第二节 政府采购合同通用条款</w:t>
      </w:r>
      <w:bookmarkEnd w:id="228"/>
    </w:p>
    <w:p w14:paraId="065DE0A5">
      <w:pPr>
        <w:tabs>
          <w:tab w:val="left" w:pos="8820"/>
          <w:tab w:val="left" w:pos="9345"/>
          <w:tab w:val="left" w:pos="9765"/>
        </w:tabs>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 xml:space="preserve">1. </w:t>
      </w:r>
      <w:r>
        <w:rPr>
          <w:rFonts w:hint="eastAsia" w:ascii="仿宋" w:hAnsi="仿宋" w:eastAsia="仿宋" w:cs="仿宋"/>
          <w:b/>
          <w:bCs/>
          <w:color w:val="auto"/>
          <w:sz w:val="24"/>
          <w:highlight w:val="none"/>
        </w:rPr>
        <w:t>定义</w:t>
      </w:r>
    </w:p>
    <w:p w14:paraId="7E298D79">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1.1合同当事人</w:t>
      </w:r>
    </w:p>
    <w:p w14:paraId="32940419">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（1）采购人（以下称甲方）是指使用财政性资金，通过政府采购方式向供应商购买货物及其相关服务的国家机关、事业单位、团体组织。</w:t>
      </w:r>
    </w:p>
    <w:p w14:paraId="03FEB05E">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（2）供应商（以下称乙方）是指参加政府采购活动并且中标（成交），向采购人提供合同约定的货物及其相关服务的法人、非法人组织或者自然人。</w:t>
      </w:r>
    </w:p>
    <w:p w14:paraId="23CA0867">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（3）其他合同主体是指除采购人和供应商以外，</w:t>
      </w:r>
      <w:r>
        <w:rPr>
          <w:rFonts w:hint="eastAsia" w:ascii="仿宋" w:hAnsi="仿宋" w:eastAsia="仿宋" w:cs="仿宋"/>
          <w:bCs/>
          <w:color w:val="auto"/>
          <w:sz w:val="24"/>
          <w:highlight w:val="none"/>
        </w:rPr>
        <w:t>依法参与合同缔结或履行，享有权利、承担义务的合同当事人</w:t>
      </w:r>
      <w:r>
        <w:rPr>
          <w:rFonts w:hint="eastAsia" w:ascii="仿宋" w:hAnsi="仿宋" w:eastAsia="仿宋" w:cs="仿宋"/>
          <w:color w:val="auto"/>
          <w:sz w:val="24"/>
          <w:highlight w:val="none"/>
        </w:rPr>
        <w:t>。</w:t>
      </w:r>
    </w:p>
    <w:p w14:paraId="784FBEBA">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1.2本合同下列术语应解释为：</w:t>
      </w:r>
    </w:p>
    <w:p w14:paraId="19AE1142">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（1）“合同”系指</w:t>
      </w:r>
      <w:r>
        <w:rPr>
          <w:rFonts w:hint="eastAsia" w:ascii="仿宋" w:hAnsi="仿宋" w:eastAsia="仿宋" w:cs="仿宋"/>
          <w:bCs/>
          <w:color w:val="auto"/>
          <w:sz w:val="24"/>
          <w:highlight w:val="none"/>
        </w:rPr>
        <w:t>合同当事人意思表示达成一致的任何协议，包括签署的</w:t>
      </w:r>
      <w:r>
        <w:rPr>
          <w:rFonts w:hint="eastAsia" w:ascii="仿宋" w:hAnsi="仿宋" w:eastAsia="仿宋" w:cs="仿宋"/>
          <w:color w:val="auto"/>
          <w:sz w:val="24"/>
          <w:highlight w:val="none"/>
        </w:rPr>
        <w:t>政府采购合同协议书及其变更、补充协议，政府采购合同专用条款，政府采购合同通用条款，中标（成交）通知书，投标（响应）文件，采购文件，有关技术文件和图纸，以及国家法律、行政法规和规章制度规定或合同约定的作为合同组成部分的其他文件。</w:t>
      </w:r>
    </w:p>
    <w:p w14:paraId="50959E23">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（2）“合同价款”系指根据本合同规定乙方在全面履行合同义务后甲方应支付给乙方的价款。</w:t>
      </w:r>
    </w:p>
    <w:p w14:paraId="69DA20B9">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（3）“货物”系指乙方根据本合同规定须向甲方提供的各种形态和种类的物品，包括原材料、设备、产品（包括软件）及相关的其备品备件、工具、手册及</w:t>
      </w:r>
      <w:r>
        <w:rPr>
          <w:rFonts w:hint="eastAsia" w:ascii="仿宋" w:hAnsi="仿宋" w:eastAsia="仿宋" w:cs="仿宋"/>
          <w:color w:val="auto"/>
          <w:sz w:val="24"/>
          <w:highlight w:val="none"/>
          <w:lang w:val="en"/>
        </w:rPr>
        <w:t>其他</w:t>
      </w:r>
      <w:r>
        <w:rPr>
          <w:rFonts w:hint="eastAsia" w:ascii="仿宋" w:hAnsi="仿宋" w:eastAsia="仿宋" w:cs="仿宋"/>
          <w:color w:val="auto"/>
          <w:sz w:val="24"/>
          <w:highlight w:val="none"/>
        </w:rPr>
        <w:t>技术资料和材料等。</w:t>
      </w:r>
    </w:p>
    <w:p w14:paraId="0B25DA4D">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（4）“相关服务”系指根据合同规定，乙方应提供的与货物有关的技术、管理和</w:t>
      </w:r>
      <w:r>
        <w:rPr>
          <w:rFonts w:hint="eastAsia" w:ascii="仿宋" w:hAnsi="仿宋" w:eastAsia="仿宋" w:cs="仿宋"/>
          <w:color w:val="auto"/>
          <w:sz w:val="24"/>
          <w:highlight w:val="none"/>
          <w:lang w:val="en"/>
        </w:rPr>
        <w:t>其他</w:t>
      </w:r>
      <w:r>
        <w:rPr>
          <w:rFonts w:hint="eastAsia" w:ascii="仿宋" w:hAnsi="仿宋" w:eastAsia="仿宋" w:cs="仿宋"/>
          <w:color w:val="auto"/>
          <w:sz w:val="24"/>
          <w:highlight w:val="none"/>
        </w:rPr>
        <w:t>服务，包括但不限于：管理和质量保证、运输、保险、检验、现场准备、安装、集成、调试、培训、维修、废弃处置、技术支持等以及合同中规定乙方应承担的</w:t>
      </w:r>
      <w:r>
        <w:rPr>
          <w:rFonts w:hint="eastAsia" w:ascii="仿宋" w:hAnsi="仿宋" w:eastAsia="仿宋" w:cs="仿宋"/>
          <w:color w:val="auto"/>
          <w:sz w:val="24"/>
          <w:highlight w:val="none"/>
          <w:lang w:val="en"/>
        </w:rPr>
        <w:t>其他</w:t>
      </w:r>
      <w:r>
        <w:rPr>
          <w:rFonts w:hint="eastAsia" w:ascii="仿宋" w:hAnsi="仿宋" w:eastAsia="仿宋" w:cs="仿宋"/>
          <w:color w:val="auto"/>
          <w:sz w:val="24"/>
          <w:highlight w:val="none"/>
        </w:rPr>
        <w:t>义务。</w:t>
      </w:r>
    </w:p>
    <w:p w14:paraId="345ACB97">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（5）“分包”系指中标（成交）供应商按采购文件、投标（响应）文件的规定，根据分包意向协议，将中标（成交）项目中的部分履约内容，分给具有相应资质条件的供应商履行合同的行为。</w:t>
      </w:r>
    </w:p>
    <w:p w14:paraId="12A23E5B">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联合体”系指由两个以上的自然人、法人或者非法人组织组成，以一个供应商的身份共同参加政府采购的主体。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仿宋" w:hAnsi="仿宋" w:eastAsia="仿宋" w:cs="仿宋"/>
          <w:b/>
          <w:bCs/>
          <w:color w:val="auto"/>
          <w:sz w:val="24"/>
          <w:highlight w:val="none"/>
        </w:rPr>
        <w:t>政府采购合同专用条款</w:t>
      </w:r>
      <w:r>
        <w:rPr>
          <w:rFonts w:hint="eastAsia" w:ascii="仿宋" w:hAnsi="仿宋" w:eastAsia="仿宋" w:cs="仿宋"/>
          <w:color w:val="auto"/>
          <w:sz w:val="24"/>
          <w:highlight w:val="none"/>
        </w:rPr>
        <w:t>】。</w:t>
      </w:r>
    </w:p>
    <w:p w14:paraId="55F29675">
      <w:pPr>
        <w:tabs>
          <w:tab w:val="left" w:pos="570"/>
          <w:tab w:val="left" w:pos="9240"/>
          <w:tab w:val="left" w:pos="9555"/>
        </w:tabs>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（7）其他术语解释，见【</w:t>
      </w:r>
      <w:r>
        <w:rPr>
          <w:rFonts w:hint="eastAsia" w:ascii="仿宋" w:hAnsi="仿宋" w:eastAsia="仿宋" w:cs="仿宋"/>
          <w:b/>
          <w:bCs/>
          <w:color w:val="auto"/>
          <w:sz w:val="24"/>
          <w:highlight w:val="none"/>
        </w:rPr>
        <w:t>政府采购合同专用条款</w:t>
      </w:r>
      <w:r>
        <w:rPr>
          <w:rFonts w:hint="eastAsia" w:ascii="仿宋" w:hAnsi="仿宋" w:eastAsia="仿宋" w:cs="仿宋"/>
          <w:color w:val="auto"/>
          <w:sz w:val="24"/>
          <w:highlight w:val="none"/>
        </w:rPr>
        <w:t>】。</w:t>
      </w:r>
    </w:p>
    <w:p w14:paraId="5A3590E2">
      <w:pPr>
        <w:numPr>
          <w:ilvl w:val="0"/>
          <w:numId w:val="8"/>
        </w:numPr>
        <w:autoSpaceDE w:val="0"/>
        <w:autoSpaceDN w:val="0"/>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color w:val="auto"/>
          <w:sz w:val="24"/>
          <w:highlight w:val="none"/>
        </w:rPr>
        <w:t>合同标的及金额</w:t>
      </w:r>
    </w:p>
    <w:p w14:paraId="144A4F29">
      <w:pPr>
        <w:autoSpaceDE w:val="0"/>
        <w:autoSpaceDN w:val="0"/>
        <w:adjustRightInd w:val="0"/>
        <w:snapToGrid w:val="0"/>
        <w:spacing w:line="400" w:lineRule="exact"/>
        <w:ind w:firstLine="480" w:firstLineChars="200"/>
        <w:jc w:val="left"/>
        <w:rPr>
          <w:rFonts w:hint="eastAsia" w:ascii="仿宋" w:hAnsi="仿宋" w:eastAsia="仿宋" w:cs="仿宋"/>
          <w:b/>
          <w:bCs/>
          <w:i/>
          <w:iCs/>
          <w:color w:val="auto"/>
          <w:sz w:val="24"/>
          <w:highlight w:val="none"/>
        </w:rPr>
      </w:pPr>
      <w:r>
        <w:rPr>
          <w:rFonts w:hint="eastAsia" w:ascii="仿宋" w:hAnsi="仿宋" w:eastAsia="仿宋" w:cs="仿宋"/>
          <w:color w:val="auto"/>
          <w:sz w:val="24"/>
          <w:highlight w:val="none"/>
        </w:rPr>
        <w:t>2.1 合同标的及金额应与中标（成交）结果一致。乙方为履行本合同而发生的所有费用均应包含在合同价款中，甲方不再另行支付</w:t>
      </w:r>
      <w:r>
        <w:rPr>
          <w:rFonts w:hint="eastAsia" w:ascii="仿宋" w:hAnsi="仿宋" w:eastAsia="仿宋" w:cs="仿宋"/>
          <w:color w:val="auto"/>
          <w:sz w:val="24"/>
          <w:highlight w:val="none"/>
          <w:lang w:val="en"/>
        </w:rPr>
        <w:t>其他</w:t>
      </w:r>
      <w:r>
        <w:rPr>
          <w:rFonts w:hint="eastAsia" w:ascii="仿宋" w:hAnsi="仿宋" w:eastAsia="仿宋" w:cs="仿宋"/>
          <w:color w:val="auto"/>
          <w:sz w:val="24"/>
          <w:highlight w:val="none"/>
        </w:rPr>
        <w:t>任何费用。</w:t>
      </w:r>
    </w:p>
    <w:p w14:paraId="43C74926">
      <w:pPr>
        <w:adjustRightInd w:val="0"/>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履行合同的时间、地点和方式</w:t>
      </w:r>
    </w:p>
    <w:p w14:paraId="7FF727AC">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 乙方应当在约定的时间、地点，按照约定方式履行合同。</w:t>
      </w:r>
    </w:p>
    <w:p w14:paraId="68418A6D">
      <w:pPr>
        <w:autoSpaceDE w:val="0"/>
        <w:autoSpaceDN w:val="0"/>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 甲方的权利和义务</w:t>
      </w:r>
    </w:p>
    <w:p w14:paraId="4E2FF4F4">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 签署合同后，甲方应确定项目负责人（或项目联系人），负责与本合同有关的事务。甲方有权对乙方的履约行为进行检查，并及时确认乙方提交的事项。甲方应当配合乙方完成相关项目实施工作。</w:t>
      </w:r>
    </w:p>
    <w:p w14:paraId="777C27EA">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 甲方有权要求乙方按时提交各阶段有关安排计划，并有权定期核对乙方提供货物数量、规格、质量等内容。甲方有权督促乙方工作并要求乙方更换不符合要求的货物。</w:t>
      </w:r>
    </w:p>
    <w:p w14:paraId="3C7D4111">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 甲方有权要求乙方对缺陷部分予以修复，并按合同约定享有货物保修及其他合同约定的权利。</w:t>
      </w:r>
    </w:p>
    <w:p w14:paraId="387DADBD">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 甲方应当按照合同约定及时对交付的货物进行验收，未在</w:t>
      </w:r>
      <w:r>
        <w:rPr>
          <w:rFonts w:hint="eastAsia" w:ascii="仿宋" w:hAnsi="仿宋" w:eastAsia="仿宋" w:cs="仿宋"/>
          <w:b/>
          <w:bCs/>
          <w:color w:val="auto"/>
          <w:sz w:val="24"/>
          <w:highlight w:val="none"/>
        </w:rPr>
        <w:t>【政府采购合同专用条款】</w:t>
      </w:r>
      <w:r>
        <w:rPr>
          <w:rFonts w:hint="eastAsia" w:ascii="仿宋" w:hAnsi="仿宋" w:eastAsia="仿宋" w:cs="仿宋"/>
          <w:color w:val="auto"/>
          <w:sz w:val="24"/>
          <w:highlight w:val="none"/>
        </w:rPr>
        <w:t>约定的期限内对乙方履约提出任何异议或者向乙方作出任何说明的，视为验收通过。</w:t>
      </w:r>
    </w:p>
    <w:p w14:paraId="005E565B">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4.5 甲方应当根据合同约定及时向乙方支付合同价款，不得以内部人员变更、履行内部付款流程等为由，拒绝或迟延支付。</w:t>
      </w:r>
    </w:p>
    <w:p w14:paraId="674F4E85">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4.6 国家法律法规规定及</w:t>
      </w:r>
      <w:r>
        <w:rPr>
          <w:rFonts w:hint="eastAsia" w:ascii="仿宋" w:hAnsi="仿宋" w:eastAsia="仿宋" w:cs="仿宋"/>
          <w:b/>
          <w:bCs/>
          <w:color w:val="auto"/>
          <w:sz w:val="24"/>
          <w:highlight w:val="none"/>
        </w:rPr>
        <w:t>【政府采购合同专用条款】</w:t>
      </w:r>
      <w:r>
        <w:rPr>
          <w:rFonts w:hint="eastAsia" w:ascii="仿宋" w:hAnsi="仿宋" w:eastAsia="仿宋" w:cs="仿宋"/>
          <w:color w:val="auto"/>
          <w:sz w:val="24"/>
          <w:highlight w:val="none"/>
        </w:rPr>
        <w:t>约定应由甲方承担的其他义务和责任。</w:t>
      </w:r>
    </w:p>
    <w:p w14:paraId="451DA93D">
      <w:pPr>
        <w:autoSpaceDE w:val="0"/>
        <w:autoSpaceDN w:val="0"/>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 乙方的权利和义务</w:t>
      </w:r>
    </w:p>
    <w:p w14:paraId="617D576C">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 签署合同后，乙方应确定项目负责人（或项目联系人），负责与本合同有关的事务。</w:t>
      </w:r>
    </w:p>
    <w:p w14:paraId="6FD0911C">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 乙方应按照合同要求履约，充分合理安排，确保提供的货物及相关服务符合合同有关要求。接受项目行业管理部门及政府有关部门的指导，配合甲方的履约检查及验收，并负责项目实施过程中的所有协调工作。</w:t>
      </w:r>
    </w:p>
    <w:p w14:paraId="02A3DA70">
      <w:pPr>
        <w:pStyle w:val="2"/>
        <w:spacing w:line="400" w:lineRule="exact"/>
        <w:ind w:firstLine="422" w:firstLineChars="176"/>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5.3乙方有权根据合同约定向甲方收取合同价款。</w:t>
      </w:r>
    </w:p>
    <w:p w14:paraId="1980C597">
      <w:pPr>
        <w:pStyle w:val="2"/>
        <w:spacing w:line="400" w:lineRule="exact"/>
        <w:ind w:firstLine="422" w:firstLineChars="176"/>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5.4国家法律法规规定及【政府采购合同专用条款】约定应由乙方承担的其他义务和责任。</w:t>
      </w:r>
    </w:p>
    <w:p w14:paraId="2766DB02">
      <w:pPr>
        <w:numPr>
          <w:ilvl w:val="0"/>
          <w:numId w:val="9"/>
        </w:numPr>
        <w:autoSpaceDE w:val="0"/>
        <w:autoSpaceDN w:val="0"/>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合同履行</w:t>
      </w:r>
    </w:p>
    <w:p w14:paraId="3DC5CE56">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 甲乙双方应当按照</w:t>
      </w:r>
      <w:r>
        <w:rPr>
          <w:rFonts w:hint="eastAsia" w:ascii="仿宋" w:hAnsi="仿宋" w:eastAsia="仿宋" w:cs="仿宋"/>
          <w:b/>
          <w:bCs/>
          <w:color w:val="auto"/>
          <w:sz w:val="24"/>
          <w:highlight w:val="none"/>
        </w:rPr>
        <w:t>【政府采购合同专用条款】</w:t>
      </w:r>
      <w:r>
        <w:rPr>
          <w:rFonts w:hint="eastAsia" w:ascii="仿宋" w:hAnsi="仿宋" w:eastAsia="仿宋" w:cs="仿宋"/>
          <w:color w:val="auto"/>
          <w:sz w:val="24"/>
          <w:highlight w:val="none"/>
        </w:rPr>
        <w:t>约定顺序履行合同义务；如果没有先后顺序的，应当同时履行。</w:t>
      </w:r>
    </w:p>
    <w:p w14:paraId="6B4717E9">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 甲乙双方按照合同约定顺序履行合同义务时，应当先履行一方未履行的，后履行一方有权拒绝其履行请求。先履行一方履行不符合约定的，后履行一方有权拒绝其相应的履行请求。</w:t>
      </w:r>
    </w:p>
    <w:p w14:paraId="618253BD">
      <w:pPr>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 货物包装、运输、保险和交付要求</w:t>
      </w:r>
    </w:p>
    <w:p w14:paraId="61138BB8">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7.1 本合同</w:t>
      </w:r>
      <w:r>
        <w:rPr>
          <w:rFonts w:hint="eastAsia" w:ascii="仿宋" w:hAnsi="仿宋" w:eastAsia="仿宋" w:cs="仿宋"/>
          <w:bCs/>
          <w:color w:val="auto"/>
          <w:sz w:val="24"/>
          <w:highlight w:val="none"/>
        </w:rPr>
        <w:t>涉及商品包装、快递包装的，</w:t>
      </w:r>
      <w:r>
        <w:rPr>
          <w:rFonts w:hint="eastAsia" w:ascii="仿宋" w:hAnsi="仿宋" w:eastAsia="仿宋" w:cs="仿宋"/>
          <w:color w:val="auto"/>
          <w:sz w:val="24"/>
          <w:highlight w:val="none"/>
        </w:rPr>
        <w:t>除</w:t>
      </w:r>
      <w:r>
        <w:rPr>
          <w:rFonts w:hint="eastAsia" w:ascii="仿宋" w:hAnsi="仿宋" w:eastAsia="仿宋" w:cs="仿宋"/>
          <w:b/>
          <w:color w:val="auto"/>
          <w:sz w:val="24"/>
          <w:highlight w:val="none"/>
        </w:rPr>
        <w:t>【政府采购合同专用条款】</w:t>
      </w:r>
      <w:r>
        <w:rPr>
          <w:rFonts w:hint="eastAsia" w:ascii="仿宋" w:hAnsi="仿宋" w:eastAsia="仿宋" w:cs="仿宋"/>
          <w:bCs/>
          <w:color w:val="auto"/>
          <w:sz w:val="24"/>
          <w:highlight w:val="none"/>
        </w:rPr>
        <w:t>另有约定外，</w:t>
      </w:r>
      <w:r>
        <w:rPr>
          <w:rFonts w:hint="eastAsia" w:ascii="仿宋" w:hAnsi="仿宋" w:eastAsia="仿宋" w:cs="仿宋"/>
          <w:color w:val="auto"/>
          <w:sz w:val="24"/>
          <w:highlight w:val="none"/>
        </w:rPr>
        <w:t>包装应适应远距离运输、防潮、防震、防锈和防野蛮装卸等要求，确保货物安全无损地运抵</w:t>
      </w:r>
      <w:r>
        <w:rPr>
          <w:rFonts w:hint="eastAsia" w:ascii="仿宋" w:hAnsi="仿宋" w:eastAsia="仿宋" w:cs="仿宋"/>
          <w:b/>
          <w:color w:val="auto"/>
          <w:sz w:val="24"/>
          <w:highlight w:val="none"/>
        </w:rPr>
        <w:t>【政府采购合同专用条款】</w:t>
      </w:r>
      <w:r>
        <w:rPr>
          <w:rFonts w:hint="eastAsia" w:ascii="仿宋" w:hAnsi="仿宋" w:eastAsia="仿宋" w:cs="仿宋"/>
          <w:bCs/>
          <w:color w:val="auto"/>
          <w:sz w:val="24"/>
          <w:highlight w:val="none"/>
        </w:rPr>
        <w:t>约定的</w:t>
      </w:r>
      <w:r>
        <w:rPr>
          <w:rFonts w:hint="eastAsia" w:ascii="仿宋" w:hAnsi="仿宋" w:eastAsia="仿宋" w:cs="仿宋"/>
          <w:color w:val="auto"/>
          <w:sz w:val="24"/>
          <w:highlight w:val="none"/>
        </w:rPr>
        <w:t>指定现场。</w:t>
      </w:r>
    </w:p>
    <w:p w14:paraId="7878B21E">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7.2 除</w:t>
      </w:r>
      <w:r>
        <w:rPr>
          <w:rFonts w:hint="eastAsia" w:ascii="仿宋" w:hAnsi="仿宋" w:eastAsia="仿宋" w:cs="仿宋"/>
          <w:b/>
          <w:color w:val="auto"/>
          <w:sz w:val="24"/>
          <w:highlight w:val="none"/>
        </w:rPr>
        <w:t>【政府采购合同专用条款】</w:t>
      </w:r>
      <w:r>
        <w:rPr>
          <w:rFonts w:hint="eastAsia" w:ascii="仿宋" w:hAnsi="仿宋" w:eastAsia="仿宋" w:cs="仿宋"/>
          <w:bCs/>
          <w:color w:val="auto"/>
          <w:sz w:val="24"/>
          <w:highlight w:val="none"/>
        </w:rPr>
        <w:t>另有约定外，</w:t>
      </w:r>
      <w:r>
        <w:rPr>
          <w:rFonts w:hint="eastAsia" w:ascii="仿宋" w:hAnsi="仿宋" w:eastAsia="仿宋" w:cs="仿宋"/>
          <w:color w:val="auto"/>
          <w:sz w:val="24"/>
          <w:highlight w:val="none"/>
        </w:rPr>
        <w:t>乙方负责办理将货物运抵本合同规定的交货地点，并装卸、交付至甲方的一切运输事项，相关费用应包含在合同价款中。</w:t>
      </w:r>
    </w:p>
    <w:p w14:paraId="0FC63639">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 货物保险要求按</w:t>
      </w:r>
      <w:r>
        <w:rPr>
          <w:rFonts w:hint="eastAsia" w:ascii="仿宋" w:hAnsi="仿宋" w:eastAsia="仿宋" w:cs="仿宋"/>
          <w:b/>
          <w:color w:val="auto"/>
          <w:sz w:val="24"/>
          <w:highlight w:val="none"/>
        </w:rPr>
        <w:t>【政府采购合同专用条款】</w:t>
      </w:r>
      <w:r>
        <w:rPr>
          <w:rFonts w:hint="eastAsia" w:ascii="仿宋" w:hAnsi="仿宋" w:eastAsia="仿宋" w:cs="仿宋"/>
          <w:bCs/>
          <w:color w:val="auto"/>
          <w:sz w:val="24"/>
          <w:highlight w:val="none"/>
        </w:rPr>
        <w:t>规定执行</w:t>
      </w:r>
      <w:r>
        <w:rPr>
          <w:rFonts w:hint="eastAsia" w:ascii="仿宋" w:hAnsi="仿宋" w:eastAsia="仿宋" w:cs="仿宋"/>
          <w:color w:val="auto"/>
          <w:sz w:val="24"/>
          <w:highlight w:val="none"/>
        </w:rPr>
        <w:t>。</w:t>
      </w:r>
    </w:p>
    <w:p w14:paraId="6DA1DE8D">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5B6103A6">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 乙方在运输到达之前应提前通知甲方，并提示货物运输装卸的注意事项，甲方配合乙方做好货物的接收工作。</w:t>
      </w:r>
    </w:p>
    <w:p w14:paraId="302E3C95">
      <w:pPr>
        <w:pStyle w:val="194"/>
        <w:ind w:firstLine="480"/>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rPr>
        <w:t>7.6 如因包装、运输问题导致货物损毁、丢失或者品质下降，甲方有权要求降价、换货、拒收部分或整批货物，由此产生的费用和损失，均由乙方承担。</w:t>
      </w:r>
    </w:p>
    <w:p w14:paraId="1D235EE9">
      <w:pPr>
        <w:adjustRightInd w:val="0"/>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 质量标准和保证</w:t>
      </w:r>
    </w:p>
    <w:p w14:paraId="71385364">
      <w:pPr>
        <w:pStyle w:val="18"/>
        <w:snapToGrid w:val="0"/>
        <w:spacing w:line="40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8.1 质量标准</w:t>
      </w:r>
    </w:p>
    <w:p w14:paraId="235C30AF">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0376A4F4">
      <w:pPr>
        <w:pStyle w:val="18"/>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（2）采用中华人民共和国法定计量单位。</w:t>
      </w:r>
    </w:p>
    <w:p w14:paraId="6F070CCE">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（3）乙方所提供的货物应符合国家有关安全、环保、卫生的规定。</w:t>
      </w:r>
    </w:p>
    <w:p w14:paraId="39EFE95E">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（4）乙方应向甲方提交所提供货物的技术文件，包括相应的中文技术文件，如：产品目录、图纸、操作手册、使用说明、维护手册或服务指南等。上述文件应包装好随货物一同发运。</w:t>
      </w:r>
    </w:p>
    <w:p w14:paraId="6E4E7BDA">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8.2 保证</w:t>
      </w:r>
    </w:p>
    <w:p w14:paraId="7058D93B">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保证提供的货物完全符合合同规定的质量、规格和性能要求。乙方应保证货物在正确安装、正常使用和保养条件下，在其使用寿命期内具备合同约定的性能。存在质量保证期的，货物最终交付验收合格后在</w:t>
      </w:r>
      <w:r>
        <w:rPr>
          <w:rFonts w:hint="eastAsia" w:ascii="仿宋" w:hAnsi="仿宋" w:eastAsia="仿宋" w:cs="仿宋"/>
          <w:b/>
          <w:color w:val="auto"/>
          <w:sz w:val="24"/>
          <w:highlight w:val="none"/>
        </w:rPr>
        <w:t>【政府采购合同专用条款】</w:t>
      </w:r>
      <w:r>
        <w:rPr>
          <w:rFonts w:hint="eastAsia" w:ascii="仿宋" w:hAnsi="仿宋" w:eastAsia="仿宋" w:cs="仿宋"/>
          <w:color w:val="auto"/>
          <w:sz w:val="24"/>
          <w:highlight w:val="none"/>
        </w:rPr>
        <w:t>规定或乙方书面承诺（两者以较长的为准）的质量保证期内，本保证保持有效。</w:t>
      </w:r>
    </w:p>
    <w:p w14:paraId="7627F338">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（2）在质量保证期内所发现的缺陷，甲方应尽快以书面形式通知乙方。</w:t>
      </w:r>
    </w:p>
    <w:p w14:paraId="2C599100">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（3）乙方收到通知后，应在</w:t>
      </w:r>
      <w:r>
        <w:rPr>
          <w:rFonts w:hint="eastAsia" w:ascii="仿宋" w:hAnsi="仿宋" w:eastAsia="仿宋" w:cs="仿宋"/>
          <w:b/>
          <w:color w:val="auto"/>
          <w:sz w:val="24"/>
          <w:highlight w:val="none"/>
        </w:rPr>
        <w:t>【政府采购合同专用条款】</w:t>
      </w:r>
      <w:r>
        <w:rPr>
          <w:rFonts w:hint="eastAsia" w:ascii="仿宋" w:hAnsi="仿宋" w:eastAsia="仿宋" w:cs="仿宋"/>
          <w:color w:val="auto"/>
          <w:sz w:val="24"/>
          <w:highlight w:val="none"/>
        </w:rPr>
        <w:t>规定的响应时间内以合理的速度免费维修或更换有缺陷的货物或部件。</w:t>
      </w:r>
    </w:p>
    <w:p w14:paraId="7347091B">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（4）在质量保证期内，如果货物的质量或规格与合同不符，或证实货物是有缺陷的，包括潜在的缺陷或使用不符合要求的材料等，甲方可以根据本合同第15.1条规定以书面形式追究乙方的违约责任。</w:t>
      </w:r>
    </w:p>
    <w:p w14:paraId="5E2D9AAC">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（5）乙方在约定的时间内未能弥补缺陷，甲方可采取必要的补救措施，但其风险和费用将由乙方承担，甲方根据合同约定对乙方行使的其他权利不受影响。</w:t>
      </w:r>
    </w:p>
    <w:p w14:paraId="6EB8E426">
      <w:pPr>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9. 权利瑕疵担保</w:t>
      </w:r>
    </w:p>
    <w:p w14:paraId="6AAB61CE">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9.1 乙方保证对其出售的货物享有合法的权利。</w:t>
      </w:r>
    </w:p>
    <w:p w14:paraId="20D87CDD">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 乙方保证在交付的货物上不存在抵押权等担保物权。</w:t>
      </w:r>
    </w:p>
    <w:p w14:paraId="7D398498">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9.3 如甲方使用上述货物构成对第三人侵权的，则由乙方承担全部责任。</w:t>
      </w:r>
    </w:p>
    <w:p w14:paraId="3EEE5F8A">
      <w:pPr>
        <w:autoSpaceDE w:val="0"/>
        <w:autoSpaceDN w:val="0"/>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 知识产权保护</w:t>
      </w:r>
    </w:p>
    <w:p w14:paraId="5962F290">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10.1 乙方对其所销售的货物应当享有知识产权或经权利人合法授权，保证没有侵犯任何第三人的知识产权等权利。</w:t>
      </w:r>
      <w:bookmarkStart w:id="229" w:name="_Hlk163047038"/>
      <w:r>
        <w:rPr>
          <w:rFonts w:hint="eastAsia" w:ascii="仿宋" w:hAnsi="仿宋" w:eastAsia="仿宋" w:cs="仿宋"/>
          <w:color w:val="auto"/>
          <w:sz w:val="24"/>
          <w:highlight w:val="none"/>
        </w:rPr>
        <w:t>因违反前述约定对第三人构成侵权的，应当由乙方向第三人承担法律责任；甲方依法向第三人赔偿后，有权向乙方追偿。甲方有其他损失的，乙方应当赔偿</w:t>
      </w:r>
      <w:bookmarkEnd w:id="229"/>
      <w:r>
        <w:rPr>
          <w:rFonts w:hint="eastAsia" w:ascii="仿宋" w:hAnsi="仿宋" w:eastAsia="仿宋" w:cs="仿宋"/>
          <w:color w:val="auto"/>
          <w:sz w:val="24"/>
          <w:highlight w:val="none"/>
        </w:rPr>
        <w:t>。</w:t>
      </w:r>
    </w:p>
    <w:p w14:paraId="65EFDBC6">
      <w:pPr>
        <w:autoSpaceDE w:val="0"/>
        <w:autoSpaceDN w:val="0"/>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 保密义务</w:t>
      </w:r>
    </w:p>
    <w:p w14:paraId="0317C4F7">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仿宋" w:hAnsi="仿宋" w:eastAsia="仿宋" w:cs="仿宋"/>
          <w:b/>
          <w:bCs/>
          <w:color w:val="auto"/>
          <w:sz w:val="24"/>
          <w:highlight w:val="none"/>
        </w:rPr>
        <w:t>【政府采购合同专用条款】</w:t>
      </w:r>
      <w:r>
        <w:rPr>
          <w:rFonts w:hint="eastAsia" w:ascii="仿宋" w:hAnsi="仿宋" w:eastAsia="仿宋" w:cs="仿宋"/>
          <w:color w:val="auto"/>
          <w:sz w:val="24"/>
          <w:highlight w:val="none"/>
        </w:rPr>
        <w:t>中约定。</w:t>
      </w:r>
    </w:p>
    <w:p w14:paraId="60D5558E">
      <w:pPr>
        <w:autoSpaceDE w:val="0"/>
        <w:autoSpaceDN w:val="0"/>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 合同价款支付</w:t>
      </w:r>
    </w:p>
    <w:p w14:paraId="0B2D52C3">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12.1 合同价款支付按照国库集中支付制度及财政管理相关规定执行。</w:t>
      </w:r>
    </w:p>
    <w:p w14:paraId="36327AFB">
      <w:pPr>
        <w:rPr>
          <w:rFonts w:hint="eastAsia" w:ascii="仿宋" w:hAnsi="仿宋" w:eastAsia="仿宋" w:cs="仿宋"/>
          <w:color w:val="auto"/>
          <w:sz w:val="24"/>
          <w:highlight w:val="none"/>
        </w:rPr>
      </w:pPr>
      <w:r>
        <w:rPr>
          <w:rFonts w:hint="eastAsia" w:ascii="仿宋" w:hAnsi="仿宋" w:eastAsia="仿宋" w:cs="仿宋"/>
          <w:color w:val="auto"/>
          <w:sz w:val="24"/>
          <w:highlight w:val="none"/>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政府采购合同专用条款】中约定。</w:t>
      </w:r>
    </w:p>
    <w:p w14:paraId="13AA4D0C">
      <w:pPr>
        <w:pStyle w:val="2"/>
        <w:spacing w:line="400" w:lineRule="exac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13. 履约保证金</w:t>
      </w:r>
    </w:p>
    <w:p w14:paraId="5570BD16">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13.1 乙方应当以支票、汇票、本票或者金融机构、担保机构出具的保函等非现金形式提交。</w:t>
      </w:r>
    </w:p>
    <w:p w14:paraId="7DB78C10">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13.2 如果乙方出现</w:t>
      </w:r>
      <w:r>
        <w:rPr>
          <w:rFonts w:hint="eastAsia" w:ascii="仿宋" w:hAnsi="仿宋" w:eastAsia="仿宋" w:cs="仿宋"/>
          <w:b/>
          <w:bCs/>
          <w:color w:val="auto"/>
          <w:sz w:val="24"/>
          <w:highlight w:val="none"/>
        </w:rPr>
        <w:t>【政府采购合同专用条款】</w:t>
      </w:r>
      <w:r>
        <w:rPr>
          <w:rFonts w:hint="eastAsia" w:ascii="仿宋" w:hAnsi="仿宋" w:eastAsia="仿宋" w:cs="仿宋"/>
          <w:color w:val="auto"/>
          <w:sz w:val="24"/>
          <w:highlight w:val="none"/>
        </w:rPr>
        <w:t>约定情形的，履约保证金不予退还；如果乙方未能按合同约定全面履行义务，甲方有权从履约保证金中取得补偿或赔偿，且不影响甲方要求乙方承担合同约定的超过履约保证金的违约责任的权利。</w:t>
      </w:r>
    </w:p>
    <w:p w14:paraId="5C8D783F">
      <w:pPr>
        <w:spacing w:line="400" w:lineRule="exact"/>
        <w:ind w:firstLine="420"/>
        <w:rPr>
          <w:rFonts w:hint="eastAsia" w:ascii="仿宋" w:hAnsi="仿宋" w:eastAsia="仿宋" w:cs="仿宋"/>
          <w:color w:val="auto"/>
          <w:sz w:val="24"/>
          <w:highlight w:val="none"/>
        </w:rPr>
      </w:pPr>
      <w:r>
        <w:rPr>
          <w:rFonts w:hint="eastAsia" w:ascii="仿宋" w:hAnsi="仿宋" w:eastAsia="仿宋" w:cs="仿宋"/>
          <w:color w:val="auto"/>
          <w:sz w:val="24"/>
          <w:highlight w:val="none"/>
        </w:rPr>
        <w:t>13.3 甲方在项目通过验收后按照</w:t>
      </w:r>
      <w:r>
        <w:rPr>
          <w:rFonts w:hint="eastAsia" w:ascii="仿宋" w:hAnsi="仿宋" w:eastAsia="仿宋" w:cs="仿宋"/>
          <w:b/>
          <w:color w:val="auto"/>
          <w:sz w:val="24"/>
          <w:highlight w:val="none"/>
        </w:rPr>
        <w:t>【政府采购合同专用条款】</w:t>
      </w:r>
      <w:r>
        <w:rPr>
          <w:rFonts w:hint="eastAsia" w:ascii="仿宋" w:hAnsi="仿宋" w:eastAsia="仿宋" w:cs="仿宋"/>
          <w:color w:val="auto"/>
          <w:sz w:val="24"/>
          <w:highlight w:val="none"/>
        </w:rPr>
        <w:t>规定的时间内将履约保证金退还乙方；逾期退还的，乙方可要求甲方支付违约金，违约金按照</w:t>
      </w:r>
      <w:r>
        <w:rPr>
          <w:rFonts w:hint="eastAsia" w:ascii="仿宋" w:hAnsi="仿宋" w:eastAsia="仿宋" w:cs="仿宋"/>
          <w:b/>
          <w:color w:val="auto"/>
          <w:sz w:val="24"/>
          <w:highlight w:val="none"/>
        </w:rPr>
        <w:t>【政府采购合同专用条款】</w:t>
      </w:r>
      <w:r>
        <w:rPr>
          <w:rFonts w:hint="eastAsia" w:ascii="仿宋" w:hAnsi="仿宋" w:eastAsia="仿宋" w:cs="仿宋"/>
          <w:color w:val="auto"/>
          <w:sz w:val="24"/>
          <w:highlight w:val="none"/>
        </w:rPr>
        <w:t>规定支付。</w:t>
      </w:r>
    </w:p>
    <w:p w14:paraId="191AEF92">
      <w:pPr>
        <w:autoSpaceDE w:val="0"/>
        <w:autoSpaceDN w:val="0"/>
        <w:adjustRightInd w:val="0"/>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 xml:space="preserve">14. </w:t>
      </w:r>
      <w:r>
        <w:rPr>
          <w:rFonts w:hint="eastAsia" w:ascii="仿宋" w:hAnsi="仿宋" w:eastAsia="仿宋" w:cs="仿宋"/>
          <w:b/>
          <w:color w:val="auto"/>
          <w:sz w:val="24"/>
          <w:highlight w:val="none"/>
        </w:rPr>
        <w:t>售后服务</w:t>
      </w:r>
    </w:p>
    <w:p w14:paraId="11662333">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14.1 除项目不涉及或采购活动中明确约定无须承担外，乙方还应提供下列服务：</w:t>
      </w:r>
    </w:p>
    <w:p w14:paraId="49C55D5F">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（1）货物的现场移动、安装、调试、启动监督及技术支持；</w:t>
      </w:r>
    </w:p>
    <w:p w14:paraId="5B1FD729">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（2）提供货物组装和维修所需的专用工具和辅助材料；</w:t>
      </w:r>
    </w:p>
    <w:p w14:paraId="52F08C4B">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（3）在</w:t>
      </w:r>
      <w:r>
        <w:rPr>
          <w:rFonts w:hint="eastAsia" w:ascii="仿宋" w:hAnsi="仿宋" w:eastAsia="仿宋" w:cs="仿宋"/>
          <w:b/>
          <w:bCs/>
          <w:color w:val="auto"/>
          <w:sz w:val="24"/>
          <w:highlight w:val="none"/>
        </w:rPr>
        <w:t>【政府采购合同专用条款】</w:t>
      </w:r>
      <w:r>
        <w:rPr>
          <w:rFonts w:hint="eastAsia" w:ascii="仿宋" w:hAnsi="仿宋" w:eastAsia="仿宋" w:cs="仿宋"/>
          <w:color w:val="auto"/>
          <w:sz w:val="24"/>
          <w:highlight w:val="none"/>
        </w:rPr>
        <w:t>约定的期限内对所有的货物实施运行监督、维修，但前提条件是该服务并不能免除乙方在质量保证期内所承担的义务；</w:t>
      </w:r>
    </w:p>
    <w:p w14:paraId="14FB8BB4">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（4）在制造商所在地或指定现场就货物的安装、启动、运营、维护、废弃处置等对甲方操作人员进行培训；</w:t>
      </w:r>
    </w:p>
    <w:p w14:paraId="60484CD0">
      <w:pPr>
        <w:pStyle w:val="194"/>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（5）依照法律、行政法规的规定或者按照</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约定，货物在有效使用年限届满后应予回收的，乙方负有自行或者委托第三人对货物予以回收的义务；</w:t>
      </w:r>
    </w:p>
    <w:p w14:paraId="73C949C3">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r>
        <w:rPr>
          <w:rFonts w:hint="eastAsia" w:ascii="仿宋" w:hAnsi="仿宋" w:eastAsia="仿宋" w:cs="仿宋"/>
          <w:b/>
          <w:color w:val="auto"/>
          <w:sz w:val="24"/>
          <w:highlight w:val="none"/>
        </w:rPr>
        <w:t>【政府采购合同专用条款】</w:t>
      </w:r>
      <w:r>
        <w:rPr>
          <w:rFonts w:hint="eastAsia" w:ascii="仿宋" w:hAnsi="仿宋" w:eastAsia="仿宋" w:cs="仿宋"/>
          <w:color w:val="auto"/>
          <w:sz w:val="24"/>
          <w:highlight w:val="none"/>
        </w:rPr>
        <w:t>规定由乙方提供的其他服务。</w:t>
      </w:r>
    </w:p>
    <w:p w14:paraId="1E5F077C">
      <w:pPr>
        <w:autoSpaceDE w:val="0"/>
        <w:autoSpaceDN w:val="0"/>
        <w:adjustRightInd w:val="0"/>
        <w:snapToGrid w:val="0"/>
        <w:spacing w:line="400" w:lineRule="exact"/>
        <w:ind w:firstLine="480" w:firstLineChars="200"/>
        <w:jc w:val="lef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14.2 乙方提供的售后服务的费用已包含在合同价款中，甲方不再另行支付。</w:t>
      </w:r>
      <w:r>
        <w:rPr>
          <w:rFonts w:hint="eastAsia" w:ascii="仿宋" w:hAnsi="仿宋" w:eastAsia="仿宋" w:cs="仿宋"/>
          <w:color w:val="auto"/>
          <w:sz w:val="24"/>
          <w:highlight w:val="none"/>
          <w:lang w:val="en-US" w:eastAsia="zh-CN"/>
        </w:rPr>
        <w:t xml:space="preserve">                             </w:t>
      </w:r>
    </w:p>
    <w:p w14:paraId="44C959E5">
      <w:pPr>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 违约责任</w:t>
      </w:r>
    </w:p>
    <w:p w14:paraId="21CEDA2B">
      <w:pPr>
        <w:adjustRightInd w:val="0"/>
        <w:snapToGrid w:val="0"/>
        <w:spacing w:line="40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15.1质量瑕疵的违约责任</w:t>
      </w:r>
    </w:p>
    <w:p w14:paraId="5F5006DF">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乙方提供的产品不符合合同约定的质量标准或存在产品质量缺陷，甲方有权要求乙方根据</w:t>
      </w:r>
      <w:r>
        <w:rPr>
          <w:rFonts w:hint="eastAsia" w:ascii="仿宋" w:hAnsi="仿宋" w:eastAsia="仿宋" w:cs="仿宋"/>
          <w:b/>
          <w:color w:val="auto"/>
          <w:sz w:val="24"/>
          <w:highlight w:val="none"/>
        </w:rPr>
        <w:t>【政府采购合同专用条款】</w:t>
      </w:r>
      <w:r>
        <w:rPr>
          <w:rFonts w:hint="eastAsia" w:ascii="仿宋" w:hAnsi="仿宋" w:eastAsia="仿宋" w:cs="仿宋"/>
          <w:bCs/>
          <w:color w:val="auto"/>
          <w:sz w:val="24"/>
          <w:highlight w:val="none"/>
        </w:rPr>
        <w:t>要求</w:t>
      </w:r>
      <w:r>
        <w:rPr>
          <w:rFonts w:hint="eastAsia" w:ascii="仿宋" w:hAnsi="仿宋" w:eastAsia="仿宋" w:cs="仿宋"/>
          <w:color w:val="auto"/>
          <w:sz w:val="24"/>
          <w:highlight w:val="none"/>
        </w:rPr>
        <w:t>及时修理、重作、更换，并承担由此给甲方造成的损失。</w:t>
      </w:r>
    </w:p>
    <w:p w14:paraId="1C04CA5C">
      <w:pPr>
        <w:autoSpaceDE w:val="0"/>
        <w:autoSpaceDN w:val="0"/>
        <w:adjustRightInd w:val="0"/>
        <w:snapToGrid w:val="0"/>
        <w:spacing w:line="40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15.2 迟延交货的违约责任</w:t>
      </w:r>
    </w:p>
    <w:p w14:paraId="360BA175">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426FA546">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（2）如果乙方没有按照合同规定的时间交货和提供相关服务，甲方有权从货款中扣除误期赔偿费而不影响合同项下的其他补救方法，赔偿费按</w:t>
      </w:r>
      <w:r>
        <w:rPr>
          <w:rFonts w:hint="eastAsia" w:ascii="仿宋" w:hAnsi="仿宋" w:eastAsia="仿宋" w:cs="仿宋"/>
          <w:b/>
          <w:color w:val="auto"/>
          <w:sz w:val="24"/>
          <w:highlight w:val="none"/>
        </w:rPr>
        <w:t>【政府采购合同专用条款】</w:t>
      </w:r>
      <w:r>
        <w:rPr>
          <w:rFonts w:hint="eastAsia" w:ascii="仿宋" w:hAnsi="仿宋" w:eastAsia="仿宋" w:cs="仿宋"/>
          <w:color w:val="auto"/>
          <w:sz w:val="24"/>
          <w:highlight w:val="none"/>
        </w:rPr>
        <w:t>规定执行。如果涉及公共利益，且赔偿金额无法弥补公共利益损失，甲方可要求继续履行或者采取其他补救措施。</w:t>
      </w:r>
    </w:p>
    <w:p w14:paraId="0EFF3208">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15.3 迟延支付的违约责任</w:t>
      </w:r>
    </w:p>
    <w:p w14:paraId="26A434CF">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甲方存在迟延支付乙方合同款项的，应当承担</w:t>
      </w:r>
      <w:r>
        <w:rPr>
          <w:rFonts w:hint="eastAsia" w:ascii="仿宋" w:hAnsi="仿宋" w:eastAsia="仿宋" w:cs="仿宋"/>
          <w:b/>
          <w:bCs/>
          <w:color w:val="auto"/>
          <w:sz w:val="24"/>
          <w:highlight w:val="none"/>
        </w:rPr>
        <w:t>【政府采购合同专用条款】</w:t>
      </w:r>
      <w:r>
        <w:rPr>
          <w:rFonts w:hint="eastAsia" w:ascii="仿宋" w:hAnsi="仿宋" w:eastAsia="仿宋" w:cs="仿宋"/>
          <w:color w:val="auto"/>
          <w:sz w:val="24"/>
          <w:highlight w:val="none"/>
        </w:rPr>
        <w:t>规定的逾期付款利息。</w:t>
      </w:r>
    </w:p>
    <w:p w14:paraId="6900BA97">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15.4其他违约责任根据项目实际需要按</w:t>
      </w:r>
      <w:r>
        <w:rPr>
          <w:rFonts w:hint="eastAsia" w:ascii="仿宋" w:hAnsi="仿宋" w:eastAsia="仿宋" w:cs="仿宋"/>
          <w:b/>
          <w:bCs/>
          <w:color w:val="auto"/>
          <w:sz w:val="24"/>
          <w:highlight w:val="none"/>
        </w:rPr>
        <w:t>【政府采购合同专用条款】</w:t>
      </w:r>
      <w:r>
        <w:rPr>
          <w:rFonts w:hint="eastAsia" w:ascii="仿宋" w:hAnsi="仿宋" w:eastAsia="仿宋" w:cs="仿宋"/>
          <w:color w:val="auto"/>
          <w:sz w:val="24"/>
          <w:highlight w:val="none"/>
        </w:rPr>
        <w:t>规定执行。</w:t>
      </w:r>
    </w:p>
    <w:p w14:paraId="26A737C0">
      <w:pPr>
        <w:numPr>
          <w:ilvl w:val="0"/>
          <w:numId w:val="10"/>
        </w:numPr>
        <w:autoSpaceDE w:val="0"/>
        <w:autoSpaceDN w:val="0"/>
        <w:adjustRightInd w:val="0"/>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合同变更、中止与终止</w:t>
      </w:r>
    </w:p>
    <w:p w14:paraId="4C96D29A">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16.1合同的变更</w:t>
      </w:r>
    </w:p>
    <w:p w14:paraId="7EADE7FF">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政府采购合同履行中，在不改变合同其他条款的前提下，甲方可以在合同价款10%的范围内追加与合同标的相同的货物，并就此与乙方协商一致后签订补充协议。</w:t>
      </w:r>
    </w:p>
    <w:p w14:paraId="029997C3">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16.2合同的中止</w:t>
      </w:r>
    </w:p>
    <w:p w14:paraId="72900A40">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（1）合同履行过程中因供应商就采购文件、采购过程或结果提起投诉的，甲方认为有必要的，可以中止合同的履行。</w:t>
      </w:r>
    </w:p>
    <w:p w14:paraId="7FB8E823">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D5816E0">
      <w:pPr>
        <w:pStyle w:val="194"/>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（3）乙方分立、合并或者变更住所的，应当及时以书面形式告知甲方。乙方没有及时告知甲方，致使合同履行发生困难的，甲方可以中止合同履行并要求乙方承担由此给甲方造成的损失。</w:t>
      </w:r>
    </w:p>
    <w:p w14:paraId="17C52733">
      <w:pPr>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（4）甲方不得以行政区划调整、政府换届、机构或者职能调整以及相关责任人更替为由中止合同。</w:t>
      </w:r>
    </w:p>
    <w:p w14:paraId="2E3CDE3C">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16.3合同的终止</w:t>
      </w:r>
    </w:p>
    <w:p w14:paraId="4146F368">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（1）合同因有效期限届满而终止；</w:t>
      </w:r>
    </w:p>
    <w:p w14:paraId="78544FDF">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（2）乙方未按合同约定履行，构成根本性违约的，甲方有权终止合同，并追究乙方的违约责任。</w:t>
      </w:r>
    </w:p>
    <w:p w14:paraId="42C07214">
      <w:pPr>
        <w:pStyle w:val="194"/>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16.4 </w:t>
      </w:r>
      <w:r>
        <w:rPr>
          <w:rFonts w:hint="eastAsia" w:ascii="仿宋" w:hAnsi="仿宋" w:eastAsia="仿宋" w:cs="仿宋"/>
          <w:color w:val="auto"/>
          <w:kern w:val="2"/>
          <w:sz w:val="24"/>
          <w:szCs w:val="24"/>
          <w:highlight w:val="none"/>
        </w:rPr>
        <w:t>涉及国家利益、社会公共利益的情形</w:t>
      </w:r>
    </w:p>
    <w:p w14:paraId="0DAA393A">
      <w:pPr>
        <w:pStyle w:val="194"/>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政府采购合同继续履行将损害国家利益和社会公共利益的，双方当事人应当变更、中止或者终止合同。有过错的一方应当承担赔偿责任，双方都有过错的，各自承担相应的责任。</w:t>
      </w:r>
    </w:p>
    <w:p w14:paraId="051820B4">
      <w:pPr>
        <w:autoSpaceDE w:val="0"/>
        <w:autoSpaceDN w:val="0"/>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17. 合同分包</w:t>
      </w:r>
    </w:p>
    <w:p w14:paraId="64953C00">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17.1 乙方不得将合同转包给其他供应商。涉及合同分包的，乙方应根据采购文件和投标（响应）文件规定进行合同分包。</w:t>
      </w:r>
    </w:p>
    <w:p w14:paraId="29BC2039">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17.2 乙方执行政府采购政策向中小企业依法分包的，乙方应当按采购文件和投标（响应）文件签订分包意向协议，分包意向协议属于本合同组成部分。</w:t>
      </w:r>
    </w:p>
    <w:p w14:paraId="4FF5FD02">
      <w:pPr>
        <w:autoSpaceDE w:val="0"/>
        <w:autoSpaceDN w:val="0"/>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18. 不可抗力</w:t>
      </w:r>
    </w:p>
    <w:p w14:paraId="30043432">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18.1 不可抗力是指合同双方不能预见、不能避免且不能克服的客观情况。</w:t>
      </w:r>
    </w:p>
    <w:p w14:paraId="66A09669">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18.2 任何一方对由于不可抗力造成的部分或全部不能履行合同不承担违约责任。但迟延履行后发生不可抗力的，不能免除责任。</w:t>
      </w:r>
    </w:p>
    <w:p w14:paraId="2021F74F">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025230BC">
      <w:pPr>
        <w:autoSpaceDE w:val="0"/>
        <w:autoSpaceDN w:val="0"/>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19. 解决争议的方法</w:t>
      </w:r>
    </w:p>
    <w:p w14:paraId="494C1DED">
      <w:pPr>
        <w:pStyle w:val="194"/>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 因本合同及合同有关事项发生的争议，由甲乙双方友好协商解决。协商不成时，可以向有关组织申请调解。合同一方或双方不愿调解或调解不成的，可以通过仲裁或诉讼的方式解决争议。</w:t>
      </w:r>
    </w:p>
    <w:p w14:paraId="162E7F21">
      <w:pPr>
        <w:pStyle w:val="194"/>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选择仲裁的，应在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中明确仲裁机构及仲裁地；通过诉讼方式解决的，可以在</w:t>
      </w:r>
      <w:r>
        <w:rPr>
          <w:rFonts w:hint="eastAsia" w:ascii="仿宋" w:hAnsi="仿宋" w:eastAsia="仿宋" w:cs="仿宋"/>
          <w:b/>
          <w:bCs/>
          <w:color w:val="auto"/>
          <w:sz w:val="24"/>
          <w:szCs w:val="24"/>
          <w:highlight w:val="none"/>
        </w:rPr>
        <w:t>【政府采购合同专用条款】</w:t>
      </w:r>
      <w:r>
        <w:rPr>
          <w:rFonts w:hint="eastAsia" w:ascii="仿宋" w:hAnsi="仿宋" w:eastAsia="仿宋" w:cs="仿宋"/>
          <w:color w:val="auto"/>
          <w:sz w:val="24"/>
          <w:szCs w:val="24"/>
          <w:highlight w:val="none"/>
        </w:rPr>
        <w:t>中进一步约定选择与争议有实际联系的地点的人民法院管辖，但管辖法院的约定不得违反级别管辖和专属管辖的规定。</w:t>
      </w:r>
    </w:p>
    <w:p w14:paraId="5D34BECA">
      <w:pPr>
        <w:pStyle w:val="194"/>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19.3 如甲乙双方有争议的事项不影响合同其他部分的履行，在争议解决期间，合同其他部分应当继续履行。</w:t>
      </w:r>
    </w:p>
    <w:p w14:paraId="4C12BF6C">
      <w:pPr>
        <w:autoSpaceDE w:val="0"/>
        <w:autoSpaceDN w:val="0"/>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20. 政府采购政策</w:t>
      </w:r>
    </w:p>
    <w:p w14:paraId="367C90B1">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20.1 </w:t>
      </w:r>
      <w:r>
        <w:rPr>
          <w:rFonts w:hint="eastAsia" w:ascii="仿宋" w:hAnsi="仿宋" w:eastAsia="仿宋" w:cs="仿宋"/>
          <w:color w:val="auto"/>
          <w:sz w:val="24"/>
          <w:highlight w:val="none"/>
          <w:lang w:val="en-GB"/>
        </w:rPr>
        <w:t>本合同应当按照规定执行政府采购政策。</w:t>
      </w:r>
    </w:p>
    <w:p w14:paraId="5F8A1FA3">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20.2 本合同依法执行政府采购政策的方式和内容，属于合同履约验收的范围。甲乙双方</w:t>
      </w:r>
      <w:r>
        <w:rPr>
          <w:rFonts w:hint="eastAsia" w:ascii="仿宋" w:hAnsi="仿宋" w:eastAsia="仿宋" w:cs="仿宋"/>
          <w:color w:val="auto"/>
          <w:sz w:val="24"/>
          <w:highlight w:val="none"/>
          <w:lang w:val="en-GB"/>
        </w:rPr>
        <w:t>未按规定要求执行政府采购政策造成损失的</w:t>
      </w:r>
      <w:r>
        <w:rPr>
          <w:rFonts w:hint="eastAsia" w:ascii="仿宋" w:hAnsi="仿宋" w:eastAsia="仿宋" w:cs="仿宋"/>
          <w:color w:val="auto"/>
          <w:sz w:val="24"/>
          <w:highlight w:val="none"/>
        </w:rPr>
        <w:t>，有过错的一方应当承担赔偿责任，双方都有过错的，各自承担相应的责任。</w:t>
      </w:r>
    </w:p>
    <w:p w14:paraId="3C04154D">
      <w:pPr>
        <w:autoSpaceDE w:val="0"/>
        <w:autoSpaceDN w:val="0"/>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3B7365FD">
      <w:pPr>
        <w:autoSpaceDE w:val="0"/>
        <w:autoSpaceDN w:val="0"/>
        <w:adjustRightInd w:val="0"/>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21. 法律适用</w:t>
      </w:r>
    </w:p>
    <w:p w14:paraId="6CA0275A">
      <w:pPr>
        <w:pStyle w:val="194"/>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21.1 本合同的订立、生效、解释、履行及与本合同有关的争议解决，均适用法律、行政法规。</w:t>
      </w:r>
    </w:p>
    <w:p w14:paraId="1DB09871">
      <w:pPr>
        <w:pStyle w:val="194"/>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21.2 本合同条款与法律、行政法规的强制性规定不一致的，双方当事人应按照法律、行政法规的强制性规定修改本合同的相关条款。</w:t>
      </w:r>
    </w:p>
    <w:p w14:paraId="59BEC464">
      <w:pPr>
        <w:autoSpaceDE w:val="0"/>
        <w:autoSpaceDN w:val="0"/>
        <w:adjustRightInd w:val="0"/>
        <w:snapToGrid w:val="0"/>
        <w:spacing w:line="40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 通知</w:t>
      </w:r>
    </w:p>
    <w:p w14:paraId="0CE144A7">
      <w:pPr>
        <w:pStyle w:val="194"/>
        <w:ind w:firstLine="48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本合同任何一方向对方发出的通知、信件、数据电文等，应当发送至本合同第一部分《政府采购合同协议书》所约定的通讯地址、联系人、联系电话或电子邮箱。</w:t>
      </w:r>
    </w:p>
    <w:p w14:paraId="4F133E34">
      <w:pPr>
        <w:pStyle w:val="194"/>
        <w:ind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22.2 一方当事人变更名称、住所、联系人、联系电话或电子邮箱等信息的，应当在变更后3日内及时书面通知对方，对方实际收到变更通知前的送达仍为有效送达。</w:t>
      </w:r>
    </w:p>
    <w:p w14:paraId="04F562EA">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22.3本合同一方给另一方的通知均应采用书面形式，传真或快递送到本合同中规定的对方的地址和办理签收手续。</w:t>
      </w:r>
    </w:p>
    <w:p w14:paraId="71F40415">
      <w:pPr>
        <w:adjustRightInd w:val="0"/>
        <w:snapToGrid w:val="0"/>
        <w:spacing w:line="40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22.4通知以送达之日或通知书中规定的生效之日起生效，两者中以较迟之日为准。</w:t>
      </w:r>
    </w:p>
    <w:p w14:paraId="674FD821">
      <w:pPr>
        <w:numPr>
          <w:ilvl w:val="0"/>
          <w:numId w:val="11"/>
        </w:numPr>
        <w:adjustRightInd w:val="0"/>
        <w:snapToGrid w:val="0"/>
        <w:spacing w:line="400" w:lineRule="exact"/>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合同未尽事项</w:t>
      </w:r>
    </w:p>
    <w:p w14:paraId="62776FA4">
      <w:pPr>
        <w:adjustRightInd w:val="0"/>
        <w:snapToGrid w:val="0"/>
        <w:spacing w:line="40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23.1合同未尽事项见</w:t>
      </w:r>
      <w:r>
        <w:rPr>
          <w:rFonts w:hint="eastAsia" w:ascii="仿宋" w:hAnsi="仿宋" w:eastAsia="仿宋" w:cs="仿宋"/>
          <w:b/>
          <w:color w:val="auto"/>
          <w:sz w:val="24"/>
          <w:highlight w:val="none"/>
        </w:rPr>
        <w:t>【政府采购合同专用条款】</w:t>
      </w:r>
      <w:r>
        <w:rPr>
          <w:rFonts w:hint="eastAsia" w:ascii="仿宋" w:hAnsi="仿宋" w:eastAsia="仿宋" w:cs="仿宋"/>
          <w:bCs/>
          <w:color w:val="auto"/>
          <w:sz w:val="24"/>
          <w:highlight w:val="none"/>
        </w:rPr>
        <w:t>。</w:t>
      </w:r>
    </w:p>
    <w:p w14:paraId="634B5D39">
      <w:pPr>
        <w:adjustRightInd w:val="0"/>
        <w:snapToGrid w:val="0"/>
        <w:spacing w:line="400" w:lineRule="exact"/>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 xml:space="preserve">    23.2 合同附件与合同正文具有同等的法律效力。</w:t>
      </w:r>
      <w:bookmarkStart w:id="230" w:name="_Toc20313"/>
    </w:p>
    <w:p w14:paraId="2C5C0F0D">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72DAD2D6">
      <w:pPr>
        <w:pStyle w:val="4"/>
        <w:adjustRightInd w:val="0"/>
        <w:snapToGrid w:val="0"/>
        <w:ind w:left="3690" w:hanging="36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第三节 政府采购合同专用条款</w:t>
      </w:r>
      <w:bookmarkEnd w:id="230"/>
    </w:p>
    <w:tbl>
      <w:tblPr>
        <w:tblStyle w:val="38"/>
        <w:tblW w:w="9037"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688"/>
      </w:tblGrid>
      <w:tr w14:paraId="0901D4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F6F8640">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40C2E5BE">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第1.2（6）项</w:t>
            </w:r>
          </w:p>
        </w:tc>
        <w:tc>
          <w:tcPr>
            <w:tcW w:w="1742" w:type="dxa"/>
            <w:noWrap w:val="0"/>
            <w:vAlign w:val="center"/>
          </w:tcPr>
          <w:p w14:paraId="11B09F50">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联合体具体要求</w:t>
            </w:r>
          </w:p>
        </w:tc>
        <w:tc>
          <w:tcPr>
            <w:tcW w:w="5688" w:type="dxa"/>
            <w:noWrap w:val="0"/>
            <w:vAlign w:val="center"/>
          </w:tcPr>
          <w:p w14:paraId="6D845F56">
            <w:pPr>
              <w:adjustRightInd w:val="0"/>
              <w:snapToGrid w:val="0"/>
              <w:jc w:val="left"/>
              <w:rPr>
                <w:rFonts w:hint="eastAsia" w:ascii="仿宋" w:hAnsi="仿宋" w:eastAsia="仿宋" w:cs="仿宋"/>
                <w:color w:val="auto"/>
                <w:sz w:val="24"/>
                <w:highlight w:val="none"/>
              </w:rPr>
            </w:pPr>
          </w:p>
        </w:tc>
      </w:tr>
      <w:tr w14:paraId="711D32C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noWrap w:val="0"/>
            <w:vAlign w:val="center"/>
          </w:tcPr>
          <w:p w14:paraId="163EC0D4">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78F86D84">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第1.2（7）项</w:t>
            </w:r>
          </w:p>
        </w:tc>
        <w:tc>
          <w:tcPr>
            <w:tcW w:w="1742" w:type="dxa"/>
            <w:noWrap w:val="0"/>
            <w:vAlign w:val="center"/>
          </w:tcPr>
          <w:p w14:paraId="40407526">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其他术语解释</w:t>
            </w:r>
          </w:p>
        </w:tc>
        <w:tc>
          <w:tcPr>
            <w:tcW w:w="5688" w:type="dxa"/>
            <w:noWrap w:val="0"/>
            <w:vAlign w:val="center"/>
          </w:tcPr>
          <w:p w14:paraId="462A1176">
            <w:pPr>
              <w:adjustRightInd w:val="0"/>
              <w:snapToGrid w:val="0"/>
              <w:jc w:val="left"/>
              <w:rPr>
                <w:rFonts w:hint="eastAsia" w:ascii="仿宋" w:hAnsi="仿宋" w:eastAsia="仿宋" w:cs="仿宋"/>
                <w:color w:val="auto"/>
                <w:sz w:val="24"/>
                <w:highlight w:val="none"/>
              </w:rPr>
            </w:pPr>
          </w:p>
        </w:tc>
      </w:tr>
      <w:tr w14:paraId="37ED4E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3457F3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53997224">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第4.4款</w:t>
            </w:r>
          </w:p>
        </w:tc>
        <w:tc>
          <w:tcPr>
            <w:tcW w:w="1742" w:type="dxa"/>
            <w:noWrap w:val="0"/>
            <w:vAlign w:val="center"/>
          </w:tcPr>
          <w:p w14:paraId="174E0545">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履约验收中甲方提出异议或作出说明的期限</w:t>
            </w:r>
          </w:p>
        </w:tc>
        <w:tc>
          <w:tcPr>
            <w:tcW w:w="5688" w:type="dxa"/>
            <w:noWrap w:val="0"/>
            <w:vAlign w:val="center"/>
          </w:tcPr>
          <w:p w14:paraId="30D21EEF">
            <w:pPr>
              <w:adjustRightInd w:val="0"/>
              <w:snapToGrid w:val="0"/>
              <w:jc w:val="left"/>
              <w:rPr>
                <w:rFonts w:hint="eastAsia" w:ascii="仿宋" w:hAnsi="仿宋" w:eastAsia="仿宋" w:cs="仿宋"/>
                <w:color w:val="auto"/>
                <w:sz w:val="24"/>
                <w:highlight w:val="none"/>
              </w:rPr>
            </w:pPr>
          </w:p>
        </w:tc>
      </w:tr>
      <w:tr w14:paraId="4A2C6D2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B966E7A">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3180397B">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第4.6款</w:t>
            </w:r>
          </w:p>
        </w:tc>
        <w:tc>
          <w:tcPr>
            <w:tcW w:w="1742" w:type="dxa"/>
            <w:noWrap w:val="0"/>
            <w:vAlign w:val="center"/>
          </w:tcPr>
          <w:p w14:paraId="641189B8">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约定甲方承担的其他义务和责任</w:t>
            </w:r>
          </w:p>
        </w:tc>
        <w:tc>
          <w:tcPr>
            <w:tcW w:w="5688" w:type="dxa"/>
            <w:noWrap w:val="0"/>
            <w:vAlign w:val="center"/>
          </w:tcPr>
          <w:p w14:paraId="07D14CFF">
            <w:pPr>
              <w:adjustRightInd w:val="0"/>
              <w:snapToGrid w:val="0"/>
              <w:jc w:val="left"/>
              <w:rPr>
                <w:rFonts w:hint="eastAsia" w:ascii="仿宋" w:hAnsi="仿宋" w:eastAsia="仿宋" w:cs="仿宋"/>
                <w:color w:val="auto"/>
                <w:sz w:val="24"/>
                <w:highlight w:val="none"/>
              </w:rPr>
            </w:pPr>
          </w:p>
        </w:tc>
      </w:tr>
      <w:tr w14:paraId="5C1C966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57B5E1D">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7F81EC51">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第5.4款</w:t>
            </w:r>
          </w:p>
        </w:tc>
        <w:tc>
          <w:tcPr>
            <w:tcW w:w="1742" w:type="dxa"/>
            <w:noWrap w:val="0"/>
            <w:vAlign w:val="center"/>
          </w:tcPr>
          <w:p w14:paraId="124CF1FF">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约定乙方承担的其他义务和责任</w:t>
            </w:r>
          </w:p>
        </w:tc>
        <w:tc>
          <w:tcPr>
            <w:tcW w:w="5688" w:type="dxa"/>
            <w:noWrap w:val="0"/>
            <w:vAlign w:val="center"/>
          </w:tcPr>
          <w:p w14:paraId="1C06027D">
            <w:pPr>
              <w:adjustRightInd w:val="0"/>
              <w:snapToGrid w:val="0"/>
              <w:jc w:val="left"/>
              <w:rPr>
                <w:rFonts w:hint="eastAsia" w:ascii="仿宋" w:hAnsi="仿宋" w:eastAsia="仿宋" w:cs="仿宋"/>
                <w:color w:val="auto"/>
                <w:sz w:val="24"/>
                <w:highlight w:val="none"/>
              </w:rPr>
            </w:pPr>
          </w:p>
        </w:tc>
      </w:tr>
      <w:tr w14:paraId="118A184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4C8765EC">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18E6833F">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第6.1款</w:t>
            </w:r>
          </w:p>
        </w:tc>
        <w:tc>
          <w:tcPr>
            <w:tcW w:w="1742" w:type="dxa"/>
            <w:noWrap w:val="0"/>
            <w:vAlign w:val="center"/>
          </w:tcPr>
          <w:p w14:paraId="64289B23">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履行合同义务的顺序</w:t>
            </w:r>
          </w:p>
        </w:tc>
        <w:tc>
          <w:tcPr>
            <w:tcW w:w="5688" w:type="dxa"/>
            <w:noWrap w:val="0"/>
            <w:vAlign w:val="center"/>
          </w:tcPr>
          <w:p w14:paraId="5EECF70E">
            <w:pPr>
              <w:adjustRightInd w:val="0"/>
              <w:snapToGrid w:val="0"/>
              <w:jc w:val="left"/>
              <w:rPr>
                <w:rFonts w:hint="eastAsia" w:ascii="仿宋" w:hAnsi="仿宋" w:eastAsia="仿宋" w:cs="仿宋"/>
                <w:color w:val="auto"/>
                <w:sz w:val="24"/>
                <w:highlight w:val="none"/>
              </w:rPr>
            </w:pPr>
          </w:p>
        </w:tc>
      </w:tr>
      <w:tr w14:paraId="19B623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noWrap w:val="0"/>
            <w:vAlign w:val="center"/>
          </w:tcPr>
          <w:p w14:paraId="21EDDAC1">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6B8247D4">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第7.1款</w:t>
            </w:r>
          </w:p>
        </w:tc>
        <w:tc>
          <w:tcPr>
            <w:tcW w:w="1742" w:type="dxa"/>
            <w:noWrap w:val="0"/>
            <w:vAlign w:val="center"/>
          </w:tcPr>
          <w:p w14:paraId="06964052">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包装特殊要求</w:t>
            </w:r>
          </w:p>
        </w:tc>
        <w:tc>
          <w:tcPr>
            <w:tcW w:w="5688" w:type="dxa"/>
            <w:noWrap w:val="0"/>
            <w:vAlign w:val="center"/>
          </w:tcPr>
          <w:p w14:paraId="1CBEB96A">
            <w:pPr>
              <w:rPr>
                <w:rFonts w:hint="eastAsia" w:ascii="仿宋" w:hAnsi="仿宋" w:eastAsia="仿宋" w:cs="仿宋"/>
                <w:color w:val="auto"/>
                <w:sz w:val="24"/>
                <w:highlight w:val="none"/>
              </w:rPr>
            </w:pPr>
          </w:p>
        </w:tc>
      </w:tr>
      <w:tr w14:paraId="14923A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noWrap w:val="0"/>
            <w:vAlign w:val="center"/>
          </w:tcPr>
          <w:p w14:paraId="2C6F4F98">
            <w:pPr>
              <w:adjustRightInd w:val="0"/>
              <w:snapToGrid w:val="0"/>
              <w:jc w:val="center"/>
              <w:rPr>
                <w:rFonts w:hint="eastAsia" w:ascii="仿宋" w:hAnsi="仿宋" w:eastAsia="仿宋" w:cs="仿宋"/>
                <w:color w:val="auto"/>
                <w:sz w:val="24"/>
                <w:highlight w:val="none"/>
              </w:rPr>
            </w:pPr>
          </w:p>
        </w:tc>
        <w:tc>
          <w:tcPr>
            <w:tcW w:w="1742" w:type="dxa"/>
            <w:noWrap w:val="0"/>
            <w:vAlign w:val="center"/>
          </w:tcPr>
          <w:p w14:paraId="49BF1BD9">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指定现场</w:t>
            </w:r>
          </w:p>
        </w:tc>
        <w:tc>
          <w:tcPr>
            <w:tcW w:w="5688" w:type="dxa"/>
            <w:noWrap w:val="0"/>
            <w:vAlign w:val="center"/>
          </w:tcPr>
          <w:p w14:paraId="466DF047">
            <w:pPr>
              <w:rPr>
                <w:rFonts w:hint="eastAsia" w:ascii="仿宋" w:hAnsi="仿宋" w:eastAsia="仿宋" w:cs="仿宋"/>
                <w:color w:val="auto"/>
                <w:sz w:val="24"/>
                <w:highlight w:val="none"/>
              </w:rPr>
            </w:pPr>
          </w:p>
        </w:tc>
      </w:tr>
      <w:tr w14:paraId="424931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noWrap w:val="0"/>
            <w:vAlign w:val="center"/>
          </w:tcPr>
          <w:p w14:paraId="1F77A414">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7E4882F4">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第7.2款</w:t>
            </w:r>
          </w:p>
        </w:tc>
        <w:tc>
          <w:tcPr>
            <w:tcW w:w="1742" w:type="dxa"/>
            <w:noWrap w:val="0"/>
            <w:vAlign w:val="center"/>
          </w:tcPr>
          <w:p w14:paraId="6A785376">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运输特殊要求</w:t>
            </w:r>
          </w:p>
        </w:tc>
        <w:tc>
          <w:tcPr>
            <w:tcW w:w="5688" w:type="dxa"/>
            <w:noWrap w:val="0"/>
            <w:vAlign w:val="center"/>
          </w:tcPr>
          <w:p w14:paraId="53E4D736">
            <w:pPr>
              <w:rPr>
                <w:rFonts w:hint="eastAsia" w:ascii="仿宋" w:hAnsi="仿宋" w:eastAsia="仿宋" w:cs="仿宋"/>
                <w:color w:val="auto"/>
                <w:sz w:val="24"/>
                <w:highlight w:val="none"/>
              </w:rPr>
            </w:pPr>
          </w:p>
        </w:tc>
      </w:tr>
      <w:tr w14:paraId="287072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noWrap w:val="0"/>
            <w:vAlign w:val="center"/>
          </w:tcPr>
          <w:p w14:paraId="53B0B7D4">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46660B27">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第7.3款</w:t>
            </w:r>
          </w:p>
        </w:tc>
        <w:tc>
          <w:tcPr>
            <w:tcW w:w="1742" w:type="dxa"/>
            <w:noWrap w:val="0"/>
            <w:vAlign w:val="center"/>
          </w:tcPr>
          <w:p w14:paraId="31EF4890">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保险要求</w:t>
            </w:r>
          </w:p>
        </w:tc>
        <w:tc>
          <w:tcPr>
            <w:tcW w:w="5688" w:type="dxa"/>
            <w:noWrap w:val="0"/>
            <w:vAlign w:val="center"/>
          </w:tcPr>
          <w:p w14:paraId="1DCE7D8F">
            <w:pPr>
              <w:rPr>
                <w:rFonts w:hint="eastAsia" w:ascii="仿宋" w:hAnsi="仿宋" w:eastAsia="仿宋" w:cs="仿宋"/>
                <w:color w:val="auto"/>
                <w:sz w:val="24"/>
                <w:highlight w:val="none"/>
              </w:rPr>
            </w:pPr>
          </w:p>
        </w:tc>
      </w:tr>
      <w:tr w14:paraId="003322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39A697D3">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3F93A955">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第8.2（1）项</w:t>
            </w:r>
          </w:p>
        </w:tc>
        <w:tc>
          <w:tcPr>
            <w:tcW w:w="1742" w:type="dxa"/>
            <w:noWrap w:val="0"/>
            <w:vAlign w:val="center"/>
          </w:tcPr>
          <w:p w14:paraId="22452E0E">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质量保证期</w:t>
            </w:r>
          </w:p>
        </w:tc>
        <w:tc>
          <w:tcPr>
            <w:tcW w:w="5688" w:type="dxa"/>
            <w:noWrap w:val="0"/>
            <w:vAlign w:val="center"/>
          </w:tcPr>
          <w:p w14:paraId="0D19C039">
            <w:pPr>
              <w:autoSpaceDE w:val="0"/>
              <w:autoSpaceDN w:val="0"/>
              <w:adjustRightInd w:val="0"/>
              <w:snapToGrid w:val="0"/>
              <w:ind w:firstLine="480" w:firstLineChars="200"/>
              <w:jc w:val="left"/>
              <w:rPr>
                <w:rFonts w:hint="eastAsia" w:ascii="仿宋" w:hAnsi="仿宋" w:eastAsia="仿宋" w:cs="仿宋"/>
                <w:color w:val="auto"/>
                <w:sz w:val="24"/>
                <w:highlight w:val="none"/>
              </w:rPr>
            </w:pPr>
          </w:p>
        </w:tc>
      </w:tr>
      <w:tr w14:paraId="726876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57C8BEF2">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4716A15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第8.2（3）项</w:t>
            </w:r>
          </w:p>
        </w:tc>
        <w:tc>
          <w:tcPr>
            <w:tcW w:w="1742" w:type="dxa"/>
            <w:noWrap w:val="0"/>
            <w:vAlign w:val="center"/>
          </w:tcPr>
          <w:p w14:paraId="60C35FAB">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货物质量缺陷</w:t>
            </w:r>
          </w:p>
          <w:p w14:paraId="10A1D132">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响应时间</w:t>
            </w:r>
          </w:p>
        </w:tc>
        <w:tc>
          <w:tcPr>
            <w:tcW w:w="5688" w:type="dxa"/>
            <w:noWrap w:val="0"/>
            <w:vAlign w:val="center"/>
          </w:tcPr>
          <w:p w14:paraId="058B76C5">
            <w:pPr>
              <w:adjustRightInd w:val="0"/>
              <w:snapToGrid w:val="0"/>
              <w:jc w:val="left"/>
              <w:rPr>
                <w:rFonts w:hint="eastAsia" w:ascii="仿宋" w:hAnsi="仿宋" w:eastAsia="仿宋" w:cs="仿宋"/>
                <w:color w:val="auto"/>
                <w:sz w:val="24"/>
                <w:highlight w:val="none"/>
              </w:rPr>
            </w:pPr>
          </w:p>
        </w:tc>
      </w:tr>
      <w:tr w14:paraId="44787C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625D7CB">
            <w:pPr>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0261FAB6">
            <w:pPr>
              <w:pStyle w:val="194"/>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第11.1款</w:t>
            </w:r>
          </w:p>
        </w:tc>
        <w:tc>
          <w:tcPr>
            <w:tcW w:w="1742" w:type="dxa"/>
            <w:noWrap w:val="0"/>
            <w:vAlign w:val="center"/>
          </w:tcPr>
          <w:p w14:paraId="50D3F52B">
            <w:pPr>
              <w:adjustRightInd w:val="0"/>
              <w:snapToGrid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其他应当保密的信息</w:t>
            </w:r>
          </w:p>
        </w:tc>
        <w:tc>
          <w:tcPr>
            <w:tcW w:w="5688" w:type="dxa"/>
            <w:noWrap w:val="0"/>
            <w:vAlign w:val="center"/>
          </w:tcPr>
          <w:p w14:paraId="2272570E">
            <w:pPr>
              <w:adjustRightInd w:val="0"/>
              <w:snapToGrid w:val="0"/>
              <w:jc w:val="left"/>
              <w:rPr>
                <w:rFonts w:hint="eastAsia" w:ascii="仿宋" w:hAnsi="仿宋" w:eastAsia="仿宋" w:cs="仿宋"/>
                <w:color w:val="auto"/>
                <w:sz w:val="24"/>
                <w:highlight w:val="none"/>
              </w:rPr>
            </w:pPr>
          </w:p>
        </w:tc>
      </w:tr>
      <w:tr w14:paraId="20D1D4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135014FB">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32EF8F4A">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第12.2款</w:t>
            </w:r>
          </w:p>
        </w:tc>
        <w:tc>
          <w:tcPr>
            <w:tcW w:w="1742" w:type="dxa"/>
            <w:noWrap w:val="0"/>
            <w:vAlign w:val="center"/>
          </w:tcPr>
          <w:p w14:paraId="059C1B0A">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合同价款支付时间</w:t>
            </w:r>
          </w:p>
        </w:tc>
        <w:tc>
          <w:tcPr>
            <w:tcW w:w="5688" w:type="dxa"/>
            <w:noWrap w:val="0"/>
            <w:vAlign w:val="center"/>
          </w:tcPr>
          <w:p w14:paraId="125F383D">
            <w:pPr>
              <w:adjustRightInd w:val="0"/>
              <w:snapToGrid w:val="0"/>
              <w:jc w:val="left"/>
              <w:rPr>
                <w:rFonts w:hint="eastAsia" w:ascii="仿宋" w:hAnsi="仿宋" w:eastAsia="仿宋" w:cs="仿宋"/>
                <w:color w:val="auto"/>
                <w:sz w:val="24"/>
                <w:highlight w:val="none"/>
              </w:rPr>
            </w:pPr>
          </w:p>
        </w:tc>
      </w:tr>
      <w:tr w14:paraId="1C5347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noWrap w:val="0"/>
            <w:vAlign w:val="center"/>
          </w:tcPr>
          <w:p w14:paraId="73B23306">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6A4CE43D">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第13.2款</w:t>
            </w:r>
          </w:p>
        </w:tc>
        <w:tc>
          <w:tcPr>
            <w:tcW w:w="1742" w:type="dxa"/>
            <w:noWrap w:val="0"/>
            <w:vAlign w:val="center"/>
          </w:tcPr>
          <w:p w14:paraId="6D6F352F">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履约保证金不予退还的情形</w:t>
            </w:r>
          </w:p>
        </w:tc>
        <w:tc>
          <w:tcPr>
            <w:tcW w:w="5688" w:type="dxa"/>
            <w:noWrap w:val="0"/>
            <w:vAlign w:val="center"/>
          </w:tcPr>
          <w:p w14:paraId="1B835B0B">
            <w:pPr>
              <w:adjustRightInd w:val="0"/>
              <w:snapToGrid w:val="0"/>
              <w:jc w:val="left"/>
              <w:rPr>
                <w:rFonts w:hint="eastAsia" w:ascii="仿宋" w:hAnsi="仿宋" w:eastAsia="仿宋" w:cs="仿宋"/>
                <w:color w:val="auto"/>
                <w:sz w:val="24"/>
                <w:highlight w:val="none"/>
              </w:rPr>
            </w:pPr>
          </w:p>
        </w:tc>
      </w:tr>
      <w:tr w14:paraId="018B46D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02A0018B">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6BA5323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第13.3款</w:t>
            </w:r>
          </w:p>
        </w:tc>
        <w:tc>
          <w:tcPr>
            <w:tcW w:w="1742" w:type="dxa"/>
            <w:noWrap w:val="0"/>
            <w:vAlign w:val="center"/>
          </w:tcPr>
          <w:p w14:paraId="468BEC6C">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履约保证金退还时间及逾期退还的违约金</w:t>
            </w:r>
          </w:p>
        </w:tc>
        <w:tc>
          <w:tcPr>
            <w:tcW w:w="5688" w:type="dxa"/>
            <w:noWrap w:val="0"/>
            <w:vAlign w:val="center"/>
          </w:tcPr>
          <w:p w14:paraId="609179A4">
            <w:pPr>
              <w:adjustRightInd w:val="0"/>
              <w:snapToGrid w:val="0"/>
              <w:jc w:val="left"/>
              <w:rPr>
                <w:rFonts w:hint="eastAsia" w:ascii="仿宋" w:hAnsi="仿宋" w:eastAsia="仿宋" w:cs="仿宋"/>
                <w:color w:val="auto"/>
                <w:sz w:val="24"/>
                <w:highlight w:val="none"/>
              </w:rPr>
            </w:pPr>
          </w:p>
        </w:tc>
      </w:tr>
      <w:tr w14:paraId="6F5217A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334A00C2">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52AFF091">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第14.1（3）项</w:t>
            </w:r>
          </w:p>
        </w:tc>
        <w:tc>
          <w:tcPr>
            <w:tcW w:w="1742" w:type="dxa"/>
            <w:noWrap w:val="0"/>
            <w:vAlign w:val="center"/>
          </w:tcPr>
          <w:p w14:paraId="7BB35A90">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运行监督、维修期限</w:t>
            </w:r>
          </w:p>
        </w:tc>
        <w:tc>
          <w:tcPr>
            <w:tcW w:w="5688" w:type="dxa"/>
            <w:noWrap w:val="0"/>
            <w:vAlign w:val="center"/>
          </w:tcPr>
          <w:p w14:paraId="0A0F0A3C">
            <w:pPr>
              <w:adjustRightInd w:val="0"/>
              <w:snapToGrid w:val="0"/>
              <w:jc w:val="left"/>
              <w:rPr>
                <w:rFonts w:hint="eastAsia" w:ascii="仿宋" w:hAnsi="仿宋" w:eastAsia="仿宋" w:cs="仿宋"/>
                <w:color w:val="auto"/>
                <w:sz w:val="24"/>
                <w:highlight w:val="none"/>
              </w:rPr>
            </w:pPr>
          </w:p>
        </w:tc>
      </w:tr>
      <w:tr w14:paraId="176875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noWrap w:val="0"/>
            <w:vAlign w:val="center"/>
          </w:tcPr>
          <w:p w14:paraId="72B10903">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33A36A9E">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第14.1（5）项</w:t>
            </w:r>
          </w:p>
        </w:tc>
        <w:tc>
          <w:tcPr>
            <w:tcW w:w="1742" w:type="dxa"/>
            <w:noWrap w:val="0"/>
            <w:vAlign w:val="center"/>
          </w:tcPr>
          <w:p w14:paraId="29DCDE89">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货物回收的约定</w:t>
            </w:r>
          </w:p>
        </w:tc>
        <w:tc>
          <w:tcPr>
            <w:tcW w:w="5688" w:type="dxa"/>
            <w:noWrap w:val="0"/>
            <w:vAlign w:val="center"/>
          </w:tcPr>
          <w:p w14:paraId="3E7026C0">
            <w:pPr>
              <w:adjustRightInd w:val="0"/>
              <w:snapToGrid w:val="0"/>
              <w:jc w:val="left"/>
              <w:rPr>
                <w:rFonts w:hint="eastAsia" w:ascii="仿宋" w:hAnsi="仿宋" w:eastAsia="仿宋" w:cs="仿宋"/>
                <w:color w:val="auto"/>
                <w:sz w:val="24"/>
                <w:highlight w:val="none"/>
              </w:rPr>
            </w:pPr>
          </w:p>
        </w:tc>
      </w:tr>
      <w:tr w14:paraId="193DC3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2F30B84E">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4CE9D651">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第14.1（6）项</w:t>
            </w:r>
          </w:p>
        </w:tc>
        <w:tc>
          <w:tcPr>
            <w:tcW w:w="1742" w:type="dxa"/>
            <w:noWrap w:val="0"/>
            <w:vAlign w:val="center"/>
          </w:tcPr>
          <w:p w14:paraId="77795C6D">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乙方提供的其他服务</w:t>
            </w:r>
          </w:p>
        </w:tc>
        <w:tc>
          <w:tcPr>
            <w:tcW w:w="5688" w:type="dxa"/>
            <w:noWrap w:val="0"/>
            <w:vAlign w:val="center"/>
          </w:tcPr>
          <w:p w14:paraId="3DD611B8">
            <w:pPr>
              <w:adjustRightInd w:val="0"/>
              <w:snapToGrid w:val="0"/>
              <w:jc w:val="left"/>
              <w:rPr>
                <w:rFonts w:hint="eastAsia" w:ascii="仿宋" w:hAnsi="仿宋" w:eastAsia="仿宋" w:cs="仿宋"/>
                <w:color w:val="auto"/>
                <w:sz w:val="24"/>
                <w:highlight w:val="none"/>
              </w:rPr>
            </w:pPr>
          </w:p>
        </w:tc>
      </w:tr>
      <w:tr w14:paraId="785455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6A411BF">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2001D999">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第15.1款</w:t>
            </w:r>
          </w:p>
        </w:tc>
        <w:tc>
          <w:tcPr>
            <w:tcW w:w="1742" w:type="dxa"/>
            <w:noWrap w:val="0"/>
            <w:vAlign w:val="center"/>
          </w:tcPr>
          <w:p w14:paraId="746259B2">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修理、重作、更换相关具体规定</w:t>
            </w:r>
          </w:p>
        </w:tc>
        <w:tc>
          <w:tcPr>
            <w:tcW w:w="5688" w:type="dxa"/>
            <w:noWrap w:val="0"/>
            <w:vAlign w:val="center"/>
          </w:tcPr>
          <w:p w14:paraId="00C18D1C">
            <w:pPr>
              <w:adjustRightInd w:val="0"/>
              <w:snapToGrid w:val="0"/>
              <w:jc w:val="left"/>
              <w:rPr>
                <w:rFonts w:hint="eastAsia" w:ascii="仿宋" w:hAnsi="仿宋" w:eastAsia="仿宋" w:cs="仿宋"/>
                <w:color w:val="auto"/>
                <w:sz w:val="24"/>
                <w:highlight w:val="none"/>
              </w:rPr>
            </w:pPr>
          </w:p>
        </w:tc>
      </w:tr>
      <w:tr w14:paraId="231125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10E10BD7">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43757DCA">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第15.2（2）项</w:t>
            </w:r>
          </w:p>
        </w:tc>
        <w:tc>
          <w:tcPr>
            <w:tcW w:w="1742" w:type="dxa"/>
            <w:noWrap w:val="0"/>
            <w:vAlign w:val="center"/>
          </w:tcPr>
          <w:p w14:paraId="2E9C4006">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迟延交货赔偿费</w:t>
            </w:r>
          </w:p>
        </w:tc>
        <w:tc>
          <w:tcPr>
            <w:tcW w:w="5688" w:type="dxa"/>
            <w:noWrap w:val="0"/>
            <w:vAlign w:val="center"/>
          </w:tcPr>
          <w:p w14:paraId="2786B596">
            <w:pPr>
              <w:adjustRightInd w:val="0"/>
              <w:snapToGrid w:val="0"/>
              <w:jc w:val="left"/>
              <w:rPr>
                <w:rFonts w:hint="eastAsia" w:ascii="仿宋" w:hAnsi="仿宋" w:eastAsia="仿宋" w:cs="仿宋"/>
                <w:color w:val="auto"/>
                <w:sz w:val="24"/>
                <w:highlight w:val="none"/>
                <w:u w:val="single"/>
              </w:rPr>
            </w:pPr>
          </w:p>
        </w:tc>
      </w:tr>
      <w:tr w14:paraId="5F1B538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noWrap w:val="0"/>
            <w:vAlign w:val="center"/>
          </w:tcPr>
          <w:p w14:paraId="63A757D7">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451EDC16">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第15.3款</w:t>
            </w:r>
          </w:p>
        </w:tc>
        <w:tc>
          <w:tcPr>
            <w:tcW w:w="1742" w:type="dxa"/>
            <w:noWrap w:val="0"/>
            <w:vAlign w:val="center"/>
          </w:tcPr>
          <w:p w14:paraId="31FF626C">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逾期付款利息</w:t>
            </w:r>
          </w:p>
        </w:tc>
        <w:tc>
          <w:tcPr>
            <w:tcW w:w="5688" w:type="dxa"/>
            <w:noWrap w:val="0"/>
            <w:vAlign w:val="center"/>
          </w:tcPr>
          <w:p w14:paraId="21A0BAB8">
            <w:pPr>
              <w:adjustRightInd w:val="0"/>
              <w:snapToGrid w:val="0"/>
              <w:jc w:val="left"/>
              <w:rPr>
                <w:rFonts w:hint="eastAsia" w:ascii="仿宋" w:hAnsi="仿宋" w:eastAsia="仿宋" w:cs="仿宋"/>
                <w:color w:val="auto"/>
                <w:sz w:val="24"/>
                <w:highlight w:val="none"/>
                <w:u w:val="single"/>
              </w:rPr>
            </w:pPr>
          </w:p>
        </w:tc>
      </w:tr>
      <w:tr w14:paraId="1FD96E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noWrap w:val="0"/>
            <w:vAlign w:val="center"/>
          </w:tcPr>
          <w:p w14:paraId="55555724">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781D42A6">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第15.4款</w:t>
            </w:r>
          </w:p>
        </w:tc>
        <w:tc>
          <w:tcPr>
            <w:tcW w:w="1742" w:type="dxa"/>
            <w:tcBorders>
              <w:left w:val="single" w:color="auto" w:sz="2" w:space="0"/>
              <w:bottom w:val="single" w:color="auto" w:sz="2" w:space="0"/>
              <w:right w:val="single" w:color="auto" w:sz="2" w:space="0"/>
            </w:tcBorders>
            <w:noWrap w:val="0"/>
            <w:vAlign w:val="center"/>
          </w:tcPr>
          <w:p w14:paraId="71434A34">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其他违约责任</w:t>
            </w:r>
          </w:p>
        </w:tc>
        <w:tc>
          <w:tcPr>
            <w:tcW w:w="5688" w:type="dxa"/>
            <w:tcBorders>
              <w:left w:val="single" w:color="auto" w:sz="2" w:space="0"/>
              <w:bottom w:val="single" w:color="auto" w:sz="2" w:space="0"/>
            </w:tcBorders>
            <w:noWrap w:val="0"/>
            <w:vAlign w:val="center"/>
          </w:tcPr>
          <w:p w14:paraId="48F33B99">
            <w:pPr>
              <w:adjustRightInd w:val="0"/>
              <w:snapToGrid w:val="0"/>
              <w:jc w:val="left"/>
              <w:rPr>
                <w:rFonts w:hint="eastAsia" w:ascii="仿宋" w:hAnsi="仿宋" w:eastAsia="仿宋" w:cs="仿宋"/>
                <w:color w:val="auto"/>
                <w:sz w:val="24"/>
                <w:highlight w:val="none"/>
                <w:u w:val="single"/>
              </w:rPr>
            </w:pPr>
          </w:p>
        </w:tc>
      </w:tr>
      <w:tr w14:paraId="0B17829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noWrap w:val="0"/>
            <w:vAlign w:val="center"/>
          </w:tcPr>
          <w:p w14:paraId="32FFDA4C">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7560028D">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第19.2款</w:t>
            </w:r>
          </w:p>
        </w:tc>
        <w:tc>
          <w:tcPr>
            <w:tcW w:w="1742" w:type="dxa"/>
            <w:tcBorders>
              <w:top w:val="single" w:color="auto" w:sz="2" w:space="0"/>
              <w:left w:val="single" w:color="auto" w:sz="2" w:space="0"/>
              <w:right w:val="single" w:color="auto" w:sz="2" w:space="0"/>
            </w:tcBorders>
            <w:noWrap w:val="0"/>
            <w:vAlign w:val="center"/>
          </w:tcPr>
          <w:p w14:paraId="12700B22">
            <w:pPr>
              <w:adjustRightInd w:val="0"/>
              <w:snapToGrid w:val="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解决争议的方法</w:t>
            </w:r>
          </w:p>
        </w:tc>
        <w:tc>
          <w:tcPr>
            <w:tcW w:w="5688" w:type="dxa"/>
            <w:tcBorders>
              <w:top w:val="single" w:color="auto" w:sz="2" w:space="0"/>
              <w:left w:val="single" w:color="auto" w:sz="2" w:space="0"/>
            </w:tcBorders>
            <w:noWrap w:val="0"/>
            <w:vAlign w:val="center"/>
          </w:tcPr>
          <w:p w14:paraId="0CEBA345">
            <w:pPr>
              <w:autoSpaceDE w:val="0"/>
              <w:autoSpaceDN w:val="0"/>
              <w:adjustRightInd w:val="0"/>
              <w:snapToGrid w:val="0"/>
              <w:spacing w:line="400" w:lineRule="exact"/>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因本合同及合同有关事项发生的争议，按下列第</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rPr>
              <w:t>种方式解决：</w:t>
            </w:r>
          </w:p>
          <w:p w14:paraId="549D031C">
            <w:pPr>
              <w:autoSpaceDE w:val="0"/>
              <w:autoSpaceDN w:val="0"/>
              <w:adjustRightInd w:val="0"/>
              <w:snapToGrid w:val="0"/>
              <w:spacing w:line="400" w:lineRule="exact"/>
              <w:jc w:val="left"/>
              <w:rPr>
                <w:rFonts w:hint="eastAsia" w:ascii="仿宋" w:hAnsi="仿宋" w:eastAsia="仿宋" w:cs="仿宋"/>
                <w:iCs/>
                <w:color w:val="auto"/>
                <w:sz w:val="24"/>
                <w:highlight w:val="none"/>
              </w:rPr>
            </w:pPr>
            <w:r>
              <w:rPr>
                <w:rFonts w:hint="eastAsia" w:ascii="仿宋" w:hAnsi="仿宋" w:eastAsia="仿宋" w:cs="仿宋"/>
                <w:iCs/>
                <w:color w:val="auto"/>
                <w:sz w:val="24"/>
                <w:highlight w:val="none"/>
              </w:rPr>
              <w:t>（1）向</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rPr>
              <w:t>仲裁委员会申请仲裁，仲裁地点为</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rPr>
              <w:t>；</w:t>
            </w:r>
          </w:p>
          <w:p w14:paraId="1825DC7C">
            <w:pPr>
              <w:adjustRightInd w:val="0"/>
              <w:snapToGrid w:val="0"/>
              <w:jc w:val="left"/>
              <w:rPr>
                <w:rFonts w:hint="eastAsia" w:ascii="仿宋" w:hAnsi="仿宋" w:eastAsia="仿宋" w:cs="仿宋"/>
                <w:color w:val="auto"/>
                <w:sz w:val="24"/>
                <w:highlight w:val="none"/>
                <w:u w:val="single"/>
              </w:rPr>
            </w:pPr>
            <w:r>
              <w:rPr>
                <w:rFonts w:hint="eastAsia" w:ascii="仿宋" w:hAnsi="仿宋" w:eastAsia="仿宋" w:cs="仿宋"/>
                <w:iCs/>
                <w:color w:val="auto"/>
                <w:sz w:val="24"/>
                <w:highlight w:val="none"/>
              </w:rPr>
              <w:t>（2）向</w:t>
            </w:r>
            <w:r>
              <w:rPr>
                <w:rFonts w:hint="eastAsia" w:ascii="仿宋" w:hAnsi="仿宋" w:eastAsia="仿宋" w:cs="仿宋"/>
                <w:iCs/>
                <w:color w:val="auto"/>
                <w:sz w:val="24"/>
                <w:highlight w:val="none"/>
                <w:u w:val="single"/>
              </w:rPr>
              <w:t xml:space="preserve">                    </w:t>
            </w:r>
            <w:r>
              <w:rPr>
                <w:rFonts w:hint="eastAsia" w:ascii="仿宋" w:hAnsi="仿宋" w:eastAsia="仿宋" w:cs="仿宋"/>
                <w:iCs/>
                <w:color w:val="auto"/>
                <w:sz w:val="24"/>
                <w:highlight w:val="none"/>
              </w:rPr>
              <w:t>人民法院起诉。</w:t>
            </w:r>
          </w:p>
        </w:tc>
      </w:tr>
      <w:tr w14:paraId="19647CE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noWrap w:val="0"/>
            <w:vAlign w:val="center"/>
          </w:tcPr>
          <w:p w14:paraId="77EE130C">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第二节</w:t>
            </w:r>
          </w:p>
          <w:p w14:paraId="5C83EF76">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第23.1款</w:t>
            </w:r>
          </w:p>
        </w:tc>
        <w:tc>
          <w:tcPr>
            <w:tcW w:w="1742" w:type="dxa"/>
            <w:noWrap w:val="0"/>
            <w:vAlign w:val="center"/>
          </w:tcPr>
          <w:p w14:paraId="790ABA29">
            <w:pPr>
              <w:adjustRightInd w:val="0"/>
              <w:snapToGrid w:val="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其他专用条款</w:t>
            </w:r>
          </w:p>
        </w:tc>
        <w:tc>
          <w:tcPr>
            <w:tcW w:w="5688" w:type="dxa"/>
            <w:noWrap w:val="0"/>
            <w:vAlign w:val="center"/>
          </w:tcPr>
          <w:p w14:paraId="499C39EF">
            <w:pPr>
              <w:adjustRightInd w:val="0"/>
              <w:snapToGrid w:val="0"/>
              <w:jc w:val="left"/>
              <w:rPr>
                <w:rFonts w:hint="eastAsia" w:ascii="仿宋" w:hAnsi="仿宋" w:eastAsia="仿宋" w:cs="仿宋"/>
                <w:color w:val="auto"/>
                <w:sz w:val="24"/>
                <w:highlight w:val="none"/>
              </w:rPr>
            </w:pPr>
          </w:p>
        </w:tc>
      </w:tr>
    </w:tbl>
    <w:p w14:paraId="6C7E1CAE">
      <w:pPr>
        <w:spacing w:line="480" w:lineRule="exact"/>
        <w:jc w:val="both"/>
        <w:rPr>
          <w:rFonts w:ascii="宋体" w:hAnsi="宋体" w:cs="宋体"/>
          <w:sz w:val="36"/>
          <w:szCs w:val="36"/>
        </w:rPr>
      </w:pPr>
      <w:bookmarkStart w:id="231" w:name="_Toc86124081"/>
    </w:p>
    <w:p w14:paraId="2E97EA30">
      <w:pPr>
        <w:rPr>
          <w:rFonts w:hint="eastAsia" w:ascii="宋体" w:hAnsi="宋体" w:eastAsia="宋体" w:cs="宋体"/>
          <w:color w:val="auto"/>
          <w:sz w:val="36"/>
          <w:szCs w:val="36"/>
        </w:rPr>
      </w:pPr>
      <w:bookmarkStart w:id="232" w:name="_Toc505612968"/>
      <w:r>
        <w:rPr>
          <w:rFonts w:hint="eastAsia" w:ascii="宋体" w:hAnsi="宋体" w:eastAsia="宋体" w:cs="宋体"/>
          <w:color w:val="auto"/>
          <w:sz w:val="36"/>
          <w:szCs w:val="36"/>
        </w:rPr>
        <w:br w:type="page"/>
      </w:r>
    </w:p>
    <w:p w14:paraId="168192D1">
      <w:pPr>
        <w:pStyle w:val="3"/>
        <w:spacing w:line="480" w:lineRule="exact"/>
        <w:jc w:val="center"/>
        <w:rPr>
          <w:rFonts w:ascii="宋体" w:hAnsi="宋体" w:eastAsia="宋体" w:cs="宋体"/>
          <w:color w:val="auto"/>
          <w:sz w:val="36"/>
          <w:szCs w:val="36"/>
        </w:rPr>
      </w:pPr>
      <w:r>
        <w:rPr>
          <w:rFonts w:hint="eastAsia" w:ascii="宋体" w:hAnsi="宋体" w:eastAsia="宋体" w:cs="宋体"/>
          <w:color w:val="auto"/>
          <w:sz w:val="36"/>
          <w:szCs w:val="36"/>
        </w:rPr>
        <w:t>第四章  响应文件格式</w:t>
      </w:r>
      <w:bookmarkEnd w:id="231"/>
      <w:bookmarkEnd w:id="232"/>
    </w:p>
    <w:p w14:paraId="500DA87A">
      <w:pPr>
        <w:spacing w:line="480" w:lineRule="exact"/>
        <w:jc w:val="left"/>
        <w:rPr>
          <w:rFonts w:ascii="宋体" w:hAnsi="宋体" w:cs="宋体"/>
          <w:sz w:val="24"/>
        </w:rPr>
      </w:pPr>
    </w:p>
    <w:p w14:paraId="2AC39212">
      <w:pPr>
        <w:pStyle w:val="4"/>
        <w:jc w:val="left"/>
      </w:pPr>
      <w:r>
        <w:rPr>
          <w:rFonts w:hint="eastAsia"/>
          <w:b w:val="0"/>
          <w:u w:val="single"/>
        </w:rPr>
        <w:br w:type="page"/>
      </w:r>
      <w:bookmarkStart w:id="233" w:name="_Toc495941932"/>
      <w:bookmarkStart w:id="234" w:name="_Toc498367344"/>
      <w:bookmarkStart w:id="235" w:name="_Toc505612969"/>
      <w:r>
        <w:rPr>
          <w:rFonts w:hint="eastAsia"/>
        </w:rPr>
        <w:t>附件：</w:t>
      </w:r>
      <w:r>
        <w:rPr>
          <w:rFonts w:hint="eastAsia"/>
          <w:szCs w:val="24"/>
        </w:rPr>
        <w:t>响应文件封面</w:t>
      </w:r>
      <w:bookmarkEnd w:id="233"/>
      <w:bookmarkEnd w:id="234"/>
      <w:bookmarkEnd w:id="235"/>
    </w:p>
    <w:p w14:paraId="7536BD6C">
      <w:pPr>
        <w:spacing w:line="700" w:lineRule="exact"/>
        <w:jc w:val="center"/>
        <w:rPr>
          <w:rFonts w:hint="eastAsia" w:ascii="宋体" w:hAnsi="宋体" w:eastAsia="宋体" w:cs="宋体"/>
          <w:b/>
          <w:sz w:val="44"/>
          <w:szCs w:val="15"/>
          <w:lang w:eastAsia="zh-CN"/>
        </w:rPr>
      </w:pPr>
      <w:r>
        <w:rPr>
          <w:rFonts w:hint="eastAsia" w:ascii="宋体" w:hAnsi="宋体" w:cs="宋体"/>
          <w:b/>
          <w:bCs/>
          <w:sz w:val="40"/>
          <w:szCs w:val="21"/>
          <w:lang w:eastAsia="zh-CN"/>
        </w:rPr>
        <w:t>昭通市公安局交通管理支队无人机采购项目</w:t>
      </w:r>
    </w:p>
    <w:p w14:paraId="3E5669F1">
      <w:pPr>
        <w:spacing w:before="312" w:beforeLines="100" w:line="480" w:lineRule="exact"/>
        <w:jc w:val="center"/>
        <w:rPr>
          <w:rFonts w:ascii="宋体" w:hAnsi="宋体" w:cs="宋体"/>
          <w:b/>
          <w:sz w:val="48"/>
        </w:rPr>
      </w:pPr>
      <w:r>
        <w:rPr>
          <w:rFonts w:hint="eastAsia" w:ascii="宋体" w:hAnsi="宋体" w:cs="宋体"/>
          <w:b/>
          <w:sz w:val="48"/>
        </w:rPr>
        <w:t xml:space="preserve"> </w:t>
      </w:r>
    </w:p>
    <w:p w14:paraId="3E653596">
      <w:pPr>
        <w:spacing w:line="480" w:lineRule="exact"/>
        <w:jc w:val="center"/>
        <w:rPr>
          <w:rFonts w:ascii="宋体" w:hAnsi="宋体" w:cs="宋体"/>
          <w:sz w:val="24"/>
        </w:rPr>
      </w:pPr>
    </w:p>
    <w:p w14:paraId="75649CB4">
      <w:pPr>
        <w:spacing w:line="480" w:lineRule="exact"/>
        <w:rPr>
          <w:rFonts w:ascii="宋体" w:hAnsi="宋体" w:cs="宋体"/>
          <w:sz w:val="24"/>
        </w:rPr>
      </w:pPr>
    </w:p>
    <w:p w14:paraId="06F1EC5D">
      <w:pPr>
        <w:pStyle w:val="2"/>
        <w:rPr>
          <w:rFonts w:ascii="宋体" w:hAnsi="宋体" w:cs="宋体"/>
        </w:rPr>
      </w:pPr>
    </w:p>
    <w:p w14:paraId="0BA38F01">
      <w:pPr>
        <w:pStyle w:val="2"/>
        <w:rPr>
          <w:rFonts w:ascii="宋体" w:hAnsi="宋体" w:cs="宋体"/>
        </w:rPr>
      </w:pPr>
    </w:p>
    <w:p w14:paraId="428F5FE3">
      <w:pPr>
        <w:pStyle w:val="2"/>
        <w:rPr>
          <w:rFonts w:ascii="宋体" w:hAnsi="宋体" w:cs="宋体"/>
        </w:rPr>
      </w:pPr>
    </w:p>
    <w:p w14:paraId="390DCF44">
      <w:pPr>
        <w:spacing w:line="480" w:lineRule="exact"/>
        <w:jc w:val="center"/>
        <w:rPr>
          <w:rFonts w:ascii="宋体" w:hAnsi="宋体" w:cs="宋体"/>
          <w:sz w:val="24"/>
        </w:rPr>
      </w:pPr>
    </w:p>
    <w:p w14:paraId="5DB16C93">
      <w:pPr>
        <w:pStyle w:val="18"/>
        <w:spacing w:line="900" w:lineRule="exact"/>
        <w:jc w:val="center"/>
        <w:rPr>
          <w:rFonts w:hAnsi="宋体" w:cs="宋体"/>
          <w:b/>
          <w:sz w:val="24"/>
          <w:szCs w:val="24"/>
        </w:rPr>
      </w:pPr>
      <w:r>
        <w:rPr>
          <w:rFonts w:hint="eastAsia" w:hAnsi="宋体" w:cs="宋体"/>
          <w:b/>
          <w:sz w:val="76"/>
          <w:szCs w:val="24"/>
        </w:rPr>
        <w:t>响应文件</w:t>
      </w:r>
    </w:p>
    <w:p w14:paraId="60ACFD55">
      <w:pPr>
        <w:pStyle w:val="18"/>
        <w:spacing w:line="480" w:lineRule="exact"/>
        <w:ind w:firstLine="3264" w:firstLineChars="1088"/>
        <w:rPr>
          <w:rFonts w:hAnsi="宋体" w:cs="宋体"/>
          <w:b/>
          <w:sz w:val="30"/>
          <w:szCs w:val="24"/>
          <w:u w:val="single"/>
        </w:rPr>
      </w:pPr>
      <w:r>
        <w:rPr>
          <w:rFonts w:hint="eastAsia" w:hAnsi="宋体" w:cs="宋体"/>
          <w:b/>
          <w:sz w:val="30"/>
          <w:szCs w:val="24"/>
        </w:rPr>
        <w:t>项目编号：</w:t>
      </w:r>
      <w:r>
        <w:rPr>
          <w:rFonts w:hint="eastAsia" w:hAnsi="宋体" w:cs="宋体"/>
          <w:b/>
          <w:sz w:val="30"/>
          <w:szCs w:val="24"/>
          <w:u w:val="single"/>
        </w:rPr>
        <w:t xml:space="preserve">        </w:t>
      </w:r>
    </w:p>
    <w:p w14:paraId="15105B55">
      <w:pPr>
        <w:spacing w:line="480" w:lineRule="exact"/>
        <w:jc w:val="center"/>
        <w:rPr>
          <w:rFonts w:ascii="宋体" w:hAnsi="宋体" w:cs="宋体"/>
          <w:sz w:val="24"/>
        </w:rPr>
      </w:pPr>
    </w:p>
    <w:p w14:paraId="51E248CF">
      <w:pPr>
        <w:spacing w:line="480" w:lineRule="exact"/>
        <w:jc w:val="center"/>
        <w:rPr>
          <w:rFonts w:ascii="宋体" w:hAnsi="宋体" w:cs="宋体"/>
          <w:sz w:val="24"/>
        </w:rPr>
      </w:pPr>
    </w:p>
    <w:p w14:paraId="2C5918E0">
      <w:pPr>
        <w:spacing w:line="480" w:lineRule="exact"/>
        <w:jc w:val="center"/>
        <w:rPr>
          <w:rFonts w:ascii="宋体" w:hAnsi="宋体" w:cs="宋体"/>
          <w:sz w:val="24"/>
        </w:rPr>
      </w:pPr>
    </w:p>
    <w:p w14:paraId="1B46B66E">
      <w:pPr>
        <w:spacing w:line="480" w:lineRule="exact"/>
        <w:rPr>
          <w:rFonts w:ascii="宋体" w:hAnsi="宋体" w:cs="宋体"/>
          <w:sz w:val="24"/>
        </w:rPr>
      </w:pPr>
    </w:p>
    <w:p w14:paraId="3E83926C">
      <w:pPr>
        <w:spacing w:line="480" w:lineRule="exact"/>
        <w:jc w:val="center"/>
        <w:rPr>
          <w:rFonts w:ascii="宋体" w:hAnsi="宋体" w:cs="宋体"/>
          <w:sz w:val="24"/>
        </w:rPr>
      </w:pPr>
    </w:p>
    <w:p w14:paraId="7AF2492E">
      <w:pPr>
        <w:spacing w:line="480" w:lineRule="exact"/>
        <w:jc w:val="center"/>
        <w:rPr>
          <w:rFonts w:ascii="宋体" w:hAnsi="宋体" w:cs="宋体"/>
          <w:sz w:val="24"/>
        </w:rPr>
      </w:pPr>
    </w:p>
    <w:p w14:paraId="39E1C012">
      <w:pPr>
        <w:spacing w:line="480" w:lineRule="exact"/>
        <w:ind w:firstLine="1980" w:firstLineChars="825"/>
        <w:rPr>
          <w:rFonts w:ascii="宋体" w:hAnsi="宋体"/>
          <w:sz w:val="24"/>
        </w:rPr>
      </w:pPr>
      <w:r>
        <w:rPr>
          <w:rFonts w:hint="eastAsia" w:ascii="宋体" w:hAnsi="宋体"/>
          <w:sz w:val="24"/>
        </w:rPr>
        <w:t>供应商全称：</w:t>
      </w:r>
      <w:r>
        <w:rPr>
          <w:rFonts w:ascii="宋体" w:hAnsi="宋体"/>
          <w:sz w:val="24"/>
          <w:u w:val="single"/>
        </w:rPr>
        <w:t xml:space="preserve">                                 </w:t>
      </w:r>
      <w:r>
        <w:rPr>
          <w:rFonts w:hint="eastAsia" w:ascii="宋体" w:hAnsi="宋体"/>
          <w:sz w:val="24"/>
        </w:rPr>
        <w:t>（电子签章）</w:t>
      </w:r>
    </w:p>
    <w:p w14:paraId="563DA230">
      <w:pPr>
        <w:spacing w:line="480" w:lineRule="exact"/>
        <w:ind w:firstLine="1980" w:firstLineChars="825"/>
        <w:rPr>
          <w:rFonts w:ascii="宋体" w:hAnsi="宋体"/>
          <w:sz w:val="24"/>
        </w:rPr>
      </w:pPr>
      <w:r>
        <w:rPr>
          <w:rFonts w:hint="eastAsia" w:ascii="宋体" w:hAnsi="宋体"/>
          <w:sz w:val="24"/>
        </w:rPr>
        <w:t>单位地址：</w:t>
      </w:r>
    </w:p>
    <w:p w14:paraId="4AC08C47">
      <w:pPr>
        <w:spacing w:line="480" w:lineRule="exact"/>
        <w:ind w:firstLine="1980" w:firstLineChars="825"/>
        <w:rPr>
          <w:rFonts w:ascii="宋体" w:hAnsi="宋体"/>
          <w:sz w:val="24"/>
        </w:rPr>
      </w:pPr>
      <w:r>
        <w:rPr>
          <w:rFonts w:hint="eastAsia" w:ascii="宋体" w:hAnsi="宋体"/>
          <w:sz w:val="24"/>
        </w:rPr>
        <w:t>邮政编码：</w:t>
      </w:r>
      <w:r>
        <w:rPr>
          <w:rFonts w:ascii="宋体" w:hAnsi="宋体"/>
          <w:sz w:val="24"/>
          <w:u w:val="single"/>
        </w:rPr>
        <w:t xml:space="preserve">                                 </w:t>
      </w:r>
    </w:p>
    <w:p w14:paraId="7191DE33">
      <w:pPr>
        <w:spacing w:line="480" w:lineRule="exact"/>
        <w:ind w:firstLine="1980" w:firstLineChars="825"/>
        <w:rPr>
          <w:rFonts w:ascii="宋体" w:hAnsi="宋体"/>
          <w:sz w:val="24"/>
        </w:rPr>
      </w:pP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（签字或电子签章）</w:t>
      </w:r>
    </w:p>
    <w:p w14:paraId="3101F758">
      <w:pPr>
        <w:spacing w:line="480" w:lineRule="exact"/>
        <w:ind w:firstLine="1980" w:firstLineChars="825"/>
        <w:rPr>
          <w:rFonts w:ascii="宋体" w:hAnsi="宋体"/>
          <w:sz w:val="24"/>
        </w:rPr>
      </w:pPr>
      <w:r>
        <w:rPr>
          <w:rFonts w:hint="eastAsia" w:ascii="宋体" w:hAnsi="宋体"/>
          <w:sz w:val="24"/>
        </w:rPr>
        <w:t>联 系 人：</w:t>
      </w:r>
      <w:r>
        <w:rPr>
          <w:rFonts w:ascii="宋体" w:hAnsi="宋体"/>
          <w:sz w:val="24"/>
          <w:u w:val="single"/>
        </w:rPr>
        <w:t xml:space="preserve">            </w:t>
      </w:r>
    </w:p>
    <w:p w14:paraId="1970CF2C">
      <w:pPr>
        <w:spacing w:line="480" w:lineRule="exact"/>
        <w:ind w:firstLine="1980" w:firstLineChars="825"/>
        <w:rPr>
          <w:rFonts w:ascii="宋体" w:hAnsi="宋体"/>
          <w:sz w:val="24"/>
        </w:rPr>
      </w:pPr>
      <w:r>
        <w:rPr>
          <w:rFonts w:hint="eastAsia" w:ascii="宋体" w:hAnsi="宋体"/>
          <w:sz w:val="24"/>
        </w:rPr>
        <w:t>联系电话：</w:t>
      </w:r>
      <w:r>
        <w:rPr>
          <w:rFonts w:ascii="宋体" w:hAnsi="宋体"/>
          <w:sz w:val="24"/>
          <w:u w:val="single"/>
        </w:rPr>
        <w:t xml:space="preserve">            </w:t>
      </w:r>
    </w:p>
    <w:p w14:paraId="120B7D0C">
      <w:pPr>
        <w:spacing w:line="480" w:lineRule="exact"/>
        <w:ind w:firstLine="1980" w:firstLineChars="825"/>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14:paraId="2ED57B3F">
      <w:pPr>
        <w:pStyle w:val="4"/>
        <w:rPr>
          <w:rFonts w:hint="eastAsia"/>
          <w:snapToGrid w:val="0"/>
        </w:rPr>
      </w:pPr>
      <w:r>
        <w:rPr>
          <w:rFonts w:hint="eastAsia" w:ascii="宋体" w:hAnsi="宋体" w:cs="宋体"/>
          <w:sz w:val="24"/>
        </w:rPr>
        <w:br w:type="page"/>
      </w:r>
      <w:bookmarkStart w:id="236" w:name="_Toc498367345"/>
      <w:bookmarkStart w:id="237" w:name="_Toc505612970"/>
      <w:bookmarkStart w:id="238" w:name="_Toc447808222"/>
      <w:bookmarkStart w:id="239" w:name="_Toc347849248"/>
      <w:bookmarkStart w:id="240" w:name="_Toc448828922"/>
      <w:bookmarkStart w:id="241" w:name="_Toc450312194"/>
      <w:bookmarkStart w:id="242" w:name="_Toc383175510"/>
      <w:r>
        <w:rPr>
          <w:rFonts w:hint="eastAsia"/>
          <w:snapToGrid w:val="0"/>
          <w:lang w:val="en-US" w:eastAsia="zh-CN"/>
        </w:rPr>
        <w:t>附件一、</w:t>
      </w:r>
      <w:r>
        <w:rPr>
          <w:rFonts w:hint="eastAsia"/>
          <w:snapToGrid w:val="0"/>
        </w:rPr>
        <w:t>竞争性谈判报价一览表(第一轮）</w:t>
      </w:r>
      <w:bookmarkEnd w:id="236"/>
      <w:bookmarkEnd w:id="237"/>
    </w:p>
    <w:p w14:paraId="6BCC0FF6">
      <w:pPr>
        <w:spacing w:line="360" w:lineRule="auto"/>
        <w:rPr>
          <w:rFonts w:ascii="宋体" w:hAnsi="宋体" w:cs="宋体"/>
          <w:sz w:val="24"/>
        </w:rPr>
      </w:pPr>
    </w:p>
    <w:p w14:paraId="2CECAB36">
      <w:pPr>
        <w:spacing w:line="360" w:lineRule="auto"/>
        <w:rPr>
          <w:rFonts w:hint="eastAsia" w:ascii="宋体" w:hAnsi="宋体" w:eastAsia="宋体" w:cs="宋体"/>
          <w:sz w:val="24"/>
          <w:lang w:eastAsia="zh-CN"/>
        </w:rPr>
      </w:pPr>
      <w:r>
        <w:rPr>
          <w:rFonts w:hint="eastAsia" w:ascii="宋体" w:hAnsi="宋体" w:cs="宋体"/>
          <w:sz w:val="24"/>
        </w:rPr>
        <w:t>项目名称：</w:t>
      </w:r>
      <w:r>
        <w:rPr>
          <w:rFonts w:hint="eastAsia" w:ascii="宋体" w:hAnsi="宋体" w:cs="宋体"/>
          <w:bCs/>
          <w:sz w:val="24"/>
          <w:lang w:eastAsia="zh-CN"/>
        </w:rPr>
        <w:t>昭通市公安局交通管理支队无人机采购项目</w:t>
      </w:r>
    </w:p>
    <w:p w14:paraId="189C0A23">
      <w:pPr>
        <w:spacing w:line="360" w:lineRule="auto"/>
        <w:rPr>
          <w:rFonts w:ascii="宋体" w:hAnsi="宋体" w:cs="宋体"/>
          <w:sz w:val="24"/>
        </w:rPr>
      </w:pPr>
      <w:r>
        <w:rPr>
          <w:rFonts w:hint="eastAsia" w:ascii="宋体" w:hAnsi="宋体" w:cs="宋体"/>
          <w:sz w:val="24"/>
        </w:rPr>
        <w:t>项目编号：</w:t>
      </w:r>
      <w:r>
        <w:rPr>
          <w:rFonts w:hint="eastAsia" w:ascii="宋体" w:hAnsi="宋体" w:cs="宋体"/>
          <w:sz w:val="24"/>
          <w:highlight w:val="none"/>
          <w:lang w:eastAsia="zh-CN"/>
        </w:rPr>
        <w:t>4530600JH202500254</w:t>
      </w:r>
    </w:p>
    <w:tbl>
      <w:tblPr>
        <w:tblStyle w:val="38"/>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3323"/>
        <w:gridCol w:w="5638"/>
      </w:tblGrid>
      <w:tr w14:paraId="6EA90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666" w:type="dxa"/>
            <w:vAlign w:val="center"/>
          </w:tcPr>
          <w:p w14:paraId="5A7C46FD">
            <w:pPr>
              <w:jc w:val="center"/>
              <w:rPr>
                <w:rFonts w:ascii="宋体" w:hAnsi="宋体" w:cs="宋体"/>
                <w:sz w:val="24"/>
              </w:rPr>
            </w:pPr>
            <w:r>
              <w:rPr>
                <w:rFonts w:hint="eastAsia" w:ascii="宋体" w:hAnsi="宋体" w:cs="宋体"/>
                <w:sz w:val="24"/>
              </w:rPr>
              <w:t>序号</w:t>
            </w:r>
          </w:p>
        </w:tc>
        <w:tc>
          <w:tcPr>
            <w:tcW w:w="3323" w:type="dxa"/>
            <w:vAlign w:val="center"/>
          </w:tcPr>
          <w:p w14:paraId="40D1F54D">
            <w:pPr>
              <w:jc w:val="center"/>
              <w:rPr>
                <w:rFonts w:ascii="宋体" w:hAnsi="宋体" w:cs="宋体"/>
                <w:sz w:val="24"/>
              </w:rPr>
            </w:pPr>
            <w:r>
              <w:rPr>
                <w:rFonts w:hint="eastAsia" w:ascii="宋体" w:hAnsi="宋体" w:cs="宋体"/>
                <w:sz w:val="24"/>
              </w:rPr>
              <w:t>项         目</w:t>
            </w:r>
          </w:p>
        </w:tc>
        <w:tc>
          <w:tcPr>
            <w:tcW w:w="5638" w:type="dxa"/>
            <w:vAlign w:val="center"/>
          </w:tcPr>
          <w:p w14:paraId="4EDEA916">
            <w:pPr>
              <w:ind w:firstLine="240" w:firstLineChars="100"/>
              <w:jc w:val="center"/>
              <w:rPr>
                <w:rFonts w:ascii="宋体" w:hAnsi="宋体" w:cs="宋体"/>
                <w:sz w:val="24"/>
              </w:rPr>
            </w:pPr>
            <w:r>
              <w:rPr>
                <w:rFonts w:hint="eastAsia" w:ascii="宋体" w:hAnsi="宋体" w:cs="宋体"/>
                <w:sz w:val="24"/>
              </w:rPr>
              <w:t>填写内容</w:t>
            </w:r>
          </w:p>
        </w:tc>
      </w:tr>
      <w:tr w14:paraId="0CD20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66" w:type="dxa"/>
            <w:vMerge w:val="restart"/>
            <w:vAlign w:val="center"/>
          </w:tcPr>
          <w:p w14:paraId="6C8A5EA8">
            <w:pPr>
              <w:jc w:val="center"/>
              <w:rPr>
                <w:rFonts w:hint="eastAsia" w:ascii="宋体" w:hAnsi="宋体" w:eastAsia="宋体" w:cs="宋体"/>
                <w:bCs/>
                <w:sz w:val="24"/>
                <w:lang w:eastAsia="zh-CN"/>
              </w:rPr>
            </w:pPr>
            <w:r>
              <w:rPr>
                <w:rFonts w:hint="eastAsia" w:ascii="宋体" w:hAnsi="宋体" w:cs="宋体"/>
                <w:bCs/>
                <w:sz w:val="24"/>
                <w:lang w:val="en-US" w:eastAsia="zh-CN"/>
              </w:rPr>
              <w:t>1</w:t>
            </w:r>
          </w:p>
        </w:tc>
        <w:tc>
          <w:tcPr>
            <w:tcW w:w="3323" w:type="dxa"/>
            <w:vMerge w:val="restart"/>
            <w:vAlign w:val="center"/>
          </w:tcPr>
          <w:p w14:paraId="475A3A5E">
            <w:pPr>
              <w:jc w:val="center"/>
              <w:rPr>
                <w:rFonts w:ascii="宋体" w:hAnsi="宋体" w:cs="宋体"/>
                <w:sz w:val="24"/>
              </w:rPr>
            </w:pPr>
            <w:r>
              <w:rPr>
                <w:rFonts w:hint="eastAsia" w:ascii="宋体" w:hAnsi="宋体" w:cs="宋体"/>
                <w:sz w:val="24"/>
              </w:rPr>
              <w:t>谈判总价</w:t>
            </w:r>
          </w:p>
        </w:tc>
        <w:tc>
          <w:tcPr>
            <w:tcW w:w="5638" w:type="dxa"/>
            <w:vAlign w:val="center"/>
          </w:tcPr>
          <w:p w14:paraId="5DAA1109">
            <w:pPr>
              <w:rPr>
                <w:rFonts w:ascii="宋体" w:hAnsi="宋体" w:cs="宋体"/>
                <w:sz w:val="24"/>
                <w:u w:val="single"/>
              </w:rPr>
            </w:pPr>
            <w:r>
              <w:rPr>
                <w:rFonts w:hint="eastAsia" w:ascii="宋体" w:hAnsi="宋体" w:cs="宋体"/>
                <w:sz w:val="24"/>
              </w:rPr>
              <w:t xml:space="preserve">        小写：</w:t>
            </w:r>
            <w:r>
              <w:rPr>
                <w:rFonts w:hint="eastAsia" w:ascii="宋体" w:hAnsi="宋体" w:cs="宋体"/>
                <w:sz w:val="24"/>
                <w:lang w:val="en-US" w:eastAsia="zh-CN"/>
              </w:rPr>
              <w:t>¥</w:t>
            </w:r>
            <w:r>
              <w:rPr>
                <w:rFonts w:hint="eastAsia" w:ascii="宋体" w:hAnsi="宋体" w:cs="宋体"/>
                <w:sz w:val="24"/>
                <w:u w:val="single"/>
              </w:rPr>
              <w:t xml:space="preserve">                 </w:t>
            </w:r>
            <w:r>
              <w:rPr>
                <w:rFonts w:hint="eastAsia" w:ascii="宋体" w:hAnsi="宋体" w:cs="宋体"/>
                <w:sz w:val="24"/>
              </w:rPr>
              <w:t>元</w:t>
            </w:r>
          </w:p>
        </w:tc>
      </w:tr>
      <w:tr w14:paraId="2471C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666" w:type="dxa"/>
            <w:vMerge w:val="continue"/>
            <w:vAlign w:val="center"/>
          </w:tcPr>
          <w:p w14:paraId="0E14419F">
            <w:pPr>
              <w:jc w:val="center"/>
              <w:rPr>
                <w:rFonts w:ascii="宋体" w:hAnsi="宋体" w:cs="宋体"/>
                <w:bCs/>
                <w:sz w:val="24"/>
              </w:rPr>
            </w:pPr>
          </w:p>
        </w:tc>
        <w:tc>
          <w:tcPr>
            <w:tcW w:w="3323" w:type="dxa"/>
            <w:vMerge w:val="continue"/>
            <w:vAlign w:val="center"/>
          </w:tcPr>
          <w:p w14:paraId="7CD9667D">
            <w:pPr>
              <w:jc w:val="center"/>
              <w:rPr>
                <w:rFonts w:ascii="宋体" w:hAnsi="宋体" w:cs="宋体"/>
                <w:sz w:val="24"/>
              </w:rPr>
            </w:pPr>
          </w:p>
        </w:tc>
        <w:tc>
          <w:tcPr>
            <w:tcW w:w="5638" w:type="dxa"/>
            <w:vAlign w:val="center"/>
          </w:tcPr>
          <w:p w14:paraId="1C5B2D3D">
            <w:pPr>
              <w:ind w:firstLine="960" w:firstLineChars="400"/>
              <w:rPr>
                <w:rFonts w:ascii="宋体" w:hAnsi="宋体" w:cs="宋体"/>
                <w:sz w:val="24"/>
                <w:u w:val="single"/>
              </w:rPr>
            </w:pPr>
            <w:r>
              <w:rPr>
                <w:rFonts w:hint="eastAsia" w:ascii="宋体" w:hAnsi="宋体" w:cs="宋体"/>
                <w:sz w:val="24"/>
              </w:rPr>
              <w:t xml:space="preserve">大写：  </w:t>
            </w:r>
            <w:r>
              <w:rPr>
                <w:rFonts w:hint="eastAsia" w:ascii="宋体" w:hAnsi="宋体" w:cs="宋体"/>
                <w:sz w:val="24"/>
                <w:u w:val="single"/>
              </w:rPr>
              <w:t xml:space="preserve">                 </w:t>
            </w:r>
          </w:p>
        </w:tc>
      </w:tr>
      <w:tr w14:paraId="0042A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66" w:type="dxa"/>
            <w:vAlign w:val="center"/>
          </w:tcPr>
          <w:p w14:paraId="4DACAC58">
            <w:pPr>
              <w:jc w:val="center"/>
              <w:rPr>
                <w:rFonts w:hint="eastAsia" w:ascii="宋体" w:hAnsi="宋体" w:eastAsia="宋体" w:cs="宋体"/>
                <w:bCs/>
                <w:sz w:val="24"/>
                <w:lang w:eastAsia="zh-CN"/>
              </w:rPr>
            </w:pPr>
            <w:r>
              <w:rPr>
                <w:rFonts w:hint="eastAsia" w:ascii="宋体" w:hAnsi="宋体" w:cs="宋体"/>
                <w:bCs/>
                <w:sz w:val="24"/>
                <w:lang w:val="en-US" w:eastAsia="zh-CN"/>
              </w:rPr>
              <w:t>2</w:t>
            </w:r>
          </w:p>
        </w:tc>
        <w:tc>
          <w:tcPr>
            <w:tcW w:w="3323" w:type="dxa"/>
            <w:vAlign w:val="center"/>
          </w:tcPr>
          <w:p w14:paraId="70553AEF">
            <w:pPr>
              <w:jc w:val="center"/>
              <w:rPr>
                <w:rFonts w:ascii="宋体" w:hAnsi="宋体" w:cs="宋体"/>
                <w:sz w:val="24"/>
              </w:rPr>
            </w:pPr>
            <w:r>
              <w:rPr>
                <w:rFonts w:hint="eastAsia" w:ascii="宋体" w:hAnsi="宋体"/>
                <w:b w:val="0"/>
                <w:bCs w:val="0"/>
                <w:sz w:val="24"/>
              </w:rPr>
              <w:t>合同履行期限</w:t>
            </w:r>
          </w:p>
        </w:tc>
        <w:tc>
          <w:tcPr>
            <w:tcW w:w="5638" w:type="dxa"/>
            <w:vAlign w:val="center"/>
          </w:tcPr>
          <w:p w14:paraId="668950EF">
            <w:pPr>
              <w:jc w:val="center"/>
              <w:rPr>
                <w:rFonts w:ascii="宋体" w:hAnsi="宋体" w:cs="宋体"/>
                <w:sz w:val="24"/>
              </w:rPr>
            </w:pPr>
          </w:p>
        </w:tc>
      </w:tr>
      <w:tr w14:paraId="46138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666" w:type="dxa"/>
            <w:vAlign w:val="center"/>
          </w:tcPr>
          <w:p w14:paraId="250C0866">
            <w:pPr>
              <w:jc w:val="center"/>
              <w:rPr>
                <w:rFonts w:hint="eastAsia" w:ascii="宋体" w:hAnsi="宋体" w:eastAsia="宋体" w:cs="宋体"/>
                <w:bCs/>
                <w:sz w:val="24"/>
                <w:lang w:eastAsia="zh-CN"/>
              </w:rPr>
            </w:pPr>
            <w:r>
              <w:rPr>
                <w:rFonts w:hint="eastAsia" w:ascii="宋体" w:hAnsi="宋体" w:cs="宋体"/>
                <w:bCs/>
                <w:sz w:val="24"/>
                <w:lang w:val="en-US" w:eastAsia="zh-CN"/>
              </w:rPr>
              <w:t>3</w:t>
            </w:r>
          </w:p>
        </w:tc>
        <w:tc>
          <w:tcPr>
            <w:tcW w:w="3323" w:type="dxa"/>
            <w:vAlign w:val="center"/>
          </w:tcPr>
          <w:p w14:paraId="7190D7AC">
            <w:pPr>
              <w:jc w:val="center"/>
              <w:rPr>
                <w:rFonts w:ascii="宋体" w:hAnsi="宋体" w:cs="宋体"/>
                <w:sz w:val="24"/>
              </w:rPr>
            </w:pPr>
            <w:r>
              <w:rPr>
                <w:rFonts w:hint="eastAsia" w:ascii="宋体" w:hAnsi="宋体" w:cs="宋体"/>
                <w:sz w:val="24"/>
              </w:rPr>
              <w:t>质保期</w:t>
            </w:r>
          </w:p>
        </w:tc>
        <w:tc>
          <w:tcPr>
            <w:tcW w:w="5638" w:type="dxa"/>
            <w:vAlign w:val="center"/>
          </w:tcPr>
          <w:p w14:paraId="7B1FE5B3">
            <w:pPr>
              <w:jc w:val="center"/>
              <w:rPr>
                <w:rFonts w:ascii="宋体" w:hAnsi="宋体" w:cs="宋体"/>
                <w:sz w:val="24"/>
              </w:rPr>
            </w:pPr>
          </w:p>
        </w:tc>
      </w:tr>
      <w:tr w14:paraId="11C77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 w:hRule="atLeast"/>
          <w:jc w:val="center"/>
        </w:trPr>
        <w:tc>
          <w:tcPr>
            <w:tcW w:w="666" w:type="dxa"/>
            <w:vAlign w:val="center"/>
          </w:tcPr>
          <w:p w14:paraId="7084EE5F">
            <w:pPr>
              <w:jc w:val="center"/>
              <w:rPr>
                <w:rFonts w:hint="eastAsia" w:ascii="宋体" w:hAnsi="宋体" w:eastAsia="宋体" w:cs="宋体"/>
                <w:bCs/>
                <w:sz w:val="24"/>
                <w:lang w:eastAsia="zh-CN"/>
              </w:rPr>
            </w:pPr>
            <w:r>
              <w:rPr>
                <w:rFonts w:hint="eastAsia" w:ascii="宋体" w:hAnsi="宋体" w:cs="宋体"/>
                <w:bCs/>
                <w:sz w:val="24"/>
                <w:lang w:val="en-US" w:eastAsia="zh-CN"/>
              </w:rPr>
              <w:t>4</w:t>
            </w:r>
          </w:p>
        </w:tc>
        <w:tc>
          <w:tcPr>
            <w:tcW w:w="3323" w:type="dxa"/>
            <w:vAlign w:val="center"/>
          </w:tcPr>
          <w:p w14:paraId="5356C651">
            <w:pPr>
              <w:jc w:val="center"/>
              <w:rPr>
                <w:rFonts w:ascii="宋体" w:hAnsi="宋体" w:cs="宋体"/>
                <w:sz w:val="24"/>
              </w:rPr>
            </w:pPr>
            <w:r>
              <w:rPr>
                <w:rFonts w:hint="eastAsia" w:ascii="宋体" w:hAnsi="宋体" w:cs="宋体"/>
                <w:sz w:val="24"/>
              </w:rPr>
              <w:t>备注</w:t>
            </w:r>
          </w:p>
        </w:tc>
        <w:tc>
          <w:tcPr>
            <w:tcW w:w="5638" w:type="dxa"/>
            <w:vAlign w:val="center"/>
          </w:tcPr>
          <w:p w14:paraId="4B8B211F">
            <w:pPr>
              <w:jc w:val="center"/>
              <w:rPr>
                <w:rFonts w:ascii="宋体" w:hAnsi="宋体" w:cs="宋体"/>
                <w:sz w:val="24"/>
              </w:rPr>
            </w:pPr>
            <w:r>
              <w:rPr>
                <w:rFonts w:hint="eastAsia" w:ascii="宋体" w:hAnsi="宋体" w:cs="宋体"/>
                <w:sz w:val="24"/>
              </w:rPr>
              <w:t xml:space="preserve">                 </w:t>
            </w:r>
          </w:p>
        </w:tc>
      </w:tr>
      <w:tr w14:paraId="737AD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9627" w:type="dxa"/>
            <w:gridSpan w:val="3"/>
          </w:tcPr>
          <w:p w14:paraId="5971301C">
            <w:pPr>
              <w:pStyle w:val="14"/>
              <w:ind w:firstLine="480"/>
              <w:rPr>
                <w:rFonts w:ascii="宋体" w:hAnsi="宋体" w:eastAsia="宋体" w:cs="宋体"/>
              </w:rPr>
            </w:pPr>
          </w:p>
          <w:p w14:paraId="62D5BCEB">
            <w:pPr>
              <w:spacing w:line="600" w:lineRule="exact"/>
              <w:rPr>
                <w:rFonts w:ascii="宋体" w:hAnsi="宋体"/>
                <w:bCs/>
                <w:sz w:val="24"/>
              </w:rPr>
            </w:pPr>
            <w:r>
              <w:rPr>
                <w:rFonts w:hint="eastAsia" w:ascii="宋体" w:hAnsi="宋体"/>
                <w:bCs/>
                <w:sz w:val="24"/>
              </w:rPr>
              <w:t>供应商全称：</w:t>
            </w:r>
            <w:r>
              <w:rPr>
                <w:rFonts w:hint="eastAsia" w:ascii="宋体" w:hAnsi="宋体"/>
                <w:bCs/>
                <w:sz w:val="24"/>
                <w:u w:val="single"/>
              </w:rPr>
              <w:t xml:space="preserve">                                 </w:t>
            </w:r>
            <w:r>
              <w:rPr>
                <w:rFonts w:hint="eastAsia" w:ascii="宋体" w:hAnsi="宋体"/>
                <w:bCs/>
                <w:sz w:val="24"/>
              </w:rPr>
              <w:t>（电子签章）</w:t>
            </w:r>
          </w:p>
          <w:p w14:paraId="508E6640">
            <w:pPr>
              <w:spacing w:line="600" w:lineRule="exact"/>
              <w:rPr>
                <w:rFonts w:ascii="宋体" w:hAnsi="宋体"/>
                <w:bCs/>
                <w:sz w:val="24"/>
              </w:rPr>
            </w:pPr>
            <w:r>
              <w:rPr>
                <w:rFonts w:hint="eastAsia" w:ascii="宋体" w:hAnsi="宋体"/>
                <w:bCs/>
                <w:sz w:val="24"/>
              </w:rPr>
              <w:t>法定代表人或其委托代理人：</w:t>
            </w:r>
            <w:r>
              <w:rPr>
                <w:rFonts w:hint="eastAsia" w:ascii="宋体" w:hAnsi="宋体"/>
                <w:bCs/>
                <w:sz w:val="24"/>
                <w:u w:val="single"/>
              </w:rPr>
              <w:t xml:space="preserve">               </w:t>
            </w:r>
            <w:r>
              <w:rPr>
                <w:rFonts w:hint="eastAsia" w:ascii="宋体" w:hAnsi="宋体"/>
                <w:bCs/>
                <w:sz w:val="24"/>
              </w:rPr>
              <w:t>（签字或电子签章）</w:t>
            </w:r>
          </w:p>
          <w:p w14:paraId="19554722">
            <w:pPr>
              <w:spacing w:line="600" w:lineRule="exact"/>
              <w:rPr>
                <w:rFonts w:ascii="宋体" w:hAnsi="宋体"/>
                <w:bCs/>
                <w:sz w:val="24"/>
              </w:rPr>
            </w:pPr>
            <w:r>
              <w:rPr>
                <w:rFonts w:hint="eastAsia" w:ascii="宋体" w:hAnsi="宋体"/>
                <w:bCs/>
                <w:sz w:val="24"/>
              </w:rPr>
              <w:t>日    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tc>
      </w:tr>
    </w:tbl>
    <w:p w14:paraId="1E958CF6">
      <w:pPr>
        <w:adjustRightInd w:val="0"/>
        <w:snapToGrid w:val="0"/>
        <w:spacing w:line="480" w:lineRule="exact"/>
        <w:rPr>
          <w:rFonts w:ascii="宋体" w:hAnsi="宋体" w:cs="宋体"/>
          <w:sz w:val="24"/>
        </w:rPr>
      </w:pPr>
      <w:r>
        <w:rPr>
          <w:rFonts w:hint="eastAsia" w:ascii="宋体" w:hAnsi="宋体" w:cs="宋体"/>
          <w:sz w:val="24"/>
        </w:rPr>
        <w:t>备注：1.谈判报价最多只能保留2位小数或“分”。</w:t>
      </w:r>
    </w:p>
    <w:p w14:paraId="2C8314E9">
      <w:pPr>
        <w:adjustRightInd w:val="0"/>
        <w:snapToGrid w:val="0"/>
        <w:spacing w:line="480" w:lineRule="exact"/>
        <w:ind w:left="600" w:hanging="600" w:hangingChars="250"/>
        <w:rPr>
          <w:rFonts w:ascii="宋体" w:hAnsi="宋体" w:cs="宋体"/>
          <w:sz w:val="24"/>
        </w:rPr>
      </w:pPr>
      <w:r>
        <w:rPr>
          <w:rFonts w:hint="eastAsia" w:ascii="宋体" w:hAnsi="宋体" w:cs="宋体"/>
          <w:sz w:val="24"/>
        </w:rPr>
        <w:t xml:space="preserve">      2.此竞争性谈判报价一览表，供应商应放在响应文件封面后第一页。</w:t>
      </w:r>
    </w:p>
    <w:p w14:paraId="57BFD1AF">
      <w:pPr>
        <w:adjustRightInd w:val="0"/>
        <w:snapToGrid w:val="0"/>
        <w:spacing w:line="480" w:lineRule="exact"/>
        <w:ind w:firstLine="480" w:firstLineChars="200"/>
        <w:jc w:val="left"/>
        <w:rPr>
          <w:rFonts w:ascii="宋体" w:hAnsi="宋体" w:cs="宋体"/>
          <w:sz w:val="24"/>
        </w:rPr>
      </w:pPr>
      <w:r>
        <w:rPr>
          <w:rFonts w:hint="eastAsia" w:ascii="宋体" w:hAnsi="宋体" w:cs="宋体"/>
          <w:sz w:val="24"/>
        </w:rPr>
        <w:t xml:space="preserve">  3.各供应商填写此表时，谈判总报价为本项目总包干价，其余内容由各供应商自行填报。</w:t>
      </w:r>
    </w:p>
    <w:p w14:paraId="4084D728">
      <w:pPr>
        <w:pStyle w:val="20"/>
        <w:ind w:left="5250"/>
        <w:jc w:val="center"/>
        <w:rPr>
          <w:rFonts w:ascii="宋体" w:hAnsi="宋体" w:eastAsia="宋体" w:cs="宋体"/>
          <w:b/>
        </w:rPr>
      </w:pPr>
    </w:p>
    <w:p w14:paraId="4C480425">
      <w:pPr>
        <w:pStyle w:val="20"/>
        <w:ind w:left="5250"/>
        <w:jc w:val="center"/>
        <w:rPr>
          <w:rFonts w:ascii="宋体" w:hAnsi="宋体" w:eastAsia="宋体" w:cs="宋体"/>
          <w:b/>
        </w:rPr>
      </w:pPr>
    </w:p>
    <w:p w14:paraId="7BB288C9">
      <w:pPr>
        <w:rPr>
          <w:rFonts w:ascii="宋体" w:hAnsi="宋体" w:cs="宋体"/>
          <w:b/>
          <w:sz w:val="24"/>
        </w:rPr>
      </w:pPr>
    </w:p>
    <w:p w14:paraId="56960C5A">
      <w:pPr>
        <w:rPr>
          <w:rFonts w:ascii="宋体" w:hAnsi="宋体" w:cs="宋体"/>
          <w:b/>
          <w:sz w:val="24"/>
        </w:rPr>
      </w:pPr>
    </w:p>
    <w:p w14:paraId="702232A5">
      <w:pPr>
        <w:rPr>
          <w:rFonts w:ascii="宋体" w:hAnsi="宋体" w:cs="宋体"/>
          <w:b/>
          <w:sz w:val="24"/>
        </w:rPr>
      </w:pPr>
      <w:r>
        <w:rPr>
          <w:rFonts w:ascii="宋体" w:hAnsi="宋体" w:cs="宋体"/>
          <w:b/>
          <w:sz w:val="24"/>
        </w:rPr>
        <w:br w:type="page"/>
      </w:r>
    </w:p>
    <w:p w14:paraId="1A4ED030">
      <w:pPr>
        <w:pStyle w:val="4"/>
        <w:rPr>
          <w:snapToGrid w:val="0"/>
        </w:rPr>
      </w:pPr>
      <w:bookmarkStart w:id="243" w:name="_Toc505612974"/>
      <w:bookmarkStart w:id="244" w:name="_Toc495941934"/>
      <w:bookmarkStart w:id="245" w:name="_Toc498367349"/>
      <w:bookmarkStart w:id="246" w:name="_Toc347849252"/>
      <w:bookmarkStart w:id="247" w:name="_Toc447808229"/>
      <w:bookmarkStart w:id="248" w:name="_Toc448828929"/>
      <w:bookmarkStart w:id="249" w:name="_Toc495941933"/>
      <w:bookmarkStart w:id="250" w:name="_Toc505612971"/>
      <w:bookmarkStart w:id="251" w:name="_Toc383175515"/>
      <w:bookmarkStart w:id="252" w:name="_Toc498367346"/>
      <w:bookmarkStart w:id="253" w:name="_Toc450312197"/>
      <w:r>
        <w:rPr>
          <w:rFonts w:hint="eastAsia"/>
          <w:snapToGrid w:val="0"/>
          <w:lang w:val="en-US" w:eastAsia="zh-CN"/>
        </w:rPr>
        <w:t>附件</w:t>
      </w:r>
      <w:r>
        <w:rPr>
          <w:rFonts w:hint="eastAsia"/>
          <w:snapToGrid w:val="0"/>
        </w:rPr>
        <w:t>二、</w:t>
      </w:r>
      <w:bookmarkEnd w:id="243"/>
      <w:bookmarkEnd w:id="244"/>
      <w:bookmarkEnd w:id="245"/>
      <w:r>
        <w:rPr>
          <w:rFonts w:hint="eastAsia"/>
          <w:snapToGrid w:val="0"/>
        </w:rPr>
        <w:t>申请人资格要求</w:t>
      </w:r>
    </w:p>
    <w:p w14:paraId="02477D6A">
      <w:pPr>
        <w:spacing w:line="480" w:lineRule="exact"/>
        <w:ind w:firstLine="480" w:firstLineChars="200"/>
        <w:rPr>
          <w:rFonts w:ascii="宋体" w:hAnsi="宋体" w:cs="宋体"/>
          <w:sz w:val="24"/>
        </w:rPr>
      </w:pPr>
      <w:r>
        <w:rPr>
          <w:rFonts w:hint="eastAsia" w:ascii="宋体" w:hAnsi="宋体" w:cs="宋体"/>
          <w:sz w:val="24"/>
        </w:rPr>
        <w:t>一.所附格式要求填写的全部内容都必须填写。</w:t>
      </w:r>
    </w:p>
    <w:p w14:paraId="2218FA69">
      <w:pPr>
        <w:spacing w:line="480" w:lineRule="exact"/>
        <w:ind w:firstLine="480" w:firstLineChars="200"/>
        <w:rPr>
          <w:rFonts w:ascii="宋体" w:hAnsi="宋体" w:cs="宋体"/>
          <w:sz w:val="24"/>
        </w:rPr>
      </w:pPr>
      <w:r>
        <w:rPr>
          <w:rFonts w:hint="eastAsia" w:ascii="宋体" w:hAnsi="宋体" w:cs="宋体"/>
          <w:sz w:val="24"/>
        </w:rPr>
        <w:t>二.供应商提交的材料将被保密，但不退还。</w:t>
      </w:r>
    </w:p>
    <w:p w14:paraId="51DCB360">
      <w:pPr>
        <w:spacing w:line="480" w:lineRule="exact"/>
        <w:ind w:firstLine="480" w:firstLineChars="200"/>
        <w:rPr>
          <w:rFonts w:ascii="宋体" w:hAnsi="宋体" w:cs="宋体"/>
          <w:sz w:val="24"/>
        </w:rPr>
      </w:pPr>
      <w:r>
        <w:rPr>
          <w:rFonts w:hint="eastAsia" w:ascii="宋体" w:hAnsi="宋体" w:cs="宋体"/>
          <w:sz w:val="24"/>
        </w:rPr>
        <w:t>三.按照竞争性谈判公告第二项“申请人资格要求”提供的证明材料、声明函或承诺函(证明材料须为复印件加盖电子公章，声明函及承诺函为原件)：</w:t>
      </w:r>
    </w:p>
    <w:p w14:paraId="0D2A98C2">
      <w:pPr>
        <w:widowControl/>
        <w:spacing w:line="480" w:lineRule="exact"/>
        <w:ind w:firstLine="480" w:firstLineChars="200"/>
        <w:jc w:val="left"/>
        <w:rPr>
          <w:rFonts w:ascii="宋体" w:hAnsi="宋体"/>
          <w:b/>
          <w:sz w:val="24"/>
        </w:rPr>
      </w:pPr>
      <w:r>
        <w:rPr>
          <w:rFonts w:hint="eastAsia" w:ascii="宋体" w:hAnsi="宋体"/>
          <w:b/>
          <w:sz w:val="24"/>
        </w:rPr>
        <w:t>1.满足《中华人民共和国政府采购法》第二十二条规定；</w:t>
      </w:r>
    </w:p>
    <w:p w14:paraId="07930FFE">
      <w:pPr>
        <w:spacing w:line="480" w:lineRule="exact"/>
        <w:ind w:firstLine="480" w:firstLineChars="200"/>
        <w:rPr>
          <w:rFonts w:hint="eastAsia" w:ascii="宋体" w:hAnsi="宋体" w:cs="宋体"/>
          <w:bCs/>
          <w:sz w:val="24"/>
        </w:rPr>
      </w:pPr>
      <w:r>
        <w:rPr>
          <w:rFonts w:hint="eastAsia" w:ascii="宋体" w:hAnsi="宋体" w:cs="宋体"/>
          <w:bCs/>
          <w:sz w:val="24"/>
        </w:rPr>
        <w:t>1.1具有独立承担民事责任的能力(提供法人或者其他组织的营业执照等证明文件，自然人提供身份证明)；</w:t>
      </w:r>
    </w:p>
    <w:p w14:paraId="6E4072AA">
      <w:pPr>
        <w:spacing w:line="480" w:lineRule="exact"/>
        <w:ind w:firstLine="480" w:firstLineChars="200"/>
        <w:rPr>
          <w:rFonts w:hint="eastAsia" w:ascii="宋体" w:hAnsi="宋体" w:cs="宋体"/>
          <w:bCs/>
          <w:sz w:val="24"/>
        </w:rPr>
      </w:pPr>
      <w:r>
        <w:rPr>
          <w:rFonts w:hint="eastAsia" w:ascii="宋体" w:hAnsi="宋体" w:cs="宋体"/>
          <w:bCs/>
          <w:sz w:val="24"/>
        </w:rPr>
        <w:t>1.2具有良好的商业信誉和健全的财务会计制度(</w:t>
      </w:r>
      <w:r>
        <w:rPr>
          <w:rFonts w:hint="eastAsia" w:ascii="宋体" w:hAnsi="宋体" w:cs="宋体"/>
          <w:color w:val="auto"/>
          <w:sz w:val="24"/>
          <w:highlight w:val="none"/>
        </w:rPr>
        <w:t>提供202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年至今任意一年经审计的财务报告或银行出具的开标前一个月内的资信证明；成立不满1年的，提供自成立至今公司内部出具的财务报表或银行出具的开标前一个月内的资信证明</w:t>
      </w:r>
      <w:r>
        <w:rPr>
          <w:rFonts w:hint="eastAsia" w:ascii="宋体" w:hAnsi="宋体" w:cs="宋体"/>
          <w:bCs/>
          <w:sz w:val="24"/>
        </w:rPr>
        <w:t>)；</w:t>
      </w:r>
    </w:p>
    <w:p w14:paraId="2C3CDAB0">
      <w:pPr>
        <w:spacing w:line="480" w:lineRule="exact"/>
        <w:ind w:firstLine="480" w:firstLineChars="200"/>
        <w:rPr>
          <w:rFonts w:hint="eastAsia" w:ascii="宋体" w:hAnsi="宋体" w:cs="宋体"/>
          <w:bCs/>
          <w:sz w:val="24"/>
        </w:rPr>
      </w:pPr>
      <w:r>
        <w:rPr>
          <w:rFonts w:hint="eastAsia" w:ascii="宋体" w:hAnsi="宋体" w:cs="宋体"/>
          <w:bCs/>
          <w:sz w:val="24"/>
        </w:rPr>
        <w:t>1.3具有履行合同所必需的设备和专业技术能力(提供声明函或证明材料)；</w:t>
      </w:r>
    </w:p>
    <w:p w14:paraId="1C64CB92">
      <w:pPr>
        <w:spacing w:line="480" w:lineRule="exact"/>
        <w:ind w:firstLine="480" w:firstLineChars="200"/>
        <w:rPr>
          <w:rFonts w:hint="eastAsia" w:ascii="宋体" w:hAnsi="宋体" w:cs="宋体"/>
          <w:bCs/>
          <w:sz w:val="24"/>
        </w:rPr>
      </w:pPr>
      <w:r>
        <w:rPr>
          <w:rFonts w:hint="eastAsia" w:ascii="宋体" w:hAnsi="宋体" w:cs="宋体"/>
          <w:bCs/>
          <w:sz w:val="24"/>
        </w:rPr>
        <w:t>1.4有依法缴纳税金和社会保障资金的良好记录(①提供所属时间在202</w:t>
      </w:r>
      <w:r>
        <w:rPr>
          <w:rFonts w:hint="eastAsia" w:ascii="宋体" w:hAnsi="宋体" w:cs="宋体"/>
          <w:bCs/>
          <w:sz w:val="24"/>
          <w:lang w:val="en-US" w:eastAsia="zh-CN"/>
        </w:rPr>
        <w:t>4</w:t>
      </w:r>
      <w:r>
        <w:rPr>
          <w:rFonts w:hint="eastAsia" w:ascii="宋体" w:hAnsi="宋体" w:cs="宋体"/>
          <w:bCs/>
          <w:sz w:val="24"/>
        </w:rPr>
        <w:t>年</w:t>
      </w:r>
      <w:r>
        <w:rPr>
          <w:rFonts w:hint="eastAsia" w:ascii="宋体" w:hAnsi="宋体" w:cs="宋体"/>
          <w:bCs/>
          <w:sz w:val="24"/>
          <w:lang w:val="en-US" w:eastAsia="zh-CN"/>
        </w:rPr>
        <w:t>2</w:t>
      </w:r>
      <w:r>
        <w:rPr>
          <w:rFonts w:hint="eastAsia" w:ascii="宋体" w:hAnsi="宋体" w:cs="宋体"/>
          <w:bCs/>
          <w:sz w:val="24"/>
        </w:rPr>
        <w:t>月至今任意</w:t>
      </w:r>
      <w:r>
        <w:rPr>
          <w:rFonts w:hint="eastAsia" w:ascii="宋体" w:hAnsi="宋体" w:cs="宋体"/>
          <w:bCs/>
          <w:sz w:val="24"/>
          <w:lang w:val="en-US" w:eastAsia="zh-CN"/>
        </w:rPr>
        <w:t>2</w:t>
      </w:r>
      <w:r>
        <w:rPr>
          <w:rFonts w:hint="eastAsia" w:ascii="宋体" w:hAnsi="宋体" w:cs="宋体"/>
          <w:bCs/>
          <w:sz w:val="24"/>
        </w:rPr>
        <w:t>个月的税务局税收通用缴款书或银行电子缴税(费)凭证或税务局出具纳税情况缴税的证明，依法免税的投标人应提供相应文件证明其依法免税；②提供缴费所属时间在202</w:t>
      </w:r>
      <w:r>
        <w:rPr>
          <w:rFonts w:hint="eastAsia" w:ascii="宋体" w:hAnsi="宋体" w:cs="宋体"/>
          <w:bCs/>
          <w:sz w:val="24"/>
          <w:lang w:val="en-US" w:eastAsia="zh-CN"/>
        </w:rPr>
        <w:t>4</w:t>
      </w:r>
      <w:r>
        <w:rPr>
          <w:rFonts w:hint="eastAsia" w:ascii="宋体" w:hAnsi="宋体" w:cs="宋体"/>
          <w:bCs/>
          <w:sz w:val="24"/>
        </w:rPr>
        <w:t>年</w:t>
      </w:r>
      <w:r>
        <w:rPr>
          <w:rFonts w:hint="eastAsia" w:ascii="宋体" w:hAnsi="宋体" w:cs="宋体"/>
          <w:bCs/>
          <w:sz w:val="24"/>
          <w:lang w:val="en-US" w:eastAsia="zh-CN"/>
        </w:rPr>
        <w:t>2</w:t>
      </w:r>
      <w:r>
        <w:rPr>
          <w:rFonts w:hint="eastAsia" w:ascii="宋体" w:hAnsi="宋体" w:cs="宋体"/>
          <w:bCs/>
          <w:sz w:val="24"/>
        </w:rPr>
        <w:t>月至今任意</w:t>
      </w:r>
      <w:r>
        <w:rPr>
          <w:rFonts w:hint="eastAsia" w:ascii="宋体" w:hAnsi="宋体" w:cs="宋体"/>
          <w:bCs/>
          <w:sz w:val="24"/>
          <w:lang w:val="en-US" w:eastAsia="zh-CN"/>
        </w:rPr>
        <w:t>2</w:t>
      </w:r>
      <w:r>
        <w:rPr>
          <w:rFonts w:hint="eastAsia" w:ascii="宋体" w:hAnsi="宋体" w:cs="宋体"/>
          <w:bCs/>
          <w:sz w:val="24"/>
        </w:rPr>
        <w:t>个月的社会保险费缴款书或银行电子缴税(费)凭证或社保管理部门出具的有效的缴款证明，依法不需要缴纳社会保障资金的投标人应提供相应文件证明其不需要缴纳社会保障资金；成立不足1个月的提供相关证明材料；）；</w:t>
      </w:r>
    </w:p>
    <w:p w14:paraId="51A2B05F">
      <w:pPr>
        <w:spacing w:line="480" w:lineRule="exact"/>
        <w:ind w:firstLine="480" w:firstLineChars="200"/>
        <w:rPr>
          <w:rFonts w:hint="eastAsia" w:ascii="宋体" w:hAnsi="宋体" w:cs="宋体"/>
          <w:bCs/>
          <w:sz w:val="24"/>
        </w:rPr>
      </w:pPr>
      <w:r>
        <w:rPr>
          <w:rFonts w:hint="eastAsia" w:ascii="宋体" w:hAnsi="宋体" w:cs="宋体"/>
          <w:bCs/>
          <w:sz w:val="24"/>
        </w:rPr>
        <w:t>1.5参加政府采购活动前三年内，在经营活动中没有重大违法记录(提供声明函)；</w:t>
      </w:r>
    </w:p>
    <w:p w14:paraId="3AA8F7C1">
      <w:pPr>
        <w:spacing w:line="480" w:lineRule="exact"/>
        <w:ind w:firstLine="480" w:firstLineChars="200"/>
        <w:rPr>
          <w:rFonts w:ascii="宋体" w:hAnsi="宋体" w:cs="宋体"/>
          <w:bCs/>
          <w:sz w:val="24"/>
        </w:rPr>
      </w:pPr>
      <w:r>
        <w:rPr>
          <w:rFonts w:hint="eastAsia" w:ascii="宋体" w:hAnsi="宋体" w:cs="宋体"/>
          <w:bCs/>
          <w:sz w:val="24"/>
        </w:rPr>
        <w:t>1.6法律、行政法规规定的其他条件(提供声明函或证明材料)。</w:t>
      </w:r>
    </w:p>
    <w:p w14:paraId="672D43D8">
      <w:pPr>
        <w:spacing w:line="480" w:lineRule="exact"/>
        <w:ind w:firstLine="480" w:firstLineChars="200"/>
        <w:rPr>
          <w:rFonts w:ascii="宋体" w:hAnsi="宋体" w:cs="宋体"/>
          <w:b/>
          <w:sz w:val="24"/>
        </w:rPr>
      </w:pPr>
      <w:r>
        <w:rPr>
          <w:rFonts w:hint="eastAsia" w:ascii="宋体" w:hAnsi="宋体" w:cs="宋体"/>
          <w:b/>
          <w:sz w:val="24"/>
        </w:rPr>
        <w:t>2.落实政府采购政策需满足的资格要求：</w:t>
      </w:r>
      <w:r>
        <w:rPr>
          <w:rFonts w:hint="eastAsia" w:ascii="宋体" w:hAnsi="宋体"/>
          <w:b/>
          <w:sz w:val="24"/>
        </w:rPr>
        <w:t>无</w:t>
      </w:r>
      <w:r>
        <w:rPr>
          <w:rFonts w:hint="eastAsia" w:ascii="宋体" w:hAnsi="宋体" w:cs="宋体"/>
          <w:b/>
          <w:sz w:val="24"/>
        </w:rPr>
        <w:t>。</w:t>
      </w:r>
    </w:p>
    <w:p w14:paraId="76D3A3CB">
      <w:pPr>
        <w:spacing w:line="480" w:lineRule="exact"/>
        <w:ind w:firstLine="480" w:firstLineChars="200"/>
        <w:rPr>
          <w:rFonts w:ascii="宋体" w:hAnsi="宋体" w:cs="宋体"/>
          <w:b/>
          <w:sz w:val="24"/>
        </w:rPr>
      </w:pPr>
      <w:r>
        <w:rPr>
          <w:rFonts w:hint="eastAsia" w:ascii="宋体" w:hAnsi="宋体" w:cs="宋体"/>
          <w:b/>
          <w:sz w:val="24"/>
        </w:rPr>
        <w:t>3.本项目的特定资格要求：</w:t>
      </w:r>
    </w:p>
    <w:p w14:paraId="741D9EA3">
      <w:pPr>
        <w:spacing w:line="480" w:lineRule="exact"/>
        <w:ind w:firstLine="480" w:firstLineChars="200"/>
        <w:rPr>
          <w:rFonts w:ascii="宋体" w:hAnsi="宋体" w:cs="宋体"/>
          <w:bCs/>
          <w:sz w:val="24"/>
        </w:rPr>
      </w:pPr>
      <w:r>
        <w:rPr>
          <w:rFonts w:hint="eastAsia" w:ascii="宋体" w:hAnsi="宋体" w:cs="宋体"/>
          <w:bCs/>
          <w:sz w:val="24"/>
        </w:rPr>
        <w:t>3.1供应商应在“信用中国”网站(www.creditchina. gov.cn)未被列入失信被执行人记录、重大税收违法失信主体，且在中国政府采购网(www.ccgp.gov.cn)没有政府采购严重违法失信行为记录(被禁止在一定期限内参加政府采购活动但期限届满的除外)；参与本项目的供应商信用查询截止时点：响应文件递交截止当天查询(查询结果以采购人、采购代理机构查询结果为准，并将查询记录留存，供应商无需再提供)。</w:t>
      </w:r>
    </w:p>
    <w:p w14:paraId="48566F6A">
      <w:pPr>
        <w:spacing w:line="480" w:lineRule="exact"/>
        <w:ind w:firstLine="480" w:firstLineChars="200"/>
        <w:rPr>
          <w:rFonts w:ascii="宋体" w:hAnsi="宋体" w:cs="宋体"/>
          <w:bCs/>
          <w:sz w:val="24"/>
        </w:rPr>
      </w:pPr>
      <w:r>
        <w:rPr>
          <w:rFonts w:hint="eastAsia" w:ascii="宋体" w:hAnsi="宋体" w:cs="宋体"/>
          <w:bCs/>
          <w:sz w:val="24"/>
        </w:rPr>
        <w:t xml:space="preserve">3.2供应商需承诺供应商及法定代表人近三年内无行贿犯罪记录（提供承诺函）； </w:t>
      </w:r>
    </w:p>
    <w:p w14:paraId="142406E7">
      <w:pPr>
        <w:spacing w:line="480" w:lineRule="exact"/>
        <w:ind w:firstLine="480" w:firstLineChars="200"/>
        <w:rPr>
          <w:rFonts w:ascii="宋体" w:hAnsi="宋体" w:cs="宋体"/>
          <w:bCs/>
          <w:sz w:val="24"/>
        </w:rPr>
      </w:pPr>
      <w:r>
        <w:rPr>
          <w:rFonts w:hint="eastAsia" w:ascii="宋体" w:hAnsi="宋体" w:cs="宋体"/>
          <w:bCs/>
          <w:sz w:val="24"/>
        </w:rPr>
        <w:t>3.3单位负责人为同一人或者存在直接控股、管理关系的不同供应商，不得同时参与本项目的采购活动。为本项目提供过整体设计、规范编制或者项目管理、监理、检测等服务的供应商，不得再参加本次采购活动（提供承诺函）。</w:t>
      </w:r>
    </w:p>
    <w:p w14:paraId="489BA1C6">
      <w:pPr>
        <w:spacing w:line="480" w:lineRule="exact"/>
        <w:ind w:firstLine="480" w:firstLineChars="200"/>
        <w:rPr>
          <w:rFonts w:ascii="宋体" w:hAnsi="宋体" w:cs="宋体"/>
          <w:sz w:val="24"/>
        </w:rPr>
      </w:pPr>
      <w:r>
        <w:rPr>
          <w:rFonts w:hint="eastAsia" w:ascii="宋体" w:hAnsi="宋体" w:cs="宋体"/>
          <w:bCs/>
          <w:sz w:val="24"/>
        </w:rPr>
        <w:t>3.4本项目不接受联合体投标。</w:t>
      </w:r>
    </w:p>
    <w:p w14:paraId="74482286">
      <w:pPr>
        <w:widowControl/>
        <w:shd w:val="clear" w:color="auto" w:fill="FFFFFF"/>
        <w:spacing w:line="480" w:lineRule="exact"/>
        <w:jc w:val="left"/>
        <w:rPr>
          <w:rFonts w:ascii="宋体" w:hAnsi="宋体" w:cs="宋体"/>
          <w:kern w:val="0"/>
          <w:sz w:val="24"/>
          <w:shd w:val="clear" w:color="auto" w:fill="FFFFFF"/>
        </w:rPr>
      </w:pPr>
      <w:r>
        <w:rPr>
          <w:rFonts w:hint="eastAsia" w:ascii="宋体" w:hAnsi="宋体"/>
          <w:b/>
          <w:sz w:val="24"/>
        </w:rPr>
        <w:t>注：声明函、承诺函、法定代表人身份证明书和法定代表人授权委托书格式附后。</w:t>
      </w:r>
    </w:p>
    <w:p w14:paraId="0FD39010">
      <w:pPr>
        <w:pStyle w:val="4"/>
        <w:spacing w:before="0" w:after="0" w:line="240" w:lineRule="auto"/>
        <w:jc w:val="both"/>
        <w:rPr>
          <w:rFonts w:ascii="宋体" w:hAnsi="宋体" w:cs="宋体"/>
          <w:snapToGrid w:val="0"/>
        </w:rPr>
      </w:pPr>
      <w:r>
        <w:rPr>
          <w:rFonts w:ascii="宋体" w:hAnsi="宋体" w:cs="宋体"/>
          <w:sz w:val="24"/>
        </w:rPr>
        <w:br w:type="page"/>
      </w:r>
      <w:r>
        <w:rPr>
          <w:rFonts w:hint="eastAsia" w:ascii="宋体" w:hAnsi="宋体" w:cs="宋体"/>
          <w:snapToGrid w:val="0"/>
          <w:sz w:val="28"/>
          <w:szCs w:val="28"/>
        </w:rPr>
        <w:t>格式2-1</w:t>
      </w:r>
      <w:r>
        <w:rPr>
          <w:rFonts w:hint="eastAsia" w:ascii="宋体" w:hAnsi="宋体" w:cs="宋体"/>
          <w:snapToGrid w:val="0"/>
        </w:rPr>
        <w:t xml:space="preserve"> </w:t>
      </w:r>
    </w:p>
    <w:p w14:paraId="08B18B4C">
      <w:pPr>
        <w:pStyle w:val="4"/>
        <w:rPr>
          <w:snapToGrid w:val="0"/>
        </w:rPr>
      </w:pPr>
      <w:r>
        <w:rPr>
          <w:rFonts w:hint="eastAsia" w:ascii="宋体" w:hAnsi="宋体" w:cs="宋体"/>
          <w:snapToGrid w:val="0"/>
        </w:rPr>
        <w:t>声明函</w:t>
      </w:r>
    </w:p>
    <w:p w14:paraId="6169AAB2">
      <w:pPr>
        <w:spacing w:line="480" w:lineRule="exact"/>
        <w:rPr>
          <w:rFonts w:ascii="宋体" w:hAnsi="宋体" w:cs="宋体"/>
          <w:sz w:val="24"/>
        </w:rPr>
      </w:pPr>
    </w:p>
    <w:p w14:paraId="2D81BAAF">
      <w:pPr>
        <w:spacing w:line="480" w:lineRule="exact"/>
        <w:rPr>
          <w:rFonts w:hint="eastAsia" w:ascii="宋体" w:hAnsi="宋体" w:eastAsia="宋体" w:cs="宋体"/>
          <w:sz w:val="24"/>
          <w:lang w:eastAsia="zh-CN"/>
        </w:rPr>
      </w:pPr>
      <w:r>
        <w:rPr>
          <w:rFonts w:hint="eastAsia" w:ascii="宋体" w:hAnsi="宋体" w:cs="宋体"/>
          <w:sz w:val="24"/>
        </w:rPr>
        <w:t>致：</w:t>
      </w:r>
      <w:r>
        <w:rPr>
          <w:rFonts w:hint="eastAsia" w:ascii="宋体" w:hAnsi="宋体" w:cs="宋体"/>
          <w:sz w:val="24"/>
          <w:u w:val="single"/>
          <w:lang w:eastAsia="zh-CN"/>
        </w:rPr>
        <w:t>昭通市公安局交通管理支队</w:t>
      </w:r>
    </w:p>
    <w:p w14:paraId="5029D141">
      <w:pPr>
        <w:spacing w:line="480" w:lineRule="exact"/>
        <w:ind w:firstLine="5040" w:firstLineChars="2100"/>
        <w:rPr>
          <w:rFonts w:ascii="宋体" w:hAnsi="宋体" w:cs="宋体"/>
          <w:sz w:val="24"/>
        </w:rPr>
      </w:pPr>
    </w:p>
    <w:p w14:paraId="66533E0D">
      <w:pPr>
        <w:spacing w:line="480" w:lineRule="exact"/>
        <w:ind w:firstLine="5040" w:firstLineChars="2100"/>
        <w:rPr>
          <w:rFonts w:ascii="宋体" w:hAnsi="宋体" w:cs="宋体"/>
          <w:sz w:val="24"/>
        </w:rPr>
      </w:pPr>
    </w:p>
    <w:p w14:paraId="6DA8C71A">
      <w:pPr>
        <w:spacing w:line="480" w:lineRule="exact"/>
        <w:jc w:val="center"/>
        <w:rPr>
          <w:rFonts w:ascii="宋体" w:hAnsi="宋体" w:cs="宋体"/>
          <w:sz w:val="24"/>
        </w:rPr>
      </w:pPr>
      <w:r>
        <w:rPr>
          <w:rFonts w:hint="eastAsia" w:ascii="宋体" w:hAnsi="宋体" w:cs="宋体"/>
          <w:sz w:val="24"/>
        </w:rPr>
        <w:t>（供应商自行声明及承诺，内容自拟）</w:t>
      </w:r>
    </w:p>
    <w:p w14:paraId="66FBD83F">
      <w:pPr>
        <w:spacing w:line="480" w:lineRule="exact"/>
        <w:jc w:val="left"/>
        <w:rPr>
          <w:rFonts w:ascii="宋体" w:hAnsi="宋体" w:cs="宋体"/>
          <w:sz w:val="24"/>
        </w:rPr>
      </w:pPr>
    </w:p>
    <w:p w14:paraId="6E41AA7A">
      <w:pPr>
        <w:spacing w:line="480" w:lineRule="exact"/>
        <w:jc w:val="left"/>
        <w:rPr>
          <w:rFonts w:ascii="宋体" w:hAnsi="宋体" w:cs="宋体"/>
          <w:sz w:val="24"/>
        </w:rPr>
      </w:pPr>
    </w:p>
    <w:p w14:paraId="551C86DE">
      <w:pPr>
        <w:spacing w:line="480" w:lineRule="exact"/>
        <w:jc w:val="left"/>
        <w:rPr>
          <w:rFonts w:ascii="宋体" w:hAnsi="宋体" w:cs="宋体"/>
          <w:sz w:val="24"/>
        </w:rPr>
      </w:pPr>
    </w:p>
    <w:p w14:paraId="6E0C8399">
      <w:pPr>
        <w:spacing w:line="480" w:lineRule="exact"/>
        <w:jc w:val="left"/>
        <w:rPr>
          <w:rFonts w:ascii="宋体" w:hAnsi="宋体" w:cs="宋体"/>
          <w:sz w:val="24"/>
        </w:rPr>
      </w:pPr>
    </w:p>
    <w:p w14:paraId="2238DFD3">
      <w:pPr>
        <w:spacing w:line="480" w:lineRule="exact"/>
        <w:jc w:val="left"/>
        <w:rPr>
          <w:rFonts w:ascii="宋体" w:hAnsi="宋体" w:cs="宋体"/>
          <w:sz w:val="24"/>
        </w:rPr>
      </w:pPr>
    </w:p>
    <w:p w14:paraId="05C73960">
      <w:pPr>
        <w:spacing w:line="480" w:lineRule="exact"/>
        <w:jc w:val="left"/>
        <w:rPr>
          <w:rFonts w:ascii="宋体" w:hAnsi="宋体" w:cs="宋体"/>
          <w:sz w:val="24"/>
        </w:rPr>
      </w:pPr>
    </w:p>
    <w:p w14:paraId="4DB9B0BE">
      <w:pPr>
        <w:spacing w:line="600" w:lineRule="exact"/>
        <w:rPr>
          <w:rFonts w:ascii="宋体" w:hAnsi="宋体"/>
          <w:bCs/>
          <w:sz w:val="24"/>
        </w:rPr>
      </w:pPr>
      <w:r>
        <w:rPr>
          <w:rFonts w:hint="eastAsia" w:ascii="宋体" w:hAnsi="宋体"/>
          <w:bCs/>
          <w:sz w:val="24"/>
        </w:rPr>
        <w:t>供应商全称：</w:t>
      </w:r>
      <w:r>
        <w:rPr>
          <w:rFonts w:hint="eastAsia" w:ascii="宋体" w:hAnsi="宋体"/>
          <w:bCs/>
          <w:sz w:val="24"/>
          <w:u w:val="single"/>
        </w:rPr>
        <w:t xml:space="preserve">                                 </w:t>
      </w:r>
      <w:r>
        <w:rPr>
          <w:rFonts w:hint="eastAsia" w:ascii="宋体" w:hAnsi="宋体"/>
          <w:bCs/>
          <w:sz w:val="24"/>
        </w:rPr>
        <w:t>（电子签章）</w:t>
      </w:r>
    </w:p>
    <w:p w14:paraId="6CA31C24">
      <w:pPr>
        <w:spacing w:line="600" w:lineRule="exact"/>
        <w:rPr>
          <w:rFonts w:ascii="宋体" w:hAnsi="宋体"/>
          <w:bCs/>
          <w:sz w:val="24"/>
        </w:rPr>
      </w:pPr>
      <w:r>
        <w:rPr>
          <w:rFonts w:hint="eastAsia" w:ascii="宋体" w:hAnsi="宋体"/>
          <w:bCs/>
          <w:sz w:val="24"/>
        </w:rPr>
        <w:t>法定代表人或其委托代理人：</w:t>
      </w:r>
      <w:r>
        <w:rPr>
          <w:rFonts w:hint="eastAsia" w:ascii="宋体" w:hAnsi="宋体"/>
          <w:bCs/>
          <w:sz w:val="24"/>
          <w:u w:val="single"/>
        </w:rPr>
        <w:t xml:space="preserve">               </w:t>
      </w:r>
      <w:r>
        <w:rPr>
          <w:rFonts w:hint="eastAsia" w:ascii="宋体" w:hAnsi="宋体"/>
          <w:bCs/>
          <w:sz w:val="24"/>
        </w:rPr>
        <w:t>（签字或电子签章）</w:t>
      </w:r>
    </w:p>
    <w:p w14:paraId="7053549E">
      <w:pPr>
        <w:spacing w:line="600" w:lineRule="exact"/>
        <w:rPr>
          <w:rFonts w:ascii="宋体" w:hAnsi="宋体"/>
          <w:bCs/>
          <w:sz w:val="24"/>
        </w:rPr>
      </w:pPr>
      <w:r>
        <w:rPr>
          <w:rFonts w:hint="eastAsia" w:ascii="宋体" w:hAnsi="宋体"/>
          <w:bCs/>
          <w:sz w:val="24"/>
        </w:rPr>
        <w:t>日    期：</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rPr>
        <w:t>日</w:t>
      </w:r>
    </w:p>
    <w:p w14:paraId="66E4A578">
      <w:pPr>
        <w:outlineLvl w:val="9"/>
        <w:rPr>
          <w:rFonts w:ascii="宋体" w:hAnsi="宋体" w:cs="宋体"/>
          <w:sz w:val="24"/>
          <w:u w:val="single"/>
        </w:rPr>
      </w:pPr>
    </w:p>
    <w:p w14:paraId="6610DAE2">
      <w:pPr>
        <w:outlineLvl w:val="9"/>
        <w:rPr>
          <w:rFonts w:ascii="宋体" w:hAnsi="宋体" w:cs="宋体"/>
          <w:sz w:val="24"/>
          <w:u w:val="single"/>
        </w:rPr>
      </w:pPr>
    </w:p>
    <w:p w14:paraId="70EB9547">
      <w:pPr>
        <w:outlineLvl w:val="9"/>
        <w:rPr>
          <w:rFonts w:ascii="宋体" w:hAnsi="宋体" w:cs="宋体"/>
          <w:sz w:val="24"/>
          <w:u w:val="single"/>
        </w:rPr>
      </w:pPr>
    </w:p>
    <w:p w14:paraId="3DA5D087">
      <w:pPr>
        <w:spacing w:line="360" w:lineRule="auto"/>
        <w:jc w:val="left"/>
        <w:rPr>
          <w:rFonts w:ascii="宋体" w:hAnsi="宋体"/>
          <w:sz w:val="24"/>
        </w:rPr>
      </w:pPr>
      <w:r>
        <w:rPr>
          <w:rFonts w:hint="eastAsia" w:ascii="宋体" w:hAnsi="宋体"/>
          <w:sz w:val="24"/>
        </w:rPr>
        <w:t>注：</w:t>
      </w:r>
    </w:p>
    <w:p w14:paraId="4B1D52BD">
      <w:pPr>
        <w:spacing w:line="360" w:lineRule="auto"/>
        <w:jc w:val="left"/>
        <w:rPr>
          <w:rFonts w:ascii="宋体" w:hAnsi="宋体"/>
          <w:sz w:val="24"/>
        </w:rPr>
      </w:pPr>
      <w:r>
        <w:rPr>
          <w:rFonts w:hint="eastAsia" w:ascii="宋体" w:hAnsi="宋体"/>
          <w:sz w:val="24"/>
        </w:rPr>
        <w:t>1、供应商应按照“申请人资格要求”进行声明（包括但不限于资格要求1.3、1.5、1.6项要求）；</w:t>
      </w:r>
    </w:p>
    <w:p w14:paraId="74A1C641">
      <w:pPr>
        <w:spacing w:line="480" w:lineRule="exact"/>
        <w:jc w:val="left"/>
        <w:rPr>
          <w:rFonts w:ascii="宋体" w:hAnsi="宋体"/>
          <w:sz w:val="24"/>
        </w:rPr>
      </w:pPr>
      <w:r>
        <w:rPr>
          <w:rFonts w:hint="eastAsia" w:ascii="宋体" w:hAnsi="宋体"/>
          <w:sz w:val="24"/>
        </w:rPr>
        <w:t>2、若谈判文件中明确要求提供证明资料的，以证明资料为准。</w:t>
      </w:r>
    </w:p>
    <w:p w14:paraId="6D4C991C">
      <w:pPr>
        <w:rPr>
          <w:rFonts w:ascii="宋体" w:hAnsi="宋体"/>
          <w:sz w:val="24"/>
        </w:rPr>
      </w:pPr>
      <w:r>
        <w:rPr>
          <w:rFonts w:hint="eastAsia" w:ascii="宋体" w:hAnsi="宋体"/>
          <w:sz w:val="24"/>
        </w:rPr>
        <w:br w:type="page"/>
      </w:r>
    </w:p>
    <w:p w14:paraId="5042CC60">
      <w:pPr>
        <w:pStyle w:val="3"/>
        <w:jc w:val="both"/>
        <w:rPr>
          <w:rFonts w:ascii="宋体" w:hAnsi="宋体" w:eastAsia="宋体" w:cs="宋体"/>
          <w:snapToGrid w:val="0"/>
          <w:sz w:val="36"/>
          <w:szCs w:val="36"/>
        </w:rPr>
      </w:pPr>
      <w:bookmarkStart w:id="254" w:name="_Toc8387645"/>
      <w:r>
        <w:rPr>
          <w:rFonts w:hint="eastAsia" w:ascii="宋体" w:hAnsi="宋体" w:eastAsia="宋体" w:cs="宋体"/>
          <w:snapToGrid w:val="0"/>
          <w:sz w:val="28"/>
          <w:szCs w:val="28"/>
        </w:rPr>
        <w:t>格式2-2：</w:t>
      </w:r>
    </w:p>
    <w:p w14:paraId="79FA3B47">
      <w:pPr>
        <w:pStyle w:val="3"/>
        <w:jc w:val="center"/>
        <w:rPr>
          <w:rFonts w:ascii="宋体" w:hAnsi="宋体" w:cs="宋体"/>
          <w:snapToGrid w:val="0"/>
          <w:sz w:val="36"/>
          <w:szCs w:val="36"/>
        </w:rPr>
      </w:pPr>
      <w:r>
        <w:rPr>
          <w:rFonts w:hint="eastAsia" w:ascii="宋体" w:hAnsi="宋体" w:eastAsia="宋体" w:cs="宋体"/>
          <w:snapToGrid w:val="0"/>
          <w:color w:val="auto"/>
          <w:sz w:val="32"/>
          <w:szCs w:val="32"/>
        </w:rPr>
        <w:t>承诺函</w:t>
      </w:r>
      <w:bookmarkEnd w:id="254"/>
    </w:p>
    <w:p w14:paraId="77970D1A">
      <w:pPr>
        <w:rPr>
          <w:rFonts w:ascii="宋体" w:hAnsi="宋体" w:cs="宋体"/>
          <w:snapToGrid w:val="0"/>
          <w:szCs w:val="32"/>
        </w:rPr>
      </w:pPr>
    </w:p>
    <w:p w14:paraId="5748E0AE">
      <w:pPr>
        <w:pStyle w:val="9"/>
        <w:spacing w:before="156" w:line="560" w:lineRule="exact"/>
        <w:ind w:firstLine="480"/>
        <w:rPr>
          <w:rFonts w:hint="eastAsia" w:eastAsia="宋体"/>
          <w:sz w:val="24"/>
          <w:lang w:eastAsia="zh-CN"/>
        </w:rPr>
      </w:pPr>
      <w:r>
        <w:rPr>
          <w:rFonts w:hint="eastAsia"/>
          <w:sz w:val="24"/>
        </w:rPr>
        <w:t>致：</w:t>
      </w:r>
      <w:r>
        <w:rPr>
          <w:rFonts w:hint="eastAsia"/>
          <w:sz w:val="24"/>
          <w:u w:val="single"/>
          <w:lang w:eastAsia="zh-CN"/>
        </w:rPr>
        <w:t>昭通市公安局交通管理支队</w:t>
      </w:r>
    </w:p>
    <w:p w14:paraId="758DF86E">
      <w:pPr>
        <w:pStyle w:val="9"/>
        <w:spacing w:before="156" w:line="480" w:lineRule="exact"/>
        <w:ind w:firstLine="480"/>
        <w:rPr>
          <w:sz w:val="24"/>
        </w:rPr>
      </w:pPr>
      <w:r>
        <w:rPr>
          <w:rFonts w:hint="eastAsia"/>
          <w:sz w:val="24"/>
        </w:rPr>
        <w:t>我公司承诺，我公司</w:t>
      </w:r>
      <w:r>
        <w:rPr>
          <w:rFonts w:hint="eastAsia"/>
          <w:sz w:val="24"/>
          <w:u w:val="single"/>
        </w:rPr>
        <w:t>（供应商名称）</w:t>
      </w:r>
      <w:r>
        <w:rPr>
          <w:rFonts w:hint="eastAsia"/>
          <w:sz w:val="24"/>
        </w:rPr>
        <w:t>及法定代表人</w:t>
      </w:r>
      <w:r>
        <w:rPr>
          <w:rFonts w:hint="eastAsia"/>
          <w:sz w:val="24"/>
          <w:u w:val="single"/>
        </w:rPr>
        <w:t>（法定代表人姓名）</w:t>
      </w:r>
      <w:r>
        <w:rPr>
          <w:rFonts w:hint="eastAsia" w:hAnsi="宋体"/>
          <w:sz w:val="24"/>
          <w:shd w:val="clear" w:color="auto" w:fill="FFFFFF"/>
        </w:rPr>
        <w:t>近三年内经营活动中无行贿犯罪记录</w:t>
      </w:r>
      <w:r>
        <w:rPr>
          <w:rFonts w:hint="eastAsia" w:hAnsi="宋体"/>
          <w:sz w:val="24"/>
        </w:rPr>
        <w:t>以及近一年内无违规违纪情况</w:t>
      </w:r>
      <w:r>
        <w:rPr>
          <w:rFonts w:hint="eastAsia"/>
          <w:sz w:val="24"/>
        </w:rPr>
        <w:t>；</w:t>
      </w:r>
    </w:p>
    <w:p w14:paraId="5B5E892D">
      <w:pPr>
        <w:pStyle w:val="9"/>
        <w:spacing w:before="156" w:line="480" w:lineRule="exact"/>
        <w:ind w:firstLine="480"/>
        <w:rPr>
          <w:sz w:val="24"/>
        </w:rPr>
      </w:pPr>
      <w:r>
        <w:rPr>
          <w:rFonts w:hint="eastAsia"/>
          <w:sz w:val="24"/>
        </w:rPr>
        <w:t>我公司承诺，在参加本项目中“</w:t>
      </w:r>
      <w:r>
        <w:rPr>
          <w:rFonts w:hint="eastAsia" w:hAnsi="宋体"/>
          <w:bCs/>
          <w:sz w:val="24"/>
        </w:rPr>
        <w:t>单位负责人为同一人或者存在直接控股、管理关系的不同申请人，不得同时参与本项目的采购活动。为本项目提供过整体设计、规范编制或者项目管理、监理、检测等服务的供应商，不得再参加本次采购活动</w:t>
      </w:r>
      <w:r>
        <w:rPr>
          <w:rFonts w:hint="eastAsia"/>
          <w:sz w:val="24"/>
        </w:rPr>
        <w:t>”且本次投标文件中提供的所有材料均真实、有效。</w:t>
      </w:r>
    </w:p>
    <w:p w14:paraId="76CE4B90">
      <w:pPr>
        <w:pStyle w:val="9"/>
        <w:spacing w:before="156" w:line="480" w:lineRule="exact"/>
        <w:ind w:firstLine="480"/>
        <w:rPr>
          <w:rFonts w:hAnsi="宋体"/>
          <w:bCs/>
          <w:sz w:val="24"/>
        </w:rPr>
      </w:pPr>
      <w:r>
        <w:rPr>
          <w:rFonts w:hint="eastAsia" w:hAnsi="宋体"/>
          <w:bCs/>
          <w:sz w:val="24"/>
        </w:rPr>
        <w:t>若违反上述规定，所投标无效，并承担相应的责任。</w:t>
      </w:r>
    </w:p>
    <w:p w14:paraId="59FD818E">
      <w:pPr>
        <w:pStyle w:val="9"/>
        <w:spacing w:before="156" w:line="560" w:lineRule="exact"/>
        <w:ind w:firstLine="480"/>
        <w:rPr>
          <w:rFonts w:hAnsi="宋体"/>
          <w:bCs/>
          <w:sz w:val="24"/>
        </w:rPr>
      </w:pPr>
      <w:r>
        <w:rPr>
          <w:rFonts w:hint="eastAsia" w:hAnsi="宋体"/>
          <w:bCs/>
          <w:sz w:val="24"/>
        </w:rPr>
        <w:t>特此承诺！</w:t>
      </w:r>
    </w:p>
    <w:p w14:paraId="61683AEA">
      <w:pPr>
        <w:pStyle w:val="9"/>
        <w:spacing w:before="156" w:line="560" w:lineRule="exact"/>
        <w:ind w:firstLine="480"/>
        <w:rPr>
          <w:rFonts w:hAnsi="宋体"/>
          <w:bCs/>
          <w:sz w:val="24"/>
        </w:rPr>
      </w:pPr>
    </w:p>
    <w:p w14:paraId="71F45B68">
      <w:pPr>
        <w:pStyle w:val="9"/>
        <w:spacing w:before="156" w:line="560" w:lineRule="exact"/>
        <w:ind w:firstLine="480"/>
        <w:rPr>
          <w:sz w:val="24"/>
        </w:rPr>
      </w:pPr>
    </w:p>
    <w:p w14:paraId="25997370">
      <w:pPr>
        <w:spacing w:before="360" w:after="3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（电子签章）</w:t>
      </w:r>
    </w:p>
    <w:p w14:paraId="693F0BFF">
      <w:pPr>
        <w:spacing w:before="360" w:after="36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（签字或电子签章）</w:t>
      </w:r>
    </w:p>
    <w:p w14:paraId="1A75E0DF">
      <w:pPr>
        <w:spacing w:before="360" w:after="36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D248EC4">
      <w:pPr>
        <w:spacing w:before="360" w:after="360"/>
        <w:rPr>
          <w:rFonts w:ascii="宋体" w:hAnsi="宋体" w:cs="宋体"/>
          <w:sz w:val="24"/>
        </w:rPr>
      </w:pPr>
    </w:p>
    <w:p w14:paraId="5A554915">
      <w:pPr>
        <w:spacing w:line="360" w:lineRule="auto"/>
        <w:jc w:val="left"/>
        <w:rPr>
          <w:rFonts w:ascii="宋体" w:hAnsi="宋体"/>
          <w:sz w:val="24"/>
        </w:rPr>
      </w:pPr>
      <w:r>
        <w:rPr>
          <w:rFonts w:hint="eastAsia" w:ascii="宋体" w:hAnsi="宋体"/>
          <w:sz w:val="24"/>
        </w:rPr>
        <w:t>注：</w:t>
      </w:r>
    </w:p>
    <w:p w14:paraId="79EC40AE">
      <w:pPr>
        <w:spacing w:line="360" w:lineRule="auto"/>
        <w:jc w:val="left"/>
        <w:rPr>
          <w:rFonts w:ascii="宋体" w:hAnsi="宋体"/>
          <w:sz w:val="24"/>
        </w:rPr>
      </w:pPr>
      <w:r>
        <w:rPr>
          <w:rFonts w:hint="eastAsia" w:ascii="宋体" w:hAnsi="宋体"/>
          <w:sz w:val="24"/>
        </w:rPr>
        <w:t>1、供应商应按照“申请人资格要求”进行承诺（包括但不限于资格要求3.2、3.3项要求）；</w:t>
      </w:r>
    </w:p>
    <w:p w14:paraId="27A164F0">
      <w:pPr>
        <w:spacing w:line="480" w:lineRule="exact"/>
        <w:jc w:val="left"/>
        <w:rPr>
          <w:rFonts w:ascii="宋体" w:hAnsi="宋体"/>
          <w:b/>
          <w:sz w:val="24"/>
        </w:rPr>
      </w:pPr>
      <w:r>
        <w:rPr>
          <w:rFonts w:hint="eastAsia" w:ascii="宋体" w:hAnsi="宋体"/>
          <w:sz w:val="24"/>
        </w:rPr>
        <w:t>2、若谈判文件中明确要求提供证明资料的，以证明资料为准。</w:t>
      </w:r>
    </w:p>
    <w:p w14:paraId="45F675ED">
      <w:pPr>
        <w:spacing w:line="480" w:lineRule="exact"/>
        <w:jc w:val="left"/>
        <w:rPr>
          <w:rFonts w:ascii="宋体" w:hAnsi="宋体"/>
          <w:b/>
          <w:sz w:val="24"/>
        </w:rPr>
      </w:pPr>
    </w:p>
    <w:p w14:paraId="3EC7CA59">
      <w:pPr>
        <w:pStyle w:val="4"/>
        <w:rPr>
          <w:snapToGrid w:val="0"/>
        </w:rPr>
      </w:pPr>
      <w:r>
        <w:rPr>
          <w:rFonts w:hint="eastAsia" w:ascii="宋体" w:hAnsi="宋体" w:cs="宋体"/>
          <w:sz w:val="24"/>
          <w:u w:val="single"/>
        </w:rPr>
        <w:br w:type="page"/>
      </w:r>
      <w:bookmarkStart w:id="255" w:name="_Toc498367350"/>
      <w:bookmarkStart w:id="256" w:name="_Toc505612975"/>
      <w:r>
        <w:rPr>
          <w:rFonts w:hint="eastAsia"/>
          <w:snapToGrid w:val="0"/>
        </w:rPr>
        <w:t>附件三、法定代表人身份证明书</w:t>
      </w:r>
      <w:bookmarkEnd w:id="255"/>
      <w:bookmarkEnd w:id="256"/>
    </w:p>
    <w:p w14:paraId="325B652F">
      <w:pPr>
        <w:spacing w:line="480" w:lineRule="exact"/>
        <w:jc w:val="center"/>
        <w:rPr>
          <w:rFonts w:ascii="宋体" w:hAnsi="宋体" w:cs="宋体"/>
          <w:b/>
          <w:sz w:val="24"/>
        </w:rPr>
      </w:pPr>
    </w:p>
    <w:p w14:paraId="33EC1F80">
      <w:pPr>
        <w:spacing w:line="480" w:lineRule="exact"/>
        <w:rPr>
          <w:rFonts w:ascii="宋体" w:hAnsi="宋体" w:cs="宋体"/>
          <w:sz w:val="24"/>
        </w:rPr>
      </w:pPr>
      <w:r>
        <w:rPr>
          <w:rFonts w:hint="eastAsia" w:ascii="宋体" w:hAnsi="宋体" w:cs="宋体"/>
          <w:sz w:val="24"/>
        </w:rPr>
        <w:t>供应商名称：</w:t>
      </w:r>
      <w:r>
        <w:rPr>
          <w:rFonts w:hint="eastAsia" w:ascii="宋体" w:hAnsi="宋体" w:cs="宋体"/>
          <w:sz w:val="24"/>
          <w:u w:val="single"/>
        </w:rPr>
        <w:t xml:space="preserve">                        </w:t>
      </w:r>
    </w:p>
    <w:p w14:paraId="440E9344">
      <w:pPr>
        <w:spacing w:line="480" w:lineRule="exact"/>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14:paraId="6879FDCE">
      <w:pPr>
        <w:spacing w:line="480" w:lineRule="exact"/>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F273F2A">
      <w:pPr>
        <w:spacing w:line="480" w:lineRule="exact"/>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14:paraId="0A7A1DFB">
      <w:pPr>
        <w:spacing w:line="480" w:lineRule="exact"/>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14:paraId="71144D38">
      <w:pPr>
        <w:spacing w:line="480" w:lineRule="exact"/>
        <w:rPr>
          <w:rFonts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（供应商名称）的法定代表人。</w:t>
      </w:r>
    </w:p>
    <w:p w14:paraId="4984A1B3">
      <w:pPr>
        <w:spacing w:line="480" w:lineRule="exact"/>
        <w:ind w:firstLine="480" w:firstLineChars="200"/>
        <w:rPr>
          <w:rFonts w:ascii="宋体" w:hAnsi="宋体" w:cs="宋体"/>
          <w:sz w:val="24"/>
        </w:rPr>
      </w:pPr>
    </w:p>
    <w:p w14:paraId="65F135C0">
      <w:pPr>
        <w:spacing w:line="480" w:lineRule="exact"/>
        <w:ind w:firstLine="480" w:firstLineChars="200"/>
        <w:rPr>
          <w:rFonts w:ascii="宋体" w:hAnsi="宋体" w:cs="宋体"/>
          <w:sz w:val="24"/>
        </w:rPr>
      </w:pPr>
      <w:r>
        <w:rPr>
          <w:rFonts w:hint="eastAsia" w:ascii="宋体" w:hAnsi="宋体" w:cs="宋体"/>
          <w:sz w:val="24"/>
        </w:rPr>
        <w:t>特此证明。</w:t>
      </w:r>
    </w:p>
    <w:p w14:paraId="7B9497F6">
      <w:pPr>
        <w:spacing w:line="480" w:lineRule="exact"/>
        <w:rPr>
          <w:rFonts w:ascii="宋体" w:hAnsi="宋体" w:cs="宋体"/>
          <w:b/>
          <w:bCs/>
          <w:sz w:val="24"/>
        </w:rPr>
      </w:pPr>
    </w:p>
    <w:p w14:paraId="1146E8BA">
      <w:pPr>
        <w:spacing w:line="480" w:lineRule="exact"/>
        <w:rPr>
          <w:rFonts w:ascii="宋体" w:hAnsi="宋体" w:cs="宋体"/>
          <w:sz w:val="24"/>
        </w:rPr>
      </w:pPr>
    </w:p>
    <w:p w14:paraId="18A0F533">
      <w:pPr>
        <w:spacing w:before="360" w:after="360"/>
        <w:jc w:val="right"/>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（电子签章）</w:t>
      </w:r>
    </w:p>
    <w:p w14:paraId="17B38B77">
      <w:pPr>
        <w:spacing w:before="360" w:after="360"/>
        <w:jc w:val="righ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A0DBD77">
      <w:pPr>
        <w:spacing w:line="480" w:lineRule="exact"/>
        <w:rPr>
          <w:rFonts w:ascii="宋体" w:hAnsi="宋体" w:cs="宋体"/>
          <w:sz w:val="24"/>
        </w:rPr>
      </w:pPr>
    </w:p>
    <w:p w14:paraId="5C3FAF66">
      <w:pPr>
        <w:spacing w:line="480" w:lineRule="exact"/>
        <w:rPr>
          <w:rFonts w:ascii="宋体" w:hAnsi="宋体" w:cs="宋体"/>
          <w:sz w:val="24"/>
        </w:rPr>
      </w:pPr>
      <w:r>
        <w:rPr>
          <w:rFonts w:hint="eastAsia" w:ascii="宋体" w:hAnsi="宋体" w:cs="宋体"/>
          <w:b/>
          <w:bCs/>
          <w:sz w:val="24"/>
        </w:rPr>
        <w:t>注:附法定代表人身份证复印件正反面。</w:t>
      </w:r>
    </w:p>
    <w:p w14:paraId="25084BE0">
      <w:pPr>
        <w:pStyle w:val="4"/>
        <w:rPr>
          <w:snapToGrid w:val="0"/>
        </w:rPr>
      </w:pPr>
      <w:r>
        <w:rPr>
          <w:rFonts w:hint="eastAsia" w:hAnsi="宋体" w:cs="宋体"/>
          <w:b w:val="0"/>
          <w:sz w:val="24"/>
          <w:szCs w:val="24"/>
        </w:rPr>
        <w:br w:type="page"/>
      </w:r>
      <w:bookmarkStart w:id="257" w:name="_Toc498367351"/>
      <w:bookmarkStart w:id="258" w:name="_Toc505612976"/>
      <w:r>
        <w:rPr>
          <w:rFonts w:hint="eastAsia"/>
          <w:snapToGrid w:val="0"/>
        </w:rPr>
        <w:t>附件四、法定代表人授权委托书</w:t>
      </w:r>
      <w:bookmarkEnd w:id="257"/>
      <w:bookmarkEnd w:id="258"/>
    </w:p>
    <w:p w14:paraId="0C92E17B">
      <w:pPr>
        <w:spacing w:line="480" w:lineRule="exact"/>
        <w:rPr>
          <w:rFonts w:ascii="宋体" w:hAnsi="宋体" w:cs="宋体"/>
          <w:sz w:val="24"/>
        </w:rPr>
      </w:pPr>
    </w:p>
    <w:p w14:paraId="3D11A6AC">
      <w:pPr>
        <w:spacing w:line="480" w:lineRule="exact"/>
        <w:ind w:firstLine="480" w:firstLineChars="200"/>
        <w:rPr>
          <w:rFonts w:ascii="宋体" w:hAnsi="宋体" w:cs="宋体"/>
          <w:sz w:val="24"/>
        </w:rPr>
      </w:pPr>
    </w:p>
    <w:p w14:paraId="4E0D3670">
      <w:pPr>
        <w:spacing w:line="480" w:lineRule="exact"/>
        <w:ind w:firstLine="480" w:firstLineChars="200"/>
        <w:rPr>
          <w:rFonts w:ascii="宋体" w:hAnsi="宋体" w:cs="宋体"/>
          <w:sz w:val="24"/>
        </w:rPr>
      </w:pPr>
      <w:r>
        <w:rPr>
          <w:rFonts w:hint="eastAsia" w:ascii="宋体" w:hAnsi="宋体" w:cs="宋体"/>
          <w:sz w:val="24"/>
        </w:rPr>
        <w:t>本授权书声明：</w:t>
      </w:r>
      <w:r>
        <w:rPr>
          <w:rFonts w:hint="eastAsia" w:ascii="宋体" w:hAnsi="宋体" w:cs="宋体"/>
          <w:sz w:val="24"/>
          <w:u w:val="single"/>
        </w:rPr>
        <w:t xml:space="preserve">       （供应商全称）     </w:t>
      </w:r>
      <w:r>
        <w:rPr>
          <w:rFonts w:hint="eastAsia" w:ascii="宋体" w:hAnsi="宋体" w:cs="宋体"/>
          <w:sz w:val="24"/>
        </w:rPr>
        <w:t>的法定代表人代表本公司授权</w:t>
      </w:r>
      <w:r>
        <w:rPr>
          <w:rFonts w:hint="eastAsia" w:ascii="宋体" w:hAnsi="宋体" w:cs="宋体"/>
          <w:sz w:val="24"/>
          <w:u w:val="single"/>
        </w:rPr>
        <w:t xml:space="preserve">   （委托代理人姓名）   </w:t>
      </w:r>
      <w:r>
        <w:rPr>
          <w:rFonts w:hint="eastAsia" w:ascii="宋体" w:hAnsi="宋体" w:cs="宋体"/>
          <w:sz w:val="24"/>
        </w:rPr>
        <w:t>为本公司合法代理人，以本单位名义亲自出席参加贵方组织的</w:t>
      </w:r>
      <w:r>
        <w:rPr>
          <w:rFonts w:hint="eastAsia" w:ascii="宋体" w:hAnsi="宋体" w:cs="宋体"/>
          <w:sz w:val="24"/>
          <w:u w:val="single"/>
        </w:rPr>
        <w:t xml:space="preserve">    （采购项目名称）    </w:t>
      </w:r>
      <w:r>
        <w:rPr>
          <w:rFonts w:hint="eastAsia" w:ascii="宋体" w:hAnsi="宋体" w:cs="宋体"/>
          <w:sz w:val="24"/>
        </w:rPr>
        <w:t>项目（项目编号：</w:t>
      </w:r>
      <w:r>
        <w:rPr>
          <w:rFonts w:hint="eastAsia" w:ascii="宋体" w:hAnsi="宋体" w:cs="宋体"/>
          <w:sz w:val="24"/>
          <w:u w:val="single"/>
        </w:rPr>
        <w:t xml:space="preserve">          </w:t>
      </w:r>
      <w:r>
        <w:rPr>
          <w:rFonts w:hint="eastAsia" w:ascii="宋体" w:hAnsi="宋体" w:cs="宋体"/>
          <w:sz w:val="24"/>
        </w:rPr>
        <w:t>）的谈判。代理人在本项目谈判过程中所签署的一切文件和处理与之有关的一切事务，我方均予承认。</w:t>
      </w:r>
    </w:p>
    <w:p w14:paraId="37B6B51E">
      <w:pPr>
        <w:spacing w:line="480" w:lineRule="exact"/>
        <w:ind w:firstLine="480" w:firstLineChars="200"/>
        <w:rPr>
          <w:rFonts w:ascii="宋体" w:hAnsi="宋体" w:cs="宋体"/>
          <w:sz w:val="24"/>
        </w:rPr>
      </w:pPr>
      <w:r>
        <w:rPr>
          <w:rFonts w:hint="eastAsia" w:ascii="宋体" w:hAnsi="宋体" w:cs="宋体"/>
          <w:sz w:val="24"/>
        </w:rPr>
        <w:t>代理人无转委托权。</w:t>
      </w:r>
    </w:p>
    <w:p w14:paraId="2C40937D">
      <w:pPr>
        <w:spacing w:line="480" w:lineRule="exact"/>
        <w:ind w:firstLine="480" w:firstLineChars="200"/>
        <w:rPr>
          <w:rFonts w:ascii="宋体" w:hAnsi="宋体" w:cs="宋体"/>
          <w:sz w:val="24"/>
        </w:rPr>
      </w:pPr>
    </w:p>
    <w:p w14:paraId="5BD5727D">
      <w:pPr>
        <w:spacing w:line="480" w:lineRule="exact"/>
        <w:ind w:firstLine="480" w:firstLineChars="200"/>
        <w:rPr>
          <w:rFonts w:ascii="宋体" w:hAnsi="宋体" w:cs="宋体"/>
          <w:sz w:val="24"/>
        </w:rPr>
      </w:pPr>
      <w:r>
        <w:rPr>
          <w:rFonts w:hint="eastAsia" w:ascii="宋体" w:hAnsi="宋体" w:cs="宋体"/>
          <w:sz w:val="24"/>
        </w:rPr>
        <w:t>供应商：</w:t>
      </w:r>
      <w:r>
        <w:rPr>
          <w:rFonts w:hint="eastAsia" w:ascii="宋体" w:hAnsi="宋体" w:cs="宋体"/>
          <w:sz w:val="24"/>
          <w:u w:val="single"/>
        </w:rPr>
        <w:t xml:space="preserve">        （全称）      </w:t>
      </w:r>
      <w:r>
        <w:rPr>
          <w:rFonts w:hint="eastAsia" w:ascii="宋体" w:hAnsi="宋体" w:cs="宋体"/>
          <w:sz w:val="24"/>
        </w:rPr>
        <w:t>（电子签章）</w:t>
      </w:r>
    </w:p>
    <w:p w14:paraId="777183F3">
      <w:pPr>
        <w:spacing w:line="480" w:lineRule="exact"/>
        <w:ind w:firstLine="480" w:firstLineChars="200"/>
        <w:rPr>
          <w:rFonts w:ascii="宋体" w:hAnsi="宋体" w:cs="宋体"/>
          <w:sz w:val="24"/>
        </w:rPr>
      </w:pP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w:t>
      </w:r>
      <w:r>
        <w:rPr>
          <w:rFonts w:hint="eastAsia" w:hAnsi="宋体" w:cs="宋体"/>
          <w:sz w:val="24"/>
        </w:rPr>
        <w:t>签字或电子签章</w:t>
      </w:r>
      <w:r>
        <w:rPr>
          <w:rFonts w:hint="eastAsia" w:ascii="宋体" w:hAnsi="宋体" w:cs="宋体"/>
          <w:sz w:val="24"/>
        </w:rPr>
        <w:t>）</w:t>
      </w:r>
    </w:p>
    <w:p w14:paraId="13E89A96">
      <w:pPr>
        <w:spacing w:line="480" w:lineRule="exact"/>
        <w:ind w:firstLine="480" w:firstLineChars="200"/>
        <w:rPr>
          <w:rFonts w:ascii="宋体" w:hAnsi="宋体" w:cs="宋体"/>
          <w:sz w:val="24"/>
        </w:rPr>
      </w:pPr>
      <w:r>
        <w:rPr>
          <w:rFonts w:hint="eastAsia" w:ascii="宋体" w:hAnsi="宋体" w:cs="宋体"/>
          <w:sz w:val="24"/>
        </w:rPr>
        <w:t>法定代表人身份证号码：</w:t>
      </w:r>
      <w:r>
        <w:rPr>
          <w:rFonts w:hint="eastAsia" w:ascii="宋体" w:hAnsi="宋体" w:cs="宋体"/>
          <w:sz w:val="24"/>
          <w:u w:val="single"/>
        </w:rPr>
        <w:t xml:space="preserve">                             </w:t>
      </w:r>
    </w:p>
    <w:p w14:paraId="08B8FE8F">
      <w:pPr>
        <w:spacing w:line="480" w:lineRule="exact"/>
        <w:ind w:firstLine="480" w:firstLineChars="200"/>
        <w:rPr>
          <w:rFonts w:ascii="宋体" w:hAnsi="宋体" w:cs="宋体"/>
          <w:sz w:val="24"/>
        </w:rPr>
      </w:pPr>
      <w:r>
        <w:rPr>
          <w:rFonts w:hint="eastAsia" w:ascii="宋体" w:hAnsi="宋体" w:cs="宋体"/>
          <w:sz w:val="24"/>
        </w:rPr>
        <w:t>委托代理人：</w:t>
      </w:r>
      <w:r>
        <w:rPr>
          <w:rFonts w:hint="eastAsia" w:ascii="宋体" w:hAnsi="宋体" w:cs="宋体"/>
          <w:sz w:val="24"/>
          <w:u w:val="single"/>
        </w:rPr>
        <w:t xml:space="preserve">                      </w:t>
      </w:r>
      <w:r>
        <w:rPr>
          <w:rFonts w:hint="eastAsia" w:ascii="宋体" w:hAnsi="宋体" w:cs="宋体"/>
          <w:sz w:val="24"/>
        </w:rPr>
        <w:t>（</w:t>
      </w:r>
      <w:r>
        <w:rPr>
          <w:rFonts w:hint="eastAsia" w:hAnsi="宋体" w:cs="宋体"/>
          <w:sz w:val="24"/>
        </w:rPr>
        <w:t>签字或电子签章</w:t>
      </w:r>
      <w:r>
        <w:rPr>
          <w:rFonts w:hint="eastAsia" w:ascii="宋体" w:hAnsi="宋体" w:cs="宋体"/>
          <w:sz w:val="24"/>
        </w:rPr>
        <w:t>）</w:t>
      </w:r>
    </w:p>
    <w:p w14:paraId="2BF9A792">
      <w:pPr>
        <w:spacing w:line="480" w:lineRule="exact"/>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14:paraId="72975FFD">
      <w:pPr>
        <w:spacing w:line="480" w:lineRule="exact"/>
        <w:ind w:firstLine="480" w:firstLineChars="200"/>
        <w:rPr>
          <w:rFonts w:ascii="宋体" w:hAnsi="宋体" w:cs="宋体"/>
          <w:sz w:val="24"/>
        </w:rPr>
      </w:pPr>
      <w:r>
        <w:rPr>
          <w:rFonts w:hint="eastAsia" w:ascii="宋体" w:hAnsi="宋体" w:cs="宋体"/>
          <w:sz w:val="24"/>
        </w:rPr>
        <w:t>代理人身份证号码：</w:t>
      </w:r>
      <w:r>
        <w:rPr>
          <w:rFonts w:hint="eastAsia" w:ascii="宋体" w:hAnsi="宋体" w:cs="宋体"/>
          <w:sz w:val="24"/>
          <w:u w:val="single"/>
        </w:rPr>
        <w:t xml:space="preserve">                             </w:t>
      </w:r>
    </w:p>
    <w:p w14:paraId="0940AFBE">
      <w:pPr>
        <w:spacing w:line="480" w:lineRule="exact"/>
        <w:ind w:firstLine="480" w:firstLineChars="200"/>
        <w:rPr>
          <w:rFonts w:ascii="宋体" w:hAnsi="宋体" w:cs="宋体"/>
          <w:sz w:val="24"/>
          <w:u w:val="single"/>
        </w:rPr>
      </w:pPr>
    </w:p>
    <w:p w14:paraId="11ACBDC4">
      <w:pPr>
        <w:spacing w:line="480" w:lineRule="exact"/>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B829BB2">
      <w:pPr>
        <w:spacing w:line="480" w:lineRule="exact"/>
        <w:ind w:firstLine="480" w:firstLineChars="200"/>
        <w:rPr>
          <w:rFonts w:ascii="宋体" w:hAnsi="宋体" w:cs="宋体"/>
          <w:sz w:val="24"/>
        </w:rPr>
      </w:pPr>
    </w:p>
    <w:p w14:paraId="4C08970B">
      <w:pPr>
        <w:spacing w:line="480" w:lineRule="exact"/>
        <w:ind w:firstLine="480" w:firstLineChars="200"/>
        <w:rPr>
          <w:rFonts w:ascii="宋体" w:hAnsi="宋体" w:cs="宋体"/>
          <w:sz w:val="24"/>
        </w:rPr>
      </w:pPr>
      <w:r>
        <w:rPr>
          <w:rFonts w:hint="eastAsia" w:ascii="宋体" w:hAnsi="宋体" w:cs="宋体"/>
          <w:sz w:val="24"/>
        </w:rPr>
        <w:t>附：委托代理人电话：</w:t>
      </w:r>
      <w:r>
        <w:rPr>
          <w:rFonts w:hint="eastAsia" w:ascii="宋体" w:hAnsi="宋体" w:cs="宋体"/>
          <w:sz w:val="24"/>
          <w:u w:val="single"/>
        </w:rPr>
        <w:t xml:space="preserve">                             </w:t>
      </w:r>
    </w:p>
    <w:p w14:paraId="2BCB7C16">
      <w:pPr>
        <w:spacing w:line="480" w:lineRule="exact"/>
        <w:ind w:firstLine="480" w:firstLineChars="200"/>
        <w:rPr>
          <w:rFonts w:ascii="宋体" w:hAnsi="宋体" w:cs="宋体"/>
          <w:sz w:val="24"/>
        </w:rPr>
      </w:pPr>
      <w:bookmarkStart w:id="259" w:name="_Toc450312195"/>
      <w:r>
        <w:rPr>
          <w:rFonts w:hint="eastAsia" w:ascii="宋体" w:hAnsi="宋体" w:cs="宋体"/>
          <w:sz w:val="24"/>
        </w:rPr>
        <w:t>附委托代理人身份证复印件（正面、反面均附上）。</w:t>
      </w:r>
      <w:bookmarkEnd w:id="259"/>
    </w:p>
    <w:p w14:paraId="4A492966">
      <w:pPr>
        <w:pStyle w:val="4"/>
        <w:rPr>
          <w:snapToGrid w:val="0"/>
        </w:rPr>
      </w:pPr>
      <w:r>
        <w:rPr>
          <w:rFonts w:ascii="宋体" w:hAnsi="宋体" w:cs="宋体"/>
          <w:bCs w:val="0"/>
          <w:sz w:val="24"/>
          <w:szCs w:val="24"/>
        </w:rPr>
        <w:br w:type="page"/>
      </w:r>
      <w:r>
        <w:rPr>
          <w:rFonts w:hint="eastAsia"/>
          <w:snapToGrid w:val="0"/>
        </w:rPr>
        <w:t>附件五、谈判申请</w:t>
      </w:r>
      <w:bookmarkEnd w:id="246"/>
      <w:r>
        <w:rPr>
          <w:rFonts w:hint="eastAsia"/>
          <w:snapToGrid w:val="0"/>
        </w:rPr>
        <w:t>函</w:t>
      </w:r>
      <w:bookmarkEnd w:id="247"/>
      <w:bookmarkEnd w:id="248"/>
      <w:bookmarkEnd w:id="249"/>
      <w:bookmarkEnd w:id="250"/>
      <w:bookmarkEnd w:id="251"/>
      <w:bookmarkEnd w:id="252"/>
      <w:bookmarkEnd w:id="253"/>
    </w:p>
    <w:p w14:paraId="2BC23905">
      <w:pPr>
        <w:spacing w:line="360" w:lineRule="auto"/>
        <w:jc w:val="left"/>
        <w:rPr>
          <w:rFonts w:ascii="宋体" w:hAnsi="宋体" w:cs="宋体"/>
          <w:sz w:val="24"/>
        </w:rPr>
      </w:pPr>
      <w:r>
        <w:rPr>
          <w:rFonts w:hint="eastAsia" w:ascii="宋体" w:hAnsi="宋体" w:cs="宋体"/>
          <w:sz w:val="24"/>
        </w:rPr>
        <w:t>致：</w:t>
      </w:r>
      <w:r>
        <w:rPr>
          <w:rFonts w:hint="eastAsia" w:ascii="宋体" w:hAnsi="宋体" w:cs="宋体"/>
          <w:sz w:val="24"/>
          <w:u w:val="single"/>
        </w:rPr>
        <w:t xml:space="preserve">               （采购人名称）</w:t>
      </w:r>
    </w:p>
    <w:p w14:paraId="60F2C1FF">
      <w:pPr>
        <w:pStyle w:val="18"/>
        <w:spacing w:line="360" w:lineRule="auto"/>
        <w:ind w:firstLine="482"/>
        <w:rPr>
          <w:rFonts w:hint="eastAsia" w:hAnsi="宋体" w:cs="宋体"/>
          <w:sz w:val="24"/>
          <w:szCs w:val="24"/>
        </w:rPr>
      </w:pPr>
      <w:r>
        <w:rPr>
          <w:rFonts w:hint="eastAsia" w:hAnsi="宋体" w:cs="宋体"/>
          <w:sz w:val="24"/>
          <w:szCs w:val="24"/>
        </w:rPr>
        <w:t>我方仔细研究了</w:t>
      </w:r>
      <w:r>
        <w:rPr>
          <w:rFonts w:hint="eastAsia" w:hAnsi="宋体" w:cs="宋体"/>
          <w:sz w:val="24"/>
          <w:szCs w:val="24"/>
          <w:u w:val="single"/>
        </w:rPr>
        <w:t xml:space="preserve">(采购项目名称)   </w:t>
      </w:r>
      <w:r>
        <w:rPr>
          <w:rFonts w:hint="eastAsia" w:hAnsi="宋体" w:cs="宋体"/>
          <w:sz w:val="24"/>
          <w:szCs w:val="24"/>
        </w:rPr>
        <w:t>(项目编号：</w:t>
      </w:r>
      <w:r>
        <w:rPr>
          <w:rFonts w:hint="eastAsia" w:hAnsi="宋体" w:cs="宋体"/>
          <w:sz w:val="24"/>
          <w:szCs w:val="24"/>
          <w:u w:val="single"/>
          <w:lang w:val="en-US" w:eastAsia="zh-CN"/>
        </w:rPr>
        <w:t xml:space="preserve">         </w:t>
      </w:r>
      <w:r>
        <w:rPr>
          <w:rFonts w:hint="eastAsia" w:hAnsi="宋体" w:cs="宋体"/>
          <w:sz w:val="24"/>
          <w:szCs w:val="24"/>
        </w:rPr>
        <w:t>)项目竞争性谈判文件的全部内容，正式授权下述签字人</w:t>
      </w:r>
      <w:r>
        <w:rPr>
          <w:rFonts w:hint="eastAsia" w:hAnsi="宋体" w:cs="宋体"/>
          <w:sz w:val="24"/>
          <w:szCs w:val="24"/>
          <w:u w:val="single"/>
        </w:rPr>
        <w:t xml:space="preserve">   (姓名和职务)     </w:t>
      </w:r>
      <w:r>
        <w:rPr>
          <w:rFonts w:hint="eastAsia" w:hAnsi="宋体" w:cs="宋体"/>
          <w:sz w:val="24"/>
          <w:szCs w:val="24"/>
        </w:rPr>
        <w:t>全权代表供应商</w:t>
      </w:r>
      <w:r>
        <w:rPr>
          <w:rFonts w:hint="eastAsia" w:hAnsi="宋体" w:cs="宋体"/>
          <w:sz w:val="24"/>
          <w:szCs w:val="24"/>
          <w:u w:val="single"/>
        </w:rPr>
        <w:t xml:space="preserve">  (供应商全称)   </w:t>
      </w:r>
      <w:r>
        <w:rPr>
          <w:rFonts w:hint="eastAsia" w:hAnsi="宋体" w:cs="宋体"/>
          <w:sz w:val="24"/>
          <w:szCs w:val="24"/>
        </w:rPr>
        <w:t>参加谈判，并提交响应文件。</w:t>
      </w:r>
    </w:p>
    <w:p w14:paraId="33F4036B">
      <w:pPr>
        <w:pStyle w:val="18"/>
        <w:spacing w:line="360" w:lineRule="auto"/>
        <w:ind w:firstLine="482"/>
        <w:rPr>
          <w:rFonts w:hAnsi="宋体" w:cs="宋体"/>
          <w:sz w:val="24"/>
          <w:szCs w:val="24"/>
        </w:rPr>
      </w:pPr>
      <w:r>
        <w:rPr>
          <w:rFonts w:hint="eastAsia" w:hAnsi="宋体" w:cs="宋体"/>
          <w:sz w:val="24"/>
          <w:szCs w:val="24"/>
        </w:rPr>
        <w:t>据此函，同意如下：</w:t>
      </w:r>
    </w:p>
    <w:p w14:paraId="24E6560B">
      <w:pPr>
        <w:pStyle w:val="18"/>
        <w:spacing w:line="360" w:lineRule="auto"/>
        <w:ind w:left="1" w:firstLine="424" w:firstLineChars="177"/>
        <w:rPr>
          <w:rFonts w:hAnsi="宋体" w:cs="宋体"/>
          <w:sz w:val="24"/>
          <w:szCs w:val="24"/>
        </w:rPr>
      </w:pPr>
      <w:r>
        <w:rPr>
          <w:rFonts w:hint="eastAsia" w:hAnsi="宋体" w:cs="宋体"/>
          <w:sz w:val="24"/>
          <w:szCs w:val="24"/>
        </w:rPr>
        <w:t>1.按竞争性谈判文件采购需求和谈判报价汇总表，第一次谈判总报价(大写)</w:t>
      </w:r>
      <w:r>
        <w:rPr>
          <w:rFonts w:hint="eastAsia" w:hAnsi="宋体" w:cs="宋体"/>
          <w:sz w:val="24"/>
          <w:szCs w:val="24"/>
          <w:u w:val="single"/>
        </w:rPr>
        <w:t xml:space="preserve">     </w:t>
      </w:r>
      <w:r>
        <w:rPr>
          <w:rFonts w:hint="eastAsia" w:hAnsi="宋体" w:cs="宋体"/>
          <w:sz w:val="24"/>
          <w:szCs w:val="24"/>
        </w:rPr>
        <w:t>元，人民币(</w:t>
      </w:r>
      <w:r>
        <w:rPr>
          <w:rFonts w:hint="eastAsia" w:hAnsi="宋体" w:cs="宋体"/>
          <w:sz w:val="24"/>
          <w:szCs w:val="24"/>
          <w:lang w:val="en-US" w:eastAsia="zh-CN"/>
        </w:rPr>
        <w:t>¥</w:t>
      </w:r>
      <w:r>
        <w:rPr>
          <w:rFonts w:hint="eastAsia" w:hAnsi="宋体" w:cs="宋体"/>
          <w:sz w:val="24"/>
          <w:szCs w:val="24"/>
          <w:u w:val="single"/>
        </w:rPr>
        <w:t xml:space="preserve">       </w:t>
      </w:r>
      <w:r>
        <w:rPr>
          <w:rFonts w:hint="eastAsia" w:hAnsi="宋体" w:cs="宋体"/>
          <w:sz w:val="24"/>
          <w:szCs w:val="24"/>
        </w:rPr>
        <w:t>)，</w:t>
      </w:r>
      <w:r>
        <w:rPr>
          <w:rFonts w:hint="eastAsia" w:hAnsi="宋体" w:cs="宋体"/>
          <w:sz w:val="24"/>
          <w:szCs w:val="24"/>
          <w:highlight w:val="none"/>
          <w:lang w:val="en-US" w:eastAsia="zh-CN"/>
        </w:rPr>
        <w:t>合同履行期限</w:t>
      </w:r>
      <w:r>
        <w:rPr>
          <w:rFonts w:hint="eastAsia" w:hAnsi="宋体" w:cs="宋体"/>
          <w:sz w:val="24"/>
          <w:szCs w:val="24"/>
        </w:rPr>
        <w:t>：</w:t>
      </w:r>
      <w:r>
        <w:rPr>
          <w:rFonts w:hint="eastAsia" w:hAnsi="宋体" w:cs="宋体"/>
          <w:sz w:val="24"/>
          <w:szCs w:val="24"/>
          <w:u w:val="single"/>
        </w:rPr>
        <w:t xml:space="preserve">      </w:t>
      </w:r>
      <w:r>
        <w:rPr>
          <w:rFonts w:hint="eastAsia" w:hAnsi="宋体" w:cs="宋体"/>
          <w:sz w:val="24"/>
          <w:szCs w:val="24"/>
        </w:rPr>
        <w:t>；质保期为</w:t>
      </w:r>
      <w:r>
        <w:rPr>
          <w:rFonts w:hint="eastAsia" w:hAnsi="宋体" w:cs="宋体"/>
          <w:sz w:val="24"/>
          <w:szCs w:val="24"/>
          <w:u w:val="single"/>
        </w:rPr>
        <w:t xml:space="preserve">      </w:t>
      </w:r>
      <w:r>
        <w:rPr>
          <w:rFonts w:hint="eastAsia" w:hAnsi="宋体" w:cs="宋体"/>
          <w:sz w:val="24"/>
          <w:szCs w:val="24"/>
        </w:rPr>
        <w:t>。</w:t>
      </w:r>
    </w:p>
    <w:p w14:paraId="4B73D9F9">
      <w:pPr>
        <w:pStyle w:val="18"/>
        <w:spacing w:line="360" w:lineRule="auto"/>
        <w:ind w:firstLine="420"/>
        <w:rPr>
          <w:rFonts w:hAnsi="宋体" w:cs="宋体"/>
          <w:spacing w:val="-10"/>
          <w:sz w:val="24"/>
          <w:szCs w:val="24"/>
        </w:rPr>
      </w:pPr>
      <w:r>
        <w:rPr>
          <w:rFonts w:hint="eastAsia" w:hAnsi="宋体" w:cs="宋体"/>
          <w:sz w:val="24"/>
          <w:szCs w:val="24"/>
        </w:rPr>
        <w:t>2.</w:t>
      </w:r>
      <w:r>
        <w:rPr>
          <w:rFonts w:hint="eastAsia" w:hAnsi="宋体" w:cs="宋体"/>
          <w:spacing w:val="-10"/>
          <w:sz w:val="24"/>
          <w:szCs w:val="24"/>
        </w:rPr>
        <w:t>我方已详细审查全部竞争性谈判文件，包</w:t>
      </w:r>
      <w:r>
        <w:rPr>
          <w:rFonts w:hint="eastAsia" w:hAnsi="宋体" w:cs="宋体"/>
          <w:i w:val="0"/>
          <w:iCs w:val="0"/>
          <w:spacing w:val="-10"/>
          <w:sz w:val="24"/>
          <w:szCs w:val="24"/>
        </w:rPr>
        <w:t>括</w:t>
      </w:r>
      <w:r>
        <w:rPr>
          <w:rFonts w:hint="eastAsia" w:hAnsi="宋体" w:cs="宋体"/>
          <w:i w:val="0"/>
          <w:iCs w:val="0"/>
          <w:spacing w:val="-10"/>
          <w:sz w:val="24"/>
          <w:szCs w:val="24"/>
          <w:u w:val="single"/>
        </w:rPr>
        <w:t>(澄</w:t>
      </w:r>
      <w:r>
        <w:rPr>
          <w:rFonts w:hint="eastAsia" w:hAnsi="宋体" w:cs="宋体"/>
          <w:i w:val="0"/>
          <w:iCs/>
          <w:spacing w:val="-10"/>
          <w:sz w:val="24"/>
          <w:szCs w:val="24"/>
          <w:u w:val="single"/>
        </w:rPr>
        <w:t>清文件)</w:t>
      </w:r>
      <w:r>
        <w:rPr>
          <w:rFonts w:hint="eastAsia" w:hAnsi="宋体" w:cs="宋体"/>
          <w:spacing w:val="-10"/>
          <w:sz w:val="24"/>
          <w:szCs w:val="24"/>
          <w:u w:val="single"/>
        </w:rPr>
        <w:t>(如果有的话)</w:t>
      </w:r>
      <w:r>
        <w:rPr>
          <w:rFonts w:hint="eastAsia" w:hAnsi="宋体" w:cs="宋体"/>
          <w:spacing w:val="-10"/>
          <w:sz w:val="24"/>
          <w:szCs w:val="24"/>
        </w:rPr>
        <w:t>。我方完全理解相关文件要求，并承担对这方面有不明及误解的后果。</w:t>
      </w:r>
    </w:p>
    <w:p w14:paraId="069BFC9E">
      <w:pPr>
        <w:pStyle w:val="18"/>
        <w:spacing w:line="360" w:lineRule="auto"/>
        <w:ind w:firstLine="420"/>
        <w:rPr>
          <w:rFonts w:hAnsi="宋体" w:cs="宋体"/>
          <w:sz w:val="24"/>
          <w:szCs w:val="24"/>
          <w:highlight w:val="green"/>
        </w:rPr>
      </w:pPr>
      <w:r>
        <w:rPr>
          <w:rFonts w:hint="eastAsia" w:hAnsi="宋体" w:cs="宋体"/>
          <w:sz w:val="24"/>
          <w:szCs w:val="24"/>
        </w:rPr>
        <w:t>3.在供应商须知规定的开标日期起遵循本响应文件，并在供应商须知规定的响应文件</w:t>
      </w:r>
      <w:r>
        <w:rPr>
          <w:rFonts w:hint="eastAsia" w:hAnsi="宋体" w:cs="宋体"/>
          <w:sz w:val="24"/>
          <w:szCs w:val="24"/>
          <w:highlight w:val="none"/>
        </w:rPr>
        <w:t>有效期</w:t>
      </w:r>
      <w:r>
        <w:rPr>
          <w:rFonts w:hint="eastAsia" w:hAnsi="宋体" w:cs="宋体"/>
          <w:sz w:val="24"/>
          <w:szCs w:val="24"/>
          <w:highlight w:val="none"/>
          <w:u w:val="single"/>
          <w:lang w:val="en-US" w:eastAsia="zh-CN"/>
        </w:rPr>
        <w:t xml:space="preserve">       </w:t>
      </w:r>
      <w:r>
        <w:rPr>
          <w:rFonts w:hint="eastAsia" w:hAnsi="宋体" w:cs="宋体"/>
          <w:sz w:val="24"/>
          <w:szCs w:val="24"/>
          <w:highlight w:val="none"/>
          <w:lang w:val="en-US" w:eastAsia="zh-CN"/>
        </w:rPr>
        <w:t>日</w:t>
      </w:r>
      <w:r>
        <w:rPr>
          <w:rFonts w:hint="eastAsia" w:hAnsi="宋体" w:cs="宋体"/>
          <w:sz w:val="24"/>
          <w:szCs w:val="24"/>
          <w:highlight w:val="none"/>
        </w:rPr>
        <w:t>均具有约束力。</w:t>
      </w:r>
    </w:p>
    <w:p w14:paraId="3F4DA56B">
      <w:pPr>
        <w:pStyle w:val="18"/>
        <w:spacing w:line="360" w:lineRule="auto"/>
        <w:ind w:firstLine="420"/>
        <w:rPr>
          <w:rFonts w:hAnsi="宋体" w:cs="宋体"/>
          <w:sz w:val="24"/>
          <w:szCs w:val="24"/>
        </w:rPr>
      </w:pPr>
      <w:r>
        <w:rPr>
          <w:rFonts w:hint="eastAsia" w:hAnsi="宋体" w:cs="宋体"/>
          <w:sz w:val="24"/>
          <w:szCs w:val="24"/>
        </w:rPr>
        <w:t>4.同意供应商须知中关于没收谈判保证金的规定。</w:t>
      </w:r>
    </w:p>
    <w:p w14:paraId="6F3DDEA2">
      <w:pPr>
        <w:pStyle w:val="18"/>
        <w:spacing w:line="360" w:lineRule="auto"/>
        <w:ind w:firstLine="420"/>
        <w:rPr>
          <w:rFonts w:hAnsi="宋体" w:cs="宋体"/>
          <w:sz w:val="24"/>
          <w:szCs w:val="24"/>
        </w:rPr>
      </w:pPr>
      <w:r>
        <w:rPr>
          <w:rFonts w:hint="eastAsia" w:hAnsi="宋体" w:cs="宋体"/>
          <w:sz w:val="24"/>
          <w:szCs w:val="24"/>
        </w:rPr>
        <w:t>5.同意应贵方要求提供与本谈判有关的任何数据或资料，并保证数据和资料的完整性和真实性。</w:t>
      </w:r>
    </w:p>
    <w:p w14:paraId="77B40A2D">
      <w:pPr>
        <w:pStyle w:val="18"/>
        <w:spacing w:line="360" w:lineRule="auto"/>
        <w:ind w:firstLine="420"/>
        <w:rPr>
          <w:rFonts w:hAnsi="宋体" w:cs="宋体"/>
          <w:sz w:val="24"/>
          <w:szCs w:val="24"/>
        </w:rPr>
      </w:pPr>
      <w:r>
        <w:rPr>
          <w:rFonts w:hint="eastAsia" w:hAnsi="宋体" w:cs="宋体"/>
          <w:sz w:val="24"/>
          <w:szCs w:val="24"/>
        </w:rPr>
        <w:t>6.完全理解贵方不一定要接受最低报价的供应商为中标人的行为。</w:t>
      </w:r>
    </w:p>
    <w:p w14:paraId="4C2F95AF">
      <w:pPr>
        <w:pStyle w:val="18"/>
        <w:spacing w:line="360" w:lineRule="auto"/>
        <w:ind w:firstLine="420"/>
        <w:rPr>
          <w:rFonts w:hAnsi="宋体" w:cs="宋体"/>
          <w:sz w:val="24"/>
          <w:szCs w:val="24"/>
        </w:rPr>
      </w:pPr>
      <w:r>
        <w:rPr>
          <w:rFonts w:hint="eastAsia" w:hAnsi="宋体" w:cs="宋体"/>
          <w:sz w:val="24"/>
          <w:szCs w:val="24"/>
        </w:rPr>
        <w:t>7．如我方中标：(1)我方承诺在收到中标通知书后，在中标通知书规定的期限内与你方签订合同，并履行相应的合同责任和义务。(2)我方承诺按照竞争性谈判文件规定向你方递交履约担保。(3)我方承诺将承担售后服务及保修责任。</w:t>
      </w:r>
    </w:p>
    <w:p w14:paraId="750C051C">
      <w:pPr>
        <w:pStyle w:val="18"/>
        <w:spacing w:line="360" w:lineRule="auto"/>
        <w:ind w:firstLine="420"/>
        <w:rPr>
          <w:rFonts w:hAnsi="宋体" w:cs="宋体"/>
          <w:sz w:val="24"/>
          <w:szCs w:val="24"/>
        </w:rPr>
      </w:pPr>
      <w:r>
        <w:rPr>
          <w:rFonts w:hint="eastAsia" w:hAnsi="宋体" w:cs="宋体"/>
          <w:sz w:val="24"/>
          <w:szCs w:val="24"/>
        </w:rPr>
        <w:t>8．我方在此声明，所递交的响应文件及有关资料内容完整、真实和准确。</w:t>
      </w:r>
    </w:p>
    <w:p w14:paraId="207113D7">
      <w:pPr>
        <w:pStyle w:val="18"/>
        <w:spacing w:line="360" w:lineRule="auto"/>
        <w:ind w:firstLine="420"/>
        <w:rPr>
          <w:rFonts w:hAnsi="宋体" w:cs="宋体"/>
          <w:sz w:val="24"/>
          <w:szCs w:val="24"/>
        </w:rPr>
      </w:pPr>
      <w:r>
        <w:rPr>
          <w:rFonts w:hint="eastAsia" w:hAnsi="宋体" w:cs="宋体"/>
          <w:sz w:val="24"/>
          <w:szCs w:val="24"/>
        </w:rPr>
        <w:t>9．(其他补充说明)。</w:t>
      </w:r>
    </w:p>
    <w:p w14:paraId="22A9C0BA">
      <w:pPr>
        <w:pStyle w:val="18"/>
        <w:spacing w:line="360" w:lineRule="auto"/>
        <w:ind w:firstLine="420"/>
        <w:rPr>
          <w:rFonts w:hAnsi="宋体" w:cs="宋体"/>
          <w:sz w:val="24"/>
          <w:szCs w:val="24"/>
        </w:rPr>
      </w:pPr>
      <w:r>
        <w:rPr>
          <w:rFonts w:hint="eastAsia" w:hAnsi="宋体" w:cs="宋体"/>
          <w:sz w:val="24"/>
          <w:szCs w:val="24"/>
        </w:rPr>
        <w:t>与本谈判有关的正式通讯地址为：</w:t>
      </w:r>
    </w:p>
    <w:p w14:paraId="096314E5">
      <w:pPr>
        <w:pStyle w:val="18"/>
        <w:spacing w:line="360" w:lineRule="auto"/>
        <w:ind w:firstLine="420"/>
        <w:rPr>
          <w:rFonts w:hAnsi="宋体" w:cs="宋体"/>
          <w:sz w:val="24"/>
          <w:szCs w:val="24"/>
        </w:rPr>
      </w:pPr>
      <w:r>
        <w:rPr>
          <w:rFonts w:hint="eastAsia" w:hAnsi="宋体" w:cs="宋体"/>
          <w:sz w:val="24"/>
          <w:szCs w:val="24"/>
        </w:rPr>
        <w:t>地址：                        邮政编码：</w:t>
      </w:r>
    </w:p>
    <w:p w14:paraId="578D9E3C">
      <w:pPr>
        <w:pStyle w:val="18"/>
        <w:spacing w:line="360" w:lineRule="auto"/>
        <w:ind w:firstLine="420"/>
        <w:rPr>
          <w:rFonts w:hAnsi="宋体" w:cs="宋体"/>
          <w:sz w:val="24"/>
          <w:szCs w:val="24"/>
          <w:u w:val="single"/>
        </w:rPr>
      </w:pPr>
      <w:r>
        <w:rPr>
          <w:rFonts w:hint="eastAsia" w:hAnsi="宋体" w:cs="宋体"/>
          <w:sz w:val="24"/>
          <w:szCs w:val="24"/>
        </w:rPr>
        <w:t>电话：                            传真：</w:t>
      </w:r>
    </w:p>
    <w:p w14:paraId="255F20FD">
      <w:pPr>
        <w:pStyle w:val="18"/>
        <w:spacing w:line="360" w:lineRule="auto"/>
        <w:ind w:firstLine="420"/>
        <w:rPr>
          <w:rFonts w:hAnsi="宋体" w:cs="宋体"/>
          <w:sz w:val="24"/>
          <w:szCs w:val="24"/>
          <w:u w:val="single"/>
        </w:rPr>
      </w:pPr>
      <w:r>
        <w:rPr>
          <w:rFonts w:hint="eastAsia" w:hAnsi="宋体" w:cs="宋体"/>
          <w:sz w:val="24"/>
          <w:szCs w:val="24"/>
        </w:rPr>
        <w:t>开户名称：                    开户银行：</w:t>
      </w:r>
    </w:p>
    <w:p w14:paraId="792208EF">
      <w:pPr>
        <w:pStyle w:val="18"/>
        <w:spacing w:line="360" w:lineRule="auto"/>
        <w:ind w:firstLine="420"/>
        <w:rPr>
          <w:rFonts w:ascii="宋体" w:hAnsi="宋体" w:cs="宋体"/>
          <w:sz w:val="24"/>
        </w:rPr>
      </w:pPr>
      <w:r>
        <w:rPr>
          <w:rFonts w:hint="eastAsia" w:hAnsi="宋体" w:cs="宋体"/>
          <w:sz w:val="24"/>
          <w:szCs w:val="24"/>
        </w:rPr>
        <w:t>帐    号：</w:t>
      </w:r>
    </w:p>
    <w:p w14:paraId="3FFF8397">
      <w:pPr>
        <w:spacing w:before="200" w:after="20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（电子签章）</w:t>
      </w:r>
    </w:p>
    <w:p w14:paraId="6A9F67B1">
      <w:pPr>
        <w:spacing w:before="200" w:after="20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（签字或电子签章）</w:t>
      </w:r>
    </w:p>
    <w:p w14:paraId="0338D134">
      <w:pPr>
        <w:spacing w:before="200" w:after="20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6C8543B6">
      <w:pPr>
        <w:pStyle w:val="4"/>
        <w:rPr>
          <w:snapToGrid w:val="0"/>
        </w:rPr>
      </w:pPr>
      <w:r>
        <w:rPr>
          <w:rFonts w:ascii="宋体" w:hAnsi="宋体" w:cs="宋体"/>
          <w:sz w:val="24"/>
        </w:rPr>
        <w:br w:type="page"/>
      </w:r>
      <w:bookmarkStart w:id="260" w:name="_Toc360435346"/>
      <w:bookmarkStart w:id="261" w:name="_Toc9907"/>
      <w:bookmarkStart w:id="262" w:name="_Toc213141099"/>
      <w:bookmarkStart w:id="263" w:name="_Toc505612973"/>
      <w:bookmarkStart w:id="264" w:name="_Toc498367348"/>
      <w:r>
        <w:rPr>
          <w:rFonts w:hint="eastAsia"/>
          <w:snapToGrid w:val="0"/>
        </w:rPr>
        <w:t>附件</w:t>
      </w:r>
      <w:r>
        <w:rPr>
          <w:rFonts w:hint="eastAsia"/>
          <w:snapToGrid w:val="0"/>
          <w:lang w:val="en-US" w:eastAsia="zh-CN"/>
        </w:rPr>
        <w:t>六</w:t>
      </w:r>
      <w:r>
        <w:rPr>
          <w:rFonts w:hint="eastAsia"/>
          <w:snapToGrid w:val="0"/>
        </w:rPr>
        <w:t>、技术规格偏离表</w:t>
      </w:r>
    </w:p>
    <w:bookmarkEnd w:id="260"/>
    <w:bookmarkEnd w:id="261"/>
    <w:bookmarkEnd w:id="262"/>
    <w:p w14:paraId="5AA5F967">
      <w:pPr>
        <w:pStyle w:val="18"/>
        <w:spacing w:line="360" w:lineRule="auto"/>
        <w:ind w:firstLine="210" w:firstLineChars="100"/>
        <w:rPr>
          <w:rFonts w:hAnsi="宋体"/>
        </w:rPr>
      </w:pPr>
      <w:r>
        <w:rPr>
          <w:rFonts w:hint="eastAsia" w:hAnsi="宋体"/>
        </w:rPr>
        <w:t xml:space="preserve">  </w:t>
      </w:r>
      <w:r>
        <w:rPr>
          <w:rFonts w:hint="eastAsia" w:hAnsi="宋体"/>
          <w:sz w:val="24"/>
          <w:szCs w:val="24"/>
        </w:rPr>
        <w:t>请按所投产品的实际技术参数，逐条对应竞争性谈判文件的“</w:t>
      </w:r>
      <w:r>
        <w:rPr>
          <w:rFonts w:hint="eastAsia" w:hAnsi="宋体"/>
          <w:b/>
          <w:sz w:val="24"/>
          <w:szCs w:val="24"/>
        </w:rPr>
        <w:t>采购需求</w:t>
      </w:r>
      <w:r>
        <w:rPr>
          <w:rFonts w:hint="eastAsia" w:hAnsi="宋体"/>
          <w:sz w:val="24"/>
          <w:szCs w:val="24"/>
        </w:rPr>
        <w:t>”中要求的技术规范认真填写该表。</w:t>
      </w:r>
    </w:p>
    <w:p w14:paraId="460F0DFB">
      <w:pPr>
        <w:pStyle w:val="18"/>
        <w:spacing w:line="500" w:lineRule="exact"/>
        <w:rPr>
          <w:rFonts w:hAnsi="宋体"/>
          <w:b/>
          <w:sz w:val="28"/>
          <w:szCs w:val="28"/>
          <w:u w:val="single"/>
        </w:rPr>
      </w:pPr>
      <w:r>
        <w:rPr>
          <w:rFonts w:hint="eastAsia" w:hAnsi="宋体"/>
          <w:b/>
        </w:rPr>
        <w:t xml:space="preserve">项目名称：                            </w:t>
      </w:r>
      <w:r>
        <w:rPr>
          <w:rFonts w:hint="eastAsia" w:hAnsi="宋体"/>
          <w:b/>
          <w:lang w:val="en-US" w:eastAsia="zh-CN"/>
        </w:rPr>
        <w:t xml:space="preserve">        </w:t>
      </w:r>
      <w:r>
        <w:rPr>
          <w:rFonts w:hint="eastAsia" w:hAnsi="宋体"/>
          <w:b/>
        </w:rPr>
        <w:t xml:space="preserve">   项目编号：                           </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1"/>
        <w:gridCol w:w="1701"/>
        <w:gridCol w:w="1134"/>
        <w:gridCol w:w="1984"/>
        <w:gridCol w:w="1702"/>
        <w:gridCol w:w="850"/>
        <w:gridCol w:w="709"/>
      </w:tblGrid>
      <w:tr w14:paraId="0A508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trPr>
        <w:tc>
          <w:tcPr>
            <w:tcW w:w="648" w:type="dxa"/>
            <w:vAlign w:val="center"/>
          </w:tcPr>
          <w:p w14:paraId="6F7CE656">
            <w:pPr>
              <w:jc w:val="center"/>
              <w:rPr>
                <w:rFonts w:ascii="宋体" w:hAnsi="宋体"/>
                <w:b/>
                <w:szCs w:val="21"/>
              </w:rPr>
            </w:pPr>
            <w:r>
              <w:rPr>
                <w:rFonts w:hint="eastAsia" w:ascii="宋体" w:hAnsi="宋体"/>
                <w:b/>
                <w:szCs w:val="21"/>
              </w:rPr>
              <w:t>序号</w:t>
            </w:r>
          </w:p>
        </w:tc>
        <w:tc>
          <w:tcPr>
            <w:tcW w:w="1161" w:type="dxa"/>
            <w:vAlign w:val="center"/>
          </w:tcPr>
          <w:p w14:paraId="62965DE2">
            <w:pPr>
              <w:jc w:val="center"/>
              <w:rPr>
                <w:rFonts w:ascii="宋体" w:hAnsi="宋体"/>
                <w:b/>
                <w:szCs w:val="21"/>
              </w:rPr>
            </w:pPr>
            <w:r>
              <w:rPr>
                <w:rFonts w:hint="eastAsia" w:ascii="宋体" w:hAnsi="宋体"/>
                <w:b/>
                <w:szCs w:val="21"/>
              </w:rPr>
              <w:t>货物名称</w:t>
            </w:r>
          </w:p>
        </w:tc>
        <w:tc>
          <w:tcPr>
            <w:tcW w:w="1701" w:type="dxa"/>
            <w:vAlign w:val="center"/>
          </w:tcPr>
          <w:p w14:paraId="3442F719">
            <w:pPr>
              <w:spacing w:line="360" w:lineRule="exact"/>
              <w:jc w:val="center"/>
              <w:rPr>
                <w:rFonts w:ascii="宋体" w:hAnsi="宋体"/>
                <w:b/>
                <w:szCs w:val="21"/>
              </w:rPr>
            </w:pPr>
            <w:r>
              <w:rPr>
                <w:rFonts w:hint="eastAsia" w:ascii="宋体" w:hAnsi="宋体"/>
                <w:b/>
                <w:szCs w:val="21"/>
              </w:rPr>
              <w:t>品牌、规格型号</w:t>
            </w:r>
          </w:p>
        </w:tc>
        <w:tc>
          <w:tcPr>
            <w:tcW w:w="1134" w:type="dxa"/>
            <w:vAlign w:val="center"/>
          </w:tcPr>
          <w:p w14:paraId="4845486E">
            <w:pPr>
              <w:spacing w:line="360" w:lineRule="exact"/>
              <w:jc w:val="center"/>
              <w:rPr>
                <w:rFonts w:ascii="宋体" w:hAnsi="宋体"/>
                <w:b/>
                <w:szCs w:val="21"/>
              </w:rPr>
            </w:pPr>
            <w:r>
              <w:rPr>
                <w:rFonts w:hint="eastAsia" w:ascii="宋体" w:hAnsi="宋体"/>
                <w:b/>
                <w:szCs w:val="21"/>
              </w:rPr>
              <w:t>原产地及制造厂名</w:t>
            </w:r>
          </w:p>
        </w:tc>
        <w:tc>
          <w:tcPr>
            <w:tcW w:w="1984" w:type="dxa"/>
            <w:vAlign w:val="center"/>
          </w:tcPr>
          <w:p w14:paraId="1B5A3048">
            <w:pPr>
              <w:jc w:val="center"/>
              <w:rPr>
                <w:rFonts w:ascii="宋体" w:hAnsi="宋体"/>
                <w:b/>
                <w:szCs w:val="21"/>
              </w:rPr>
            </w:pPr>
            <w:r>
              <w:rPr>
                <w:rFonts w:hint="eastAsia" w:ascii="宋体" w:hAnsi="宋体"/>
                <w:b/>
                <w:szCs w:val="21"/>
              </w:rPr>
              <w:t>竞争性谈判文件技术规范、要求</w:t>
            </w:r>
          </w:p>
        </w:tc>
        <w:tc>
          <w:tcPr>
            <w:tcW w:w="1702" w:type="dxa"/>
            <w:vAlign w:val="center"/>
          </w:tcPr>
          <w:p w14:paraId="418F02BA">
            <w:pPr>
              <w:jc w:val="center"/>
              <w:rPr>
                <w:rFonts w:ascii="宋体" w:hAnsi="宋体"/>
                <w:b/>
                <w:szCs w:val="21"/>
              </w:rPr>
            </w:pPr>
            <w:r>
              <w:rPr>
                <w:rFonts w:hint="eastAsia" w:ascii="宋体" w:hAnsi="宋体"/>
                <w:b/>
                <w:szCs w:val="21"/>
              </w:rPr>
              <w:t>响应文件对应技术参数</w:t>
            </w:r>
          </w:p>
        </w:tc>
        <w:tc>
          <w:tcPr>
            <w:tcW w:w="850" w:type="dxa"/>
            <w:vAlign w:val="center"/>
          </w:tcPr>
          <w:p w14:paraId="797D499E">
            <w:pPr>
              <w:jc w:val="center"/>
              <w:rPr>
                <w:rFonts w:ascii="宋体" w:hAnsi="宋体"/>
                <w:b/>
                <w:szCs w:val="21"/>
              </w:rPr>
            </w:pPr>
            <w:r>
              <w:rPr>
                <w:rFonts w:hint="eastAsia" w:ascii="宋体" w:hAnsi="宋体"/>
                <w:b/>
                <w:szCs w:val="21"/>
              </w:rPr>
              <w:t>偏离</w:t>
            </w:r>
          </w:p>
        </w:tc>
        <w:tc>
          <w:tcPr>
            <w:tcW w:w="709" w:type="dxa"/>
            <w:vAlign w:val="center"/>
          </w:tcPr>
          <w:p w14:paraId="165AE6A6">
            <w:pPr>
              <w:ind w:right="71" w:rightChars="34"/>
              <w:jc w:val="center"/>
              <w:rPr>
                <w:rFonts w:ascii="宋体" w:hAnsi="宋体"/>
                <w:b/>
                <w:szCs w:val="21"/>
              </w:rPr>
            </w:pPr>
            <w:r>
              <w:rPr>
                <w:rFonts w:hint="eastAsia" w:ascii="宋体" w:hAnsi="宋体"/>
                <w:b/>
                <w:szCs w:val="21"/>
              </w:rPr>
              <w:t>说明</w:t>
            </w:r>
          </w:p>
        </w:tc>
      </w:tr>
      <w:tr w14:paraId="6F191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48" w:type="dxa"/>
            <w:vAlign w:val="center"/>
          </w:tcPr>
          <w:p w14:paraId="4203376D">
            <w:pPr>
              <w:spacing w:line="360" w:lineRule="auto"/>
              <w:jc w:val="center"/>
              <w:rPr>
                <w:rFonts w:ascii="宋体" w:hAnsi="宋体"/>
                <w:szCs w:val="21"/>
              </w:rPr>
            </w:pPr>
          </w:p>
        </w:tc>
        <w:tc>
          <w:tcPr>
            <w:tcW w:w="1161" w:type="dxa"/>
            <w:vAlign w:val="center"/>
          </w:tcPr>
          <w:p w14:paraId="1859B2F7">
            <w:pPr>
              <w:spacing w:line="360" w:lineRule="auto"/>
              <w:jc w:val="center"/>
              <w:rPr>
                <w:rFonts w:ascii="宋体" w:hAnsi="宋体"/>
                <w:szCs w:val="21"/>
              </w:rPr>
            </w:pPr>
          </w:p>
        </w:tc>
        <w:tc>
          <w:tcPr>
            <w:tcW w:w="1701" w:type="dxa"/>
            <w:vAlign w:val="center"/>
          </w:tcPr>
          <w:p w14:paraId="79B94A75">
            <w:pPr>
              <w:spacing w:line="360" w:lineRule="auto"/>
              <w:jc w:val="center"/>
              <w:rPr>
                <w:rFonts w:ascii="宋体" w:hAnsi="宋体"/>
                <w:szCs w:val="21"/>
              </w:rPr>
            </w:pPr>
          </w:p>
        </w:tc>
        <w:tc>
          <w:tcPr>
            <w:tcW w:w="1134" w:type="dxa"/>
            <w:vAlign w:val="center"/>
          </w:tcPr>
          <w:p w14:paraId="20D90333">
            <w:pPr>
              <w:spacing w:line="360" w:lineRule="auto"/>
              <w:jc w:val="center"/>
              <w:rPr>
                <w:rFonts w:ascii="宋体" w:hAnsi="宋体"/>
                <w:szCs w:val="21"/>
              </w:rPr>
            </w:pPr>
          </w:p>
        </w:tc>
        <w:tc>
          <w:tcPr>
            <w:tcW w:w="1984" w:type="dxa"/>
            <w:vAlign w:val="center"/>
          </w:tcPr>
          <w:p w14:paraId="24CFF839">
            <w:pPr>
              <w:spacing w:line="360" w:lineRule="auto"/>
              <w:jc w:val="center"/>
              <w:rPr>
                <w:rFonts w:ascii="宋体" w:hAnsi="宋体"/>
                <w:szCs w:val="21"/>
              </w:rPr>
            </w:pPr>
          </w:p>
        </w:tc>
        <w:tc>
          <w:tcPr>
            <w:tcW w:w="1702" w:type="dxa"/>
            <w:vAlign w:val="center"/>
          </w:tcPr>
          <w:p w14:paraId="2C4C35B7">
            <w:pPr>
              <w:spacing w:line="360" w:lineRule="auto"/>
              <w:jc w:val="center"/>
              <w:rPr>
                <w:rFonts w:ascii="宋体" w:hAnsi="宋体"/>
                <w:szCs w:val="21"/>
              </w:rPr>
            </w:pPr>
          </w:p>
        </w:tc>
        <w:tc>
          <w:tcPr>
            <w:tcW w:w="850" w:type="dxa"/>
          </w:tcPr>
          <w:p w14:paraId="5A943073">
            <w:pPr>
              <w:spacing w:line="360" w:lineRule="auto"/>
              <w:jc w:val="center"/>
              <w:rPr>
                <w:rFonts w:ascii="宋体" w:hAnsi="宋体"/>
                <w:szCs w:val="21"/>
              </w:rPr>
            </w:pPr>
          </w:p>
        </w:tc>
        <w:tc>
          <w:tcPr>
            <w:tcW w:w="709" w:type="dxa"/>
            <w:vAlign w:val="center"/>
          </w:tcPr>
          <w:p w14:paraId="39C2BC46">
            <w:pPr>
              <w:spacing w:line="360" w:lineRule="auto"/>
              <w:jc w:val="center"/>
              <w:rPr>
                <w:rFonts w:ascii="宋体" w:hAnsi="宋体"/>
                <w:szCs w:val="21"/>
              </w:rPr>
            </w:pPr>
          </w:p>
        </w:tc>
      </w:tr>
      <w:tr w14:paraId="2D60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trPr>
        <w:tc>
          <w:tcPr>
            <w:tcW w:w="648" w:type="dxa"/>
            <w:vAlign w:val="center"/>
          </w:tcPr>
          <w:p w14:paraId="5A1A4B74">
            <w:pPr>
              <w:spacing w:line="360" w:lineRule="auto"/>
              <w:jc w:val="center"/>
              <w:rPr>
                <w:rFonts w:ascii="宋体" w:hAnsi="宋体"/>
                <w:szCs w:val="21"/>
              </w:rPr>
            </w:pPr>
          </w:p>
        </w:tc>
        <w:tc>
          <w:tcPr>
            <w:tcW w:w="1161" w:type="dxa"/>
            <w:vAlign w:val="center"/>
          </w:tcPr>
          <w:p w14:paraId="74A24A2E">
            <w:pPr>
              <w:spacing w:line="360" w:lineRule="auto"/>
              <w:jc w:val="center"/>
              <w:rPr>
                <w:rFonts w:ascii="宋体" w:hAnsi="宋体"/>
                <w:szCs w:val="21"/>
              </w:rPr>
            </w:pPr>
          </w:p>
        </w:tc>
        <w:tc>
          <w:tcPr>
            <w:tcW w:w="1701" w:type="dxa"/>
            <w:vAlign w:val="center"/>
          </w:tcPr>
          <w:p w14:paraId="6545DB03">
            <w:pPr>
              <w:spacing w:line="360" w:lineRule="auto"/>
              <w:jc w:val="center"/>
              <w:rPr>
                <w:rFonts w:ascii="宋体" w:hAnsi="宋体"/>
                <w:szCs w:val="21"/>
              </w:rPr>
            </w:pPr>
          </w:p>
        </w:tc>
        <w:tc>
          <w:tcPr>
            <w:tcW w:w="1134" w:type="dxa"/>
            <w:vAlign w:val="center"/>
          </w:tcPr>
          <w:p w14:paraId="250383B8">
            <w:pPr>
              <w:spacing w:line="360" w:lineRule="auto"/>
              <w:jc w:val="center"/>
              <w:rPr>
                <w:rFonts w:ascii="宋体" w:hAnsi="宋体"/>
                <w:szCs w:val="21"/>
              </w:rPr>
            </w:pPr>
          </w:p>
        </w:tc>
        <w:tc>
          <w:tcPr>
            <w:tcW w:w="1984" w:type="dxa"/>
            <w:vAlign w:val="center"/>
          </w:tcPr>
          <w:p w14:paraId="34C38FE3">
            <w:pPr>
              <w:spacing w:line="360" w:lineRule="auto"/>
              <w:jc w:val="center"/>
              <w:rPr>
                <w:rFonts w:ascii="宋体" w:hAnsi="宋体"/>
                <w:szCs w:val="21"/>
              </w:rPr>
            </w:pPr>
          </w:p>
        </w:tc>
        <w:tc>
          <w:tcPr>
            <w:tcW w:w="1702" w:type="dxa"/>
            <w:vAlign w:val="center"/>
          </w:tcPr>
          <w:p w14:paraId="42A73970">
            <w:pPr>
              <w:spacing w:line="360" w:lineRule="auto"/>
              <w:jc w:val="center"/>
              <w:rPr>
                <w:rFonts w:ascii="宋体" w:hAnsi="宋体"/>
                <w:szCs w:val="21"/>
              </w:rPr>
            </w:pPr>
          </w:p>
        </w:tc>
        <w:tc>
          <w:tcPr>
            <w:tcW w:w="850" w:type="dxa"/>
          </w:tcPr>
          <w:p w14:paraId="1F19EA0E">
            <w:pPr>
              <w:spacing w:line="360" w:lineRule="auto"/>
              <w:jc w:val="center"/>
              <w:rPr>
                <w:rFonts w:ascii="宋体" w:hAnsi="宋体"/>
                <w:szCs w:val="21"/>
              </w:rPr>
            </w:pPr>
          </w:p>
        </w:tc>
        <w:tc>
          <w:tcPr>
            <w:tcW w:w="709" w:type="dxa"/>
            <w:vAlign w:val="center"/>
          </w:tcPr>
          <w:p w14:paraId="080C7724">
            <w:pPr>
              <w:spacing w:line="360" w:lineRule="auto"/>
              <w:jc w:val="center"/>
              <w:rPr>
                <w:rFonts w:ascii="宋体" w:hAnsi="宋体"/>
                <w:szCs w:val="21"/>
              </w:rPr>
            </w:pPr>
          </w:p>
        </w:tc>
      </w:tr>
      <w:tr w14:paraId="50FDC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trPr>
        <w:tc>
          <w:tcPr>
            <w:tcW w:w="648" w:type="dxa"/>
            <w:vAlign w:val="center"/>
          </w:tcPr>
          <w:p w14:paraId="038538B4">
            <w:pPr>
              <w:spacing w:line="360" w:lineRule="auto"/>
              <w:jc w:val="center"/>
              <w:rPr>
                <w:rFonts w:ascii="宋体" w:hAnsi="宋体"/>
                <w:szCs w:val="21"/>
              </w:rPr>
            </w:pPr>
          </w:p>
        </w:tc>
        <w:tc>
          <w:tcPr>
            <w:tcW w:w="1161" w:type="dxa"/>
            <w:vAlign w:val="center"/>
          </w:tcPr>
          <w:p w14:paraId="24A27B59">
            <w:pPr>
              <w:spacing w:line="360" w:lineRule="auto"/>
              <w:jc w:val="center"/>
              <w:rPr>
                <w:rFonts w:ascii="宋体" w:hAnsi="宋体"/>
                <w:szCs w:val="21"/>
              </w:rPr>
            </w:pPr>
          </w:p>
        </w:tc>
        <w:tc>
          <w:tcPr>
            <w:tcW w:w="1701" w:type="dxa"/>
            <w:vAlign w:val="center"/>
          </w:tcPr>
          <w:p w14:paraId="103F622A">
            <w:pPr>
              <w:spacing w:line="360" w:lineRule="auto"/>
              <w:jc w:val="center"/>
              <w:rPr>
                <w:rFonts w:ascii="宋体" w:hAnsi="宋体"/>
                <w:szCs w:val="21"/>
              </w:rPr>
            </w:pPr>
          </w:p>
        </w:tc>
        <w:tc>
          <w:tcPr>
            <w:tcW w:w="1134" w:type="dxa"/>
            <w:vAlign w:val="center"/>
          </w:tcPr>
          <w:p w14:paraId="561F52AF">
            <w:pPr>
              <w:spacing w:line="360" w:lineRule="auto"/>
              <w:jc w:val="center"/>
              <w:rPr>
                <w:rFonts w:ascii="宋体" w:hAnsi="宋体"/>
                <w:szCs w:val="21"/>
              </w:rPr>
            </w:pPr>
          </w:p>
        </w:tc>
        <w:tc>
          <w:tcPr>
            <w:tcW w:w="1984" w:type="dxa"/>
            <w:vAlign w:val="center"/>
          </w:tcPr>
          <w:p w14:paraId="15CC143E">
            <w:pPr>
              <w:spacing w:line="360" w:lineRule="auto"/>
              <w:jc w:val="center"/>
              <w:rPr>
                <w:rFonts w:ascii="宋体" w:hAnsi="宋体"/>
                <w:szCs w:val="21"/>
              </w:rPr>
            </w:pPr>
          </w:p>
        </w:tc>
        <w:tc>
          <w:tcPr>
            <w:tcW w:w="1702" w:type="dxa"/>
            <w:vAlign w:val="center"/>
          </w:tcPr>
          <w:p w14:paraId="6F363D3A">
            <w:pPr>
              <w:spacing w:line="360" w:lineRule="auto"/>
              <w:jc w:val="center"/>
              <w:rPr>
                <w:rFonts w:ascii="宋体" w:hAnsi="宋体"/>
                <w:szCs w:val="21"/>
              </w:rPr>
            </w:pPr>
          </w:p>
        </w:tc>
        <w:tc>
          <w:tcPr>
            <w:tcW w:w="850" w:type="dxa"/>
          </w:tcPr>
          <w:p w14:paraId="5AB42582">
            <w:pPr>
              <w:spacing w:line="360" w:lineRule="auto"/>
              <w:jc w:val="center"/>
              <w:rPr>
                <w:rFonts w:ascii="宋体" w:hAnsi="宋体"/>
                <w:szCs w:val="21"/>
              </w:rPr>
            </w:pPr>
          </w:p>
        </w:tc>
        <w:tc>
          <w:tcPr>
            <w:tcW w:w="709" w:type="dxa"/>
            <w:vAlign w:val="center"/>
          </w:tcPr>
          <w:p w14:paraId="566BC791">
            <w:pPr>
              <w:spacing w:line="360" w:lineRule="auto"/>
              <w:jc w:val="center"/>
              <w:rPr>
                <w:rFonts w:ascii="宋体" w:hAnsi="宋体"/>
                <w:szCs w:val="21"/>
              </w:rPr>
            </w:pPr>
          </w:p>
        </w:tc>
      </w:tr>
    </w:tbl>
    <w:p w14:paraId="03B300B8">
      <w:pPr>
        <w:pStyle w:val="18"/>
        <w:spacing w:line="360" w:lineRule="auto"/>
        <w:rPr>
          <w:rFonts w:hAnsi="宋体"/>
          <w:sz w:val="24"/>
          <w:szCs w:val="24"/>
        </w:rPr>
      </w:pPr>
      <w:r>
        <w:rPr>
          <w:rFonts w:hint="eastAsia" w:hAnsi="宋体"/>
          <w:sz w:val="24"/>
          <w:szCs w:val="24"/>
        </w:rPr>
        <w:t>注：1、</w:t>
      </w:r>
      <w:r>
        <w:rPr>
          <w:rFonts w:hAnsi="宋体"/>
          <w:sz w:val="24"/>
          <w:szCs w:val="24"/>
        </w:rPr>
        <w:t>表格中“偏离”</w:t>
      </w:r>
      <w:r>
        <w:rPr>
          <w:rFonts w:hint="eastAsia" w:hAnsi="宋体"/>
          <w:sz w:val="24"/>
          <w:szCs w:val="24"/>
        </w:rPr>
        <w:t>一列，供应商</w:t>
      </w:r>
      <w:r>
        <w:rPr>
          <w:rFonts w:hAnsi="宋体"/>
          <w:sz w:val="24"/>
          <w:szCs w:val="24"/>
        </w:rPr>
        <w:t>只能如实填写“</w:t>
      </w:r>
      <w:r>
        <w:rPr>
          <w:rFonts w:hint="eastAsia" w:hAnsi="宋体"/>
          <w:sz w:val="24"/>
          <w:szCs w:val="24"/>
        </w:rPr>
        <w:t>正偏离</w:t>
      </w:r>
      <w:r>
        <w:rPr>
          <w:rFonts w:hAnsi="宋体"/>
          <w:sz w:val="24"/>
          <w:szCs w:val="24"/>
        </w:rPr>
        <w:t>”</w:t>
      </w:r>
      <w:r>
        <w:rPr>
          <w:rFonts w:hint="eastAsia" w:hAnsi="宋体"/>
          <w:sz w:val="24"/>
          <w:szCs w:val="24"/>
        </w:rPr>
        <w:t>、“负</w:t>
      </w:r>
      <w:r>
        <w:rPr>
          <w:rFonts w:hAnsi="宋体"/>
          <w:sz w:val="24"/>
          <w:szCs w:val="24"/>
        </w:rPr>
        <w:t>偏离”或“无偏离”。凡投标内容</w:t>
      </w:r>
      <w:r>
        <w:rPr>
          <w:rFonts w:hint="eastAsia" w:hAnsi="宋体"/>
          <w:sz w:val="24"/>
          <w:szCs w:val="24"/>
        </w:rPr>
        <w:t>高于竞争性谈判文件</w:t>
      </w:r>
      <w:r>
        <w:rPr>
          <w:rFonts w:hAnsi="宋体"/>
          <w:sz w:val="24"/>
          <w:szCs w:val="24"/>
        </w:rPr>
        <w:t>要求</w:t>
      </w:r>
      <w:r>
        <w:rPr>
          <w:rFonts w:hint="eastAsia" w:hAnsi="宋体"/>
          <w:sz w:val="24"/>
          <w:szCs w:val="24"/>
        </w:rPr>
        <w:t>的，按</w:t>
      </w:r>
      <w:r>
        <w:rPr>
          <w:rFonts w:hAnsi="宋体"/>
          <w:sz w:val="24"/>
          <w:szCs w:val="24"/>
        </w:rPr>
        <w:t>“</w:t>
      </w:r>
      <w:r>
        <w:rPr>
          <w:rFonts w:hint="eastAsia" w:hAnsi="宋体"/>
          <w:sz w:val="24"/>
          <w:szCs w:val="24"/>
        </w:rPr>
        <w:t>正</w:t>
      </w:r>
      <w:r>
        <w:rPr>
          <w:rFonts w:hAnsi="宋体"/>
          <w:sz w:val="24"/>
          <w:szCs w:val="24"/>
        </w:rPr>
        <w:t>偏离”填写</w:t>
      </w:r>
      <w:r>
        <w:rPr>
          <w:rFonts w:hint="eastAsia" w:hAnsi="宋体"/>
          <w:sz w:val="24"/>
          <w:szCs w:val="24"/>
        </w:rPr>
        <w:t>；低于竞争性谈判文件要求的，按</w:t>
      </w:r>
      <w:r>
        <w:rPr>
          <w:rFonts w:hAnsi="宋体"/>
          <w:sz w:val="24"/>
          <w:szCs w:val="24"/>
        </w:rPr>
        <w:t>“</w:t>
      </w:r>
      <w:r>
        <w:rPr>
          <w:rFonts w:hint="eastAsia" w:hAnsi="宋体"/>
          <w:sz w:val="24"/>
          <w:szCs w:val="24"/>
        </w:rPr>
        <w:t>负</w:t>
      </w:r>
      <w:r>
        <w:rPr>
          <w:rFonts w:hAnsi="宋体"/>
          <w:sz w:val="24"/>
          <w:szCs w:val="24"/>
        </w:rPr>
        <w:t>偏离”填写</w:t>
      </w:r>
      <w:r>
        <w:rPr>
          <w:rFonts w:hint="eastAsia" w:hAnsi="宋体"/>
          <w:sz w:val="24"/>
          <w:szCs w:val="24"/>
        </w:rPr>
        <w:t>；满足竞争性谈判文件要求的，按“无偏离”填写。</w:t>
      </w:r>
      <w:r>
        <w:rPr>
          <w:rFonts w:hAnsi="宋体"/>
          <w:sz w:val="24"/>
          <w:szCs w:val="24"/>
        </w:rPr>
        <w:t>并在</w:t>
      </w:r>
      <w:r>
        <w:rPr>
          <w:rFonts w:hint="eastAsia" w:hAnsi="宋体"/>
          <w:sz w:val="24"/>
          <w:szCs w:val="24"/>
        </w:rPr>
        <w:t>“</w:t>
      </w:r>
      <w:r>
        <w:rPr>
          <w:rFonts w:hint="eastAsia" w:hAnsi="宋体"/>
          <w:b/>
          <w:sz w:val="24"/>
          <w:szCs w:val="24"/>
        </w:rPr>
        <w:t>响应文件对应技术参数”一列中注明</w:t>
      </w:r>
      <w:r>
        <w:rPr>
          <w:rFonts w:hint="eastAsia" w:hAnsi="宋体"/>
          <w:sz w:val="24"/>
          <w:szCs w:val="24"/>
        </w:rPr>
        <w:t>“</w:t>
      </w:r>
      <w:r>
        <w:rPr>
          <w:rFonts w:hAnsi="宋体"/>
          <w:b/>
          <w:sz w:val="24"/>
          <w:szCs w:val="24"/>
        </w:rPr>
        <w:t>技术参数及配置</w:t>
      </w:r>
      <w:r>
        <w:rPr>
          <w:rFonts w:hint="eastAsia" w:hAnsi="宋体"/>
          <w:b/>
          <w:sz w:val="24"/>
          <w:szCs w:val="24"/>
        </w:rPr>
        <w:t>等”</w:t>
      </w:r>
      <w:r>
        <w:rPr>
          <w:rFonts w:hAnsi="宋体"/>
          <w:sz w:val="24"/>
          <w:szCs w:val="24"/>
        </w:rPr>
        <w:t>。</w:t>
      </w:r>
    </w:p>
    <w:p w14:paraId="05A6B9E0">
      <w:pPr>
        <w:pStyle w:val="18"/>
        <w:spacing w:line="360" w:lineRule="auto"/>
        <w:rPr>
          <w:rFonts w:hAnsi="宋体"/>
          <w:sz w:val="24"/>
          <w:szCs w:val="24"/>
        </w:rPr>
      </w:pPr>
      <w:r>
        <w:rPr>
          <w:rFonts w:hint="eastAsia" w:hAnsi="宋体"/>
          <w:sz w:val="24"/>
          <w:szCs w:val="24"/>
        </w:rPr>
        <w:t>2、序号应对应该产品在</w:t>
      </w:r>
      <w:r>
        <w:rPr>
          <w:rFonts w:hint="eastAsia" w:hAnsi="宋体"/>
          <w:bCs/>
          <w:sz w:val="24"/>
        </w:rPr>
        <w:t>第六章《采购需求》中的序号。</w:t>
      </w:r>
    </w:p>
    <w:p w14:paraId="061FB77D">
      <w:pPr>
        <w:pStyle w:val="18"/>
        <w:spacing w:line="360" w:lineRule="auto"/>
        <w:rPr>
          <w:rFonts w:hAnsi="宋体"/>
          <w:b/>
          <w:bCs/>
          <w:sz w:val="24"/>
        </w:rPr>
      </w:pPr>
      <w:r>
        <w:rPr>
          <w:rFonts w:hint="eastAsia" w:hAnsi="宋体"/>
          <w:bCs/>
          <w:sz w:val="24"/>
        </w:rPr>
        <w:t>3、各供应商必须对竞争性谈判文件第六章采购需求中的技术参数要求作出全面、真实的反映，供应商除如实填写技术规格偏离表外，响应文件中提供最新技术支持资料支持参数技术规格偏离表应答（技术支持资料以制造商公开发布的印刷资料或检测机构出具的检测报告或其他证明材料为准。若制造商公开发布的印刷资料与检测机构出具的检测报告不一致，以检测机构出具的检测报告为准）</w:t>
      </w:r>
      <w:r>
        <w:rPr>
          <w:rFonts w:hint="eastAsia" w:hAnsi="宋体"/>
          <w:sz w:val="24"/>
        </w:rPr>
        <w:t>。</w:t>
      </w:r>
    </w:p>
    <w:p w14:paraId="797556B4">
      <w:pPr>
        <w:pStyle w:val="18"/>
        <w:spacing w:line="360" w:lineRule="auto"/>
        <w:rPr>
          <w:rFonts w:hAnsi="宋体"/>
          <w:b/>
          <w:bCs/>
          <w:sz w:val="24"/>
        </w:rPr>
      </w:pPr>
      <w:r>
        <w:rPr>
          <w:rFonts w:hint="eastAsia" w:hAnsi="宋体"/>
          <w:b/>
          <w:bCs/>
          <w:sz w:val="24"/>
        </w:rPr>
        <w:t>4.供应商应将支持该项技术要求响应的技术支持资料在响应文件中的索引（页码及条目号等）标注在“</w:t>
      </w:r>
      <w:r>
        <w:rPr>
          <w:rFonts w:hint="eastAsia"/>
        </w:rPr>
        <w:t xml:space="preserve"> </w:t>
      </w:r>
      <w:r>
        <w:rPr>
          <w:rFonts w:hint="eastAsia" w:hAnsi="宋体"/>
          <w:b/>
          <w:bCs/>
          <w:sz w:val="24"/>
        </w:rPr>
        <w:t>说明”一栏中。</w:t>
      </w:r>
    </w:p>
    <w:p w14:paraId="16C7581F">
      <w:pPr>
        <w:spacing w:before="360" w:after="360"/>
        <w:rPr>
          <w:rFonts w:ascii="宋体" w:hAnsi="宋体" w:cs="宋体"/>
          <w:sz w:val="24"/>
        </w:rPr>
      </w:pPr>
    </w:p>
    <w:p w14:paraId="6ACB5048">
      <w:pPr>
        <w:spacing w:before="360" w:after="3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（电子签章）</w:t>
      </w:r>
    </w:p>
    <w:p w14:paraId="06B48B3E">
      <w:pPr>
        <w:spacing w:before="360" w:after="36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（签字或电子签章）</w:t>
      </w:r>
    </w:p>
    <w:p w14:paraId="22D5C59C">
      <w:pPr>
        <w:spacing w:before="360" w:after="360"/>
        <w:rPr>
          <w:rFonts w:ascii="宋体" w:hAnsi="宋体" w:cs="宋体"/>
          <w:sz w:val="24"/>
        </w:rPr>
        <w:sectPr>
          <w:footerReference r:id="rId11" w:type="first"/>
          <w:footerReference r:id="rId10" w:type="default"/>
          <w:pgSz w:w="11906" w:h="16838"/>
          <w:pgMar w:top="1134" w:right="1304" w:bottom="1134" w:left="1304" w:header="510" w:footer="680" w:gutter="0"/>
          <w:pgNumType w:fmt="decimal"/>
          <w:cols w:space="720" w:num="1"/>
          <w:titlePg/>
          <w:docGrid w:type="linesAndChars" w:linePitch="312" w:charSpace="0"/>
        </w:sect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172327F">
      <w:pPr>
        <w:pStyle w:val="4"/>
        <w:ind w:left="425"/>
        <w:rPr>
          <w:rFonts w:ascii="宋体" w:hAnsi="宋体"/>
        </w:rPr>
      </w:pPr>
      <w:bookmarkStart w:id="265" w:name="_Toc494283206"/>
      <w:bookmarkStart w:id="266" w:name="_Toc504554946"/>
      <w:bookmarkStart w:id="267" w:name="_Toc360435349"/>
      <w:bookmarkStart w:id="268" w:name="_Toc480882162"/>
      <w:r>
        <w:rPr>
          <w:rFonts w:hint="eastAsia" w:ascii="宋体" w:hAnsi="宋体"/>
        </w:rPr>
        <w:t>技 术 文 件</w:t>
      </w:r>
      <w:bookmarkEnd w:id="265"/>
      <w:bookmarkEnd w:id="266"/>
      <w:bookmarkEnd w:id="267"/>
      <w:bookmarkEnd w:id="268"/>
    </w:p>
    <w:p w14:paraId="620AA227">
      <w:pPr>
        <w:tabs>
          <w:tab w:val="left" w:pos="360"/>
        </w:tabs>
        <w:spacing w:line="360" w:lineRule="auto"/>
        <w:ind w:left="422" w:leftChars="200"/>
        <w:rPr>
          <w:rFonts w:ascii="宋体" w:hAnsi="宋体"/>
          <w:sz w:val="24"/>
        </w:rPr>
      </w:pPr>
      <w:r>
        <w:rPr>
          <w:rFonts w:hint="eastAsia" w:ascii="宋体" w:hAnsi="宋体"/>
          <w:sz w:val="24"/>
        </w:rPr>
        <w:t>1.设备主要技术指标、参数及性能的详细说明</w:t>
      </w:r>
    </w:p>
    <w:p w14:paraId="3A1B9D17">
      <w:pPr>
        <w:tabs>
          <w:tab w:val="left" w:pos="360"/>
        </w:tabs>
        <w:spacing w:line="360" w:lineRule="auto"/>
        <w:ind w:left="422" w:leftChars="200"/>
        <w:rPr>
          <w:rFonts w:ascii="宋体" w:hAnsi="宋体"/>
          <w:sz w:val="24"/>
        </w:rPr>
      </w:pPr>
      <w:r>
        <w:rPr>
          <w:rFonts w:hint="eastAsia" w:ascii="宋体" w:hAnsi="宋体"/>
          <w:sz w:val="24"/>
        </w:rPr>
        <w:t>2.与所投设备相同型号的最新的技术彩页或有效的宣传资料</w:t>
      </w:r>
    </w:p>
    <w:p w14:paraId="079B9198">
      <w:pPr>
        <w:tabs>
          <w:tab w:val="left" w:pos="360"/>
        </w:tabs>
        <w:spacing w:line="360" w:lineRule="auto"/>
        <w:ind w:left="422" w:leftChars="200"/>
        <w:rPr>
          <w:rFonts w:ascii="宋体" w:hAnsi="宋体"/>
          <w:sz w:val="24"/>
        </w:rPr>
        <w:sectPr>
          <w:pgSz w:w="11906" w:h="16838"/>
          <w:pgMar w:top="1134" w:right="1304" w:bottom="1134" w:left="1304" w:header="510" w:footer="680" w:gutter="0"/>
          <w:pgNumType w:fmt="decimal"/>
          <w:cols w:space="720" w:num="1"/>
          <w:titlePg/>
          <w:docGrid w:type="linesAndChars" w:linePitch="320" w:charSpace="269"/>
        </w:sectPr>
      </w:pPr>
      <w:r>
        <w:rPr>
          <w:rFonts w:hint="eastAsia" w:ascii="宋体" w:hAnsi="宋体"/>
          <w:sz w:val="24"/>
        </w:rPr>
        <w:t>3.供应商认为其他还可提供的资料（厂家官网资料或第三方证明材料、性能说明、产品图片、功能截图、检测报告、对接承诺函）。</w:t>
      </w:r>
    </w:p>
    <w:p w14:paraId="60DC7480">
      <w:pPr>
        <w:pStyle w:val="4"/>
        <w:rPr>
          <w:snapToGrid w:val="0"/>
        </w:rPr>
      </w:pPr>
      <w:r>
        <w:rPr>
          <w:rFonts w:hint="eastAsia"/>
          <w:snapToGrid w:val="0"/>
        </w:rPr>
        <w:t>附件</w:t>
      </w:r>
      <w:r>
        <w:rPr>
          <w:rFonts w:hint="eastAsia"/>
          <w:snapToGrid w:val="0"/>
          <w:lang w:val="en-US" w:eastAsia="zh-CN"/>
        </w:rPr>
        <w:t>七</w:t>
      </w:r>
      <w:r>
        <w:rPr>
          <w:rFonts w:hint="eastAsia"/>
          <w:snapToGrid w:val="0"/>
        </w:rPr>
        <w:t>、</w:t>
      </w:r>
      <w:bookmarkEnd w:id="238"/>
      <w:bookmarkEnd w:id="239"/>
      <w:bookmarkEnd w:id="240"/>
      <w:bookmarkEnd w:id="241"/>
      <w:bookmarkEnd w:id="242"/>
      <w:bookmarkEnd w:id="263"/>
      <w:bookmarkEnd w:id="264"/>
      <w:bookmarkStart w:id="269" w:name="_Toc448828923"/>
      <w:bookmarkStart w:id="270" w:name="_Toc383175511"/>
      <w:bookmarkStart w:id="271" w:name="_Toc495941935"/>
      <w:bookmarkStart w:id="272" w:name="_Toc447808223"/>
      <w:r>
        <w:rPr>
          <w:rFonts w:hint="eastAsia"/>
          <w:snapToGrid w:val="0"/>
        </w:rPr>
        <w:t>报价组成表</w:t>
      </w:r>
    </w:p>
    <w:p w14:paraId="3F898F5E">
      <w:pPr>
        <w:spacing w:line="360" w:lineRule="auto"/>
        <w:jc w:val="left"/>
        <w:rPr>
          <w:rFonts w:ascii="宋体" w:hAnsi="宋体" w:cs="宋体"/>
          <w:sz w:val="24"/>
        </w:rPr>
      </w:pPr>
      <w:r>
        <w:rPr>
          <w:rFonts w:hint="eastAsia" w:ascii="宋体" w:hAnsi="宋体" w:cs="宋体"/>
          <w:b/>
          <w:sz w:val="24"/>
        </w:rPr>
        <w:t xml:space="preserve">项目名称：                          项目编号：                </w:t>
      </w:r>
    </w:p>
    <w:tbl>
      <w:tblPr>
        <w:tblStyle w:val="38"/>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1629"/>
        <w:gridCol w:w="1389"/>
        <w:gridCol w:w="1302"/>
        <w:gridCol w:w="833"/>
        <w:gridCol w:w="829"/>
        <w:gridCol w:w="1546"/>
        <w:gridCol w:w="1167"/>
      </w:tblGrid>
      <w:tr w14:paraId="5CE4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500" w:type="dxa"/>
            <w:vAlign w:val="center"/>
          </w:tcPr>
          <w:p w14:paraId="5ACDFBF0">
            <w:pPr>
              <w:spacing w:line="480" w:lineRule="exact"/>
              <w:jc w:val="center"/>
              <w:rPr>
                <w:rFonts w:ascii="宋体" w:hAnsi="宋体" w:cs="宋体"/>
                <w:b/>
                <w:bCs/>
                <w:sz w:val="24"/>
              </w:rPr>
            </w:pPr>
            <w:r>
              <w:rPr>
                <w:rFonts w:hint="eastAsia" w:ascii="宋体" w:hAnsi="宋体" w:cs="宋体"/>
                <w:b/>
                <w:bCs/>
                <w:sz w:val="24"/>
              </w:rPr>
              <w:t>序号</w:t>
            </w:r>
          </w:p>
        </w:tc>
        <w:tc>
          <w:tcPr>
            <w:tcW w:w="1629" w:type="dxa"/>
            <w:vAlign w:val="center"/>
          </w:tcPr>
          <w:p w14:paraId="2C93EA0D">
            <w:pPr>
              <w:spacing w:line="480" w:lineRule="exact"/>
              <w:jc w:val="center"/>
              <w:rPr>
                <w:rFonts w:ascii="宋体" w:hAnsi="宋体" w:cs="宋体"/>
                <w:b/>
                <w:bCs/>
                <w:sz w:val="24"/>
              </w:rPr>
            </w:pPr>
            <w:r>
              <w:rPr>
                <w:rFonts w:hint="eastAsia" w:ascii="宋体" w:hAnsi="宋体" w:cs="宋体"/>
                <w:b/>
                <w:bCs/>
                <w:sz w:val="24"/>
              </w:rPr>
              <w:t>产品名称</w:t>
            </w:r>
          </w:p>
        </w:tc>
        <w:tc>
          <w:tcPr>
            <w:tcW w:w="1389" w:type="dxa"/>
            <w:vAlign w:val="center"/>
          </w:tcPr>
          <w:p w14:paraId="2D74C4D6">
            <w:pPr>
              <w:spacing w:line="480" w:lineRule="exact"/>
              <w:jc w:val="center"/>
              <w:rPr>
                <w:rFonts w:ascii="宋体" w:hAnsi="宋体" w:cs="宋体"/>
                <w:b/>
                <w:bCs/>
                <w:sz w:val="24"/>
              </w:rPr>
            </w:pPr>
            <w:r>
              <w:rPr>
                <w:rFonts w:hint="eastAsia" w:ascii="宋体" w:hAnsi="宋体" w:cs="宋体"/>
                <w:b/>
                <w:bCs/>
                <w:sz w:val="24"/>
              </w:rPr>
              <w:t>品牌、规格型号</w:t>
            </w:r>
          </w:p>
        </w:tc>
        <w:tc>
          <w:tcPr>
            <w:tcW w:w="1302" w:type="dxa"/>
            <w:vAlign w:val="center"/>
          </w:tcPr>
          <w:p w14:paraId="6300ECCD">
            <w:pPr>
              <w:spacing w:line="480" w:lineRule="exact"/>
              <w:jc w:val="center"/>
              <w:rPr>
                <w:rFonts w:ascii="宋体" w:hAnsi="宋体" w:cs="宋体"/>
                <w:b/>
                <w:bCs/>
                <w:sz w:val="24"/>
              </w:rPr>
            </w:pPr>
            <w:r>
              <w:rPr>
                <w:rFonts w:hint="eastAsia" w:ascii="宋体" w:hAnsi="宋体" w:cs="宋体"/>
                <w:b/>
                <w:bCs/>
                <w:sz w:val="24"/>
              </w:rPr>
              <w:t>生产厂家</w:t>
            </w:r>
          </w:p>
        </w:tc>
        <w:tc>
          <w:tcPr>
            <w:tcW w:w="833" w:type="dxa"/>
            <w:vAlign w:val="center"/>
          </w:tcPr>
          <w:p w14:paraId="72F7EAE2">
            <w:pPr>
              <w:spacing w:line="480" w:lineRule="exact"/>
              <w:jc w:val="center"/>
              <w:rPr>
                <w:rFonts w:ascii="宋体" w:hAnsi="宋体" w:cs="宋体"/>
                <w:b/>
                <w:bCs/>
                <w:sz w:val="24"/>
              </w:rPr>
            </w:pPr>
            <w:r>
              <w:rPr>
                <w:rFonts w:hint="eastAsia" w:ascii="宋体" w:hAnsi="宋体" w:cs="宋体"/>
                <w:b/>
                <w:bCs/>
                <w:sz w:val="24"/>
              </w:rPr>
              <w:t>数量</w:t>
            </w:r>
          </w:p>
        </w:tc>
        <w:tc>
          <w:tcPr>
            <w:tcW w:w="829" w:type="dxa"/>
            <w:vAlign w:val="center"/>
          </w:tcPr>
          <w:p w14:paraId="0A6EDD22">
            <w:pPr>
              <w:spacing w:line="480" w:lineRule="exact"/>
              <w:jc w:val="center"/>
              <w:rPr>
                <w:rFonts w:ascii="宋体" w:hAnsi="宋体" w:cs="宋体"/>
                <w:b/>
                <w:bCs/>
                <w:sz w:val="24"/>
              </w:rPr>
            </w:pPr>
            <w:r>
              <w:rPr>
                <w:rFonts w:hint="eastAsia" w:ascii="宋体" w:hAnsi="宋体" w:cs="宋体"/>
                <w:b/>
                <w:bCs/>
                <w:sz w:val="24"/>
              </w:rPr>
              <w:t>计量单位</w:t>
            </w:r>
          </w:p>
        </w:tc>
        <w:tc>
          <w:tcPr>
            <w:tcW w:w="1546" w:type="dxa"/>
            <w:vAlign w:val="center"/>
          </w:tcPr>
          <w:p w14:paraId="33A370A8">
            <w:pPr>
              <w:spacing w:line="480" w:lineRule="exact"/>
              <w:jc w:val="center"/>
              <w:rPr>
                <w:rFonts w:ascii="宋体" w:hAnsi="宋体" w:cs="宋体"/>
                <w:b/>
                <w:bCs/>
                <w:sz w:val="24"/>
              </w:rPr>
            </w:pPr>
            <w:r>
              <w:rPr>
                <w:rFonts w:hint="eastAsia" w:ascii="宋体" w:hAnsi="宋体" w:cs="宋体"/>
                <w:b/>
                <w:bCs/>
                <w:sz w:val="24"/>
              </w:rPr>
              <w:t>单价(元)</w:t>
            </w:r>
          </w:p>
        </w:tc>
        <w:tc>
          <w:tcPr>
            <w:tcW w:w="1167" w:type="dxa"/>
            <w:vAlign w:val="center"/>
          </w:tcPr>
          <w:p w14:paraId="20251D1B">
            <w:pPr>
              <w:spacing w:line="480" w:lineRule="exact"/>
              <w:jc w:val="center"/>
              <w:rPr>
                <w:rFonts w:ascii="宋体" w:hAnsi="宋体" w:cs="宋体"/>
                <w:b/>
                <w:bCs/>
                <w:sz w:val="24"/>
              </w:rPr>
            </w:pPr>
            <w:r>
              <w:rPr>
                <w:rFonts w:hint="eastAsia" w:ascii="宋体" w:hAnsi="宋体" w:cs="宋体"/>
                <w:b/>
                <w:bCs/>
                <w:sz w:val="24"/>
              </w:rPr>
              <w:t>合计(元)</w:t>
            </w:r>
          </w:p>
        </w:tc>
      </w:tr>
      <w:tr w14:paraId="6CA4D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00" w:type="dxa"/>
            <w:vAlign w:val="center"/>
          </w:tcPr>
          <w:p w14:paraId="0EC8AE26">
            <w:pPr>
              <w:spacing w:line="360" w:lineRule="auto"/>
              <w:jc w:val="center"/>
              <w:rPr>
                <w:rFonts w:ascii="宋体" w:hAnsi="宋体" w:cs="宋体"/>
                <w:sz w:val="24"/>
              </w:rPr>
            </w:pPr>
            <w:r>
              <w:rPr>
                <w:rFonts w:hint="eastAsia" w:ascii="宋体" w:hAnsi="宋体" w:cs="宋体"/>
                <w:sz w:val="24"/>
              </w:rPr>
              <w:t>1</w:t>
            </w:r>
          </w:p>
        </w:tc>
        <w:tc>
          <w:tcPr>
            <w:tcW w:w="1629" w:type="dxa"/>
            <w:vAlign w:val="center"/>
          </w:tcPr>
          <w:p w14:paraId="6AB080D8">
            <w:pPr>
              <w:widowControl/>
              <w:spacing w:line="360" w:lineRule="auto"/>
              <w:jc w:val="center"/>
              <w:rPr>
                <w:rFonts w:ascii="宋体" w:hAnsi="宋体" w:cs="宋体"/>
                <w:kern w:val="0"/>
                <w:sz w:val="24"/>
              </w:rPr>
            </w:pPr>
          </w:p>
        </w:tc>
        <w:tc>
          <w:tcPr>
            <w:tcW w:w="1389" w:type="dxa"/>
            <w:vAlign w:val="center"/>
          </w:tcPr>
          <w:p w14:paraId="50CEE7E8">
            <w:pPr>
              <w:widowControl/>
              <w:spacing w:line="360" w:lineRule="auto"/>
              <w:jc w:val="center"/>
              <w:rPr>
                <w:rFonts w:ascii="宋体" w:hAnsi="宋体" w:cs="宋体"/>
                <w:kern w:val="0"/>
                <w:sz w:val="24"/>
              </w:rPr>
            </w:pPr>
          </w:p>
        </w:tc>
        <w:tc>
          <w:tcPr>
            <w:tcW w:w="1302" w:type="dxa"/>
            <w:vAlign w:val="center"/>
          </w:tcPr>
          <w:p w14:paraId="50ADD4E4">
            <w:pPr>
              <w:widowControl/>
              <w:spacing w:line="360" w:lineRule="auto"/>
              <w:jc w:val="center"/>
              <w:rPr>
                <w:rFonts w:ascii="宋体" w:hAnsi="宋体" w:cs="宋体"/>
                <w:kern w:val="0"/>
                <w:sz w:val="24"/>
              </w:rPr>
            </w:pPr>
          </w:p>
        </w:tc>
        <w:tc>
          <w:tcPr>
            <w:tcW w:w="833" w:type="dxa"/>
            <w:vAlign w:val="center"/>
          </w:tcPr>
          <w:p w14:paraId="6B622F8B">
            <w:pPr>
              <w:widowControl/>
              <w:spacing w:line="360" w:lineRule="auto"/>
              <w:jc w:val="center"/>
              <w:rPr>
                <w:rFonts w:ascii="宋体" w:hAnsi="宋体" w:cs="宋体"/>
                <w:kern w:val="0"/>
                <w:sz w:val="24"/>
              </w:rPr>
            </w:pPr>
          </w:p>
        </w:tc>
        <w:tc>
          <w:tcPr>
            <w:tcW w:w="829" w:type="dxa"/>
            <w:vAlign w:val="center"/>
          </w:tcPr>
          <w:p w14:paraId="6516B974">
            <w:pPr>
              <w:widowControl/>
              <w:spacing w:line="360" w:lineRule="auto"/>
              <w:jc w:val="center"/>
              <w:rPr>
                <w:rFonts w:ascii="宋体" w:hAnsi="宋体" w:cs="宋体"/>
                <w:kern w:val="0"/>
                <w:sz w:val="24"/>
              </w:rPr>
            </w:pPr>
          </w:p>
        </w:tc>
        <w:tc>
          <w:tcPr>
            <w:tcW w:w="1546" w:type="dxa"/>
            <w:vAlign w:val="center"/>
          </w:tcPr>
          <w:p w14:paraId="3DF4102F">
            <w:pPr>
              <w:spacing w:line="360" w:lineRule="auto"/>
              <w:jc w:val="center"/>
              <w:rPr>
                <w:rFonts w:ascii="宋体" w:hAnsi="宋体" w:cs="宋体"/>
                <w:sz w:val="24"/>
              </w:rPr>
            </w:pPr>
          </w:p>
        </w:tc>
        <w:tc>
          <w:tcPr>
            <w:tcW w:w="1167" w:type="dxa"/>
            <w:vAlign w:val="center"/>
          </w:tcPr>
          <w:p w14:paraId="518DA1FE">
            <w:pPr>
              <w:spacing w:line="360" w:lineRule="auto"/>
              <w:jc w:val="center"/>
              <w:rPr>
                <w:rFonts w:ascii="宋体" w:hAnsi="宋体" w:cs="宋体"/>
                <w:sz w:val="24"/>
              </w:rPr>
            </w:pPr>
          </w:p>
        </w:tc>
      </w:tr>
      <w:tr w14:paraId="43B53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00" w:type="dxa"/>
            <w:vAlign w:val="center"/>
          </w:tcPr>
          <w:p w14:paraId="743CF4BB">
            <w:pPr>
              <w:spacing w:line="360" w:lineRule="auto"/>
              <w:jc w:val="center"/>
              <w:rPr>
                <w:rFonts w:ascii="宋体" w:hAnsi="宋体" w:cs="宋体"/>
                <w:sz w:val="24"/>
              </w:rPr>
            </w:pPr>
            <w:r>
              <w:rPr>
                <w:rFonts w:hint="eastAsia" w:ascii="宋体" w:hAnsi="宋体" w:cs="宋体"/>
                <w:sz w:val="24"/>
              </w:rPr>
              <w:t>2</w:t>
            </w:r>
          </w:p>
        </w:tc>
        <w:tc>
          <w:tcPr>
            <w:tcW w:w="1629" w:type="dxa"/>
            <w:vAlign w:val="center"/>
          </w:tcPr>
          <w:p w14:paraId="1A84011F">
            <w:pPr>
              <w:widowControl/>
              <w:spacing w:line="360" w:lineRule="auto"/>
              <w:jc w:val="center"/>
              <w:rPr>
                <w:rFonts w:ascii="宋体" w:hAnsi="宋体" w:cs="宋体"/>
                <w:kern w:val="0"/>
                <w:sz w:val="24"/>
              </w:rPr>
            </w:pPr>
          </w:p>
        </w:tc>
        <w:tc>
          <w:tcPr>
            <w:tcW w:w="1389" w:type="dxa"/>
            <w:vAlign w:val="center"/>
          </w:tcPr>
          <w:p w14:paraId="07DFEC89">
            <w:pPr>
              <w:widowControl/>
              <w:spacing w:line="360" w:lineRule="auto"/>
              <w:jc w:val="center"/>
              <w:rPr>
                <w:rFonts w:ascii="宋体" w:hAnsi="宋体" w:cs="宋体"/>
                <w:kern w:val="0"/>
                <w:sz w:val="24"/>
              </w:rPr>
            </w:pPr>
          </w:p>
        </w:tc>
        <w:tc>
          <w:tcPr>
            <w:tcW w:w="1302" w:type="dxa"/>
            <w:vAlign w:val="center"/>
          </w:tcPr>
          <w:p w14:paraId="1168A659">
            <w:pPr>
              <w:widowControl/>
              <w:spacing w:line="360" w:lineRule="auto"/>
              <w:jc w:val="center"/>
              <w:rPr>
                <w:rFonts w:ascii="宋体" w:hAnsi="宋体" w:cs="宋体"/>
                <w:kern w:val="0"/>
                <w:sz w:val="24"/>
              </w:rPr>
            </w:pPr>
          </w:p>
        </w:tc>
        <w:tc>
          <w:tcPr>
            <w:tcW w:w="833" w:type="dxa"/>
            <w:vAlign w:val="center"/>
          </w:tcPr>
          <w:p w14:paraId="2C6C7789">
            <w:pPr>
              <w:widowControl/>
              <w:spacing w:line="360" w:lineRule="auto"/>
              <w:jc w:val="center"/>
              <w:rPr>
                <w:rFonts w:ascii="宋体" w:hAnsi="宋体" w:cs="宋体"/>
                <w:kern w:val="0"/>
                <w:sz w:val="24"/>
              </w:rPr>
            </w:pPr>
          </w:p>
        </w:tc>
        <w:tc>
          <w:tcPr>
            <w:tcW w:w="829" w:type="dxa"/>
            <w:vAlign w:val="center"/>
          </w:tcPr>
          <w:p w14:paraId="6DCBBBD4">
            <w:pPr>
              <w:widowControl/>
              <w:spacing w:line="360" w:lineRule="auto"/>
              <w:jc w:val="center"/>
              <w:rPr>
                <w:rFonts w:ascii="宋体" w:hAnsi="宋体" w:cs="宋体"/>
                <w:kern w:val="0"/>
                <w:sz w:val="24"/>
              </w:rPr>
            </w:pPr>
          </w:p>
        </w:tc>
        <w:tc>
          <w:tcPr>
            <w:tcW w:w="1546" w:type="dxa"/>
            <w:vAlign w:val="center"/>
          </w:tcPr>
          <w:p w14:paraId="0BD347B0">
            <w:pPr>
              <w:spacing w:line="360" w:lineRule="auto"/>
              <w:jc w:val="center"/>
              <w:rPr>
                <w:rFonts w:ascii="宋体" w:hAnsi="宋体" w:cs="宋体"/>
                <w:sz w:val="24"/>
              </w:rPr>
            </w:pPr>
          </w:p>
        </w:tc>
        <w:tc>
          <w:tcPr>
            <w:tcW w:w="1167" w:type="dxa"/>
            <w:vAlign w:val="center"/>
          </w:tcPr>
          <w:p w14:paraId="32B4FA68">
            <w:pPr>
              <w:spacing w:line="360" w:lineRule="auto"/>
              <w:jc w:val="center"/>
              <w:rPr>
                <w:rFonts w:ascii="宋体" w:hAnsi="宋体" w:cs="宋体"/>
                <w:sz w:val="24"/>
              </w:rPr>
            </w:pPr>
          </w:p>
        </w:tc>
      </w:tr>
      <w:tr w14:paraId="21E0B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500" w:type="dxa"/>
            <w:vAlign w:val="center"/>
          </w:tcPr>
          <w:p w14:paraId="7B13A1FF">
            <w:pPr>
              <w:spacing w:line="360" w:lineRule="auto"/>
              <w:jc w:val="center"/>
              <w:rPr>
                <w:rFonts w:ascii="宋体" w:hAnsi="宋体" w:cs="宋体"/>
                <w:sz w:val="24"/>
              </w:rPr>
            </w:pPr>
            <w:r>
              <w:rPr>
                <w:rFonts w:ascii="宋体" w:hAnsi="宋体" w:cs="宋体"/>
                <w:sz w:val="24"/>
              </w:rPr>
              <w:t>…</w:t>
            </w:r>
          </w:p>
        </w:tc>
        <w:tc>
          <w:tcPr>
            <w:tcW w:w="1629" w:type="dxa"/>
            <w:vAlign w:val="center"/>
          </w:tcPr>
          <w:p w14:paraId="510E0DE5">
            <w:pPr>
              <w:widowControl/>
              <w:spacing w:line="360" w:lineRule="auto"/>
              <w:jc w:val="center"/>
              <w:rPr>
                <w:rFonts w:ascii="宋体" w:hAnsi="宋体" w:cs="宋体"/>
                <w:kern w:val="0"/>
                <w:sz w:val="24"/>
              </w:rPr>
            </w:pPr>
          </w:p>
        </w:tc>
        <w:tc>
          <w:tcPr>
            <w:tcW w:w="1389" w:type="dxa"/>
            <w:vAlign w:val="center"/>
          </w:tcPr>
          <w:p w14:paraId="7526194D">
            <w:pPr>
              <w:widowControl/>
              <w:spacing w:line="360" w:lineRule="auto"/>
              <w:jc w:val="center"/>
              <w:rPr>
                <w:rFonts w:ascii="宋体" w:hAnsi="宋体" w:cs="宋体"/>
                <w:kern w:val="0"/>
                <w:sz w:val="24"/>
              </w:rPr>
            </w:pPr>
          </w:p>
        </w:tc>
        <w:tc>
          <w:tcPr>
            <w:tcW w:w="1302" w:type="dxa"/>
            <w:vAlign w:val="center"/>
          </w:tcPr>
          <w:p w14:paraId="249F117E">
            <w:pPr>
              <w:widowControl/>
              <w:spacing w:line="360" w:lineRule="auto"/>
              <w:jc w:val="center"/>
              <w:rPr>
                <w:rFonts w:ascii="宋体" w:hAnsi="宋体" w:cs="宋体"/>
                <w:kern w:val="0"/>
                <w:sz w:val="24"/>
              </w:rPr>
            </w:pPr>
          </w:p>
        </w:tc>
        <w:tc>
          <w:tcPr>
            <w:tcW w:w="833" w:type="dxa"/>
            <w:vAlign w:val="center"/>
          </w:tcPr>
          <w:p w14:paraId="6C59465F">
            <w:pPr>
              <w:widowControl/>
              <w:spacing w:line="360" w:lineRule="auto"/>
              <w:jc w:val="center"/>
              <w:rPr>
                <w:rFonts w:ascii="宋体" w:hAnsi="宋体" w:cs="宋体"/>
                <w:kern w:val="0"/>
                <w:sz w:val="24"/>
              </w:rPr>
            </w:pPr>
          </w:p>
        </w:tc>
        <w:tc>
          <w:tcPr>
            <w:tcW w:w="829" w:type="dxa"/>
            <w:vAlign w:val="center"/>
          </w:tcPr>
          <w:p w14:paraId="6B5B8C3F">
            <w:pPr>
              <w:widowControl/>
              <w:spacing w:line="360" w:lineRule="auto"/>
              <w:jc w:val="center"/>
              <w:rPr>
                <w:rFonts w:ascii="宋体" w:hAnsi="宋体" w:cs="宋体"/>
                <w:kern w:val="0"/>
                <w:sz w:val="24"/>
              </w:rPr>
            </w:pPr>
          </w:p>
        </w:tc>
        <w:tc>
          <w:tcPr>
            <w:tcW w:w="1546" w:type="dxa"/>
            <w:vAlign w:val="center"/>
          </w:tcPr>
          <w:p w14:paraId="59150FB8">
            <w:pPr>
              <w:spacing w:line="360" w:lineRule="auto"/>
              <w:jc w:val="center"/>
              <w:rPr>
                <w:rFonts w:ascii="宋体" w:hAnsi="宋体" w:cs="宋体"/>
                <w:sz w:val="24"/>
              </w:rPr>
            </w:pPr>
          </w:p>
        </w:tc>
        <w:tc>
          <w:tcPr>
            <w:tcW w:w="1167" w:type="dxa"/>
            <w:vAlign w:val="center"/>
          </w:tcPr>
          <w:p w14:paraId="0A50A983">
            <w:pPr>
              <w:spacing w:line="360" w:lineRule="auto"/>
              <w:jc w:val="center"/>
              <w:rPr>
                <w:rFonts w:ascii="宋体" w:hAnsi="宋体" w:cs="宋体"/>
                <w:sz w:val="24"/>
              </w:rPr>
            </w:pPr>
          </w:p>
        </w:tc>
      </w:tr>
      <w:tr w14:paraId="7038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jc w:val="center"/>
        </w:trPr>
        <w:tc>
          <w:tcPr>
            <w:tcW w:w="6482" w:type="dxa"/>
            <w:gridSpan w:val="6"/>
            <w:vAlign w:val="center"/>
          </w:tcPr>
          <w:p w14:paraId="32F8DAAB">
            <w:pPr>
              <w:widowControl/>
              <w:spacing w:line="360" w:lineRule="auto"/>
              <w:jc w:val="center"/>
              <w:rPr>
                <w:rFonts w:ascii="宋体" w:hAnsi="宋体" w:cs="宋体"/>
                <w:b/>
                <w:kern w:val="0"/>
                <w:sz w:val="24"/>
              </w:rPr>
            </w:pPr>
            <w:r>
              <w:rPr>
                <w:rFonts w:hint="eastAsia" w:ascii="宋体" w:hAnsi="宋体" w:cs="宋体"/>
                <w:b/>
                <w:kern w:val="0"/>
                <w:sz w:val="24"/>
              </w:rPr>
              <w:t>总价（元）</w:t>
            </w:r>
          </w:p>
        </w:tc>
        <w:tc>
          <w:tcPr>
            <w:tcW w:w="2713" w:type="dxa"/>
            <w:gridSpan w:val="2"/>
            <w:vAlign w:val="center"/>
          </w:tcPr>
          <w:p w14:paraId="53408BF7">
            <w:pPr>
              <w:spacing w:line="360" w:lineRule="auto"/>
              <w:jc w:val="center"/>
              <w:rPr>
                <w:rFonts w:ascii="宋体" w:hAnsi="宋体" w:cs="宋体"/>
                <w:sz w:val="24"/>
              </w:rPr>
            </w:pPr>
          </w:p>
        </w:tc>
      </w:tr>
    </w:tbl>
    <w:p w14:paraId="630977C4">
      <w:pPr>
        <w:spacing w:before="60" w:after="60" w:line="440" w:lineRule="exact"/>
        <w:ind w:firstLine="471" w:firstLineChars="196"/>
        <w:rPr>
          <w:rFonts w:ascii="宋体" w:hAnsi="宋体" w:cs="宋体"/>
          <w:b/>
          <w:sz w:val="24"/>
        </w:rPr>
      </w:pPr>
      <w:r>
        <w:rPr>
          <w:rFonts w:hint="eastAsia" w:ascii="宋体" w:hAnsi="宋体" w:cs="宋体"/>
          <w:b/>
          <w:sz w:val="24"/>
        </w:rPr>
        <w:t>注：1.各供应商在对采购内容进行逐项报价时不得超过“第六章 采购需求”中每项采购内容的分项限价，否则投标无效。</w:t>
      </w:r>
    </w:p>
    <w:p w14:paraId="0B978E60">
      <w:pPr>
        <w:spacing w:before="60" w:after="60" w:line="440" w:lineRule="exact"/>
        <w:ind w:firstLine="471" w:firstLineChars="196"/>
        <w:rPr>
          <w:rFonts w:ascii="宋体" w:hAnsi="宋体" w:cs="宋体"/>
          <w:b/>
          <w:sz w:val="24"/>
        </w:rPr>
      </w:pPr>
      <w:r>
        <w:rPr>
          <w:rFonts w:hint="eastAsia" w:ascii="宋体" w:hAnsi="宋体" w:cs="宋体"/>
          <w:b/>
          <w:sz w:val="24"/>
        </w:rPr>
        <w:t>2.此报价总计需和报价一览表谈判总价相一致。</w:t>
      </w:r>
    </w:p>
    <w:p w14:paraId="10334A4B">
      <w:pPr>
        <w:spacing w:before="360" w:after="360"/>
        <w:rPr>
          <w:rFonts w:ascii="宋体" w:hAnsi="宋体" w:cs="宋体"/>
          <w:b/>
          <w:sz w:val="24"/>
        </w:rPr>
      </w:pPr>
    </w:p>
    <w:p w14:paraId="6E49E843">
      <w:pPr>
        <w:spacing w:before="360" w:after="3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（电子签章）</w:t>
      </w:r>
    </w:p>
    <w:p w14:paraId="5218CD08">
      <w:pPr>
        <w:spacing w:before="360" w:after="36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（签字或电子签章）</w:t>
      </w:r>
    </w:p>
    <w:p w14:paraId="3EE7FE59">
      <w:pPr>
        <w:spacing w:before="360" w:after="36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bookmarkEnd w:id="269"/>
    <w:bookmarkEnd w:id="270"/>
    <w:bookmarkEnd w:id="271"/>
    <w:bookmarkEnd w:id="272"/>
    <w:p w14:paraId="545D1432">
      <w:pPr>
        <w:pStyle w:val="4"/>
        <w:jc w:val="both"/>
        <w:sectPr>
          <w:pgSz w:w="11906" w:h="16838"/>
          <w:pgMar w:top="1134" w:right="1304" w:bottom="1134" w:left="1304" w:header="510" w:footer="680" w:gutter="0"/>
          <w:pgNumType w:fmt="decimal"/>
          <w:cols w:space="720" w:num="1"/>
          <w:titlePg/>
          <w:docGrid w:type="linesAndChars" w:linePitch="320" w:charSpace="269"/>
        </w:sectPr>
      </w:pPr>
      <w:bookmarkStart w:id="273" w:name="_Toc498367353"/>
      <w:bookmarkStart w:id="274" w:name="_Toc505612978"/>
      <w:bookmarkStart w:id="275" w:name="_Toc495941937"/>
    </w:p>
    <w:p w14:paraId="6613B601">
      <w:pPr>
        <w:pStyle w:val="4"/>
        <w:rPr>
          <w:rFonts w:ascii="宋体" w:hAnsi="宋体" w:cs="宋体"/>
          <w:sz w:val="24"/>
        </w:rPr>
      </w:pPr>
      <w:r>
        <w:rPr>
          <w:rFonts w:hint="eastAsia"/>
          <w:snapToGrid w:val="0"/>
        </w:rPr>
        <w:t>附件</w:t>
      </w:r>
      <w:r>
        <w:rPr>
          <w:rFonts w:hint="eastAsia"/>
          <w:snapToGrid w:val="0"/>
          <w:lang w:val="en-US" w:eastAsia="zh-CN"/>
        </w:rPr>
        <w:t>八</w:t>
      </w:r>
      <w:r>
        <w:rPr>
          <w:rFonts w:hint="eastAsia"/>
          <w:snapToGrid w:val="0"/>
        </w:rPr>
        <w:t>、供应商信息表</w:t>
      </w:r>
      <w:bookmarkEnd w:id="273"/>
      <w:bookmarkEnd w:id="274"/>
      <w:bookmarkEnd w:id="275"/>
    </w:p>
    <w:p w14:paraId="68495AC2">
      <w:pPr>
        <w:spacing w:line="400" w:lineRule="exact"/>
        <w:jc w:val="center"/>
        <w:rPr>
          <w:rFonts w:ascii="宋体" w:hAnsi="宋体" w:cs="宋体"/>
          <w:b/>
          <w:sz w:val="24"/>
        </w:rPr>
      </w:pPr>
      <w:r>
        <w:rPr>
          <w:rFonts w:hint="eastAsia" w:ascii="宋体" w:hAnsi="宋体" w:cs="宋体"/>
          <w:b/>
          <w:sz w:val="24"/>
        </w:rPr>
        <w:t>(请供应商如实填写本表信息)</w:t>
      </w:r>
    </w:p>
    <w:tbl>
      <w:tblPr>
        <w:tblStyle w:val="38"/>
        <w:tblpPr w:leftFromText="180" w:rightFromText="180" w:vertAnchor="text" w:horzAnchor="margin" w:tblpXSpec="center" w:tblpY="3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2591"/>
        <w:gridCol w:w="2701"/>
        <w:gridCol w:w="2036"/>
      </w:tblGrid>
      <w:tr w14:paraId="28ECE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16" w:type="dxa"/>
            <w:vAlign w:val="center"/>
          </w:tcPr>
          <w:p w14:paraId="1A9E3FE1">
            <w:pPr>
              <w:spacing w:line="480" w:lineRule="auto"/>
              <w:jc w:val="center"/>
              <w:rPr>
                <w:rFonts w:ascii="宋体" w:hAnsi="宋体" w:cs="宋体"/>
                <w:b/>
                <w:sz w:val="24"/>
              </w:rPr>
            </w:pPr>
            <w:r>
              <w:rPr>
                <w:rFonts w:hint="eastAsia" w:ascii="宋体" w:hAnsi="宋体" w:cs="宋体"/>
                <w:b/>
                <w:sz w:val="24"/>
              </w:rPr>
              <w:t>供应商名称：</w:t>
            </w:r>
          </w:p>
        </w:tc>
        <w:tc>
          <w:tcPr>
            <w:tcW w:w="7328" w:type="dxa"/>
            <w:gridSpan w:val="3"/>
            <w:vAlign w:val="center"/>
          </w:tcPr>
          <w:p w14:paraId="6454127E">
            <w:pPr>
              <w:spacing w:line="480" w:lineRule="auto"/>
              <w:jc w:val="center"/>
              <w:rPr>
                <w:rFonts w:ascii="宋体" w:hAnsi="宋体" w:cs="宋体"/>
                <w:sz w:val="24"/>
              </w:rPr>
            </w:pPr>
          </w:p>
        </w:tc>
      </w:tr>
      <w:tr w14:paraId="70138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16" w:type="dxa"/>
            <w:vAlign w:val="center"/>
          </w:tcPr>
          <w:p w14:paraId="32A82E1A">
            <w:pPr>
              <w:spacing w:line="480" w:lineRule="auto"/>
              <w:jc w:val="center"/>
              <w:rPr>
                <w:rFonts w:ascii="宋体" w:hAnsi="宋体" w:cs="宋体"/>
                <w:b/>
                <w:sz w:val="24"/>
              </w:rPr>
            </w:pPr>
            <w:r>
              <w:rPr>
                <w:rFonts w:hint="eastAsia" w:ascii="宋体" w:hAnsi="宋体" w:cs="宋体"/>
                <w:b/>
                <w:sz w:val="24"/>
              </w:rPr>
              <w:t>营业执照注册号：</w:t>
            </w:r>
          </w:p>
        </w:tc>
        <w:tc>
          <w:tcPr>
            <w:tcW w:w="7328" w:type="dxa"/>
            <w:gridSpan w:val="3"/>
            <w:vAlign w:val="center"/>
          </w:tcPr>
          <w:p w14:paraId="67A37814">
            <w:pPr>
              <w:spacing w:line="480" w:lineRule="auto"/>
              <w:jc w:val="center"/>
              <w:rPr>
                <w:rFonts w:ascii="宋体" w:hAnsi="宋体" w:cs="宋体"/>
                <w:sz w:val="24"/>
              </w:rPr>
            </w:pPr>
          </w:p>
        </w:tc>
      </w:tr>
      <w:tr w14:paraId="10E2F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16" w:type="dxa"/>
            <w:vAlign w:val="center"/>
          </w:tcPr>
          <w:p w14:paraId="734F2291">
            <w:pPr>
              <w:spacing w:line="480" w:lineRule="auto"/>
              <w:jc w:val="center"/>
              <w:rPr>
                <w:rFonts w:ascii="宋体" w:hAnsi="宋体" w:cs="宋体"/>
                <w:b/>
                <w:sz w:val="24"/>
              </w:rPr>
            </w:pPr>
            <w:r>
              <w:rPr>
                <w:rFonts w:hint="eastAsia" w:ascii="宋体" w:hAnsi="宋体" w:cs="宋体"/>
                <w:b/>
                <w:sz w:val="24"/>
              </w:rPr>
              <w:t>组织机构代码：</w:t>
            </w:r>
          </w:p>
        </w:tc>
        <w:tc>
          <w:tcPr>
            <w:tcW w:w="7328" w:type="dxa"/>
            <w:gridSpan w:val="3"/>
            <w:vAlign w:val="center"/>
          </w:tcPr>
          <w:p w14:paraId="3AA95D8C">
            <w:pPr>
              <w:spacing w:line="480" w:lineRule="auto"/>
              <w:jc w:val="center"/>
              <w:rPr>
                <w:rFonts w:ascii="宋体" w:hAnsi="宋体" w:cs="宋体"/>
                <w:sz w:val="24"/>
              </w:rPr>
            </w:pPr>
          </w:p>
        </w:tc>
      </w:tr>
      <w:tr w14:paraId="428C2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16" w:type="dxa"/>
            <w:vAlign w:val="center"/>
          </w:tcPr>
          <w:p w14:paraId="6CFCB8F6">
            <w:pPr>
              <w:spacing w:line="480" w:lineRule="auto"/>
              <w:jc w:val="center"/>
              <w:rPr>
                <w:rFonts w:ascii="宋体" w:hAnsi="宋体" w:cs="宋体"/>
                <w:b/>
                <w:sz w:val="24"/>
              </w:rPr>
            </w:pPr>
            <w:r>
              <w:rPr>
                <w:rFonts w:hint="eastAsia" w:ascii="宋体" w:hAnsi="宋体" w:cs="宋体"/>
                <w:b/>
                <w:sz w:val="24"/>
              </w:rPr>
              <w:t>税务登记证号：</w:t>
            </w:r>
          </w:p>
        </w:tc>
        <w:tc>
          <w:tcPr>
            <w:tcW w:w="7328" w:type="dxa"/>
            <w:gridSpan w:val="3"/>
            <w:vAlign w:val="center"/>
          </w:tcPr>
          <w:p w14:paraId="419A939F">
            <w:pPr>
              <w:spacing w:line="480" w:lineRule="auto"/>
              <w:jc w:val="center"/>
              <w:rPr>
                <w:rFonts w:ascii="宋体" w:hAnsi="宋体" w:cs="宋体"/>
                <w:sz w:val="24"/>
              </w:rPr>
            </w:pPr>
          </w:p>
        </w:tc>
      </w:tr>
      <w:tr w14:paraId="71D69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16" w:type="dxa"/>
            <w:vAlign w:val="center"/>
          </w:tcPr>
          <w:p w14:paraId="59AAA825">
            <w:pPr>
              <w:spacing w:line="480" w:lineRule="auto"/>
              <w:jc w:val="center"/>
              <w:rPr>
                <w:rFonts w:ascii="宋体" w:hAnsi="宋体" w:cs="宋体"/>
                <w:b/>
                <w:sz w:val="24"/>
              </w:rPr>
            </w:pPr>
            <w:r>
              <w:rPr>
                <w:rFonts w:hint="eastAsia" w:ascii="宋体" w:hAnsi="宋体" w:cs="宋体"/>
                <w:b/>
                <w:sz w:val="24"/>
              </w:rPr>
              <w:t>注册资金：</w:t>
            </w:r>
          </w:p>
        </w:tc>
        <w:tc>
          <w:tcPr>
            <w:tcW w:w="2591" w:type="dxa"/>
            <w:vAlign w:val="center"/>
          </w:tcPr>
          <w:p w14:paraId="091D1388">
            <w:pPr>
              <w:spacing w:line="480" w:lineRule="auto"/>
              <w:jc w:val="center"/>
              <w:rPr>
                <w:rFonts w:ascii="宋体" w:hAnsi="宋体" w:cs="宋体"/>
                <w:sz w:val="24"/>
              </w:rPr>
            </w:pPr>
          </w:p>
        </w:tc>
        <w:tc>
          <w:tcPr>
            <w:tcW w:w="2701" w:type="dxa"/>
            <w:vAlign w:val="center"/>
          </w:tcPr>
          <w:p w14:paraId="3EDE01FF">
            <w:pPr>
              <w:spacing w:line="480" w:lineRule="auto"/>
              <w:jc w:val="center"/>
              <w:rPr>
                <w:rFonts w:ascii="宋体" w:hAnsi="宋体" w:cs="宋体"/>
                <w:b/>
                <w:sz w:val="24"/>
              </w:rPr>
            </w:pPr>
            <w:r>
              <w:rPr>
                <w:rFonts w:hint="eastAsia" w:ascii="宋体" w:hAnsi="宋体" w:cs="宋体"/>
                <w:b/>
                <w:sz w:val="24"/>
              </w:rPr>
              <w:t>邮政编码：</w:t>
            </w:r>
          </w:p>
        </w:tc>
        <w:tc>
          <w:tcPr>
            <w:tcW w:w="2036" w:type="dxa"/>
            <w:vAlign w:val="center"/>
          </w:tcPr>
          <w:p w14:paraId="25FDABCD">
            <w:pPr>
              <w:spacing w:line="480" w:lineRule="auto"/>
              <w:jc w:val="center"/>
              <w:rPr>
                <w:rFonts w:ascii="宋体" w:hAnsi="宋体" w:cs="宋体"/>
                <w:sz w:val="24"/>
              </w:rPr>
            </w:pPr>
          </w:p>
        </w:tc>
      </w:tr>
      <w:tr w14:paraId="14EF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16" w:type="dxa"/>
            <w:vAlign w:val="center"/>
          </w:tcPr>
          <w:p w14:paraId="76FBE033">
            <w:pPr>
              <w:spacing w:line="480" w:lineRule="auto"/>
              <w:jc w:val="center"/>
              <w:rPr>
                <w:rFonts w:ascii="宋体" w:hAnsi="宋体" w:cs="宋体"/>
                <w:b/>
                <w:sz w:val="24"/>
              </w:rPr>
            </w:pPr>
            <w:r>
              <w:rPr>
                <w:rFonts w:hint="eastAsia" w:ascii="宋体" w:hAnsi="宋体" w:cs="宋体"/>
                <w:b/>
                <w:sz w:val="24"/>
              </w:rPr>
              <w:t>公司成立日期：</w:t>
            </w:r>
          </w:p>
        </w:tc>
        <w:tc>
          <w:tcPr>
            <w:tcW w:w="2591" w:type="dxa"/>
            <w:vAlign w:val="center"/>
          </w:tcPr>
          <w:p w14:paraId="2790A14A">
            <w:pPr>
              <w:spacing w:line="480" w:lineRule="auto"/>
              <w:jc w:val="center"/>
              <w:rPr>
                <w:rFonts w:ascii="宋体" w:hAnsi="宋体" w:cs="宋体"/>
                <w:sz w:val="24"/>
              </w:rPr>
            </w:pPr>
          </w:p>
        </w:tc>
        <w:tc>
          <w:tcPr>
            <w:tcW w:w="2701" w:type="dxa"/>
            <w:vAlign w:val="center"/>
          </w:tcPr>
          <w:p w14:paraId="2FA0790B">
            <w:pPr>
              <w:spacing w:line="480" w:lineRule="auto"/>
              <w:jc w:val="center"/>
              <w:rPr>
                <w:rFonts w:ascii="宋体" w:hAnsi="宋体" w:cs="宋体"/>
                <w:b/>
                <w:sz w:val="24"/>
              </w:rPr>
            </w:pPr>
            <w:r>
              <w:rPr>
                <w:rFonts w:hint="eastAsia" w:ascii="宋体" w:hAnsi="宋体" w:cs="宋体"/>
                <w:b/>
                <w:sz w:val="24"/>
              </w:rPr>
              <w:t>企业网站网址(如有)：</w:t>
            </w:r>
          </w:p>
        </w:tc>
        <w:tc>
          <w:tcPr>
            <w:tcW w:w="2036" w:type="dxa"/>
            <w:vAlign w:val="center"/>
          </w:tcPr>
          <w:p w14:paraId="04385D69">
            <w:pPr>
              <w:spacing w:line="480" w:lineRule="auto"/>
              <w:jc w:val="center"/>
              <w:rPr>
                <w:rFonts w:ascii="宋体" w:hAnsi="宋体" w:cs="宋体"/>
                <w:sz w:val="24"/>
              </w:rPr>
            </w:pPr>
          </w:p>
        </w:tc>
      </w:tr>
      <w:tr w14:paraId="22F97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16" w:type="dxa"/>
            <w:vAlign w:val="center"/>
          </w:tcPr>
          <w:p w14:paraId="6E0F20E4">
            <w:pPr>
              <w:spacing w:line="480" w:lineRule="auto"/>
              <w:jc w:val="center"/>
              <w:rPr>
                <w:rFonts w:ascii="宋体" w:hAnsi="宋体" w:cs="宋体"/>
                <w:b/>
                <w:sz w:val="24"/>
              </w:rPr>
            </w:pPr>
            <w:r>
              <w:rPr>
                <w:rFonts w:hint="eastAsia" w:ascii="宋体" w:hAnsi="宋体" w:cs="宋体"/>
                <w:b/>
                <w:sz w:val="24"/>
              </w:rPr>
              <w:t>企业电话：</w:t>
            </w:r>
          </w:p>
        </w:tc>
        <w:tc>
          <w:tcPr>
            <w:tcW w:w="2591" w:type="dxa"/>
            <w:vAlign w:val="center"/>
          </w:tcPr>
          <w:p w14:paraId="638E4A17">
            <w:pPr>
              <w:spacing w:line="480" w:lineRule="auto"/>
              <w:jc w:val="center"/>
              <w:rPr>
                <w:rFonts w:ascii="宋体" w:hAnsi="宋体" w:cs="宋体"/>
                <w:sz w:val="24"/>
              </w:rPr>
            </w:pPr>
          </w:p>
        </w:tc>
        <w:tc>
          <w:tcPr>
            <w:tcW w:w="2701" w:type="dxa"/>
            <w:vAlign w:val="center"/>
          </w:tcPr>
          <w:p w14:paraId="13CA53D0">
            <w:pPr>
              <w:spacing w:line="480" w:lineRule="auto"/>
              <w:jc w:val="center"/>
              <w:rPr>
                <w:rFonts w:ascii="宋体" w:hAnsi="宋体" w:cs="宋体"/>
                <w:b/>
                <w:sz w:val="24"/>
              </w:rPr>
            </w:pPr>
            <w:r>
              <w:rPr>
                <w:rFonts w:hint="eastAsia" w:ascii="宋体" w:hAnsi="宋体" w:cs="宋体"/>
                <w:b/>
                <w:sz w:val="24"/>
              </w:rPr>
              <w:t>通讯地址：</w:t>
            </w:r>
          </w:p>
        </w:tc>
        <w:tc>
          <w:tcPr>
            <w:tcW w:w="2036" w:type="dxa"/>
            <w:vAlign w:val="center"/>
          </w:tcPr>
          <w:p w14:paraId="580E65F4">
            <w:pPr>
              <w:spacing w:line="480" w:lineRule="auto"/>
              <w:jc w:val="center"/>
              <w:rPr>
                <w:rFonts w:ascii="宋体" w:hAnsi="宋体" w:cs="宋体"/>
                <w:sz w:val="24"/>
              </w:rPr>
            </w:pPr>
          </w:p>
        </w:tc>
      </w:tr>
      <w:tr w14:paraId="68268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16" w:type="dxa"/>
            <w:vAlign w:val="center"/>
          </w:tcPr>
          <w:p w14:paraId="0E55DF5B">
            <w:pPr>
              <w:spacing w:line="480" w:lineRule="auto"/>
              <w:jc w:val="center"/>
              <w:rPr>
                <w:rFonts w:ascii="宋体" w:hAnsi="宋体" w:cs="宋体"/>
                <w:b/>
                <w:sz w:val="24"/>
              </w:rPr>
            </w:pPr>
            <w:r>
              <w:rPr>
                <w:rFonts w:hint="eastAsia" w:ascii="宋体" w:hAnsi="宋体" w:cs="宋体"/>
                <w:b/>
                <w:sz w:val="24"/>
              </w:rPr>
              <w:t>公司简介：</w:t>
            </w:r>
          </w:p>
        </w:tc>
        <w:tc>
          <w:tcPr>
            <w:tcW w:w="7328" w:type="dxa"/>
            <w:gridSpan w:val="3"/>
            <w:vAlign w:val="center"/>
          </w:tcPr>
          <w:p w14:paraId="29C1F3F4">
            <w:pPr>
              <w:spacing w:line="480" w:lineRule="auto"/>
              <w:jc w:val="center"/>
              <w:rPr>
                <w:rFonts w:ascii="宋体" w:hAnsi="宋体" w:cs="宋体"/>
                <w:sz w:val="24"/>
              </w:rPr>
            </w:pPr>
          </w:p>
        </w:tc>
      </w:tr>
      <w:tr w14:paraId="69E2C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16" w:type="dxa"/>
            <w:vAlign w:val="center"/>
          </w:tcPr>
          <w:p w14:paraId="708FF60A">
            <w:pPr>
              <w:spacing w:line="480" w:lineRule="auto"/>
              <w:jc w:val="center"/>
              <w:rPr>
                <w:rFonts w:ascii="宋体" w:hAnsi="宋体" w:cs="宋体"/>
                <w:b/>
                <w:sz w:val="24"/>
              </w:rPr>
            </w:pPr>
            <w:r>
              <w:rPr>
                <w:rFonts w:hint="eastAsia" w:ascii="宋体" w:hAnsi="宋体" w:cs="宋体"/>
                <w:b/>
                <w:sz w:val="24"/>
              </w:rPr>
              <w:t>经营范围：</w:t>
            </w:r>
          </w:p>
        </w:tc>
        <w:tc>
          <w:tcPr>
            <w:tcW w:w="7328" w:type="dxa"/>
            <w:gridSpan w:val="3"/>
            <w:vAlign w:val="center"/>
          </w:tcPr>
          <w:p w14:paraId="60124B4C">
            <w:pPr>
              <w:spacing w:line="480" w:lineRule="auto"/>
              <w:jc w:val="center"/>
              <w:rPr>
                <w:rFonts w:ascii="宋体" w:hAnsi="宋体" w:cs="宋体"/>
                <w:sz w:val="24"/>
              </w:rPr>
            </w:pPr>
          </w:p>
        </w:tc>
      </w:tr>
      <w:tr w14:paraId="29879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16" w:type="dxa"/>
            <w:vAlign w:val="center"/>
          </w:tcPr>
          <w:p w14:paraId="6B54C166">
            <w:pPr>
              <w:spacing w:line="480" w:lineRule="auto"/>
              <w:jc w:val="center"/>
              <w:rPr>
                <w:rFonts w:ascii="宋体" w:hAnsi="宋体" w:cs="宋体"/>
                <w:b/>
                <w:sz w:val="24"/>
              </w:rPr>
            </w:pPr>
            <w:r>
              <w:rPr>
                <w:rFonts w:hint="eastAsia" w:ascii="宋体" w:hAnsi="宋体" w:cs="宋体"/>
                <w:b/>
                <w:sz w:val="24"/>
              </w:rPr>
              <w:t>公司拥有资质证书或荣誉证书：</w:t>
            </w:r>
          </w:p>
        </w:tc>
        <w:tc>
          <w:tcPr>
            <w:tcW w:w="7328" w:type="dxa"/>
            <w:gridSpan w:val="3"/>
            <w:vAlign w:val="center"/>
          </w:tcPr>
          <w:p w14:paraId="736AE452">
            <w:pPr>
              <w:spacing w:line="480" w:lineRule="auto"/>
              <w:jc w:val="center"/>
              <w:rPr>
                <w:rFonts w:ascii="宋体" w:hAnsi="宋体" w:cs="宋体"/>
                <w:sz w:val="24"/>
              </w:rPr>
            </w:pPr>
          </w:p>
        </w:tc>
      </w:tr>
    </w:tbl>
    <w:p w14:paraId="7606D574">
      <w:pPr>
        <w:spacing w:line="360" w:lineRule="auto"/>
        <w:ind w:firstLine="482" w:firstLineChars="200"/>
        <w:rPr>
          <w:rFonts w:ascii="宋体" w:hAnsi="宋体" w:cs="宋体"/>
          <w:sz w:val="24"/>
        </w:rPr>
      </w:pPr>
      <w:r>
        <w:rPr>
          <w:rFonts w:hint="eastAsia" w:ascii="宋体" w:hAnsi="宋体" w:cs="宋体"/>
          <w:b/>
          <w:sz w:val="24"/>
        </w:rPr>
        <w:t>注：以文字简要介绍机构成立年限、资质情况、营业执照和经营许可证的批准时间、截止时间、经营状况、有关部门资信评价，办公地点、是否购买或租用、面积多少、办公条件、经营业绩、有无违反国家政策、法规情况，是否有过不良记录等内容概述。须附相关资质证书复印件(若有)。</w:t>
      </w:r>
    </w:p>
    <w:p w14:paraId="6D3FCEAC">
      <w:pPr>
        <w:spacing w:before="360" w:after="3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（电子签章）</w:t>
      </w:r>
    </w:p>
    <w:p w14:paraId="0AC373CD">
      <w:pPr>
        <w:spacing w:before="360" w:after="36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（签字或电子签章）</w:t>
      </w:r>
    </w:p>
    <w:p w14:paraId="59FAC3E1">
      <w:pPr>
        <w:spacing w:before="360" w:after="36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53BD0739">
      <w:pPr>
        <w:pStyle w:val="4"/>
        <w:rPr>
          <w:snapToGrid w:val="0"/>
        </w:rPr>
      </w:pPr>
      <w:r>
        <w:rPr>
          <w:rFonts w:hint="eastAsia" w:hAnsi="宋体" w:cs="宋体"/>
          <w:b w:val="0"/>
          <w:sz w:val="24"/>
          <w:szCs w:val="24"/>
        </w:rPr>
        <w:br w:type="page"/>
      </w:r>
      <w:bookmarkStart w:id="276" w:name="_Toc498367354"/>
      <w:bookmarkStart w:id="277" w:name="_Toc505612979"/>
      <w:bookmarkStart w:id="278" w:name="_Toc478053319"/>
      <w:bookmarkStart w:id="279" w:name="_Toc3176"/>
      <w:bookmarkStart w:id="280" w:name="_Toc498367356"/>
      <w:bookmarkStart w:id="281" w:name="_Toc505612981"/>
      <w:bookmarkStart w:id="282" w:name="_Toc498367358"/>
      <w:bookmarkStart w:id="283" w:name="_Toc505612983"/>
      <w:r>
        <w:rPr>
          <w:rFonts w:hint="eastAsia"/>
          <w:snapToGrid w:val="0"/>
        </w:rPr>
        <w:t>附件</w:t>
      </w:r>
      <w:r>
        <w:rPr>
          <w:rFonts w:hint="eastAsia"/>
          <w:snapToGrid w:val="0"/>
          <w:lang w:val="en-US" w:eastAsia="zh-CN"/>
        </w:rPr>
        <w:t>九</w:t>
      </w:r>
      <w:r>
        <w:rPr>
          <w:rFonts w:hint="eastAsia"/>
          <w:snapToGrid w:val="0"/>
        </w:rPr>
        <w:t>、</w:t>
      </w:r>
      <w:bookmarkEnd w:id="276"/>
      <w:bookmarkEnd w:id="277"/>
      <w:r>
        <w:rPr>
          <w:rFonts w:hint="eastAsia"/>
        </w:rPr>
        <w:t>售后服务承诺及保障措施</w:t>
      </w:r>
    </w:p>
    <w:p w14:paraId="55E2B3CF">
      <w:pPr>
        <w:spacing w:line="600" w:lineRule="exact"/>
        <w:rPr>
          <w:rFonts w:ascii="宋体" w:hAnsi="宋体"/>
          <w:sz w:val="24"/>
        </w:rPr>
      </w:pPr>
      <w:r>
        <w:rPr>
          <w:rFonts w:hint="eastAsia" w:ascii="宋体" w:hAnsi="宋体"/>
          <w:sz w:val="24"/>
        </w:rPr>
        <w:t>包含但不仅限于以下内容：</w:t>
      </w:r>
    </w:p>
    <w:p w14:paraId="33D96855">
      <w:pPr>
        <w:spacing w:line="600" w:lineRule="exact"/>
        <w:rPr>
          <w:rFonts w:ascii="宋体" w:hAnsi="宋体" w:cs="宋体"/>
          <w:sz w:val="24"/>
        </w:rPr>
      </w:pPr>
      <w:r>
        <w:rPr>
          <w:rFonts w:hint="eastAsia" w:ascii="宋体" w:hAnsi="宋体" w:cs="宋体"/>
          <w:sz w:val="24"/>
        </w:rPr>
        <w:t>（1）项目完成时限、质保期承诺；</w:t>
      </w:r>
    </w:p>
    <w:p w14:paraId="3F0CE300">
      <w:pPr>
        <w:spacing w:line="600" w:lineRule="exact"/>
        <w:rPr>
          <w:rFonts w:ascii="宋体" w:hAnsi="宋体" w:cs="宋体"/>
          <w:sz w:val="24"/>
        </w:rPr>
      </w:pPr>
      <w:r>
        <w:rPr>
          <w:rFonts w:hint="eastAsia" w:ascii="宋体" w:hAnsi="宋体" w:cs="宋体"/>
          <w:sz w:val="24"/>
        </w:rPr>
        <w:t>（2）售后服务内容、措施及承诺；</w:t>
      </w:r>
    </w:p>
    <w:p w14:paraId="66AF6A63">
      <w:pPr>
        <w:spacing w:line="600" w:lineRule="exact"/>
        <w:rPr>
          <w:rFonts w:ascii="宋体" w:hAnsi="宋体" w:cs="宋体"/>
          <w:sz w:val="24"/>
        </w:rPr>
      </w:pPr>
      <w:r>
        <w:rPr>
          <w:rFonts w:hint="eastAsia" w:ascii="宋体" w:hAnsi="宋体" w:cs="宋体"/>
          <w:sz w:val="24"/>
        </w:rPr>
        <w:t>（3）质量承诺及保证措施；</w:t>
      </w:r>
    </w:p>
    <w:p w14:paraId="6C4BAAB0">
      <w:pPr>
        <w:spacing w:line="600" w:lineRule="exact"/>
        <w:rPr>
          <w:rFonts w:ascii="宋体" w:hAnsi="宋体" w:cs="宋体"/>
          <w:sz w:val="24"/>
        </w:rPr>
      </w:pPr>
      <w:r>
        <w:rPr>
          <w:rFonts w:hint="eastAsia" w:ascii="宋体" w:hAnsi="宋体" w:cs="宋体"/>
          <w:sz w:val="24"/>
        </w:rPr>
        <w:t xml:space="preserve"> (4) 故障响应时间、设备巡检维护及措施。</w:t>
      </w:r>
    </w:p>
    <w:p w14:paraId="7DCD4DFB">
      <w:pPr>
        <w:spacing w:line="600" w:lineRule="exact"/>
        <w:rPr>
          <w:snapToGrid w:val="0"/>
        </w:rPr>
      </w:pPr>
      <w:r>
        <w:rPr>
          <w:rFonts w:hint="eastAsia" w:ascii="宋体" w:hAnsi="宋体" w:cs="宋体"/>
          <w:sz w:val="24"/>
        </w:rPr>
        <w:t>..........</w:t>
      </w:r>
    </w:p>
    <w:p w14:paraId="2637760E">
      <w:pPr>
        <w:pStyle w:val="4"/>
        <w:rPr>
          <w:snapToGrid w:val="0"/>
        </w:rPr>
      </w:pPr>
      <w:r>
        <w:rPr>
          <w:rFonts w:hint="eastAsia"/>
          <w:snapToGrid w:val="0"/>
        </w:rPr>
        <w:br w:type="page"/>
      </w:r>
      <w:bookmarkEnd w:id="278"/>
      <w:bookmarkEnd w:id="279"/>
      <w:bookmarkEnd w:id="280"/>
      <w:bookmarkEnd w:id="281"/>
      <w:r>
        <w:rPr>
          <w:rFonts w:hint="eastAsia"/>
          <w:snapToGrid w:val="0"/>
        </w:rPr>
        <w:t>附件十、履约承诺书</w:t>
      </w:r>
      <w:bookmarkEnd w:id="282"/>
      <w:bookmarkEnd w:id="283"/>
    </w:p>
    <w:p w14:paraId="5EB7847B">
      <w:pPr>
        <w:pStyle w:val="9"/>
        <w:spacing w:before="160"/>
        <w:ind w:firstLine="423"/>
        <w:rPr>
          <w:rFonts w:hAnsi="宋体"/>
        </w:rPr>
      </w:pPr>
    </w:p>
    <w:p w14:paraId="76EBF7C2">
      <w:pPr>
        <w:snapToGrid w:val="0"/>
        <w:spacing w:line="480" w:lineRule="exact"/>
        <w:ind w:right="56" w:firstLine="555"/>
        <w:rPr>
          <w:rFonts w:ascii="宋体" w:hAnsi="宋体"/>
          <w:b/>
          <w:sz w:val="24"/>
        </w:rPr>
      </w:pPr>
      <w:r>
        <w:rPr>
          <w:rFonts w:hint="eastAsia" w:ascii="宋体" w:hAnsi="宋体"/>
          <w:b/>
          <w:sz w:val="24"/>
        </w:rPr>
        <w:t>一、</w:t>
      </w:r>
      <w:r>
        <w:rPr>
          <w:rFonts w:ascii="宋体" w:hAnsi="宋体"/>
          <w:b/>
          <w:sz w:val="24"/>
        </w:rPr>
        <w:t>我单位</w:t>
      </w:r>
      <w:r>
        <w:rPr>
          <w:rFonts w:hint="eastAsia" w:ascii="宋体" w:hAnsi="宋体"/>
          <w:b/>
          <w:sz w:val="24"/>
        </w:rPr>
        <w:t>承诺：</w:t>
      </w:r>
    </w:p>
    <w:p w14:paraId="48F0AD03">
      <w:pPr>
        <w:snapToGrid w:val="0"/>
        <w:spacing w:line="480" w:lineRule="exact"/>
        <w:ind w:firstLine="555"/>
        <w:rPr>
          <w:rFonts w:ascii="宋体" w:hAnsi="宋体"/>
          <w:sz w:val="24"/>
        </w:rPr>
      </w:pPr>
      <w:r>
        <w:rPr>
          <w:rFonts w:hint="eastAsia" w:ascii="宋体" w:hAnsi="宋体"/>
          <w:sz w:val="24"/>
        </w:rPr>
        <w:t>(一)</w:t>
      </w:r>
      <w:r>
        <w:rPr>
          <w:rFonts w:ascii="宋体" w:hAnsi="宋体"/>
          <w:sz w:val="24"/>
        </w:rPr>
        <w:t>我单位已详细阅读</w:t>
      </w:r>
      <w:r>
        <w:rPr>
          <w:rFonts w:hint="eastAsia" w:ascii="宋体" w:hAnsi="宋体"/>
          <w:sz w:val="24"/>
        </w:rPr>
        <w:t>并</w:t>
      </w:r>
      <w:r>
        <w:rPr>
          <w:rFonts w:ascii="宋体" w:hAnsi="宋体"/>
          <w:sz w:val="24"/>
        </w:rPr>
        <w:t>完全理解</w:t>
      </w:r>
      <w:r>
        <w:rPr>
          <w:rFonts w:hint="eastAsia" w:ascii="宋体" w:hAnsi="宋体"/>
          <w:sz w:val="24"/>
        </w:rPr>
        <w:t>、</w:t>
      </w:r>
      <w:r>
        <w:rPr>
          <w:rFonts w:ascii="宋体" w:hAnsi="宋体"/>
          <w:sz w:val="24"/>
        </w:rPr>
        <w:t>同意</w:t>
      </w:r>
      <w:r>
        <w:rPr>
          <w:rFonts w:hint="eastAsia" w:ascii="宋体" w:hAnsi="宋体"/>
          <w:sz w:val="24"/>
        </w:rPr>
        <w:t>《竞争性谈判文件》的</w:t>
      </w:r>
      <w:r>
        <w:rPr>
          <w:rFonts w:ascii="宋体" w:hAnsi="宋体"/>
          <w:sz w:val="24"/>
        </w:rPr>
        <w:t>全部</w:t>
      </w:r>
      <w:r>
        <w:rPr>
          <w:rFonts w:hint="eastAsia" w:ascii="宋体" w:hAnsi="宋体"/>
          <w:sz w:val="24"/>
        </w:rPr>
        <w:t>内容</w:t>
      </w:r>
      <w:r>
        <w:rPr>
          <w:rFonts w:ascii="宋体" w:hAnsi="宋体"/>
          <w:sz w:val="24"/>
        </w:rPr>
        <w:t>，包括修改</w:t>
      </w:r>
      <w:r>
        <w:rPr>
          <w:rFonts w:hint="eastAsia" w:ascii="宋体" w:hAnsi="宋体"/>
          <w:sz w:val="24"/>
        </w:rPr>
        <w:t>补充</w:t>
      </w:r>
      <w:r>
        <w:rPr>
          <w:rFonts w:ascii="宋体" w:hAnsi="宋体"/>
          <w:sz w:val="24"/>
        </w:rPr>
        <w:t>文件以及全部参考资料和有关附件</w:t>
      </w:r>
      <w:r>
        <w:rPr>
          <w:rFonts w:hint="eastAsia" w:ascii="宋体" w:hAnsi="宋体"/>
          <w:sz w:val="24"/>
        </w:rPr>
        <w:t>；除在《竞争性谈判文件》规定期间内书面提出的</w:t>
      </w:r>
      <w:r>
        <w:rPr>
          <w:rFonts w:ascii="宋体" w:hAnsi="宋体"/>
          <w:sz w:val="24"/>
        </w:rPr>
        <w:t>疑问</w:t>
      </w:r>
      <w:r>
        <w:rPr>
          <w:rFonts w:hint="eastAsia" w:ascii="宋体" w:hAnsi="宋体"/>
          <w:sz w:val="24"/>
        </w:rPr>
        <w:t>外，</w:t>
      </w:r>
      <w:r>
        <w:rPr>
          <w:rFonts w:ascii="宋体" w:hAnsi="宋体"/>
          <w:sz w:val="24"/>
        </w:rPr>
        <w:t>我单位</w:t>
      </w:r>
      <w:r>
        <w:rPr>
          <w:rFonts w:hint="eastAsia" w:ascii="宋体" w:hAnsi="宋体"/>
          <w:sz w:val="24"/>
        </w:rPr>
        <w:t>严格按采购文件确定的技术及商务要求等履行</w:t>
      </w:r>
      <w:r>
        <w:rPr>
          <w:rFonts w:ascii="宋体" w:hAnsi="宋体"/>
          <w:sz w:val="24"/>
        </w:rPr>
        <w:t>。</w:t>
      </w:r>
    </w:p>
    <w:p w14:paraId="4AD246E4">
      <w:pPr>
        <w:tabs>
          <w:tab w:val="left" w:pos="9354"/>
        </w:tabs>
        <w:snapToGrid w:val="0"/>
        <w:spacing w:line="480" w:lineRule="exact"/>
        <w:ind w:firstLine="482" w:firstLineChars="200"/>
        <w:rPr>
          <w:rFonts w:ascii="宋体" w:hAnsi="宋体"/>
          <w:sz w:val="24"/>
        </w:rPr>
      </w:pPr>
      <w:r>
        <w:rPr>
          <w:rFonts w:hint="eastAsia" w:ascii="宋体" w:hAnsi="宋体"/>
          <w:sz w:val="24"/>
        </w:rPr>
        <w:t>(二)</w:t>
      </w:r>
      <w:r>
        <w:rPr>
          <w:rFonts w:ascii="宋体" w:hAnsi="宋体"/>
          <w:sz w:val="24"/>
        </w:rPr>
        <w:t>按</w:t>
      </w:r>
      <w:r>
        <w:rPr>
          <w:rFonts w:hint="eastAsia" w:ascii="宋体" w:hAnsi="宋体"/>
          <w:sz w:val="24"/>
        </w:rPr>
        <w:t>采购</w:t>
      </w:r>
      <w:r>
        <w:rPr>
          <w:rFonts w:ascii="宋体" w:hAnsi="宋体"/>
          <w:sz w:val="24"/>
        </w:rPr>
        <w:t>要求编制</w:t>
      </w:r>
      <w:r>
        <w:rPr>
          <w:rFonts w:hint="eastAsia" w:ascii="宋体" w:hAnsi="宋体"/>
          <w:sz w:val="24"/>
        </w:rPr>
        <w:t>谈判</w:t>
      </w:r>
      <w:r>
        <w:rPr>
          <w:rFonts w:ascii="宋体" w:hAnsi="宋体"/>
          <w:sz w:val="24"/>
        </w:rPr>
        <w:t>报价；我单位的</w:t>
      </w:r>
      <w:r>
        <w:rPr>
          <w:rFonts w:hint="eastAsia" w:ascii="宋体" w:hAnsi="宋体"/>
          <w:sz w:val="24"/>
        </w:rPr>
        <w:t>谈判</w:t>
      </w:r>
      <w:r>
        <w:rPr>
          <w:rFonts w:ascii="宋体" w:hAnsi="宋体"/>
          <w:sz w:val="24"/>
        </w:rPr>
        <w:t>报价</w:t>
      </w:r>
      <w:r>
        <w:rPr>
          <w:rFonts w:hint="eastAsia" w:ascii="宋体" w:hAnsi="宋体"/>
          <w:sz w:val="24"/>
        </w:rPr>
        <w:t>包括《竞争性谈判文件》所述报价组成的所有内容、并</w:t>
      </w:r>
      <w:r>
        <w:rPr>
          <w:rFonts w:ascii="宋体" w:hAnsi="宋体"/>
          <w:sz w:val="24"/>
        </w:rPr>
        <w:t>包括</w:t>
      </w:r>
      <w:r>
        <w:rPr>
          <w:rFonts w:hint="eastAsia" w:ascii="宋体" w:hAnsi="宋体"/>
          <w:sz w:val="24"/>
        </w:rPr>
        <w:t>《竞争性谈判文件》</w:t>
      </w:r>
      <w:r>
        <w:rPr>
          <w:rFonts w:ascii="宋体" w:hAnsi="宋体"/>
          <w:sz w:val="24"/>
        </w:rPr>
        <w:t>未列明而</w:t>
      </w:r>
      <w:r>
        <w:rPr>
          <w:rFonts w:hint="eastAsia" w:ascii="宋体" w:hAnsi="宋体"/>
          <w:sz w:val="24"/>
        </w:rPr>
        <w:t>与</w:t>
      </w:r>
      <w:r>
        <w:rPr>
          <w:rFonts w:ascii="宋体" w:hAnsi="宋体"/>
          <w:sz w:val="24"/>
        </w:rPr>
        <w:t>采购项目相关的、必须的</w:t>
      </w:r>
      <w:r>
        <w:rPr>
          <w:rFonts w:hint="eastAsia" w:ascii="宋体" w:hAnsi="宋体"/>
          <w:sz w:val="24"/>
        </w:rPr>
        <w:t>所有</w:t>
      </w:r>
      <w:r>
        <w:rPr>
          <w:rFonts w:ascii="宋体" w:hAnsi="宋体"/>
          <w:sz w:val="24"/>
        </w:rPr>
        <w:t>款项及费用</w:t>
      </w:r>
      <w:r>
        <w:rPr>
          <w:rFonts w:hint="eastAsia" w:ascii="宋体" w:hAnsi="宋体"/>
          <w:sz w:val="24"/>
        </w:rPr>
        <w:t>等达到交付使用及验收条件的所有一切风险、责任和义务的费用。</w:t>
      </w:r>
    </w:p>
    <w:p w14:paraId="4D7B136F">
      <w:pPr>
        <w:tabs>
          <w:tab w:val="left" w:pos="9354"/>
        </w:tabs>
        <w:snapToGrid w:val="0"/>
        <w:spacing w:line="480" w:lineRule="exact"/>
        <w:ind w:firstLine="482" w:firstLineChars="200"/>
        <w:rPr>
          <w:rFonts w:ascii="宋体" w:hAnsi="宋体"/>
          <w:sz w:val="24"/>
        </w:rPr>
      </w:pPr>
      <w:r>
        <w:rPr>
          <w:rFonts w:ascii="宋体" w:hAnsi="宋体"/>
          <w:sz w:val="24"/>
        </w:rPr>
        <w:t>我单位</w:t>
      </w:r>
      <w:r>
        <w:rPr>
          <w:rFonts w:hint="eastAsia" w:ascii="宋体" w:hAnsi="宋体"/>
          <w:sz w:val="24"/>
        </w:rPr>
        <w:t>确认本次谈判</w:t>
      </w:r>
      <w:r>
        <w:rPr>
          <w:rFonts w:ascii="宋体" w:hAnsi="宋体"/>
          <w:sz w:val="24"/>
        </w:rPr>
        <w:t>报价</w:t>
      </w:r>
      <w:r>
        <w:rPr>
          <w:rFonts w:hint="eastAsia" w:ascii="宋体" w:hAnsi="宋体"/>
          <w:sz w:val="24"/>
        </w:rPr>
        <w:t>未低于成本价，保证按《竞争性谈判文件》要求及谈判承诺的质量诚信履约。</w:t>
      </w:r>
    </w:p>
    <w:p w14:paraId="593ACBED">
      <w:pPr>
        <w:tabs>
          <w:tab w:val="left" w:pos="9354"/>
        </w:tabs>
        <w:snapToGrid w:val="0"/>
        <w:spacing w:line="480" w:lineRule="exact"/>
        <w:ind w:firstLine="482" w:firstLineChars="200"/>
        <w:rPr>
          <w:rFonts w:ascii="宋体" w:hAnsi="宋体"/>
          <w:sz w:val="24"/>
        </w:rPr>
      </w:pPr>
      <w:r>
        <w:rPr>
          <w:rFonts w:hint="eastAsia" w:ascii="宋体" w:hAnsi="宋体"/>
          <w:sz w:val="24"/>
        </w:rPr>
        <w:t>(三)</w:t>
      </w:r>
      <w:r>
        <w:rPr>
          <w:rFonts w:ascii="宋体" w:hAnsi="宋体"/>
          <w:sz w:val="24"/>
        </w:rPr>
        <w:t>我单位</w:t>
      </w:r>
      <w:r>
        <w:rPr>
          <w:rFonts w:hint="eastAsia" w:ascii="宋体" w:hAnsi="宋体"/>
          <w:sz w:val="24"/>
        </w:rPr>
        <w:t>保证在《竞争性谈判文件》要求的时间内按期、保质</w:t>
      </w:r>
      <w:r>
        <w:rPr>
          <w:rFonts w:ascii="宋体" w:hAnsi="宋体"/>
          <w:sz w:val="24"/>
        </w:rPr>
        <w:t>完成</w:t>
      </w:r>
      <w:r>
        <w:rPr>
          <w:rFonts w:hint="eastAsia" w:ascii="宋体" w:hAnsi="宋体"/>
          <w:sz w:val="24"/>
        </w:rPr>
        <w:t>成交项目。如</w:t>
      </w:r>
      <w:r>
        <w:rPr>
          <w:rFonts w:ascii="宋体" w:hAnsi="宋体"/>
          <w:sz w:val="24"/>
        </w:rPr>
        <w:t>我单位</w:t>
      </w:r>
      <w:r>
        <w:rPr>
          <w:rFonts w:hint="eastAsia" w:ascii="宋体" w:hAnsi="宋体"/>
          <w:sz w:val="24"/>
        </w:rPr>
        <w:t>成交，将在成交结果公示后，积极、主动的与采购单位联系合同签订事宜，合同签订中如有任何的问题，我单位保证及时书面反映情况，否则视为我单位责任、按违约处理。</w:t>
      </w:r>
    </w:p>
    <w:p w14:paraId="124BB952">
      <w:pPr>
        <w:tabs>
          <w:tab w:val="left" w:pos="9354"/>
        </w:tabs>
        <w:snapToGrid w:val="0"/>
        <w:spacing w:line="480" w:lineRule="exact"/>
        <w:ind w:firstLine="482" w:firstLineChars="200"/>
        <w:rPr>
          <w:rFonts w:ascii="宋体" w:hAnsi="宋体"/>
          <w:b/>
          <w:sz w:val="24"/>
        </w:rPr>
      </w:pPr>
      <w:r>
        <w:rPr>
          <w:rFonts w:hint="eastAsia" w:ascii="宋体" w:hAnsi="宋体"/>
          <w:b/>
          <w:sz w:val="24"/>
        </w:rPr>
        <w:t>二、</w:t>
      </w:r>
      <w:r>
        <w:rPr>
          <w:rFonts w:ascii="宋体" w:hAnsi="宋体"/>
          <w:b/>
          <w:sz w:val="24"/>
        </w:rPr>
        <w:t>我单位</w:t>
      </w:r>
      <w:r>
        <w:rPr>
          <w:rFonts w:hint="eastAsia" w:ascii="宋体" w:hAnsi="宋体"/>
          <w:b/>
          <w:sz w:val="24"/>
        </w:rPr>
        <w:t>承诺：</w:t>
      </w:r>
    </w:p>
    <w:p w14:paraId="0EFB381E">
      <w:pPr>
        <w:tabs>
          <w:tab w:val="left" w:pos="9354"/>
        </w:tabs>
        <w:snapToGrid w:val="0"/>
        <w:spacing w:line="480" w:lineRule="exact"/>
        <w:ind w:firstLine="482" w:firstLineChars="200"/>
        <w:rPr>
          <w:rFonts w:ascii="宋体" w:hAnsi="宋体"/>
          <w:sz w:val="24"/>
        </w:rPr>
      </w:pPr>
      <w:r>
        <w:rPr>
          <w:rFonts w:hint="eastAsia" w:ascii="宋体" w:hAnsi="宋体"/>
          <w:sz w:val="24"/>
        </w:rPr>
        <w:t>除法律规定的不可抗力因素外，</w:t>
      </w:r>
      <w:r>
        <w:rPr>
          <w:rFonts w:ascii="宋体" w:hAnsi="宋体"/>
          <w:sz w:val="24"/>
        </w:rPr>
        <w:t>我单位</w:t>
      </w:r>
      <w:r>
        <w:rPr>
          <w:rFonts w:hint="eastAsia" w:ascii="宋体" w:hAnsi="宋体"/>
          <w:sz w:val="24"/>
        </w:rPr>
        <w:t>成交后以任何理由(包括违背上述承诺的事项)提出不能满足《竞争性谈判文件》技术、交货（完工）期等要求或不能实现谈判承诺的或提出变更的，</w:t>
      </w:r>
      <w:r>
        <w:rPr>
          <w:rFonts w:ascii="宋体" w:hAnsi="宋体"/>
          <w:sz w:val="24"/>
        </w:rPr>
        <w:t>我单位</w:t>
      </w:r>
      <w:r>
        <w:rPr>
          <w:rFonts w:hint="eastAsia" w:ascii="宋体" w:hAnsi="宋体"/>
          <w:sz w:val="24"/>
        </w:rPr>
        <w:t>将无条件接受违约处理、并放弃</w:t>
      </w:r>
      <w:r>
        <w:rPr>
          <w:rFonts w:ascii="宋体" w:hAnsi="宋体"/>
          <w:sz w:val="24"/>
        </w:rPr>
        <w:t>我单位</w:t>
      </w:r>
      <w:r>
        <w:rPr>
          <w:rFonts w:hint="eastAsia" w:ascii="宋体" w:hAnsi="宋体"/>
          <w:sz w:val="24"/>
        </w:rPr>
        <w:t>成交资格。我单位知悉违约责任及其处理，并无条件接受：不退还谈判保证金，该保证金在扣除成交服务费后上缴国库；情节严重的，由财政部门列入不良行为记录名单，在一至三年内禁止参加政府采购活动，并予以通报，处以罚金，给采购单位及他人造成损失的，承担相应的赔偿责任。</w:t>
      </w:r>
    </w:p>
    <w:p w14:paraId="7565990F">
      <w:pPr>
        <w:tabs>
          <w:tab w:val="left" w:pos="9354"/>
        </w:tabs>
        <w:snapToGrid w:val="0"/>
        <w:spacing w:line="480" w:lineRule="exact"/>
        <w:ind w:firstLine="482" w:firstLineChars="200"/>
        <w:rPr>
          <w:rFonts w:ascii="宋体" w:hAnsi="宋体"/>
          <w:sz w:val="24"/>
        </w:rPr>
      </w:pPr>
    </w:p>
    <w:p w14:paraId="373DF335">
      <w:pPr>
        <w:tabs>
          <w:tab w:val="left" w:pos="9354"/>
        </w:tabs>
        <w:snapToGrid w:val="0"/>
        <w:spacing w:line="480" w:lineRule="exact"/>
        <w:ind w:firstLine="482" w:firstLineChars="200"/>
        <w:rPr>
          <w:rFonts w:ascii="宋体" w:hAnsi="宋体"/>
          <w:sz w:val="24"/>
        </w:rPr>
      </w:pPr>
    </w:p>
    <w:p w14:paraId="3800CA91">
      <w:pPr>
        <w:spacing w:before="360" w:after="3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（电子签章）</w:t>
      </w:r>
    </w:p>
    <w:p w14:paraId="5FE3D165">
      <w:pPr>
        <w:spacing w:before="360" w:after="36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（签字或电子签章）</w:t>
      </w:r>
    </w:p>
    <w:p w14:paraId="55CA9C6C">
      <w:pPr>
        <w:spacing w:before="360" w:after="36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57C06B2">
      <w:pPr>
        <w:spacing w:line="640" w:lineRule="exact"/>
        <w:rPr>
          <w:rFonts w:ascii="宋体" w:hAnsi="宋体" w:cs="宋体"/>
          <w:sz w:val="24"/>
        </w:rPr>
      </w:pPr>
    </w:p>
    <w:p w14:paraId="373E03EB">
      <w:pPr>
        <w:pStyle w:val="4"/>
        <w:rPr>
          <w:snapToGrid w:val="0"/>
        </w:rPr>
        <w:sectPr>
          <w:pgSz w:w="11906" w:h="16838"/>
          <w:pgMar w:top="1134" w:right="1304" w:bottom="1134" w:left="1304" w:header="510" w:footer="680" w:gutter="0"/>
          <w:pgNumType w:fmt="decimal"/>
          <w:cols w:space="720" w:num="1"/>
          <w:titlePg/>
          <w:docGrid w:type="linesAndChars" w:linePitch="320" w:charSpace="269"/>
        </w:sectPr>
      </w:pPr>
      <w:bookmarkStart w:id="284" w:name="_Toc498367359"/>
      <w:bookmarkStart w:id="285" w:name="_Toc505612984"/>
      <w:r>
        <w:rPr>
          <w:rFonts w:hint="eastAsia"/>
          <w:snapToGrid w:val="0"/>
        </w:rPr>
        <w:t>附件十</w:t>
      </w:r>
      <w:r>
        <w:rPr>
          <w:rFonts w:hint="eastAsia"/>
          <w:snapToGrid w:val="0"/>
          <w:lang w:val="en-US" w:eastAsia="zh-CN"/>
        </w:rPr>
        <w:t>一</w:t>
      </w:r>
      <w:r>
        <w:rPr>
          <w:rFonts w:hint="eastAsia"/>
          <w:snapToGrid w:val="0"/>
        </w:rPr>
        <w:t>、竞争性谈判文件中要求提供的其他资料以及供应商认为有利于获得本项目成交资格的其他材料或说明</w:t>
      </w:r>
      <w:bookmarkEnd w:id="284"/>
      <w:bookmarkEnd w:id="285"/>
      <w:bookmarkStart w:id="286" w:name="_Toc86124091"/>
    </w:p>
    <w:p w14:paraId="0A0B1123">
      <w:pPr>
        <w:spacing w:line="588" w:lineRule="exact"/>
        <w:rPr>
          <w:rFonts w:eastAsia="仿宋_GB2312"/>
          <w:spacing w:val="6"/>
          <w:sz w:val="30"/>
          <w:szCs w:val="30"/>
          <w:shd w:val="clear" w:color="auto" w:fill="FFFFFF"/>
        </w:rPr>
      </w:pPr>
      <w:r>
        <w:rPr>
          <w:rFonts w:hint="eastAsia" w:eastAsia="仿宋_GB2312"/>
          <w:spacing w:val="6"/>
          <w:sz w:val="30"/>
          <w:szCs w:val="30"/>
          <w:shd w:val="clear" w:color="auto" w:fill="FFFFFF"/>
        </w:rPr>
        <w:t>附1：</w:t>
      </w:r>
    </w:p>
    <w:p w14:paraId="29C3AE27">
      <w:pPr>
        <w:spacing w:line="480" w:lineRule="exact"/>
        <w:jc w:val="center"/>
        <w:rPr>
          <w:rFonts w:ascii="仿宋_GB2312" w:eastAsia="仿宋_GB2312"/>
          <w:b/>
          <w:spacing w:val="6"/>
          <w:sz w:val="44"/>
          <w:szCs w:val="30"/>
        </w:rPr>
      </w:pPr>
      <w:r>
        <w:rPr>
          <w:rFonts w:hint="eastAsia" w:ascii="仿宋_GB2312" w:eastAsia="仿宋_GB2312"/>
          <w:b/>
          <w:spacing w:val="6"/>
          <w:sz w:val="44"/>
          <w:szCs w:val="30"/>
        </w:rPr>
        <w:t>中小企业声明函（服务、工程）</w:t>
      </w:r>
    </w:p>
    <w:p w14:paraId="56C332A8">
      <w:pPr>
        <w:spacing w:line="480" w:lineRule="exact"/>
        <w:jc w:val="center"/>
        <w:rPr>
          <w:rFonts w:ascii="仿宋_GB2312" w:eastAsia="仿宋_GB2312"/>
          <w:b/>
          <w:spacing w:val="6"/>
          <w:sz w:val="44"/>
          <w:szCs w:val="30"/>
        </w:rPr>
      </w:pPr>
    </w:p>
    <w:p w14:paraId="59A27C71">
      <w:pPr>
        <w:spacing w:line="588" w:lineRule="exact"/>
        <w:rPr>
          <w:rFonts w:hint="eastAsia" w:ascii="仿宋" w:hAnsi="仿宋" w:eastAsia="仿宋" w:cs="仿宋"/>
          <w:color w:val="000000"/>
          <w:sz w:val="28"/>
          <w:szCs w:val="28"/>
          <w:shd w:val="clear" w:color="auto" w:fill="FFFFFF"/>
        </w:rPr>
      </w:pPr>
      <w:r>
        <w:rPr>
          <w:rFonts w:hint="eastAsia" w:ascii="仿宋_GB2312" w:eastAsia="仿宋_GB2312"/>
          <w:spacing w:val="6"/>
          <w:sz w:val="30"/>
          <w:szCs w:val="30"/>
        </w:rPr>
        <w:t xml:space="preserve">   </w:t>
      </w:r>
      <w:r>
        <w:rPr>
          <w:rFonts w:hint="eastAsia" w:ascii="仿宋" w:hAnsi="仿宋" w:eastAsia="仿宋" w:cs="仿宋"/>
          <w:color w:val="000000"/>
          <w:sz w:val="28"/>
          <w:szCs w:val="28"/>
          <w:shd w:val="clear" w:color="auto" w:fill="FFFFFF"/>
        </w:rPr>
        <w:t>本公司（联合体）郑重声明，根据《政府采购促进中小企业发展管理办法》（财库﹝2020﹞46 号）、《关于进一步加大政府采购支持中小企业力度的通知》（财库〔2022〕19号）的规定，本公司（联合体）参加（单位名称）的（项目名称）   标段采购活动，提供的货物全部由符合政策要求的中小企业制造。相关企业（含联合体中的中小企业、签订分包意向协议的中小企业）的具体情况如下：</w:t>
      </w:r>
    </w:p>
    <w:p w14:paraId="48F44975">
      <w:pPr>
        <w:spacing w:line="588" w:lineRule="exac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1. </w:t>
      </w: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 xml:space="preserve"> ，属于  工业  ；制造商为（企业名称），从业人员    人，营业收入为    万元，资产总额为     万元，属于（中型企业、小型企业、微型企业）；</w:t>
      </w:r>
    </w:p>
    <w:p w14:paraId="00BED094">
      <w:pPr>
        <w:spacing w:line="588" w:lineRule="exac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2. </w:t>
      </w:r>
      <w:r>
        <w:rPr>
          <w:rFonts w:hint="eastAsia" w:ascii="仿宋" w:hAnsi="仿宋" w:eastAsia="仿宋" w:cs="仿宋"/>
          <w:color w:val="000000"/>
          <w:sz w:val="28"/>
          <w:szCs w:val="28"/>
          <w:shd w:val="clear" w:color="auto" w:fill="FFFFFF"/>
          <w:lang w:val="en-US" w:eastAsia="zh-CN"/>
        </w:rPr>
        <w:t xml:space="preserve">      </w:t>
      </w:r>
      <w:r>
        <w:rPr>
          <w:rFonts w:hint="eastAsia" w:ascii="仿宋" w:hAnsi="仿宋" w:eastAsia="仿宋" w:cs="仿宋"/>
          <w:color w:val="000000"/>
          <w:sz w:val="28"/>
          <w:szCs w:val="28"/>
          <w:shd w:val="clear" w:color="auto" w:fill="FFFFFF"/>
        </w:rPr>
        <w:t xml:space="preserve"> ，属于  工业  ；制造商为（企业名称），从业人员    人，营业收入为    万元，资产总额为     万元，属于（中型企业、小型企业、微型企业）；</w:t>
      </w:r>
    </w:p>
    <w:p w14:paraId="3ECE6E96">
      <w:pPr>
        <w:spacing w:line="588" w:lineRule="exac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w:t>
      </w:r>
    </w:p>
    <w:p w14:paraId="473D4AB3">
      <w:pPr>
        <w:spacing w:line="588" w:lineRule="exac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以上企业，不属于大企业的分支机构，不存在控股股东为大企业的情形，也不存在与大企业的负责人为同一人的情形。</w:t>
      </w:r>
    </w:p>
    <w:p w14:paraId="0F4BA916">
      <w:pPr>
        <w:spacing w:line="588" w:lineRule="exac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本企业对上述声明内容的真实性负责。如有虚假，将依法承担相应责任。</w:t>
      </w:r>
    </w:p>
    <w:p w14:paraId="018AB5A0">
      <w:pPr>
        <w:spacing w:line="588" w:lineRule="exac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企业名称（电子签章）：</w:t>
      </w:r>
    </w:p>
    <w:p w14:paraId="6771EB0D">
      <w:pPr>
        <w:spacing w:line="588" w:lineRule="exac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xml:space="preserve">                      日期：</w:t>
      </w:r>
    </w:p>
    <w:p w14:paraId="5CCA4D49">
      <w:pPr>
        <w:spacing w:line="480" w:lineRule="exact"/>
        <w:rPr>
          <w:rFonts w:ascii="仿宋_GB2312" w:eastAsia="仿宋_GB2312"/>
          <w:spacing w:val="6"/>
          <w:sz w:val="28"/>
          <w:szCs w:val="28"/>
        </w:rPr>
      </w:pPr>
    </w:p>
    <w:p w14:paraId="12CC4AC4">
      <w:pPr>
        <w:spacing w:line="588" w:lineRule="exact"/>
        <w:rPr>
          <w:rFonts w:ascii="仿宋_GB2312" w:eastAsia="仿宋_GB2312"/>
          <w:spacing w:val="6"/>
          <w:sz w:val="30"/>
          <w:szCs w:val="30"/>
        </w:rPr>
      </w:pPr>
      <w:r>
        <w:rPr>
          <w:rFonts w:hint="eastAsia" w:ascii="仿宋_GB2312" w:eastAsia="仿宋_GB2312"/>
          <w:b/>
          <w:bCs/>
          <w:spacing w:val="6"/>
          <w:sz w:val="28"/>
          <w:szCs w:val="28"/>
        </w:rPr>
        <w:t>注：1.从业人员、营业收入、资产总额填报上一年度数据，无上一年度数据的新成立企业可不填报。</w:t>
      </w:r>
    </w:p>
    <w:p w14:paraId="3A465869">
      <w:pPr>
        <w:spacing w:line="588" w:lineRule="exact"/>
        <w:ind w:firstLine="586" w:firstLineChars="200"/>
        <w:rPr>
          <w:rFonts w:ascii="仿宋_GB2312" w:eastAsia="仿宋_GB2312"/>
          <w:b/>
          <w:spacing w:val="6"/>
          <w:sz w:val="30"/>
          <w:szCs w:val="30"/>
        </w:rPr>
      </w:pPr>
      <w:r>
        <w:rPr>
          <w:rFonts w:hint="eastAsia" w:ascii="仿宋_GB2312" w:eastAsia="仿宋_GB2312"/>
          <w:b/>
          <w:spacing w:val="6"/>
          <w:sz w:val="28"/>
          <w:szCs w:val="28"/>
        </w:rPr>
        <w:t>2.请符合文件规定的投标人如实填写，否则不予认可，并对其真实性负责；若不符合，此格式不必填写，可以不保留格式。</w:t>
      </w:r>
    </w:p>
    <w:p w14:paraId="637AD98B">
      <w:pPr>
        <w:spacing w:line="588" w:lineRule="exact"/>
        <w:rPr>
          <w:rFonts w:ascii="仿宋" w:hAnsi="仿宋" w:eastAsia="仿宋" w:cs="仿宋"/>
          <w:color w:val="000000"/>
          <w:sz w:val="28"/>
          <w:szCs w:val="28"/>
          <w:shd w:val="clear" w:color="auto" w:fill="FFFFFF"/>
        </w:rPr>
      </w:pPr>
    </w:p>
    <w:p w14:paraId="324145AF">
      <w:pPr>
        <w:spacing w:line="588" w:lineRule="exact"/>
        <w:jc w:val="center"/>
        <w:rPr>
          <w:rFonts w:ascii="仿宋" w:hAnsi="仿宋" w:eastAsia="仿宋" w:cs="仿宋"/>
          <w:color w:val="000000"/>
          <w:sz w:val="28"/>
          <w:szCs w:val="28"/>
          <w:shd w:val="clear" w:color="auto" w:fill="FFFFFF"/>
        </w:rPr>
      </w:pPr>
      <w:r>
        <w:rPr>
          <w:rFonts w:hint="eastAsia" w:ascii="仿宋" w:hAnsi="仿宋" w:eastAsia="仿宋" w:cs="仿宋"/>
          <w:b/>
          <w:bCs/>
          <w:color w:val="000000"/>
          <w:sz w:val="28"/>
          <w:szCs w:val="28"/>
          <w:shd w:val="clear" w:color="auto" w:fill="FFFFFF"/>
        </w:rPr>
        <w:t>中小企业划型标准规定</w:t>
      </w:r>
    </w:p>
    <w:p w14:paraId="2A3E2C47">
      <w:pPr>
        <w:spacing w:line="588" w:lineRule="exac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一、根据《中华人民共和国中小企业促进法》和《国务院关于进一步促进中小企业发展的若干意见》（国发〔2009〕36号），制定本规定。</w:t>
      </w:r>
    </w:p>
    <w:p w14:paraId="16C7165C">
      <w:pPr>
        <w:spacing w:line="588" w:lineRule="exac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二、中小企业划分为中型、小型、微型三种类型，具体标准根据企业从业人员、营业收入、资产总额等指标，结合行业特点制定。</w:t>
      </w:r>
    </w:p>
    <w:p w14:paraId="730FC993">
      <w:pPr>
        <w:spacing w:line="588" w:lineRule="exact"/>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000F14A4">
      <w:pPr>
        <w:spacing w:line="588" w:lineRule="exact"/>
        <w:ind w:firstLine="560"/>
        <w:rPr>
          <w:rFonts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四、各行业划型标准为：</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000000"/>
          <w:sz w:val="28"/>
          <w:szCs w:val="28"/>
          <w:shd w:val="clear" w:color="auto" w:fill="FFFFFF"/>
        </w:rPr>
        <w:br w:type="textWrapping"/>
      </w:r>
      <w:r>
        <w:rPr>
          <w:rFonts w:hint="eastAsia" w:ascii="仿宋" w:hAnsi="仿宋" w:eastAsia="仿宋" w:cs="仿宋"/>
          <w:color w:val="000000"/>
          <w:sz w:val="28"/>
          <w:szCs w:val="28"/>
          <w:shd w:val="clear" w:color="auto" w:fill="FFFFFF"/>
        </w:rPr>
        <w:t>　　（十六）其他未列明行业。从业人员300人以下的为中小微型企业。其中，从业人员100人及以上的为中型企业；从业人员10人及以上的为小型企业；从业人员10人以下的为微型企业。</w:t>
      </w:r>
    </w:p>
    <w:p w14:paraId="3C8D4FE8">
      <w:pPr>
        <w:spacing w:line="588" w:lineRule="exact"/>
        <w:ind w:firstLine="560"/>
        <w:rPr>
          <w:rFonts w:hAnsi="宋体"/>
          <w:b/>
          <w:sz w:val="24"/>
        </w:rPr>
      </w:pPr>
      <w:r>
        <w:rPr>
          <w:rFonts w:hint="eastAsia" w:ascii="宋体" w:hAnsi="宋体" w:cs="宋体"/>
          <w:b/>
          <w:bCs/>
          <w:sz w:val="28"/>
          <w:szCs w:val="36"/>
          <w:shd w:val="clear" w:color="auto" w:fill="FFFFFF"/>
        </w:rPr>
        <w:t>注：各供应商在填写《中小企业声明函》时，其企业划型标准严格按照“根据《关于印发中小企业划型标准规定的通知》（工信部联企业〔2011〕300号）的规定”填写，杜绝出现企业划分类型与年度数据不匹配的情况出现</w:t>
      </w:r>
      <w:r>
        <w:rPr>
          <w:rFonts w:hint="eastAsia" w:ascii="仿宋" w:hAnsi="仿宋" w:eastAsia="仿宋" w:cs="仿宋"/>
          <w:color w:val="000000"/>
          <w:sz w:val="28"/>
          <w:szCs w:val="28"/>
          <w:shd w:val="clear" w:color="auto" w:fill="FFFFFF"/>
        </w:rPr>
        <w:t>。</w:t>
      </w:r>
      <w:r>
        <w:rPr>
          <w:rFonts w:ascii="宋体" w:hAnsi="宋体"/>
        </w:rPr>
        <w:br w:type="page"/>
      </w:r>
      <w:r>
        <w:rPr>
          <w:rFonts w:hint="eastAsia" w:ascii="仿宋_GB2312" w:eastAsia="仿宋_GB2312"/>
          <w:bCs/>
          <w:spacing w:val="6"/>
          <w:sz w:val="30"/>
          <w:szCs w:val="30"/>
        </w:rPr>
        <w:t>附2：</w:t>
      </w:r>
    </w:p>
    <w:p w14:paraId="698BEEA2">
      <w:pPr>
        <w:spacing w:line="588" w:lineRule="exact"/>
        <w:jc w:val="center"/>
        <w:rPr>
          <w:rFonts w:ascii="仿宋_GB2312" w:eastAsia="仿宋_GB2312"/>
          <w:b/>
          <w:spacing w:val="6"/>
          <w:sz w:val="32"/>
          <w:szCs w:val="32"/>
          <w:shd w:val="clear" w:color="auto" w:fill="FFFFFF"/>
        </w:rPr>
      </w:pPr>
      <w:r>
        <w:rPr>
          <w:rFonts w:hint="eastAsia" w:ascii="仿宋_GB2312" w:eastAsia="仿宋_GB2312"/>
          <w:b/>
          <w:spacing w:val="6"/>
          <w:sz w:val="32"/>
          <w:szCs w:val="32"/>
          <w:shd w:val="clear" w:color="auto" w:fill="FFFFFF"/>
        </w:rPr>
        <w:t>残疾人福利性单位声明函</w:t>
      </w:r>
    </w:p>
    <w:p w14:paraId="2109B2F8">
      <w:pPr>
        <w:spacing w:line="588" w:lineRule="exact"/>
        <w:rPr>
          <w:rFonts w:ascii="仿宋_GB2312" w:eastAsia="仿宋_GB2312"/>
          <w:b/>
          <w:spacing w:val="6"/>
          <w:sz w:val="30"/>
          <w:szCs w:val="30"/>
          <w:shd w:val="clear" w:color="auto" w:fill="FFFFFF"/>
        </w:rPr>
      </w:pPr>
    </w:p>
    <w:p w14:paraId="7D4CC6B1">
      <w:pPr>
        <w:spacing w:line="588" w:lineRule="exact"/>
        <w:ind w:firstLine="626" w:firstLineChars="200"/>
        <w:rPr>
          <w:rFonts w:ascii="仿宋_GB2312" w:eastAsia="仿宋_GB2312"/>
          <w:spacing w:val="6"/>
          <w:sz w:val="30"/>
          <w:szCs w:val="30"/>
          <w:shd w:val="clear" w:color="auto" w:fill="FFFFFF"/>
        </w:rPr>
      </w:pPr>
      <w:r>
        <w:rPr>
          <w:rFonts w:hint="eastAsia" w:ascii="仿宋_GB2312" w:eastAsia="仿宋_GB2312"/>
          <w:spacing w:val="6"/>
          <w:sz w:val="30"/>
          <w:szCs w:val="30"/>
          <w:shd w:val="clear" w:color="auto" w:fill="FFFFFF"/>
        </w:rPr>
        <w:t>本单位郑重声明，根据《财政部 民政部 中国残疾人联合会关于促进残疾人就业政府采购政策的通知》（财库</w:t>
      </w:r>
      <w:r>
        <w:rPr>
          <w:rFonts w:hint="eastAsia" w:ascii="仿宋_GB2312" w:eastAsia="仿宋_GB2312"/>
          <w:sz w:val="32"/>
          <w:szCs w:val="32"/>
          <w:shd w:val="clear" w:color="auto" w:fill="FFFFFF"/>
        </w:rPr>
        <w:t>〔2017〕 141</w:t>
      </w:r>
      <w:r>
        <w:rPr>
          <w:rFonts w:hint="eastAsia" w:ascii="仿宋_GB2312" w:eastAsia="仿宋_GB2312"/>
          <w:spacing w:val="6"/>
          <w:sz w:val="30"/>
          <w:szCs w:val="30"/>
          <w:shd w:val="clear" w:color="auto" w:fill="FFFFFF"/>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22E09C">
      <w:pPr>
        <w:spacing w:line="588" w:lineRule="exact"/>
        <w:ind w:firstLine="626" w:firstLineChars="200"/>
        <w:rPr>
          <w:rFonts w:ascii="仿宋_GB2312" w:eastAsia="仿宋_GB2312"/>
          <w:spacing w:val="6"/>
          <w:sz w:val="30"/>
          <w:szCs w:val="30"/>
          <w:shd w:val="clear" w:color="auto" w:fill="FFFFFF"/>
        </w:rPr>
      </w:pPr>
      <w:r>
        <w:rPr>
          <w:rFonts w:hint="eastAsia" w:ascii="仿宋_GB2312" w:eastAsia="仿宋_GB2312"/>
          <w:spacing w:val="6"/>
          <w:sz w:val="30"/>
          <w:szCs w:val="30"/>
          <w:shd w:val="clear" w:color="auto" w:fill="FFFFFF"/>
        </w:rPr>
        <w:t>本单位对上述声明的真实性负责。如有虚假，将依法承担相应责任。</w:t>
      </w:r>
    </w:p>
    <w:p w14:paraId="2F55A7FF">
      <w:pPr>
        <w:tabs>
          <w:tab w:val="left" w:pos="4860"/>
        </w:tabs>
        <w:snapToGrid w:val="0"/>
        <w:spacing w:line="600" w:lineRule="exact"/>
        <w:ind w:right="1560" w:firstLine="626" w:firstLineChars="200"/>
        <w:jc w:val="center"/>
        <w:textAlignment w:val="baseline"/>
        <w:rPr>
          <w:rFonts w:ascii="仿宋_GB2312" w:eastAsia="仿宋_GB2312"/>
          <w:spacing w:val="6"/>
          <w:sz w:val="30"/>
          <w:szCs w:val="30"/>
          <w:shd w:val="clear" w:color="auto" w:fill="FFFFFF"/>
        </w:rPr>
      </w:pPr>
    </w:p>
    <w:p w14:paraId="573A7515">
      <w:pPr>
        <w:tabs>
          <w:tab w:val="left" w:pos="4860"/>
        </w:tabs>
        <w:snapToGrid w:val="0"/>
        <w:spacing w:line="600" w:lineRule="exact"/>
        <w:ind w:right="1560" w:firstLine="626" w:firstLineChars="200"/>
        <w:jc w:val="center"/>
        <w:textAlignment w:val="baseline"/>
        <w:rPr>
          <w:rFonts w:ascii="仿宋_GB2312" w:eastAsia="仿宋_GB2312"/>
          <w:spacing w:val="6"/>
          <w:sz w:val="30"/>
          <w:szCs w:val="30"/>
          <w:shd w:val="clear" w:color="auto" w:fill="FFFFFF"/>
        </w:rPr>
      </w:pPr>
      <w:r>
        <w:rPr>
          <w:rFonts w:hint="eastAsia" w:ascii="仿宋_GB2312" w:eastAsia="仿宋_GB2312"/>
          <w:spacing w:val="6"/>
          <w:sz w:val="30"/>
          <w:szCs w:val="30"/>
          <w:shd w:val="clear" w:color="auto" w:fill="FFFFFF"/>
        </w:rPr>
        <w:t>单位名称（电子签章）：</w:t>
      </w:r>
    </w:p>
    <w:p w14:paraId="78B895C8">
      <w:pPr>
        <w:tabs>
          <w:tab w:val="left" w:pos="4860"/>
        </w:tabs>
        <w:snapToGrid w:val="0"/>
        <w:spacing w:line="600" w:lineRule="exact"/>
        <w:ind w:right="1560" w:firstLine="626" w:firstLineChars="200"/>
        <w:jc w:val="center"/>
        <w:textAlignment w:val="baseline"/>
        <w:rPr>
          <w:rFonts w:ascii="宋体" w:hAnsi="宋体"/>
          <w:b/>
          <w:spacing w:val="6"/>
          <w:sz w:val="24"/>
        </w:rPr>
      </w:pPr>
      <w:r>
        <w:rPr>
          <w:rFonts w:hint="eastAsia" w:ascii="仿宋_GB2312" w:eastAsia="仿宋_GB2312"/>
          <w:spacing w:val="6"/>
          <w:sz w:val="30"/>
          <w:szCs w:val="30"/>
          <w:shd w:val="clear" w:color="auto" w:fill="FFFFFF"/>
        </w:rPr>
        <w:t>日  期：</w:t>
      </w:r>
    </w:p>
    <w:p w14:paraId="271AE943">
      <w:pPr>
        <w:spacing w:line="588" w:lineRule="exact"/>
        <w:ind w:firstLine="506" w:firstLineChars="200"/>
        <w:rPr>
          <w:rFonts w:ascii="宋体" w:hAnsi="宋体"/>
          <w:b/>
          <w:spacing w:val="6"/>
          <w:sz w:val="24"/>
        </w:rPr>
      </w:pPr>
      <w:r>
        <w:rPr>
          <w:rFonts w:hint="eastAsia" w:ascii="宋体" w:hAnsi="宋体"/>
          <w:b/>
          <w:spacing w:val="6"/>
          <w:sz w:val="24"/>
        </w:rPr>
        <w:t>注：1.符合条件的残疾人福利性单位在参加政府采购活动时，应按《财政部 民政部 中国残疾人联合会关于促进残疾人就业政府采购政策的通知》（财库〔2017〕 141号）提供声明函，并对声明的真实性负责。任何单位或者个人在政府采购活动中均不得要求残疾人福利性单位提供其他证明声明函内容的材料。</w:t>
      </w:r>
    </w:p>
    <w:p w14:paraId="63895ED4">
      <w:pPr>
        <w:spacing w:line="588" w:lineRule="exact"/>
        <w:ind w:firstLine="506" w:firstLineChars="200"/>
        <w:rPr>
          <w:rFonts w:ascii="仿宋_GB2312" w:eastAsia="仿宋_GB2312"/>
          <w:b/>
          <w:spacing w:val="6"/>
          <w:sz w:val="30"/>
          <w:szCs w:val="30"/>
          <w:shd w:val="clear" w:color="auto" w:fill="FFFFFF"/>
        </w:rPr>
      </w:pPr>
      <w:r>
        <w:rPr>
          <w:rFonts w:hint="eastAsia" w:ascii="宋体" w:hAnsi="宋体"/>
          <w:b/>
          <w:spacing w:val="6"/>
          <w:sz w:val="24"/>
        </w:rPr>
        <w:t>2.根据《关于促进残疾人就业政府采购政策的通知》财库〔2017〕141号 二、在政府采购活动中，监狱企业视同小型、微型企业，享受预留份额、评审中价格扣除等政府采购促进中小企业发展的政府采购政策。向监狱企业采购的金额，计入面向中小企业采购的统计数据。）。</w:t>
      </w:r>
    </w:p>
    <w:p w14:paraId="3343B2F1">
      <w:pPr>
        <w:spacing w:line="600" w:lineRule="exact"/>
        <w:jc w:val="left"/>
        <w:rPr>
          <w:rFonts w:ascii="仿宋_GB2312" w:eastAsia="仿宋_GB2312"/>
          <w:b/>
          <w:spacing w:val="6"/>
          <w:sz w:val="30"/>
          <w:szCs w:val="30"/>
        </w:rPr>
      </w:pPr>
    </w:p>
    <w:p w14:paraId="42346131">
      <w:pPr>
        <w:spacing w:line="600" w:lineRule="exact"/>
        <w:rPr>
          <w:rFonts w:eastAsia="仿宋_GB2312"/>
          <w:spacing w:val="6"/>
          <w:sz w:val="30"/>
          <w:szCs w:val="30"/>
          <w:shd w:val="clear" w:color="auto" w:fill="FFFFFF"/>
        </w:rPr>
      </w:pPr>
      <w:r>
        <w:rPr>
          <w:rFonts w:ascii="仿宋_GB2312" w:eastAsia="仿宋_GB2312"/>
          <w:spacing w:val="6"/>
          <w:sz w:val="30"/>
          <w:szCs w:val="30"/>
          <w:shd w:val="clear" w:color="auto" w:fill="FFFFFF"/>
        </w:rPr>
        <w:br w:type="page"/>
      </w:r>
      <w:r>
        <w:rPr>
          <w:rFonts w:hint="eastAsia" w:ascii="仿宋_GB2312" w:eastAsia="仿宋_GB2312"/>
          <w:bCs/>
          <w:spacing w:val="6"/>
          <w:sz w:val="30"/>
          <w:szCs w:val="30"/>
        </w:rPr>
        <w:t>附3：</w:t>
      </w:r>
    </w:p>
    <w:p w14:paraId="7F29882A">
      <w:pPr>
        <w:rPr>
          <w:rFonts w:eastAsia="仿宋_GB2312"/>
          <w:b/>
          <w:spacing w:val="6"/>
          <w:sz w:val="30"/>
          <w:szCs w:val="30"/>
          <w:shd w:val="clear" w:color="auto" w:fill="FFFFFF"/>
        </w:rPr>
      </w:pPr>
      <w:r>
        <w:rPr>
          <w:rFonts w:hint="eastAsia" w:eastAsia="仿宋_GB2312"/>
          <w:b/>
          <w:spacing w:val="6"/>
          <w:sz w:val="30"/>
          <w:szCs w:val="30"/>
          <w:shd w:val="clear" w:color="auto" w:fill="FFFFFF"/>
        </w:rPr>
        <w:t xml:space="preserve">    </w:t>
      </w:r>
    </w:p>
    <w:p w14:paraId="2C003066">
      <w:pPr>
        <w:jc w:val="center"/>
      </w:pPr>
      <w:r>
        <w:rPr>
          <w:rFonts w:hint="eastAsia" w:eastAsia="仿宋_GB2312"/>
          <w:b/>
          <w:spacing w:val="6"/>
          <w:sz w:val="30"/>
          <w:szCs w:val="30"/>
          <w:shd w:val="clear" w:color="auto" w:fill="FFFFFF"/>
        </w:rPr>
        <w:t>若符合财政文件关于监狱企业规定的，请提供相应证明材料。</w:t>
      </w:r>
    </w:p>
    <w:p w14:paraId="2B632EF9">
      <w:pPr>
        <w:spacing w:line="480" w:lineRule="exact"/>
        <w:jc w:val="left"/>
        <w:rPr>
          <w:rFonts w:ascii="仿宋_GB2312" w:eastAsia="仿宋_GB2312"/>
          <w:spacing w:val="6"/>
          <w:sz w:val="30"/>
          <w:szCs w:val="30"/>
          <w:shd w:val="clear" w:color="auto" w:fill="FFFFFF"/>
        </w:rPr>
      </w:pPr>
    </w:p>
    <w:p w14:paraId="43FB4F33">
      <w:pPr>
        <w:spacing w:line="360" w:lineRule="auto"/>
        <w:rPr>
          <w:rFonts w:ascii="宋体" w:hAnsi="宋体" w:cs="宋体"/>
          <w:sz w:val="24"/>
          <w:shd w:val="clear" w:color="auto" w:fill="FFFFFF"/>
        </w:rPr>
      </w:pPr>
      <w:r>
        <w:rPr>
          <w:rFonts w:hint="eastAsia" w:ascii="仿宋_GB2312" w:eastAsia="仿宋_GB2312"/>
          <w:spacing w:val="6"/>
          <w:sz w:val="28"/>
          <w:szCs w:val="28"/>
          <w:shd w:val="clear" w:color="auto" w:fill="FFFFFF"/>
        </w:rPr>
        <w:t>注：根据《财政部 司法部关于政府采购支持监狱企业发展有关问题的通知》财库〔2014〕68号 二、在政府采购活动中，监狱企业视同小型、微型企业，享受预留份额、评审中价格扣除等政府采购促进中小企业发展的政府采购政策。向监狱企业采购的金额，计入面向中小企业采购的统计数据。</w:t>
      </w:r>
    </w:p>
    <w:p w14:paraId="15AA9EAA">
      <w:pPr>
        <w:rPr>
          <w:rFonts w:ascii="宋体" w:hAnsi="宋体" w:cs="宋体"/>
          <w:b/>
          <w:sz w:val="24"/>
          <w:shd w:val="clear" w:color="auto" w:fill="FFFFFF"/>
        </w:rPr>
      </w:pPr>
      <w:r>
        <w:rPr>
          <w:rFonts w:hint="eastAsia" w:ascii="宋体" w:hAnsi="宋体" w:cs="宋体"/>
          <w:b/>
          <w:sz w:val="24"/>
          <w:shd w:val="clear" w:color="auto" w:fill="FFFFFF"/>
        </w:rPr>
        <w:br w:type="page"/>
      </w:r>
    </w:p>
    <w:p w14:paraId="4CA3A35C">
      <w:pPr>
        <w:spacing w:line="480" w:lineRule="exact"/>
        <w:rPr>
          <w:rFonts w:ascii="宋体" w:hAnsi="宋体"/>
          <w:b/>
          <w:bCs/>
          <w:snapToGrid w:val="0"/>
          <w:kern w:val="0"/>
          <w:sz w:val="32"/>
          <w:szCs w:val="32"/>
        </w:rPr>
      </w:pPr>
      <w:r>
        <w:rPr>
          <w:rFonts w:hint="eastAsia" w:ascii="仿宋_GB2312" w:eastAsia="仿宋_GB2312"/>
          <w:spacing w:val="6"/>
          <w:sz w:val="30"/>
          <w:szCs w:val="30"/>
          <w:shd w:val="clear" w:color="auto" w:fill="FFFFFF"/>
        </w:rPr>
        <w:t>附4：</w:t>
      </w:r>
    </w:p>
    <w:p w14:paraId="0971760C">
      <w:pPr>
        <w:spacing w:line="480" w:lineRule="exact"/>
        <w:jc w:val="center"/>
        <w:rPr>
          <w:rFonts w:ascii="宋体" w:hAnsi="宋体"/>
          <w:b/>
          <w:bCs/>
          <w:snapToGrid w:val="0"/>
          <w:kern w:val="0"/>
          <w:sz w:val="32"/>
          <w:szCs w:val="32"/>
        </w:rPr>
      </w:pPr>
    </w:p>
    <w:p w14:paraId="24ABDF5F">
      <w:pPr>
        <w:spacing w:line="480" w:lineRule="exact"/>
        <w:jc w:val="center"/>
        <w:rPr>
          <w:rFonts w:ascii="宋体" w:hAnsi="宋体"/>
          <w:b/>
          <w:bCs/>
          <w:snapToGrid w:val="0"/>
          <w:kern w:val="0"/>
          <w:sz w:val="32"/>
          <w:szCs w:val="32"/>
        </w:rPr>
      </w:pPr>
      <w:r>
        <w:rPr>
          <w:rFonts w:hint="eastAsia" w:ascii="宋体" w:hAnsi="宋体"/>
          <w:b/>
          <w:bCs/>
          <w:snapToGrid w:val="0"/>
          <w:kern w:val="0"/>
          <w:sz w:val="32"/>
          <w:szCs w:val="32"/>
        </w:rPr>
        <w:t>节能产品和环境标志产品投标报价组成表</w:t>
      </w:r>
    </w:p>
    <w:p w14:paraId="5EAB5BE5">
      <w:pPr>
        <w:spacing w:line="480" w:lineRule="exact"/>
        <w:jc w:val="center"/>
        <w:rPr>
          <w:rFonts w:ascii="宋体" w:hAnsi="宋体"/>
          <w:b/>
          <w:bCs/>
          <w:snapToGrid w:val="0"/>
          <w:kern w:val="0"/>
          <w:sz w:val="24"/>
        </w:rPr>
      </w:pPr>
    </w:p>
    <w:p w14:paraId="3D9BACA4">
      <w:pPr>
        <w:spacing w:line="360" w:lineRule="auto"/>
        <w:jc w:val="left"/>
        <w:rPr>
          <w:rFonts w:ascii="宋体" w:hAnsi="宋体" w:cs="宋体"/>
          <w:b/>
          <w:sz w:val="24"/>
          <w:shd w:val="clear" w:color="auto" w:fill="FFFFFF"/>
        </w:rPr>
      </w:pPr>
      <w:r>
        <w:rPr>
          <w:rFonts w:hint="eastAsia" w:ascii="宋体" w:hAnsi="宋体" w:cs="宋体"/>
          <w:b/>
          <w:sz w:val="24"/>
          <w:shd w:val="clear" w:color="auto" w:fill="FFFFFF"/>
        </w:rPr>
        <w:t xml:space="preserve">项目名称：                                                         </w:t>
      </w:r>
    </w:p>
    <w:p w14:paraId="569BF81A">
      <w:pPr>
        <w:spacing w:line="360" w:lineRule="auto"/>
        <w:jc w:val="left"/>
        <w:rPr>
          <w:rFonts w:ascii="宋体" w:hAnsi="宋体" w:cs="宋体"/>
          <w:b/>
          <w:sz w:val="24"/>
          <w:shd w:val="clear" w:color="auto" w:fill="FFFFFF"/>
        </w:rPr>
      </w:pPr>
      <w:r>
        <w:rPr>
          <w:rFonts w:hint="eastAsia" w:ascii="宋体" w:hAnsi="宋体" w:cs="宋体"/>
          <w:b/>
          <w:sz w:val="24"/>
          <w:shd w:val="clear" w:color="auto" w:fill="FFFFFF"/>
        </w:rPr>
        <w:t xml:space="preserve">项目编号：  </w:t>
      </w:r>
    </w:p>
    <w:tbl>
      <w:tblPr>
        <w:tblStyle w:val="38"/>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946"/>
        <w:gridCol w:w="992"/>
        <w:gridCol w:w="1253"/>
        <w:gridCol w:w="1101"/>
        <w:gridCol w:w="1820"/>
        <w:gridCol w:w="769"/>
        <w:gridCol w:w="769"/>
        <w:gridCol w:w="880"/>
        <w:gridCol w:w="659"/>
      </w:tblGrid>
      <w:tr w14:paraId="768DD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dxa"/>
            <w:vAlign w:val="center"/>
          </w:tcPr>
          <w:p w14:paraId="4F10FD0C">
            <w:pPr>
              <w:jc w:val="center"/>
              <w:rPr>
                <w:rFonts w:ascii="宋体" w:hAnsi="宋体" w:cs="宋体"/>
                <w:b/>
                <w:bCs/>
                <w:sz w:val="24"/>
                <w:shd w:val="clear" w:color="auto" w:fill="FFFFFF"/>
              </w:rPr>
            </w:pPr>
            <w:r>
              <w:rPr>
                <w:rFonts w:hint="eastAsia" w:ascii="宋体" w:hAnsi="宋体" w:cs="宋体"/>
                <w:b/>
                <w:bCs/>
                <w:sz w:val="24"/>
                <w:shd w:val="clear" w:color="auto" w:fill="FFFFFF"/>
              </w:rPr>
              <w:t>序号</w:t>
            </w:r>
          </w:p>
        </w:tc>
        <w:tc>
          <w:tcPr>
            <w:tcW w:w="946" w:type="dxa"/>
            <w:vAlign w:val="center"/>
          </w:tcPr>
          <w:p w14:paraId="03ECAE3D">
            <w:pPr>
              <w:jc w:val="center"/>
              <w:rPr>
                <w:rFonts w:ascii="宋体" w:hAnsi="宋体" w:cs="宋体"/>
                <w:b/>
                <w:bCs/>
                <w:kern w:val="0"/>
                <w:sz w:val="24"/>
                <w:shd w:val="clear" w:color="auto" w:fill="FFFFFF"/>
              </w:rPr>
            </w:pPr>
            <w:r>
              <w:rPr>
                <w:rFonts w:hint="eastAsia" w:ascii="宋体" w:hAnsi="宋体" w:cs="宋体"/>
                <w:b/>
                <w:bCs/>
                <w:kern w:val="0"/>
                <w:sz w:val="24"/>
                <w:shd w:val="clear" w:color="auto" w:fill="FFFFFF"/>
              </w:rPr>
              <w:t>投标</w:t>
            </w:r>
          </w:p>
          <w:p w14:paraId="04616337">
            <w:pPr>
              <w:jc w:val="center"/>
              <w:rPr>
                <w:rFonts w:ascii="宋体" w:hAnsi="宋体" w:cs="宋体"/>
                <w:b/>
                <w:bCs/>
                <w:sz w:val="24"/>
                <w:shd w:val="clear" w:color="auto" w:fill="FFFFFF"/>
              </w:rPr>
            </w:pPr>
            <w:r>
              <w:rPr>
                <w:rFonts w:hint="eastAsia" w:ascii="宋体" w:hAnsi="宋体" w:cs="宋体"/>
                <w:b/>
                <w:bCs/>
                <w:kern w:val="0"/>
                <w:sz w:val="24"/>
                <w:shd w:val="clear" w:color="auto" w:fill="FFFFFF"/>
              </w:rPr>
              <w:t>产品名称</w:t>
            </w:r>
          </w:p>
        </w:tc>
        <w:tc>
          <w:tcPr>
            <w:tcW w:w="992" w:type="dxa"/>
            <w:vAlign w:val="center"/>
          </w:tcPr>
          <w:p w14:paraId="45E93CBE">
            <w:pPr>
              <w:jc w:val="center"/>
              <w:rPr>
                <w:rFonts w:ascii="宋体" w:hAnsi="宋体" w:cs="宋体"/>
                <w:b/>
                <w:bCs/>
                <w:kern w:val="0"/>
                <w:sz w:val="24"/>
                <w:shd w:val="clear" w:color="auto" w:fill="FFFFFF"/>
              </w:rPr>
            </w:pPr>
            <w:r>
              <w:rPr>
                <w:rFonts w:hint="eastAsia" w:ascii="宋体" w:hAnsi="宋体" w:cs="宋体"/>
                <w:b/>
                <w:bCs/>
                <w:kern w:val="0"/>
                <w:sz w:val="24"/>
                <w:shd w:val="clear" w:color="auto" w:fill="FFFFFF"/>
              </w:rPr>
              <w:t>投标产品品牌、规格型号</w:t>
            </w:r>
          </w:p>
        </w:tc>
        <w:tc>
          <w:tcPr>
            <w:tcW w:w="1253" w:type="dxa"/>
            <w:vAlign w:val="center"/>
          </w:tcPr>
          <w:p w14:paraId="7737D686">
            <w:pPr>
              <w:jc w:val="center"/>
              <w:rPr>
                <w:rFonts w:ascii="宋体" w:hAnsi="宋体" w:cs="宋体"/>
                <w:b/>
                <w:sz w:val="24"/>
                <w:shd w:val="clear" w:color="auto" w:fill="FFFFFF"/>
              </w:rPr>
            </w:pPr>
            <w:r>
              <w:rPr>
                <w:rFonts w:hint="eastAsia" w:ascii="宋体" w:hAnsi="宋体" w:cs="宋体"/>
                <w:b/>
                <w:sz w:val="24"/>
                <w:shd w:val="clear" w:color="auto" w:fill="FFFFFF"/>
              </w:rPr>
              <w:t>是否</w:t>
            </w:r>
          </w:p>
          <w:p w14:paraId="41891F79">
            <w:pPr>
              <w:jc w:val="center"/>
              <w:rPr>
                <w:rFonts w:ascii="宋体" w:hAnsi="宋体" w:cs="宋体"/>
                <w:b/>
                <w:bCs/>
                <w:sz w:val="24"/>
                <w:shd w:val="clear" w:color="auto" w:fill="FFFFFF"/>
              </w:rPr>
            </w:pPr>
            <w:r>
              <w:rPr>
                <w:rFonts w:hint="eastAsia" w:ascii="宋体" w:hAnsi="宋体" w:cs="宋体"/>
                <w:b/>
                <w:sz w:val="24"/>
                <w:shd w:val="clear" w:color="auto" w:fill="FFFFFF"/>
              </w:rPr>
              <w:t>属于政府强制采购节能产品</w:t>
            </w:r>
          </w:p>
        </w:tc>
        <w:tc>
          <w:tcPr>
            <w:tcW w:w="1101" w:type="dxa"/>
            <w:vAlign w:val="center"/>
          </w:tcPr>
          <w:p w14:paraId="695318D2">
            <w:pPr>
              <w:jc w:val="center"/>
              <w:rPr>
                <w:rFonts w:ascii="宋体" w:hAnsi="宋体" w:cs="宋体"/>
                <w:b/>
                <w:bCs/>
                <w:sz w:val="24"/>
                <w:shd w:val="clear" w:color="auto" w:fill="FFFFFF"/>
              </w:rPr>
            </w:pPr>
            <w:r>
              <w:rPr>
                <w:rFonts w:hint="eastAsia" w:ascii="宋体" w:hAnsi="宋体" w:cs="宋体"/>
                <w:b/>
                <w:bCs/>
                <w:sz w:val="24"/>
                <w:shd w:val="clear" w:color="auto" w:fill="FFFFFF"/>
              </w:rPr>
              <w:t>投标产品生产厂家</w:t>
            </w:r>
          </w:p>
        </w:tc>
        <w:tc>
          <w:tcPr>
            <w:tcW w:w="1820" w:type="dxa"/>
            <w:vAlign w:val="center"/>
          </w:tcPr>
          <w:p w14:paraId="0A8F691D">
            <w:pPr>
              <w:jc w:val="center"/>
              <w:rPr>
                <w:rFonts w:ascii="宋体" w:hAnsi="宋体" w:cs="宋体"/>
                <w:b/>
                <w:bCs/>
                <w:sz w:val="24"/>
                <w:shd w:val="clear" w:color="auto" w:fill="FFFFFF"/>
              </w:rPr>
            </w:pPr>
            <w:r>
              <w:rPr>
                <w:rFonts w:hint="eastAsia" w:ascii="宋体" w:hAnsi="宋体" w:cs="宋体"/>
                <w:b/>
                <w:bCs/>
                <w:sz w:val="24"/>
                <w:shd w:val="clear" w:color="auto" w:fill="FFFFFF"/>
              </w:rPr>
              <w:t>节能/环境标志产品认证机构名称</w:t>
            </w:r>
          </w:p>
        </w:tc>
        <w:tc>
          <w:tcPr>
            <w:tcW w:w="769" w:type="dxa"/>
            <w:vAlign w:val="center"/>
          </w:tcPr>
          <w:p w14:paraId="40B18519">
            <w:pPr>
              <w:jc w:val="center"/>
              <w:rPr>
                <w:rFonts w:ascii="宋体" w:hAnsi="宋体" w:cs="宋体"/>
                <w:b/>
                <w:bCs/>
                <w:sz w:val="24"/>
                <w:shd w:val="clear" w:color="auto" w:fill="FFFFFF"/>
              </w:rPr>
            </w:pPr>
            <w:r>
              <w:rPr>
                <w:rFonts w:hint="eastAsia" w:ascii="宋体" w:hAnsi="宋体" w:cs="宋体"/>
                <w:b/>
                <w:bCs/>
                <w:sz w:val="24"/>
                <w:shd w:val="clear" w:color="auto" w:fill="FFFFFF"/>
              </w:rPr>
              <w:t>认证</w:t>
            </w:r>
          </w:p>
          <w:p w14:paraId="3514B20A">
            <w:pPr>
              <w:jc w:val="center"/>
              <w:rPr>
                <w:rFonts w:ascii="宋体" w:hAnsi="宋体" w:cs="宋体"/>
                <w:b/>
                <w:bCs/>
                <w:sz w:val="24"/>
                <w:shd w:val="clear" w:color="auto" w:fill="FFFFFF"/>
              </w:rPr>
            </w:pPr>
            <w:r>
              <w:rPr>
                <w:rFonts w:hint="eastAsia" w:ascii="宋体" w:hAnsi="宋体" w:cs="宋体"/>
                <w:b/>
                <w:bCs/>
                <w:sz w:val="24"/>
                <w:shd w:val="clear" w:color="auto" w:fill="FFFFFF"/>
              </w:rPr>
              <w:t>范围、型号</w:t>
            </w:r>
          </w:p>
        </w:tc>
        <w:tc>
          <w:tcPr>
            <w:tcW w:w="769" w:type="dxa"/>
            <w:vAlign w:val="center"/>
          </w:tcPr>
          <w:p w14:paraId="45436A1C">
            <w:pPr>
              <w:jc w:val="center"/>
              <w:rPr>
                <w:rFonts w:ascii="宋体" w:hAnsi="宋体" w:cs="宋体"/>
                <w:b/>
                <w:bCs/>
                <w:sz w:val="24"/>
                <w:shd w:val="clear" w:color="auto" w:fill="FFFFFF"/>
              </w:rPr>
            </w:pPr>
            <w:r>
              <w:rPr>
                <w:rFonts w:hint="eastAsia" w:ascii="宋体" w:hAnsi="宋体" w:cs="宋体"/>
                <w:b/>
                <w:bCs/>
                <w:sz w:val="24"/>
                <w:shd w:val="clear" w:color="auto" w:fill="FFFFFF"/>
              </w:rPr>
              <w:t>证书有效期</w:t>
            </w:r>
          </w:p>
        </w:tc>
        <w:tc>
          <w:tcPr>
            <w:tcW w:w="880" w:type="dxa"/>
            <w:vAlign w:val="center"/>
          </w:tcPr>
          <w:p w14:paraId="19FA3510">
            <w:pPr>
              <w:jc w:val="center"/>
              <w:rPr>
                <w:rFonts w:ascii="宋体" w:hAnsi="宋体" w:cs="宋体"/>
                <w:b/>
                <w:bCs/>
                <w:sz w:val="24"/>
                <w:shd w:val="clear" w:color="auto" w:fill="FFFFFF"/>
              </w:rPr>
            </w:pPr>
            <w:r>
              <w:rPr>
                <w:rFonts w:hint="eastAsia" w:ascii="宋体" w:hAnsi="宋体" w:cs="宋体"/>
                <w:b/>
                <w:bCs/>
                <w:kern w:val="0"/>
                <w:sz w:val="24"/>
                <w:shd w:val="clear" w:color="auto" w:fill="FFFFFF"/>
              </w:rPr>
              <w:t>投标单价(元)</w:t>
            </w:r>
          </w:p>
        </w:tc>
        <w:tc>
          <w:tcPr>
            <w:tcW w:w="659" w:type="dxa"/>
            <w:vAlign w:val="center"/>
          </w:tcPr>
          <w:p w14:paraId="4AEE0B7E">
            <w:pPr>
              <w:jc w:val="center"/>
              <w:rPr>
                <w:rFonts w:ascii="宋体" w:hAnsi="宋体" w:cs="宋体"/>
                <w:b/>
                <w:bCs/>
                <w:sz w:val="24"/>
                <w:shd w:val="clear" w:color="auto" w:fill="FFFFFF"/>
              </w:rPr>
            </w:pPr>
            <w:r>
              <w:rPr>
                <w:rFonts w:hint="eastAsia" w:ascii="宋体" w:hAnsi="宋体" w:cs="宋体"/>
                <w:b/>
                <w:bCs/>
                <w:kern w:val="0"/>
                <w:sz w:val="24"/>
                <w:shd w:val="clear" w:color="auto" w:fill="FFFFFF"/>
              </w:rPr>
              <w:t>合计(元)</w:t>
            </w:r>
          </w:p>
        </w:tc>
      </w:tr>
      <w:tr w14:paraId="7073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dxa"/>
            <w:vAlign w:val="center"/>
          </w:tcPr>
          <w:p w14:paraId="1ECA3392">
            <w:pPr>
              <w:jc w:val="center"/>
              <w:rPr>
                <w:rFonts w:ascii="宋体" w:hAnsi="宋体" w:cs="宋体"/>
                <w:sz w:val="24"/>
                <w:shd w:val="clear" w:color="auto" w:fill="FFFFFF"/>
              </w:rPr>
            </w:pPr>
            <w:r>
              <w:rPr>
                <w:rFonts w:hint="eastAsia" w:ascii="宋体" w:hAnsi="宋体" w:cs="宋体"/>
                <w:sz w:val="24"/>
                <w:shd w:val="clear" w:color="auto" w:fill="FFFFFF"/>
              </w:rPr>
              <w:t>1</w:t>
            </w:r>
          </w:p>
        </w:tc>
        <w:tc>
          <w:tcPr>
            <w:tcW w:w="946" w:type="dxa"/>
            <w:vAlign w:val="center"/>
          </w:tcPr>
          <w:p w14:paraId="629FEAE1">
            <w:pPr>
              <w:widowControl/>
              <w:jc w:val="center"/>
              <w:rPr>
                <w:rFonts w:ascii="宋体" w:hAnsi="宋体" w:cs="宋体"/>
                <w:kern w:val="0"/>
                <w:sz w:val="24"/>
                <w:shd w:val="clear" w:color="auto" w:fill="FFFFFF"/>
              </w:rPr>
            </w:pPr>
          </w:p>
        </w:tc>
        <w:tc>
          <w:tcPr>
            <w:tcW w:w="992" w:type="dxa"/>
            <w:vAlign w:val="center"/>
          </w:tcPr>
          <w:p w14:paraId="0EE922C1">
            <w:pPr>
              <w:widowControl/>
              <w:jc w:val="center"/>
              <w:rPr>
                <w:rFonts w:ascii="宋体" w:hAnsi="宋体" w:cs="宋体"/>
                <w:kern w:val="0"/>
                <w:sz w:val="24"/>
                <w:shd w:val="clear" w:color="auto" w:fill="FFFFFF"/>
              </w:rPr>
            </w:pPr>
          </w:p>
        </w:tc>
        <w:tc>
          <w:tcPr>
            <w:tcW w:w="1253" w:type="dxa"/>
            <w:vAlign w:val="center"/>
          </w:tcPr>
          <w:p w14:paraId="66313A4E">
            <w:pPr>
              <w:widowControl/>
              <w:jc w:val="center"/>
              <w:rPr>
                <w:rFonts w:ascii="宋体" w:hAnsi="宋体" w:cs="宋体"/>
                <w:kern w:val="0"/>
                <w:sz w:val="24"/>
                <w:shd w:val="clear" w:color="auto" w:fill="FFFFFF"/>
              </w:rPr>
            </w:pPr>
          </w:p>
        </w:tc>
        <w:tc>
          <w:tcPr>
            <w:tcW w:w="1101" w:type="dxa"/>
            <w:vAlign w:val="center"/>
          </w:tcPr>
          <w:p w14:paraId="1C9A35FA">
            <w:pPr>
              <w:widowControl/>
              <w:jc w:val="center"/>
              <w:rPr>
                <w:rFonts w:ascii="宋体" w:hAnsi="宋体" w:cs="宋体"/>
                <w:kern w:val="0"/>
                <w:sz w:val="24"/>
                <w:shd w:val="clear" w:color="auto" w:fill="FFFFFF"/>
              </w:rPr>
            </w:pPr>
          </w:p>
        </w:tc>
        <w:tc>
          <w:tcPr>
            <w:tcW w:w="1820" w:type="dxa"/>
            <w:vAlign w:val="center"/>
          </w:tcPr>
          <w:p w14:paraId="7556C0BF">
            <w:pPr>
              <w:widowControl/>
              <w:jc w:val="center"/>
              <w:rPr>
                <w:rFonts w:ascii="宋体" w:hAnsi="宋体" w:cs="宋体"/>
                <w:kern w:val="0"/>
                <w:sz w:val="24"/>
                <w:shd w:val="clear" w:color="auto" w:fill="FFFFFF"/>
              </w:rPr>
            </w:pPr>
          </w:p>
        </w:tc>
        <w:tc>
          <w:tcPr>
            <w:tcW w:w="769" w:type="dxa"/>
            <w:vAlign w:val="center"/>
          </w:tcPr>
          <w:p w14:paraId="68FAB507">
            <w:pPr>
              <w:widowControl/>
              <w:jc w:val="center"/>
              <w:rPr>
                <w:rFonts w:ascii="宋体" w:hAnsi="宋体" w:cs="宋体"/>
                <w:kern w:val="0"/>
                <w:sz w:val="24"/>
                <w:shd w:val="clear" w:color="auto" w:fill="FFFFFF"/>
              </w:rPr>
            </w:pPr>
          </w:p>
        </w:tc>
        <w:tc>
          <w:tcPr>
            <w:tcW w:w="769" w:type="dxa"/>
            <w:vAlign w:val="center"/>
          </w:tcPr>
          <w:p w14:paraId="5DAF65E6">
            <w:pPr>
              <w:widowControl/>
              <w:jc w:val="center"/>
              <w:rPr>
                <w:rFonts w:ascii="宋体" w:hAnsi="宋体" w:cs="宋体"/>
                <w:kern w:val="0"/>
                <w:sz w:val="24"/>
                <w:shd w:val="clear" w:color="auto" w:fill="FFFFFF"/>
              </w:rPr>
            </w:pPr>
          </w:p>
        </w:tc>
        <w:tc>
          <w:tcPr>
            <w:tcW w:w="880" w:type="dxa"/>
            <w:vAlign w:val="center"/>
          </w:tcPr>
          <w:p w14:paraId="0AF11A80">
            <w:pPr>
              <w:jc w:val="center"/>
              <w:rPr>
                <w:rFonts w:ascii="宋体" w:hAnsi="宋体" w:cs="宋体"/>
                <w:sz w:val="24"/>
                <w:shd w:val="clear" w:color="auto" w:fill="FFFFFF"/>
              </w:rPr>
            </w:pPr>
          </w:p>
        </w:tc>
        <w:tc>
          <w:tcPr>
            <w:tcW w:w="659" w:type="dxa"/>
            <w:vAlign w:val="center"/>
          </w:tcPr>
          <w:p w14:paraId="61D751A6">
            <w:pPr>
              <w:jc w:val="center"/>
              <w:rPr>
                <w:rFonts w:ascii="宋体" w:hAnsi="宋体" w:cs="宋体"/>
                <w:sz w:val="24"/>
                <w:shd w:val="clear" w:color="auto" w:fill="FFFFFF"/>
              </w:rPr>
            </w:pPr>
          </w:p>
        </w:tc>
      </w:tr>
      <w:tr w14:paraId="2828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dxa"/>
            <w:vAlign w:val="center"/>
          </w:tcPr>
          <w:p w14:paraId="73415DFB">
            <w:pPr>
              <w:jc w:val="center"/>
              <w:rPr>
                <w:rFonts w:ascii="宋体" w:hAnsi="宋体" w:cs="宋体"/>
                <w:sz w:val="24"/>
                <w:shd w:val="clear" w:color="auto" w:fill="FFFFFF"/>
              </w:rPr>
            </w:pPr>
            <w:r>
              <w:rPr>
                <w:rFonts w:hint="eastAsia" w:ascii="宋体" w:hAnsi="宋体" w:cs="宋体"/>
                <w:sz w:val="24"/>
                <w:shd w:val="clear" w:color="auto" w:fill="FFFFFF"/>
              </w:rPr>
              <w:t>2</w:t>
            </w:r>
          </w:p>
        </w:tc>
        <w:tc>
          <w:tcPr>
            <w:tcW w:w="946" w:type="dxa"/>
            <w:vAlign w:val="center"/>
          </w:tcPr>
          <w:p w14:paraId="529C73E0">
            <w:pPr>
              <w:widowControl/>
              <w:jc w:val="center"/>
              <w:rPr>
                <w:rFonts w:ascii="宋体" w:hAnsi="宋体" w:cs="宋体"/>
                <w:kern w:val="0"/>
                <w:sz w:val="24"/>
                <w:shd w:val="clear" w:color="auto" w:fill="FFFFFF"/>
              </w:rPr>
            </w:pPr>
          </w:p>
        </w:tc>
        <w:tc>
          <w:tcPr>
            <w:tcW w:w="992" w:type="dxa"/>
            <w:vAlign w:val="center"/>
          </w:tcPr>
          <w:p w14:paraId="680EAA2C">
            <w:pPr>
              <w:widowControl/>
              <w:jc w:val="center"/>
              <w:rPr>
                <w:rFonts w:ascii="宋体" w:hAnsi="宋体" w:cs="宋体"/>
                <w:kern w:val="0"/>
                <w:sz w:val="24"/>
                <w:shd w:val="clear" w:color="auto" w:fill="FFFFFF"/>
              </w:rPr>
            </w:pPr>
          </w:p>
        </w:tc>
        <w:tc>
          <w:tcPr>
            <w:tcW w:w="1253" w:type="dxa"/>
            <w:vAlign w:val="center"/>
          </w:tcPr>
          <w:p w14:paraId="59BDB1E3">
            <w:pPr>
              <w:widowControl/>
              <w:jc w:val="center"/>
              <w:rPr>
                <w:rFonts w:ascii="宋体" w:hAnsi="宋体" w:cs="宋体"/>
                <w:kern w:val="0"/>
                <w:sz w:val="24"/>
                <w:shd w:val="clear" w:color="auto" w:fill="FFFFFF"/>
              </w:rPr>
            </w:pPr>
          </w:p>
        </w:tc>
        <w:tc>
          <w:tcPr>
            <w:tcW w:w="1101" w:type="dxa"/>
            <w:vAlign w:val="center"/>
          </w:tcPr>
          <w:p w14:paraId="4E1BCF98">
            <w:pPr>
              <w:widowControl/>
              <w:jc w:val="center"/>
              <w:rPr>
                <w:rFonts w:ascii="宋体" w:hAnsi="宋体" w:cs="宋体"/>
                <w:kern w:val="0"/>
                <w:sz w:val="24"/>
                <w:shd w:val="clear" w:color="auto" w:fill="FFFFFF"/>
              </w:rPr>
            </w:pPr>
          </w:p>
        </w:tc>
        <w:tc>
          <w:tcPr>
            <w:tcW w:w="1820" w:type="dxa"/>
            <w:vAlign w:val="center"/>
          </w:tcPr>
          <w:p w14:paraId="62DC5849">
            <w:pPr>
              <w:widowControl/>
              <w:jc w:val="center"/>
              <w:rPr>
                <w:rFonts w:ascii="宋体" w:hAnsi="宋体" w:cs="宋体"/>
                <w:kern w:val="0"/>
                <w:sz w:val="24"/>
                <w:shd w:val="clear" w:color="auto" w:fill="FFFFFF"/>
              </w:rPr>
            </w:pPr>
          </w:p>
        </w:tc>
        <w:tc>
          <w:tcPr>
            <w:tcW w:w="769" w:type="dxa"/>
            <w:vAlign w:val="center"/>
          </w:tcPr>
          <w:p w14:paraId="6DE0F845">
            <w:pPr>
              <w:widowControl/>
              <w:jc w:val="center"/>
              <w:rPr>
                <w:rFonts w:ascii="宋体" w:hAnsi="宋体" w:cs="宋体"/>
                <w:kern w:val="0"/>
                <w:sz w:val="24"/>
                <w:shd w:val="clear" w:color="auto" w:fill="FFFFFF"/>
              </w:rPr>
            </w:pPr>
          </w:p>
        </w:tc>
        <w:tc>
          <w:tcPr>
            <w:tcW w:w="769" w:type="dxa"/>
            <w:vAlign w:val="center"/>
          </w:tcPr>
          <w:p w14:paraId="647D1BDD">
            <w:pPr>
              <w:widowControl/>
              <w:jc w:val="center"/>
              <w:rPr>
                <w:rFonts w:ascii="宋体" w:hAnsi="宋体" w:cs="宋体"/>
                <w:kern w:val="0"/>
                <w:sz w:val="24"/>
                <w:shd w:val="clear" w:color="auto" w:fill="FFFFFF"/>
              </w:rPr>
            </w:pPr>
          </w:p>
        </w:tc>
        <w:tc>
          <w:tcPr>
            <w:tcW w:w="880" w:type="dxa"/>
            <w:vAlign w:val="center"/>
          </w:tcPr>
          <w:p w14:paraId="62CB6E5E">
            <w:pPr>
              <w:jc w:val="center"/>
              <w:rPr>
                <w:rFonts w:ascii="宋体" w:hAnsi="宋体" w:cs="宋体"/>
                <w:sz w:val="24"/>
                <w:shd w:val="clear" w:color="auto" w:fill="FFFFFF"/>
              </w:rPr>
            </w:pPr>
          </w:p>
        </w:tc>
        <w:tc>
          <w:tcPr>
            <w:tcW w:w="659" w:type="dxa"/>
            <w:vAlign w:val="center"/>
          </w:tcPr>
          <w:p w14:paraId="6BB00BCD">
            <w:pPr>
              <w:jc w:val="center"/>
              <w:rPr>
                <w:rFonts w:ascii="宋体" w:hAnsi="宋体" w:cs="宋体"/>
                <w:sz w:val="24"/>
                <w:shd w:val="clear" w:color="auto" w:fill="FFFFFF"/>
              </w:rPr>
            </w:pPr>
          </w:p>
        </w:tc>
      </w:tr>
      <w:tr w14:paraId="6FCD5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dxa"/>
            <w:vAlign w:val="center"/>
          </w:tcPr>
          <w:p w14:paraId="68F03C5D">
            <w:pPr>
              <w:jc w:val="center"/>
              <w:rPr>
                <w:rFonts w:ascii="宋体" w:hAnsi="宋体" w:cs="宋体"/>
                <w:sz w:val="24"/>
                <w:shd w:val="clear" w:color="auto" w:fill="FFFFFF"/>
              </w:rPr>
            </w:pPr>
            <w:r>
              <w:rPr>
                <w:rFonts w:hint="eastAsia" w:ascii="宋体" w:hAnsi="宋体" w:cs="宋体"/>
                <w:sz w:val="24"/>
                <w:shd w:val="clear" w:color="auto" w:fill="FFFFFF"/>
              </w:rPr>
              <w:t>3</w:t>
            </w:r>
          </w:p>
        </w:tc>
        <w:tc>
          <w:tcPr>
            <w:tcW w:w="946" w:type="dxa"/>
            <w:vAlign w:val="center"/>
          </w:tcPr>
          <w:p w14:paraId="1BA19AED">
            <w:pPr>
              <w:widowControl/>
              <w:jc w:val="center"/>
              <w:rPr>
                <w:rFonts w:ascii="宋体" w:hAnsi="宋体" w:cs="宋体"/>
                <w:kern w:val="0"/>
                <w:sz w:val="24"/>
                <w:shd w:val="clear" w:color="auto" w:fill="FFFFFF"/>
              </w:rPr>
            </w:pPr>
          </w:p>
        </w:tc>
        <w:tc>
          <w:tcPr>
            <w:tcW w:w="992" w:type="dxa"/>
            <w:vAlign w:val="center"/>
          </w:tcPr>
          <w:p w14:paraId="3995E4A6">
            <w:pPr>
              <w:widowControl/>
              <w:jc w:val="center"/>
              <w:rPr>
                <w:rFonts w:ascii="宋体" w:hAnsi="宋体" w:cs="宋体"/>
                <w:kern w:val="0"/>
                <w:sz w:val="24"/>
                <w:shd w:val="clear" w:color="auto" w:fill="FFFFFF"/>
              </w:rPr>
            </w:pPr>
          </w:p>
        </w:tc>
        <w:tc>
          <w:tcPr>
            <w:tcW w:w="1253" w:type="dxa"/>
            <w:vAlign w:val="center"/>
          </w:tcPr>
          <w:p w14:paraId="1BB79307">
            <w:pPr>
              <w:widowControl/>
              <w:jc w:val="center"/>
              <w:rPr>
                <w:rFonts w:ascii="宋体" w:hAnsi="宋体" w:cs="宋体"/>
                <w:kern w:val="0"/>
                <w:sz w:val="24"/>
                <w:shd w:val="clear" w:color="auto" w:fill="FFFFFF"/>
              </w:rPr>
            </w:pPr>
          </w:p>
        </w:tc>
        <w:tc>
          <w:tcPr>
            <w:tcW w:w="1101" w:type="dxa"/>
            <w:vAlign w:val="center"/>
          </w:tcPr>
          <w:p w14:paraId="7EE6CEB7">
            <w:pPr>
              <w:widowControl/>
              <w:jc w:val="center"/>
              <w:rPr>
                <w:rFonts w:ascii="宋体" w:hAnsi="宋体" w:cs="宋体"/>
                <w:kern w:val="0"/>
                <w:sz w:val="24"/>
                <w:shd w:val="clear" w:color="auto" w:fill="FFFFFF"/>
              </w:rPr>
            </w:pPr>
          </w:p>
        </w:tc>
        <w:tc>
          <w:tcPr>
            <w:tcW w:w="1820" w:type="dxa"/>
            <w:vAlign w:val="center"/>
          </w:tcPr>
          <w:p w14:paraId="65B1EBA4">
            <w:pPr>
              <w:widowControl/>
              <w:jc w:val="center"/>
              <w:rPr>
                <w:rFonts w:ascii="宋体" w:hAnsi="宋体" w:cs="宋体"/>
                <w:kern w:val="0"/>
                <w:sz w:val="24"/>
                <w:shd w:val="clear" w:color="auto" w:fill="FFFFFF"/>
              </w:rPr>
            </w:pPr>
          </w:p>
        </w:tc>
        <w:tc>
          <w:tcPr>
            <w:tcW w:w="769" w:type="dxa"/>
            <w:vAlign w:val="center"/>
          </w:tcPr>
          <w:p w14:paraId="17106E81">
            <w:pPr>
              <w:widowControl/>
              <w:jc w:val="center"/>
              <w:rPr>
                <w:rFonts w:ascii="宋体" w:hAnsi="宋体" w:cs="宋体"/>
                <w:kern w:val="0"/>
                <w:sz w:val="24"/>
                <w:shd w:val="clear" w:color="auto" w:fill="FFFFFF"/>
              </w:rPr>
            </w:pPr>
          </w:p>
        </w:tc>
        <w:tc>
          <w:tcPr>
            <w:tcW w:w="769" w:type="dxa"/>
            <w:vAlign w:val="center"/>
          </w:tcPr>
          <w:p w14:paraId="4B47548B">
            <w:pPr>
              <w:widowControl/>
              <w:jc w:val="center"/>
              <w:rPr>
                <w:rFonts w:ascii="宋体" w:hAnsi="宋体" w:cs="宋体"/>
                <w:kern w:val="0"/>
                <w:sz w:val="24"/>
                <w:shd w:val="clear" w:color="auto" w:fill="FFFFFF"/>
              </w:rPr>
            </w:pPr>
          </w:p>
        </w:tc>
        <w:tc>
          <w:tcPr>
            <w:tcW w:w="880" w:type="dxa"/>
            <w:vAlign w:val="center"/>
          </w:tcPr>
          <w:p w14:paraId="6C4F0DA5">
            <w:pPr>
              <w:jc w:val="center"/>
              <w:rPr>
                <w:rFonts w:ascii="宋体" w:hAnsi="宋体" w:cs="宋体"/>
                <w:sz w:val="24"/>
                <w:shd w:val="clear" w:color="auto" w:fill="FFFFFF"/>
              </w:rPr>
            </w:pPr>
          </w:p>
        </w:tc>
        <w:tc>
          <w:tcPr>
            <w:tcW w:w="659" w:type="dxa"/>
            <w:vAlign w:val="center"/>
          </w:tcPr>
          <w:p w14:paraId="7AEF3D50">
            <w:pPr>
              <w:jc w:val="center"/>
              <w:rPr>
                <w:rFonts w:ascii="宋体" w:hAnsi="宋体" w:cs="宋体"/>
                <w:sz w:val="24"/>
                <w:shd w:val="clear" w:color="auto" w:fill="FFFFFF"/>
              </w:rPr>
            </w:pPr>
          </w:p>
        </w:tc>
      </w:tr>
      <w:tr w14:paraId="2560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8" w:type="dxa"/>
            <w:vAlign w:val="center"/>
          </w:tcPr>
          <w:p w14:paraId="30D72C22">
            <w:pPr>
              <w:jc w:val="center"/>
              <w:rPr>
                <w:rFonts w:ascii="宋体" w:hAnsi="宋体" w:cs="宋体"/>
                <w:sz w:val="24"/>
                <w:shd w:val="clear" w:color="auto" w:fill="FFFFFF"/>
              </w:rPr>
            </w:pPr>
            <w:r>
              <w:rPr>
                <w:rFonts w:hint="eastAsia" w:ascii="宋体" w:hAnsi="宋体" w:cs="宋体"/>
                <w:sz w:val="24"/>
                <w:shd w:val="clear" w:color="auto" w:fill="FFFFFF"/>
              </w:rPr>
              <w:t>..</w:t>
            </w:r>
          </w:p>
        </w:tc>
        <w:tc>
          <w:tcPr>
            <w:tcW w:w="946" w:type="dxa"/>
            <w:vAlign w:val="center"/>
          </w:tcPr>
          <w:p w14:paraId="4D2A4EFF">
            <w:pPr>
              <w:widowControl/>
              <w:jc w:val="center"/>
              <w:rPr>
                <w:rFonts w:ascii="宋体" w:hAnsi="宋体" w:cs="宋体"/>
                <w:kern w:val="0"/>
                <w:sz w:val="24"/>
                <w:shd w:val="clear" w:color="auto" w:fill="FFFFFF"/>
              </w:rPr>
            </w:pPr>
          </w:p>
        </w:tc>
        <w:tc>
          <w:tcPr>
            <w:tcW w:w="992" w:type="dxa"/>
            <w:vAlign w:val="center"/>
          </w:tcPr>
          <w:p w14:paraId="3C1EFF8A">
            <w:pPr>
              <w:widowControl/>
              <w:jc w:val="center"/>
              <w:rPr>
                <w:rFonts w:ascii="宋体" w:hAnsi="宋体" w:cs="宋体"/>
                <w:kern w:val="0"/>
                <w:sz w:val="24"/>
                <w:shd w:val="clear" w:color="auto" w:fill="FFFFFF"/>
              </w:rPr>
            </w:pPr>
          </w:p>
        </w:tc>
        <w:tc>
          <w:tcPr>
            <w:tcW w:w="1253" w:type="dxa"/>
            <w:vAlign w:val="center"/>
          </w:tcPr>
          <w:p w14:paraId="2800D0B1">
            <w:pPr>
              <w:widowControl/>
              <w:jc w:val="center"/>
              <w:rPr>
                <w:rFonts w:ascii="宋体" w:hAnsi="宋体" w:cs="宋体"/>
                <w:kern w:val="0"/>
                <w:sz w:val="24"/>
                <w:shd w:val="clear" w:color="auto" w:fill="FFFFFF"/>
              </w:rPr>
            </w:pPr>
          </w:p>
        </w:tc>
        <w:tc>
          <w:tcPr>
            <w:tcW w:w="1101" w:type="dxa"/>
            <w:vAlign w:val="center"/>
          </w:tcPr>
          <w:p w14:paraId="0949FE42">
            <w:pPr>
              <w:widowControl/>
              <w:jc w:val="center"/>
              <w:rPr>
                <w:rFonts w:ascii="宋体" w:hAnsi="宋体" w:cs="宋体"/>
                <w:kern w:val="0"/>
                <w:sz w:val="24"/>
                <w:shd w:val="clear" w:color="auto" w:fill="FFFFFF"/>
              </w:rPr>
            </w:pPr>
          </w:p>
        </w:tc>
        <w:tc>
          <w:tcPr>
            <w:tcW w:w="1820" w:type="dxa"/>
            <w:vAlign w:val="center"/>
          </w:tcPr>
          <w:p w14:paraId="611A1DF6">
            <w:pPr>
              <w:widowControl/>
              <w:jc w:val="center"/>
              <w:rPr>
                <w:rFonts w:ascii="宋体" w:hAnsi="宋体" w:cs="宋体"/>
                <w:kern w:val="0"/>
                <w:sz w:val="24"/>
                <w:shd w:val="clear" w:color="auto" w:fill="FFFFFF"/>
              </w:rPr>
            </w:pPr>
          </w:p>
        </w:tc>
        <w:tc>
          <w:tcPr>
            <w:tcW w:w="769" w:type="dxa"/>
            <w:vAlign w:val="center"/>
          </w:tcPr>
          <w:p w14:paraId="59CF1D8A">
            <w:pPr>
              <w:widowControl/>
              <w:jc w:val="center"/>
              <w:rPr>
                <w:rFonts w:ascii="宋体" w:hAnsi="宋体" w:cs="宋体"/>
                <w:kern w:val="0"/>
                <w:sz w:val="24"/>
                <w:shd w:val="clear" w:color="auto" w:fill="FFFFFF"/>
              </w:rPr>
            </w:pPr>
          </w:p>
        </w:tc>
        <w:tc>
          <w:tcPr>
            <w:tcW w:w="769" w:type="dxa"/>
            <w:vAlign w:val="center"/>
          </w:tcPr>
          <w:p w14:paraId="3A79A018">
            <w:pPr>
              <w:widowControl/>
              <w:jc w:val="center"/>
              <w:rPr>
                <w:rFonts w:ascii="宋体" w:hAnsi="宋体" w:cs="宋体"/>
                <w:kern w:val="0"/>
                <w:sz w:val="24"/>
                <w:shd w:val="clear" w:color="auto" w:fill="FFFFFF"/>
              </w:rPr>
            </w:pPr>
          </w:p>
        </w:tc>
        <w:tc>
          <w:tcPr>
            <w:tcW w:w="880" w:type="dxa"/>
            <w:vAlign w:val="center"/>
          </w:tcPr>
          <w:p w14:paraId="00E5C632">
            <w:pPr>
              <w:jc w:val="center"/>
              <w:rPr>
                <w:rFonts w:ascii="宋体" w:hAnsi="宋体" w:cs="宋体"/>
                <w:sz w:val="24"/>
                <w:shd w:val="clear" w:color="auto" w:fill="FFFFFF"/>
              </w:rPr>
            </w:pPr>
          </w:p>
        </w:tc>
        <w:tc>
          <w:tcPr>
            <w:tcW w:w="659" w:type="dxa"/>
            <w:vAlign w:val="center"/>
          </w:tcPr>
          <w:p w14:paraId="4FF37357">
            <w:pPr>
              <w:jc w:val="center"/>
              <w:rPr>
                <w:rFonts w:ascii="宋体" w:hAnsi="宋体" w:cs="宋体"/>
                <w:sz w:val="24"/>
                <w:shd w:val="clear" w:color="auto" w:fill="FFFFFF"/>
              </w:rPr>
            </w:pPr>
          </w:p>
        </w:tc>
      </w:tr>
      <w:tr w14:paraId="76805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88" w:type="dxa"/>
            <w:gridSpan w:val="8"/>
            <w:vAlign w:val="center"/>
          </w:tcPr>
          <w:p w14:paraId="744DAB5B">
            <w:pPr>
              <w:widowControl/>
              <w:jc w:val="center"/>
              <w:rPr>
                <w:rFonts w:ascii="宋体" w:hAnsi="宋体" w:cs="宋体"/>
                <w:b/>
                <w:kern w:val="0"/>
                <w:sz w:val="24"/>
                <w:shd w:val="clear" w:color="auto" w:fill="FFFFFF"/>
              </w:rPr>
            </w:pPr>
            <w:r>
              <w:rPr>
                <w:rFonts w:hint="eastAsia" w:ascii="宋体" w:hAnsi="宋体" w:cs="宋体"/>
                <w:b/>
                <w:kern w:val="0"/>
                <w:sz w:val="24"/>
                <w:shd w:val="clear" w:color="auto" w:fill="FFFFFF"/>
              </w:rPr>
              <w:t>总价（元）</w:t>
            </w:r>
          </w:p>
        </w:tc>
        <w:tc>
          <w:tcPr>
            <w:tcW w:w="1539" w:type="dxa"/>
            <w:gridSpan w:val="2"/>
            <w:vAlign w:val="center"/>
          </w:tcPr>
          <w:p w14:paraId="6B221605">
            <w:pPr>
              <w:jc w:val="center"/>
              <w:rPr>
                <w:rFonts w:ascii="宋体" w:hAnsi="宋体" w:cs="宋体"/>
                <w:sz w:val="24"/>
                <w:shd w:val="clear" w:color="auto" w:fill="FFFFFF"/>
              </w:rPr>
            </w:pPr>
          </w:p>
        </w:tc>
      </w:tr>
    </w:tbl>
    <w:p w14:paraId="6D2D16BD">
      <w:pPr>
        <w:spacing w:before="60" w:after="60" w:line="360" w:lineRule="auto"/>
        <w:rPr>
          <w:rFonts w:ascii="宋体" w:hAnsi="宋体" w:cs="宋体"/>
          <w:b/>
          <w:sz w:val="24"/>
          <w:shd w:val="clear" w:color="auto" w:fill="FFFFFF"/>
        </w:rPr>
      </w:pPr>
      <w:r>
        <w:rPr>
          <w:rFonts w:hint="eastAsia" w:ascii="宋体" w:hAnsi="宋体" w:cs="宋体"/>
          <w:b/>
          <w:sz w:val="24"/>
          <w:shd w:val="clear" w:color="auto" w:fill="FFFFFF"/>
        </w:rPr>
        <w:t>注：1.若供应商提供的产品符合财政文件关于节能产品和环境标志产品（政府强制采购节能产品除外）划分标准，请填写该表，并提供证明材料；</w:t>
      </w:r>
    </w:p>
    <w:p w14:paraId="7A4B6047">
      <w:pPr>
        <w:spacing w:before="60" w:after="60" w:line="360" w:lineRule="auto"/>
        <w:rPr>
          <w:rFonts w:ascii="宋体" w:hAnsi="宋体" w:cs="宋体"/>
          <w:b/>
          <w:sz w:val="24"/>
          <w:shd w:val="clear" w:color="auto" w:fill="FFFFFF"/>
        </w:rPr>
      </w:pPr>
      <w:r>
        <w:rPr>
          <w:rFonts w:hint="eastAsia" w:ascii="宋体" w:hAnsi="宋体" w:cs="宋体"/>
          <w:b/>
          <w:sz w:val="24"/>
          <w:shd w:val="clear" w:color="auto" w:fill="FFFFFF"/>
        </w:rPr>
        <w:t xml:space="preserve"> 2.若不属于以上情形，此表不必填写，可以不保留格式。</w:t>
      </w:r>
    </w:p>
    <w:p w14:paraId="5735DF9A">
      <w:pPr>
        <w:spacing w:line="480" w:lineRule="auto"/>
        <w:rPr>
          <w:rFonts w:ascii="宋体" w:hAnsi="宋体" w:cs="宋体-18030"/>
          <w:sz w:val="24"/>
        </w:rPr>
      </w:pPr>
    </w:p>
    <w:p w14:paraId="67A82F6D">
      <w:pPr>
        <w:spacing w:line="480" w:lineRule="auto"/>
        <w:rPr>
          <w:rFonts w:ascii="宋体" w:hAnsi="宋体" w:cs="宋体-18030"/>
          <w:sz w:val="24"/>
        </w:rPr>
      </w:pPr>
    </w:p>
    <w:p w14:paraId="0638ABCA">
      <w:pPr>
        <w:spacing w:before="360" w:after="360"/>
        <w:rPr>
          <w:rFonts w:ascii="宋体" w:hAnsi="宋体" w:cs="宋体"/>
          <w:sz w:val="24"/>
        </w:rPr>
      </w:pPr>
      <w:r>
        <w:rPr>
          <w:rFonts w:hint="eastAsia" w:ascii="宋体" w:hAnsi="宋体" w:cs="宋体"/>
          <w:sz w:val="24"/>
        </w:rPr>
        <w:t>供应商全称：</w:t>
      </w:r>
      <w:r>
        <w:rPr>
          <w:rFonts w:hint="eastAsia" w:ascii="宋体" w:hAnsi="宋体" w:cs="宋体"/>
          <w:sz w:val="24"/>
          <w:u w:val="single"/>
        </w:rPr>
        <w:t xml:space="preserve">                                 </w:t>
      </w:r>
      <w:r>
        <w:rPr>
          <w:rFonts w:hint="eastAsia" w:ascii="宋体" w:hAnsi="宋体" w:cs="宋体"/>
          <w:sz w:val="24"/>
        </w:rPr>
        <w:t>（电子签章）</w:t>
      </w:r>
    </w:p>
    <w:p w14:paraId="36AC947E">
      <w:pPr>
        <w:spacing w:before="360" w:after="360"/>
        <w:rPr>
          <w:rFonts w:ascii="宋体" w:hAnsi="宋体" w:cs="宋体"/>
          <w:sz w:val="24"/>
        </w:rPr>
      </w:pPr>
      <w:r>
        <w:rPr>
          <w:rFonts w:hint="eastAsia" w:ascii="宋体" w:hAnsi="宋体" w:cs="宋体"/>
          <w:sz w:val="24"/>
        </w:rPr>
        <w:t>法定代表人或其委托代理人：</w:t>
      </w:r>
      <w:r>
        <w:rPr>
          <w:rFonts w:hint="eastAsia" w:ascii="宋体" w:hAnsi="宋体" w:cs="宋体"/>
          <w:sz w:val="24"/>
          <w:u w:val="single"/>
        </w:rPr>
        <w:t xml:space="preserve">               </w:t>
      </w:r>
      <w:r>
        <w:rPr>
          <w:rFonts w:hint="eastAsia" w:ascii="宋体" w:hAnsi="宋体" w:cs="宋体"/>
          <w:sz w:val="24"/>
        </w:rPr>
        <w:t>（签字或电子签章）</w:t>
      </w:r>
    </w:p>
    <w:p w14:paraId="56A49110">
      <w:pPr>
        <w:spacing w:before="360" w:after="360"/>
        <w:rPr>
          <w:rFonts w:ascii="宋体" w:hAnsi="宋体" w:cs="宋体"/>
          <w:kern w:val="0"/>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450DC13">
      <w:pPr>
        <w:jc w:val="both"/>
        <w:outlineLvl w:val="9"/>
        <w:rPr>
          <w:rFonts w:ascii="宋体" w:hAnsi="宋体" w:cs="宋体"/>
          <w:sz w:val="24"/>
        </w:rPr>
      </w:pPr>
      <w:r>
        <w:rPr>
          <w:rFonts w:ascii="宋体" w:hAnsi="宋体" w:cs="宋体"/>
          <w:sz w:val="24"/>
        </w:rPr>
        <w:br w:type="page"/>
      </w:r>
      <w:bookmarkEnd w:id="286"/>
      <w:bookmarkStart w:id="287" w:name="_Toc86124092"/>
    </w:p>
    <w:p w14:paraId="340910EC">
      <w:pPr>
        <w:spacing w:line="480" w:lineRule="exact"/>
        <w:jc w:val="center"/>
        <w:outlineLvl w:val="9"/>
        <w:rPr>
          <w:rFonts w:ascii="宋体" w:hAnsi="宋体" w:eastAsia="宋体" w:cs="宋体"/>
          <w:color w:val="auto"/>
          <w:sz w:val="36"/>
          <w:szCs w:val="36"/>
        </w:rPr>
      </w:pPr>
    </w:p>
    <w:p w14:paraId="388CD436">
      <w:pPr>
        <w:spacing w:line="480" w:lineRule="exact"/>
        <w:jc w:val="center"/>
        <w:outlineLvl w:val="9"/>
        <w:rPr>
          <w:rFonts w:ascii="宋体" w:hAnsi="宋体" w:eastAsia="宋体" w:cs="宋体"/>
          <w:color w:val="auto"/>
          <w:sz w:val="36"/>
          <w:szCs w:val="36"/>
        </w:rPr>
      </w:pPr>
    </w:p>
    <w:p w14:paraId="31D1B88E">
      <w:pPr>
        <w:spacing w:line="480" w:lineRule="exact"/>
        <w:jc w:val="center"/>
        <w:outlineLvl w:val="9"/>
        <w:rPr>
          <w:rFonts w:ascii="宋体" w:hAnsi="宋体" w:eastAsia="宋体" w:cs="宋体"/>
          <w:color w:val="auto"/>
          <w:sz w:val="36"/>
          <w:szCs w:val="36"/>
        </w:rPr>
      </w:pPr>
    </w:p>
    <w:p w14:paraId="3AFBB23E">
      <w:pPr>
        <w:spacing w:line="480" w:lineRule="exact"/>
        <w:jc w:val="center"/>
        <w:outlineLvl w:val="9"/>
        <w:rPr>
          <w:rFonts w:ascii="宋体" w:hAnsi="宋体" w:eastAsia="宋体" w:cs="宋体"/>
          <w:color w:val="auto"/>
          <w:sz w:val="36"/>
          <w:szCs w:val="36"/>
        </w:rPr>
      </w:pPr>
    </w:p>
    <w:p w14:paraId="68F6C2DB">
      <w:pPr>
        <w:spacing w:line="480" w:lineRule="exact"/>
        <w:jc w:val="center"/>
        <w:outlineLvl w:val="9"/>
        <w:rPr>
          <w:rFonts w:ascii="宋体" w:hAnsi="宋体" w:eastAsia="宋体" w:cs="宋体"/>
          <w:color w:val="auto"/>
          <w:sz w:val="36"/>
          <w:szCs w:val="36"/>
        </w:rPr>
      </w:pPr>
    </w:p>
    <w:p w14:paraId="1A0A8D3F">
      <w:pPr>
        <w:spacing w:line="480" w:lineRule="exact"/>
        <w:jc w:val="center"/>
        <w:outlineLvl w:val="9"/>
        <w:rPr>
          <w:rFonts w:ascii="宋体" w:hAnsi="宋体" w:eastAsia="宋体" w:cs="宋体"/>
          <w:color w:val="auto"/>
          <w:sz w:val="36"/>
          <w:szCs w:val="36"/>
        </w:rPr>
      </w:pPr>
    </w:p>
    <w:p w14:paraId="4FF593DB">
      <w:pPr>
        <w:spacing w:line="480" w:lineRule="exact"/>
        <w:jc w:val="center"/>
        <w:outlineLvl w:val="9"/>
        <w:rPr>
          <w:rFonts w:ascii="宋体" w:hAnsi="宋体" w:eastAsia="宋体" w:cs="宋体"/>
          <w:color w:val="auto"/>
          <w:sz w:val="36"/>
          <w:szCs w:val="36"/>
        </w:rPr>
      </w:pPr>
    </w:p>
    <w:p w14:paraId="7406F930">
      <w:pPr>
        <w:spacing w:line="480" w:lineRule="exact"/>
        <w:jc w:val="center"/>
        <w:outlineLvl w:val="9"/>
        <w:rPr>
          <w:rFonts w:ascii="宋体" w:hAnsi="宋体" w:eastAsia="宋体" w:cs="宋体"/>
          <w:color w:val="auto"/>
          <w:sz w:val="36"/>
          <w:szCs w:val="36"/>
        </w:rPr>
      </w:pPr>
    </w:p>
    <w:p w14:paraId="244A0AB2">
      <w:pPr>
        <w:spacing w:line="480" w:lineRule="exact"/>
        <w:jc w:val="center"/>
        <w:outlineLvl w:val="9"/>
        <w:rPr>
          <w:rFonts w:ascii="宋体" w:hAnsi="宋体" w:eastAsia="宋体" w:cs="宋体"/>
          <w:color w:val="auto"/>
          <w:sz w:val="36"/>
          <w:szCs w:val="36"/>
        </w:rPr>
      </w:pPr>
    </w:p>
    <w:p w14:paraId="5E6ADAE5">
      <w:pPr>
        <w:spacing w:line="480" w:lineRule="exact"/>
        <w:jc w:val="center"/>
        <w:outlineLvl w:val="9"/>
        <w:rPr>
          <w:rFonts w:ascii="宋体" w:hAnsi="宋体" w:eastAsia="宋体" w:cs="宋体"/>
          <w:color w:val="auto"/>
          <w:sz w:val="36"/>
          <w:szCs w:val="36"/>
        </w:rPr>
      </w:pPr>
    </w:p>
    <w:p w14:paraId="7365E813">
      <w:pPr>
        <w:spacing w:line="480" w:lineRule="exact"/>
        <w:jc w:val="center"/>
        <w:outlineLvl w:val="9"/>
        <w:rPr>
          <w:rFonts w:ascii="宋体" w:hAnsi="宋体" w:eastAsia="宋体" w:cs="宋体"/>
          <w:color w:val="auto"/>
          <w:sz w:val="36"/>
          <w:szCs w:val="36"/>
        </w:rPr>
      </w:pPr>
    </w:p>
    <w:p w14:paraId="09E9F931">
      <w:pPr>
        <w:spacing w:line="480" w:lineRule="exact"/>
        <w:jc w:val="center"/>
        <w:outlineLvl w:val="9"/>
        <w:rPr>
          <w:rFonts w:ascii="宋体" w:hAnsi="宋体" w:eastAsia="宋体" w:cs="宋体"/>
          <w:color w:val="auto"/>
          <w:sz w:val="36"/>
          <w:szCs w:val="36"/>
        </w:rPr>
      </w:pPr>
    </w:p>
    <w:p w14:paraId="5EC83876">
      <w:pPr>
        <w:spacing w:line="480" w:lineRule="exact"/>
        <w:jc w:val="center"/>
        <w:outlineLvl w:val="9"/>
        <w:rPr>
          <w:rFonts w:ascii="宋体" w:hAnsi="宋体" w:eastAsia="宋体" w:cs="宋体"/>
          <w:color w:val="auto"/>
          <w:sz w:val="36"/>
          <w:szCs w:val="36"/>
        </w:rPr>
      </w:pPr>
    </w:p>
    <w:p w14:paraId="562AFE87">
      <w:pPr>
        <w:pStyle w:val="3"/>
        <w:spacing w:line="480" w:lineRule="exact"/>
        <w:jc w:val="center"/>
        <w:rPr>
          <w:rFonts w:ascii="宋体" w:hAnsi="宋体" w:eastAsia="宋体" w:cs="宋体"/>
          <w:color w:val="auto"/>
          <w:sz w:val="36"/>
          <w:szCs w:val="36"/>
        </w:rPr>
      </w:pPr>
      <w:bookmarkStart w:id="288" w:name="_Toc505612985"/>
      <w:r>
        <w:rPr>
          <w:rFonts w:hint="eastAsia" w:ascii="宋体" w:hAnsi="宋体" w:eastAsia="宋体" w:cs="宋体"/>
          <w:color w:val="auto"/>
          <w:sz w:val="36"/>
          <w:szCs w:val="36"/>
        </w:rPr>
        <w:t>第五章  谈判程序和方法</w:t>
      </w:r>
      <w:bookmarkEnd w:id="287"/>
      <w:bookmarkEnd w:id="288"/>
    </w:p>
    <w:p w14:paraId="1D224F58">
      <w:pPr>
        <w:rPr>
          <w:rFonts w:ascii="宋体" w:hAnsi="宋体" w:cs="宋体"/>
        </w:rPr>
      </w:pPr>
    </w:p>
    <w:p w14:paraId="05CE9D8C">
      <w:pPr>
        <w:pStyle w:val="4"/>
      </w:pPr>
      <w:r>
        <w:rPr>
          <w:rFonts w:hint="eastAsia"/>
        </w:rPr>
        <w:br w:type="page"/>
      </w:r>
      <w:bookmarkStart w:id="289" w:name="_Toc505612986"/>
      <w:bookmarkStart w:id="290" w:name="_Toc447808243"/>
      <w:bookmarkStart w:id="291" w:name="_Toc448828946"/>
      <w:bookmarkStart w:id="292" w:name="_Toc86124093"/>
      <w:bookmarkStart w:id="293" w:name="_Toc498367361"/>
      <w:bookmarkStart w:id="294" w:name="_Toc191374457"/>
      <w:bookmarkStart w:id="295" w:name="_Toc450312204"/>
      <w:bookmarkStart w:id="296" w:name="_Toc495941944"/>
      <w:r>
        <w:rPr>
          <w:rFonts w:hint="eastAsia"/>
        </w:rPr>
        <w:t>一、谈判程序和方法前附表</w:t>
      </w:r>
      <w:bookmarkEnd w:id="289"/>
      <w:bookmarkEnd w:id="290"/>
      <w:bookmarkEnd w:id="291"/>
      <w:bookmarkEnd w:id="292"/>
      <w:bookmarkEnd w:id="293"/>
      <w:bookmarkEnd w:id="294"/>
      <w:bookmarkEnd w:id="295"/>
      <w:bookmarkEnd w:id="296"/>
    </w:p>
    <w:p w14:paraId="48397884">
      <w:pPr>
        <w:numPr>
          <w:ilvl w:val="0"/>
          <w:numId w:val="12"/>
        </w:numPr>
        <w:rPr>
          <w:rFonts w:ascii="宋体" w:hAnsi="宋体" w:cs="宋体"/>
          <w:b/>
          <w:bCs/>
          <w:sz w:val="24"/>
        </w:rPr>
      </w:pPr>
      <w:r>
        <w:rPr>
          <w:rFonts w:hint="eastAsia" w:ascii="宋体" w:hAnsi="宋体" w:cs="宋体"/>
          <w:b/>
          <w:bCs/>
          <w:sz w:val="24"/>
        </w:rPr>
        <w:t>资格审查及符合性审查</w:t>
      </w:r>
    </w:p>
    <w:tbl>
      <w:tblPr>
        <w:tblStyle w:val="38"/>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425"/>
        <w:gridCol w:w="4253"/>
        <w:gridCol w:w="4738"/>
      </w:tblGrid>
      <w:tr w14:paraId="63461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1112" w:type="dxa"/>
            <w:gridSpan w:val="2"/>
            <w:vAlign w:val="center"/>
          </w:tcPr>
          <w:p w14:paraId="0CA34E01">
            <w:pPr>
              <w:spacing w:line="400" w:lineRule="exact"/>
              <w:jc w:val="center"/>
              <w:rPr>
                <w:rFonts w:ascii="宋体" w:hAnsi="宋体" w:cs="宋体"/>
                <w:b/>
                <w:sz w:val="24"/>
              </w:rPr>
            </w:pPr>
            <w:r>
              <w:rPr>
                <w:rFonts w:hint="eastAsia" w:ascii="宋体" w:hAnsi="宋体" w:cs="宋体"/>
                <w:b/>
                <w:sz w:val="24"/>
              </w:rPr>
              <w:t>条款号</w:t>
            </w:r>
          </w:p>
        </w:tc>
        <w:tc>
          <w:tcPr>
            <w:tcW w:w="4253" w:type="dxa"/>
            <w:vAlign w:val="center"/>
          </w:tcPr>
          <w:p w14:paraId="3666FEE1">
            <w:pPr>
              <w:tabs>
                <w:tab w:val="left" w:pos="480"/>
              </w:tabs>
              <w:adjustRightInd w:val="0"/>
              <w:snapToGrid w:val="0"/>
              <w:spacing w:line="366" w:lineRule="exact"/>
              <w:jc w:val="center"/>
              <w:rPr>
                <w:rFonts w:ascii="宋体" w:hAnsi="宋体" w:cs="宋体"/>
                <w:b/>
                <w:spacing w:val="6"/>
                <w:sz w:val="24"/>
              </w:rPr>
            </w:pPr>
            <w:r>
              <w:rPr>
                <w:rFonts w:hint="eastAsia" w:ascii="宋体" w:hAnsi="宋体"/>
                <w:b/>
                <w:sz w:val="24"/>
              </w:rPr>
              <w:t>资格条件</w:t>
            </w:r>
          </w:p>
        </w:tc>
        <w:tc>
          <w:tcPr>
            <w:tcW w:w="4738" w:type="dxa"/>
            <w:vAlign w:val="center"/>
          </w:tcPr>
          <w:p w14:paraId="7AB41627">
            <w:pPr>
              <w:tabs>
                <w:tab w:val="left" w:pos="480"/>
              </w:tabs>
              <w:adjustRightInd w:val="0"/>
              <w:snapToGrid w:val="0"/>
              <w:spacing w:line="366" w:lineRule="exact"/>
              <w:jc w:val="center"/>
              <w:rPr>
                <w:rFonts w:ascii="宋体" w:hAnsi="宋体" w:cs="宋体"/>
                <w:b/>
                <w:spacing w:val="6"/>
                <w:sz w:val="24"/>
              </w:rPr>
            </w:pPr>
            <w:r>
              <w:rPr>
                <w:rFonts w:hint="eastAsia" w:ascii="宋体" w:hAnsi="宋体"/>
                <w:b/>
                <w:sz w:val="24"/>
              </w:rPr>
              <w:t>审查内容和审查标准</w:t>
            </w:r>
          </w:p>
        </w:tc>
      </w:tr>
      <w:tr w14:paraId="56ED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restart"/>
            <w:vAlign w:val="center"/>
          </w:tcPr>
          <w:p w14:paraId="0D448E86">
            <w:pPr>
              <w:spacing w:line="400" w:lineRule="exact"/>
              <w:jc w:val="center"/>
              <w:rPr>
                <w:rFonts w:ascii="宋体" w:hAnsi="宋体" w:cs="宋体"/>
                <w:sz w:val="24"/>
              </w:rPr>
            </w:pPr>
            <w:r>
              <w:rPr>
                <w:rFonts w:hint="eastAsia" w:ascii="宋体" w:hAnsi="宋体" w:cs="宋体"/>
                <w:sz w:val="24"/>
              </w:rPr>
              <w:t>2.1</w:t>
            </w:r>
          </w:p>
        </w:tc>
        <w:tc>
          <w:tcPr>
            <w:tcW w:w="425" w:type="dxa"/>
            <w:vMerge w:val="restart"/>
            <w:vAlign w:val="center"/>
          </w:tcPr>
          <w:p w14:paraId="3FE10841">
            <w:pPr>
              <w:spacing w:line="400" w:lineRule="exact"/>
              <w:jc w:val="center"/>
              <w:rPr>
                <w:rFonts w:ascii="宋体" w:hAnsi="宋体" w:cs="宋体"/>
                <w:sz w:val="24"/>
              </w:rPr>
            </w:pPr>
            <w:r>
              <w:rPr>
                <w:rFonts w:hint="eastAsia" w:ascii="宋体" w:hAnsi="宋体" w:cs="宋体"/>
                <w:sz w:val="24"/>
              </w:rPr>
              <w:t>资格审查</w:t>
            </w:r>
          </w:p>
        </w:tc>
        <w:tc>
          <w:tcPr>
            <w:tcW w:w="8991" w:type="dxa"/>
            <w:gridSpan w:val="2"/>
            <w:vAlign w:val="center"/>
          </w:tcPr>
          <w:p w14:paraId="38DA6182">
            <w:pPr>
              <w:shd w:val="clear" w:color="auto" w:fill="FFFFFF"/>
              <w:spacing w:line="366" w:lineRule="exact"/>
              <w:jc w:val="left"/>
              <w:rPr>
                <w:rFonts w:ascii="宋体" w:hAnsi="宋体"/>
                <w:sz w:val="24"/>
              </w:rPr>
            </w:pPr>
            <w:r>
              <w:rPr>
                <w:rFonts w:hint="eastAsia" w:ascii="宋体" w:hAnsi="宋体"/>
                <w:b/>
                <w:sz w:val="24"/>
              </w:rPr>
              <w:t>1.满足《中华人民共和国政府采购法》第二十二条规定</w:t>
            </w:r>
            <w:r>
              <w:rPr>
                <w:rFonts w:hint="eastAsia" w:ascii="宋体" w:hAnsi="宋体"/>
                <w:sz w:val="24"/>
              </w:rPr>
              <w:t>；</w:t>
            </w:r>
          </w:p>
        </w:tc>
      </w:tr>
      <w:tr w14:paraId="6737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0AA62608">
            <w:pPr>
              <w:spacing w:line="400" w:lineRule="exact"/>
              <w:jc w:val="center"/>
              <w:rPr>
                <w:rFonts w:ascii="宋体" w:hAnsi="宋体" w:cs="宋体"/>
                <w:sz w:val="24"/>
              </w:rPr>
            </w:pPr>
          </w:p>
        </w:tc>
        <w:tc>
          <w:tcPr>
            <w:tcW w:w="425" w:type="dxa"/>
            <w:vMerge w:val="continue"/>
            <w:vAlign w:val="center"/>
          </w:tcPr>
          <w:p w14:paraId="651504C4">
            <w:pPr>
              <w:spacing w:line="400" w:lineRule="exact"/>
              <w:jc w:val="center"/>
              <w:rPr>
                <w:rFonts w:ascii="宋体" w:hAnsi="宋体" w:cs="宋体"/>
                <w:sz w:val="24"/>
              </w:rPr>
            </w:pPr>
          </w:p>
        </w:tc>
        <w:tc>
          <w:tcPr>
            <w:tcW w:w="4253" w:type="dxa"/>
            <w:vAlign w:val="center"/>
          </w:tcPr>
          <w:p w14:paraId="335D96D6">
            <w:pPr>
              <w:shd w:val="clear" w:color="auto" w:fill="FFFFFF"/>
              <w:spacing w:line="400" w:lineRule="exact"/>
              <w:jc w:val="left"/>
              <w:rPr>
                <w:rFonts w:ascii="宋体" w:hAnsi="宋体"/>
                <w:sz w:val="24"/>
              </w:rPr>
            </w:pPr>
            <w:r>
              <w:rPr>
                <w:rFonts w:hint="eastAsia" w:ascii="宋体" w:hAnsi="宋体"/>
                <w:kern w:val="0"/>
                <w:sz w:val="24"/>
              </w:rPr>
              <w:t>1.1具有独立承担民事责任的能力</w:t>
            </w:r>
          </w:p>
        </w:tc>
        <w:tc>
          <w:tcPr>
            <w:tcW w:w="4738" w:type="dxa"/>
            <w:vAlign w:val="center"/>
          </w:tcPr>
          <w:p w14:paraId="439B4CF5">
            <w:pPr>
              <w:shd w:val="clear" w:color="auto" w:fill="FFFFFF"/>
              <w:spacing w:line="400" w:lineRule="exact"/>
              <w:jc w:val="left"/>
              <w:rPr>
                <w:rFonts w:ascii="宋体" w:hAnsi="宋体"/>
                <w:sz w:val="24"/>
              </w:rPr>
            </w:pPr>
            <w:r>
              <w:rPr>
                <w:rFonts w:hint="eastAsia" w:ascii="宋体" w:hAnsi="宋体"/>
                <w:kern w:val="0"/>
                <w:sz w:val="24"/>
                <w:highlight w:val="none"/>
              </w:rPr>
              <w:t>提供法人或者其他组织的营业执照等证明文件，自然人提供身份证明</w:t>
            </w:r>
            <w:r>
              <w:rPr>
                <w:rFonts w:hint="eastAsia" w:ascii="宋体" w:hAnsi="宋体"/>
                <w:sz w:val="24"/>
                <w:highlight w:val="none"/>
              </w:rPr>
              <w:t>加盖</w:t>
            </w:r>
            <w:r>
              <w:rPr>
                <w:rFonts w:hint="eastAsia" w:ascii="宋体" w:hAnsi="宋体"/>
                <w:sz w:val="24"/>
                <w:highlight w:val="none"/>
                <w:lang w:val="en-US" w:eastAsia="zh-CN"/>
              </w:rPr>
              <w:t>电子签</w:t>
            </w:r>
            <w:r>
              <w:rPr>
                <w:rFonts w:hint="eastAsia" w:ascii="宋体" w:hAnsi="宋体"/>
                <w:sz w:val="24"/>
                <w:highlight w:val="none"/>
              </w:rPr>
              <w:t>章。</w:t>
            </w:r>
          </w:p>
        </w:tc>
      </w:tr>
      <w:tr w14:paraId="52F08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2DA9F4DC">
            <w:pPr>
              <w:spacing w:line="400" w:lineRule="exact"/>
              <w:jc w:val="center"/>
              <w:rPr>
                <w:rFonts w:ascii="宋体" w:hAnsi="宋体" w:cs="宋体"/>
                <w:sz w:val="24"/>
              </w:rPr>
            </w:pPr>
          </w:p>
        </w:tc>
        <w:tc>
          <w:tcPr>
            <w:tcW w:w="425" w:type="dxa"/>
            <w:vMerge w:val="continue"/>
            <w:vAlign w:val="center"/>
          </w:tcPr>
          <w:p w14:paraId="32617552">
            <w:pPr>
              <w:spacing w:line="400" w:lineRule="exact"/>
              <w:jc w:val="center"/>
              <w:rPr>
                <w:rFonts w:ascii="宋体" w:hAnsi="宋体" w:cs="宋体"/>
                <w:sz w:val="24"/>
              </w:rPr>
            </w:pPr>
          </w:p>
        </w:tc>
        <w:tc>
          <w:tcPr>
            <w:tcW w:w="4253" w:type="dxa"/>
            <w:vAlign w:val="center"/>
          </w:tcPr>
          <w:p w14:paraId="792C0516">
            <w:pPr>
              <w:shd w:val="clear" w:color="auto" w:fill="FFFFFF"/>
              <w:spacing w:line="400" w:lineRule="exact"/>
              <w:jc w:val="left"/>
              <w:rPr>
                <w:rFonts w:ascii="宋体" w:hAnsi="宋体"/>
                <w:sz w:val="24"/>
              </w:rPr>
            </w:pPr>
            <w:r>
              <w:rPr>
                <w:rFonts w:hint="eastAsia" w:ascii="宋体" w:hAnsi="宋体"/>
                <w:kern w:val="0"/>
                <w:sz w:val="24"/>
              </w:rPr>
              <w:t>1.2具有良好的商业信誉和健全的财务会计制度</w:t>
            </w:r>
          </w:p>
        </w:tc>
        <w:tc>
          <w:tcPr>
            <w:tcW w:w="4738" w:type="dxa"/>
            <w:vAlign w:val="center"/>
          </w:tcPr>
          <w:p w14:paraId="00C8CD5C">
            <w:pPr>
              <w:shd w:val="clear" w:color="auto" w:fill="FFFFFF"/>
              <w:spacing w:line="400" w:lineRule="exact"/>
              <w:jc w:val="left"/>
              <w:rPr>
                <w:rFonts w:ascii="宋体" w:hAnsi="宋体"/>
                <w:sz w:val="24"/>
              </w:rPr>
            </w:pPr>
            <w:r>
              <w:rPr>
                <w:rFonts w:hint="eastAsia" w:ascii="宋体" w:hAnsi="宋体" w:cs="宋体"/>
                <w:color w:val="auto"/>
                <w:sz w:val="24"/>
                <w:highlight w:val="none"/>
              </w:rPr>
              <w:t>提供202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年至今任意一年经审计的财务报告或银行出具的开标前一个月内的资信证明；成立不满1年的，提供自成立至今公司内部出具的财务报表或银行出具的开标前一个月内的资信证明</w:t>
            </w:r>
            <w:r>
              <w:rPr>
                <w:rFonts w:hint="eastAsia" w:ascii="宋体" w:hAnsi="宋体"/>
                <w:sz w:val="24"/>
                <w:highlight w:val="none"/>
              </w:rPr>
              <w:t>加盖</w:t>
            </w:r>
            <w:r>
              <w:rPr>
                <w:rFonts w:hint="eastAsia" w:ascii="宋体" w:hAnsi="宋体"/>
                <w:sz w:val="24"/>
                <w:highlight w:val="none"/>
                <w:lang w:val="en-US" w:eastAsia="zh-CN"/>
              </w:rPr>
              <w:t>电子签</w:t>
            </w:r>
            <w:r>
              <w:rPr>
                <w:rFonts w:hint="eastAsia" w:ascii="宋体" w:hAnsi="宋体"/>
                <w:sz w:val="24"/>
                <w:highlight w:val="none"/>
              </w:rPr>
              <w:t>章。</w:t>
            </w:r>
          </w:p>
        </w:tc>
      </w:tr>
      <w:tr w14:paraId="62E5C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5DB2BAD0">
            <w:pPr>
              <w:spacing w:line="400" w:lineRule="exact"/>
              <w:jc w:val="center"/>
              <w:rPr>
                <w:rFonts w:ascii="宋体" w:hAnsi="宋体" w:cs="宋体"/>
                <w:sz w:val="24"/>
              </w:rPr>
            </w:pPr>
          </w:p>
        </w:tc>
        <w:tc>
          <w:tcPr>
            <w:tcW w:w="425" w:type="dxa"/>
            <w:vMerge w:val="continue"/>
            <w:vAlign w:val="center"/>
          </w:tcPr>
          <w:p w14:paraId="531F9A65">
            <w:pPr>
              <w:spacing w:line="400" w:lineRule="exact"/>
              <w:jc w:val="center"/>
              <w:rPr>
                <w:rFonts w:ascii="宋体" w:hAnsi="宋体" w:cs="宋体"/>
                <w:sz w:val="24"/>
              </w:rPr>
            </w:pPr>
          </w:p>
        </w:tc>
        <w:tc>
          <w:tcPr>
            <w:tcW w:w="4253" w:type="dxa"/>
            <w:vAlign w:val="center"/>
          </w:tcPr>
          <w:p w14:paraId="2206E0BC">
            <w:pPr>
              <w:shd w:val="clear" w:color="auto" w:fill="FFFFFF"/>
              <w:spacing w:line="400" w:lineRule="exact"/>
              <w:jc w:val="left"/>
              <w:rPr>
                <w:rFonts w:ascii="宋体" w:hAnsi="宋体"/>
                <w:kern w:val="0"/>
                <w:sz w:val="24"/>
              </w:rPr>
            </w:pPr>
            <w:r>
              <w:rPr>
                <w:rFonts w:hint="eastAsia" w:ascii="宋体" w:hAnsi="宋体"/>
                <w:kern w:val="0"/>
                <w:sz w:val="24"/>
              </w:rPr>
              <w:t>1.3具有履行合同所必需的设备和专业技术能力</w:t>
            </w:r>
          </w:p>
        </w:tc>
        <w:tc>
          <w:tcPr>
            <w:tcW w:w="4738" w:type="dxa"/>
            <w:vAlign w:val="center"/>
          </w:tcPr>
          <w:p w14:paraId="384DEF55">
            <w:pPr>
              <w:shd w:val="clear" w:color="auto" w:fill="FFFFFF"/>
              <w:spacing w:line="400" w:lineRule="exact"/>
              <w:jc w:val="left"/>
              <w:rPr>
                <w:rFonts w:ascii="宋体" w:hAnsi="宋体"/>
                <w:kern w:val="0"/>
                <w:sz w:val="24"/>
              </w:rPr>
            </w:pPr>
            <w:r>
              <w:rPr>
                <w:rFonts w:hint="eastAsia" w:ascii="宋体" w:hAnsi="宋体"/>
                <w:kern w:val="0"/>
                <w:sz w:val="24"/>
                <w:highlight w:val="none"/>
              </w:rPr>
              <w:t>提供声明函或证明材料</w:t>
            </w:r>
            <w:r>
              <w:rPr>
                <w:rFonts w:hint="eastAsia" w:ascii="宋体" w:hAnsi="宋体"/>
                <w:sz w:val="24"/>
                <w:highlight w:val="none"/>
              </w:rPr>
              <w:t>加盖</w:t>
            </w:r>
            <w:r>
              <w:rPr>
                <w:rFonts w:hint="eastAsia" w:ascii="宋体" w:hAnsi="宋体"/>
                <w:sz w:val="24"/>
                <w:highlight w:val="none"/>
                <w:lang w:val="en-US" w:eastAsia="zh-CN"/>
              </w:rPr>
              <w:t>电子签</w:t>
            </w:r>
            <w:r>
              <w:rPr>
                <w:rFonts w:hint="eastAsia" w:ascii="宋体" w:hAnsi="宋体"/>
                <w:sz w:val="24"/>
                <w:highlight w:val="none"/>
              </w:rPr>
              <w:t>章。</w:t>
            </w:r>
          </w:p>
        </w:tc>
      </w:tr>
      <w:tr w14:paraId="48034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2BD7E963">
            <w:pPr>
              <w:spacing w:line="400" w:lineRule="exact"/>
              <w:jc w:val="center"/>
              <w:rPr>
                <w:rFonts w:ascii="宋体" w:hAnsi="宋体" w:cs="宋体"/>
                <w:sz w:val="24"/>
              </w:rPr>
            </w:pPr>
          </w:p>
        </w:tc>
        <w:tc>
          <w:tcPr>
            <w:tcW w:w="425" w:type="dxa"/>
            <w:vMerge w:val="continue"/>
            <w:vAlign w:val="center"/>
          </w:tcPr>
          <w:p w14:paraId="0B0A170F">
            <w:pPr>
              <w:spacing w:line="400" w:lineRule="exact"/>
              <w:jc w:val="center"/>
              <w:rPr>
                <w:rFonts w:ascii="宋体" w:hAnsi="宋体" w:cs="宋体"/>
                <w:sz w:val="24"/>
              </w:rPr>
            </w:pPr>
          </w:p>
        </w:tc>
        <w:tc>
          <w:tcPr>
            <w:tcW w:w="4253" w:type="dxa"/>
            <w:vAlign w:val="center"/>
          </w:tcPr>
          <w:p w14:paraId="0F0ACBDC">
            <w:pPr>
              <w:shd w:val="clear" w:color="auto" w:fill="FFFFFF"/>
              <w:spacing w:line="400" w:lineRule="exact"/>
              <w:jc w:val="left"/>
              <w:rPr>
                <w:rFonts w:ascii="宋体" w:hAnsi="宋体"/>
                <w:kern w:val="0"/>
                <w:sz w:val="24"/>
              </w:rPr>
            </w:pPr>
            <w:r>
              <w:rPr>
                <w:rFonts w:hint="eastAsia" w:ascii="宋体" w:hAnsi="宋体"/>
                <w:kern w:val="0"/>
                <w:sz w:val="24"/>
              </w:rPr>
              <w:t>1.4有依法缴纳税收和社会保障资金的良好记录</w:t>
            </w:r>
          </w:p>
        </w:tc>
        <w:tc>
          <w:tcPr>
            <w:tcW w:w="4738" w:type="dxa"/>
            <w:vAlign w:val="center"/>
          </w:tcPr>
          <w:p w14:paraId="6F15927A">
            <w:pPr>
              <w:shd w:val="clear" w:color="auto" w:fill="FFFFFF"/>
              <w:spacing w:line="400" w:lineRule="exact"/>
              <w:jc w:val="left"/>
              <w:rPr>
                <w:rFonts w:ascii="宋体" w:hAnsi="宋体"/>
                <w:kern w:val="0"/>
                <w:sz w:val="24"/>
              </w:rPr>
            </w:pPr>
            <w:r>
              <w:rPr>
                <w:rFonts w:hint="eastAsia" w:ascii="宋体" w:hAnsi="宋体" w:cs="宋体"/>
                <w:color w:val="auto"/>
                <w:sz w:val="24"/>
                <w:highlight w:val="none"/>
              </w:rPr>
              <w:t>①提供所属时间在202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月至今任意</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个月的税务局税收通用缴款书或银行电子缴税(费)凭证或税务局出具纳税情况缴税的证明，依法免税的投标人应提供相应文件证明其依法免税；②提供缴费所属时间在202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月至今任意</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个月的社会保险费缴款书或银行电子缴税(费)凭证或社保管理部门出具的有效的缴款证明，依法不需要缴纳社会保障资金的投标人应提供相应文件证明其不需要缴纳社会保障资金；成立不足1个月的提供相关证明材料</w:t>
            </w:r>
            <w:r>
              <w:rPr>
                <w:rFonts w:hint="eastAsia" w:ascii="宋体" w:hAnsi="宋体" w:cs="宋体"/>
                <w:color w:val="auto"/>
                <w:sz w:val="24"/>
                <w:highlight w:val="none"/>
                <w:lang w:val="en-US" w:eastAsia="zh-CN"/>
              </w:rPr>
              <w:t>加盖电子签章。</w:t>
            </w:r>
          </w:p>
        </w:tc>
      </w:tr>
      <w:tr w14:paraId="67B67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47F2CB76">
            <w:pPr>
              <w:spacing w:line="400" w:lineRule="exact"/>
              <w:jc w:val="center"/>
              <w:rPr>
                <w:rFonts w:ascii="宋体" w:hAnsi="宋体" w:cs="宋体"/>
                <w:sz w:val="24"/>
              </w:rPr>
            </w:pPr>
          </w:p>
        </w:tc>
        <w:tc>
          <w:tcPr>
            <w:tcW w:w="425" w:type="dxa"/>
            <w:vMerge w:val="continue"/>
            <w:vAlign w:val="center"/>
          </w:tcPr>
          <w:p w14:paraId="20D1C1F3">
            <w:pPr>
              <w:spacing w:line="400" w:lineRule="exact"/>
              <w:jc w:val="center"/>
              <w:rPr>
                <w:rFonts w:ascii="宋体" w:hAnsi="宋体" w:cs="宋体"/>
                <w:sz w:val="24"/>
              </w:rPr>
            </w:pPr>
          </w:p>
        </w:tc>
        <w:tc>
          <w:tcPr>
            <w:tcW w:w="4253" w:type="dxa"/>
            <w:vAlign w:val="center"/>
          </w:tcPr>
          <w:p w14:paraId="36BDD3CF">
            <w:pPr>
              <w:shd w:val="clear" w:color="auto" w:fill="FFFFFF"/>
              <w:spacing w:line="400" w:lineRule="exact"/>
              <w:jc w:val="left"/>
              <w:rPr>
                <w:rFonts w:ascii="宋体" w:hAnsi="宋体"/>
                <w:kern w:val="0"/>
                <w:sz w:val="24"/>
              </w:rPr>
            </w:pPr>
            <w:r>
              <w:rPr>
                <w:rFonts w:hint="eastAsia" w:ascii="宋体" w:hAnsi="宋体"/>
                <w:kern w:val="0"/>
                <w:sz w:val="24"/>
              </w:rPr>
              <w:t>1.5参加政府采购活动前三年内，在经营活动中没有重大违法记录</w:t>
            </w:r>
          </w:p>
        </w:tc>
        <w:tc>
          <w:tcPr>
            <w:tcW w:w="4738" w:type="dxa"/>
            <w:vAlign w:val="center"/>
          </w:tcPr>
          <w:p w14:paraId="445B32C5">
            <w:pPr>
              <w:shd w:val="clear" w:color="auto" w:fill="FFFFFF"/>
              <w:spacing w:line="400" w:lineRule="exact"/>
              <w:jc w:val="left"/>
              <w:rPr>
                <w:rFonts w:ascii="宋体" w:hAnsi="宋体"/>
                <w:kern w:val="0"/>
                <w:sz w:val="24"/>
              </w:rPr>
            </w:pPr>
            <w:r>
              <w:rPr>
                <w:rFonts w:hint="eastAsia" w:ascii="宋体" w:hAnsi="宋体"/>
                <w:kern w:val="0"/>
                <w:sz w:val="24"/>
                <w:highlight w:val="none"/>
              </w:rPr>
              <w:t>提供声明函</w:t>
            </w:r>
            <w:r>
              <w:rPr>
                <w:rFonts w:hint="eastAsia" w:ascii="宋体" w:hAnsi="宋体"/>
                <w:sz w:val="24"/>
                <w:highlight w:val="none"/>
              </w:rPr>
              <w:t>加盖</w:t>
            </w:r>
            <w:r>
              <w:rPr>
                <w:rFonts w:hint="eastAsia" w:ascii="宋体" w:hAnsi="宋体"/>
                <w:sz w:val="24"/>
                <w:highlight w:val="none"/>
                <w:lang w:val="en-US" w:eastAsia="zh-CN"/>
              </w:rPr>
              <w:t>电子签</w:t>
            </w:r>
            <w:r>
              <w:rPr>
                <w:rFonts w:hint="eastAsia" w:ascii="宋体" w:hAnsi="宋体"/>
                <w:sz w:val="24"/>
                <w:highlight w:val="none"/>
              </w:rPr>
              <w:t>章。</w:t>
            </w:r>
          </w:p>
        </w:tc>
      </w:tr>
      <w:tr w14:paraId="2CAC4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2EFC7182">
            <w:pPr>
              <w:spacing w:line="400" w:lineRule="exact"/>
              <w:jc w:val="center"/>
              <w:rPr>
                <w:rFonts w:ascii="宋体" w:hAnsi="宋体" w:cs="宋体"/>
                <w:sz w:val="24"/>
              </w:rPr>
            </w:pPr>
          </w:p>
        </w:tc>
        <w:tc>
          <w:tcPr>
            <w:tcW w:w="425" w:type="dxa"/>
            <w:vMerge w:val="continue"/>
            <w:vAlign w:val="center"/>
          </w:tcPr>
          <w:p w14:paraId="5D31EF1A">
            <w:pPr>
              <w:spacing w:line="400" w:lineRule="exact"/>
              <w:jc w:val="center"/>
              <w:rPr>
                <w:rFonts w:ascii="宋体" w:hAnsi="宋体" w:cs="宋体"/>
                <w:sz w:val="24"/>
              </w:rPr>
            </w:pPr>
          </w:p>
        </w:tc>
        <w:tc>
          <w:tcPr>
            <w:tcW w:w="4253" w:type="dxa"/>
            <w:vAlign w:val="center"/>
          </w:tcPr>
          <w:p w14:paraId="4DD9586C">
            <w:pPr>
              <w:shd w:val="clear" w:color="auto" w:fill="FFFFFF"/>
              <w:spacing w:line="400" w:lineRule="exact"/>
              <w:jc w:val="left"/>
              <w:rPr>
                <w:rFonts w:ascii="宋体" w:hAnsi="宋体"/>
                <w:kern w:val="0"/>
                <w:sz w:val="24"/>
              </w:rPr>
            </w:pPr>
            <w:r>
              <w:rPr>
                <w:rFonts w:hint="eastAsia" w:ascii="宋体" w:hAnsi="宋体"/>
                <w:kern w:val="0"/>
                <w:sz w:val="24"/>
              </w:rPr>
              <w:t>1.6法律、行政法规规定的其他条件</w:t>
            </w:r>
          </w:p>
        </w:tc>
        <w:tc>
          <w:tcPr>
            <w:tcW w:w="4738" w:type="dxa"/>
            <w:vAlign w:val="center"/>
          </w:tcPr>
          <w:p w14:paraId="11DD3692">
            <w:pPr>
              <w:shd w:val="clear" w:color="auto" w:fill="FFFFFF"/>
              <w:spacing w:line="400" w:lineRule="exact"/>
              <w:jc w:val="left"/>
              <w:rPr>
                <w:rFonts w:ascii="宋体" w:hAnsi="宋体"/>
                <w:kern w:val="0"/>
                <w:sz w:val="24"/>
              </w:rPr>
            </w:pPr>
            <w:r>
              <w:rPr>
                <w:rFonts w:hint="eastAsia" w:ascii="宋体" w:hAnsi="宋体"/>
                <w:kern w:val="0"/>
                <w:sz w:val="24"/>
                <w:highlight w:val="none"/>
              </w:rPr>
              <w:t>提供声明函或证明材料</w:t>
            </w:r>
            <w:r>
              <w:rPr>
                <w:rFonts w:hint="eastAsia" w:ascii="宋体" w:hAnsi="宋体"/>
                <w:sz w:val="24"/>
                <w:highlight w:val="none"/>
              </w:rPr>
              <w:t>加盖</w:t>
            </w:r>
            <w:r>
              <w:rPr>
                <w:rFonts w:hint="eastAsia" w:ascii="宋体" w:hAnsi="宋体"/>
                <w:sz w:val="24"/>
                <w:highlight w:val="none"/>
                <w:lang w:val="en-US" w:eastAsia="zh-CN"/>
              </w:rPr>
              <w:t>电子签</w:t>
            </w:r>
            <w:r>
              <w:rPr>
                <w:rFonts w:hint="eastAsia" w:ascii="宋体" w:hAnsi="宋体"/>
                <w:sz w:val="24"/>
                <w:highlight w:val="none"/>
              </w:rPr>
              <w:t>章。</w:t>
            </w:r>
          </w:p>
        </w:tc>
      </w:tr>
      <w:tr w14:paraId="34927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5E3DAAFD">
            <w:pPr>
              <w:spacing w:line="400" w:lineRule="exact"/>
              <w:jc w:val="center"/>
              <w:rPr>
                <w:rFonts w:ascii="宋体" w:hAnsi="宋体" w:cs="宋体"/>
                <w:sz w:val="24"/>
              </w:rPr>
            </w:pPr>
          </w:p>
        </w:tc>
        <w:tc>
          <w:tcPr>
            <w:tcW w:w="425" w:type="dxa"/>
            <w:vMerge w:val="continue"/>
            <w:vAlign w:val="center"/>
          </w:tcPr>
          <w:p w14:paraId="0F01F14B">
            <w:pPr>
              <w:spacing w:line="400" w:lineRule="exact"/>
              <w:jc w:val="center"/>
              <w:rPr>
                <w:rFonts w:ascii="宋体" w:hAnsi="宋体" w:cs="宋体"/>
                <w:sz w:val="24"/>
              </w:rPr>
            </w:pPr>
          </w:p>
        </w:tc>
        <w:tc>
          <w:tcPr>
            <w:tcW w:w="8991" w:type="dxa"/>
            <w:gridSpan w:val="2"/>
            <w:vAlign w:val="center"/>
          </w:tcPr>
          <w:p w14:paraId="02F091B8">
            <w:pPr>
              <w:shd w:val="clear" w:color="auto" w:fill="FFFFFF"/>
              <w:spacing w:line="366" w:lineRule="exact"/>
              <w:jc w:val="left"/>
              <w:rPr>
                <w:rFonts w:ascii="宋体" w:hAnsi="宋体"/>
                <w:kern w:val="0"/>
                <w:sz w:val="24"/>
              </w:rPr>
            </w:pPr>
            <w:r>
              <w:rPr>
                <w:rFonts w:ascii="宋体" w:hAnsi="宋体"/>
                <w:b/>
                <w:sz w:val="24"/>
              </w:rPr>
              <w:t>2</w:t>
            </w:r>
            <w:r>
              <w:rPr>
                <w:rFonts w:hint="eastAsia" w:ascii="宋体" w:hAnsi="宋体"/>
                <w:b/>
                <w:sz w:val="24"/>
              </w:rPr>
              <w:t>.落实政府采购政策需满足的资格要求：</w:t>
            </w:r>
            <w:r>
              <w:rPr>
                <w:rFonts w:hint="eastAsia" w:ascii="宋体" w:hAnsi="宋体"/>
                <w:b/>
                <w:sz w:val="24"/>
                <w:lang w:val="en-US" w:eastAsia="zh-CN"/>
              </w:rPr>
              <w:t>本项目非专门面向中小企业采购的项目</w:t>
            </w:r>
            <w:r>
              <w:rPr>
                <w:rFonts w:hint="eastAsia" w:ascii="宋体" w:hAnsi="宋体"/>
                <w:b/>
                <w:sz w:val="24"/>
                <w:shd w:val="clear" w:color="auto" w:fill="FFFFFF"/>
              </w:rPr>
              <w:t>。</w:t>
            </w:r>
          </w:p>
        </w:tc>
      </w:tr>
      <w:tr w14:paraId="17D8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71922C88">
            <w:pPr>
              <w:spacing w:line="400" w:lineRule="exact"/>
              <w:jc w:val="center"/>
              <w:rPr>
                <w:rFonts w:ascii="宋体" w:hAnsi="宋体" w:cs="宋体"/>
                <w:sz w:val="24"/>
              </w:rPr>
            </w:pPr>
          </w:p>
        </w:tc>
        <w:tc>
          <w:tcPr>
            <w:tcW w:w="425" w:type="dxa"/>
            <w:vMerge w:val="continue"/>
            <w:vAlign w:val="center"/>
          </w:tcPr>
          <w:p w14:paraId="05660FAF">
            <w:pPr>
              <w:spacing w:line="400" w:lineRule="exact"/>
              <w:jc w:val="center"/>
              <w:rPr>
                <w:rFonts w:ascii="宋体" w:hAnsi="宋体" w:cs="宋体"/>
                <w:sz w:val="24"/>
              </w:rPr>
            </w:pPr>
          </w:p>
        </w:tc>
        <w:tc>
          <w:tcPr>
            <w:tcW w:w="8991" w:type="dxa"/>
            <w:gridSpan w:val="2"/>
            <w:vAlign w:val="center"/>
          </w:tcPr>
          <w:p w14:paraId="246DD6C6">
            <w:pPr>
              <w:shd w:val="clear" w:color="auto" w:fill="FFFFFF"/>
              <w:tabs>
                <w:tab w:val="left" w:pos="2040"/>
              </w:tabs>
              <w:spacing w:line="366" w:lineRule="exact"/>
              <w:jc w:val="left"/>
              <w:rPr>
                <w:rFonts w:ascii="宋体" w:hAnsi="宋体"/>
                <w:sz w:val="24"/>
              </w:rPr>
            </w:pPr>
            <w:r>
              <w:rPr>
                <w:rFonts w:hint="eastAsia" w:ascii="宋体" w:hAnsi="宋体"/>
                <w:b/>
                <w:sz w:val="24"/>
              </w:rPr>
              <w:t>3.本项目的特定资格要求：</w:t>
            </w:r>
          </w:p>
        </w:tc>
      </w:tr>
      <w:tr w14:paraId="7085D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492506BD">
            <w:pPr>
              <w:spacing w:line="400" w:lineRule="exact"/>
              <w:jc w:val="center"/>
              <w:rPr>
                <w:rFonts w:ascii="宋体" w:hAnsi="宋体" w:cs="宋体"/>
                <w:sz w:val="24"/>
              </w:rPr>
            </w:pPr>
          </w:p>
        </w:tc>
        <w:tc>
          <w:tcPr>
            <w:tcW w:w="425" w:type="dxa"/>
            <w:vMerge w:val="continue"/>
            <w:vAlign w:val="center"/>
          </w:tcPr>
          <w:p w14:paraId="29B42ECF">
            <w:pPr>
              <w:spacing w:line="400" w:lineRule="exact"/>
              <w:jc w:val="center"/>
              <w:rPr>
                <w:rFonts w:ascii="宋体" w:hAnsi="宋体" w:cs="宋体"/>
                <w:sz w:val="24"/>
              </w:rPr>
            </w:pPr>
          </w:p>
        </w:tc>
        <w:tc>
          <w:tcPr>
            <w:tcW w:w="4253" w:type="dxa"/>
            <w:vAlign w:val="center"/>
          </w:tcPr>
          <w:p w14:paraId="62DC1541">
            <w:pPr>
              <w:spacing w:line="366" w:lineRule="exact"/>
              <w:jc w:val="left"/>
              <w:rPr>
                <w:rFonts w:hint="eastAsia" w:ascii="宋体" w:hAnsi="宋体" w:eastAsia="宋体"/>
                <w:kern w:val="0"/>
                <w:sz w:val="24"/>
                <w:lang w:eastAsia="zh-CN"/>
              </w:rPr>
            </w:pPr>
            <w:r>
              <w:rPr>
                <w:rFonts w:hint="eastAsia" w:ascii="宋体" w:hAnsi="宋体"/>
                <w:bCs/>
                <w:sz w:val="24"/>
              </w:rPr>
              <w:t>3.1供应商应在“信用中国”网站(www.creditchina. gov.cn)未被列入失信被执行人记录、重大税收违法失信主体，且在中国政府采购网(www.ccgp.gov.cn)没有政府采购严重违法失信行为记录(被禁止在一定期限内参加政府采购活动但期限届满的除外)；参与本项目的供应商信用查询截止时点：响应文件递交截止当天查询(查询结果以采购人、采购代理机构查询结果为准，并将查询记录留存，供应商无需再提供)</w:t>
            </w:r>
            <w:r>
              <w:rPr>
                <w:rFonts w:hint="eastAsia" w:ascii="宋体" w:hAnsi="宋体"/>
                <w:bCs/>
                <w:sz w:val="24"/>
                <w:lang w:eastAsia="zh-CN"/>
              </w:rPr>
              <w:t>。</w:t>
            </w:r>
          </w:p>
        </w:tc>
        <w:tc>
          <w:tcPr>
            <w:tcW w:w="4738" w:type="dxa"/>
            <w:vAlign w:val="center"/>
          </w:tcPr>
          <w:p w14:paraId="74812FBC">
            <w:pPr>
              <w:shd w:val="clear" w:color="auto" w:fill="FFFFFF"/>
              <w:spacing w:line="400" w:lineRule="exact"/>
              <w:jc w:val="left"/>
              <w:rPr>
                <w:rFonts w:ascii="宋体" w:hAnsi="宋体"/>
                <w:kern w:val="0"/>
                <w:sz w:val="24"/>
              </w:rPr>
            </w:pPr>
            <w:r>
              <w:rPr>
                <w:rFonts w:hint="eastAsia" w:ascii="宋体" w:hAnsi="宋体"/>
                <w:bCs/>
                <w:sz w:val="24"/>
              </w:rPr>
              <w:t>查询结果以采购人、采购代理机构查询结果为准，并将查询记录留存，供应商无需再提供。</w:t>
            </w:r>
          </w:p>
        </w:tc>
      </w:tr>
      <w:tr w14:paraId="37409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1A2923B0">
            <w:pPr>
              <w:spacing w:line="400" w:lineRule="exact"/>
              <w:jc w:val="center"/>
              <w:rPr>
                <w:rFonts w:ascii="宋体" w:hAnsi="宋体" w:cs="宋体"/>
                <w:sz w:val="24"/>
              </w:rPr>
            </w:pPr>
          </w:p>
        </w:tc>
        <w:tc>
          <w:tcPr>
            <w:tcW w:w="425" w:type="dxa"/>
            <w:vMerge w:val="continue"/>
            <w:vAlign w:val="center"/>
          </w:tcPr>
          <w:p w14:paraId="2E9B5280">
            <w:pPr>
              <w:spacing w:line="400" w:lineRule="exact"/>
              <w:jc w:val="center"/>
              <w:rPr>
                <w:rFonts w:ascii="宋体" w:hAnsi="宋体" w:cs="宋体"/>
                <w:sz w:val="24"/>
              </w:rPr>
            </w:pPr>
          </w:p>
        </w:tc>
        <w:tc>
          <w:tcPr>
            <w:tcW w:w="4253" w:type="dxa"/>
            <w:vAlign w:val="center"/>
          </w:tcPr>
          <w:p w14:paraId="223933DE">
            <w:pPr>
              <w:spacing w:line="400" w:lineRule="exact"/>
              <w:jc w:val="left"/>
              <w:rPr>
                <w:rFonts w:ascii="宋体" w:hAnsi="宋体"/>
                <w:kern w:val="0"/>
                <w:sz w:val="24"/>
              </w:rPr>
            </w:pPr>
            <w:r>
              <w:rPr>
                <w:rFonts w:hint="eastAsia" w:ascii="宋体" w:hAnsi="宋体"/>
                <w:bCs/>
                <w:sz w:val="24"/>
              </w:rPr>
              <w:t>3.2供应商需承诺供应商及法定代表人近三年内无行贿犯罪记录</w:t>
            </w:r>
          </w:p>
        </w:tc>
        <w:tc>
          <w:tcPr>
            <w:tcW w:w="4738" w:type="dxa"/>
            <w:vAlign w:val="center"/>
          </w:tcPr>
          <w:p w14:paraId="4FE02921">
            <w:pPr>
              <w:shd w:val="clear" w:color="auto" w:fill="FFFFFF"/>
              <w:spacing w:line="400" w:lineRule="exact"/>
              <w:jc w:val="left"/>
              <w:rPr>
                <w:rFonts w:ascii="宋体" w:hAnsi="宋体"/>
                <w:kern w:val="0"/>
                <w:sz w:val="24"/>
              </w:rPr>
            </w:pPr>
            <w:r>
              <w:rPr>
                <w:rFonts w:hint="eastAsia" w:ascii="宋体" w:hAnsi="宋体"/>
                <w:bCs/>
                <w:sz w:val="24"/>
              </w:rPr>
              <w:t>提供承诺函</w:t>
            </w:r>
            <w:r>
              <w:rPr>
                <w:rFonts w:hint="eastAsia" w:ascii="宋体" w:hAnsi="宋体"/>
                <w:sz w:val="24"/>
              </w:rPr>
              <w:t>加盖</w:t>
            </w:r>
            <w:r>
              <w:rPr>
                <w:rFonts w:hint="eastAsia" w:ascii="宋体" w:hAnsi="宋体"/>
                <w:bCs/>
                <w:sz w:val="24"/>
              </w:rPr>
              <w:t>电子签章。</w:t>
            </w:r>
          </w:p>
        </w:tc>
      </w:tr>
      <w:tr w14:paraId="405F8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7F34036F">
            <w:pPr>
              <w:spacing w:line="400" w:lineRule="exact"/>
              <w:jc w:val="center"/>
              <w:rPr>
                <w:rFonts w:ascii="宋体" w:hAnsi="宋体" w:cs="宋体"/>
                <w:sz w:val="24"/>
              </w:rPr>
            </w:pPr>
          </w:p>
        </w:tc>
        <w:tc>
          <w:tcPr>
            <w:tcW w:w="425" w:type="dxa"/>
            <w:vMerge w:val="continue"/>
            <w:vAlign w:val="center"/>
          </w:tcPr>
          <w:p w14:paraId="7CF60CF3">
            <w:pPr>
              <w:spacing w:line="400" w:lineRule="exact"/>
              <w:jc w:val="center"/>
              <w:rPr>
                <w:rFonts w:ascii="宋体" w:hAnsi="宋体" w:cs="宋体"/>
                <w:sz w:val="24"/>
              </w:rPr>
            </w:pPr>
          </w:p>
        </w:tc>
        <w:tc>
          <w:tcPr>
            <w:tcW w:w="4253" w:type="dxa"/>
            <w:vAlign w:val="center"/>
          </w:tcPr>
          <w:p w14:paraId="5CB4A746">
            <w:pPr>
              <w:spacing w:line="400" w:lineRule="exact"/>
              <w:jc w:val="left"/>
              <w:rPr>
                <w:rFonts w:ascii="宋体" w:hAnsi="宋体"/>
                <w:kern w:val="0"/>
                <w:sz w:val="24"/>
              </w:rPr>
            </w:pPr>
            <w:r>
              <w:rPr>
                <w:rFonts w:hint="eastAsia" w:ascii="宋体" w:hAnsi="宋体"/>
                <w:bCs/>
                <w:sz w:val="24"/>
              </w:rPr>
              <w:t>3.3单位负责人为同一人或者存在直接控股、管理关系的不同供应商，不得同时参与本项目的采购活动。为本项目提供过整体设计、规范编制或者项目管理、监理、检测等服务的供应商，不得再参加本次采购活动</w:t>
            </w:r>
          </w:p>
        </w:tc>
        <w:tc>
          <w:tcPr>
            <w:tcW w:w="4738" w:type="dxa"/>
            <w:vAlign w:val="center"/>
          </w:tcPr>
          <w:p w14:paraId="51762A23">
            <w:pPr>
              <w:shd w:val="clear" w:color="auto" w:fill="FFFFFF"/>
              <w:spacing w:line="400" w:lineRule="exact"/>
              <w:jc w:val="left"/>
              <w:rPr>
                <w:rFonts w:ascii="宋体" w:hAnsi="宋体"/>
                <w:kern w:val="0"/>
                <w:sz w:val="24"/>
              </w:rPr>
            </w:pPr>
            <w:r>
              <w:rPr>
                <w:rFonts w:hint="eastAsia" w:ascii="宋体" w:hAnsi="宋体"/>
                <w:sz w:val="24"/>
              </w:rPr>
              <w:t>提供承诺函加盖电子签章。</w:t>
            </w:r>
          </w:p>
        </w:tc>
      </w:tr>
      <w:tr w14:paraId="31824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Merge w:val="continue"/>
            <w:vAlign w:val="center"/>
          </w:tcPr>
          <w:p w14:paraId="7CC463C1">
            <w:pPr>
              <w:spacing w:line="400" w:lineRule="exact"/>
              <w:jc w:val="center"/>
              <w:rPr>
                <w:rFonts w:ascii="宋体" w:hAnsi="宋体" w:cs="宋体"/>
                <w:sz w:val="24"/>
              </w:rPr>
            </w:pPr>
          </w:p>
        </w:tc>
        <w:tc>
          <w:tcPr>
            <w:tcW w:w="425" w:type="dxa"/>
            <w:vMerge w:val="continue"/>
            <w:vAlign w:val="center"/>
          </w:tcPr>
          <w:p w14:paraId="6C1C07B7">
            <w:pPr>
              <w:spacing w:line="400" w:lineRule="exact"/>
              <w:jc w:val="center"/>
              <w:rPr>
                <w:rFonts w:ascii="宋体" w:hAnsi="宋体" w:cs="宋体"/>
                <w:sz w:val="24"/>
              </w:rPr>
            </w:pPr>
          </w:p>
        </w:tc>
        <w:tc>
          <w:tcPr>
            <w:tcW w:w="4253" w:type="dxa"/>
            <w:vAlign w:val="center"/>
          </w:tcPr>
          <w:p w14:paraId="6FCF913D">
            <w:pPr>
              <w:spacing w:line="400" w:lineRule="exact"/>
              <w:jc w:val="left"/>
              <w:rPr>
                <w:rFonts w:ascii="宋体" w:hAnsi="宋体"/>
                <w:kern w:val="0"/>
                <w:sz w:val="24"/>
              </w:rPr>
            </w:pPr>
            <w:r>
              <w:rPr>
                <w:rFonts w:hint="eastAsia" w:ascii="宋体" w:hAnsi="宋体"/>
                <w:sz w:val="24"/>
              </w:rPr>
              <w:t>3.4本项目不接受联合体投标。</w:t>
            </w:r>
          </w:p>
        </w:tc>
        <w:tc>
          <w:tcPr>
            <w:tcW w:w="4738" w:type="dxa"/>
            <w:vAlign w:val="center"/>
          </w:tcPr>
          <w:p w14:paraId="45A9A0CA">
            <w:pPr>
              <w:shd w:val="clear" w:color="auto" w:fill="FFFFFF"/>
              <w:spacing w:line="400" w:lineRule="exact"/>
              <w:jc w:val="left"/>
              <w:rPr>
                <w:rFonts w:ascii="宋体" w:hAnsi="宋体"/>
                <w:kern w:val="0"/>
                <w:sz w:val="24"/>
              </w:rPr>
            </w:pPr>
            <w:r>
              <w:rPr>
                <w:rFonts w:hint="eastAsia" w:ascii="宋体" w:hAnsi="宋体"/>
                <w:sz w:val="24"/>
              </w:rPr>
              <w:t>非联合体投标。</w:t>
            </w:r>
          </w:p>
        </w:tc>
      </w:tr>
      <w:tr w14:paraId="101C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87" w:type="dxa"/>
            <w:vAlign w:val="center"/>
          </w:tcPr>
          <w:p w14:paraId="75BBA140">
            <w:pPr>
              <w:spacing w:line="400" w:lineRule="exact"/>
              <w:jc w:val="center"/>
              <w:rPr>
                <w:rFonts w:ascii="宋体" w:hAnsi="宋体" w:cs="宋体"/>
                <w:sz w:val="24"/>
              </w:rPr>
            </w:pPr>
            <w:r>
              <w:rPr>
                <w:rFonts w:hint="eastAsia" w:ascii="宋体" w:hAnsi="宋体" w:cs="宋体"/>
                <w:sz w:val="24"/>
              </w:rPr>
              <w:t>2.2</w:t>
            </w:r>
          </w:p>
        </w:tc>
        <w:tc>
          <w:tcPr>
            <w:tcW w:w="425" w:type="dxa"/>
            <w:vAlign w:val="center"/>
          </w:tcPr>
          <w:p w14:paraId="1035AB71">
            <w:pPr>
              <w:spacing w:line="400" w:lineRule="exact"/>
              <w:jc w:val="center"/>
              <w:rPr>
                <w:rFonts w:ascii="宋体" w:hAnsi="宋体" w:cs="宋体"/>
                <w:sz w:val="24"/>
              </w:rPr>
            </w:pPr>
            <w:r>
              <w:rPr>
                <w:rFonts w:hint="eastAsia" w:ascii="宋体" w:hAnsi="宋体" w:cs="宋体"/>
                <w:sz w:val="24"/>
              </w:rPr>
              <w:t>符合性审查</w:t>
            </w:r>
          </w:p>
        </w:tc>
        <w:tc>
          <w:tcPr>
            <w:tcW w:w="8991" w:type="dxa"/>
            <w:gridSpan w:val="2"/>
            <w:vAlign w:val="center"/>
          </w:tcPr>
          <w:p w14:paraId="4AA52BD1">
            <w:pPr>
              <w:spacing w:line="400" w:lineRule="exact"/>
              <w:rPr>
                <w:rFonts w:ascii="宋体" w:hAnsi="宋体" w:cs="宋体"/>
                <w:sz w:val="24"/>
              </w:rPr>
            </w:pPr>
            <w:r>
              <w:rPr>
                <w:rFonts w:hint="eastAsia" w:ascii="宋体" w:hAnsi="宋体" w:cs="宋体"/>
                <w:sz w:val="24"/>
              </w:rPr>
              <w:t>若出现以下情况的，将不通过符合性审查：</w:t>
            </w:r>
          </w:p>
          <w:p w14:paraId="2F339010">
            <w:pPr>
              <w:spacing w:line="400" w:lineRule="exact"/>
              <w:rPr>
                <w:rFonts w:ascii="宋体" w:hAnsi="宋体" w:cs="宋体"/>
                <w:sz w:val="24"/>
              </w:rPr>
            </w:pPr>
            <w:r>
              <w:rPr>
                <w:rFonts w:hint="eastAsia" w:ascii="宋体" w:hAnsi="宋体" w:cs="宋体"/>
                <w:sz w:val="24"/>
              </w:rPr>
              <w:t>1.没有谈判报价的；</w:t>
            </w:r>
          </w:p>
          <w:p w14:paraId="68D83F10">
            <w:pPr>
              <w:spacing w:line="400" w:lineRule="exact"/>
              <w:rPr>
                <w:rFonts w:ascii="宋体" w:hAnsi="宋体" w:cs="宋体"/>
                <w:sz w:val="24"/>
              </w:rPr>
            </w:pPr>
            <w:r>
              <w:rPr>
                <w:rFonts w:hint="eastAsia" w:ascii="宋体" w:hAnsi="宋体" w:cs="宋体"/>
                <w:sz w:val="24"/>
              </w:rPr>
              <w:t>2.响应文件未按竞争性谈判文件要求签字盖章的；</w:t>
            </w:r>
          </w:p>
          <w:p w14:paraId="359E1408">
            <w:pPr>
              <w:spacing w:line="400" w:lineRule="exact"/>
              <w:rPr>
                <w:rFonts w:ascii="宋体" w:hAnsi="宋体" w:cs="宋体"/>
                <w:sz w:val="24"/>
              </w:rPr>
            </w:pPr>
            <w:r>
              <w:rPr>
                <w:rFonts w:hint="eastAsia" w:ascii="宋体" w:hAnsi="宋体" w:cs="宋体"/>
                <w:sz w:val="24"/>
              </w:rPr>
              <w:t>3.原则上响应文件未按规定的格式、内容和要求填写的；</w:t>
            </w:r>
          </w:p>
          <w:p w14:paraId="2CD92DC5">
            <w:pPr>
              <w:spacing w:line="400" w:lineRule="exact"/>
              <w:rPr>
                <w:rFonts w:ascii="宋体" w:hAnsi="宋体" w:cs="宋体"/>
                <w:sz w:val="24"/>
              </w:rPr>
            </w:pPr>
            <w:r>
              <w:rPr>
                <w:rFonts w:hint="eastAsia" w:ascii="宋体" w:hAnsi="宋体" w:cs="宋体"/>
                <w:sz w:val="24"/>
              </w:rPr>
              <w:t>4.响应文件书写潦草、字迹模糊不清难以辨认的；</w:t>
            </w:r>
          </w:p>
          <w:p w14:paraId="39F5427A">
            <w:pPr>
              <w:spacing w:line="400" w:lineRule="exact"/>
              <w:rPr>
                <w:rFonts w:ascii="宋体" w:hAnsi="宋体" w:cs="宋体"/>
                <w:sz w:val="24"/>
              </w:rPr>
            </w:pPr>
            <w:r>
              <w:rPr>
                <w:rFonts w:hint="eastAsia" w:ascii="宋体" w:hAnsi="宋体" w:cs="宋体"/>
                <w:sz w:val="24"/>
                <w:lang w:val="en-US" w:eastAsia="zh-CN"/>
              </w:rPr>
              <w:t>5</w:t>
            </w:r>
            <w:r>
              <w:rPr>
                <w:rFonts w:hint="eastAsia" w:ascii="宋体" w:hAnsi="宋体" w:cs="宋体"/>
                <w:sz w:val="24"/>
              </w:rPr>
              <w:t>.供应商投报两个或多个响应文件、方案或同一谈判内容有两个或多个报价，又未声明其中哪一个有效的；</w:t>
            </w:r>
          </w:p>
          <w:p w14:paraId="0A9CC3FA">
            <w:pPr>
              <w:spacing w:line="400" w:lineRule="exact"/>
              <w:rPr>
                <w:rFonts w:ascii="宋体" w:hAnsi="宋体" w:cs="宋体"/>
                <w:sz w:val="24"/>
              </w:rPr>
            </w:pPr>
            <w:r>
              <w:rPr>
                <w:rFonts w:hint="eastAsia" w:ascii="宋体" w:hAnsi="宋体" w:cs="宋体"/>
                <w:sz w:val="24"/>
                <w:lang w:val="en-US" w:eastAsia="zh-CN"/>
              </w:rPr>
              <w:t>6</w:t>
            </w:r>
            <w:r>
              <w:rPr>
                <w:rFonts w:hint="eastAsia" w:ascii="宋体" w:hAnsi="宋体" w:cs="宋体"/>
                <w:sz w:val="24"/>
              </w:rPr>
              <w:t>.谈判报价</w:t>
            </w:r>
            <w:r>
              <w:rPr>
                <w:rFonts w:hint="eastAsia" w:ascii="宋体" w:hAnsi="宋体" w:cs="宋体"/>
                <w:sz w:val="24"/>
                <w:highlight w:val="none"/>
              </w:rPr>
              <w:t>超过采购预算金额的</w:t>
            </w:r>
            <w:r>
              <w:rPr>
                <w:rFonts w:hint="eastAsia" w:ascii="宋体" w:hAnsi="宋体" w:cs="宋体"/>
                <w:sz w:val="24"/>
              </w:rPr>
              <w:t>；</w:t>
            </w:r>
          </w:p>
          <w:p w14:paraId="2E9044F0">
            <w:pPr>
              <w:spacing w:line="400" w:lineRule="exact"/>
              <w:rPr>
                <w:rFonts w:ascii="宋体" w:hAnsi="宋体" w:cs="宋体"/>
                <w:sz w:val="24"/>
              </w:rPr>
            </w:pPr>
            <w:r>
              <w:rPr>
                <w:rFonts w:hint="eastAsia" w:ascii="宋体" w:hAnsi="宋体" w:cs="宋体"/>
                <w:sz w:val="24"/>
                <w:lang w:val="en-US" w:eastAsia="zh-CN"/>
              </w:rPr>
              <w:t>7</w:t>
            </w:r>
            <w:r>
              <w:rPr>
                <w:rFonts w:hint="eastAsia" w:ascii="宋体" w:hAnsi="宋体" w:cs="宋体"/>
                <w:sz w:val="24"/>
              </w:rPr>
              <w:t>.响应文件有效期不符合谈判文件规定的有效期的；</w:t>
            </w:r>
          </w:p>
          <w:p w14:paraId="3DE106EF">
            <w:pPr>
              <w:spacing w:line="400" w:lineRule="exact"/>
              <w:rPr>
                <w:rFonts w:ascii="宋体" w:hAnsi="宋体" w:cs="宋体"/>
                <w:sz w:val="24"/>
              </w:rPr>
            </w:pPr>
            <w:r>
              <w:rPr>
                <w:rFonts w:hint="eastAsia" w:ascii="宋体" w:hAnsi="宋体" w:cs="宋体"/>
                <w:sz w:val="24"/>
                <w:lang w:val="en-US" w:eastAsia="zh-CN"/>
              </w:rPr>
              <w:t>8</w:t>
            </w:r>
            <w:r>
              <w:rPr>
                <w:rFonts w:hint="eastAsia" w:ascii="宋体" w:hAnsi="宋体" w:cs="宋体"/>
                <w:sz w:val="24"/>
              </w:rPr>
              <w:t>.</w:t>
            </w:r>
            <w:r>
              <w:rPr>
                <w:rFonts w:hint="eastAsia" w:ascii="宋体" w:hAnsi="宋体"/>
                <w:sz w:val="24"/>
              </w:rPr>
              <w:t>响应文件含有不能满足项目实质性要求的条款</w:t>
            </w:r>
            <w:r>
              <w:rPr>
                <w:rFonts w:hint="eastAsia" w:ascii="宋体" w:hAnsi="宋体"/>
                <w:sz w:val="24"/>
                <w:lang w:eastAsia="zh-CN"/>
              </w:rPr>
              <w:t>（第</w:t>
            </w:r>
            <w:r>
              <w:rPr>
                <w:rFonts w:hint="eastAsia" w:ascii="宋体" w:hAnsi="宋体"/>
                <w:sz w:val="24"/>
                <w:lang w:val="en-US" w:eastAsia="zh-CN"/>
              </w:rPr>
              <w:t>六</w:t>
            </w:r>
            <w:r>
              <w:rPr>
                <w:rFonts w:hint="eastAsia" w:ascii="宋体" w:hAnsi="宋体"/>
                <w:sz w:val="24"/>
                <w:lang w:eastAsia="zh-CN"/>
              </w:rPr>
              <w:t>章中“二、</w:t>
            </w:r>
            <w:r>
              <w:rPr>
                <w:rFonts w:hint="eastAsia" w:ascii="宋体" w:hAnsi="宋体"/>
                <w:sz w:val="24"/>
                <w:lang w:val="en-US" w:eastAsia="zh-CN"/>
              </w:rPr>
              <w:t>技术参数</w:t>
            </w:r>
            <w:r>
              <w:rPr>
                <w:rFonts w:hint="eastAsia" w:ascii="宋体" w:hAnsi="宋体"/>
                <w:sz w:val="24"/>
                <w:lang w:eastAsia="zh-CN"/>
              </w:rPr>
              <w:t>”中标注★的技术参数不允许负偏离，其余技术参数至多允许3项技术参数负偏离，否则响应文件按无效响应处理）</w:t>
            </w:r>
            <w:r>
              <w:rPr>
                <w:rFonts w:hint="eastAsia" w:ascii="宋体" w:hAnsi="宋体" w:cs="宋体"/>
                <w:sz w:val="24"/>
              </w:rPr>
              <w:t>；</w:t>
            </w:r>
          </w:p>
          <w:p w14:paraId="78909698">
            <w:pPr>
              <w:spacing w:line="400" w:lineRule="exact"/>
              <w:rPr>
                <w:rFonts w:ascii="宋体" w:hAnsi="宋体" w:cs="宋体"/>
                <w:sz w:val="24"/>
              </w:rPr>
            </w:pPr>
            <w:r>
              <w:rPr>
                <w:rFonts w:hint="eastAsia" w:ascii="宋体" w:hAnsi="宋体" w:cs="宋体"/>
                <w:sz w:val="24"/>
                <w:lang w:val="en-US" w:eastAsia="zh-CN"/>
              </w:rPr>
              <w:t>9</w:t>
            </w:r>
            <w:r>
              <w:rPr>
                <w:rFonts w:hint="eastAsia" w:ascii="宋体" w:hAnsi="宋体" w:cs="宋体"/>
                <w:sz w:val="24"/>
              </w:rPr>
              <w:t>.</w:t>
            </w:r>
            <w:r>
              <w:rPr>
                <w:rFonts w:hint="eastAsia" w:ascii="宋体" w:hAnsi="宋体"/>
                <w:sz w:val="24"/>
              </w:rPr>
              <w:t>不符合法律法规其他要求的</w:t>
            </w:r>
            <w:r>
              <w:rPr>
                <w:rFonts w:hint="eastAsia" w:ascii="宋体" w:hAnsi="宋体"/>
                <w:sz w:val="24"/>
                <w:lang w:eastAsia="zh-CN"/>
              </w:rPr>
              <w:t>（</w:t>
            </w:r>
            <w:r>
              <w:rPr>
                <w:rFonts w:hint="eastAsia" w:ascii="宋体" w:hAnsi="宋体"/>
                <w:sz w:val="24"/>
                <w:lang w:val="en-US" w:eastAsia="zh-CN"/>
              </w:rPr>
              <w:t>包括核心产品不足三个品牌</w:t>
            </w:r>
            <w:r>
              <w:rPr>
                <w:rFonts w:hint="eastAsia" w:ascii="宋体" w:hAnsi="宋体"/>
                <w:sz w:val="24"/>
                <w:lang w:eastAsia="zh-CN"/>
              </w:rPr>
              <w:t>）</w:t>
            </w:r>
            <w:r>
              <w:rPr>
                <w:rFonts w:hint="eastAsia" w:ascii="宋体" w:hAnsi="宋体"/>
                <w:sz w:val="24"/>
              </w:rPr>
              <w:t>。</w:t>
            </w:r>
          </w:p>
        </w:tc>
      </w:tr>
      <w:tr w14:paraId="6B7F1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7" w:type="dxa"/>
            <w:vAlign w:val="center"/>
          </w:tcPr>
          <w:p w14:paraId="4E6C02C4">
            <w:pPr>
              <w:spacing w:line="400" w:lineRule="exact"/>
              <w:rPr>
                <w:rFonts w:ascii="宋体" w:hAnsi="宋体" w:cs="宋体"/>
                <w:sz w:val="24"/>
              </w:rPr>
            </w:pPr>
            <w:r>
              <w:rPr>
                <w:rFonts w:hint="eastAsia" w:ascii="宋体" w:hAnsi="宋体" w:cs="宋体"/>
                <w:sz w:val="24"/>
              </w:rPr>
              <w:t>2.3</w:t>
            </w:r>
          </w:p>
        </w:tc>
        <w:tc>
          <w:tcPr>
            <w:tcW w:w="9416" w:type="dxa"/>
            <w:gridSpan w:val="3"/>
            <w:vAlign w:val="center"/>
          </w:tcPr>
          <w:p w14:paraId="5E5F9592">
            <w:pPr>
              <w:spacing w:line="400" w:lineRule="exact"/>
              <w:jc w:val="left"/>
              <w:rPr>
                <w:rFonts w:ascii="宋体" w:hAnsi="宋体"/>
                <w:sz w:val="24"/>
              </w:rPr>
            </w:pPr>
            <w:r>
              <w:rPr>
                <w:rFonts w:hint="eastAsia" w:ascii="宋体" w:hAnsi="宋体"/>
                <w:sz w:val="24"/>
              </w:rPr>
              <w:t>谈判小组应当从质量和服务均能满足谈判文件实质性响应要求的供应商中，按照最终报价由低到高的顺序提出3名成交候选人。</w:t>
            </w:r>
          </w:p>
          <w:p w14:paraId="49FC9F30">
            <w:pPr>
              <w:spacing w:line="400" w:lineRule="exact"/>
              <w:jc w:val="left"/>
              <w:rPr>
                <w:rFonts w:ascii="宋体" w:hAnsi="宋体"/>
                <w:sz w:val="24"/>
              </w:rPr>
            </w:pPr>
            <w:r>
              <w:rPr>
                <w:rFonts w:hint="eastAsia" w:ascii="宋体" w:hAnsi="宋体"/>
                <w:sz w:val="24"/>
              </w:rPr>
              <w:t>如供应商符合价格扣除的条件，对其最终报价进行10%的价格扣除并用扣除后的价格进行排序推荐。</w:t>
            </w:r>
          </w:p>
        </w:tc>
      </w:tr>
    </w:tbl>
    <w:p w14:paraId="6774EEE3">
      <w:pPr>
        <w:pStyle w:val="9"/>
        <w:spacing w:before="160"/>
        <w:ind w:firstLine="423"/>
        <w:jc w:val="center"/>
        <w:rPr>
          <w:b/>
          <w:sz w:val="32"/>
          <w:szCs w:val="32"/>
        </w:rPr>
      </w:pPr>
      <w:bookmarkStart w:id="297" w:name="_Toc505612987"/>
      <w:bookmarkStart w:id="298" w:name="_Toc498367362"/>
      <w:bookmarkStart w:id="299" w:name="_Toc86124094"/>
      <w:bookmarkStart w:id="300" w:name="_Toc347849269"/>
      <w:bookmarkStart w:id="301" w:name="_Toc378499750"/>
      <w:bookmarkStart w:id="302" w:name="_Toc383175531"/>
      <w:r>
        <w:br w:type="page"/>
      </w:r>
      <w:r>
        <w:rPr>
          <w:rFonts w:hint="eastAsia"/>
          <w:b/>
          <w:sz w:val="32"/>
          <w:szCs w:val="32"/>
        </w:rPr>
        <w:t>二、评审办法</w:t>
      </w:r>
      <w:bookmarkEnd w:id="297"/>
      <w:bookmarkEnd w:id="298"/>
    </w:p>
    <w:p w14:paraId="7B2147E6">
      <w:pPr>
        <w:spacing w:line="480" w:lineRule="exact"/>
        <w:rPr>
          <w:rFonts w:ascii="宋体" w:hAnsi="宋体" w:cs="宋体"/>
          <w:b/>
          <w:bCs/>
          <w:sz w:val="24"/>
        </w:rPr>
      </w:pPr>
      <w:bookmarkStart w:id="303" w:name="_Toc495941945"/>
      <w:bookmarkStart w:id="304" w:name="_Toc448828947"/>
      <w:bookmarkStart w:id="305" w:name="_Toc450312205"/>
      <w:r>
        <w:rPr>
          <w:rFonts w:hint="eastAsia" w:ascii="宋体" w:hAnsi="宋体" w:cs="宋体"/>
          <w:b/>
          <w:bCs/>
          <w:sz w:val="24"/>
        </w:rPr>
        <w:t>（一）谈判方法</w:t>
      </w:r>
      <w:bookmarkEnd w:id="303"/>
      <w:bookmarkEnd w:id="304"/>
      <w:bookmarkEnd w:id="305"/>
    </w:p>
    <w:p w14:paraId="1978E5CF">
      <w:pPr>
        <w:widowControl/>
        <w:spacing w:line="480" w:lineRule="exact"/>
        <w:ind w:firstLine="480"/>
        <w:jc w:val="left"/>
        <w:rPr>
          <w:rFonts w:ascii="宋体" w:hAnsi="宋体" w:cs="宋体"/>
          <w:kern w:val="0"/>
          <w:sz w:val="24"/>
        </w:rPr>
      </w:pPr>
      <w:r>
        <w:rPr>
          <w:rFonts w:hint="eastAsia" w:ascii="宋体" w:hAnsi="宋体" w:cs="宋体"/>
          <w:kern w:val="0"/>
          <w:sz w:val="24"/>
        </w:rPr>
        <w:t>本次谈判采用经评审的最低评标价法。</w:t>
      </w:r>
    </w:p>
    <w:p w14:paraId="2F54D030">
      <w:pPr>
        <w:spacing w:line="480" w:lineRule="exact"/>
        <w:rPr>
          <w:rFonts w:ascii="宋体" w:hAnsi="宋体" w:cs="宋体"/>
          <w:b/>
          <w:bCs/>
          <w:sz w:val="24"/>
        </w:rPr>
      </w:pPr>
      <w:bookmarkStart w:id="306" w:name="_Toc447808244"/>
      <w:bookmarkStart w:id="307" w:name="_Toc450312206"/>
      <w:bookmarkStart w:id="308" w:name="_Toc495941946"/>
      <w:bookmarkStart w:id="309" w:name="_Toc448828948"/>
      <w:r>
        <w:rPr>
          <w:rFonts w:hint="eastAsia" w:ascii="宋体" w:hAnsi="宋体" w:cs="宋体"/>
          <w:b/>
          <w:bCs/>
          <w:sz w:val="24"/>
        </w:rPr>
        <w:t>（二）谈判标准</w:t>
      </w:r>
      <w:bookmarkEnd w:id="306"/>
      <w:bookmarkEnd w:id="307"/>
      <w:bookmarkEnd w:id="308"/>
      <w:bookmarkEnd w:id="309"/>
    </w:p>
    <w:p w14:paraId="31470708">
      <w:pPr>
        <w:widowControl/>
        <w:spacing w:line="480" w:lineRule="exact"/>
        <w:ind w:firstLine="480"/>
        <w:jc w:val="left"/>
        <w:rPr>
          <w:rFonts w:ascii="宋体" w:hAnsi="宋体" w:cs="宋体"/>
          <w:kern w:val="0"/>
          <w:sz w:val="24"/>
        </w:rPr>
      </w:pPr>
      <w:r>
        <w:rPr>
          <w:rFonts w:hint="eastAsia" w:ascii="宋体" w:hAnsi="宋体" w:cs="宋体"/>
          <w:kern w:val="0"/>
          <w:sz w:val="24"/>
        </w:rPr>
        <w:t>2.1实质性要求审查标准</w:t>
      </w:r>
    </w:p>
    <w:p w14:paraId="44882834">
      <w:pPr>
        <w:widowControl/>
        <w:spacing w:line="480" w:lineRule="exact"/>
        <w:ind w:firstLine="480"/>
        <w:jc w:val="left"/>
        <w:rPr>
          <w:rFonts w:ascii="宋体" w:hAnsi="宋体" w:cs="宋体"/>
          <w:kern w:val="0"/>
          <w:sz w:val="24"/>
        </w:rPr>
      </w:pPr>
      <w:r>
        <w:rPr>
          <w:rFonts w:hint="eastAsia" w:ascii="宋体" w:hAnsi="宋体" w:cs="宋体"/>
          <w:kern w:val="0"/>
          <w:sz w:val="24"/>
        </w:rPr>
        <w:t>实质性审查标准：依据法律法规和谈判文件的规定，对响应文件中的资格证明、技术服务要求等实质性要求审查标准进行审查，见“谈判程序和方法前附表”。</w:t>
      </w:r>
    </w:p>
    <w:p w14:paraId="73ED03E0">
      <w:pPr>
        <w:widowControl/>
        <w:spacing w:line="480" w:lineRule="exact"/>
        <w:ind w:firstLine="480"/>
        <w:jc w:val="left"/>
        <w:rPr>
          <w:rFonts w:ascii="宋体" w:hAnsi="宋体" w:cs="宋体"/>
          <w:kern w:val="0"/>
          <w:sz w:val="24"/>
        </w:rPr>
      </w:pPr>
      <w:r>
        <w:rPr>
          <w:rFonts w:hint="eastAsia" w:ascii="宋体" w:hAnsi="宋体" w:cs="宋体"/>
          <w:kern w:val="0"/>
          <w:sz w:val="24"/>
        </w:rPr>
        <w:t>2.2 谈判标准</w:t>
      </w:r>
    </w:p>
    <w:p w14:paraId="684CDBAB">
      <w:pPr>
        <w:widowControl/>
        <w:spacing w:line="480" w:lineRule="exact"/>
        <w:ind w:firstLine="480"/>
        <w:jc w:val="left"/>
        <w:rPr>
          <w:rFonts w:ascii="宋体" w:hAnsi="宋体" w:cs="宋体"/>
          <w:kern w:val="0"/>
          <w:sz w:val="24"/>
        </w:rPr>
      </w:pPr>
      <w:r>
        <w:rPr>
          <w:rFonts w:hint="eastAsia" w:ascii="宋体" w:hAnsi="宋体" w:cs="宋体"/>
          <w:kern w:val="0"/>
          <w:sz w:val="24"/>
        </w:rPr>
        <w:t>2.2.1供应商只有通过实质性评审才能进行第二轮报价及详细评审。</w:t>
      </w:r>
    </w:p>
    <w:p w14:paraId="1FBBF04A">
      <w:pPr>
        <w:widowControl/>
        <w:spacing w:line="480" w:lineRule="exact"/>
        <w:ind w:firstLine="480"/>
        <w:jc w:val="left"/>
        <w:rPr>
          <w:rFonts w:ascii="宋体" w:hAnsi="宋体" w:cs="宋体"/>
          <w:kern w:val="0"/>
          <w:sz w:val="24"/>
        </w:rPr>
      </w:pPr>
      <w:r>
        <w:rPr>
          <w:rFonts w:hint="eastAsia" w:ascii="宋体" w:hAnsi="宋体" w:cs="宋体"/>
          <w:kern w:val="0"/>
          <w:sz w:val="24"/>
        </w:rPr>
        <w:t>2.2.2第二轮谈判报价为供应商的最终报价。若供应商最终报价超过预算价，按无效响应文件处理。</w:t>
      </w:r>
    </w:p>
    <w:p w14:paraId="4F9E8286">
      <w:pPr>
        <w:widowControl/>
        <w:spacing w:line="480" w:lineRule="exact"/>
        <w:ind w:firstLine="480"/>
        <w:jc w:val="left"/>
        <w:rPr>
          <w:rFonts w:ascii="宋体" w:hAnsi="宋体" w:cs="宋体"/>
          <w:kern w:val="0"/>
          <w:sz w:val="24"/>
        </w:rPr>
      </w:pPr>
      <w:r>
        <w:rPr>
          <w:rFonts w:hint="eastAsia" w:ascii="宋体" w:hAnsi="宋体" w:cs="宋体"/>
          <w:kern w:val="0"/>
          <w:sz w:val="24"/>
        </w:rPr>
        <w:t>2.2.3谈判小组对各供应商的响应文件进行详细评审。谈判小组按照报价的高低推荐成交候选人，推荐成交候选人3人，并标明排列顺序。</w:t>
      </w:r>
    </w:p>
    <w:bookmarkEnd w:id="299"/>
    <w:bookmarkEnd w:id="300"/>
    <w:bookmarkEnd w:id="301"/>
    <w:bookmarkEnd w:id="302"/>
    <w:p w14:paraId="34A1C319">
      <w:pPr>
        <w:spacing w:line="480" w:lineRule="exact"/>
        <w:rPr>
          <w:rFonts w:ascii="宋体" w:hAnsi="宋体" w:cs="宋体"/>
          <w:b/>
          <w:bCs/>
          <w:sz w:val="24"/>
        </w:rPr>
      </w:pPr>
      <w:bookmarkStart w:id="310" w:name="_Toc378499754"/>
      <w:bookmarkStart w:id="311" w:name="_Toc447808245"/>
      <w:bookmarkStart w:id="312" w:name="_Toc383175535"/>
      <w:bookmarkStart w:id="313" w:name="_Toc191374451"/>
      <w:bookmarkStart w:id="314" w:name="_Toc495941947"/>
      <w:bookmarkStart w:id="315" w:name="_Toc448828949"/>
      <w:bookmarkStart w:id="316" w:name="_Toc347849273"/>
      <w:bookmarkStart w:id="317" w:name="_Toc86124098"/>
      <w:bookmarkStart w:id="318" w:name="_Toc450312207"/>
      <w:r>
        <w:rPr>
          <w:rFonts w:hint="eastAsia" w:ascii="宋体" w:hAnsi="宋体" w:cs="宋体"/>
          <w:b/>
          <w:bCs/>
          <w:sz w:val="24"/>
        </w:rPr>
        <w:t>（三） 谈判程序</w:t>
      </w:r>
      <w:bookmarkEnd w:id="310"/>
      <w:bookmarkEnd w:id="311"/>
      <w:bookmarkEnd w:id="312"/>
      <w:bookmarkEnd w:id="313"/>
      <w:bookmarkEnd w:id="314"/>
      <w:bookmarkEnd w:id="315"/>
      <w:bookmarkEnd w:id="316"/>
      <w:bookmarkEnd w:id="317"/>
      <w:bookmarkEnd w:id="318"/>
    </w:p>
    <w:p w14:paraId="40B1EAD6">
      <w:pPr>
        <w:spacing w:line="480" w:lineRule="exact"/>
        <w:rPr>
          <w:rFonts w:ascii="宋体" w:hAnsi="宋体"/>
          <w:b/>
          <w:sz w:val="24"/>
        </w:rPr>
      </w:pPr>
      <w:bookmarkStart w:id="319" w:name="_Toc86124099"/>
      <w:bookmarkStart w:id="320" w:name="_Toc191374452"/>
      <w:bookmarkStart w:id="321" w:name="_Toc378499755"/>
      <w:bookmarkStart w:id="322" w:name="_Toc329810240"/>
      <w:bookmarkStart w:id="323" w:name="_Toc48271432"/>
      <w:bookmarkStart w:id="324" w:name="_Toc347849274"/>
      <w:bookmarkStart w:id="325" w:name="_Toc495941948"/>
      <w:bookmarkStart w:id="326" w:name="_Toc448828950"/>
      <w:bookmarkStart w:id="327" w:name="_Toc447808246"/>
      <w:bookmarkStart w:id="328" w:name="_Toc450312208"/>
      <w:bookmarkStart w:id="329" w:name="_Toc383175536"/>
      <w:r>
        <w:rPr>
          <w:rFonts w:hint="eastAsia" w:ascii="宋体" w:hAnsi="宋体"/>
          <w:b/>
          <w:sz w:val="24"/>
        </w:rPr>
        <w:t xml:space="preserve">3.1 </w:t>
      </w:r>
      <w:bookmarkEnd w:id="319"/>
      <w:bookmarkEnd w:id="320"/>
      <w:bookmarkEnd w:id="321"/>
      <w:bookmarkEnd w:id="322"/>
      <w:bookmarkEnd w:id="323"/>
      <w:bookmarkEnd w:id="324"/>
      <w:r>
        <w:rPr>
          <w:rFonts w:hint="eastAsia" w:ascii="宋体" w:hAnsi="宋体"/>
          <w:b/>
          <w:sz w:val="24"/>
        </w:rPr>
        <w:t>实质性要求审查</w:t>
      </w:r>
      <w:bookmarkEnd w:id="325"/>
      <w:bookmarkEnd w:id="326"/>
      <w:bookmarkEnd w:id="327"/>
      <w:bookmarkEnd w:id="328"/>
      <w:bookmarkEnd w:id="329"/>
    </w:p>
    <w:p w14:paraId="36CE2412">
      <w:pPr>
        <w:spacing w:line="480" w:lineRule="exact"/>
        <w:ind w:firstLine="480"/>
        <w:jc w:val="left"/>
        <w:rPr>
          <w:rFonts w:ascii="宋体" w:hAnsi="宋体" w:cs="宋体"/>
          <w:kern w:val="0"/>
          <w:sz w:val="24"/>
        </w:rPr>
      </w:pPr>
      <w:r>
        <w:rPr>
          <w:rFonts w:hint="eastAsia" w:ascii="宋体" w:hAnsi="宋体" w:cs="宋体"/>
          <w:kern w:val="0"/>
          <w:sz w:val="24"/>
        </w:rPr>
        <w:t>3.1.1谈判小组依据本章第2.1项规定的标准对响应文件进行资格审查。有一项不符合谈判标准的，不通过资格审查，不再参与谈判。当响应谈判文件实质性要求的供应商少于3家时，将终止本次竞争性谈判采购活动。</w:t>
      </w:r>
    </w:p>
    <w:p w14:paraId="22C3E044">
      <w:pPr>
        <w:widowControl/>
        <w:spacing w:line="480" w:lineRule="exact"/>
        <w:ind w:firstLine="480"/>
        <w:jc w:val="left"/>
        <w:rPr>
          <w:rFonts w:ascii="宋体" w:hAnsi="宋体" w:cs="宋体"/>
          <w:kern w:val="0"/>
          <w:sz w:val="24"/>
        </w:rPr>
      </w:pPr>
      <w:r>
        <w:rPr>
          <w:rFonts w:hint="eastAsia" w:ascii="宋体" w:hAnsi="宋体" w:cs="宋体"/>
          <w:kern w:val="0"/>
          <w:sz w:val="24"/>
        </w:rPr>
        <w:t>3.1.2谈判小组依据本章第2.2项规定的标准对响应文件进行符合性审查。有一项不符合谈判标准的，不通过符合性审查，不再参与谈判。当响应谈判文件实质性要求的供应商少于3家时，将终止本次竞争性谈判采购活动。</w:t>
      </w:r>
    </w:p>
    <w:p w14:paraId="1CF23824">
      <w:pPr>
        <w:spacing w:line="480" w:lineRule="exact"/>
        <w:rPr>
          <w:rFonts w:ascii="宋体" w:hAnsi="宋体"/>
          <w:b/>
          <w:sz w:val="24"/>
        </w:rPr>
      </w:pPr>
      <w:bookmarkStart w:id="330" w:name="_Toc191374453"/>
      <w:bookmarkStart w:id="331" w:name="_Toc86124100"/>
      <w:bookmarkStart w:id="332" w:name="_Toc48271433"/>
      <w:bookmarkStart w:id="333" w:name="_Toc347849275"/>
      <w:bookmarkStart w:id="334" w:name="_Toc448828951"/>
      <w:bookmarkStart w:id="335" w:name="_Toc383175537"/>
      <w:bookmarkStart w:id="336" w:name="_Toc450312209"/>
      <w:bookmarkStart w:id="337" w:name="_Toc329810241"/>
      <w:bookmarkStart w:id="338" w:name="_Toc378499756"/>
      <w:bookmarkStart w:id="339" w:name="_Toc447808247"/>
      <w:bookmarkStart w:id="340" w:name="_Toc495941949"/>
      <w:r>
        <w:rPr>
          <w:rFonts w:hint="eastAsia" w:ascii="宋体" w:hAnsi="宋体"/>
          <w:b/>
          <w:sz w:val="24"/>
        </w:rPr>
        <w:t xml:space="preserve">3.2 </w:t>
      </w:r>
      <w:bookmarkEnd w:id="330"/>
      <w:bookmarkEnd w:id="331"/>
      <w:bookmarkEnd w:id="332"/>
      <w:bookmarkStart w:id="341" w:name="_Toc86124101"/>
      <w:bookmarkStart w:id="342" w:name="_Toc191374454"/>
      <w:r>
        <w:rPr>
          <w:rFonts w:hint="eastAsia" w:ascii="宋体" w:hAnsi="宋体"/>
          <w:b/>
          <w:sz w:val="24"/>
        </w:rPr>
        <w:t>谈判、比较与评价</w:t>
      </w:r>
      <w:bookmarkEnd w:id="333"/>
      <w:bookmarkEnd w:id="334"/>
      <w:bookmarkEnd w:id="335"/>
      <w:bookmarkEnd w:id="336"/>
      <w:bookmarkEnd w:id="337"/>
      <w:bookmarkEnd w:id="338"/>
      <w:bookmarkEnd w:id="339"/>
      <w:bookmarkEnd w:id="340"/>
    </w:p>
    <w:p w14:paraId="67CEEE7B">
      <w:pPr>
        <w:widowControl/>
        <w:spacing w:line="480" w:lineRule="exact"/>
        <w:ind w:firstLine="480"/>
        <w:jc w:val="left"/>
        <w:rPr>
          <w:rFonts w:ascii="宋体" w:hAnsi="宋体" w:cs="宋体"/>
          <w:kern w:val="0"/>
          <w:sz w:val="24"/>
        </w:rPr>
      </w:pPr>
      <w:r>
        <w:rPr>
          <w:rFonts w:hint="eastAsia" w:ascii="宋体" w:hAnsi="宋体" w:cs="宋体"/>
          <w:kern w:val="0"/>
          <w:sz w:val="24"/>
        </w:rPr>
        <w:t>3.2.1谈判小组所有成员集中与通过实质性审查的单一供应商分别进行谈判。在谈判中，谈判的任何一方不得透露与谈判有关的其他供应商的技术资料、价格、折扣和其他信息。</w:t>
      </w:r>
    </w:p>
    <w:p w14:paraId="44650899">
      <w:pPr>
        <w:widowControl/>
        <w:spacing w:line="480" w:lineRule="exact"/>
        <w:ind w:firstLine="480"/>
        <w:jc w:val="left"/>
        <w:rPr>
          <w:rFonts w:ascii="宋体" w:hAnsi="宋体" w:cs="宋体"/>
          <w:kern w:val="0"/>
          <w:sz w:val="24"/>
        </w:rPr>
      </w:pPr>
      <w:r>
        <w:rPr>
          <w:rFonts w:hint="eastAsia" w:ascii="宋体" w:hAnsi="宋体" w:cs="宋体"/>
          <w:kern w:val="0"/>
          <w:sz w:val="24"/>
        </w:rPr>
        <w:t>3.2.2谈判文件有实质性变动的，谈判小组将经采购人代表确认后，以书面形式通知所有参加谈判的供应商。但不得对涉及竞争的公平、公正性内容进行修改、变动。</w:t>
      </w:r>
    </w:p>
    <w:p w14:paraId="080642AF">
      <w:pPr>
        <w:widowControl/>
        <w:spacing w:line="480" w:lineRule="exact"/>
        <w:ind w:firstLine="480"/>
        <w:jc w:val="left"/>
        <w:rPr>
          <w:rFonts w:ascii="宋体" w:hAnsi="宋体" w:cs="宋体"/>
          <w:kern w:val="0"/>
          <w:sz w:val="24"/>
        </w:rPr>
      </w:pPr>
      <w:r>
        <w:rPr>
          <w:rFonts w:hint="eastAsia" w:ascii="宋体" w:hAnsi="宋体" w:cs="宋体"/>
          <w:kern w:val="0"/>
          <w:sz w:val="24"/>
        </w:rPr>
        <w:t>3.2.3为有助于对响应文件的详细审查、评价和比较，谈判小组可要求对供应商分别进行技术询问、澄清，有关要求和答复均现场进行。</w:t>
      </w:r>
    </w:p>
    <w:p w14:paraId="3B9B6A0B">
      <w:pPr>
        <w:widowControl/>
        <w:spacing w:line="480" w:lineRule="exact"/>
        <w:ind w:firstLine="480"/>
        <w:jc w:val="left"/>
        <w:rPr>
          <w:rFonts w:ascii="宋体" w:hAnsi="宋体" w:cs="宋体"/>
          <w:kern w:val="0"/>
          <w:sz w:val="24"/>
        </w:rPr>
      </w:pPr>
      <w:r>
        <w:rPr>
          <w:rFonts w:hint="eastAsia" w:ascii="宋体" w:hAnsi="宋体" w:cs="宋体"/>
          <w:kern w:val="0"/>
          <w:sz w:val="24"/>
        </w:rPr>
        <w:t>3.2.4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1E014F77">
      <w:pPr>
        <w:widowControl/>
        <w:spacing w:line="480" w:lineRule="exact"/>
        <w:ind w:firstLine="480"/>
        <w:jc w:val="left"/>
        <w:rPr>
          <w:rFonts w:ascii="宋体" w:hAnsi="宋体" w:cs="宋体"/>
          <w:kern w:val="0"/>
          <w:sz w:val="24"/>
        </w:rPr>
      </w:pPr>
      <w:r>
        <w:rPr>
          <w:rFonts w:hint="eastAsia" w:ascii="宋体" w:hAnsi="宋体" w:cs="宋体"/>
          <w:kern w:val="0"/>
          <w:sz w:val="24"/>
        </w:rPr>
        <w:t>3.2.5谈判小组对供应商提交的澄清、说明有疑问的，可以要求供应商进一步澄清、说明。谈判小组要求供应商澄清、说明或者更正响应文件应当以书面形式作出。供应商的澄清、说明或者更正应当由法定代表人或其授权代表签字或者加盖公章。</w:t>
      </w:r>
    </w:p>
    <w:p w14:paraId="5869324F">
      <w:pPr>
        <w:widowControl/>
        <w:spacing w:line="480" w:lineRule="exact"/>
        <w:ind w:firstLine="480"/>
        <w:jc w:val="left"/>
        <w:rPr>
          <w:rFonts w:ascii="宋体" w:hAnsi="宋体" w:cs="宋体"/>
          <w:kern w:val="0"/>
          <w:sz w:val="24"/>
        </w:rPr>
      </w:pPr>
      <w:r>
        <w:rPr>
          <w:rFonts w:hint="eastAsia" w:ascii="宋体" w:hAnsi="宋体" w:cs="宋体"/>
          <w:kern w:val="0"/>
          <w:sz w:val="24"/>
        </w:rPr>
        <w:t>3.2.6谈判结束后，谈判小组将要求所有继续参加谈判的供应商在规定时间内提交最后报价，提交最后报价的供应商不得少于3家。</w:t>
      </w:r>
    </w:p>
    <w:p w14:paraId="521D3DD0">
      <w:pPr>
        <w:widowControl/>
        <w:spacing w:line="480" w:lineRule="exact"/>
        <w:ind w:firstLine="480"/>
        <w:jc w:val="left"/>
        <w:rPr>
          <w:rFonts w:ascii="宋体" w:hAnsi="宋体" w:cs="宋体"/>
          <w:kern w:val="0"/>
          <w:sz w:val="24"/>
        </w:rPr>
      </w:pPr>
      <w:r>
        <w:rPr>
          <w:rFonts w:hint="eastAsia" w:ascii="宋体" w:hAnsi="宋体" w:cs="宋体"/>
          <w:kern w:val="0"/>
          <w:sz w:val="24"/>
        </w:rPr>
        <w:t>3.2.7谈判小组成员要依法独立审查，并对审查意见承担个人责任。谈判小组成员对需要共同认定的事项存在争议的，按照少数服从多数的原则做出结论。</w:t>
      </w:r>
    </w:p>
    <w:p w14:paraId="2E0155C1">
      <w:pPr>
        <w:widowControl/>
        <w:spacing w:line="480" w:lineRule="exact"/>
        <w:ind w:firstLine="480"/>
        <w:jc w:val="left"/>
        <w:rPr>
          <w:rFonts w:ascii="宋体" w:hAnsi="宋体" w:cs="宋体"/>
          <w:kern w:val="0"/>
          <w:sz w:val="24"/>
        </w:rPr>
      </w:pPr>
      <w:r>
        <w:rPr>
          <w:rFonts w:hint="eastAsia" w:ascii="宋体" w:hAnsi="宋体" w:cs="宋体"/>
          <w:kern w:val="0"/>
          <w:sz w:val="24"/>
        </w:rPr>
        <w:t>3.2.8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7781A2F6">
      <w:pPr>
        <w:spacing w:line="480" w:lineRule="exact"/>
        <w:rPr>
          <w:rFonts w:ascii="宋体" w:hAnsi="宋体"/>
          <w:b/>
          <w:sz w:val="24"/>
        </w:rPr>
      </w:pPr>
      <w:bookmarkStart w:id="343" w:name="_Toc329810242"/>
      <w:bookmarkStart w:id="344" w:name="_Toc378499757"/>
      <w:bookmarkStart w:id="345" w:name="_Toc448828952"/>
      <w:bookmarkStart w:id="346" w:name="_Toc383175538"/>
      <w:bookmarkStart w:id="347" w:name="_Toc347849276"/>
      <w:bookmarkStart w:id="348" w:name="_Toc495941950"/>
      <w:bookmarkStart w:id="349" w:name="_Toc447808248"/>
      <w:bookmarkStart w:id="350" w:name="_Toc450312210"/>
      <w:r>
        <w:rPr>
          <w:rFonts w:hint="eastAsia" w:ascii="宋体" w:hAnsi="宋体"/>
          <w:b/>
          <w:sz w:val="24"/>
        </w:rPr>
        <w:t>3.3 谈判结果</w:t>
      </w:r>
      <w:bookmarkEnd w:id="343"/>
      <w:bookmarkEnd w:id="344"/>
      <w:bookmarkEnd w:id="345"/>
      <w:bookmarkEnd w:id="346"/>
      <w:bookmarkEnd w:id="347"/>
      <w:bookmarkEnd w:id="348"/>
      <w:bookmarkEnd w:id="349"/>
      <w:bookmarkEnd w:id="350"/>
    </w:p>
    <w:bookmarkEnd w:id="341"/>
    <w:bookmarkEnd w:id="342"/>
    <w:p w14:paraId="48CB0D1E">
      <w:pPr>
        <w:widowControl/>
        <w:spacing w:line="480" w:lineRule="exact"/>
        <w:ind w:firstLine="480"/>
        <w:jc w:val="left"/>
        <w:rPr>
          <w:rFonts w:ascii="宋体" w:hAnsi="宋体" w:cs="宋体"/>
          <w:kern w:val="0"/>
          <w:sz w:val="24"/>
        </w:rPr>
      </w:pPr>
      <w:r>
        <w:rPr>
          <w:rFonts w:hint="eastAsia" w:ascii="宋体" w:hAnsi="宋体" w:cs="宋体"/>
          <w:kern w:val="0"/>
          <w:sz w:val="24"/>
        </w:rPr>
        <w:t>谈判小组按照供应商的谈判评审报价（未超预算价）由低到高推荐成交候选人，推荐成交候选人3人，并标明排列顺序。若出现谈判评审报价相同的情况，按最终报价由低到高的顺序推荐，若最终报价也相同时，谈判小组对</w:t>
      </w:r>
      <w:r>
        <w:rPr>
          <w:rFonts w:hint="eastAsia" w:ascii="宋体" w:hAnsi="宋体"/>
          <w:bCs/>
          <w:sz w:val="24"/>
        </w:rPr>
        <w:t>供应商</w:t>
      </w:r>
      <w:r>
        <w:rPr>
          <w:rFonts w:hint="eastAsia" w:ascii="宋体" w:hAnsi="宋体" w:cs="宋体"/>
          <w:kern w:val="0"/>
          <w:sz w:val="24"/>
        </w:rPr>
        <w:t>响应文件的技术部分内容进行评价，择优选择。</w:t>
      </w:r>
    </w:p>
    <w:p w14:paraId="11E2F5B2">
      <w:pPr>
        <w:shd w:val="clear" w:color="auto" w:fill="FFFFFF"/>
        <w:spacing w:line="480" w:lineRule="exact"/>
        <w:jc w:val="left"/>
        <w:rPr>
          <w:rFonts w:ascii="宋体" w:hAnsi="宋体"/>
          <w:sz w:val="24"/>
        </w:rPr>
      </w:pPr>
      <w:r>
        <w:rPr>
          <w:rFonts w:hint="eastAsia" w:ascii="宋体" w:hAnsi="宋体"/>
          <w:b/>
          <w:bCs/>
          <w:sz w:val="24"/>
        </w:rPr>
        <w:t>4.政府采购政策：</w:t>
      </w:r>
    </w:p>
    <w:p w14:paraId="1851FE8F">
      <w:pPr>
        <w:shd w:val="clear" w:color="auto" w:fill="FFFFFF"/>
        <w:spacing w:line="480" w:lineRule="exact"/>
        <w:jc w:val="left"/>
        <w:rPr>
          <w:rFonts w:ascii="宋体" w:hAnsi="宋体"/>
          <w:sz w:val="24"/>
        </w:rPr>
      </w:pPr>
      <w:r>
        <w:rPr>
          <w:rFonts w:hint="eastAsia" w:ascii="宋体" w:hAnsi="宋体"/>
          <w:b/>
          <w:bCs/>
          <w:sz w:val="24"/>
        </w:rPr>
        <w:t>4.1中小企业扶持政策</w:t>
      </w:r>
    </w:p>
    <w:p w14:paraId="7C829ED9">
      <w:pPr>
        <w:shd w:val="clear" w:color="auto" w:fill="FFFFFF"/>
        <w:spacing w:line="480" w:lineRule="exact"/>
        <w:ind w:firstLine="482" w:firstLineChars="200"/>
        <w:jc w:val="left"/>
        <w:rPr>
          <w:rFonts w:ascii="宋体" w:hAnsi="宋体"/>
          <w:sz w:val="24"/>
        </w:rPr>
      </w:pPr>
      <w:r>
        <w:rPr>
          <w:rFonts w:hint="eastAsia" w:ascii="宋体" w:hAnsi="宋体"/>
          <w:sz w:val="24"/>
        </w:rPr>
        <w:t>4.1.1根据《关于印发&lt;政府采购促进中小企业发展管理办法&gt;的通知》（财库【2020】46号）的规定，供应商提供的货物、工程或者服务符合下列情形的，享受评标方法中小企业扶持政策：</w:t>
      </w:r>
    </w:p>
    <w:p w14:paraId="5688FE4E">
      <w:pPr>
        <w:shd w:val="clear" w:color="auto" w:fill="FFFFFF"/>
        <w:spacing w:line="480" w:lineRule="exact"/>
        <w:ind w:firstLine="482" w:firstLineChars="200"/>
        <w:jc w:val="left"/>
        <w:rPr>
          <w:rFonts w:ascii="宋体" w:hAnsi="宋体"/>
          <w:sz w:val="24"/>
        </w:rPr>
      </w:pPr>
      <w:r>
        <w:rPr>
          <w:rFonts w:hint="eastAsia" w:ascii="宋体" w:hAnsi="宋体"/>
          <w:sz w:val="24"/>
        </w:rPr>
        <w:t>（一）在货物采购项目中，货物由中小企业制造，即货物由中小企业生产且使用该中小企业商号或者注册商标；</w:t>
      </w:r>
    </w:p>
    <w:p w14:paraId="60142333">
      <w:pPr>
        <w:shd w:val="clear" w:color="auto" w:fill="FFFFFF"/>
        <w:spacing w:line="480" w:lineRule="exact"/>
        <w:ind w:firstLine="482" w:firstLineChars="200"/>
        <w:jc w:val="left"/>
        <w:rPr>
          <w:rFonts w:ascii="宋体" w:hAnsi="宋体"/>
          <w:sz w:val="24"/>
        </w:rPr>
      </w:pPr>
      <w:r>
        <w:rPr>
          <w:rFonts w:hint="eastAsia" w:ascii="宋体" w:hAnsi="宋体"/>
          <w:sz w:val="24"/>
        </w:rPr>
        <w:t>（二）在工程采购项目中，工程由中小企业承建，即工程施工单位为中小企业；</w:t>
      </w:r>
    </w:p>
    <w:p w14:paraId="22850526">
      <w:pPr>
        <w:shd w:val="clear" w:color="auto" w:fill="FFFFFF"/>
        <w:spacing w:line="480" w:lineRule="exact"/>
        <w:ind w:firstLine="482" w:firstLineChars="200"/>
        <w:jc w:val="left"/>
        <w:rPr>
          <w:rFonts w:ascii="宋体" w:hAnsi="宋体"/>
          <w:sz w:val="24"/>
        </w:rPr>
      </w:pPr>
      <w:r>
        <w:rPr>
          <w:rFonts w:hint="eastAsia" w:ascii="宋体" w:hAnsi="宋体"/>
          <w:sz w:val="24"/>
        </w:rPr>
        <w:t>（三）在服务采购项目中，服务由中小企业承接，即提供服务的人员为中小企业依照《中华人民共和国劳动合同法》订立劳动合同的从业人员。</w:t>
      </w:r>
    </w:p>
    <w:p w14:paraId="3C6C5CBE">
      <w:pPr>
        <w:shd w:val="clear" w:color="auto" w:fill="FFFFFF"/>
        <w:spacing w:line="480" w:lineRule="exact"/>
        <w:ind w:firstLine="482" w:firstLineChars="200"/>
        <w:jc w:val="left"/>
        <w:rPr>
          <w:rFonts w:ascii="宋体" w:hAnsi="宋体"/>
          <w:sz w:val="24"/>
        </w:rPr>
      </w:pPr>
      <w:r>
        <w:rPr>
          <w:rFonts w:hint="eastAsia" w:ascii="宋体" w:hAnsi="宋体"/>
          <w:sz w:val="24"/>
        </w:rPr>
        <w:t>在货物采购项目中，供应商提供的货物既有中小企业制造货物，也有大型企业制造货物的，不享受评标方法规定的中小企业扶持政策。</w:t>
      </w:r>
    </w:p>
    <w:p w14:paraId="5AFF99C5">
      <w:pPr>
        <w:shd w:val="clear" w:color="auto" w:fill="FFFFFF"/>
        <w:spacing w:line="480" w:lineRule="exact"/>
        <w:ind w:firstLine="482" w:firstLineChars="200"/>
        <w:jc w:val="left"/>
        <w:rPr>
          <w:rFonts w:ascii="宋体" w:hAnsi="宋体"/>
          <w:sz w:val="24"/>
        </w:rPr>
      </w:pPr>
      <w:r>
        <w:rPr>
          <w:rFonts w:hint="eastAsia" w:ascii="宋体" w:hAnsi="宋体"/>
          <w:sz w:val="24"/>
        </w:rPr>
        <w:t>以联合体形式参加政府采购活动，联合体各方均为中小企业的，联合体视同中小企业。其中，联合体各方均为小微企业的，联合体视同小微企业。</w:t>
      </w:r>
    </w:p>
    <w:p w14:paraId="1FA75DAB">
      <w:pPr>
        <w:shd w:val="clear" w:color="auto" w:fill="FFFFFF"/>
        <w:spacing w:line="480" w:lineRule="exact"/>
        <w:ind w:firstLine="482" w:firstLineChars="200"/>
        <w:jc w:val="left"/>
        <w:rPr>
          <w:rFonts w:ascii="宋体" w:hAnsi="宋体"/>
          <w:sz w:val="24"/>
        </w:rPr>
      </w:pPr>
      <w:r>
        <w:rPr>
          <w:rFonts w:hint="eastAsia" w:ascii="宋体" w:hAnsi="宋体"/>
          <w:sz w:val="24"/>
        </w:rPr>
        <w:t>4.1.2根据《云南省工业和信息化厅关于落实政府采购促进中小企业发展 政策意见的通知》（云财采〔2022〕13号）的规定，供应商提供的货物既有中型企业制造，也有小微企业制造的，不享受《办法》规定的小微企业扶持政策。</w:t>
      </w:r>
    </w:p>
    <w:p w14:paraId="09EDD98B">
      <w:pPr>
        <w:shd w:val="clear" w:color="auto" w:fill="FFFFFF"/>
        <w:spacing w:line="480" w:lineRule="exact"/>
        <w:ind w:firstLine="482" w:firstLineChars="200"/>
        <w:jc w:val="left"/>
        <w:rPr>
          <w:rFonts w:ascii="宋体" w:hAnsi="宋体"/>
          <w:sz w:val="24"/>
        </w:rPr>
      </w:pPr>
      <w:r>
        <w:rPr>
          <w:rFonts w:hint="eastAsia" w:ascii="宋体" w:hAnsi="宋体"/>
          <w:sz w:val="24"/>
        </w:rPr>
        <w:t>4.1.3评标方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73B5E0CC">
      <w:pPr>
        <w:shd w:val="clear" w:color="auto" w:fill="FFFFFF"/>
        <w:spacing w:line="480" w:lineRule="exact"/>
        <w:ind w:firstLine="482" w:firstLineChars="200"/>
        <w:jc w:val="left"/>
        <w:rPr>
          <w:rFonts w:ascii="宋体" w:hAnsi="宋体"/>
          <w:sz w:val="24"/>
        </w:rPr>
      </w:pPr>
      <w:r>
        <w:rPr>
          <w:rFonts w:hint="eastAsia" w:ascii="宋体" w:hAnsi="宋体"/>
          <w:sz w:val="24"/>
        </w:rPr>
        <w:t>符合中小企业划分标准的个体工商户，在政府采购活动中视同中小企业。</w:t>
      </w:r>
    </w:p>
    <w:p w14:paraId="610ECE27">
      <w:pPr>
        <w:shd w:val="clear" w:color="auto" w:fill="FFFFFF"/>
        <w:spacing w:line="480" w:lineRule="exact"/>
        <w:ind w:firstLine="482" w:firstLineChars="200"/>
        <w:jc w:val="left"/>
        <w:rPr>
          <w:rFonts w:ascii="宋体" w:hAnsi="宋体"/>
          <w:sz w:val="24"/>
        </w:rPr>
      </w:pPr>
      <w:r>
        <w:rPr>
          <w:rFonts w:hint="eastAsia" w:ascii="宋体" w:hAnsi="宋体"/>
          <w:sz w:val="24"/>
        </w:rPr>
        <w:t>4.1.4中小企业参加政府采购活动，应当出具《中小企业声明函》（详见《投标文件格式》），否则不得享受相关中小企业扶持政策。</w:t>
      </w:r>
    </w:p>
    <w:p w14:paraId="346E6369">
      <w:pPr>
        <w:shd w:val="clear" w:color="auto" w:fill="FFFFFF"/>
        <w:spacing w:line="480" w:lineRule="exact"/>
        <w:jc w:val="left"/>
        <w:rPr>
          <w:rFonts w:ascii="宋体" w:hAnsi="宋体"/>
          <w:sz w:val="24"/>
        </w:rPr>
      </w:pPr>
      <w:r>
        <w:rPr>
          <w:rFonts w:hint="eastAsia" w:ascii="宋体" w:hAnsi="宋体"/>
          <w:b/>
          <w:bCs/>
          <w:sz w:val="24"/>
        </w:rPr>
        <w:t>4.2监狱企业扶持政策</w:t>
      </w:r>
    </w:p>
    <w:p w14:paraId="71584847">
      <w:pPr>
        <w:shd w:val="clear" w:color="auto" w:fill="FFFFFF"/>
        <w:spacing w:line="480" w:lineRule="exact"/>
        <w:ind w:firstLine="482" w:firstLineChars="200"/>
        <w:jc w:val="left"/>
        <w:rPr>
          <w:rFonts w:ascii="宋体" w:hAnsi="宋体"/>
          <w:sz w:val="24"/>
        </w:rPr>
      </w:pPr>
      <w:r>
        <w:rPr>
          <w:rFonts w:hint="eastAsia" w:ascii="宋体" w:hAnsi="宋体"/>
          <w:sz w:val="24"/>
        </w:rPr>
        <w:t>4.2.1根据财政部《司法部关于政府采购支持监狱企业发展有关问题》的通知（财库〔2014〕68号），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29C280F1">
      <w:pPr>
        <w:shd w:val="clear" w:color="auto" w:fill="FFFFFF"/>
        <w:spacing w:line="480" w:lineRule="exact"/>
        <w:jc w:val="left"/>
        <w:rPr>
          <w:rFonts w:ascii="宋体" w:hAnsi="宋体"/>
          <w:sz w:val="24"/>
        </w:rPr>
      </w:pPr>
      <w:r>
        <w:rPr>
          <w:rFonts w:hint="eastAsia" w:ascii="宋体" w:hAnsi="宋体"/>
          <w:b/>
          <w:bCs/>
          <w:sz w:val="24"/>
        </w:rPr>
        <w:t>4.3残疾人福利性单位扶持政策</w:t>
      </w:r>
    </w:p>
    <w:p w14:paraId="1200AB3C">
      <w:pPr>
        <w:shd w:val="clear" w:color="auto" w:fill="FFFFFF"/>
        <w:spacing w:line="480" w:lineRule="exact"/>
        <w:ind w:firstLine="482" w:firstLineChars="200"/>
        <w:jc w:val="left"/>
        <w:rPr>
          <w:rFonts w:ascii="宋体" w:hAnsi="宋体"/>
          <w:sz w:val="24"/>
        </w:rPr>
      </w:pPr>
      <w:r>
        <w:rPr>
          <w:rFonts w:hint="eastAsia" w:ascii="宋体" w:hAnsi="宋体"/>
          <w:sz w:val="24"/>
        </w:rPr>
        <w:t>4.3.1根据《财政部 民政部 中国残疾人联合会关于促进残疾人就业政府采购政策的通知》，享受政府采购支持政策的残疾人福利性单位应当同时满足以下条件：</w:t>
      </w:r>
    </w:p>
    <w:p w14:paraId="6A9C503D">
      <w:pPr>
        <w:shd w:val="clear" w:color="auto" w:fill="FFFFFF"/>
        <w:spacing w:line="480" w:lineRule="exact"/>
        <w:ind w:firstLine="482" w:firstLineChars="200"/>
        <w:jc w:val="left"/>
        <w:rPr>
          <w:rFonts w:ascii="宋体" w:hAnsi="宋体"/>
          <w:sz w:val="24"/>
        </w:rPr>
      </w:pPr>
      <w:r>
        <w:rPr>
          <w:rFonts w:hint="eastAsia" w:ascii="宋体" w:hAnsi="宋体"/>
          <w:sz w:val="24"/>
        </w:rPr>
        <w:t>（1）安置的残疾人占本单位在职职工人数的比例不低于25%（含25%），并且安置的残疾人人数不少于10人（含10人）；</w:t>
      </w:r>
    </w:p>
    <w:p w14:paraId="4D8A435B">
      <w:pPr>
        <w:shd w:val="clear" w:color="auto" w:fill="FFFFFF"/>
        <w:spacing w:line="480" w:lineRule="exact"/>
        <w:ind w:firstLine="482" w:firstLineChars="200"/>
        <w:jc w:val="left"/>
        <w:rPr>
          <w:rFonts w:ascii="宋体" w:hAnsi="宋体"/>
          <w:sz w:val="24"/>
        </w:rPr>
      </w:pPr>
      <w:r>
        <w:rPr>
          <w:rFonts w:hint="eastAsia" w:ascii="宋体" w:hAnsi="宋体"/>
          <w:sz w:val="24"/>
        </w:rPr>
        <w:t>（2）依法与安置的每位残疾人签订了一年以上（含一年）的劳动合同或服务协议；</w:t>
      </w:r>
    </w:p>
    <w:p w14:paraId="484554B2">
      <w:pPr>
        <w:shd w:val="clear" w:color="auto" w:fill="FFFFFF"/>
        <w:spacing w:line="480" w:lineRule="exact"/>
        <w:ind w:firstLine="482" w:firstLineChars="200"/>
        <w:jc w:val="left"/>
        <w:rPr>
          <w:rFonts w:ascii="宋体" w:hAnsi="宋体"/>
          <w:sz w:val="24"/>
        </w:rPr>
      </w:pPr>
      <w:r>
        <w:rPr>
          <w:rFonts w:hint="eastAsia" w:ascii="宋体" w:hAnsi="宋体"/>
          <w:sz w:val="24"/>
        </w:rPr>
        <w:t>（3）为安置的每位残疾人按月足额缴纳了基本养老保险、基本医疗保险、失业保险、工伤保险和生育保险等社会保险费；</w:t>
      </w:r>
    </w:p>
    <w:p w14:paraId="1E6F801E">
      <w:pPr>
        <w:shd w:val="clear" w:color="auto" w:fill="FFFFFF"/>
        <w:spacing w:line="480" w:lineRule="exact"/>
        <w:ind w:firstLine="482" w:firstLineChars="200"/>
        <w:jc w:val="left"/>
        <w:rPr>
          <w:rFonts w:ascii="宋体" w:hAnsi="宋体"/>
          <w:sz w:val="24"/>
        </w:rPr>
      </w:pPr>
      <w:r>
        <w:rPr>
          <w:rFonts w:hint="eastAsia" w:ascii="宋体" w:hAnsi="宋体"/>
          <w:sz w:val="24"/>
        </w:rPr>
        <w:t>（4）通过银行等金融机构向安置的每位残疾人，按月支付了不低于单位所在区县适用的经省级人民政府批准的月最低工资标准的工资；</w:t>
      </w:r>
    </w:p>
    <w:p w14:paraId="2B8B0A60">
      <w:pPr>
        <w:shd w:val="clear" w:color="auto" w:fill="FFFFFF"/>
        <w:spacing w:line="480" w:lineRule="exact"/>
        <w:ind w:firstLine="482" w:firstLineChars="200"/>
        <w:jc w:val="left"/>
        <w:rPr>
          <w:rFonts w:ascii="宋体" w:hAnsi="宋体"/>
          <w:sz w:val="24"/>
        </w:rPr>
      </w:pPr>
      <w:r>
        <w:rPr>
          <w:rFonts w:hint="eastAsia" w:ascii="宋体" w:hAnsi="宋体"/>
          <w:sz w:val="24"/>
        </w:rPr>
        <w:t>（5）提供本单位制造的货物、承担的工程或者服务（以下简称产品），或者提供其他残疾人福利性单位制造的货物（不包括使用非残疾人福利性单位注册商标的货物）。</w:t>
      </w:r>
    </w:p>
    <w:p w14:paraId="176F84C3">
      <w:pPr>
        <w:shd w:val="clear" w:color="auto" w:fill="FFFFFF"/>
        <w:spacing w:line="480" w:lineRule="exact"/>
        <w:ind w:firstLine="482" w:firstLineChars="200"/>
        <w:jc w:val="left"/>
        <w:rPr>
          <w:rFonts w:ascii="宋体" w:hAnsi="宋体"/>
          <w:sz w:val="24"/>
        </w:rPr>
      </w:pPr>
      <w:r>
        <w:rPr>
          <w:rFonts w:hint="eastAsia" w:ascii="宋体" w:hAnsi="宋体"/>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5A30E348">
      <w:pPr>
        <w:shd w:val="clear" w:color="auto" w:fill="FFFFFF"/>
        <w:spacing w:line="480" w:lineRule="exact"/>
        <w:ind w:firstLine="482" w:firstLineChars="200"/>
        <w:jc w:val="left"/>
        <w:rPr>
          <w:rFonts w:ascii="宋体" w:hAnsi="宋体"/>
          <w:sz w:val="24"/>
        </w:rPr>
      </w:pPr>
      <w:r>
        <w:rPr>
          <w:rFonts w:hint="eastAsia" w:ascii="宋体" w:hAnsi="宋体"/>
          <w:sz w:val="24"/>
        </w:rPr>
        <w:t>4.3.2符合条件的残疾人福利性单位在参加政府采购活动时，应当提供《残疾人福利性单位声明函》，并对声明的真实性负责。</w:t>
      </w:r>
    </w:p>
    <w:p w14:paraId="65B072F6">
      <w:pPr>
        <w:shd w:val="clear" w:color="auto" w:fill="FFFFFF"/>
        <w:spacing w:line="480" w:lineRule="exact"/>
        <w:jc w:val="left"/>
        <w:rPr>
          <w:rFonts w:ascii="宋体" w:hAnsi="宋体"/>
          <w:sz w:val="24"/>
        </w:rPr>
      </w:pPr>
      <w:r>
        <w:rPr>
          <w:rFonts w:hint="eastAsia" w:ascii="宋体" w:hAnsi="宋体"/>
          <w:b/>
          <w:bCs/>
          <w:sz w:val="24"/>
        </w:rPr>
        <w:t>4.4节能、环境标志产品扶持政策</w:t>
      </w:r>
    </w:p>
    <w:p w14:paraId="27C2D113">
      <w:pPr>
        <w:shd w:val="clear" w:color="auto" w:fill="FFFFFF"/>
        <w:spacing w:line="480" w:lineRule="exact"/>
        <w:ind w:firstLine="482" w:firstLineChars="200"/>
        <w:jc w:val="left"/>
        <w:rPr>
          <w:rFonts w:ascii="宋体" w:hAnsi="宋体"/>
          <w:sz w:val="24"/>
        </w:rPr>
      </w:pPr>
      <w:r>
        <w:rPr>
          <w:rFonts w:hint="eastAsia" w:ascii="宋体" w:hAnsi="宋体"/>
          <w:sz w:val="24"/>
        </w:rPr>
        <w:t>4.4.1节能产品是指列入财政部和国家发改委公布的《节能产品政府采购品目清单》中的货物。政府强制采购节能产品是指《节能产品政府采购品目清单》中以“★”标注类别的产品。</w:t>
      </w:r>
    </w:p>
    <w:p w14:paraId="723D0FD0">
      <w:pPr>
        <w:shd w:val="clear" w:color="auto" w:fill="FFFFFF"/>
        <w:spacing w:line="480" w:lineRule="exact"/>
        <w:ind w:firstLine="482" w:firstLineChars="200"/>
        <w:jc w:val="left"/>
        <w:rPr>
          <w:rFonts w:ascii="宋体" w:hAnsi="宋体"/>
          <w:sz w:val="24"/>
        </w:rPr>
      </w:pPr>
      <w:r>
        <w:rPr>
          <w:rFonts w:hint="eastAsia" w:ascii="宋体" w:hAnsi="宋体"/>
          <w:sz w:val="24"/>
        </w:rPr>
        <w:t>4.4.2环境标志产品是指列入财政部、生态环境部公布的《环境标志产品政府采购品目清单》中的货物。</w:t>
      </w:r>
    </w:p>
    <w:p w14:paraId="3C985A04">
      <w:pPr>
        <w:shd w:val="clear" w:color="auto" w:fill="FFFFFF"/>
        <w:spacing w:line="480" w:lineRule="exact"/>
        <w:ind w:firstLine="482" w:firstLineChars="200"/>
        <w:jc w:val="left"/>
        <w:rPr>
          <w:rFonts w:ascii="宋体" w:hAnsi="宋体"/>
          <w:sz w:val="24"/>
        </w:rPr>
      </w:pPr>
      <w:r>
        <w:rPr>
          <w:rFonts w:hint="eastAsia" w:ascii="宋体" w:hAnsi="宋体"/>
          <w:sz w:val="24"/>
        </w:rPr>
        <w:t>4.4.3本项目采购清单中若有政府强制采购节能产品，只接受强制节能产品投标，投标人必须选报，否则按不实质性响应招标文件要求处理。</w:t>
      </w:r>
    </w:p>
    <w:p w14:paraId="468D2562">
      <w:pPr>
        <w:shd w:val="clear" w:color="auto" w:fill="FFFFFF"/>
        <w:spacing w:line="480" w:lineRule="exact"/>
        <w:ind w:firstLine="482" w:firstLineChars="200"/>
        <w:jc w:val="left"/>
        <w:rPr>
          <w:rFonts w:ascii="宋体" w:hAnsi="宋体"/>
          <w:sz w:val="24"/>
        </w:rPr>
      </w:pPr>
      <w:r>
        <w:rPr>
          <w:rFonts w:hint="eastAsia" w:ascii="宋体" w:hAnsi="宋体"/>
          <w:sz w:val="24"/>
        </w:rPr>
        <w:t>4.4.4投标人应在投标文件中提供所投标产品国家确定的认证机构出具的、处于有效期之内的节能产品、环境标志产品认证证书，否则不予认可。</w:t>
      </w:r>
    </w:p>
    <w:p w14:paraId="7F097361">
      <w:pPr>
        <w:spacing w:line="360" w:lineRule="auto"/>
        <w:ind w:firstLine="482" w:firstLineChars="200"/>
        <w:jc w:val="left"/>
        <w:rPr>
          <w:rFonts w:ascii="宋体" w:hAnsi="宋体"/>
          <w:sz w:val="24"/>
        </w:rPr>
      </w:pPr>
      <w:r>
        <w:rPr>
          <w:rFonts w:hint="eastAsia" w:ascii="宋体" w:hAnsi="宋体"/>
          <w:sz w:val="24"/>
        </w:rPr>
        <w:t>4.4.5《节能产品政府采购品目清单》及《环境标志产品政府采购品目清单》可通过中国政府采购网（http://www.ccgp.gov.cn/ ）查阅、下载。</w:t>
      </w:r>
    </w:p>
    <w:p w14:paraId="518EF3C1">
      <w:pPr>
        <w:pStyle w:val="33"/>
        <w:spacing w:before="0" w:beforeAutospacing="0" w:after="0" w:afterAutospacing="0" w:line="480" w:lineRule="exact"/>
        <w:ind w:firstLine="423" w:firstLineChars="176"/>
        <w:rPr>
          <w:rFonts w:cs="宋体"/>
          <w:kern w:val="2"/>
        </w:rPr>
      </w:pPr>
    </w:p>
    <w:p w14:paraId="7FE76B69">
      <w:pPr>
        <w:widowControl/>
        <w:spacing w:line="480" w:lineRule="exact"/>
        <w:ind w:firstLine="480"/>
        <w:jc w:val="left"/>
        <w:rPr>
          <w:rFonts w:ascii="宋体" w:hAnsi="宋体" w:cs="宋体"/>
          <w:kern w:val="0"/>
          <w:sz w:val="24"/>
        </w:rPr>
      </w:pPr>
    </w:p>
    <w:p w14:paraId="2680F701">
      <w:pPr>
        <w:spacing w:line="480" w:lineRule="exact"/>
        <w:jc w:val="center"/>
        <w:outlineLvl w:val="9"/>
        <w:rPr>
          <w:rFonts w:ascii="宋体" w:hAnsi="宋体" w:eastAsia="宋体" w:cs="宋体"/>
          <w:color w:val="auto"/>
          <w:sz w:val="24"/>
          <w:szCs w:val="24"/>
        </w:rPr>
      </w:pPr>
      <w:r>
        <w:rPr>
          <w:rFonts w:ascii="宋体" w:hAnsi="宋体" w:cs="宋体"/>
          <w:color w:val="auto"/>
          <w:sz w:val="24"/>
        </w:rPr>
        <w:br w:type="page"/>
      </w:r>
    </w:p>
    <w:p w14:paraId="7C18403D">
      <w:pPr>
        <w:spacing w:line="480" w:lineRule="exact"/>
        <w:jc w:val="center"/>
        <w:outlineLvl w:val="9"/>
        <w:rPr>
          <w:rFonts w:ascii="宋体" w:hAnsi="宋体" w:eastAsia="宋体" w:cs="宋体"/>
          <w:color w:val="auto"/>
          <w:sz w:val="24"/>
          <w:szCs w:val="24"/>
        </w:rPr>
      </w:pPr>
    </w:p>
    <w:p w14:paraId="1BFF94CE">
      <w:pPr>
        <w:spacing w:line="480" w:lineRule="exact"/>
        <w:jc w:val="center"/>
        <w:outlineLvl w:val="9"/>
        <w:rPr>
          <w:rFonts w:ascii="宋体" w:hAnsi="宋体" w:eastAsia="宋体" w:cs="宋体"/>
          <w:color w:val="auto"/>
          <w:sz w:val="24"/>
          <w:szCs w:val="24"/>
        </w:rPr>
      </w:pPr>
    </w:p>
    <w:p w14:paraId="2CC8286A">
      <w:pPr>
        <w:spacing w:line="480" w:lineRule="exact"/>
        <w:jc w:val="center"/>
        <w:outlineLvl w:val="9"/>
        <w:rPr>
          <w:rFonts w:ascii="宋体" w:hAnsi="宋体" w:eastAsia="宋体" w:cs="宋体"/>
          <w:color w:val="auto"/>
          <w:sz w:val="24"/>
          <w:szCs w:val="24"/>
        </w:rPr>
      </w:pPr>
    </w:p>
    <w:p w14:paraId="4AA59129">
      <w:pPr>
        <w:spacing w:line="480" w:lineRule="exact"/>
        <w:jc w:val="center"/>
        <w:outlineLvl w:val="9"/>
        <w:rPr>
          <w:rFonts w:ascii="宋体" w:hAnsi="宋体" w:eastAsia="宋体" w:cs="宋体"/>
          <w:color w:val="auto"/>
          <w:sz w:val="24"/>
          <w:szCs w:val="24"/>
        </w:rPr>
      </w:pPr>
    </w:p>
    <w:p w14:paraId="197BB3AE">
      <w:pPr>
        <w:spacing w:line="480" w:lineRule="exact"/>
        <w:jc w:val="center"/>
        <w:outlineLvl w:val="9"/>
        <w:rPr>
          <w:rFonts w:ascii="宋体" w:hAnsi="宋体" w:eastAsia="宋体" w:cs="宋体"/>
          <w:color w:val="auto"/>
          <w:sz w:val="24"/>
          <w:szCs w:val="24"/>
        </w:rPr>
      </w:pPr>
    </w:p>
    <w:p w14:paraId="6FF0A370">
      <w:pPr>
        <w:spacing w:line="480" w:lineRule="exact"/>
        <w:jc w:val="center"/>
        <w:outlineLvl w:val="9"/>
        <w:rPr>
          <w:rFonts w:ascii="宋体" w:hAnsi="宋体" w:eastAsia="宋体" w:cs="宋体"/>
          <w:color w:val="auto"/>
          <w:sz w:val="24"/>
          <w:szCs w:val="24"/>
        </w:rPr>
      </w:pPr>
    </w:p>
    <w:p w14:paraId="6D0878D0">
      <w:pPr>
        <w:spacing w:line="480" w:lineRule="exact"/>
        <w:jc w:val="center"/>
        <w:outlineLvl w:val="9"/>
        <w:rPr>
          <w:rFonts w:ascii="宋体" w:hAnsi="宋体" w:eastAsia="宋体" w:cs="宋体"/>
          <w:color w:val="auto"/>
          <w:sz w:val="24"/>
          <w:szCs w:val="24"/>
        </w:rPr>
      </w:pPr>
    </w:p>
    <w:p w14:paraId="3CC63C33">
      <w:pPr>
        <w:spacing w:line="480" w:lineRule="exact"/>
        <w:jc w:val="center"/>
        <w:outlineLvl w:val="9"/>
        <w:rPr>
          <w:rFonts w:ascii="宋体" w:hAnsi="宋体" w:eastAsia="宋体" w:cs="宋体"/>
          <w:color w:val="auto"/>
          <w:sz w:val="24"/>
          <w:szCs w:val="24"/>
        </w:rPr>
      </w:pPr>
    </w:p>
    <w:p w14:paraId="5D9A6DF8">
      <w:pPr>
        <w:spacing w:line="480" w:lineRule="exact"/>
        <w:jc w:val="center"/>
        <w:outlineLvl w:val="9"/>
        <w:rPr>
          <w:rFonts w:ascii="宋体" w:hAnsi="宋体" w:eastAsia="宋体" w:cs="宋体"/>
          <w:color w:val="auto"/>
          <w:sz w:val="24"/>
          <w:szCs w:val="24"/>
        </w:rPr>
      </w:pPr>
    </w:p>
    <w:p w14:paraId="5DB1B0B8">
      <w:pPr>
        <w:spacing w:line="480" w:lineRule="exact"/>
        <w:jc w:val="center"/>
        <w:outlineLvl w:val="9"/>
        <w:rPr>
          <w:rFonts w:ascii="宋体" w:hAnsi="宋体" w:eastAsia="宋体" w:cs="宋体"/>
          <w:color w:val="auto"/>
          <w:sz w:val="24"/>
          <w:szCs w:val="24"/>
        </w:rPr>
      </w:pPr>
    </w:p>
    <w:p w14:paraId="3AD863BA">
      <w:pPr>
        <w:spacing w:line="480" w:lineRule="exact"/>
        <w:jc w:val="center"/>
        <w:outlineLvl w:val="9"/>
        <w:rPr>
          <w:rFonts w:ascii="宋体" w:hAnsi="宋体" w:eastAsia="宋体" w:cs="宋体"/>
          <w:color w:val="auto"/>
          <w:sz w:val="24"/>
          <w:szCs w:val="24"/>
        </w:rPr>
      </w:pPr>
    </w:p>
    <w:p w14:paraId="05866EDB">
      <w:pPr>
        <w:pStyle w:val="3"/>
        <w:numPr>
          <w:ilvl w:val="0"/>
          <w:numId w:val="13"/>
        </w:numPr>
        <w:spacing w:line="480" w:lineRule="exact"/>
        <w:jc w:val="center"/>
        <w:rPr>
          <w:rFonts w:ascii="宋体" w:hAnsi="宋体" w:eastAsia="宋体" w:cs="宋体"/>
          <w:color w:val="auto"/>
          <w:sz w:val="36"/>
          <w:szCs w:val="36"/>
        </w:rPr>
      </w:pPr>
      <w:bookmarkStart w:id="351" w:name="_Toc505612988"/>
      <w:r>
        <w:rPr>
          <w:rFonts w:hint="eastAsia" w:ascii="宋体" w:hAnsi="宋体" w:eastAsia="宋体" w:cs="宋体"/>
          <w:color w:val="auto"/>
          <w:sz w:val="36"/>
          <w:szCs w:val="36"/>
        </w:rPr>
        <w:t xml:space="preserve"> 采购需求</w:t>
      </w:r>
      <w:bookmarkEnd w:id="351"/>
    </w:p>
    <w:p w14:paraId="67B36297"/>
    <w:p w14:paraId="2EB20960">
      <w:pPr>
        <w:jc w:val="center"/>
        <w:sectPr>
          <w:pgSz w:w="11906" w:h="16838"/>
          <w:pgMar w:top="1134" w:right="1304" w:bottom="1134" w:left="1304" w:header="510" w:footer="680" w:gutter="0"/>
          <w:pgNumType w:fmt="decimal"/>
          <w:cols w:space="720" w:num="1"/>
          <w:titlePg/>
          <w:docGrid w:type="linesAndChars" w:linePitch="320" w:charSpace="269"/>
        </w:sectPr>
      </w:pPr>
    </w:p>
    <w:p w14:paraId="7DE43719">
      <w:pPr>
        <w:jc w:val="center"/>
        <w:rPr>
          <w:rFonts w:hint="eastAsia"/>
          <w:b/>
          <w:kern w:val="0"/>
          <w:sz w:val="28"/>
          <w:szCs w:val="28"/>
        </w:rPr>
      </w:pPr>
      <w:bookmarkStart w:id="352" w:name="_Toc505612989"/>
      <w:bookmarkStart w:id="353" w:name="_Toc498367364"/>
      <w:r>
        <w:rPr>
          <w:rFonts w:hint="eastAsia"/>
          <w:b/>
          <w:kern w:val="0"/>
          <w:sz w:val="28"/>
          <w:szCs w:val="28"/>
        </w:rPr>
        <w:t>第一部分 采购内容</w:t>
      </w:r>
      <w:bookmarkEnd w:id="352"/>
      <w:bookmarkEnd w:id="353"/>
      <w:bookmarkStart w:id="354" w:name="_Toc524091364"/>
      <w:bookmarkStart w:id="355" w:name="_Toc19634241"/>
    </w:p>
    <w:tbl>
      <w:tblPr>
        <w:tblStyle w:val="38"/>
        <w:tblW w:w="4680" w:type="pct"/>
        <w:jc w:val="center"/>
        <w:tblLayout w:type="fixed"/>
        <w:tblCellMar>
          <w:top w:w="0" w:type="dxa"/>
          <w:left w:w="108" w:type="dxa"/>
          <w:bottom w:w="0" w:type="dxa"/>
          <w:right w:w="108" w:type="dxa"/>
        </w:tblCellMar>
      </w:tblPr>
      <w:tblGrid>
        <w:gridCol w:w="701"/>
        <w:gridCol w:w="3843"/>
        <w:gridCol w:w="1222"/>
        <w:gridCol w:w="897"/>
        <w:gridCol w:w="1135"/>
        <w:gridCol w:w="1107"/>
      </w:tblGrid>
      <w:tr w14:paraId="394A38E1">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5E37C8C4">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drawing>
                <wp:anchor distT="0" distB="0" distL="114300" distR="114300" simplePos="0" relativeHeight="25183334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71" name="图片_1"/>
                  <wp:cNvGraphicFramePr/>
                  <a:graphic xmlns:a="http://schemas.openxmlformats.org/drawingml/2006/main">
                    <a:graphicData uri="http://schemas.openxmlformats.org/drawingml/2006/picture">
                      <pic:pic xmlns:pic="http://schemas.openxmlformats.org/drawingml/2006/picture">
                        <pic:nvPicPr>
                          <pic:cNvPr id="171" name="图片_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3436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72" name="图片_3"/>
                  <wp:cNvGraphicFramePr/>
                  <a:graphic xmlns:a="http://schemas.openxmlformats.org/drawingml/2006/main">
                    <a:graphicData uri="http://schemas.openxmlformats.org/drawingml/2006/picture">
                      <pic:pic xmlns:pic="http://schemas.openxmlformats.org/drawingml/2006/picture">
                        <pic:nvPicPr>
                          <pic:cNvPr id="172" name="图片_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3539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73" name="图片_7"/>
                  <wp:cNvGraphicFramePr/>
                  <a:graphic xmlns:a="http://schemas.openxmlformats.org/drawingml/2006/main">
                    <a:graphicData uri="http://schemas.openxmlformats.org/drawingml/2006/picture">
                      <pic:pic xmlns:pic="http://schemas.openxmlformats.org/drawingml/2006/picture">
                        <pic:nvPicPr>
                          <pic:cNvPr id="173" name="图片_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3641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74" name="图片_15"/>
                  <wp:cNvGraphicFramePr/>
                  <a:graphic xmlns:a="http://schemas.openxmlformats.org/drawingml/2006/main">
                    <a:graphicData uri="http://schemas.openxmlformats.org/drawingml/2006/picture">
                      <pic:pic xmlns:pic="http://schemas.openxmlformats.org/drawingml/2006/picture">
                        <pic:nvPicPr>
                          <pic:cNvPr id="174" name="图片_1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3744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75" name="图片_31"/>
                  <wp:cNvGraphicFramePr/>
                  <a:graphic xmlns:a="http://schemas.openxmlformats.org/drawingml/2006/main">
                    <a:graphicData uri="http://schemas.openxmlformats.org/drawingml/2006/picture">
                      <pic:pic xmlns:pic="http://schemas.openxmlformats.org/drawingml/2006/picture">
                        <pic:nvPicPr>
                          <pic:cNvPr id="175" name="图片_3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3846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76" name="图片_63"/>
                  <wp:cNvGraphicFramePr/>
                  <a:graphic xmlns:a="http://schemas.openxmlformats.org/drawingml/2006/main">
                    <a:graphicData uri="http://schemas.openxmlformats.org/drawingml/2006/picture">
                      <pic:pic xmlns:pic="http://schemas.openxmlformats.org/drawingml/2006/picture">
                        <pic:nvPicPr>
                          <pic:cNvPr id="176" name="图片_6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3948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77" name="图片_127"/>
                  <wp:cNvGraphicFramePr/>
                  <a:graphic xmlns:a="http://schemas.openxmlformats.org/drawingml/2006/main">
                    <a:graphicData uri="http://schemas.openxmlformats.org/drawingml/2006/picture">
                      <pic:pic xmlns:pic="http://schemas.openxmlformats.org/drawingml/2006/picture">
                        <pic:nvPicPr>
                          <pic:cNvPr id="177" name="图片_12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4051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78" name="图片_167"/>
                  <wp:cNvGraphicFramePr/>
                  <a:graphic xmlns:a="http://schemas.openxmlformats.org/drawingml/2006/main">
                    <a:graphicData uri="http://schemas.openxmlformats.org/drawingml/2006/picture">
                      <pic:pic xmlns:pic="http://schemas.openxmlformats.org/drawingml/2006/picture">
                        <pic:nvPicPr>
                          <pic:cNvPr id="178" name="图片_16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4153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79" name="图片_166"/>
                  <wp:cNvGraphicFramePr/>
                  <a:graphic xmlns:a="http://schemas.openxmlformats.org/drawingml/2006/main">
                    <a:graphicData uri="http://schemas.openxmlformats.org/drawingml/2006/picture">
                      <pic:pic xmlns:pic="http://schemas.openxmlformats.org/drawingml/2006/picture">
                        <pic:nvPicPr>
                          <pic:cNvPr id="179" name="图片_16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4256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80" name="图片_165"/>
                  <wp:cNvGraphicFramePr/>
                  <a:graphic xmlns:a="http://schemas.openxmlformats.org/drawingml/2006/main">
                    <a:graphicData uri="http://schemas.openxmlformats.org/drawingml/2006/picture">
                      <pic:pic xmlns:pic="http://schemas.openxmlformats.org/drawingml/2006/picture">
                        <pic:nvPicPr>
                          <pic:cNvPr id="180" name="图片_16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4358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81" name="图片_164"/>
                  <wp:cNvGraphicFramePr/>
                  <a:graphic xmlns:a="http://schemas.openxmlformats.org/drawingml/2006/main">
                    <a:graphicData uri="http://schemas.openxmlformats.org/drawingml/2006/picture">
                      <pic:pic xmlns:pic="http://schemas.openxmlformats.org/drawingml/2006/picture">
                        <pic:nvPicPr>
                          <pic:cNvPr id="181" name="图片_16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4460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82" name="图片_163"/>
                  <wp:cNvGraphicFramePr/>
                  <a:graphic xmlns:a="http://schemas.openxmlformats.org/drawingml/2006/main">
                    <a:graphicData uri="http://schemas.openxmlformats.org/drawingml/2006/picture">
                      <pic:pic xmlns:pic="http://schemas.openxmlformats.org/drawingml/2006/picture">
                        <pic:nvPicPr>
                          <pic:cNvPr id="182" name="图片_16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45632" behindDoc="0" locked="0" layoutInCell="1" allowOverlap="1">
                  <wp:simplePos x="0" y="0"/>
                  <wp:positionH relativeFrom="column">
                    <wp:posOffset>0</wp:posOffset>
                  </wp:positionH>
                  <wp:positionV relativeFrom="paragraph">
                    <wp:posOffset>0</wp:posOffset>
                  </wp:positionV>
                  <wp:extent cx="7620" cy="7620"/>
                  <wp:effectExtent l="0" t="0" r="0" b="0"/>
                  <wp:wrapNone/>
                  <wp:docPr id="183" name="图片_162"/>
                  <wp:cNvGraphicFramePr/>
                  <a:graphic xmlns:a="http://schemas.openxmlformats.org/drawingml/2006/main">
                    <a:graphicData uri="http://schemas.openxmlformats.org/drawingml/2006/picture">
                      <pic:pic xmlns:pic="http://schemas.openxmlformats.org/drawingml/2006/picture">
                        <pic:nvPicPr>
                          <pic:cNvPr id="183" name="图片_162"/>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46656" behindDoc="0" locked="0" layoutInCell="1" allowOverlap="1">
                  <wp:simplePos x="0" y="0"/>
                  <wp:positionH relativeFrom="column">
                    <wp:posOffset>0</wp:posOffset>
                  </wp:positionH>
                  <wp:positionV relativeFrom="paragraph">
                    <wp:posOffset>0</wp:posOffset>
                  </wp:positionV>
                  <wp:extent cx="7620" cy="7620"/>
                  <wp:effectExtent l="0" t="0" r="0" b="0"/>
                  <wp:wrapNone/>
                  <wp:docPr id="184" name="图片_161"/>
                  <wp:cNvGraphicFramePr/>
                  <a:graphic xmlns:a="http://schemas.openxmlformats.org/drawingml/2006/main">
                    <a:graphicData uri="http://schemas.openxmlformats.org/drawingml/2006/picture">
                      <pic:pic xmlns:pic="http://schemas.openxmlformats.org/drawingml/2006/picture">
                        <pic:nvPicPr>
                          <pic:cNvPr id="184" name="图片_161"/>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47680" behindDoc="0" locked="0" layoutInCell="1" allowOverlap="1">
                  <wp:simplePos x="0" y="0"/>
                  <wp:positionH relativeFrom="column">
                    <wp:posOffset>0</wp:posOffset>
                  </wp:positionH>
                  <wp:positionV relativeFrom="paragraph">
                    <wp:posOffset>0</wp:posOffset>
                  </wp:positionV>
                  <wp:extent cx="7620" cy="7620"/>
                  <wp:effectExtent l="0" t="0" r="0" b="0"/>
                  <wp:wrapNone/>
                  <wp:docPr id="185" name="图片_160"/>
                  <wp:cNvGraphicFramePr/>
                  <a:graphic xmlns:a="http://schemas.openxmlformats.org/drawingml/2006/main">
                    <a:graphicData uri="http://schemas.openxmlformats.org/drawingml/2006/picture">
                      <pic:pic xmlns:pic="http://schemas.openxmlformats.org/drawingml/2006/picture">
                        <pic:nvPicPr>
                          <pic:cNvPr id="185" name="图片_160"/>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48704" behindDoc="0" locked="0" layoutInCell="1" allowOverlap="1">
                  <wp:simplePos x="0" y="0"/>
                  <wp:positionH relativeFrom="column">
                    <wp:posOffset>0</wp:posOffset>
                  </wp:positionH>
                  <wp:positionV relativeFrom="paragraph">
                    <wp:posOffset>0</wp:posOffset>
                  </wp:positionV>
                  <wp:extent cx="7620" cy="7620"/>
                  <wp:effectExtent l="0" t="0" r="0" b="0"/>
                  <wp:wrapNone/>
                  <wp:docPr id="186" name="图片_159"/>
                  <wp:cNvGraphicFramePr/>
                  <a:graphic xmlns:a="http://schemas.openxmlformats.org/drawingml/2006/main">
                    <a:graphicData uri="http://schemas.openxmlformats.org/drawingml/2006/picture">
                      <pic:pic xmlns:pic="http://schemas.openxmlformats.org/drawingml/2006/picture">
                        <pic:nvPicPr>
                          <pic:cNvPr id="186" name="图片_159"/>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4972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87" name="图片_158"/>
                  <wp:cNvGraphicFramePr/>
                  <a:graphic xmlns:a="http://schemas.openxmlformats.org/drawingml/2006/main">
                    <a:graphicData uri="http://schemas.openxmlformats.org/drawingml/2006/picture">
                      <pic:pic xmlns:pic="http://schemas.openxmlformats.org/drawingml/2006/picture">
                        <pic:nvPicPr>
                          <pic:cNvPr id="187" name="图片_15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5075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88" name="图片_157"/>
                  <wp:cNvGraphicFramePr/>
                  <a:graphic xmlns:a="http://schemas.openxmlformats.org/drawingml/2006/main">
                    <a:graphicData uri="http://schemas.openxmlformats.org/drawingml/2006/picture">
                      <pic:pic xmlns:pic="http://schemas.openxmlformats.org/drawingml/2006/picture">
                        <pic:nvPicPr>
                          <pic:cNvPr id="188" name="图片_15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5177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89" name="图片_156"/>
                  <wp:cNvGraphicFramePr/>
                  <a:graphic xmlns:a="http://schemas.openxmlformats.org/drawingml/2006/main">
                    <a:graphicData uri="http://schemas.openxmlformats.org/drawingml/2006/picture">
                      <pic:pic xmlns:pic="http://schemas.openxmlformats.org/drawingml/2006/picture">
                        <pic:nvPicPr>
                          <pic:cNvPr id="189" name="图片_15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5280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90" name="图片_155"/>
                  <wp:cNvGraphicFramePr/>
                  <a:graphic xmlns:a="http://schemas.openxmlformats.org/drawingml/2006/main">
                    <a:graphicData uri="http://schemas.openxmlformats.org/drawingml/2006/picture">
                      <pic:pic xmlns:pic="http://schemas.openxmlformats.org/drawingml/2006/picture">
                        <pic:nvPicPr>
                          <pic:cNvPr id="190" name="图片_15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5382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91" name="图片_154"/>
                  <wp:cNvGraphicFramePr/>
                  <a:graphic xmlns:a="http://schemas.openxmlformats.org/drawingml/2006/main">
                    <a:graphicData uri="http://schemas.openxmlformats.org/drawingml/2006/picture">
                      <pic:pic xmlns:pic="http://schemas.openxmlformats.org/drawingml/2006/picture">
                        <pic:nvPicPr>
                          <pic:cNvPr id="191" name="图片_15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5484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92" name="图片_153"/>
                  <wp:cNvGraphicFramePr/>
                  <a:graphic xmlns:a="http://schemas.openxmlformats.org/drawingml/2006/main">
                    <a:graphicData uri="http://schemas.openxmlformats.org/drawingml/2006/picture">
                      <pic:pic xmlns:pic="http://schemas.openxmlformats.org/drawingml/2006/picture">
                        <pic:nvPicPr>
                          <pic:cNvPr id="192" name="图片_15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5587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93" name="图片_152"/>
                  <wp:cNvGraphicFramePr/>
                  <a:graphic xmlns:a="http://schemas.openxmlformats.org/drawingml/2006/main">
                    <a:graphicData uri="http://schemas.openxmlformats.org/drawingml/2006/picture">
                      <pic:pic xmlns:pic="http://schemas.openxmlformats.org/drawingml/2006/picture">
                        <pic:nvPicPr>
                          <pic:cNvPr id="193" name="图片_15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5689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94" name="图片_151"/>
                  <wp:cNvGraphicFramePr/>
                  <a:graphic xmlns:a="http://schemas.openxmlformats.org/drawingml/2006/main">
                    <a:graphicData uri="http://schemas.openxmlformats.org/drawingml/2006/picture">
                      <pic:pic xmlns:pic="http://schemas.openxmlformats.org/drawingml/2006/picture">
                        <pic:nvPicPr>
                          <pic:cNvPr id="194" name="图片_15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5792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95" name="图片_150"/>
                  <wp:cNvGraphicFramePr/>
                  <a:graphic xmlns:a="http://schemas.openxmlformats.org/drawingml/2006/main">
                    <a:graphicData uri="http://schemas.openxmlformats.org/drawingml/2006/picture">
                      <pic:pic xmlns:pic="http://schemas.openxmlformats.org/drawingml/2006/picture">
                        <pic:nvPicPr>
                          <pic:cNvPr id="195" name="图片_15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5894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96" name="图片_149"/>
                  <wp:cNvGraphicFramePr/>
                  <a:graphic xmlns:a="http://schemas.openxmlformats.org/drawingml/2006/main">
                    <a:graphicData uri="http://schemas.openxmlformats.org/drawingml/2006/picture">
                      <pic:pic xmlns:pic="http://schemas.openxmlformats.org/drawingml/2006/picture">
                        <pic:nvPicPr>
                          <pic:cNvPr id="196" name="图片_14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5996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97" name="图片_148"/>
                  <wp:cNvGraphicFramePr/>
                  <a:graphic xmlns:a="http://schemas.openxmlformats.org/drawingml/2006/main">
                    <a:graphicData uri="http://schemas.openxmlformats.org/drawingml/2006/picture">
                      <pic:pic xmlns:pic="http://schemas.openxmlformats.org/drawingml/2006/picture">
                        <pic:nvPicPr>
                          <pic:cNvPr id="197" name="图片_14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6099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98" name="图片_147"/>
                  <wp:cNvGraphicFramePr/>
                  <a:graphic xmlns:a="http://schemas.openxmlformats.org/drawingml/2006/main">
                    <a:graphicData uri="http://schemas.openxmlformats.org/drawingml/2006/picture">
                      <pic:pic xmlns:pic="http://schemas.openxmlformats.org/drawingml/2006/picture">
                        <pic:nvPicPr>
                          <pic:cNvPr id="198" name="图片_14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6201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199" name="图片_146"/>
                  <wp:cNvGraphicFramePr/>
                  <a:graphic xmlns:a="http://schemas.openxmlformats.org/drawingml/2006/main">
                    <a:graphicData uri="http://schemas.openxmlformats.org/drawingml/2006/picture">
                      <pic:pic xmlns:pic="http://schemas.openxmlformats.org/drawingml/2006/picture">
                        <pic:nvPicPr>
                          <pic:cNvPr id="199" name="图片_14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6304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00" name="图片_145"/>
                  <wp:cNvGraphicFramePr/>
                  <a:graphic xmlns:a="http://schemas.openxmlformats.org/drawingml/2006/main">
                    <a:graphicData uri="http://schemas.openxmlformats.org/drawingml/2006/picture">
                      <pic:pic xmlns:pic="http://schemas.openxmlformats.org/drawingml/2006/picture">
                        <pic:nvPicPr>
                          <pic:cNvPr id="200" name="图片_14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6406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01" name="图片_144"/>
                  <wp:cNvGraphicFramePr/>
                  <a:graphic xmlns:a="http://schemas.openxmlformats.org/drawingml/2006/main">
                    <a:graphicData uri="http://schemas.openxmlformats.org/drawingml/2006/picture">
                      <pic:pic xmlns:pic="http://schemas.openxmlformats.org/drawingml/2006/picture">
                        <pic:nvPicPr>
                          <pic:cNvPr id="201" name="图片_14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6508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02" name="图片_143"/>
                  <wp:cNvGraphicFramePr/>
                  <a:graphic xmlns:a="http://schemas.openxmlformats.org/drawingml/2006/main">
                    <a:graphicData uri="http://schemas.openxmlformats.org/drawingml/2006/picture">
                      <pic:pic xmlns:pic="http://schemas.openxmlformats.org/drawingml/2006/picture">
                        <pic:nvPicPr>
                          <pic:cNvPr id="202" name="图片_14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6611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03" name="图片_142"/>
                  <wp:cNvGraphicFramePr/>
                  <a:graphic xmlns:a="http://schemas.openxmlformats.org/drawingml/2006/main">
                    <a:graphicData uri="http://schemas.openxmlformats.org/drawingml/2006/picture">
                      <pic:pic xmlns:pic="http://schemas.openxmlformats.org/drawingml/2006/picture">
                        <pic:nvPicPr>
                          <pic:cNvPr id="203" name="图片_14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6713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04" name="图片_141"/>
                  <wp:cNvGraphicFramePr/>
                  <a:graphic xmlns:a="http://schemas.openxmlformats.org/drawingml/2006/main">
                    <a:graphicData uri="http://schemas.openxmlformats.org/drawingml/2006/picture">
                      <pic:pic xmlns:pic="http://schemas.openxmlformats.org/drawingml/2006/picture">
                        <pic:nvPicPr>
                          <pic:cNvPr id="204" name="图片_14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6816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05" name="图片_140"/>
                  <wp:cNvGraphicFramePr/>
                  <a:graphic xmlns:a="http://schemas.openxmlformats.org/drawingml/2006/main">
                    <a:graphicData uri="http://schemas.openxmlformats.org/drawingml/2006/picture">
                      <pic:pic xmlns:pic="http://schemas.openxmlformats.org/drawingml/2006/picture">
                        <pic:nvPicPr>
                          <pic:cNvPr id="205" name="图片_14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6918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06" name="图片_139"/>
                  <wp:cNvGraphicFramePr/>
                  <a:graphic xmlns:a="http://schemas.openxmlformats.org/drawingml/2006/main">
                    <a:graphicData uri="http://schemas.openxmlformats.org/drawingml/2006/picture">
                      <pic:pic xmlns:pic="http://schemas.openxmlformats.org/drawingml/2006/picture">
                        <pic:nvPicPr>
                          <pic:cNvPr id="206" name="图片_13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70208" behindDoc="0" locked="0" layoutInCell="1" allowOverlap="1">
                  <wp:simplePos x="0" y="0"/>
                  <wp:positionH relativeFrom="column">
                    <wp:posOffset>0</wp:posOffset>
                  </wp:positionH>
                  <wp:positionV relativeFrom="paragraph">
                    <wp:posOffset>0</wp:posOffset>
                  </wp:positionV>
                  <wp:extent cx="7620" cy="7620"/>
                  <wp:effectExtent l="0" t="0" r="0" b="0"/>
                  <wp:wrapNone/>
                  <wp:docPr id="207" name="图片_138"/>
                  <wp:cNvGraphicFramePr/>
                  <a:graphic xmlns:a="http://schemas.openxmlformats.org/drawingml/2006/main">
                    <a:graphicData uri="http://schemas.openxmlformats.org/drawingml/2006/picture">
                      <pic:pic xmlns:pic="http://schemas.openxmlformats.org/drawingml/2006/picture">
                        <pic:nvPicPr>
                          <pic:cNvPr id="207" name="图片_138"/>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71232" behindDoc="0" locked="0" layoutInCell="1" allowOverlap="1">
                  <wp:simplePos x="0" y="0"/>
                  <wp:positionH relativeFrom="column">
                    <wp:posOffset>0</wp:posOffset>
                  </wp:positionH>
                  <wp:positionV relativeFrom="paragraph">
                    <wp:posOffset>0</wp:posOffset>
                  </wp:positionV>
                  <wp:extent cx="7620" cy="7620"/>
                  <wp:effectExtent l="0" t="0" r="0" b="0"/>
                  <wp:wrapNone/>
                  <wp:docPr id="208" name="图片_137"/>
                  <wp:cNvGraphicFramePr/>
                  <a:graphic xmlns:a="http://schemas.openxmlformats.org/drawingml/2006/main">
                    <a:graphicData uri="http://schemas.openxmlformats.org/drawingml/2006/picture">
                      <pic:pic xmlns:pic="http://schemas.openxmlformats.org/drawingml/2006/picture">
                        <pic:nvPicPr>
                          <pic:cNvPr id="208" name="图片_137"/>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72256" behindDoc="0" locked="0" layoutInCell="1" allowOverlap="1">
                  <wp:simplePos x="0" y="0"/>
                  <wp:positionH relativeFrom="column">
                    <wp:posOffset>0</wp:posOffset>
                  </wp:positionH>
                  <wp:positionV relativeFrom="paragraph">
                    <wp:posOffset>0</wp:posOffset>
                  </wp:positionV>
                  <wp:extent cx="7620" cy="7620"/>
                  <wp:effectExtent l="0" t="0" r="0" b="0"/>
                  <wp:wrapNone/>
                  <wp:docPr id="209" name="图片_136"/>
                  <wp:cNvGraphicFramePr/>
                  <a:graphic xmlns:a="http://schemas.openxmlformats.org/drawingml/2006/main">
                    <a:graphicData uri="http://schemas.openxmlformats.org/drawingml/2006/picture">
                      <pic:pic xmlns:pic="http://schemas.openxmlformats.org/drawingml/2006/picture">
                        <pic:nvPicPr>
                          <pic:cNvPr id="209" name="图片_136"/>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73280" behindDoc="0" locked="0" layoutInCell="1" allowOverlap="1">
                  <wp:simplePos x="0" y="0"/>
                  <wp:positionH relativeFrom="column">
                    <wp:posOffset>0</wp:posOffset>
                  </wp:positionH>
                  <wp:positionV relativeFrom="paragraph">
                    <wp:posOffset>0</wp:posOffset>
                  </wp:positionV>
                  <wp:extent cx="7620" cy="7620"/>
                  <wp:effectExtent l="0" t="0" r="0" b="0"/>
                  <wp:wrapNone/>
                  <wp:docPr id="210" name="图片_135"/>
                  <wp:cNvGraphicFramePr/>
                  <a:graphic xmlns:a="http://schemas.openxmlformats.org/drawingml/2006/main">
                    <a:graphicData uri="http://schemas.openxmlformats.org/drawingml/2006/picture">
                      <pic:pic xmlns:pic="http://schemas.openxmlformats.org/drawingml/2006/picture">
                        <pic:nvPicPr>
                          <pic:cNvPr id="210" name="图片_135"/>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74304" behindDoc="0" locked="0" layoutInCell="1" allowOverlap="1">
                  <wp:simplePos x="0" y="0"/>
                  <wp:positionH relativeFrom="column">
                    <wp:posOffset>0</wp:posOffset>
                  </wp:positionH>
                  <wp:positionV relativeFrom="paragraph">
                    <wp:posOffset>0</wp:posOffset>
                  </wp:positionV>
                  <wp:extent cx="7620" cy="7620"/>
                  <wp:effectExtent l="0" t="0" r="0" b="0"/>
                  <wp:wrapNone/>
                  <wp:docPr id="211" name="图片_134"/>
                  <wp:cNvGraphicFramePr/>
                  <a:graphic xmlns:a="http://schemas.openxmlformats.org/drawingml/2006/main">
                    <a:graphicData uri="http://schemas.openxmlformats.org/drawingml/2006/picture">
                      <pic:pic xmlns:pic="http://schemas.openxmlformats.org/drawingml/2006/picture">
                        <pic:nvPicPr>
                          <pic:cNvPr id="211" name="图片_134"/>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7532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12" name="图片_133"/>
                  <wp:cNvGraphicFramePr/>
                  <a:graphic xmlns:a="http://schemas.openxmlformats.org/drawingml/2006/main">
                    <a:graphicData uri="http://schemas.openxmlformats.org/drawingml/2006/picture">
                      <pic:pic xmlns:pic="http://schemas.openxmlformats.org/drawingml/2006/picture">
                        <pic:nvPicPr>
                          <pic:cNvPr id="212" name="图片_13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7635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13" name="图片_132"/>
                  <wp:cNvGraphicFramePr/>
                  <a:graphic xmlns:a="http://schemas.openxmlformats.org/drawingml/2006/main">
                    <a:graphicData uri="http://schemas.openxmlformats.org/drawingml/2006/picture">
                      <pic:pic xmlns:pic="http://schemas.openxmlformats.org/drawingml/2006/picture">
                        <pic:nvPicPr>
                          <pic:cNvPr id="213" name="图片_13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7737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14" name="图片_131"/>
                  <wp:cNvGraphicFramePr/>
                  <a:graphic xmlns:a="http://schemas.openxmlformats.org/drawingml/2006/main">
                    <a:graphicData uri="http://schemas.openxmlformats.org/drawingml/2006/picture">
                      <pic:pic xmlns:pic="http://schemas.openxmlformats.org/drawingml/2006/picture">
                        <pic:nvPicPr>
                          <pic:cNvPr id="214" name="图片_13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7840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15" name="图片_130"/>
                  <wp:cNvGraphicFramePr/>
                  <a:graphic xmlns:a="http://schemas.openxmlformats.org/drawingml/2006/main">
                    <a:graphicData uri="http://schemas.openxmlformats.org/drawingml/2006/picture">
                      <pic:pic xmlns:pic="http://schemas.openxmlformats.org/drawingml/2006/picture">
                        <pic:nvPicPr>
                          <pic:cNvPr id="215" name="图片_13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7942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16" name="图片_129"/>
                  <wp:cNvGraphicFramePr/>
                  <a:graphic xmlns:a="http://schemas.openxmlformats.org/drawingml/2006/main">
                    <a:graphicData uri="http://schemas.openxmlformats.org/drawingml/2006/picture">
                      <pic:pic xmlns:pic="http://schemas.openxmlformats.org/drawingml/2006/picture">
                        <pic:nvPicPr>
                          <pic:cNvPr id="216" name="图片_12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8044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17" name="图片_126"/>
                  <wp:cNvGraphicFramePr/>
                  <a:graphic xmlns:a="http://schemas.openxmlformats.org/drawingml/2006/main">
                    <a:graphicData uri="http://schemas.openxmlformats.org/drawingml/2006/picture">
                      <pic:pic xmlns:pic="http://schemas.openxmlformats.org/drawingml/2006/picture">
                        <pic:nvPicPr>
                          <pic:cNvPr id="217" name="图片_12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8147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18" name="图片_128"/>
                  <wp:cNvGraphicFramePr/>
                  <a:graphic xmlns:a="http://schemas.openxmlformats.org/drawingml/2006/main">
                    <a:graphicData uri="http://schemas.openxmlformats.org/drawingml/2006/picture">
                      <pic:pic xmlns:pic="http://schemas.openxmlformats.org/drawingml/2006/picture">
                        <pic:nvPicPr>
                          <pic:cNvPr id="218" name="图片_12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8249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19" name="图片_125"/>
                  <wp:cNvGraphicFramePr/>
                  <a:graphic xmlns:a="http://schemas.openxmlformats.org/drawingml/2006/main">
                    <a:graphicData uri="http://schemas.openxmlformats.org/drawingml/2006/picture">
                      <pic:pic xmlns:pic="http://schemas.openxmlformats.org/drawingml/2006/picture">
                        <pic:nvPicPr>
                          <pic:cNvPr id="219" name="图片_12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8352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20" name="图片_124"/>
                  <wp:cNvGraphicFramePr/>
                  <a:graphic xmlns:a="http://schemas.openxmlformats.org/drawingml/2006/main">
                    <a:graphicData uri="http://schemas.openxmlformats.org/drawingml/2006/picture">
                      <pic:pic xmlns:pic="http://schemas.openxmlformats.org/drawingml/2006/picture">
                        <pic:nvPicPr>
                          <pic:cNvPr id="220" name="图片_12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8454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21" name="图片_123"/>
                  <wp:cNvGraphicFramePr/>
                  <a:graphic xmlns:a="http://schemas.openxmlformats.org/drawingml/2006/main">
                    <a:graphicData uri="http://schemas.openxmlformats.org/drawingml/2006/picture">
                      <pic:pic xmlns:pic="http://schemas.openxmlformats.org/drawingml/2006/picture">
                        <pic:nvPicPr>
                          <pic:cNvPr id="221" name="图片_12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8556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22" name="图片_122"/>
                  <wp:cNvGraphicFramePr/>
                  <a:graphic xmlns:a="http://schemas.openxmlformats.org/drawingml/2006/main">
                    <a:graphicData uri="http://schemas.openxmlformats.org/drawingml/2006/picture">
                      <pic:pic xmlns:pic="http://schemas.openxmlformats.org/drawingml/2006/picture">
                        <pic:nvPicPr>
                          <pic:cNvPr id="222" name="图片_12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8659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23" name="图片_121"/>
                  <wp:cNvGraphicFramePr/>
                  <a:graphic xmlns:a="http://schemas.openxmlformats.org/drawingml/2006/main">
                    <a:graphicData uri="http://schemas.openxmlformats.org/drawingml/2006/picture">
                      <pic:pic xmlns:pic="http://schemas.openxmlformats.org/drawingml/2006/picture">
                        <pic:nvPicPr>
                          <pic:cNvPr id="223" name="图片_12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8761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24" name="图片_120"/>
                  <wp:cNvGraphicFramePr/>
                  <a:graphic xmlns:a="http://schemas.openxmlformats.org/drawingml/2006/main">
                    <a:graphicData uri="http://schemas.openxmlformats.org/drawingml/2006/picture">
                      <pic:pic xmlns:pic="http://schemas.openxmlformats.org/drawingml/2006/picture">
                        <pic:nvPicPr>
                          <pic:cNvPr id="224" name="图片_12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8864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25" name="图片_119"/>
                  <wp:cNvGraphicFramePr/>
                  <a:graphic xmlns:a="http://schemas.openxmlformats.org/drawingml/2006/main">
                    <a:graphicData uri="http://schemas.openxmlformats.org/drawingml/2006/picture">
                      <pic:pic xmlns:pic="http://schemas.openxmlformats.org/drawingml/2006/picture">
                        <pic:nvPicPr>
                          <pic:cNvPr id="225" name="图片_11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8966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26" name="图片_118"/>
                  <wp:cNvGraphicFramePr/>
                  <a:graphic xmlns:a="http://schemas.openxmlformats.org/drawingml/2006/main">
                    <a:graphicData uri="http://schemas.openxmlformats.org/drawingml/2006/picture">
                      <pic:pic xmlns:pic="http://schemas.openxmlformats.org/drawingml/2006/picture">
                        <pic:nvPicPr>
                          <pic:cNvPr id="226" name="图片_11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9068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27" name="图片_117"/>
                  <wp:cNvGraphicFramePr/>
                  <a:graphic xmlns:a="http://schemas.openxmlformats.org/drawingml/2006/main">
                    <a:graphicData uri="http://schemas.openxmlformats.org/drawingml/2006/picture">
                      <pic:pic xmlns:pic="http://schemas.openxmlformats.org/drawingml/2006/picture">
                        <pic:nvPicPr>
                          <pic:cNvPr id="227" name="图片_11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9171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28" name="图片_116"/>
                  <wp:cNvGraphicFramePr/>
                  <a:graphic xmlns:a="http://schemas.openxmlformats.org/drawingml/2006/main">
                    <a:graphicData uri="http://schemas.openxmlformats.org/drawingml/2006/picture">
                      <pic:pic xmlns:pic="http://schemas.openxmlformats.org/drawingml/2006/picture">
                        <pic:nvPicPr>
                          <pic:cNvPr id="228" name="图片_11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9273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29" name="图片_115"/>
                  <wp:cNvGraphicFramePr/>
                  <a:graphic xmlns:a="http://schemas.openxmlformats.org/drawingml/2006/main">
                    <a:graphicData uri="http://schemas.openxmlformats.org/drawingml/2006/picture">
                      <pic:pic xmlns:pic="http://schemas.openxmlformats.org/drawingml/2006/picture">
                        <pic:nvPicPr>
                          <pic:cNvPr id="229" name="图片_11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9376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30" name="图片_114"/>
                  <wp:cNvGraphicFramePr/>
                  <a:graphic xmlns:a="http://schemas.openxmlformats.org/drawingml/2006/main">
                    <a:graphicData uri="http://schemas.openxmlformats.org/drawingml/2006/picture">
                      <pic:pic xmlns:pic="http://schemas.openxmlformats.org/drawingml/2006/picture">
                        <pic:nvPicPr>
                          <pic:cNvPr id="230" name="图片_11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94784" behindDoc="0" locked="0" layoutInCell="1" allowOverlap="1">
                  <wp:simplePos x="0" y="0"/>
                  <wp:positionH relativeFrom="column">
                    <wp:posOffset>0</wp:posOffset>
                  </wp:positionH>
                  <wp:positionV relativeFrom="paragraph">
                    <wp:posOffset>0</wp:posOffset>
                  </wp:positionV>
                  <wp:extent cx="7620" cy="7620"/>
                  <wp:effectExtent l="0" t="0" r="0" b="0"/>
                  <wp:wrapNone/>
                  <wp:docPr id="231" name="图片_113"/>
                  <wp:cNvGraphicFramePr/>
                  <a:graphic xmlns:a="http://schemas.openxmlformats.org/drawingml/2006/main">
                    <a:graphicData uri="http://schemas.openxmlformats.org/drawingml/2006/picture">
                      <pic:pic xmlns:pic="http://schemas.openxmlformats.org/drawingml/2006/picture">
                        <pic:nvPicPr>
                          <pic:cNvPr id="231" name="图片_113"/>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95808" behindDoc="0" locked="0" layoutInCell="1" allowOverlap="1">
                  <wp:simplePos x="0" y="0"/>
                  <wp:positionH relativeFrom="column">
                    <wp:posOffset>0</wp:posOffset>
                  </wp:positionH>
                  <wp:positionV relativeFrom="paragraph">
                    <wp:posOffset>0</wp:posOffset>
                  </wp:positionV>
                  <wp:extent cx="7620" cy="7620"/>
                  <wp:effectExtent l="0" t="0" r="0" b="0"/>
                  <wp:wrapNone/>
                  <wp:docPr id="232" name="图片_112"/>
                  <wp:cNvGraphicFramePr/>
                  <a:graphic xmlns:a="http://schemas.openxmlformats.org/drawingml/2006/main">
                    <a:graphicData uri="http://schemas.openxmlformats.org/drawingml/2006/picture">
                      <pic:pic xmlns:pic="http://schemas.openxmlformats.org/drawingml/2006/picture">
                        <pic:nvPicPr>
                          <pic:cNvPr id="232" name="图片_112"/>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96832" behindDoc="0" locked="0" layoutInCell="1" allowOverlap="1">
                  <wp:simplePos x="0" y="0"/>
                  <wp:positionH relativeFrom="column">
                    <wp:posOffset>0</wp:posOffset>
                  </wp:positionH>
                  <wp:positionV relativeFrom="paragraph">
                    <wp:posOffset>0</wp:posOffset>
                  </wp:positionV>
                  <wp:extent cx="7620" cy="7620"/>
                  <wp:effectExtent l="0" t="0" r="0" b="0"/>
                  <wp:wrapNone/>
                  <wp:docPr id="233" name="图片_111"/>
                  <wp:cNvGraphicFramePr/>
                  <a:graphic xmlns:a="http://schemas.openxmlformats.org/drawingml/2006/main">
                    <a:graphicData uri="http://schemas.openxmlformats.org/drawingml/2006/picture">
                      <pic:pic xmlns:pic="http://schemas.openxmlformats.org/drawingml/2006/picture">
                        <pic:nvPicPr>
                          <pic:cNvPr id="233" name="图片_111"/>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97856" behindDoc="0" locked="0" layoutInCell="1" allowOverlap="1">
                  <wp:simplePos x="0" y="0"/>
                  <wp:positionH relativeFrom="column">
                    <wp:posOffset>0</wp:posOffset>
                  </wp:positionH>
                  <wp:positionV relativeFrom="paragraph">
                    <wp:posOffset>0</wp:posOffset>
                  </wp:positionV>
                  <wp:extent cx="7620" cy="7620"/>
                  <wp:effectExtent l="0" t="0" r="0" b="0"/>
                  <wp:wrapNone/>
                  <wp:docPr id="234" name="图片_110"/>
                  <wp:cNvGraphicFramePr/>
                  <a:graphic xmlns:a="http://schemas.openxmlformats.org/drawingml/2006/main">
                    <a:graphicData uri="http://schemas.openxmlformats.org/drawingml/2006/picture">
                      <pic:pic xmlns:pic="http://schemas.openxmlformats.org/drawingml/2006/picture">
                        <pic:nvPicPr>
                          <pic:cNvPr id="234" name="图片_110"/>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9888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35" name="图片_109"/>
                  <wp:cNvGraphicFramePr/>
                  <a:graphic xmlns:a="http://schemas.openxmlformats.org/drawingml/2006/main">
                    <a:graphicData uri="http://schemas.openxmlformats.org/drawingml/2006/picture">
                      <pic:pic xmlns:pic="http://schemas.openxmlformats.org/drawingml/2006/picture">
                        <pic:nvPicPr>
                          <pic:cNvPr id="235" name="图片_10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89990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36" name="图片_108"/>
                  <wp:cNvGraphicFramePr/>
                  <a:graphic xmlns:a="http://schemas.openxmlformats.org/drawingml/2006/main">
                    <a:graphicData uri="http://schemas.openxmlformats.org/drawingml/2006/picture">
                      <pic:pic xmlns:pic="http://schemas.openxmlformats.org/drawingml/2006/picture">
                        <pic:nvPicPr>
                          <pic:cNvPr id="236" name="图片_10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0092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37" name="图片_107"/>
                  <wp:cNvGraphicFramePr/>
                  <a:graphic xmlns:a="http://schemas.openxmlformats.org/drawingml/2006/main">
                    <a:graphicData uri="http://schemas.openxmlformats.org/drawingml/2006/picture">
                      <pic:pic xmlns:pic="http://schemas.openxmlformats.org/drawingml/2006/picture">
                        <pic:nvPicPr>
                          <pic:cNvPr id="237" name="图片_10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0195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38" name="图片_106"/>
                  <wp:cNvGraphicFramePr/>
                  <a:graphic xmlns:a="http://schemas.openxmlformats.org/drawingml/2006/main">
                    <a:graphicData uri="http://schemas.openxmlformats.org/drawingml/2006/picture">
                      <pic:pic xmlns:pic="http://schemas.openxmlformats.org/drawingml/2006/picture">
                        <pic:nvPicPr>
                          <pic:cNvPr id="238" name="图片_10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0297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39" name="图片_105"/>
                  <wp:cNvGraphicFramePr/>
                  <a:graphic xmlns:a="http://schemas.openxmlformats.org/drawingml/2006/main">
                    <a:graphicData uri="http://schemas.openxmlformats.org/drawingml/2006/picture">
                      <pic:pic xmlns:pic="http://schemas.openxmlformats.org/drawingml/2006/picture">
                        <pic:nvPicPr>
                          <pic:cNvPr id="239" name="图片_10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0400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40" name="图片_104"/>
                  <wp:cNvGraphicFramePr/>
                  <a:graphic xmlns:a="http://schemas.openxmlformats.org/drawingml/2006/main">
                    <a:graphicData uri="http://schemas.openxmlformats.org/drawingml/2006/picture">
                      <pic:pic xmlns:pic="http://schemas.openxmlformats.org/drawingml/2006/picture">
                        <pic:nvPicPr>
                          <pic:cNvPr id="240" name="图片_10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05024" behindDoc="0" locked="0" layoutInCell="1" allowOverlap="1">
                  <wp:simplePos x="0" y="0"/>
                  <wp:positionH relativeFrom="column">
                    <wp:posOffset>0</wp:posOffset>
                  </wp:positionH>
                  <wp:positionV relativeFrom="paragraph">
                    <wp:posOffset>0</wp:posOffset>
                  </wp:positionV>
                  <wp:extent cx="7620" cy="7620"/>
                  <wp:effectExtent l="0" t="0" r="0" b="0"/>
                  <wp:wrapNone/>
                  <wp:docPr id="241" name="图片_103"/>
                  <wp:cNvGraphicFramePr/>
                  <a:graphic xmlns:a="http://schemas.openxmlformats.org/drawingml/2006/main">
                    <a:graphicData uri="http://schemas.openxmlformats.org/drawingml/2006/picture">
                      <pic:pic xmlns:pic="http://schemas.openxmlformats.org/drawingml/2006/picture">
                        <pic:nvPicPr>
                          <pic:cNvPr id="241" name="图片_103"/>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06048" behindDoc="0" locked="0" layoutInCell="1" allowOverlap="1">
                  <wp:simplePos x="0" y="0"/>
                  <wp:positionH relativeFrom="column">
                    <wp:posOffset>0</wp:posOffset>
                  </wp:positionH>
                  <wp:positionV relativeFrom="paragraph">
                    <wp:posOffset>0</wp:posOffset>
                  </wp:positionV>
                  <wp:extent cx="7620" cy="7620"/>
                  <wp:effectExtent l="0" t="0" r="0" b="0"/>
                  <wp:wrapNone/>
                  <wp:docPr id="242" name="图片_102"/>
                  <wp:cNvGraphicFramePr/>
                  <a:graphic xmlns:a="http://schemas.openxmlformats.org/drawingml/2006/main">
                    <a:graphicData uri="http://schemas.openxmlformats.org/drawingml/2006/picture">
                      <pic:pic xmlns:pic="http://schemas.openxmlformats.org/drawingml/2006/picture">
                        <pic:nvPicPr>
                          <pic:cNvPr id="242" name="图片_102"/>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07072" behindDoc="0" locked="0" layoutInCell="1" allowOverlap="1">
                  <wp:simplePos x="0" y="0"/>
                  <wp:positionH relativeFrom="column">
                    <wp:posOffset>0</wp:posOffset>
                  </wp:positionH>
                  <wp:positionV relativeFrom="paragraph">
                    <wp:posOffset>0</wp:posOffset>
                  </wp:positionV>
                  <wp:extent cx="7620" cy="7620"/>
                  <wp:effectExtent l="0" t="0" r="0" b="0"/>
                  <wp:wrapNone/>
                  <wp:docPr id="243" name="图片_101"/>
                  <wp:cNvGraphicFramePr/>
                  <a:graphic xmlns:a="http://schemas.openxmlformats.org/drawingml/2006/main">
                    <a:graphicData uri="http://schemas.openxmlformats.org/drawingml/2006/picture">
                      <pic:pic xmlns:pic="http://schemas.openxmlformats.org/drawingml/2006/picture">
                        <pic:nvPicPr>
                          <pic:cNvPr id="243" name="图片_101"/>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08096" behindDoc="0" locked="0" layoutInCell="1" allowOverlap="1">
                  <wp:simplePos x="0" y="0"/>
                  <wp:positionH relativeFrom="column">
                    <wp:posOffset>0</wp:posOffset>
                  </wp:positionH>
                  <wp:positionV relativeFrom="paragraph">
                    <wp:posOffset>0</wp:posOffset>
                  </wp:positionV>
                  <wp:extent cx="7620" cy="7620"/>
                  <wp:effectExtent l="0" t="0" r="0" b="0"/>
                  <wp:wrapNone/>
                  <wp:docPr id="244" name="图片_100"/>
                  <wp:cNvGraphicFramePr/>
                  <a:graphic xmlns:a="http://schemas.openxmlformats.org/drawingml/2006/main">
                    <a:graphicData uri="http://schemas.openxmlformats.org/drawingml/2006/picture">
                      <pic:pic xmlns:pic="http://schemas.openxmlformats.org/drawingml/2006/picture">
                        <pic:nvPicPr>
                          <pic:cNvPr id="244" name="图片_100"/>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09120" behindDoc="0" locked="0" layoutInCell="1" allowOverlap="1">
                  <wp:simplePos x="0" y="0"/>
                  <wp:positionH relativeFrom="column">
                    <wp:posOffset>0</wp:posOffset>
                  </wp:positionH>
                  <wp:positionV relativeFrom="paragraph">
                    <wp:posOffset>0</wp:posOffset>
                  </wp:positionV>
                  <wp:extent cx="7620" cy="7620"/>
                  <wp:effectExtent l="0" t="0" r="0" b="0"/>
                  <wp:wrapNone/>
                  <wp:docPr id="245" name="图片_99"/>
                  <wp:cNvGraphicFramePr/>
                  <a:graphic xmlns:a="http://schemas.openxmlformats.org/drawingml/2006/main">
                    <a:graphicData uri="http://schemas.openxmlformats.org/drawingml/2006/picture">
                      <pic:pic xmlns:pic="http://schemas.openxmlformats.org/drawingml/2006/picture">
                        <pic:nvPicPr>
                          <pic:cNvPr id="245" name="图片_99"/>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1014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46" name="图片_98"/>
                  <wp:cNvGraphicFramePr/>
                  <a:graphic xmlns:a="http://schemas.openxmlformats.org/drawingml/2006/main">
                    <a:graphicData uri="http://schemas.openxmlformats.org/drawingml/2006/picture">
                      <pic:pic xmlns:pic="http://schemas.openxmlformats.org/drawingml/2006/picture">
                        <pic:nvPicPr>
                          <pic:cNvPr id="246" name="图片_9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1116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47" name="图片_97"/>
                  <wp:cNvGraphicFramePr/>
                  <a:graphic xmlns:a="http://schemas.openxmlformats.org/drawingml/2006/main">
                    <a:graphicData uri="http://schemas.openxmlformats.org/drawingml/2006/picture">
                      <pic:pic xmlns:pic="http://schemas.openxmlformats.org/drawingml/2006/picture">
                        <pic:nvPicPr>
                          <pic:cNvPr id="247" name="图片_9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1219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48" name="图片_96"/>
                  <wp:cNvGraphicFramePr/>
                  <a:graphic xmlns:a="http://schemas.openxmlformats.org/drawingml/2006/main">
                    <a:graphicData uri="http://schemas.openxmlformats.org/drawingml/2006/picture">
                      <pic:pic xmlns:pic="http://schemas.openxmlformats.org/drawingml/2006/picture">
                        <pic:nvPicPr>
                          <pic:cNvPr id="248" name="图片_9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1321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49" name="图片_95"/>
                  <wp:cNvGraphicFramePr/>
                  <a:graphic xmlns:a="http://schemas.openxmlformats.org/drawingml/2006/main">
                    <a:graphicData uri="http://schemas.openxmlformats.org/drawingml/2006/picture">
                      <pic:pic xmlns:pic="http://schemas.openxmlformats.org/drawingml/2006/picture">
                        <pic:nvPicPr>
                          <pic:cNvPr id="249" name="图片_9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1424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50" name="图片_94"/>
                  <wp:cNvGraphicFramePr/>
                  <a:graphic xmlns:a="http://schemas.openxmlformats.org/drawingml/2006/main">
                    <a:graphicData uri="http://schemas.openxmlformats.org/drawingml/2006/picture">
                      <pic:pic xmlns:pic="http://schemas.openxmlformats.org/drawingml/2006/picture">
                        <pic:nvPicPr>
                          <pic:cNvPr id="250" name="图片_9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15264" behindDoc="0" locked="0" layoutInCell="1" allowOverlap="1">
                  <wp:simplePos x="0" y="0"/>
                  <wp:positionH relativeFrom="column">
                    <wp:posOffset>0</wp:posOffset>
                  </wp:positionH>
                  <wp:positionV relativeFrom="paragraph">
                    <wp:posOffset>0</wp:posOffset>
                  </wp:positionV>
                  <wp:extent cx="7620" cy="7620"/>
                  <wp:effectExtent l="0" t="0" r="0" b="0"/>
                  <wp:wrapNone/>
                  <wp:docPr id="251" name="图片_93"/>
                  <wp:cNvGraphicFramePr/>
                  <a:graphic xmlns:a="http://schemas.openxmlformats.org/drawingml/2006/main">
                    <a:graphicData uri="http://schemas.openxmlformats.org/drawingml/2006/picture">
                      <pic:pic xmlns:pic="http://schemas.openxmlformats.org/drawingml/2006/picture">
                        <pic:nvPicPr>
                          <pic:cNvPr id="251" name="图片_93"/>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16288" behindDoc="0" locked="0" layoutInCell="1" allowOverlap="1">
                  <wp:simplePos x="0" y="0"/>
                  <wp:positionH relativeFrom="column">
                    <wp:posOffset>0</wp:posOffset>
                  </wp:positionH>
                  <wp:positionV relativeFrom="paragraph">
                    <wp:posOffset>0</wp:posOffset>
                  </wp:positionV>
                  <wp:extent cx="7620" cy="7620"/>
                  <wp:effectExtent l="0" t="0" r="0" b="0"/>
                  <wp:wrapNone/>
                  <wp:docPr id="252" name="图片_92"/>
                  <wp:cNvGraphicFramePr/>
                  <a:graphic xmlns:a="http://schemas.openxmlformats.org/drawingml/2006/main">
                    <a:graphicData uri="http://schemas.openxmlformats.org/drawingml/2006/picture">
                      <pic:pic xmlns:pic="http://schemas.openxmlformats.org/drawingml/2006/picture">
                        <pic:nvPicPr>
                          <pic:cNvPr id="252" name="图片_92"/>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17312" behindDoc="0" locked="0" layoutInCell="1" allowOverlap="1">
                  <wp:simplePos x="0" y="0"/>
                  <wp:positionH relativeFrom="column">
                    <wp:posOffset>0</wp:posOffset>
                  </wp:positionH>
                  <wp:positionV relativeFrom="paragraph">
                    <wp:posOffset>0</wp:posOffset>
                  </wp:positionV>
                  <wp:extent cx="7620" cy="7620"/>
                  <wp:effectExtent l="0" t="0" r="0" b="0"/>
                  <wp:wrapNone/>
                  <wp:docPr id="253" name="图片_91"/>
                  <wp:cNvGraphicFramePr/>
                  <a:graphic xmlns:a="http://schemas.openxmlformats.org/drawingml/2006/main">
                    <a:graphicData uri="http://schemas.openxmlformats.org/drawingml/2006/picture">
                      <pic:pic xmlns:pic="http://schemas.openxmlformats.org/drawingml/2006/picture">
                        <pic:nvPicPr>
                          <pic:cNvPr id="253" name="图片_91"/>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18336" behindDoc="0" locked="0" layoutInCell="1" allowOverlap="1">
                  <wp:simplePos x="0" y="0"/>
                  <wp:positionH relativeFrom="column">
                    <wp:posOffset>0</wp:posOffset>
                  </wp:positionH>
                  <wp:positionV relativeFrom="paragraph">
                    <wp:posOffset>0</wp:posOffset>
                  </wp:positionV>
                  <wp:extent cx="7620" cy="7620"/>
                  <wp:effectExtent l="0" t="0" r="0" b="0"/>
                  <wp:wrapNone/>
                  <wp:docPr id="254" name="图片_90"/>
                  <wp:cNvGraphicFramePr/>
                  <a:graphic xmlns:a="http://schemas.openxmlformats.org/drawingml/2006/main">
                    <a:graphicData uri="http://schemas.openxmlformats.org/drawingml/2006/picture">
                      <pic:pic xmlns:pic="http://schemas.openxmlformats.org/drawingml/2006/picture">
                        <pic:nvPicPr>
                          <pic:cNvPr id="254" name="图片_90"/>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1936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55" name="图片_89"/>
                  <wp:cNvGraphicFramePr/>
                  <a:graphic xmlns:a="http://schemas.openxmlformats.org/drawingml/2006/main">
                    <a:graphicData uri="http://schemas.openxmlformats.org/drawingml/2006/picture">
                      <pic:pic xmlns:pic="http://schemas.openxmlformats.org/drawingml/2006/picture">
                        <pic:nvPicPr>
                          <pic:cNvPr id="255" name="图片_8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2038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56" name="图片_88"/>
                  <wp:cNvGraphicFramePr/>
                  <a:graphic xmlns:a="http://schemas.openxmlformats.org/drawingml/2006/main">
                    <a:graphicData uri="http://schemas.openxmlformats.org/drawingml/2006/picture">
                      <pic:pic xmlns:pic="http://schemas.openxmlformats.org/drawingml/2006/picture">
                        <pic:nvPicPr>
                          <pic:cNvPr id="256" name="图片_8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2140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57" name="图片_87"/>
                  <wp:cNvGraphicFramePr/>
                  <a:graphic xmlns:a="http://schemas.openxmlformats.org/drawingml/2006/main">
                    <a:graphicData uri="http://schemas.openxmlformats.org/drawingml/2006/picture">
                      <pic:pic xmlns:pic="http://schemas.openxmlformats.org/drawingml/2006/picture">
                        <pic:nvPicPr>
                          <pic:cNvPr id="257" name="图片_8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2243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58" name="图片_86"/>
                  <wp:cNvGraphicFramePr/>
                  <a:graphic xmlns:a="http://schemas.openxmlformats.org/drawingml/2006/main">
                    <a:graphicData uri="http://schemas.openxmlformats.org/drawingml/2006/picture">
                      <pic:pic xmlns:pic="http://schemas.openxmlformats.org/drawingml/2006/picture">
                        <pic:nvPicPr>
                          <pic:cNvPr id="258" name="图片_8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2345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59" name="图片_85"/>
                  <wp:cNvGraphicFramePr/>
                  <a:graphic xmlns:a="http://schemas.openxmlformats.org/drawingml/2006/main">
                    <a:graphicData uri="http://schemas.openxmlformats.org/drawingml/2006/picture">
                      <pic:pic xmlns:pic="http://schemas.openxmlformats.org/drawingml/2006/picture">
                        <pic:nvPicPr>
                          <pic:cNvPr id="259" name="图片_8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2448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60" name="图片_84"/>
                  <wp:cNvGraphicFramePr/>
                  <a:graphic xmlns:a="http://schemas.openxmlformats.org/drawingml/2006/main">
                    <a:graphicData uri="http://schemas.openxmlformats.org/drawingml/2006/picture">
                      <pic:pic xmlns:pic="http://schemas.openxmlformats.org/drawingml/2006/picture">
                        <pic:nvPicPr>
                          <pic:cNvPr id="260" name="图片_8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2550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61" name="图片_83"/>
                  <wp:cNvGraphicFramePr/>
                  <a:graphic xmlns:a="http://schemas.openxmlformats.org/drawingml/2006/main">
                    <a:graphicData uri="http://schemas.openxmlformats.org/drawingml/2006/picture">
                      <pic:pic xmlns:pic="http://schemas.openxmlformats.org/drawingml/2006/picture">
                        <pic:nvPicPr>
                          <pic:cNvPr id="261" name="图片_8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2652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62" name="图片_82"/>
                  <wp:cNvGraphicFramePr/>
                  <a:graphic xmlns:a="http://schemas.openxmlformats.org/drawingml/2006/main">
                    <a:graphicData uri="http://schemas.openxmlformats.org/drawingml/2006/picture">
                      <pic:pic xmlns:pic="http://schemas.openxmlformats.org/drawingml/2006/picture">
                        <pic:nvPicPr>
                          <pic:cNvPr id="262" name="图片_8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2755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63" name="图片_81"/>
                  <wp:cNvGraphicFramePr/>
                  <a:graphic xmlns:a="http://schemas.openxmlformats.org/drawingml/2006/main">
                    <a:graphicData uri="http://schemas.openxmlformats.org/drawingml/2006/picture">
                      <pic:pic xmlns:pic="http://schemas.openxmlformats.org/drawingml/2006/picture">
                        <pic:nvPicPr>
                          <pic:cNvPr id="263" name="图片_8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2857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64" name="图片_80"/>
                  <wp:cNvGraphicFramePr/>
                  <a:graphic xmlns:a="http://schemas.openxmlformats.org/drawingml/2006/main">
                    <a:graphicData uri="http://schemas.openxmlformats.org/drawingml/2006/picture">
                      <pic:pic xmlns:pic="http://schemas.openxmlformats.org/drawingml/2006/picture">
                        <pic:nvPicPr>
                          <pic:cNvPr id="264" name="图片_8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2960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65" name="图片_79"/>
                  <wp:cNvGraphicFramePr/>
                  <a:graphic xmlns:a="http://schemas.openxmlformats.org/drawingml/2006/main">
                    <a:graphicData uri="http://schemas.openxmlformats.org/drawingml/2006/picture">
                      <pic:pic xmlns:pic="http://schemas.openxmlformats.org/drawingml/2006/picture">
                        <pic:nvPicPr>
                          <pic:cNvPr id="265" name="图片_7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3062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66" name="图片_78"/>
                  <wp:cNvGraphicFramePr/>
                  <a:graphic xmlns:a="http://schemas.openxmlformats.org/drawingml/2006/main">
                    <a:graphicData uri="http://schemas.openxmlformats.org/drawingml/2006/picture">
                      <pic:pic xmlns:pic="http://schemas.openxmlformats.org/drawingml/2006/picture">
                        <pic:nvPicPr>
                          <pic:cNvPr id="266" name="图片_7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3164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67" name="图片_77"/>
                  <wp:cNvGraphicFramePr/>
                  <a:graphic xmlns:a="http://schemas.openxmlformats.org/drawingml/2006/main">
                    <a:graphicData uri="http://schemas.openxmlformats.org/drawingml/2006/picture">
                      <pic:pic xmlns:pic="http://schemas.openxmlformats.org/drawingml/2006/picture">
                        <pic:nvPicPr>
                          <pic:cNvPr id="267" name="图片_7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3267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68" name="图片_76"/>
                  <wp:cNvGraphicFramePr/>
                  <a:graphic xmlns:a="http://schemas.openxmlformats.org/drawingml/2006/main">
                    <a:graphicData uri="http://schemas.openxmlformats.org/drawingml/2006/picture">
                      <pic:pic xmlns:pic="http://schemas.openxmlformats.org/drawingml/2006/picture">
                        <pic:nvPicPr>
                          <pic:cNvPr id="268" name="图片_7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3369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69" name="图片_75"/>
                  <wp:cNvGraphicFramePr/>
                  <a:graphic xmlns:a="http://schemas.openxmlformats.org/drawingml/2006/main">
                    <a:graphicData uri="http://schemas.openxmlformats.org/drawingml/2006/picture">
                      <pic:pic xmlns:pic="http://schemas.openxmlformats.org/drawingml/2006/picture">
                        <pic:nvPicPr>
                          <pic:cNvPr id="269" name="图片_7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3472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70" name="图片_74"/>
                  <wp:cNvGraphicFramePr/>
                  <a:graphic xmlns:a="http://schemas.openxmlformats.org/drawingml/2006/main">
                    <a:graphicData uri="http://schemas.openxmlformats.org/drawingml/2006/picture">
                      <pic:pic xmlns:pic="http://schemas.openxmlformats.org/drawingml/2006/picture">
                        <pic:nvPicPr>
                          <pic:cNvPr id="270" name="图片_7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3574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71" name="图片_73"/>
                  <wp:cNvGraphicFramePr/>
                  <a:graphic xmlns:a="http://schemas.openxmlformats.org/drawingml/2006/main">
                    <a:graphicData uri="http://schemas.openxmlformats.org/drawingml/2006/picture">
                      <pic:pic xmlns:pic="http://schemas.openxmlformats.org/drawingml/2006/picture">
                        <pic:nvPicPr>
                          <pic:cNvPr id="271" name="图片_7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3676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72" name="图片_72"/>
                  <wp:cNvGraphicFramePr/>
                  <a:graphic xmlns:a="http://schemas.openxmlformats.org/drawingml/2006/main">
                    <a:graphicData uri="http://schemas.openxmlformats.org/drawingml/2006/picture">
                      <pic:pic xmlns:pic="http://schemas.openxmlformats.org/drawingml/2006/picture">
                        <pic:nvPicPr>
                          <pic:cNvPr id="272" name="图片_7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3779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73" name="图片_71"/>
                  <wp:cNvGraphicFramePr/>
                  <a:graphic xmlns:a="http://schemas.openxmlformats.org/drawingml/2006/main">
                    <a:graphicData uri="http://schemas.openxmlformats.org/drawingml/2006/picture">
                      <pic:pic xmlns:pic="http://schemas.openxmlformats.org/drawingml/2006/picture">
                        <pic:nvPicPr>
                          <pic:cNvPr id="273" name="图片_7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3881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74" name="图片_70"/>
                  <wp:cNvGraphicFramePr/>
                  <a:graphic xmlns:a="http://schemas.openxmlformats.org/drawingml/2006/main">
                    <a:graphicData uri="http://schemas.openxmlformats.org/drawingml/2006/picture">
                      <pic:pic xmlns:pic="http://schemas.openxmlformats.org/drawingml/2006/picture">
                        <pic:nvPicPr>
                          <pic:cNvPr id="274" name="图片_7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39840" behindDoc="0" locked="0" layoutInCell="1" allowOverlap="1">
                  <wp:simplePos x="0" y="0"/>
                  <wp:positionH relativeFrom="column">
                    <wp:posOffset>0</wp:posOffset>
                  </wp:positionH>
                  <wp:positionV relativeFrom="paragraph">
                    <wp:posOffset>0</wp:posOffset>
                  </wp:positionV>
                  <wp:extent cx="7620" cy="7620"/>
                  <wp:effectExtent l="0" t="0" r="0" b="0"/>
                  <wp:wrapNone/>
                  <wp:docPr id="275" name="图片_69"/>
                  <wp:cNvGraphicFramePr/>
                  <a:graphic xmlns:a="http://schemas.openxmlformats.org/drawingml/2006/main">
                    <a:graphicData uri="http://schemas.openxmlformats.org/drawingml/2006/picture">
                      <pic:pic xmlns:pic="http://schemas.openxmlformats.org/drawingml/2006/picture">
                        <pic:nvPicPr>
                          <pic:cNvPr id="275" name="图片_69"/>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40864" behindDoc="0" locked="0" layoutInCell="1" allowOverlap="1">
                  <wp:simplePos x="0" y="0"/>
                  <wp:positionH relativeFrom="column">
                    <wp:posOffset>0</wp:posOffset>
                  </wp:positionH>
                  <wp:positionV relativeFrom="paragraph">
                    <wp:posOffset>0</wp:posOffset>
                  </wp:positionV>
                  <wp:extent cx="7620" cy="7620"/>
                  <wp:effectExtent l="0" t="0" r="0" b="0"/>
                  <wp:wrapNone/>
                  <wp:docPr id="276" name="图片_68"/>
                  <wp:cNvGraphicFramePr/>
                  <a:graphic xmlns:a="http://schemas.openxmlformats.org/drawingml/2006/main">
                    <a:graphicData uri="http://schemas.openxmlformats.org/drawingml/2006/picture">
                      <pic:pic xmlns:pic="http://schemas.openxmlformats.org/drawingml/2006/picture">
                        <pic:nvPicPr>
                          <pic:cNvPr id="276" name="图片_68"/>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41888" behindDoc="0" locked="0" layoutInCell="1" allowOverlap="1">
                  <wp:simplePos x="0" y="0"/>
                  <wp:positionH relativeFrom="column">
                    <wp:posOffset>0</wp:posOffset>
                  </wp:positionH>
                  <wp:positionV relativeFrom="paragraph">
                    <wp:posOffset>0</wp:posOffset>
                  </wp:positionV>
                  <wp:extent cx="7620" cy="7620"/>
                  <wp:effectExtent l="0" t="0" r="0" b="0"/>
                  <wp:wrapNone/>
                  <wp:docPr id="277" name="图片_67"/>
                  <wp:cNvGraphicFramePr/>
                  <a:graphic xmlns:a="http://schemas.openxmlformats.org/drawingml/2006/main">
                    <a:graphicData uri="http://schemas.openxmlformats.org/drawingml/2006/picture">
                      <pic:pic xmlns:pic="http://schemas.openxmlformats.org/drawingml/2006/picture">
                        <pic:nvPicPr>
                          <pic:cNvPr id="277" name="图片_67"/>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42912" behindDoc="0" locked="0" layoutInCell="1" allowOverlap="1">
                  <wp:simplePos x="0" y="0"/>
                  <wp:positionH relativeFrom="column">
                    <wp:posOffset>0</wp:posOffset>
                  </wp:positionH>
                  <wp:positionV relativeFrom="paragraph">
                    <wp:posOffset>0</wp:posOffset>
                  </wp:positionV>
                  <wp:extent cx="7620" cy="7620"/>
                  <wp:effectExtent l="0" t="0" r="0" b="0"/>
                  <wp:wrapNone/>
                  <wp:docPr id="278" name="图片_66"/>
                  <wp:cNvGraphicFramePr/>
                  <a:graphic xmlns:a="http://schemas.openxmlformats.org/drawingml/2006/main">
                    <a:graphicData uri="http://schemas.openxmlformats.org/drawingml/2006/picture">
                      <pic:pic xmlns:pic="http://schemas.openxmlformats.org/drawingml/2006/picture">
                        <pic:nvPicPr>
                          <pic:cNvPr id="278" name="图片_66"/>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43936" behindDoc="0" locked="0" layoutInCell="1" allowOverlap="1">
                  <wp:simplePos x="0" y="0"/>
                  <wp:positionH relativeFrom="column">
                    <wp:posOffset>0</wp:posOffset>
                  </wp:positionH>
                  <wp:positionV relativeFrom="paragraph">
                    <wp:posOffset>0</wp:posOffset>
                  </wp:positionV>
                  <wp:extent cx="7620" cy="7620"/>
                  <wp:effectExtent l="0" t="0" r="0" b="0"/>
                  <wp:wrapNone/>
                  <wp:docPr id="279" name="图片_65"/>
                  <wp:cNvGraphicFramePr/>
                  <a:graphic xmlns:a="http://schemas.openxmlformats.org/drawingml/2006/main">
                    <a:graphicData uri="http://schemas.openxmlformats.org/drawingml/2006/picture">
                      <pic:pic xmlns:pic="http://schemas.openxmlformats.org/drawingml/2006/picture">
                        <pic:nvPicPr>
                          <pic:cNvPr id="279" name="图片_65"/>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4496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80" name="图片_62"/>
                  <wp:cNvGraphicFramePr/>
                  <a:graphic xmlns:a="http://schemas.openxmlformats.org/drawingml/2006/main">
                    <a:graphicData uri="http://schemas.openxmlformats.org/drawingml/2006/picture">
                      <pic:pic xmlns:pic="http://schemas.openxmlformats.org/drawingml/2006/picture">
                        <pic:nvPicPr>
                          <pic:cNvPr id="280" name="图片_6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4598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81" name="图片_64"/>
                  <wp:cNvGraphicFramePr/>
                  <a:graphic xmlns:a="http://schemas.openxmlformats.org/drawingml/2006/main">
                    <a:graphicData uri="http://schemas.openxmlformats.org/drawingml/2006/picture">
                      <pic:pic xmlns:pic="http://schemas.openxmlformats.org/drawingml/2006/picture">
                        <pic:nvPicPr>
                          <pic:cNvPr id="281" name="图片_6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4700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82" name="图片_61"/>
                  <wp:cNvGraphicFramePr/>
                  <a:graphic xmlns:a="http://schemas.openxmlformats.org/drawingml/2006/main">
                    <a:graphicData uri="http://schemas.openxmlformats.org/drawingml/2006/picture">
                      <pic:pic xmlns:pic="http://schemas.openxmlformats.org/drawingml/2006/picture">
                        <pic:nvPicPr>
                          <pic:cNvPr id="282" name="图片_6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4803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83" name="图片_60"/>
                  <wp:cNvGraphicFramePr/>
                  <a:graphic xmlns:a="http://schemas.openxmlformats.org/drawingml/2006/main">
                    <a:graphicData uri="http://schemas.openxmlformats.org/drawingml/2006/picture">
                      <pic:pic xmlns:pic="http://schemas.openxmlformats.org/drawingml/2006/picture">
                        <pic:nvPicPr>
                          <pic:cNvPr id="283" name="图片_6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4905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84" name="图片_59"/>
                  <wp:cNvGraphicFramePr/>
                  <a:graphic xmlns:a="http://schemas.openxmlformats.org/drawingml/2006/main">
                    <a:graphicData uri="http://schemas.openxmlformats.org/drawingml/2006/picture">
                      <pic:pic xmlns:pic="http://schemas.openxmlformats.org/drawingml/2006/picture">
                        <pic:nvPicPr>
                          <pic:cNvPr id="284" name="图片_5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5008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85" name="图片_58"/>
                  <wp:cNvGraphicFramePr/>
                  <a:graphic xmlns:a="http://schemas.openxmlformats.org/drawingml/2006/main">
                    <a:graphicData uri="http://schemas.openxmlformats.org/drawingml/2006/picture">
                      <pic:pic xmlns:pic="http://schemas.openxmlformats.org/drawingml/2006/picture">
                        <pic:nvPicPr>
                          <pic:cNvPr id="285" name="图片_5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5110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86" name="图片_57"/>
                  <wp:cNvGraphicFramePr/>
                  <a:graphic xmlns:a="http://schemas.openxmlformats.org/drawingml/2006/main">
                    <a:graphicData uri="http://schemas.openxmlformats.org/drawingml/2006/picture">
                      <pic:pic xmlns:pic="http://schemas.openxmlformats.org/drawingml/2006/picture">
                        <pic:nvPicPr>
                          <pic:cNvPr id="286" name="图片_5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5212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87" name="图片_56"/>
                  <wp:cNvGraphicFramePr/>
                  <a:graphic xmlns:a="http://schemas.openxmlformats.org/drawingml/2006/main">
                    <a:graphicData uri="http://schemas.openxmlformats.org/drawingml/2006/picture">
                      <pic:pic xmlns:pic="http://schemas.openxmlformats.org/drawingml/2006/picture">
                        <pic:nvPicPr>
                          <pic:cNvPr id="287" name="图片_5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5315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88" name="图片_55"/>
                  <wp:cNvGraphicFramePr/>
                  <a:graphic xmlns:a="http://schemas.openxmlformats.org/drawingml/2006/main">
                    <a:graphicData uri="http://schemas.openxmlformats.org/drawingml/2006/picture">
                      <pic:pic xmlns:pic="http://schemas.openxmlformats.org/drawingml/2006/picture">
                        <pic:nvPicPr>
                          <pic:cNvPr id="288" name="图片_5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5417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89" name="图片_54"/>
                  <wp:cNvGraphicFramePr/>
                  <a:graphic xmlns:a="http://schemas.openxmlformats.org/drawingml/2006/main">
                    <a:graphicData uri="http://schemas.openxmlformats.org/drawingml/2006/picture">
                      <pic:pic xmlns:pic="http://schemas.openxmlformats.org/drawingml/2006/picture">
                        <pic:nvPicPr>
                          <pic:cNvPr id="289" name="图片_5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5520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90" name="图片_53"/>
                  <wp:cNvGraphicFramePr/>
                  <a:graphic xmlns:a="http://schemas.openxmlformats.org/drawingml/2006/main">
                    <a:graphicData uri="http://schemas.openxmlformats.org/drawingml/2006/picture">
                      <pic:pic xmlns:pic="http://schemas.openxmlformats.org/drawingml/2006/picture">
                        <pic:nvPicPr>
                          <pic:cNvPr id="290" name="图片_5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5622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91" name="图片_52"/>
                  <wp:cNvGraphicFramePr/>
                  <a:graphic xmlns:a="http://schemas.openxmlformats.org/drawingml/2006/main">
                    <a:graphicData uri="http://schemas.openxmlformats.org/drawingml/2006/picture">
                      <pic:pic xmlns:pic="http://schemas.openxmlformats.org/drawingml/2006/picture">
                        <pic:nvPicPr>
                          <pic:cNvPr id="291" name="图片_5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5724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92" name="图片_51"/>
                  <wp:cNvGraphicFramePr/>
                  <a:graphic xmlns:a="http://schemas.openxmlformats.org/drawingml/2006/main">
                    <a:graphicData uri="http://schemas.openxmlformats.org/drawingml/2006/picture">
                      <pic:pic xmlns:pic="http://schemas.openxmlformats.org/drawingml/2006/picture">
                        <pic:nvPicPr>
                          <pic:cNvPr id="292" name="图片_5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5827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93" name="图片_50"/>
                  <wp:cNvGraphicFramePr/>
                  <a:graphic xmlns:a="http://schemas.openxmlformats.org/drawingml/2006/main">
                    <a:graphicData uri="http://schemas.openxmlformats.org/drawingml/2006/picture">
                      <pic:pic xmlns:pic="http://schemas.openxmlformats.org/drawingml/2006/picture">
                        <pic:nvPicPr>
                          <pic:cNvPr id="293" name="图片_5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5929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94" name="图片_49"/>
                  <wp:cNvGraphicFramePr/>
                  <a:graphic xmlns:a="http://schemas.openxmlformats.org/drawingml/2006/main">
                    <a:graphicData uri="http://schemas.openxmlformats.org/drawingml/2006/picture">
                      <pic:pic xmlns:pic="http://schemas.openxmlformats.org/drawingml/2006/picture">
                        <pic:nvPicPr>
                          <pic:cNvPr id="294" name="图片_4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6032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95" name="图片_48"/>
                  <wp:cNvGraphicFramePr/>
                  <a:graphic xmlns:a="http://schemas.openxmlformats.org/drawingml/2006/main">
                    <a:graphicData uri="http://schemas.openxmlformats.org/drawingml/2006/picture">
                      <pic:pic xmlns:pic="http://schemas.openxmlformats.org/drawingml/2006/picture">
                        <pic:nvPicPr>
                          <pic:cNvPr id="295" name="图片_4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6134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96" name="图片_47"/>
                  <wp:cNvGraphicFramePr/>
                  <a:graphic xmlns:a="http://schemas.openxmlformats.org/drawingml/2006/main">
                    <a:graphicData uri="http://schemas.openxmlformats.org/drawingml/2006/picture">
                      <pic:pic xmlns:pic="http://schemas.openxmlformats.org/drawingml/2006/picture">
                        <pic:nvPicPr>
                          <pic:cNvPr id="296" name="图片_4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6236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97" name="图片_46"/>
                  <wp:cNvGraphicFramePr/>
                  <a:graphic xmlns:a="http://schemas.openxmlformats.org/drawingml/2006/main">
                    <a:graphicData uri="http://schemas.openxmlformats.org/drawingml/2006/picture">
                      <pic:pic xmlns:pic="http://schemas.openxmlformats.org/drawingml/2006/picture">
                        <pic:nvPicPr>
                          <pic:cNvPr id="297" name="图片_4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6339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298" name="图片_45"/>
                  <wp:cNvGraphicFramePr/>
                  <a:graphic xmlns:a="http://schemas.openxmlformats.org/drawingml/2006/main">
                    <a:graphicData uri="http://schemas.openxmlformats.org/drawingml/2006/picture">
                      <pic:pic xmlns:pic="http://schemas.openxmlformats.org/drawingml/2006/picture">
                        <pic:nvPicPr>
                          <pic:cNvPr id="298" name="图片_4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64416" behindDoc="0" locked="0" layoutInCell="1" allowOverlap="1">
                  <wp:simplePos x="0" y="0"/>
                  <wp:positionH relativeFrom="column">
                    <wp:posOffset>0</wp:posOffset>
                  </wp:positionH>
                  <wp:positionV relativeFrom="paragraph">
                    <wp:posOffset>0</wp:posOffset>
                  </wp:positionV>
                  <wp:extent cx="7620" cy="7620"/>
                  <wp:effectExtent l="0" t="0" r="0" b="0"/>
                  <wp:wrapNone/>
                  <wp:docPr id="299" name="图片_44"/>
                  <wp:cNvGraphicFramePr/>
                  <a:graphic xmlns:a="http://schemas.openxmlformats.org/drawingml/2006/main">
                    <a:graphicData uri="http://schemas.openxmlformats.org/drawingml/2006/picture">
                      <pic:pic xmlns:pic="http://schemas.openxmlformats.org/drawingml/2006/picture">
                        <pic:nvPicPr>
                          <pic:cNvPr id="299" name="图片_44"/>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65440" behindDoc="0" locked="0" layoutInCell="1" allowOverlap="1">
                  <wp:simplePos x="0" y="0"/>
                  <wp:positionH relativeFrom="column">
                    <wp:posOffset>0</wp:posOffset>
                  </wp:positionH>
                  <wp:positionV relativeFrom="paragraph">
                    <wp:posOffset>0</wp:posOffset>
                  </wp:positionV>
                  <wp:extent cx="7620" cy="7620"/>
                  <wp:effectExtent l="0" t="0" r="0" b="0"/>
                  <wp:wrapNone/>
                  <wp:docPr id="300" name="图片_43"/>
                  <wp:cNvGraphicFramePr/>
                  <a:graphic xmlns:a="http://schemas.openxmlformats.org/drawingml/2006/main">
                    <a:graphicData uri="http://schemas.openxmlformats.org/drawingml/2006/picture">
                      <pic:pic xmlns:pic="http://schemas.openxmlformats.org/drawingml/2006/picture">
                        <pic:nvPicPr>
                          <pic:cNvPr id="300" name="图片_43"/>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66464" behindDoc="0" locked="0" layoutInCell="1" allowOverlap="1">
                  <wp:simplePos x="0" y="0"/>
                  <wp:positionH relativeFrom="column">
                    <wp:posOffset>0</wp:posOffset>
                  </wp:positionH>
                  <wp:positionV relativeFrom="paragraph">
                    <wp:posOffset>0</wp:posOffset>
                  </wp:positionV>
                  <wp:extent cx="7620" cy="7620"/>
                  <wp:effectExtent l="0" t="0" r="0" b="0"/>
                  <wp:wrapNone/>
                  <wp:docPr id="301" name="图片_42"/>
                  <wp:cNvGraphicFramePr/>
                  <a:graphic xmlns:a="http://schemas.openxmlformats.org/drawingml/2006/main">
                    <a:graphicData uri="http://schemas.openxmlformats.org/drawingml/2006/picture">
                      <pic:pic xmlns:pic="http://schemas.openxmlformats.org/drawingml/2006/picture">
                        <pic:nvPicPr>
                          <pic:cNvPr id="301" name="图片_42"/>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67488" behindDoc="0" locked="0" layoutInCell="1" allowOverlap="1">
                  <wp:simplePos x="0" y="0"/>
                  <wp:positionH relativeFrom="column">
                    <wp:posOffset>0</wp:posOffset>
                  </wp:positionH>
                  <wp:positionV relativeFrom="paragraph">
                    <wp:posOffset>0</wp:posOffset>
                  </wp:positionV>
                  <wp:extent cx="7620" cy="7620"/>
                  <wp:effectExtent l="0" t="0" r="0" b="0"/>
                  <wp:wrapNone/>
                  <wp:docPr id="302" name="图片_41"/>
                  <wp:cNvGraphicFramePr/>
                  <a:graphic xmlns:a="http://schemas.openxmlformats.org/drawingml/2006/main">
                    <a:graphicData uri="http://schemas.openxmlformats.org/drawingml/2006/picture">
                      <pic:pic xmlns:pic="http://schemas.openxmlformats.org/drawingml/2006/picture">
                        <pic:nvPicPr>
                          <pic:cNvPr id="302" name="图片_41"/>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6851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03" name="图片_40"/>
                  <wp:cNvGraphicFramePr/>
                  <a:graphic xmlns:a="http://schemas.openxmlformats.org/drawingml/2006/main">
                    <a:graphicData uri="http://schemas.openxmlformats.org/drawingml/2006/picture">
                      <pic:pic xmlns:pic="http://schemas.openxmlformats.org/drawingml/2006/picture">
                        <pic:nvPicPr>
                          <pic:cNvPr id="303" name="图片_4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6953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04" name="图片_39"/>
                  <wp:cNvGraphicFramePr/>
                  <a:graphic xmlns:a="http://schemas.openxmlformats.org/drawingml/2006/main">
                    <a:graphicData uri="http://schemas.openxmlformats.org/drawingml/2006/picture">
                      <pic:pic xmlns:pic="http://schemas.openxmlformats.org/drawingml/2006/picture">
                        <pic:nvPicPr>
                          <pic:cNvPr id="304" name="图片_3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7056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05" name="图片_38"/>
                  <wp:cNvGraphicFramePr/>
                  <a:graphic xmlns:a="http://schemas.openxmlformats.org/drawingml/2006/main">
                    <a:graphicData uri="http://schemas.openxmlformats.org/drawingml/2006/picture">
                      <pic:pic xmlns:pic="http://schemas.openxmlformats.org/drawingml/2006/picture">
                        <pic:nvPicPr>
                          <pic:cNvPr id="305" name="图片_3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7158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06" name="图片_37"/>
                  <wp:cNvGraphicFramePr/>
                  <a:graphic xmlns:a="http://schemas.openxmlformats.org/drawingml/2006/main">
                    <a:graphicData uri="http://schemas.openxmlformats.org/drawingml/2006/picture">
                      <pic:pic xmlns:pic="http://schemas.openxmlformats.org/drawingml/2006/picture">
                        <pic:nvPicPr>
                          <pic:cNvPr id="306" name="图片_3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7260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07" name="图片_36"/>
                  <wp:cNvGraphicFramePr/>
                  <a:graphic xmlns:a="http://schemas.openxmlformats.org/drawingml/2006/main">
                    <a:graphicData uri="http://schemas.openxmlformats.org/drawingml/2006/picture">
                      <pic:pic xmlns:pic="http://schemas.openxmlformats.org/drawingml/2006/picture">
                        <pic:nvPicPr>
                          <pic:cNvPr id="307" name="图片_3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7363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08" name="图片_35"/>
                  <wp:cNvGraphicFramePr/>
                  <a:graphic xmlns:a="http://schemas.openxmlformats.org/drawingml/2006/main">
                    <a:graphicData uri="http://schemas.openxmlformats.org/drawingml/2006/picture">
                      <pic:pic xmlns:pic="http://schemas.openxmlformats.org/drawingml/2006/picture">
                        <pic:nvPicPr>
                          <pic:cNvPr id="308" name="图片_3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7465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09" name="图片_34"/>
                  <wp:cNvGraphicFramePr/>
                  <a:graphic xmlns:a="http://schemas.openxmlformats.org/drawingml/2006/main">
                    <a:graphicData uri="http://schemas.openxmlformats.org/drawingml/2006/picture">
                      <pic:pic xmlns:pic="http://schemas.openxmlformats.org/drawingml/2006/picture">
                        <pic:nvPicPr>
                          <pic:cNvPr id="309" name="图片_3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7568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10" name="图片_33"/>
                  <wp:cNvGraphicFramePr/>
                  <a:graphic xmlns:a="http://schemas.openxmlformats.org/drawingml/2006/main">
                    <a:graphicData uri="http://schemas.openxmlformats.org/drawingml/2006/picture">
                      <pic:pic xmlns:pic="http://schemas.openxmlformats.org/drawingml/2006/picture">
                        <pic:nvPicPr>
                          <pic:cNvPr id="310" name="图片_3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7670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11" name="图片_30"/>
                  <wp:cNvGraphicFramePr/>
                  <a:graphic xmlns:a="http://schemas.openxmlformats.org/drawingml/2006/main">
                    <a:graphicData uri="http://schemas.openxmlformats.org/drawingml/2006/picture">
                      <pic:pic xmlns:pic="http://schemas.openxmlformats.org/drawingml/2006/picture">
                        <pic:nvPicPr>
                          <pic:cNvPr id="311" name="图片_3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7772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12" name="图片_32"/>
                  <wp:cNvGraphicFramePr/>
                  <a:graphic xmlns:a="http://schemas.openxmlformats.org/drawingml/2006/main">
                    <a:graphicData uri="http://schemas.openxmlformats.org/drawingml/2006/picture">
                      <pic:pic xmlns:pic="http://schemas.openxmlformats.org/drawingml/2006/picture">
                        <pic:nvPicPr>
                          <pic:cNvPr id="312" name="图片_3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7875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13" name="图片_29"/>
                  <wp:cNvGraphicFramePr/>
                  <a:graphic xmlns:a="http://schemas.openxmlformats.org/drawingml/2006/main">
                    <a:graphicData uri="http://schemas.openxmlformats.org/drawingml/2006/picture">
                      <pic:pic xmlns:pic="http://schemas.openxmlformats.org/drawingml/2006/picture">
                        <pic:nvPicPr>
                          <pic:cNvPr id="313" name="图片_2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7977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14" name="图片_28"/>
                  <wp:cNvGraphicFramePr/>
                  <a:graphic xmlns:a="http://schemas.openxmlformats.org/drawingml/2006/main">
                    <a:graphicData uri="http://schemas.openxmlformats.org/drawingml/2006/picture">
                      <pic:pic xmlns:pic="http://schemas.openxmlformats.org/drawingml/2006/picture">
                        <pic:nvPicPr>
                          <pic:cNvPr id="314" name="图片_2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8080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15" name="图片_27"/>
                  <wp:cNvGraphicFramePr/>
                  <a:graphic xmlns:a="http://schemas.openxmlformats.org/drawingml/2006/main">
                    <a:graphicData uri="http://schemas.openxmlformats.org/drawingml/2006/picture">
                      <pic:pic xmlns:pic="http://schemas.openxmlformats.org/drawingml/2006/picture">
                        <pic:nvPicPr>
                          <pic:cNvPr id="315" name="图片_27"/>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8182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16" name="图片_26"/>
                  <wp:cNvGraphicFramePr/>
                  <a:graphic xmlns:a="http://schemas.openxmlformats.org/drawingml/2006/main">
                    <a:graphicData uri="http://schemas.openxmlformats.org/drawingml/2006/picture">
                      <pic:pic xmlns:pic="http://schemas.openxmlformats.org/drawingml/2006/picture">
                        <pic:nvPicPr>
                          <pic:cNvPr id="316" name="图片_2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8284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17" name="图片_25"/>
                  <wp:cNvGraphicFramePr/>
                  <a:graphic xmlns:a="http://schemas.openxmlformats.org/drawingml/2006/main">
                    <a:graphicData uri="http://schemas.openxmlformats.org/drawingml/2006/picture">
                      <pic:pic xmlns:pic="http://schemas.openxmlformats.org/drawingml/2006/picture">
                        <pic:nvPicPr>
                          <pic:cNvPr id="317" name="图片_2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8387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18" name="图片_24"/>
                  <wp:cNvGraphicFramePr/>
                  <a:graphic xmlns:a="http://schemas.openxmlformats.org/drawingml/2006/main">
                    <a:graphicData uri="http://schemas.openxmlformats.org/drawingml/2006/picture">
                      <pic:pic xmlns:pic="http://schemas.openxmlformats.org/drawingml/2006/picture">
                        <pic:nvPicPr>
                          <pic:cNvPr id="318" name="图片_2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8489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19" name="图片_23"/>
                  <wp:cNvGraphicFramePr/>
                  <a:graphic xmlns:a="http://schemas.openxmlformats.org/drawingml/2006/main">
                    <a:graphicData uri="http://schemas.openxmlformats.org/drawingml/2006/picture">
                      <pic:pic xmlns:pic="http://schemas.openxmlformats.org/drawingml/2006/picture">
                        <pic:nvPicPr>
                          <pic:cNvPr id="319" name="图片_2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8592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20" name="图片_22"/>
                  <wp:cNvGraphicFramePr/>
                  <a:graphic xmlns:a="http://schemas.openxmlformats.org/drawingml/2006/main">
                    <a:graphicData uri="http://schemas.openxmlformats.org/drawingml/2006/picture">
                      <pic:pic xmlns:pic="http://schemas.openxmlformats.org/drawingml/2006/picture">
                        <pic:nvPicPr>
                          <pic:cNvPr id="320" name="图片_2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8694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21" name="图片_21"/>
                  <wp:cNvGraphicFramePr/>
                  <a:graphic xmlns:a="http://schemas.openxmlformats.org/drawingml/2006/main">
                    <a:graphicData uri="http://schemas.openxmlformats.org/drawingml/2006/picture">
                      <pic:pic xmlns:pic="http://schemas.openxmlformats.org/drawingml/2006/picture">
                        <pic:nvPicPr>
                          <pic:cNvPr id="321" name="图片_2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87968" behindDoc="0" locked="0" layoutInCell="1" allowOverlap="1">
                  <wp:simplePos x="0" y="0"/>
                  <wp:positionH relativeFrom="column">
                    <wp:posOffset>0</wp:posOffset>
                  </wp:positionH>
                  <wp:positionV relativeFrom="paragraph">
                    <wp:posOffset>0</wp:posOffset>
                  </wp:positionV>
                  <wp:extent cx="7620" cy="7620"/>
                  <wp:effectExtent l="0" t="0" r="0" b="0"/>
                  <wp:wrapNone/>
                  <wp:docPr id="322" name="图片_20"/>
                  <wp:cNvGraphicFramePr/>
                  <a:graphic xmlns:a="http://schemas.openxmlformats.org/drawingml/2006/main">
                    <a:graphicData uri="http://schemas.openxmlformats.org/drawingml/2006/picture">
                      <pic:pic xmlns:pic="http://schemas.openxmlformats.org/drawingml/2006/picture">
                        <pic:nvPicPr>
                          <pic:cNvPr id="322" name="图片_20"/>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88992" behindDoc="0" locked="0" layoutInCell="1" allowOverlap="1">
                  <wp:simplePos x="0" y="0"/>
                  <wp:positionH relativeFrom="column">
                    <wp:posOffset>0</wp:posOffset>
                  </wp:positionH>
                  <wp:positionV relativeFrom="paragraph">
                    <wp:posOffset>0</wp:posOffset>
                  </wp:positionV>
                  <wp:extent cx="7620" cy="7620"/>
                  <wp:effectExtent l="0" t="0" r="0" b="0"/>
                  <wp:wrapNone/>
                  <wp:docPr id="323" name="图片_19"/>
                  <wp:cNvGraphicFramePr/>
                  <a:graphic xmlns:a="http://schemas.openxmlformats.org/drawingml/2006/main">
                    <a:graphicData uri="http://schemas.openxmlformats.org/drawingml/2006/picture">
                      <pic:pic xmlns:pic="http://schemas.openxmlformats.org/drawingml/2006/picture">
                        <pic:nvPicPr>
                          <pic:cNvPr id="323" name="图片_19"/>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90016" behindDoc="0" locked="0" layoutInCell="1" allowOverlap="1">
                  <wp:simplePos x="0" y="0"/>
                  <wp:positionH relativeFrom="column">
                    <wp:posOffset>0</wp:posOffset>
                  </wp:positionH>
                  <wp:positionV relativeFrom="paragraph">
                    <wp:posOffset>0</wp:posOffset>
                  </wp:positionV>
                  <wp:extent cx="7620" cy="7620"/>
                  <wp:effectExtent l="0" t="0" r="0" b="0"/>
                  <wp:wrapNone/>
                  <wp:docPr id="324" name="图片_18"/>
                  <wp:cNvGraphicFramePr/>
                  <a:graphic xmlns:a="http://schemas.openxmlformats.org/drawingml/2006/main">
                    <a:graphicData uri="http://schemas.openxmlformats.org/drawingml/2006/picture">
                      <pic:pic xmlns:pic="http://schemas.openxmlformats.org/drawingml/2006/picture">
                        <pic:nvPicPr>
                          <pic:cNvPr id="324" name="图片_18"/>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91040" behindDoc="0" locked="0" layoutInCell="1" allowOverlap="1">
                  <wp:simplePos x="0" y="0"/>
                  <wp:positionH relativeFrom="column">
                    <wp:posOffset>0</wp:posOffset>
                  </wp:positionH>
                  <wp:positionV relativeFrom="paragraph">
                    <wp:posOffset>0</wp:posOffset>
                  </wp:positionV>
                  <wp:extent cx="7620" cy="7620"/>
                  <wp:effectExtent l="0" t="0" r="0" b="0"/>
                  <wp:wrapNone/>
                  <wp:docPr id="325" name="图片_17"/>
                  <wp:cNvGraphicFramePr/>
                  <a:graphic xmlns:a="http://schemas.openxmlformats.org/drawingml/2006/main">
                    <a:graphicData uri="http://schemas.openxmlformats.org/drawingml/2006/picture">
                      <pic:pic xmlns:pic="http://schemas.openxmlformats.org/drawingml/2006/picture">
                        <pic:nvPicPr>
                          <pic:cNvPr id="325" name="图片_17"/>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9206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26" name="图片_14"/>
                  <wp:cNvGraphicFramePr/>
                  <a:graphic xmlns:a="http://schemas.openxmlformats.org/drawingml/2006/main">
                    <a:graphicData uri="http://schemas.openxmlformats.org/drawingml/2006/picture">
                      <pic:pic xmlns:pic="http://schemas.openxmlformats.org/drawingml/2006/picture">
                        <pic:nvPicPr>
                          <pic:cNvPr id="326" name="图片_1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93088" behindDoc="0" locked="0" layoutInCell="1" allowOverlap="1">
                  <wp:simplePos x="0" y="0"/>
                  <wp:positionH relativeFrom="column">
                    <wp:posOffset>0</wp:posOffset>
                  </wp:positionH>
                  <wp:positionV relativeFrom="paragraph">
                    <wp:posOffset>0</wp:posOffset>
                  </wp:positionV>
                  <wp:extent cx="7620" cy="7620"/>
                  <wp:effectExtent l="0" t="0" r="0" b="0"/>
                  <wp:wrapNone/>
                  <wp:docPr id="327" name="图片_16"/>
                  <wp:cNvGraphicFramePr/>
                  <a:graphic xmlns:a="http://schemas.openxmlformats.org/drawingml/2006/main">
                    <a:graphicData uri="http://schemas.openxmlformats.org/drawingml/2006/picture">
                      <pic:pic xmlns:pic="http://schemas.openxmlformats.org/drawingml/2006/picture">
                        <pic:nvPicPr>
                          <pic:cNvPr id="327" name="图片_16"/>
                          <pic:cNvPicPr/>
                        </pic:nvPicPr>
                        <pic:blipFill>
                          <a:blip r:embed="rId15"/>
                          <a:stretch>
                            <a:fillRect/>
                          </a:stretch>
                        </pic:blipFill>
                        <pic:spPr>
                          <a:xfrm>
                            <a:off x="0" y="0"/>
                            <a:ext cx="7620" cy="762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9411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28" name="图片_13"/>
                  <wp:cNvGraphicFramePr/>
                  <a:graphic xmlns:a="http://schemas.openxmlformats.org/drawingml/2006/main">
                    <a:graphicData uri="http://schemas.openxmlformats.org/drawingml/2006/picture">
                      <pic:pic xmlns:pic="http://schemas.openxmlformats.org/drawingml/2006/picture">
                        <pic:nvPicPr>
                          <pic:cNvPr id="328" name="图片_13"/>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9513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29" name="图片_12"/>
                  <wp:cNvGraphicFramePr/>
                  <a:graphic xmlns:a="http://schemas.openxmlformats.org/drawingml/2006/main">
                    <a:graphicData uri="http://schemas.openxmlformats.org/drawingml/2006/picture">
                      <pic:pic xmlns:pic="http://schemas.openxmlformats.org/drawingml/2006/picture">
                        <pic:nvPicPr>
                          <pic:cNvPr id="329" name="图片_1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9616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30" name="图片_11"/>
                  <wp:cNvGraphicFramePr/>
                  <a:graphic xmlns:a="http://schemas.openxmlformats.org/drawingml/2006/main">
                    <a:graphicData uri="http://schemas.openxmlformats.org/drawingml/2006/picture">
                      <pic:pic xmlns:pic="http://schemas.openxmlformats.org/drawingml/2006/picture">
                        <pic:nvPicPr>
                          <pic:cNvPr id="330" name="图片_11"/>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9718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31" name="图片_10"/>
                  <wp:cNvGraphicFramePr/>
                  <a:graphic xmlns:a="http://schemas.openxmlformats.org/drawingml/2006/main">
                    <a:graphicData uri="http://schemas.openxmlformats.org/drawingml/2006/picture">
                      <pic:pic xmlns:pic="http://schemas.openxmlformats.org/drawingml/2006/picture">
                        <pic:nvPicPr>
                          <pic:cNvPr id="331" name="图片_10"/>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9820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32" name="图片_9"/>
                  <wp:cNvGraphicFramePr/>
                  <a:graphic xmlns:a="http://schemas.openxmlformats.org/drawingml/2006/main">
                    <a:graphicData uri="http://schemas.openxmlformats.org/drawingml/2006/picture">
                      <pic:pic xmlns:pic="http://schemas.openxmlformats.org/drawingml/2006/picture">
                        <pic:nvPicPr>
                          <pic:cNvPr id="332" name="图片_9"/>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1999232"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33" name="图片_6"/>
                  <wp:cNvGraphicFramePr/>
                  <a:graphic xmlns:a="http://schemas.openxmlformats.org/drawingml/2006/main">
                    <a:graphicData uri="http://schemas.openxmlformats.org/drawingml/2006/picture">
                      <pic:pic xmlns:pic="http://schemas.openxmlformats.org/drawingml/2006/picture">
                        <pic:nvPicPr>
                          <pic:cNvPr id="333" name="图片_6"/>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2000256"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34" name="图片_8"/>
                  <wp:cNvGraphicFramePr/>
                  <a:graphic xmlns:a="http://schemas.openxmlformats.org/drawingml/2006/main">
                    <a:graphicData uri="http://schemas.openxmlformats.org/drawingml/2006/picture">
                      <pic:pic xmlns:pic="http://schemas.openxmlformats.org/drawingml/2006/picture">
                        <pic:nvPicPr>
                          <pic:cNvPr id="334" name="图片_8"/>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2001280"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335" name="图片_5"/>
                  <wp:cNvGraphicFramePr/>
                  <a:graphic xmlns:a="http://schemas.openxmlformats.org/drawingml/2006/main">
                    <a:graphicData uri="http://schemas.openxmlformats.org/drawingml/2006/picture">
                      <pic:pic xmlns:pic="http://schemas.openxmlformats.org/drawingml/2006/picture">
                        <pic:nvPicPr>
                          <pic:cNvPr id="335" name="图片_5"/>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2002304"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503" name="图片_2"/>
                  <wp:cNvGraphicFramePr/>
                  <a:graphic xmlns:a="http://schemas.openxmlformats.org/drawingml/2006/main">
                    <a:graphicData uri="http://schemas.openxmlformats.org/drawingml/2006/picture">
                      <pic:pic xmlns:pic="http://schemas.openxmlformats.org/drawingml/2006/picture">
                        <pic:nvPicPr>
                          <pic:cNvPr id="503" name="图片_2"/>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drawing>
                <wp:anchor distT="0" distB="0" distL="114300" distR="114300" simplePos="0" relativeHeight="252003328" behindDoc="0" locked="0" layoutInCell="1" allowOverlap="1">
                  <wp:simplePos x="0" y="0"/>
                  <wp:positionH relativeFrom="column">
                    <wp:posOffset>0</wp:posOffset>
                  </wp:positionH>
                  <wp:positionV relativeFrom="paragraph">
                    <wp:posOffset>0</wp:posOffset>
                  </wp:positionV>
                  <wp:extent cx="7620" cy="15240"/>
                  <wp:effectExtent l="0" t="0" r="5080" b="3810"/>
                  <wp:wrapNone/>
                  <wp:docPr id="504" name="图片_4"/>
                  <wp:cNvGraphicFramePr/>
                  <a:graphic xmlns:a="http://schemas.openxmlformats.org/drawingml/2006/main">
                    <a:graphicData uri="http://schemas.openxmlformats.org/drawingml/2006/picture">
                      <pic:pic xmlns:pic="http://schemas.openxmlformats.org/drawingml/2006/picture">
                        <pic:nvPicPr>
                          <pic:cNvPr id="504" name="图片_4"/>
                          <pic:cNvPicPr/>
                        </pic:nvPicPr>
                        <pic:blipFill>
                          <a:blip r:embed="rId14"/>
                          <a:stretch>
                            <a:fillRect/>
                          </a:stretch>
                        </pic:blipFill>
                        <pic:spPr>
                          <a:xfrm>
                            <a:off x="0" y="0"/>
                            <a:ext cx="7620" cy="15240"/>
                          </a:xfrm>
                          <a:prstGeom prst="rect">
                            <a:avLst/>
                          </a:prstGeom>
                          <a:noFill/>
                          <a:ln>
                            <a:noFill/>
                          </a:ln>
                        </pic:spPr>
                      </pic:pic>
                    </a:graphicData>
                  </a:graphic>
                </wp:anchor>
              </w:drawing>
            </w:r>
            <w:r>
              <w:rPr>
                <w:rFonts w:hint="eastAsia" w:ascii="宋体" w:hAnsi="宋体" w:eastAsia="宋体" w:cs="宋体"/>
                <w:color w:val="000000"/>
                <w:sz w:val="21"/>
                <w:szCs w:val="21"/>
              </w:rPr>
              <w:t>序号</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4D79565A">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名称</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3B5609C2">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是否进口</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2227A32D">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502E962B">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数量</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683E80F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eastAsia="zh-CN"/>
              </w:rPr>
            </w:pPr>
            <w:r>
              <w:rPr>
                <w:rFonts w:hint="eastAsia" w:ascii="宋体" w:hAnsi="宋体" w:cs="宋体"/>
                <w:b w:val="0"/>
                <w:bCs w:val="0"/>
                <w:color w:val="auto"/>
                <w:sz w:val="24"/>
                <w:highlight w:val="none"/>
                <w:lang w:val="en-US" w:eastAsia="zh-CN"/>
              </w:rPr>
              <w:t>备注</w:t>
            </w:r>
          </w:p>
        </w:tc>
      </w:tr>
      <w:tr w14:paraId="1715590B">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0DCCCBBE">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04A27A76">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中型四旋翼行业无人机</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05A20E76">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0E399A6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套</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1B8C3476">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D860C63">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1EFCC806">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306D7B37">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1A9394CE">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中型四旋翼无人机三合一镜头</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5996FCEF">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54DA67E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台</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181A60C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E389E76">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232D203F">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3E71500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1A5E6EF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智能飞行电池</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24988CE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0AFFE726">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val="en-US" w:eastAsia="zh-CN"/>
              </w:rPr>
              <w:t>组</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4398A4F2">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6</w:t>
            </w:r>
            <w:r>
              <w:rPr>
                <w:rFonts w:hint="eastAsia" w:ascii="宋体" w:hAnsi="宋体" w:eastAsia="宋体" w:cs="宋体"/>
                <w:color w:val="000000"/>
                <w:sz w:val="21"/>
                <w:szCs w:val="21"/>
              </w:rPr>
              <w:t>.00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1C8CE377">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42A6D4DD">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34A015C4">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58981937">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无人机喊话照明一体设备</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29153A86">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45E0FEBB">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套</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048088DE">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rPr>
              <w:t>.00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096F66F6">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46A0B9B6">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6FB86EBA">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5</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34916B5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中型四旋翼行业无人机下置双云台挂架</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222D3AA3">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3ECCC9CD">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个</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4A3939D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15092D72">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302FA61E">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0E6FB2B8">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6</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20DAC4DE">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图传增强模块</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1664DABF">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5ADBD5CB">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个</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30B55715">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8D1B86F">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178B3E27">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3DB89183">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7</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287928C9">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道路交通事故勘察软件</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4FBC8468">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6819515E">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套</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4A9F6AFD">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49A3361B">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414D1A46">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70D11FDE">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8</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7C756B1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手持图形工作站</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3E9DB968">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70106DF4">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台</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26A0F4C9">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2147280B">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229E3B35">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130400AC">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9</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5E82FD4D">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便携式打印机</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28484851">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748D6168">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台</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50B5A757">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18455199">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r w14:paraId="682AF7DE">
        <w:tblPrEx>
          <w:tblCellMar>
            <w:top w:w="0" w:type="dxa"/>
            <w:left w:w="108" w:type="dxa"/>
            <w:bottom w:w="0" w:type="dxa"/>
            <w:right w:w="108" w:type="dxa"/>
          </w:tblCellMar>
        </w:tblPrEx>
        <w:trPr>
          <w:trHeight w:val="330" w:hRule="atLeast"/>
          <w:jc w:val="center"/>
        </w:trPr>
        <w:tc>
          <w:tcPr>
            <w:tcW w:w="393" w:type="pct"/>
            <w:tcBorders>
              <w:top w:val="single" w:color="000000" w:sz="4" w:space="0"/>
              <w:left w:val="single" w:color="000000" w:sz="4" w:space="0"/>
              <w:bottom w:val="single" w:color="000000" w:sz="4" w:space="0"/>
              <w:right w:val="single" w:color="000000" w:sz="4" w:space="0"/>
            </w:tcBorders>
            <w:noWrap/>
            <w:vAlign w:val="center"/>
          </w:tcPr>
          <w:p w14:paraId="255C06B8">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10</w:t>
            </w:r>
          </w:p>
        </w:tc>
        <w:tc>
          <w:tcPr>
            <w:tcW w:w="2157" w:type="pct"/>
            <w:tcBorders>
              <w:top w:val="single" w:color="000000" w:sz="4" w:space="0"/>
              <w:left w:val="single" w:color="000000" w:sz="4" w:space="0"/>
              <w:bottom w:val="single" w:color="000000" w:sz="4" w:space="0"/>
              <w:right w:val="single" w:color="000000" w:sz="4" w:space="0"/>
            </w:tcBorders>
            <w:noWrap/>
            <w:vAlign w:val="center"/>
          </w:tcPr>
          <w:p w14:paraId="2454F068">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5G编码器</w:t>
            </w:r>
          </w:p>
        </w:tc>
        <w:tc>
          <w:tcPr>
            <w:tcW w:w="686" w:type="pct"/>
            <w:tcBorders>
              <w:top w:val="single" w:color="000000" w:sz="4" w:space="0"/>
              <w:left w:val="single" w:color="000000" w:sz="4" w:space="0"/>
              <w:bottom w:val="single" w:color="000000" w:sz="4" w:space="0"/>
              <w:right w:val="single" w:color="000000" w:sz="4" w:space="0"/>
            </w:tcBorders>
            <w:noWrap/>
            <w:vAlign w:val="center"/>
          </w:tcPr>
          <w:p w14:paraId="5AEF1D42">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否</w:t>
            </w:r>
          </w:p>
        </w:tc>
        <w:tc>
          <w:tcPr>
            <w:tcW w:w="503" w:type="pct"/>
            <w:tcBorders>
              <w:top w:val="single" w:color="000000" w:sz="4" w:space="0"/>
              <w:left w:val="single" w:color="000000" w:sz="4" w:space="0"/>
              <w:bottom w:val="single" w:color="000000" w:sz="4" w:space="0"/>
              <w:right w:val="single" w:color="000000" w:sz="4" w:space="0"/>
            </w:tcBorders>
            <w:noWrap/>
            <w:vAlign w:val="center"/>
          </w:tcPr>
          <w:p w14:paraId="00941566">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台</w:t>
            </w:r>
          </w:p>
        </w:tc>
        <w:tc>
          <w:tcPr>
            <w:tcW w:w="637" w:type="pct"/>
            <w:tcBorders>
              <w:top w:val="single" w:color="000000" w:sz="4" w:space="0"/>
              <w:left w:val="single" w:color="000000" w:sz="4" w:space="0"/>
              <w:bottom w:val="single" w:color="000000" w:sz="4" w:space="0"/>
              <w:right w:val="single" w:color="000000" w:sz="4" w:space="0"/>
            </w:tcBorders>
            <w:noWrap/>
            <w:vAlign w:val="center"/>
          </w:tcPr>
          <w:p w14:paraId="7C57C140">
            <w:pPr>
              <w:keepNext w:val="0"/>
              <w:keepLines w:val="0"/>
              <w:pageBreakBefore w:val="0"/>
              <w:widowControl w:val="0"/>
              <w:kinsoku/>
              <w:wordWrap/>
              <w:overflowPunct/>
              <w:topLinePunct w:val="0"/>
              <w:autoSpaceDE/>
              <w:autoSpaceDN/>
              <w:bidi w:val="0"/>
              <w:adjustRightInd w:val="0"/>
              <w:snapToGrid w:val="0"/>
              <w:spacing w:line="420" w:lineRule="exact"/>
              <w:ind w:firstLine="0" w:firstLineChars="0"/>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3.00</w:t>
            </w:r>
          </w:p>
        </w:tc>
        <w:tc>
          <w:tcPr>
            <w:tcW w:w="621" w:type="pct"/>
            <w:tcBorders>
              <w:top w:val="single" w:color="000000" w:sz="4" w:space="0"/>
              <w:left w:val="single" w:color="000000" w:sz="4" w:space="0"/>
              <w:bottom w:val="single" w:color="000000" w:sz="4" w:space="0"/>
              <w:right w:val="single" w:color="000000" w:sz="4" w:space="0"/>
            </w:tcBorders>
            <w:noWrap/>
            <w:vAlign w:val="center"/>
          </w:tcPr>
          <w:p w14:paraId="58CC00B8">
            <w:pPr>
              <w:keepNext w:val="0"/>
              <w:keepLines w:val="0"/>
              <w:widowControl/>
              <w:suppressLineNumbers w:val="0"/>
              <w:jc w:val="center"/>
              <w:textAlignment w:val="center"/>
              <w:rPr>
                <w:rFonts w:hint="eastAsia" w:ascii="宋体" w:hAnsi="宋体" w:eastAsia="宋体" w:cs="宋体"/>
                <w:color w:val="000000"/>
                <w:sz w:val="21"/>
                <w:szCs w:val="21"/>
                <w:highlight w:val="none"/>
                <w:lang w:val="en-US"/>
              </w:rPr>
            </w:pPr>
          </w:p>
        </w:tc>
      </w:tr>
    </w:tbl>
    <w:p w14:paraId="6CE42D56">
      <w:pPr>
        <w:pStyle w:val="2"/>
      </w:pPr>
    </w:p>
    <w:p w14:paraId="58F24B66">
      <w:pPr>
        <w:pStyle w:val="4"/>
        <w:rPr>
          <w:rFonts w:ascii="宋体" w:hAnsi="宋体" w:cs="宋体"/>
        </w:rPr>
      </w:pPr>
      <w:r>
        <w:rPr>
          <w:rFonts w:hint="eastAsia" w:ascii="宋体" w:hAnsi="宋体" w:cs="宋体"/>
          <w:sz w:val="28"/>
          <w:szCs w:val="28"/>
        </w:rPr>
        <w:t>第二部分 技术参数</w:t>
      </w:r>
    </w:p>
    <w:bookmarkEnd w:id="354"/>
    <w:bookmarkEnd w:id="355"/>
    <w:p w14:paraId="43EFF4F6">
      <w:pPr>
        <w:spacing w:line="480" w:lineRule="auto"/>
        <w:ind w:firstLine="142"/>
        <w:rPr>
          <w:rFonts w:ascii="宋体" w:hAnsi="宋体" w:cs="宋体"/>
          <w:b/>
          <w:bCs/>
          <w:sz w:val="24"/>
          <w:shd w:val="clear" w:color="auto" w:fill="FFFFFF"/>
        </w:rPr>
      </w:pPr>
      <w:bookmarkStart w:id="356" w:name="_Toc482815527"/>
      <w:bookmarkEnd w:id="356"/>
      <w:bookmarkStart w:id="357" w:name="_Toc487026537"/>
      <w:bookmarkEnd w:id="357"/>
      <w:r>
        <w:rPr>
          <w:rFonts w:hint="eastAsia" w:ascii="宋体" w:hAnsi="宋体" w:cs="宋体"/>
          <w:b/>
          <w:bCs/>
          <w:sz w:val="24"/>
          <w:shd w:val="clear" w:color="auto" w:fill="FFFFFF"/>
        </w:rPr>
        <w:t>一、采购需求应当完整、明确，包括以下内容：</w:t>
      </w:r>
    </w:p>
    <w:p w14:paraId="723ABE45">
      <w:pPr>
        <w:pStyle w:val="110"/>
        <w:spacing w:line="360" w:lineRule="auto"/>
        <w:ind w:left="1416" w:hanging="1080" w:firstLineChars="0"/>
        <w:rPr>
          <w:rFonts w:ascii="宋体" w:hAnsi="宋体" w:cs="宋体"/>
          <w:b/>
          <w:bCs/>
          <w:sz w:val="24"/>
          <w:shd w:val="clear" w:color="auto" w:fill="FFFFFF"/>
        </w:rPr>
      </w:pPr>
      <w:r>
        <w:rPr>
          <w:rFonts w:ascii="宋体" w:hAnsi="宋体" w:cs="宋体"/>
          <w:b/>
          <w:bCs/>
          <w:sz w:val="24"/>
          <w:shd w:val="clear" w:color="auto" w:fill="FFFFFF"/>
        </w:rPr>
        <w:t>（一）</w:t>
      </w:r>
      <w:r>
        <w:rPr>
          <w:rFonts w:hint="eastAsia" w:ascii="宋体" w:hAnsi="宋体" w:cs="宋体"/>
          <w:b/>
          <w:bCs/>
          <w:sz w:val="24"/>
          <w:shd w:val="clear" w:color="auto" w:fill="FFFFFF"/>
        </w:rPr>
        <w:t xml:space="preserve">采购标的需实现的功能或者目标，以及为落实政府采购政策需满足的要求； </w:t>
      </w:r>
    </w:p>
    <w:p w14:paraId="7079325F">
      <w:pPr>
        <w:pStyle w:val="110"/>
        <w:spacing w:line="360" w:lineRule="auto"/>
        <w:ind w:firstLine="485"/>
        <w:rPr>
          <w:rFonts w:ascii="宋体" w:hAnsi="宋体" w:cs="宋体"/>
          <w:b/>
          <w:sz w:val="24"/>
          <w:shd w:val="clear" w:color="auto" w:fill="FFFFFF"/>
        </w:rPr>
      </w:pPr>
      <w:r>
        <w:rPr>
          <w:rFonts w:hint="eastAsia" w:ascii="宋体" w:hAnsi="宋体" w:cs="宋体"/>
          <w:b/>
          <w:sz w:val="24"/>
          <w:shd w:val="clear" w:color="auto" w:fill="FFFFFF"/>
        </w:rPr>
        <w:t>1、采购标的需实现的功能或者目标：</w:t>
      </w:r>
    </w:p>
    <w:p w14:paraId="67BE65C2">
      <w:pPr>
        <w:pStyle w:val="51"/>
        <w:spacing w:line="360" w:lineRule="auto"/>
        <w:ind w:firstLine="458" w:firstLineChars="200"/>
        <w:rPr>
          <w:rFonts w:asciiTheme="majorEastAsia" w:hAnsiTheme="majorEastAsia" w:eastAsiaTheme="majorEastAsia"/>
          <w:color w:val="auto"/>
          <w:spacing w:val="-6"/>
          <w:kern w:val="2"/>
          <w:shd w:val="clear" w:color="auto" w:fill="FFFFFF"/>
        </w:rPr>
      </w:pPr>
      <w:r>
        <w:rPr>
          <w:rFonts w:hint="eastAsia" w:asciiTheme="majorEastAsia" w:hAnsiTheme="majorEastAsia" w:eastAsiaTheme="majorEastAsia"/>
          <w:color w:val="auto"/>
          <w:spacing w:val="-6"/>
          <w:kern w:val="2"/>
          <w:shd w:val="clear" w:color="auto" w:fill="FFFFFF"/>
        </w:rPr>
        <w:t>完成</w:t>
      </w:r>
      <w:r>
        <w:rPr>
          <w:rFonts w:hint="eastAsia" w:asciiTheme="majorEastAsia" w:hAnsiTheme="majorEastAsia" w:eastAsiaTheme="majorEastAsia"/>
          <w:color w:val="auto"/>
          <w:spacing w:val="-6"/>
          <w:kern w:val="2"/>
          <w:u w:val="single"/>
          <w:shd w:val="clear" w:color="auto" w:fill="FFFFFF"/>
          <w:lang w:eastAsia="zh-CN"/>
        </w:rPr>
        <w:t>昭通市公安局交通管理支队无人机采购项目</w:t>
      </w:r>
      <w:r>
        <w:rPr>
          <w:rFonts w:hint="eastAsia" w:asciiTheme="majorEastAsia" w:hAnsiTheme="majorEastAsia" w:eastAsiaTheme="majorEastAsia"/>
          <w:color w:val="auto"/>
          <w:spacing w:val="-6"/>
          <w:kern w:val="2"/>
          <w:shd w:val="clear" w:color="auto" w:fill="FFFFFF"/>
        </w:rPr>
        <w:t>的采购需求。</w:t>
      </w:r>
    </w:p>
    <w:p w14:paraId="3FD41959">
      <w:pPr>
        <w:pStyle w:val="192"/>
        <w:ind w:firstLine="485"/>
        <w:rPr>
          <w:rFonts w:ascii="宋体" w:hAnsi="宋体" w:cs="宋体"/>
          <w:b/>
          <w:bCs/>
          <w:szCs w:val="24"/>
          <w:shd w:val="clear" w:color="auto" w:fill="FFFFFF"/>
        </w:rPr>
      </w:pPr>
      <w:r>
        <w:rPr>
          <w:rFonts w:hint="eastAsia" w:ascii="宋体" w:hAnsi="宋体" w:cs="宋体"/>
          <w:b/>
          <w:bCs/>
          <w:szCs w:val="24"/>
          <w:shd w:val="clear" w:color="auto" w:fill="FFFFFF"/>
        </w:rPr>
        <w:t>2、落实政府采购政策需满足的要求：</w:t>
      </w:r>
    </w:p>
    <w:p w14:paraId="15F413D4">
      <w:pPr>
        <w:pStyle w:val="192"/>
        <w:ind w:firstLine="483"/>
        <w:rPr>
          <w:rFonts w:ascii="宋体" w:hAnsi="宋体" w:cs="宋体"/>
          <w:szCs w:val="24"/>
          <w:shd w:val="clear" w:color="auto" w:fill="FFFFFF"/>
        </w:rPr>
      </w:pPr>
      <w:r>
        <w:rPr>
          <w:rFonts w:hint="eastAsia" w:ascii="宋体" w:hAnsi="宋体" w:cs="宋体"/>
          <w:szCs w:val="24"/>
          <w:shd w:val="clear" w:color="auto" w:fill="FFFFFF"/>
        </w:rPr>
        <w:t>符合《中华人民共和国政府采购法》、《中华人民共和国政府采购法实施条例》、《政府采购货物和服务招投标管理办法》（财政部令第87号）等有关法律、法规和规章的规定。</w:t>
      </w:r>
    </w:p>
    <w:p w14:paraId="05CDC7FE">
      <w:pPr>
        <w:spacing w:line="360" w:lineRule="auto"/>
        <w:ind w:firstLine="336"/>
        <w:rPr>
          <w:rFonts w:ascii="宋体" w:hAnsi="宋体" w:cs="宋体"/>
          <w:b/>
          <w:bCs/>
          <w:sz w:val="24"/>
          <w:shd w:val="clear" w:color="auto" w:fill="FFFFFF"/>
        </w:rPr>
      </w:pPr>
      <w:r>
        <w:rPr>
          <w:rFonts w:hint="eastAsia" w:ascii="宋体" w:hAnsi="宋体" w:cs="宋体"/>
          <w:b/>
          <w:bCs/>
          <w:sz w:val="24"/>
          <w:shd w:val="clear" w:color="auto" w:fill="FFFFFF"/>
        </w:rPr>
        <w:t xml:space="preserve">（二）采购标的需执行的国家相关标准、行业标准、地方标准或者其他标准、规范； </w:t>
      </w:r>
    </w:p>
    <w:p w14:paraId="2184116C">
      <w:pPr>
        <w:pStyle w:val="110"/>
        <w:spacing w:line="360" w:lineRule="auto"/>
        <w:ind w:firstLine="483"/>
        <w:rPr>
          <w:rFonts w:ascii="宋体" w:hAnsi="宋体" w:cs="宋体"/>
          <w:bCs/>
          <w:sz w:val="24"/>
          <w:shd w:val="clear" w:color="auto" w:fill="FFFFFF"/>
        </w:rPr>
      </w:pPr>
      <w:r>
        <w:rPr>
          <w:rFonts w:hint="eastAsia" w:ascii="宋体" w:hAnsi="宋体" w:cs="宋体"/>
          <w:sz w:val="24"/>
        </w:rPr>
        <w:t>严格执行现行国家标准、行业标准、地方标准或其它标准规范，满足采购人要求</w:t>
      </w:r>
      <w:r>
        <w:rPr>
          <w:rFonts w:hint="eastAsia" w:ascii="宋体" w:hAnsi="宋体" w:cs="宋体"/>
          <w:bCs/>
          <w:sz w:val="24"/>
          <w:shd w:val="clear" w:color="auto" w:fill="FFFFFF"/>
        </w:rPr>
        <w:t>。</w:t>
      </w:r>
    </w:p>
    <w:p w14:paraId="4A61C39B">
      <w:pPr>
        <w:spacing w:line="360" w:lineRule="auto"/>
        <w:ind w:firstLine="336"/>
        <w:rPr>
          <w:rFonts w:ascii="宋体" w:hAnsi="宋体" w:cs="宋体"/>
          <w:b/>
          <w:bCs/>
          <w:sz w:val="24"/>
          <w:shd w:val="clear" w:color="auto" w:fill="FFFFFF"/>
        </w:rPr>
      </w:pPr>
      <w:r>
        <w:rPr>
          <w:rFonts w:hint="eastAsia" w:ascii="宋体" w:hAnsi="宋体" w:cs="宋体"/>
          <w:b/>
          <w:bCs/>
          <w:sz w:val="24"/>
          <w:shd w:val="clear" w:color="auto" w:fill="FFFFFF"/>
        </w:rPr>
        <w:t>（三）采购标的需满足的质量、安全、技术规格、物理特性等要求；</w:t>
      </w:r>
    </w:p>
    <w:p w14:paraId="726B20DC">
      <w:pP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br w:type="page"/>
      </w:r>
    </w:p>
    <w:tbl>
      <w:tblPr>
        <w:tblStyle w:val="38"/>
        <w:tblW w:w="9254"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3"/>
        <w:gridCol w:w="980"/>
        <w:gridCol w:w="470"/>
        <w:gridCol w:w="520"/>
        <w:gridCol w:w="5491"/>
        <w:gridCol w:w="1300"/>
      </w:tblGrid>
      <w:tr w14:paraId="0E7ED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AC4AB">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9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FDC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名称</w:t>
            </w:r>
          </w:p>
        </w:tc>
        <w:tc>
          <w:tcPr>
            <w:tcW w:w="4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385C2">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数量</w:t>
            </w: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5E965">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单位</w:t>
            </w:r>
          </w:p>
        </w:tc>
        <w:tc>
          <w:tcPr>
            <w:tcW w:w="54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90EC8">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参数</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84E91">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备注</w:t>
            </w:r>
          </w:p>
        </w:tc>
      </w:tr>
      <w:tr w14:paraId="17528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905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6AA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中型四旋翼行业无人机</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4DE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1C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675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4"/>
                <w:szCs w:val="24"/>
                <w:u w:val="none"/>
                <w:lang w:val="en-US" w:eastAsia="zh-CN" w:bidi="ar"/>
              </w:rPr>
            </w:pPr>
            <w:r>
              <w:rPr>
                <w:rFonts w:hint="eastAsia" w:asciiTheme="minorEastAsia" w:hAnsiTheme="minorEastAsia" w:eastAsiaTheme="minorEastAsia" w:cstheme="minorEastAsia"/>
                <w:i w:val="0"/>
                <w:iCs w:val="0"/>
                <w:color w:val="000000"/>
                <w:kern w:val="0"/>
                <w:sz w:val="24"/>
                <w:szCs w:val="24"/>
                <w:u w:val="none"/>
                <w:lang w:val="en-US" w:eastAsia="zh-CN" w:bidi="ar"/>
              </w:rPr>
              <w:t>1.1旋翼数量：≥4；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1.2轴距：≤900mm；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1.3结构：可折叠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1.4最大额外负载：≥2.7kg；单云台减震球最大负重 ≥950g；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1.5飞行时间（空载）：≥55分钟；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1.6最大平飞速度：≥23m/s；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▲1.7最大飞行海拔高度：≥海拔5000m；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1.8抗风能力：≥12m/s；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1.9工作温度：-20℃至40℃；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▲1.10电池：飞行器支持电池热替换，更换电池过程中飞行器无需重启；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1.11变高飞行：备精准的地形变高飞行控制能力，地面端软件能够实时显示飞行器的速度、高度、飞行器朝向、云台朝向等信息；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1.12遥测距离（无干扰、无遮挡）：≥15km（FCC)；</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1.13机载GNSS模块：支持网络RTK作业，无需地面基站，垂直≤±0.1 m，水平≤±0.2 m,支持GPS、GLONASS、BEIDOU、GALILEO四种导航系统；</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1.14防护要求：支持防水、防尘,IP防护等级 ≥IP55；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1.15传感器冗余：飞行器具备双IMU（惯性测量单元）、双气压计、双指南针冗余；</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1.16自动避障：飞行器的前、后、上、下、左、右均具备双目视觉系统。探测到附近障碍物时，飞行器能通过地面站软件发出警示信息；距离障碍物距离较近时，飞行器能主动刹停；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▲1.17FPV摄像头：飞行器配置FPV摄像头，画面分辨率不低于1080p；</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▲1.18遥控器地面站：遥控器需具备7英寸，1080p及以上分辨率的显示屏，屏幕最高亮度至少达到 1200 cd/m2，支持通过HDMI接口输出相机画面或复制屏幕；遥控器和飞行器支持通过4G模块实现无人机的控制和图像视频传输。</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1.19飞行辅助界面：地面端软件能够实时显示飞行器的速度、高度、飞行器朝向、云台朝向等信息。地面端软件能够实时显示飞行器前、后、左、右的障碍物地图，并能够设置避障提醒距离，当距离内有障碍物时进行语音提醒；</w:t>
            </w:r>
          </w:p>
          <w:p w14:paraId="76BCB4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1.20无人机具备：降落保护、ADS-B功能、飞行器指示灯、飞行器夜航灯、飞行器补光灯、机臂到位检测</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1.21.提供至少1年机身同等价值额度坠机险，配合使用单位做好实名注册登记等工作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1.22 ▲若为经销商或代理，需提供厂家授权文件及售后承诺服务函并加盖厂家公章</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A63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飞行器*1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DJI带屏遥控器行业版*1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USB充电器*1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USB-C线*1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智能飞行电池*2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智能电池*1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桨叶（CW）*2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桨叶（CCW）*2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起落架*2备用摇杆防尘罩（对）*1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备用桨叶折叠固定件*2</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备用减震球*4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双A口USB线*1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视觉标定板*1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外包装箱*1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遥控器挂带*1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胶塞（套）*1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维修工具套装 电源线*1</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智能充电箱</w:t>
            </w:r>
          </w:p>
        </w:tc>
      </w:tr>
      <w:tr w14:paraId="068C9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2"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EB1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2</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5DE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中型四旋翼无人机三合一镜头</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36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3161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2593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1.尺寸：长≤180 毫米，宽≤150 毫米，高≤170 毫米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防护等级：≥IP54</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三轴云台：俯仰范围：≥-120°至60°，横滚范围：≥-45°至45°，平移范围：≥-300°至300°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4.负载应具备媒体加密、一键清除日志、在线任务录制、精准复拍等功能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5.负载应同时配备四个模组:广角相机变焦相机、激光测距仪、近红外补光灯；</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6.广角相机应具备≥1/2英寸CMOS，有效像素≥4800万，最大视频分辨率≥3840×2160@30fps；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7.变焦相机应具备≥1/2英寸 CMOS，有效像素≥4000万；最大视频分辨率≥3840×2160@30fps；</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 激光测距仪：波长≥905 纳米；测量范围包含但不限于3米至3000米；</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 最大变焦倍数≥400倍；混合光学变焦≥34倍；支持：指点对准、超清矩阵拍照、夜景模式、时间戳水印、智能拍照、视频预录制。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10.近红外补光灯：波长≥850 纳米；补光区域大小100 米处约直径8米圆形；</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 提供至少1年设备同等价值额度保险；</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 可加载于本项目的中型四旋翼行业无人机；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▲13. 若为经销商或代理，需提供厂家授权文件及售后承诺服务函并加盖厂家公章。</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A844">
            <w:pPr>
              <w:jc w:val="center"/>
              <w:rPr>
                <w:rFonts w:hint="eastAsia" w:asciiTheme="minorEastAsia" w:hAnsiTheme="minorEastAsia" w:eastAsiaTheme="minorEastAsia" w:cstheme="minorEastAsia"/>
                <w:i w:val="0"/>
                <w:iCs w:val="0"/>
                <w:color w:val="000000"/>
                <w:sz w:val="24"/>
                <w:szCs w:val="24"/>
                <w:u w:val="none"/>
              </w:rPr>
            </w:pPr>
          </w:p>
        </w:tc>
      </w:tr>
      <w:tr w14:paraId="6A600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2"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9E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2E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智能飞行电池</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C3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8A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组</w:t>
            </w:r>
          </w:p>
        </w:tc>
        <w:tc>
          <w:tcPr>
            <w:tcW w:w="5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926B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 容量≥5800mAh，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能量≥260Wh</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重量≤1.4kg</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 ▲4. 若为经销商或代理，需提供厂家授权文件及售后承诺服务函并加盖厂家公章</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D6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连同无人机自带一组，每架飞机3组</w:t>
            </w:r>
          </w:p>
        </w:tc>
      </w:tr>
      <w:tr w14:paraId="49E60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0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D94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4</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AB2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无人机喊话照明一体设备</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F5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CD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79D1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 尺寸/mm：≤L245*W230*H90；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 重量/g：≤560；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 总功率/W：≤96；</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 工作温度/°C:包含但不限于-20至+50；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 警示灯模式：包含但不限于红蓝爆闪、红灯爆闪、蓝灯爆闪等模式；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 喊话器声压：≥125dB@1m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 喊话器最大功率/W：≤30；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 有效广播距离：≥400m；</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 广播方式：包含但不限于实时喊话、录音上传、音频文件播放（音频格式MP3）、TTS（文本转语音）等模式；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 探照灯灯光通量/lm：≥5900；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 探照灯LED功率/W：≤60；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 探照灯FOV/°：≥13；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 探照距离/m：150、光斑直径/m：≥30、探照面积/㎡：≥900、中心光照度/Lux：≥6.3；</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探照距离/m：100、光斑直径/m：≥22.8、探照面积/㎡：≥407、中心光照度/Lux：≥15；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探照距离/m：50、光斑直径/m：≥11.4、探照面积/㎡：≥102、中心光照度/Lux：≥60；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 云台控转动范围：俯仰≥≥±35°、水平≥±35°、横滚≥±25°；</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 探照灯功能模式常亮模式、爆闪模式、亮度调节、云台角度调节、自动跟随相机、AI光斑居中；</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 提供厂家本项目授权文件和厂家售后承诺服务函并加盖厂家公章；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 提供公安部三所检测报告复印件并加盖厂家公章。</w:t>
            </w:r>
          </w:p>
        </w:tc>
        <w:tc>
          <w:tcPr>
            <w:tcW w:w="13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51305">
            <w:pPr>
              <w:jc w:val="center"/>
              <w:rPr>
                <w:rFonts w:hint="eastAsia" w:asciiTheme="minorEastAsia" w:hAnsiTheme="minorEastAsia" w:eastAsiaTheme="minorEastAsia" w:cstheme="minorEastAsia"/>
                <w:i w:val="0"/>
                <w:iCs w:val="0"/>
                <w:color w:val="000000"/>
                <w:sz w:val="24"/>
                <w:szCs w:val="24"/>
                <w:u w:val="none"/>
              </w:rPr>
            </w:pPr>
          </w:p>
        </w:tc>
      </w:tr>
      <w:tr w14:paraId="726A5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525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BA8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中型四旋翼行业无人机下置双云台挂架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492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C69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5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2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安装负载至飞行器底部，双云台组件防水等级可达IP44（参照IEC60529标准，仅搭配具备防水能力的负载时）</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B8D8">
            <w:pPr>
              <w:rPr>
                <w:rFonts w:hint="eastAsia" w:asciiTheme="minorEastAsia" w:hAnsiTheme="minorEastAsia" w:eastAsiaTheme="minorEastAsia" w:cstheme="minorEastAsia"/>
                <w:i w:val="0"/>
                <w:iCs w:val="0"/>
                <w:color w:val="000000"/>
                <w:sz w:val="24"/>
                <w:szCs w:val="24"/>
                <w:u w:val="none"/>
              </w:rPr>
            </w:pPr>
          </w:p>
        </w:tc>
      </w:tr>
      <w:tr w14:paraId="50E3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7"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F7D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6</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3670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图传增强模块</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DC6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BD8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个</w:t>
            </w:r>
          </w:p>
        </w:tc>
        <w:tc>
          <w:tcPr>
            <w:tcW w:w="5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331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设备接入无线网络，实现联网、增强图传。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增强图传：在原有图传的基础上，与 4G 网络共同协作，如原有图传信号受遮挡或干扰，用户仍可借助 4G 网络操控无人机，降低断开连接的几率</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FBCB">
            <w:pPr>
              <w:jc w:val="left"/>
              <w:rPr>
                <w:rFonts w:hint="eastAsia" w:asciiTheme="minorEastAsia" w:hAnsiTheme="minorEastAsia" w:eastAsiaTheme="minorEastAsia" w:cstheme="minorEastAsia"/>
                <w:b/>
                <w:bCs/>
                <w:i w:val="0"/>
                <w:iCs w:val="0"/>
                <w:color w:val="000000"/>
                <w:sz w:val="24"/>
                <w:szCs w:val="24"/>
                <w:u w:val="none"/>
              </w:rPr>
            </w:pPr>
          </w:p>
        </w:tc>
      </w:tr>
      <w:tr w14:paraId="76367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42"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F56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7</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3C6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道路交通事故勘察软件</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900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1ED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套</w:t>
            </w:r>
          </w:p>
        </w:tc>
        <w:tc>
          <w:tcPr>
            <w:tcW w:w="5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6F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符合国标：《道路交通事故现场图绘制》（GA 49-2014）；《道路交通事故现场图形符号》（GB/T 11797-2005）；《道路交通事故痕迹物证勘验》（GA 41-2014）；《基于多旋翼无人驾驶航空器的道路交通事故现场勘查系统》（GA/T1382-2018);《道路交通事故案卷文书》（GA40-2018).</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1.支持Windows、iOS、Android系统中至少一种，兼容多种主流硬件载体，显示语言为简体中文，运行稳定，操作简单，响应速度快，有清晰准确的操作提示。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2.具有一键起飞功能，4种飞行高度可供选择，确认后无人机自动起飞至所选高度并悬停。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3.具有指点飞行功能，无人机镜头应能自动调节至垂直向下，在图传画面中选取目标点，无人机自动飞至目标点正上方。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4.具备手势操作功能，单指、双指在屏幕中拖动操纵无人机前后左右运动及上升下降、机头方向旋转的功能。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5.具备自动返航功能，无人机可自动返回起飞点，完成着陆并停机。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6.在正俯视图传画面中选取地面一点，无人机将自动降落到指定位置，并停转电机。</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7.具备无人机照明设备的开关控制功能。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8.具有新建案件、浏览案件、修改案件、删除案件的数据管理功能。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9.具备权限管理功能，管理员用户能够添加、修改、删除操作人员，查看软件版本信息、硬件编号信息等，操作员信息与民警警号、单位关联，可设置差异化密码，通过管理员授权的操作人员才能操作软件。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10.具备图像自动拼接功能，可拼接图像的数量大于等于5张，拼接后的图像接边处应无明显缝隙或重影。</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11.能根据地面标尺长度或物体、标线、两点间距等实际长度制作比例尺，标定图像上的长度尺寸。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12.能对图像中事故现场元素的尺寸参数进行测量和标注，长度测量误差应符合《道路交通事故痕迹物证勘验》（GA 41-2014）的要求，应能对尺寸和文字标注的大小、颜色进行设置。</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13.具备设置多基准点、多基准线的功能。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14.能绘制现场比例图，具备常见的机动车、非机动车、人体、道路及安全设施、痕迹等图元符号，并符合《道路交通事故现场图形符号》（GB/T 11797-2005）的要求，能对图形符号进行移动、缩放和旋转等操作。</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15.能基于航摄图像、图像测量结果及图像标注信息制作符合《道路交通事故现场图绘制》（GA 49-2014）要求的现场实景记录图。</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16.能够设置各图元的线宽、文本字号等默认值，无需在绘制图元时单独修改。</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17.绘图定位方式符合《道路交通事故现场图绘制》（GA 49-2014）的要求，且具备从待测点到基准线和基准点的自动测距功能。</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18.具备草图识别功能，可根据用户手绘草图，自动列举标准图库中的相似图形作为参考，快速选取所需图元。</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19.带有自定义图元功能，将手绘图元符号保存至图元库中，便于再次使用时快速选取。</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20.具备预置道路功能，可预先将辖区内的道路置入系统，在事故现场直接调用，节约绘图时间。</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21.具备制作现场勘查笔录、询问笔录等功能，打印模板所见即所得，速度快、操作方便；具有多种打印模版，如横版、竖版、横版+网格、竖版+网格等。</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22.具备身份证扫描识别功能，可通过扫描当事人、证人等提供的身份证件自动记录相应的人员信息，无需手动填写，提高工作效率。</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23.程序运行稳定可靠，且具有自动保存功能，即使绘制过程中不慎退出软件，重新打开仍可继续绘制。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24.勘查绘图人员能利用配置的无线打印设备直接现场打印记录图及笔录文书。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25.具备新手指引功能，即使是初次使用软件也能快速了解操作步骤。</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26.若为经销商或代理，需提供厂家项目授权文件及售后承诺服务函并加盖厂家公章</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6F5F">
            <w:pPr>
              <w:jc w:val="center"/>
              <w:rPr>
                <w:rFonts w:hint="eastAsia" w:asciiTheme="minorEastAsia" w:hAnsiTheme="minorEastAsia" w:eastAsiaTheme="minorEastAsia" w:cstheme="minorEastAsia"/>
                <w:i w:val="0"/>
                <w:iCs w:val="0"/>
                <w:color w:val="000000"/>
                <w:sz w:val="24"/>
                <w:szCs w:val="24"/>
                <w:u w:val="none"/>
              </w:rPr>
            </w:pPr>
          </w:p>
        </w:tc>
      </w:tr>
      <w:tr w14:paraId="06B60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9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56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8</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53B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手持图形工作站</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273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294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038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存储容量：256GB</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屏幕尺寸：12英寸</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屏幕分辨率：2800 x 1840屏</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 xml:space="preserve">幕比例：3:2  </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USB端口：USB Type-C接口（支持传数据和充电）</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扬声器：6个</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视频播放时间：约14小时</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电池类型：锂离子聚合物电池</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25ACF">
            <w:pPr>
              <w:jc w:val="left"/>
              <w:rPr>
                <w:rFonts w:hint="eastAsia" w:asciiTheme="minorEastAsia" w:hAnsiTheme="minorEastAsia" w:eastAsiaTheme="minorEastAsia" w:cstheme="minorEastAsia"/>
                <w:b/>
                <w:bCs/>
                <w:i w:val="0"/>
                <w:iCs w:val="0"/>
                <w:color w:val="000000"/>
                <w:sz w:val="24"/>
                <w:szCs w:val="24"/>
                <w:u w:val="none"/>
              </w:rPr>
            </w:pPr>
          </w:p>
        </w:tc>
      </w:tr>
      <w:tr w14:paraId="38F5A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5"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67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9</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4E6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便携式打印机</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CE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AA6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79A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1.墨仓式打印机；最高分辨率不低于1200×1200dpi；最大打印幅面不低于A4；需能支持无线网络打印。</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2.打印内存不低于32MB DDR3，打印负荷不低于200页/月，接口类型为USB3.0。</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3.介质类型包括普通纸张，其他喷墨相纸，其他亚光喷墨纸，其他光面喷墨纸，普通厚纸，普通薄纸/再生纸；介质尺寸包括A4，A5，A6，B5(ISO)，B5（JIS），信封（A2，C5，C6，DL），相纸（10X15厘米，L，2L）。</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A9939">
            <w:pPr>
              <w:jc w:val="left"/>
              <w:rPr>
                <w:rFonts w:hint="eastAsia" w:asciiTheme="minorEastAsia" w:hAnsiTheme="minorEastAsia" w:eastAsiaTheme="minorEastAsia" w:cstheme="minorEastAsia"/>
                <w:b/>
                <w:bCs/>
                <w:i w:val="0"/>
                <w:iCs w:val="0"/>
                <w:color w:val="000000"/>
                <w:sz w:val="24"/>
                <w:szCs w:val="24"/>
                <w:u w:val="none"/>
              </w:rPr>
            </w:pPr>
          </w:p>
        </w:tc>
      </w:tr>
      <w:tr w14:paraId="62CA3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4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34E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10</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C65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5G编码器</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0960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3</w:t>
            </w:r>
          </w:p>
        </w:tc>
        <w:tc>
          <w:tcPr>
            <w:tcW w:w="5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CD3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台</w:t>
            </w:r>
          </w:p>
        </w:tc>
        <w:tc>
          <w:tcPr>
            <w:tcW w:w="54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E0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1、设备采用铝型材材质、轻便化，适合随身携带；</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2、需支持H.264/H.265视频编码，支持双流；</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3、支持5G全网通，数据传输便捷；</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4、支持通过GB28181国标协议和监控平台对接，进行实时视频回传</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5、外置5800mAH锂电池，支持快速拆换；                                                                                       6、无缝进入公安交管集成指挥平台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6E9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实现与公安交管集成指挥平台等相关平台的对接，视频图像实时回传至指挥中心</w:t>
            </w:r>
          </w:p>
        </w:tc>
      </w:tr>
      <w:tr w14:paraId="3EDF41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7" w:hRule="atLeast"/>
        </w:trPr>
        <w:tc>
          <w:tcPr>
            <w:tcW w:w="925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3A7DAA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提供4天免费上门技术培训服务，直到客户掌握无人机及操作软件功能为止。终身提供7*24小时免费在线技术支持服务，承诺若设备寄修期间，提供不低于寄修产品功能的设备给甲方使用，直到产品维修返回。提供每季度上门保养服务。</w:t>
            </w:r>
            <w:r>
              <w:rPr>
                <w:rFonts w:hint="eastAsia" w:asciiTheme="minorEastAsia" w:hAnsiTheme="minorEastAsia" w:eastAsiaTheme="minorEastAsia" w:cstheme="minorEastAsia"/>
                <w:i w:val="0"/>
                <w:iCs w:val="0"/>
                <w:color w:val="000000"/>
                <w:kern w:val="0"/>
                <w:sz w:val="24"/>
                <w:szCs w:val="24"/>
                <w:u w:val="none"/>
                <w:lang w:val="en-US" w:eastAsia="zh-CN" w:bidi="ar"/>
              </w:rPr>
              <w:br w:type="textWrapping"/>
            </w:r>
            <w:r>
              <w:rPr>
                <w:rFonts w:hint="eastAsia" w:asciiTheme="minorEastAsia" w:hAnsiTheme="minorEastAsia" w:eastAsiaTheme="minorEastAsia" w:cstheme="minorEastAsia"/>
                <w:i w:val="0"/>
                <w:iCs w:val="0"/>
                <w:color w:val="000000"/>
                <w:kern w:val="0"/>
                <w:sz w:val="24"/>
                <w:szCs w:val="24"/>
                <w:u w:val="none"/>
                <w:lang w:val="en-US" w:eastAsia="zh-CN" w:bidi="ar"/>
              </w:rPr>
              <w:t>关于保险：在无人机激活第一年内，提供与设备等价值保额的保险，在保险额度内不限次数的免费维修服务。保险期间双向免费物流。</w:t>
            </w:r>
          </w:p>
        </w:tc>
      </w:tr>
    </w:tbl>
    <w:p w14:paraId="6410FD04">
      <w:pPr>
        <w:widowControl/>
        <w:jc w:val="left"/>
        <w:rPr>
          <w:rFonts w:ascii="宋体" w:hAnsi="宋体" w:cs="宋体"/>
          <w:sz w:val="24"/>
        </w:rPr>
      </w:pPr>
    </w:p>
    <w:p w14:paraId="1D6FBA4E">
      <w:pPr>
        <w:spacing w:line="360" w:lineRule="auto"/>
        <w:ind w:firstLine="482" w:firstLineChars="200"/>
        <w:rPr>
          <w:rFonts w:ascii="宋体" w:hAnsi="宋体" w:cs="宋体"/>
          <w:b/>
          <w:sz w:val="24"/>
        </w:rPr>
      </w:pPr>
      <w:r>
        <w:rPr>
          <w:rFonts w:hint="eastAsia" w:ascii="宋体" w:hAnsi="宋体" w:cs="宋体"/>
          <w:b/>
          <w:sz w:val="24"/>
        </w:rPr>
        <w:t>★要求：</w:t>
      </w:r>
    </w:p>
    <w:p w14:paraId="25A62D88">
      <w:pPr>
        <w:spacing w:line="360" w:lineRule="auto"/>
        <w:ind w:firstLine="482" w:firstLineChars="200"/>
        <w:rPr>
          <w:rFonts w:ascii="宋体" w:hAnsi="宋体" w:cs="宋体"/>
          <w:sz w:val="24"/>
        </w:rPr>
      </w:pPr>
      <w:r>
        <w:rPr>
          <w:rFonts w:hint="eastAsia" w:ascii="宋体" w:hAnsi="宋体" w:cs="宋体"/>
          <w:sz w:val="24"/>
        </w:rPr>
        <w:t>★规格描述内的★参数均为核心参数，若不满足会导致</w:t>
      </w:r>
      <w:r>
        <w:rPr>
          <w:rFonts w:hint="eastAsia" w:ascii="宋体" w:hAnsi="宋体" w:cs="宋体"/>
          <w:sz w:val="24"/>
          <w:lang w:val="en-US" w:eastAsia="zh-CN"/>
        </w:rPr>
        <w:t>投标无效</w:t>
      </w:r>
      <w:r>
        <w:rPr>
          <w:rFonts w:hint="eastAsia" w:ascii="宋体" w:hAnsi="宋体" w:cs="宋体"/>
          <w:sz w:val="24"/>
        </w:rPr>
        <w:t>。</w:t>
      </w:r>
    </w:p>
    <w:p w14:paraId="3DA043FA">
      <w:pPr>
        <w:spacing w:line="360" w:lineRule="auto"/>
        <w:ind w:firstLine="482" w:firstLineChars="200"/>
        <w:rPr>
          <w:rFonts w:ascii="宋体" w:hAnsi="宋体" w:cs="宋体"/>
          <w:sz w:val="24"/>
        </w:rPr>
      </w:pPr>
      <w:r>
        <w:rPr>
          <w:rFonts w:hint="eastAsia" w:ascii="宋体" w:hAnsi="宋体" w:cs="宋体"/>
          <w:b/>
          <w:sz w:val="24"/>
        </w:rPr>
        <w:t>3.5</w:t>
      </w:r>
      <w:r>
        <w:rPr>
          <w:rFonts w:hint="eastAsia" w:ascii="宋体" w:hAnsi="宋体" w:cs="宋体"/>
          <w:b/>
          <w:bCs/>
          <w:sz w:val="24"/>
        </w:rPr>
        <w:t>售后服务：</w:t>
      </w:r>
    </w:p>
    <w:p w14:paraId="162F5DD0">
      <w:pPr>
        <w:kinsoku w:val="0"/>
        <w:overflowPunct w:val="0"/>
        <w:autoSpaceDE w:val="0"/>
        <w:autoSpaceDN w:val="0"/>
        <w:spacing w:line="360" w:lineRule="auto"/>
        <w:ind w:firstLine="482" w:firstLineChars="200"/>
        <w:rPr>
          <w:rFonts w:ascii="宋体" w:hAnsi="宋体" w:cs="宋体"/>
          <w:spacing w:val="-6"/>
          <w:sz w:val="24"/>
          <w:shd w:val="clear" w:color="auto" w:fill="FFFFFF"/>
        </w:rPr>
      </w:pPr>
      <w:r>
        <w:rPr>
          <w:rFonts w:hint="eastAsia" w:ascii="宋体" w:hAnsi="宋体" w:cs="宋体"/>
          <w:sz w:val="24"/>
        </w:rPr>
        <w:t>服务电话7*24小时不关机，提供30分钟响应，2小时内到达现场，5小时带备件解决问题；一般类故障：1至2天内修复；重大类故障3至5天内修复，未在约定时间内修复的需提供备机使用。</w:t>
      </w:r>
    </w:p>
    <w:p w14:paraId="3A1C37E7">
      <w:pPr>
        <w:spacing w:line="360" w:lineRule="auto"/>
        <w:ind w:firstLine="336"/>
        <w:rPr>
          <w:rFonts w:ascii="宋体" w:hAnsi="宋体" w:cs="宋体"/>
          <w:b/>
          <w:bCs/>
          <w:sz w:val="24"/>
          <w:shd w:val="clear" w:color="auto" w:fill="FFFFFF"/>
        </w:rPr>
      </w:pPr>
      <w:r>
        <w:rPr>
          <w:rFonts w:hint="eastAsia" w:ascii="宋体" w:hAnsi="宋体" w:cs="宋体"/>
          <w:b/>
          <w:bCs/>
          <w:sz w:val="24"/>
          <w:shd w:val="clear" w:color="auto" w:fill="FFFFFF"/>
        </w:rPr>
        <w:t>（四）采购标的数量、采购项目交付或者实施的时间和地点；</w:t>
      </w:r>
    </w:p>
    <w:p w14:paraId="178C3794">
      <w:pPr>
        <w:spacing w:line="360" w:lineRule="auto"/>
        <w:ind w:firstLine="336"/>
        <w:rPr>
          <w:rFonts w:ascii="宋体" w:hAnsi="宋体" w:cs="宋体"/>
          <w:bCs/>
          <w:sz w:val="24"/>
          <w:shd w:val="clear" w:color="auto" w:fill="FFFFFF"/>
        </w:rPr>
      </w:pPr>
      <w:r>
        <w:rPr>
          <w:rFonts w:hint="eastAsia" w:ascii="宋体" w:hAnsi="宋体" w:cs="宋体"/>
          <w:bCs/>
          <w:sz w:val="24"/>
          <w:shd w:val="clear" w:color="auto" w:fill="FFFFFF"/>
        </w:rPr>
        <w:t>1、采购标的数量：1项</w:t>
      </w:r>
    </w:p>
    <w:p w14:paraId="349B6A09">
      <w:pPr>
        <w:spacing w:line="360" w:lineRule="auto"/>
        <w:ind w:firstLine="336"/>
        <w:rPr>
          <w:rFonts w:hint="eastAsia" w:ascii="宋体" w:hAnsi="宋体" w:eastAsia="宋体" w:cs="宋体"/>
          <w:bCs/>
          <w:sz w:val="24"/>
          <w:shd w:val="clear" w:color="auto" w:fill="FFFFFF"/>
          <w:lang w:eastAsia="zh-CN"/>
        </w:rPr>
      </w:pPr>
      <w:r>
        <w:rPr>
          <w:rFonts w:hint="eastAsia" w:ascii="宋体" w:hAnsi="宋体" w:cs="宋体"/>
          <w:bCs/>
          <w:sz w:val="24"/>
          <w:shd w:val="clear" w:color="auto" w:fill="FFFFFF"/>
        </w:rPr>
        <w:t>2、交</w:t>
      </w:r>
      <w:r>
        <w:rPr>
          <w:rFonts w:hint="eastAsia" w:ascii="宋体" w:hAnsi="宋体" w:cs="宋体"/>
          <w:bCs/>
          <w:sz w:val="24"/>
          <w:shd w:val="clear" w:color="auto" w:fill="FFFFFF"/>
          <w:lang w:val="en-US" w:eastAsia="zh-CN"/>
        </w:rPr>
        <w:t>货</w:t>
      </w:r>
      <w:r>
        <w:rPr>
          <w:rFonts w:hint="eastAsia" w:ascii="宋体" w:hAnsi="宋体" w:cs="宋体"/>
          <w:bCs/>
          <w:sz w:val="24"/>
          <w:shd w:val="clear" w:color="auto" w:fill="FFFFFF"/>
        </w:rPr>
        <w:t>地点：</w:t>
      </w:r>
      <w:r>
        <w:rPr>
          <w:rFonts w:hint="eastAsia" w:ascii="宋体" w:hAnsi="宋体" w:cs="宋体"/>
          <w:bCs/>
          <w:sz w:val="24"/>
          <w:shd w:val="clear" w:color="auto" w:fill="FFFFFF"/>
          <w:lang w:eastAsia="zh-CN"/>
        </w:rPr>
        <w:t>昭通市公安局交通管理支队</w:t>
      </w:r>
    </w:p>
    <w:p w14:paraId="1E9DC112">
      <w:pPr>
        <w:spacing w:line="360" w:lineRule="auto"/>
        <w:ind w:firstLine="336"/>
        <w:rPr>
          <w:rFonts w:ascii="宋体" w:hAnsi="宋体" w:cs="宋体"/>
          <w:bCs/>
          <w:sz w:val="24"/>
          <w:shd w:val="clear" w:color="auto" w:fill="FFFFFF"/>
        </w:rPr>
      </w:pPr>
      <w:r>
        <w:rPr>
          <w:rFonts w:hint="eastAsia" w:ascii="宋体" w:hAnsi="宋体" w:cs="宋体"/>
          <w:bCs/>
          <w:sz w:val="24"/>
          <w:shd w:val="clear" w:color="auto" w:fill="FFFFFF"/>
        </w:rPr>
        <w:t>3、交付时间：</w:t>
      </w:r>
      <w:r>
        <w:rPr>
          <w:rFonts w:hint="eastAsia" w:ascii="宋体" w:hAnsi="宋体" w:cs="宋体"/>
          <w:bCs/>
          <w:sz w:val="24"/>
          <w:shd w:val="clear" w:color="auto" w:fill="FFFFFF"/>
          <w:lang w:val="en-US" w:eastAsia="zh-CN"/>
        </w:rPr>
        <w:t>签订合同后</w:t>
      </w:r>
      <w:r>
        <w:rPr>
          <w:rFonts w:hint="eastAsia" w:ascii="宋体" w:hAnsi="宋体" w:cs="宋体"/>
          <w:bCs/>
          <w:sz w:val="24"/>
          <w:highlight w:val="none"/>
          <w:shd w:val="clear" w:color="auto" w:fill="FFFFFF"/>
          <w:lang w:val="en-US" w:eastAsia="zh-CN"/>
        </w:rPr>
        <w:t>10</w:t>
      </w:r>
      <w:r>
        <w:rPr>
          <w:rFonts w:hint="eastAsia" w:ascii="宋体" w:hAnsi="宋体" w:cs="宋体"/>
          <w:bCs/>
          <w:sz w:val="24"/>
          <w:highlight w:val="none"/>
          <w:shd w:val="clear" w:color="auto" w:fill="FFFFFF"/>
        </w:rPr>
        <w:t>日历天内交付并调试安装完成。</w:t>
      </w:r>
    </w:p>
    <w:p w14:paraId="29088CD6">
      <w:pPr>
        <w:spacing w:line="360" w:lineRule="auto"/>
        <w:ind w:firstLine="336"/>
        <w:rPr>
          <w:rFonts w:ascii="宋体" w:hAnsi="宋体" w:cs="宋体"/>
          <w:b/>
          <w:bCs/>
          <w:sz w:val="24"/>
          <w:shd w:val="clear" w:color="auto" w:fill="FFFFFF"/>
        </w:rPr>
      </w:pPr>
      <w:r>
        <w:rPr>
          <w:rFonts w:hint="eastAsia" w:ascii="宋体" w:hAnsi="宋体" w:cs="宋体"/>
          <w:b/>
          <w:bCs/>
          <w:sz w:val="24"/>
          <w:shd w:val="clear" w:color="auto" w:fill="FFFFFF"/>
        </w:rPr>
        <w:t>（五）采购标的需满足的服务标准、期限、效率等要求；</w:t>
      </w:r>
    </w:p>
    <w:p w14:paraId="1602BDB5">
      <w:pPr>
        <w:spacing w:line="360" w:lineRule="auto"/>
        <w:ind w:firstLine="336"/>
        <w:rPr>
          <w:rFonts w:ascii="宋体" w:hAnsi="宋体" w:cs="宋体"/>
          <w:bCs/>
          <w:sz w:val="24"/>
          <w:shd w:val="clear" w:color="auto" w:fill="FFFFFF"/>
        </w:rPr>
      </w:pPr>
      <w:r>
        <w:rPr>
          <w:rFonts w:hint="eastAsia" w:ascii="宋体" w:hAnsi="宋体" w:cs="宋体"/>
          <w:sz w:val="24"/>
        </w:rPr>
        <w:t>严格执行现行国家标准、行业标准、地方标准或其它标准规范，满足采购人要求</w:t>
      </w:r>
      <w:r>
        <w:rPr>
          <w:rFonts w:hint="eastAsia" w:ascii="宋体" w:hAnsi="宋体" w:cs="宋体"/>
          <w:bCs/>
          <w:sz w:val="24"/>
          <w:shd w:val="clear" w:color="auto" w:fill="FFFFFF"/>
        </w:rPr>
        <w:t>。</w:t>
      </w:r>
    </w:p>
    <w:p w14:paraId="1A908F56">
      <w:pPr>
        <w:numPr>
          <w:ilvl w:val="0"/>
          <w:numId w:val="14"/>
        </w:numPr>
        <w:spacing w:line="360" w:lineRule="auto"/>
        <w:ind w:firstLine="336"/>
        <w:rPr>
          <w:rFonts w:ascii="宋体" w:hAnsi="宋体" w:cs="宋体"/>
          <w:b/>
          <w:bCs/>
          <w:sz w:val="24"/>
          <w:shd w:val="clear" w:color="auto" w:fill="FFFFFF"/>
        </w:rPr>
      </w:pPr>
      <w:r>
        <w:rPr>
          <w:rFonts w:hint="eastAsia" w:ascii="宋体" w:hAnsi="宋体" w:cs="宋体"/>
          <w:b/>
          <w:bCs/>
          <w:sz w:val="24"/>
          <w:shd w:val="clear" w:color="auto" w:fill="FFFFFF"/>
        </w:rPr>
        <w:t>采购标的验收标准；</w:t>
      </w:r>
    </w:p>
    <w:p w14:paraId="092B22F3">
      <w:pPr>
        <w:spacing w:line="360" w:lineRule="auto"/>
        <w:ind w:firstLine="482" w:firstLineChars="200"/>
        <w:rPr>
          <w:rFonts w:ascii="宋体" w:hAnsi="宋体" w:cs="宋体"/>
          <w:bCs/>
          <w:sz w:val="24"/>
          <w:shd w:val="clear" w:color="auto" w:fill="FFFFFF"/>
        </w:rPr>
      </w:pPr>
      <w:r>
        <w:rPr>
          <w:rFonts w:hint="eastAsia" w:ascii="宋体" w:hAnsi="宋体" w:cs="宋体"/>
          <w:sz w:val="24"/>
        </w:rPr>
        <w:t>满足采购人验收要求，确保一次性验收合格。</w:t>
      </w:r>
    </w:p>
    <w:p w14:paraId="1282EAB9">
      <w:pPr>
        <w:spacing w:line="360" w:lineRule="auto"/>
        <w:ind w:firstLine="336"/>
        <w:rPr>
          <w:rFonts w:ascii="宋体" w:hAnsi="宋体" w:cs="宋体"/>
          <w:sz w:val="24"/>
        </w:rPr>
      </w:pPr>
      <w:r>
        <w:rPr>
          <w:rFonts w:hint="eastAsia" w:ascii="宋体" w:hAnsi="宋体" w:cs="宋体"/>
          <w:b/>
          <w:bCs/>
          <w:sz w:val="24"/>
          <w:shd w:val="clear" w:color="auto" w:fill="FFFFFF"/>
        </w:rPr>
        <w:t>（七）采购标的其他技术、服务等要求。</w:t>
      </w:r>
    </w:p>
    <w:p w14:paraId="2FAD7CDB">
      <w:pPr>
        <w:autoSpaceDE w:val="0"/>
        <w:spacing w:line="480" w:lineRule="exact"/>
        <w:ind w:firstLine="458" w:firstLineChars="200"/>
        <w:jc w:val="left"/>
        <w:rPr>
          <w:rFonts w:ascii="宋体" w:hAnsi="宋体"/>
          <w:sz w:val="24"/>
          <w:shd w:val="clear" w:color="auto" w:fill="FFFFFF"/>
        </w:rPr>
      </w:pPr>
      <w:r>
        <w:rPr>
          <w:rFonts w:hint="eastAsia" w:ascii="宋体" w:hAnsi="宋体" w:cs="宋体"/>
          <w:bCs/>
          <w:spacing w:val="-6"/>
          <w:sz w:val="24"/>
          <w:shd w:val="clear" w:color="auto" w:fill="FFFFFF"/>
        </w:rPr>
        <w:t>无。</w:t>
      </w:r>
    </w:p>
    <w:p w14:paraId="346C6CF0">
      <w:r>
        <w:br w:type="page"/>
      </w:r>
    </w:p>
    <w:tbl>
      <w:tblPr>
        <w:tblStyle w:val="38"/>
        <w:tblW w:w="499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9"/>
        <w:gridCol w:w="2563"/>
        <w:gridCol w:w="749"/>
        <w:gridCol w:w="554"/>
        <w:gridCol w:w="284"/>
        <w:gridCol w:w="1588"/>
        <w:gridCol w:w="728"/>
        <w:gridCol w:w="917"/>
        <w:gridCol w:w="1362"/>
      </w:tblGrid>
      <w:tr w14:paraId="083A5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9" w:hRule="atLeast"/>
        </w:trPr>
        <w:tc>
          <w:tcPr>
            <w:tcW w:w="5000" w:type="pct"/>
            <w:gridSpan w:val="9"/>
            <w:tcBorders>
              <w:top w:val="nil"/>
              <w:left w:val="nil"/>
              <w:bottom w:val="nil"/>
              <w:right w:val="nil"/>
            </w:tcBorders>
            <w:noWrap/>
            <w:vAlign w:val="center"/>
          </w:tcPr>
          <w:p w14:paraId="79E94F77">
            <w:pPr>
              <w:keepNext w:val="0"/>
              <w:keepLines w:val="0"/>
              <w:widowControl/>
              <w:suppressLineNumbers w:val="0"/>
              <w:jc w:val="center"/>
              <w:textAlignment w:val="center"/>
              <w:rPr>
                <w:rFonts w:hint="eastAsia" w:ascii="宋体" w:hAnsi="宋体" w:eastAsia="宋体" w:cs="宋体"/>
                <w:b/>
                <w:bCs/>
                <w:i w:val="0"/>
                <w:iCs w:val="0"/>
                <w:color w:val="000000"/>
                <w:sz w:val="48"/>
                <w:szCs w:val="48"/>
                <w:highlight w:val="none"/>
                <w:u w:val="none"/>
              </w:rPr>
            </w:pPr>
            <w:r>
              <w:rPr>
                <w:rFonts w:hint="eastAsia" w:ascii="宋体" w:hAnsi="宋体" w:cs="宋体"/>
                <w:b/>
                <w:bCs/>
                <w:i w:val="0"/>
                <w:iCs w:val="0"/>
                <w:color w:val="000000"/>
                <w:kern w:val="0"/>
                <w:sz w:val="48"/>
                <w:szCs w:val="48"/>
                <w:highlight w:val="none"/>
                <w:u w:val="none"/>
                <w:lang w:val="en-US" w:eastAsia="zh-CN" w:bidi="ar"/>
              </w:rPr>
              <w:t>谈判</w:t>
            </w:r>
            <w:r>
              <w:rPr>
                <w:rFonts w:hint="eastAsia" w:ascii="宋体" w:hAnsi="宋体" w:eastAsia="宋体" w:cs="宋体"/>
                <w:b/>
                <w:bCs/>
                <w:i w:val="0"/>
                <w:iCs w:val="0"/>
                <w:color w:val="000000"/>
                <w:kern w:val="0"/>
                <w:sz w:val="48"/>
                <w:szCs w:val="48"/>
                <w:highlight w:val="none"/>
                <w:u w:val="none"/>
                <w:lang w:val="en-US" w:eastAsia="zh-CN" w:bidi="ar"/>
              </w:rPr>
              <w:t>承诺及二次报价书</w:t>
            </w:r>
          </w:p>
        </w:tc>
      </w:tr>
      <w:tr w14:paraId="6FECB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5000" w:type="pct"/>
            <w:gridSpan w:val="9"/>
            <w:tcBorders>
              <w:top w:val="nil"/>
              <w:left w:val="nil"/>
              <w:bottom w:val="nil"/>
              <w:right w:val="nil"/>
            </w:tcBorders>
            <w:noWrap w:val="0"/>
            <w:vAlign w:val="center"/>
          </w:tcPr>
          <w:p w14:paraId="583A4287">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项目名称：</w:t>
            </w:r>
          </w:p>
        </w:tc>
      </w:tr>
      <w:tr w14:paraId="60F8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2433" w:type="pct"/>
            <w:gridSpan w:val="4"/>
            <w:tcBorders>
              <w:top w:val="nil"/>
              <w:left w:val="nil"/>
              <w:bottom w:val="nil"/>
              <w:right w:val="nil"/>
            </w:tcBorders>
            <w:noWrap/>
            <w:vAlign w:val="center"/>
          </w:tcPr>
          <w:p w14:paraId="1EBE2635">
            <w:pP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项目编号：</w:t>
            </w:r>
          </w:p>
        </w:tc>
        <w:tc>
          <w:tcPr>
            <w:tcW w:w="2566" w:type="pct"/>
            <w:gridSpan w:val="5"/>
            <w:tcBorders>
              <w:top w:val="nil"/>
              <w:left w:val="nil"/>
              <w:bottom w:val="nil"/>
              <w:right w:val="nil"/>
            </w:tcBorders>
            <w:noWrap/>
            <w:vAlign w:val="bottom"/>
          </w:tcPr>
          <w:p w14:paraId="28E9741B">
            <w:pPr>
              <w:keepNext w:val="0"/>
              <w:keepLines w:val="0"/>
              <w:widowControl/>
              <w:suppressLineNumbers w:val="0"/>
              <w:jc w:val="righ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日期：202</w:t>
            </w:r>
            <w:r>
              <w:rPr>
                <w:rFonts w:hint="eastAsia" w:ascii="宋体" w:hAnsi="宋体" w:cs="宋体"/>
                <w:b/>
                <w:bCs/>
                <w:i w:val="0"/>
                <w:iCs w:val="0"/>
                <w:color w:val="000000"/>
                <w:kern w:val="0"/>
                <w:sz w:val="24"/>
                <w:szCs w:val="24"/>
                <w:highlight w:val="none"/>
                <w:u w:val="none"/>
                <w:lang w:val="en-US" w:eastAsia="zh-CN" w:bidi="ar"/>
              </w:rPr>
              <w:t>5</w:t>
            </w:r>
            <w:r>
              <w:rPr>
                <w:rFonts w:hint="eastAsia" w:ascii="宋体" w:hAnsi="宋体" w:eastAsia="宋体" w:cs="宋体"/>
                <w:b/>
                <w:bCs/>
                <w:i w:val="0"/>
                <w:iCs w:val="0"/>
                <w:color w:val="000000"/>
                <w:kern w:val="0"/>
                <w:sz w:val="24"/>
                <w:szCs w:val="24"/>
                <w:highlight w:val="none"/>
                <w:u w:val="none"/>
                <w:lang w:val="en-US" w:eastAsia="zh-CN" w:bidi="ar"/>
              </w:rPr>
              <w:t>年   月   日</w:t>
            </w:r>
          </w:p>
        </w:tc>
      </w:tr>
      <w:tr w14:paraId="0C964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14:paraId="40F2DE8B">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i w:val="0"/>
                <w:iCs w:val="0"/>
                <w:color w:val="000000"/>
                <w:kern w:val="0"/>
                <w:sz w:val="24"/>
                <w:szCs w:val="24"/>
                <w:highlight w:val="none"/>
                <w:u w:val="none"/>
                <w:lang w:val="en-US" w:eastAsia="zh-CN" w:bidi="ar"/>
              </w:rPr>
              <w:t>供应商名称（</w:t>
            </w:r>
            <w:r>
              <w:rPr>
                <w:rFonts w:hint="eastAsia" w:ascii="宋体" w:hAnsi="宋体" w:cs="宋体"/>
                <w:b/>
                <w:bCs/>
                <w:i w:val="0"/>
                <w:iCs w:val="0"/>
                <w:color w:val="000000"/>
                <w:kern w:val="0"/>
                <w:sz w:val="24"/>
                <w:szCs w:val="24"/>
                <w:highlight w:val="none"/>
                <w:u w:val="none"/>
                <w:lang w:val="en-US" w:eastAsia="zh-CN" w:bidi="ar"/>
              </w:rPr>
              <w:t>加盖电子签章</w:t>
            </w:r>
            <w:r>
              <w:rPr>
                <w:rFonts w:hint="eastAsia" w:ascii="宋体" w:hAnsi="宋体" w:eastAsia="宋体" w:cs="宋体"/>
                <w:b/>
                <w:bCs/>
                <w:i w:val="0"/>
                <w:iCs w:val="0"/>
                <w:color w:val="000000"/>
                <w:kern w:val="0"/>
                <w:sz w:val="24"/>
                <w:szCs w:val="24"/>
                <w:highlight w:val="none"/>
                <w:u w:val="none"/>
                <w:lang w:val="en-US" w:eastAsia="zh-CN" w:bidi="ar"/>
              </w:rPr>
              <w:t>或</w:t>
            </w:r>
            <w:r>
              <w:rPr>
                <w:rFonts w:hint="eastAsia" w:ascii="宋体" w:hAnsi="宋体" w:cs="宋体"/>
                <w:b/>
                <w:bCs/>
                <w:i w:val="0"/>
                <w:iCs w:val="0"/>
                <w:color w:val="000000"/>
                <w:kern w:val="0"/>
                <w:sz w:val="24"/>
                <w:szCs w:val="24"/>
                <w:highlight w:val="none"/>
                <w:u w:val="none"/>
                <w:lang w:val="en-US" w:eastAsia="zh-CN" w:bidi="ar"/>
              </w:rPr>
              <w:t>公</w:t>
            </w:r>
            <w:r>
              <w:rPr>
                <w:rFonts w:hint="eastAsia" w:ascii="宋体" w:hAnsi="宋体" w:eastAsia="宋体" w:cs="宋体"/>
                <w:b/>
                <w:bCs/>
                <w:i w:val="0"/>
                <w:iCs w:val="0"/>
                <w:color w:val="000000"/>
                <w:kern w:val="0"/>
                <w:sz w:val="24"/>
                <w:szCs w:val="24"/>
                <w:highlight w:val="none"/>
                <w:u w:val="none"/>
                <w:lang w:val="en-US" w:eastAsia="zh-CN" w:bidi="ar"/>
              </w:rPr>
              <w:t>章）：</w:t>
            </w:r>
          </w:p>
        </w:tc>
      </w:tr>
      <w:tr w14:paraId="5E063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5000" w:type="pct"/>
            <w:gridSpan w:val="9"/>
            <w:tcBorders>
              <w:top w:val="single" w:color="000000" w:sz="4" w:space="0"/>
              <w:left w:val="single" w:color="000000" w:sz="4" w:space="0"/>
              <w:bottom w:val="single" w:color="000000" w:sz="4" w:space="0"/>
              <w:right w:val="single" w:color="000000" w:sz="4" w:space="0"/>
            </w:tcBorders>
            <w:noWrap/>
            <w:vAlign w:val="center"/>
          </w:tcPr>
          <w:p w14:paraId="247AA5D2">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rPr>
            </w:pPr>
            <w:r>
              <w:rPr>
                <w:rFonts w:hint="eastAsia" w:ascii="宋体" w:hAnsi="宋体" w:eastAsia="宋体" w:cs="宋体"/>
                <w:b/>
                <w:bCs/>
                <w:sz w:val="24"/>
                <w:szCs w:val="24"/>
                <w:highlight w:val="none"/>
                <w:lang w:val="en-US" w:eastAsia="zh-CN" w:bidi="ar"/>
              </w:rPr>
              <w:t>法定代表人或授权代表（签字或签章）：</w:t>
            </w:r>
            <w:r>
              <w:rPr>
                <w:rStyle w:val="83"/>
                <w:rFonts w:hint="eastAsia" w:ascii="宋体" w:hAnsi="宋体" w:eastAsia="宋体" w:cs="宋体"/>
                <w:b/>
                <w:bCs/>
                <w:sz w:val="24"/>
                <w:szCs w:val="24"/>
                <w:highlight w:val="none"/>
                <w:lang w:val="en-US" w:eastAsia="zh-CN" w:bidi="ar"/>
              </w:rPr>
              <w:t xml:space="preserve"> </w:t>
            </w:r>
            <w:r>
              <w:rPr>
                <w:rStyle w:val="83"/>
                <w:rFonts w:hint="eastAsia" w:ascii="宋体" w:hAnsi="宋体" w:eastAsia="宋体" w:cs="宋体"/>
                <w:sz w:val="24"/>
                <w:szCs w:val="24"/>
                <w:highlight w:val="none"/>
                <w:lang w:val="en-US" w:eastAsia="zh-CN" w:bidi="ar"/>
              </w:rPr>
              <w:t xml:space="preserve">                                                                     </w:t>
            </w:r>
          </w:p>
        </w:tc>
      </w:tr>
      <w:tr w14:paraId="2CF04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5000" w:type="pct"/>
            <w:gridSpan w:val="9"/>
            <w:vMerge w:val="restart"/>
            <w:tcBorders>
              <w:top w:val="single" w:color="000000" w:sz="4" w:space="0"/>
              <w:left w:val="single" w:color="000000" w:sz="4" w:space="0"/>
              <w:bottom w:val="single" w:color="000000" w:sz="4" w:space="0"/>
              <w:right w:val="single" w:color="000000" w:sz="4" w:space="0"/>
            </w:tcBorders>
            <w:noWrap w:val="0"/>
            <w:vAlign w:val="top"/>
          </w:tcPr>
          <w:p w14:paraId="1F294664">
            <w:pPr>
              <w:keepNext w:val="0"/>
              <w:keepLines w:val="0"/>
              <w:widowControl/>
              <w:suppressLineNumbers w:val="0"/>
              <w:jc w:val="left"/>
              <w:textAlignment w:val="top"/>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澄清或承诺内容：</w:t>
            </w:r>
          </w:p>
        </w:tc>
      </w:tr>
      <w:tr w14:paraId="3C5C6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1" w:hRule="atLeast"/>
        </w:trPr>
        <w:tc>
          <w:tcPr>
            <w:tcW w:w="5000" w:type="pct"/>
            <w:gridSpan w:val="9"/>
            <w:vMerge w:val="continue"/>
            <w:tcBorders>
              <w:top w:val="single" w:color="000000" w:sz="4" w:space="0"/>
              <w:left w:val="single" w:color="000000" w:sz="4" w:space="0"/>
              <w:bottom w:val="single" w:color="000000" w:sz="4" w:space="0"/>
              <w:right w:val="single" w:color="000000" w:sz="4" w:space="0"/>
            </w:tcBorders>
            <w:noWrap w:val="0"/>
            <w:vAlign w:val="top"/>
          </w:tcPr>
          <w:p w14:paraId="3B5DCA2B">
            <w:pPr>
              <w:jc w:val="left"/>
              <w:rPr>
                <w:rFonts w:hint="eastAsia" w:ascii="宋体" w:hAnsi="宋体" w:eastAsia="宋体" w:cs="宋体"/>
                <w:i w:val="0"/>
                <w:iCs w:val="0"/>
                <w:color w:val="000000"/>
                <w:sz w:val="24"/>
                <w:szCs w:val="24"/>
                <w:highlight w:val="none"/>
                <w:u w:val="none"/>
              </w:rPr>
            </w:pPr>
          </w:p>
        </w:tc>
      </w:tr>
      <w:tr w14:paraId="3551C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000" w:type="pct"/>
            <w:gridSpan w:val="9"/>
            <w:tcBorders>
              <w:top w:val="nil"/>
              <w:left w:val="single" w:color="000000" w:sz="4" w:space="0"/>
              <w:bottom w:val="single" w:color="000000" w:sz="4" w:space="0"/>
              <w:right w:val="single" w:color="000000" w:sz="4" w:space="0"/>
            </w:tcBorders>
            <w:noWrap/>
            <w:vAlign w:val="center"/>
          </w:tcPr>
          <w:p w14:paraId="3ABA5D9F">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经过有关问题的澄清及谈判，我公司在此作出最终报价：</w:t>
            </w:r>
          </w:p>
        </w:tc>
      </w:tr>
      <w:tr w14:paraId="413E0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99" w:type="pct"/>
            <w:tcBorders>
              <w:top w:val="single" w:color="000000" w:sz="4" w:space="0"/>
              <w:left w:val="single" w:color="000000" w:sz="4" w:space="0"/>
              <w:bottom w:val="single" w:color="000000" w:sz="4" w:space="0"/>
              <w:right w:val="single" w:color="000000" w:sz="4" w:space="0"/>
            </w:tcBorders>
            <w:noWrap w:val="0"/>
            <w:vAlign w:val="center"/>
          </w:tcPr>
          <w:p w14:paraId="5381CCC8">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序号</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391CF08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采购内容</w:t>
            </w: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5E79CDDA">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数量</w:t>
            </w:r>
          </w:p>
        </w:tc>
        <w:tc>
          <w:tcPr>
            <w:tcW w:w="440" w:type="pct"/>
            <w:gridSpan w:val="2"/>
            <w:tcBorders>
              <w:top w:val="single" w:color="000000" w:sz="4" w:space="0"/>
              <w:left w:val="single" w:color="000000" w:sz="4" w:space="0"/>
              <w:bottom w:val="single" w:color="000000" w:sz="4" w:space="0"/>
              <w:right w:val="single" w:color="000000" w:sz="4" w:space="0"/>
            </w:tcBorders>
            <w:noWrap w:val="0"/>
            <w:vAlign w:val="center"/>
          </w:tcPr>
          <w:p w14:paraId="0C166AF3">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单位</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5DF02034">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单价（元）</w:t>
            </w:r>
          </w:p>
        </w:tc>
        <w:tc>
          <w:tcPr>
            <w:tcW w:w="865" w:type="pct"/>
            <w:gridSpan w:val="2"/>
            <w:tcBorders>
              <w:top w:val="single" w:color="000000" w:sz="4" w:space="0"/>
              <w:left w:val="single" w:color="000000" w:sz="4" w:space="0"/>
              <w:bottom w:val="single" w:color="000000" w:sz="4" w:space="0"/>
              <w:right w:val="single" w:color="000000" w:sz="4" w:space="0"/>
            </w:tcBorders>
            <w:noWrap w:val="0"/>
            <w:vAlign w:val="center"/>
          </w:tcPr>
          <w:p w14:paraId="75BF39B9">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总价（元）</w:t>
            </w: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5273E147">
            <w:pPr>
              <w:keepNext w:val="0"/>
              <w:keepLines w:val="0"/>
              <w:widowControl/>
              <w:suppressLineNumbers w:val="0"/>
              <w:jc w:val="center"/>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备注</w:t>
            </w:r>
          </w:p>
        </w:tc>
      </w:tr>
      <w:tr w14:paraId="07081C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99" w:type="pct"/>
            <w:tcBorders>
              <w:top w:val="single" w:color="000000" w:sz="4" w:space="0"/>
              <w:left w:val="single" w:color="000000" w:sz="4" w:space="0"/>
              <w:bottom w:val="single" w:color="000000" w:sz="4" w:space="0"/>
              <w:right w:val="single" w:color="000000" w:sz="4" w:space="0"/>
            </w:tcBorders>
            <w:noWrap w:val="0"/>
            <w:vAlign w:val="center"/>
          </w:tcPr>
          <w:p w14:paraId="7FA9ED3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3A1E2DB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10B408C7">
            <w:pPr>
              <w:widowControl/>
              <w:jc w:val="center"/>
              <w:textAlignment w:val="center"/>
              <w:rPr>
                <w:rFonts w:hint="eastAsia" w:ascii="宋体" w:hAnsi="宋体" w:eastAsia="宋体" w:cs="宋体"/>
                <w:i w:val="0"/>
                <w:iCs w:val="0"/>
                <w:color w:val="000000"/>
                <w:sz w:val="24"/>
                <w:szCs w:val="24"/>
                <w:highlight w:val="none"/>
                <w:u w:val="none"/>
              </w:rPr>
            </w:pPr>
          </w:p>
        </w:tc>
        <w:tc>
          <w:tcPr>
            <w:tcW w:w="838" w:type="dxa"/>
            <w:gridSpan w:val="2"/>
            <w:tcBorders>
              <w:top w:val="single" w:color="000000" w:sz="4" w:space="0"/>
              <w:left w:val="single" w:color="000000" w:sz="4" w:space="0"/>
              <w:bottom w:val="single" w:color="000000" w:sz="4" w:space="0"/>
              <w:right w:val="single" w:color="000000" w:sz="4" w:space="0"/>
            </w:tcBorders>
            <w:noWrap w:val="0"/>
            <w:vAlign w:val="center"/>
          </w:tcPr>
          <w:p w14:paraId="5D9758EB">
            <w:pPr>
              <w:widowControl/>
              <w:jc w:val="center"/>
              <w:textAlignment w:val="center"/>
              <w:rPr>
                <w:rFonts w:hint="eastAsia" w:ascii="宋体" w:hAnsi="宋体" w:eastAsia="宋体" w:cs="宋体"/>
                <w:i w:val="0"/>
                <w:iCs w:val="0"/>
                <w:color w:val="000000"/>
                <w:sz w:val="24"/>
                <w:szCs w:val="24"/>
                <w:highlight w:val="none"/>
                <w:u w:val="none"/>
              </w:rPr>
            </w:pP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33CB099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865" w:type="pct"/>
            <w:gridSpan w:val="2"/>
            <w:tcBorders>
              <w:top w:val="single" w:color="000000" w:sz="4" w:space="0"/>
              <w:left w:val="single" w:color="000000" w:sz="4" w:space="0"/>
              <w:bottom w:val="single" w:color="000000" w:sz="4" w:space="0"/>
              <w:right w:val="single" w:color="000000" w:sz="4" w:space="0"/>
            </w:tcBorders>
            <w:noWrap w:val="0"/>
            <w:vAlign w:val="center"/>
          </w:tcPr>
          <w:p w14:paraId="6968322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236E09BA">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14:paraId="09451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99" w:type="pct"/>
            <w:tcBorders>
              <w:top w:val="single" w:color="000000" w:sz="4" w:space="0"/>
              <w:left w:val="single" w:color="000000" w:sz="4" w:space="0"/>
              <w:bottom w:val="single" w:color="000000" w:sz="4" w:space="0"/>
              <w:right w:val="single" w:color="000000" w:sz="4" w:space="0"/>
            </w:tcBorders>
            <w:noWrap w:val="0"/>
            <w:vAlign w:val="center"/>
          </w:tcPr>
          <w:p w14:paraId="34D6E33F">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2</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5AEAB902">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02A4C272">
            <w:pPr>
              <w:widowControl/>
              <w:jc w:val="center"/>
              <w:textAlignment w:val="center"/>
              <w:rPr>
                <w:rFonts w:hint="eastAsia" w:ascii="宋体" w:hAnsi="宋体" w:eastAsia="宋体" w:cs="宋体"/>
                <w:i w:val="0"/>
                <w:iCs w:val="0"/>
                <w:color w:val="000000"/>
                <w:sz w:val="24"/>
                <w:szCs w:val="24"/>
                <w:highlight w:val="none"/>
                <w:u w:val="none"/>
              </w:rPr>
            </w:pPr>
          </w:p>
        </w:tc>
        <w:tc>
          <w:tcPr>
            <w:tcW w:w="838" w:type="dxa"/>
            <w:gridSpan w:val="2"/>
            <w:tcBorders>
              <w:top w:val="single" w:color="000000" w:sz="4" w:space="0"/>
              <w:left w:val="single" w:color="000000" w:sz="4" w:space="0"/>
              <w:bottom w:val="single" w:color="000000" w:sz="4" w:space="0"/>
              <w:right w:val="single" w:color="000000" w:sz="4" w:space="0"/>
            </w:tcBorders>
            <w:noWrap w:val="0"/>
            <w:vAlign w:val="center"/>
          </w:tcPr>
          <w:p w14:paraId="7AF8DDDD">
            <w:pPr>
              <w:widowControl/>
              <w:jc w:val="center"/>
              <w:textAlignment w:val="center"/>
              <w:rPr>
                <w:rFonts w:hint="eastAsia" w:ascii="宋体" w:hAnsi="宋体" w:eastAsia="宋体" w:cs="宋体"/>
                <w:i w:val="0"/>
                <w:iCs w:val="0"/>
                <w:color w:val="000000"/>
                <w:sz w:val="24"/>
                <w:szCs w:val="24"/>
                <w:highlight w:val="none"/>
                <w:u w:val="none"/>
              </w:rPr>
            </w:pP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3F669013">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865" w:type="pct"/>
            <w:gridSpan w:val="2"/>
            <w:tcBorders>
              <w:top w:val="single" w:color="000000" w:sz="4" w:space="0"/>
              <w:left w:val="single" w:color="000000" w:sz="4" w:space="0"/>
              <w:bottom w:val="single" w:color="000000" w:sz="4" w:space="0"/>
              <w:right w:val="single" w:color="000000" w:sz="4" w:space="0"/>
            </w:tcBorders>
            <w:noWrap w:val="0"/>
            <w:vAlign w:val="center"/>
          </w:tcPr>
          <w:p w14:paraId="2EA80A0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62FAE05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14:paraId="6350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99" w:type="pct"/>
            <w:tcBorders>
              <w:top w:val="single" w:color="000000" w:sz="4" w:space="0"/>
              <w:left w:val="single" w:color="000000" w:sz="4" w:space="0"/>
              <w:bottom w:val="single" w:color="000000" w:sz="4" w:space="0"/>
              <w:right w:val="single" w:color="000000" w:sz="4" w:space="0"/>
            </w:tcBorders>
            <w:noWrap w:val="0"/>
            <w:vAlign w:val="center"/>
          </w:tcPr>
          <w:p w14:paraId="5C238218">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3</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57E7B10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p>
        </w:tc>
        <w:tc>
          <w:tcPr>
            <w:tcW w:w="749" w:type="dxa"/>
            <w:tcBorders>
              <w:top w:val="single" w:color="000000" w:sz="4" w:space="0"/>
              <w:left w:val="single" w:color="000000" w:sz="4" w:space="0"/>
              <w:bottom w:val="single" w:color="000000" w:sz="4" w:space="0"/>
              <w:right w:val="single" w:color="000000" w:sz="4" w:space="0"/>
            </w:tcBorders>
            <w:noWrap w:val="0"/>
            <w:vAlign w:val="center"/>
          </w:tcPr>
          <w:p w14:paraId="37B4F18B">
            <w:pPr>
              <w:widowControl/>
              <w:jc w:val="center"/>
              <w:textAlignment w:val="center"/>
              <w:rPr>
                <w:rFonts w:hint="eastAsia" w:ascii="宋体" w:hAnsi="宋体" w:eastAsia="宋体" w:cs="宋体"/>
                <w:i w:val="0"/>
                <w:iCs w:val="0"/>
                <w:color w:val="000000"/>
                <w:sz w:val="24"/>
                <w:szCs w:val="24"/>
                <w:highlight w:val="none"/>
                <w:u w:val="none"/>
              </w:rPr>
            </w:pPr>
          </w:p>
        </w:tc>
        <w:tc>
          <w:tcPr>
            <w:tcW w:w="838" w:type="dxa"/>
            <w:gridSpan w:val="2"/>
            <w:tcBorders>
              <w:top w:val="single" w:color="000000" w:sz="4" w:space="0"/>
              <w:left w:val="single" w:color="000000" w:sz="4" w:space="0"/>
              <w:bottom w:val="single" w:color="000000" w:sz="4" w:space="0"/>
              <w:right w:val="single" w:color="000000" w:sz="4" w:space="0"/>
            </w:tcBorders>
            <w:noWrap w:val="0"/>
            <w:vAlign w:val="center"/>
          </w:tcPr>
          <w:p w14:paraId="214D7C3E">
            <w:pPr>
              <w:widowControl/>
              <w:jc w:val="center"/>
              <w:textAlignment w:val="center"/>
              <w:rPr>
                <w:rFonts w:hint="eastAsia" w:ascii="宋体" w:hAnsi="宋体" w:eastAsia="宋体" w:cs="宋体"/>
                <w:i w:val="0"/>
                <w:iCs w:val="0"/>
                <w:color w:val="000000"/>
                <w:sz w:val="24"/>
                <w:szCs w:val="24"/>
                <w:highlight w:val="none"/>
                <w:u w:val="none"/>
              </w:rPr>
            </w:pP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6D933A4E">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865" w:type="pct"/>
            <w:gridSpan w:val="2"/>
            <w:tcBorders>
              <w:top w:val="single" w:color="000000" w:sz="4" w:space="0"/>
              <w:left w:val="single" w:color="000000" w:sz="4" w:space="0"/>
              <w:bottom w:val="single" w:color="000000" w:sz="4" w:space="0"/>
              <w:right w:val="single" w:color="000000" w:sz="4" w:space="0"/>
            </w:tcBorders>
            <w:noWrap w:val="0"/>
            <w:vAlign w:val="center"/>
          </w:tcPr>
          <w:p w14:paraId="14B675C8">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486EEEA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14:paraId="4B81D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399" w:type="pct"/>
            <w:tcBorders>
              <w:top w:val="single" w:color="000000" w:sz="4" w:space="0"/>
              <w:left w:val="single" w:color="000000" w:sz="4" w:space="0"/>
              <w:bottom w:val="single" w:color="000000" w:sz="4" w:space="0"/>
              <w:right w:val="single" w:color="000000" w:sz="4" w:space="0"/>
            </w:tcBorders>
            <w:noWrap w:val="0"/>
            <w:vAlign w:val="center"/>
          </w:tcPr>
          <w:p w14:paraId="3DAC517B">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w:t>
            </w:r>
          </w:p>
        </w:tc>
        <w:tc>
          <w:tcPr>
            <w:tcW w:w="1348" w:type="pct"/>
            <w:tcBorders>
              <w:top w:val="single" w:color="000000" w:sz="4" w:space="0"/>
              <w:left w:val="single" w:color="000000" w:sz="4" w:space="0"/>
              <w:bottom w:val="single" w:color="000000" w:sz="4" w:space="0"/>
              <w:right w:val="single" w:color="000000" w:sz="4" w:space="0"/>
            </w:tcBorders>
            <w:noWrap w:val="0"/>
            <w:vAlign w:val="center"/>
          </w:tcPr>
          <w:p w14:paraId="4BE9C017">
            <w:pPr>
              <w:keepNext w:val="0"/>
              <w:keepLines w:val="0"/>
              <w:widowControl/>
              <w:suppressLineNumbers w:val="0"/>
              <w:jc w:val="center"/>
              <w:textAlignment w:val="center"/>
              <w:rPr>
                <w:rFonts w:hint="default" w:ascii="宋体" w:hAnsi="宋体" w:eastAsia="宋体" w:cs="宋体"/>
                <w:i w:val="0"/>
                <w:iCs w:val="0"/>
                <w:color w:val="000000"/>
                <w:sz w:val="24"/>
                <w:szCs w:val="24"/>
                <w:highlight w:val="none"/>
                <w:u w:val="none"/>
                <w:lang w:val="en-US" w:eastAsia="zh-CN"/>
              </w:rPr>
            </w:pPr>
          </w:p>
        </w:tc>
        <w:tc>
          <w:tcPr>
            <w:tcW w:w="394" w:type="pct"/>
            <w:tcBorders>
              <w:top w:val="single" w:color="000000" w:sz="4" w:space="0"/>
              <w:left w:val="single" w:color="000000" w:sz="4" w:space="0"/>
              <w:bottom w:val="single" w:color="000000" w:sz="4" w:space="0"/>
              <w:right w:val="single" w:color="000000" w:sz="4" w:space="0"/>
            </w:tcBorders>
            <w:noWrap w:val="0"/>
            <w:vAlign w:val="center"/>
          </w:tcPr>
          <w:p w14:paraId="690CEDEB">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440" w:type="pct"/>
            <w:gridSpan w:val="2"/>
            <w:tcBorders>
              <w:top w:val="single" w:color="000000" w:sz="4" w:space="0"/>
              <w:left w:val="single" w:color="000000" w:sz="4" w:space="0"/>
              <w:bottom w:val="single" w:color="000000" w:sz="4" w:space="0"/>
              <w:right w:val="single" w:color="000000" w:sz="4" w:space="0"/>
            </w:tcBorders>
            <w:noWrap w:val="0"/>
            <w:vAlign w:val="center"/>
          </w:tcPr>
          <w:p w14:paraId="62C07029">
            <w:pPr>
              <w:keepNext w:val="0"/>
              <w:keepLines w:val="0"/>
              <w:widowControl/>
              <w:suppressLineNumbers w:val="0"/>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lang w:val="en-US" w:eastAsia="zh-CN"/>
              </w:rPr>
              <w:t>...</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14:paraId="647B49A5">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865" w:type="pct"/>
            <w:gridSpan w:val="2"/>
            <w:tcBorders>
              <w:top w:val="single" w:color="000000" w:sz="4" w:space="0"/>
              <w:left w:val="single" w:color="000000" w:sz="4" w:space="0"/>
              <w:bottom w:val="single" w:color="000000" w:sz="4" w:space="0"/>
              <w:right w:val="single" w:color="000000" w:sz="4" w:space="0"/>
            </w:tcBorders>
            <w:noWrap w:val="0"/>
            <w:vAlign w:val="center"/>
          </w:tcPr>
          <w:p w14:paraId="525130A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c>
          <w:tcPr>
            <w:tcW w:w="716" w:type="pct"/>
            <w:tcBorders>
              <w:top w:val="single" w:color="000000" w:sz="4" w:space="0"/>
              <w:left w:val="single" w:color="000000" w:sz="4" w:space="0"/>
              <w:bottom w:val="single" w:color="000000" w:sz="4" w:space="0"/>
              <w:right w:val="single" w:color="000000" w:sz="4" w:space="0"/>
            </w:tcBorders>
            <w:noWrap w:val="0"/>
            <w:vAlign w:val="center"/>
          </w:tcPr>
          <w:p w14:paraId="52D2F240">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p>
        </w:tc>
      </w:tr>
      <w:tr w14:paraId="72B55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2582" w:type="pct"/>
            <w:gridSpan w:val="5"/>
            <w:tcBorders>
              <w:top w:val="single" w:color="000000" w:sz="4" w:space="0"/>
              <w:left w:val="single" w:color="000000" w:sz="4" w:space="0"/>
              <w:bottom w:val="single" w:color="000000" w:sz="4" w:space="0"/>
              <w:right w:val="single" w:color="000000" w:sz="4" w:space="0"/>
            </w:tcBorders>
            <w:noWrap w:val="0"/>
            <w:vAlign w:val="center"/>
          </w:tcPr>
          <w:p w14:paraId="3EFA1090">
            <w:pPr>
              <w:keepNext w:val="0"/>
              <w:keepLines w:val="0"/>
              <w:widowControl/>
              <w:suppressLineNumbers w:val="0"/>
              <w:jc w:val="center"/>
              <w:textAlignment w:val="center"/>
              <w:rPr>
                <w:rFonts w:hint="default"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合计（元）</w:t>
            </w:r>
          </w:p>
        </w:tc>
        <w:tc>
          <w:tcPr>
            <w:tcW w:w="1218" w:type="pct"/>
            <w:gridSpan w:val="2"/>
            <w:tcBorders>
              <w:top w:val="single" w:color="000000" w:sz="4" w:space="0"/>
              <w:left w:val="single" w:color="000000" w:sz="4" w:space="0"/>
              <w:bottom w:val="single" w:color="000000" w:sz="4" w:space="0"/>
              <w:right w:val="single" w:color="000000" w:sz="4" w:space="0"/>
            </w:tcBorders>
            <w:noWrap w:val="0"/>
            <w:vAlign w:val="center"/>
          </w:tcPr>
          <w:p w14:paraId="1FB8F874">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小写：</w:t>
            </w:r>
          </w:p>
        </w:tc>
        <w:tc>
          <w:tcPr>
            <w:tcW w:w="1198" w:type="pct"/>
            <w:gridSpan w:val="2"/>
            <w:tcBorders>
              <w:top w:val="single" w:color="000000" w:sz="4" w:space="0"/>
              <w:left w:val="single" w:color="000000" w:sz="4" w:space="0"/>
              <w:bottom w:val="single" w:color="000000" w:sz="4" w:space="0"/>
              <w:right w:val="single" w:color="000000" w:sz="4" w:space="0"/>
            </w:tcBorders>
            <w:noWrap w:val="0"/>
            <w:vAlign w:val="center"/>
          </w:tcPr>
          <w:p w14:paraId="684B0293">
            <w:pPr>
              <w:keepNext w:val="0"/>
              <w:keepLines w:val="0"/>
              <w:widowControl/>
              <w:suppressLineNumbers w:val="0"/>
              <w:jc w:val="left"/>
              <w:textAlignment w:val="center"/>
              <w:rPr>
                <w:rFonts w:hint="eastAsia" w:ascii="宋体" w:hAnsi="宋体" w:eastAsia="宋体" w:cs="宋体"/>
                <w:b/>
                <w:bCs/>
                <w:i w:val="0"/>
                <w:iCs w:val="0"/>
                <w:color w:val="000000"/>
                <w:sz w:val="24"/>
                <w:szCs w:val="24"/>
                <w:highlight w:val="none"/>
                <w:u w:val="none"/>
                <w:lang w:val="en-US" w:eastAsia="zh-CN"/>
              </w:rPr>
            </w:pPr>
            <w:r>
              <w:rPr>
                <w:rFonts w:hint="eastAsia" w:ascii="宋体" w:hAnsi="宋体" w:eastAsia="宋体" w:cs="宋体"/>
                <w:b/>
                <w:bCs/>
                <w:i w:val="0"/>
                <w:iCs w:val="0"/>
                <w:color w:val="000000"/>
                <w:sz w:val="24"/>
                <w:szCs w:val="24"/>
                <w:highlight w:val="none"/>
                <w:u w:val="none"/>
                <w:lang w:val="en-US" w:eastAsia="zh-CN"/>
              </w:rPr>
              <w:t>大写：</w:t>
            </w:r>
          </w:p>
        </w:tc>
      </w:tr>
    </w:tbl>
    <w:p w14:paraId="166170C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楷体"/>
          <w:b/>
          <w:bCs/>
          <w:color w:val="FF0000"/>
          <w:sz w:val="28"/>
          <w:szCs w:val="28"/>
          <w:highlight w:val="none"/>
        </w:rPr>
      </w:pPr>
      <w:r>
        <w:rPr>
          <w:rFonts w:hint="eastAsia" w:ascii="宋体" w:hAnsi="宋体" w:cs="楷体"/>
          <w:b/>
          <w:bCs/>
          <w:color w:val="FF0000"/>
          <w:sz w:val="28"/>
          <w:szCs w:val="28"/>
          <w:highlight w:val="none"/>
        </w:rPr>
        <w:t>注：</w:t>
      </w:r>
      <w:r>
        <w:rPr>
          <w:rFonts w:hint="eastAsia" w:ascii="宋体" w:hAnsi="宋体" w:cs="楷体"/>
          <w:b/>
          <w:bCs/>
          <w:color w:val="FF0000"/>
          <w:sz w:val="28"/>
          <w:szCs w:val="28"/>
          <w:highlight w:val="none"/>
          <w:lang w:val="en-US" w:eastAsia="zh-CN"/>
        </w:rPr>
        <w:t>1.</w:t>
      </w:r>
      <w:r>
        <w:rPr>
          <w:rFonts w:hint="eastAsia" w:ascii="宋体" w:hAnsi="宋体" w:cs="楷体"/>
          <w:b/>
          <w:bCs/>
          <w:color w:val="FF0000"/>
          <w:sz w:val="28"/>
          <w:szCs w:val="28"/>
          <w:highlight w:val="none"/>
        </w:rPr>
        <w:t>该表不需要制作在《响应文件》中，</w:t>
      </w:r>
      <w:r>
        <w:rPr>
          <w:rFonts w:hint="eastAsia" w:ascii="宋体" w:hAnsi="宋体" w:cs="楷体"/>
          <w:b/>
          <w:bCs/>
          <w:color w:val="FF0000"/>
          <w:sz w:val="28"/>
          <w:szCs w:val="28"/>
          <w:highlight w:val="none"/>
          <w:lang w:eastAsia="zh-CN"/>
        </w:rPr>
        <w:t>各</w:t>
      </w:r>
      <w:r>
        <w:rPr>
          <w:rFonts w:hint="eastAsia" w:ascii="宋体" w:hAnsi="宋体" w:cs="楷体"/>
          <w:b/>
          <w:bCs/>
          <w:color w:val="FF0000"/>
          <w:sz w:val="28"/>
          <w:szCs w:val="28"/>
          <w:highlight w:val="none"/>
          <w:lang w:val="en-US" w:eastAsia="zh-CN"/>
        </w:rPr>
        <w:t>供应商</w:t>
      </w:r>
      <w:r>
        <w:rPr>
          <w:rFonts w:hint="eastAsia" w:ascii="宋体" w:hAnsi="宋体" w:cs="楷体"/>
          <w:b/>
          <w:bCs/>
          <w:color w:val="FF0000"/>
          <w:sz w:val="28"/>
          <w:szCs w:val="28"/>
          <w:highlight w:val="none"/>
        </w:rPr>
        <w:t>自行打印保留，在</w:t>
      </w:r>
      <w:r>
        <w:rPr>
          <w:rFonts w:hint="eastAsia" w:ascii="宋体" w:hAnsi="宋体" w:cs="楷体"/>
          <w:b/>
          <w:bCs/>
          <w:color w:val="FF0000"/>
          <w:sz w:val="28"/>
          <w:szCs w:val="28"/>
          <w:highlight w:val="none"/>
          <w:lang w:val="en-US" w:eastAsia="zh-CN"/>
        </w:rPr>
        <w:t>谈判</w:t>
      </w:r>
      <w:r>
        <w:rPr>
          <w:rFonts w:hint="eastAsia" w:ascii="宋体" w:hAnsi="宋体" w:cs="楷体"/>
          <w:b/>
          <w:bCs/>
          <w:color w:val="FF0000"/>
          <w:sz w:val="28"/>
          <w:szCs w:val="28"/>
          <w:highlight w:val="none"/>
        </w:rPr>
        <w:t>及二次报价</w:t>
      </w:r>
      <w:r>
        <w:rPr>
          <w:rFonts w:hint="eastAsia" w:ascii="宋体" w:hAnsi="宋体" w:cs="楷体"/>
          <w:b/>
          <w:bCs/>
          <w:color w:val="FF0000"/>
          <w:sz w:val="28"/>
          <w:szCs w:val="28"/>
          <w:highlight w:val="none"/>
          <w:lang w:val="en-US" w:eastAsia="zh-CN"/>
        </w:rPr>
        <w:t>规定的时间内按要求填写并上传</w:t>
      </w:r>
      <w:r>
        <w:rPr>
          <w:rFonts w:hint="eastAsia" w:ascii="宋体" w:hAnsi="宋体" w:cs="楷体"/>
          <w:b/>
          <w:bCs/>
          <w:color w:val="FF0000"/>
          <w:sz w:val="28"/>
          <w:szCs w:val="28"/>
          <w:highlight w:val="none"/>
        </w:rPr>
        <w:t>。</w:t>
      </w:r>
    </w:p>
    <w:p w14:paraId="22BE8B2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cs="楷体"/>
          <w:b/>
          <w:bCs/>
          <w:color w:val="FF0000"/>
          <w:sz w:val="28"/>
          <w:szCs w:val="28"/>
          <w:highlight w:val="none"/>
          <w:lang w:val="en-US" w:eastAsia="zh-CN"/>
        </w:rPr>
        <w:t>2.上表内容由供应商按照自己所投标段进行填写</w:t>
      </w:r>
      <w:r>
        <w:rPr>
          <w:rFonts w:hint="eastAsia" w:ascii="宋体" w:hAnsi="宋体" w:cs="楷体"/>
          <w:b/>
          <w:bCs/>
          <w:color w:val="FF0000"/>
          <w:sz w:val="28"/>
          <w:szCs w:val="28"/>
          <w:highlight w:val="none"/>
          <w:lang w:eastAsia="zh-CN"/>
        </w:rPr>
        <w:t>。</w:t>
      </w:r>
    </w:p>
    <w:sectPr>
      <w:footerReference r:id="rId12" w:type="default"/>
      <w:pgSz w:w="11906" w:h="16838"/>
      <w:pgMar w:top="1134" w:right="1304" w:bottom="1134" w:left="1304" w:header="510" w:footer="680" w:gutter="0"/>
      <w:pgNumType w:fmt="decimal"/>
      <w:cols w:space="720" w:num="1"/>
      <w:titlePg/>
      <w:docGrid w:type="linesAndChars" w:linePitch="320" w:charSpace="2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
    <w:altName w:val="宋体"/>
    <w:panose1 w:val="00000000000000000000"/>
    <w:charset w:val="86"/>
    <w:family w:val="auto"/>
    <w:pitch w:val="default"/>
    <w:sig w:usb0="00000000" w:usb1="00000000" w:usb2="00000010" w:usb3="00000000" w:csb0="00040000" w:csb1="00000000"/>
  </w:font>
  <w:font w:name="FZFSK--GBK1-0">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2000009F" w:csb1="DFD70000"/>
  </w:font>
  <w:font w:name="Arial Unicode MS">
    <w:altName w:val="宋体"/>
    <w:panose1 w:val="020B0604020202020204"/>
    <w:charset w:val="86"/>
    <w:family w:val="swiss"/>
    <w:pitch w:val="default"/>
    <w:sig w:usb0="00000000" w:usb1="00000000" w:usb2="0000003F" w:usb3="00000000" w:csb0="603F01FF" w:csb1="FFFF0000"/>
  </w:font>
  <w:font w:name="华文楷体">
    <w:altName w:val="宋体"/>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宋体-18030">
    <w:altName w:val="微软雅黑"/>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9779">
    <w:pPr>
      <w:pStyle w:val="23"/>
      <w:jc w:val="both"/>
    </w:pPr>
  </w:p>
  <w:p w14:paraId="7B4D21E6">
    <w:pPr>
      <w:pStyle w:val="2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5512B">
    <w:pPr>
      <w:pStyle w:val="23"/>
      <w:jc w:val="center"/>
    </w:pPr>
  </w:p>
  <w:p w14:paraId="1AA7A307">
    <w:pPr>
      <w:pStyle w:val="23"/>
      <w:tabs>
        <w:tab w:val="left" w:pos="2216"/>
        <w:tab w:val="clear" w:pos="4153"/>
        <w:tab w:val="clear" w:pos="8306"/>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C5A868">
    <w:pPr>
      <w:pStyle w:val="23"/>
      <w:jc w:val="both"/>
    </w:pPr>
  </w:p>
  <w:p w14:paraId="5CC6FBA7">
    <w:pPr>
      <w:pStyle w:val="23"/>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6DAF96">
    <w:pPr>
      <w:pStyle w:val="2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CAFB77">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14:paraId="71CAFB77">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p w14:paraId="64C7C4D7">
    <w:pPr>
      <w:pStyle w:val="23"/>
      <w:tabs>
        <w:tab w:val="left" w:pos="2216"/>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56756">
    <w:pPr>
      <w:pStyle w:val="2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A1878">
    <w:pPr>
      <w:pStyle w:val="2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DA9DCE">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ADA9DCE">
                    <w:pPr>
                      <w:pStyle w:val="2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7AB63">
    <w:pPr>
      <w:pStyle w:val="23"/>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32410" cy="213995"/>
              <wp:effectExtent l="0" t="0" r="0" b="0"/>
              <wp:wrapNone/>
              <wp:docPr id="6" name="文本框 6"/>
              <wp:cNvGraphicFramePr/>
              <a:graphic xmlns:a="http://schemas.openxmlformats.org/drawingml/2006/main">
                <a:graphicData uri="http://schemas.microsoft.com/office/word/2010/wordprocessingShape">
                  <wps:wsp>
                    <wps:cNvSpPr txBox="1"/>
                    <wps:spPr>
                      <a:xfrm>
                        <a:off x="0" y="0"/>
                        <a:ext cx="232410" cy="213995"/>
                      </a:xfrm>
                      <a:prstGeom prst="rect">
                        <a:avLst/>
                      </a:prstGeom>
                      <a:noFill/>
                      <a:ln>
                        <a:noFill/>
                      </a:ln>
                    </wps:spPr>
                    <wps:txbx>
                      <w:txbxContent>
                        <w:p w14:paraId="582DE67D">
                          <w:pPr>
                            <w:pStyle w:val="23"/>
                            <w:rPr>
                              <w:rFonts w:ascii="宋体" w:hAnsi="宋体" w:cs="宋体"/>
                              <w:b/>
                              <w:bCs/>
                              <w:sz w:val="22"/>
                              <w:szCs w:val="22"/>
                            </w:rPr>
                          </w:pPr>
                          <w:r>
                            <w:rPr>
                              <w:rFonts w:hint="eastAsia" w:ascii="宋体" w:hAnsi="宋体" w:cs="宋体"/>
                              <w:b/>
                              <w:bCs/>
                              <w:sz w:val="22"/>
                              <w:szCs w:val="22"/>
                            </w:rPr>
                            <w:fldChar w:fldCharType="begin"/>
                          </w:r>
                          <w:r>
                            <w:rPr>
                              <w:rFonts w:hint="eastAsia" w:ascii="宋体" w:hAnsi="宋体" w:cs="宋体"/>
                              <w:b/>
                              <w:bCs/>
                              <w:sz w:val="22"/>
                              <w:szCs w:val="22"/>
                            </w:rPr>
                            <w:instrText xml:space="preserve"> PAGE  \* MERGEFORMAT </w:instrText>
                          </w:r>
                          <w:r>
                            <w:rPr>
                              <w:rFonts w:hint="eastAsia" w:ascii="宋体" w:hAnsi="宋体" w:cs="宋体"/>
                              <w:b/>
                              <w:bCs/>
                              <w:sz w:val="22"/>
                              <w:szCs w:val="22"/>
                            </w:rPr>
                            <w:fldChar w:fldCharType="separate"/>
                          </w:r>
                          <w:r>
                            <w:rPr>
                              <w:rFonts w:ascii="宋体" w:hAnsi="宋体" w:cs="宋体"/>
                              <w:b/>
                              <w:bCs/>
                              <w:sz w:val="22"/>
                              <w:szCs w:val="22"/>
                            </w:rPr>
                            <w:t>64</w:t>
                          </w:r>
                          <w:r>
                            <w:rPr>
                              <w:rFonts w:hint="eastAsia" w:ascii="宋体" w:hAnsi="宋体" w:cs="宋体"/>
                              <w:b/>
                              <w:bCs/>
                              <w:sz w:val="22"/>
                              <w:szCs w:val="22"/>
                            </w:rPr>
                            <w:fldChar w:fldCharType="end"/>
                          </w:r>
                        </w:p>
                      </w:txbxContent>
                    </wps:txbx>
                    <wps:bodyPr wrap="square" lIns="0" tIns="0" rIns="0" bIns="0">
                      <a:noAutofit/>
                    </wps:bodyPr>
                  </wps:wsp>
                </a:graphicData>
              </a:graphic>
            </wp:anchor>
          </w:drawing>
        </mc:Choice>
        <mc:Fallback>
          <w:pict>
            <v:shape id="_x0000_s1026" o:spid="_x0000_s1026" o:spt="202" type="#_x0000_t202" style="position:absolute;left:0pt;margin-top:0pt;height:16.85pt;width:18.3pt;mso-position-horizontal:center;mso-position-horizontal-relative:margin;z-index:251661312;mso-width-relative:page;mso-height-relative:page;" filled="f" stroked="f" coordsize="21600,21600" o:gfxdata="UEsDBAoAAAAAAIdO4kAAAAAAAAAAAAAAAAAEAAAAZHJzL1BLAwQUAAAACACHTuJA1VN2tNMAAAAD&#10;AQAADwAAAGRycy9kb3ducmV2LnhtbE2PzU7DMBCE70i8g7VIvVG7VAoQ4lQItadKiDQcODrxNrEa&#10;r0Ps/vD2LFzgsqPVrGa+LVYXP4gTTtEF0rCYKxBIbbCOOg3v9eb2AURMhqwZAqGGL4ywKq+vCpPb&#10;cKYKT7vUCQ6hmBsNfUpjLmVse/QmzsOIxN4+TN4kXqdO2smcOdwP8k6pTHrjiBt6M+JLj+1hd/Qa&#10;nj+oWrvP1+at2leurh8VbbOD1rObhXoCkfCS/o7hB5/RoWSmJhzJRjFo4EfS72RvmWUgGtblPciy&#10;kP/Zy29QSwMEFAAAAAgAh07iQDDYYnbHAQAAjQMAAA4AAABkcnMvZTJvRG9jLnhtbK1TwY7TMBC9&#10;I/EPlu80bRYqNmq6AlWLkBAgLXyA69iNJdtjPG6T/gD8AScu3PmufgfjJO3CctkDF2c8M3kz7814&#10;ddM7yw4qogFf88VszpnyEhrjdzX//On22UvOMAnfCAte1fyokN+snz5ZdaFSJbRgGxUZgXisulDz&#10;NqVQFQXKVjmBMwjKU1BDdCLRNe6KJoqO0J0tyvl8WXQQmxBBKkTybsYgnxDjYwBBayPVBuTeKZ9G&#10;1KisSEQJWxOQr4dutVYyfdAaVWK25sQ0DScVIXubz2K9EtUuitAaObUgHtPCA05OGE9FL1AbkQTb&#10;R/MPlDMyAoJOMwmuGIkMihCLxfyBNnetCGrgQlJjuIiO/w9Wvj98jMw0NV9y5oWjgZ++fzv9+HX6&#10;+ZUtszxdwIqy7gLlpf419LQ0Zz+SM7PudXT5S3wYxUnc40Vc1ScmyVlelc8XFJEUKhdX19cvMkpx&#10;/3OImN4ocCwbNY80u0FScXiHaUw9p+RaHm6NtcP8rP/LQZjZU+TOxw6zlfptP9HZQnMkNh2Nveb4&#10;ZS+i4sy+9aRr3pGzEc/GdjLGKq/2CbQZOsq4I9hUjqY0cJo2Kq/Bn/ch6/4Vr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VN2tNMAAAADAQAADwAAAAAAAAABACAAAAAiAAAAZHJzL2Rvd25yZXYu&#10;eG1sUEsBAhQAFAAAAAgAh07iQDDYYnbHAQAAjQMAAA4AAAAAAAAAAQAgAAAAIgEAAGRycy9lMm9E&#10;b2MueG1sUEsFBgAAAAAGAAYAWQEAAFsFAAAAAA==&#10;">
              <v:fill on="f" focussize="0,0"/>
              <v:stroke on="f"/>
              <v:imagedata o:title=""/>
              <o:lock v:ext="edit" aspectratio="f"/>
              <v:textbox inset="0mm,0mm,0mm,0mm">
                <w:txbxContent>
                  <w:p w14:paraId="582DE67D">
                    <w:pPr>
                      <w:pStyle w:val="23"/>
                      <w:rPr>
                        <w:rFonts w:ascii="宋体" w:hAnsi="宋体" w:cs="宋体"/>
                        <w:b/>
                        <w:bCs/>
                        <w:sz w:val="22"/>
                        <w:szCs w:val="22"/>
                      </w:rPr>
                    </w:pPr>
                    <w:r>
                      <w:rPr>
                        <w:rFonts w:hint="eastAsia" w:ascii="宋体" w:hAnsi="宋体" w:cs="宋体"/>
                        <w:b/>
                        <w:bCs/>
                        <w:sz w:val="22"/>
                        <w:szCs w:val="22"/>
                      </w:rPr>
                      <w:fldChar w:fldCharType="begin"/>
                    </w:r>
                    <w:r>
                      <w:rPr>
                        <w:rFonts w:hint="eastAsia" w:ascii="宋体" w:hAnsi="宋体" w:cs="宋体"/>
                        <w:b/>
                        <w:bCs/>
                        <w:sz w:val="22"/>
                        <w:szCs w:val="22"/>
                      </w:rPr>
                      <w:instrText xml:space="preserve"> PAGE  \* MERGEFORMAT </w:instrText>
                    </w:r>
                    <w:r>
                      <w:rPr>
                        <w:rFonts w:hint="eastAsia" w:ascii="宋体" w:hAnsi="宋体" w:cs="宋体"/>
                        <w:b/>
                        <w:bCs/>
                        <w:sz w:val="22"/>
                        <w:szCs w:val="22"/>
                      </w:rPr>
                      <w:fldChar w:fldCharType="separate"/>
                    </w:r>
                    <w:r>
                      <w:rPr>
                        <w:rFonts w:ascii="宋体" w:hAnsi="宋体" w:cs="宋体"/>
                        <w:b/>
                        <w:bCs/>
                        <w:sz w:val="22"/>
                        <w:szCs w:val="22"/>
                      </w:rPr>
                      <w:t>64</w:t>
                    </w:r>
                    <w:r>
                      <w:rPr>
                        <w:rFonts w:hint="eastAsia" w:ascii="宋体" w:hAnsi="宋体" w:cs="宋体"/>
                        <w:b/>
                        <w:bCs/>
                        <w:sz w:val="22"/>
                        <w:szCs w:val="22"/>
                      </w:rPr>
                      <w:fldChar w:fldCharType="end"/>
                    </w:r>
                  </w:p>
                </w:txbxContent>
              </v:textbox>
            </v:shape>
          </w:pict>
        </mc:Fallback>
      </mc:AlternateContent>
    </w:r>
  </w:p>
  <w:p w14:paraId="24E2E670">
    <w:pPr>
      <w:pStyle w:val="23"/>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7F3E">
    <w:pPr>
      <w:pStyle w:val="2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865CB1F">
                          <w:pPr>
                            <w:pStyle w:val="23"/>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AgVv8IBAACNAwAADgAAAGRycy9lMm9Eb2MueG1srVPNjtMwEL4j8Q6W&#10;79TZIq2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X1L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PAIFb/CAQAAjQMAAA4AAAAAAAAAAQAgAAAAHgEAAGRycy9lMm9Eb2MueG1sUEsF&#10;BgAAAAAGAAYAWQEAAFIFAAAAAA==&#10;">
              <v:fill on="f" focussize="0,0"/>
              <v:stroke on="f"/>
              <v:imagedata o:title=""/>
              <o:lock v:ext="edit" aspectratio="f"/>
              <v:textbox inset="0mm,0mm,0mm,0mm" style="mso-fit-shape-to-text:t;">
                <w:txbxContent>
                  <w:p w14:paraId="1865CB1F">
                    <w:pPr>
                      <w:pStyle w:val="23"/>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p w14:paraId="3D76298F">
    <w:pPr>
      <w:pStyle w:val="23"/>
      <w:tabs>
        <w:tab w:val="left" w:pos="2216"/>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6DBDB">
    <w:pPr>
      <w:pStyle w:val="23"/>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05F736">
                          <w:pPr>
                            <w:pStyle w:val="23"/>
                            <w:jc w:val="center"/>
                          </w:pPr>
                          <w:r>
                            <w:fldChar w:fldCharType="begin"/>
                          </w:r>
                          <w:r>
                            <w:instrText xml:space="preserve"> PAGE   \* MERGEFORMAT </w:instrText>
                          </w:r>
                          <w:r>
                            <w:fldChar w:fldCharType="separate"/>
                          </w:r>
                          <w:r>
                            <w:rPr>
                              <w:lang w:val="zh-CN"/>
                            </w:rP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105F736">
                    <w:pPr>
                      <w:pStyle w:val="23"/>
                      <w:jc w:val="center"/>
                    </w:pPr>
                    <w:r>
                      <w:fldChar w:fldCharType="begin"/>
                    </w:r>
                    <w:r>
                      <w:instrText xml:space="preserve"> PAGE   \* MERGEFORMAT </w:instrText>
                    </w:r>
                    <w:r>
                      <w:fldChar w:fldCharType="separate"/>
                    </w:r>
                    <w:r>
                      <w:rPr>
                        <w:lang w:val="zh-CN"/>
                      </w:rPr>
                      <w:t>72</w:t>
                    </w:r>
                    <w:r>
                      <w:fldChar w:fldCharType="end"/>
                    </w:r>
                  </w:p>
                </w:txbxContent>
              </v:textbox>
            </v:shape>
          </w:pict>
        </mc:Fallback>
      </mc:AlternateContent>
    </w:r>
  </w:p>
  <w:p w14:paraId="36DE9A8C">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312987">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13AC1"/>
    <w:multiLevelType w:val="singleLevel"/>
    <w:tmpl w:val="B9D13AC1"/>
    <w:lvl w:ilvl="0" w:tentative="0">
      <w:start w:val="7"/>
      <w:numFmt w:val="chineseCounting"/>
      <w:suff w:val="nothing"/>
      <w:lvlText w:val="%1、"/>
      <w:lvlJc w:val="left"/>
      <w:rPr>
        <w:rFonts w:hint="eastAsia"/>
      </w:rPr>
    </w:lvl>
  </w:abstractNum>
  <w:abstractNum w:abstractNumId="1">
    <w:nsid w:val="BF6BC116"/>
    <w:multiLevelType w:val="singleLevel"/>
    <w:tmpl w:val="BF6BC116"/>
    <w:lvl w:ilvl="0" w:tentative="0">
      <w:start w:val="16"/>
      <w:numFmt w:val="decimal"/>
      <w:suff w:val="space"/>
      <w:lvlText w:val="%1."/>
      <w:lvlJc w:val="left"/>
    </w:lvl>
  </w:abstractNum>
  <w:abstractNum w:abstractNumId="2">
    <w:nsid w:val="CFE7C3F8"/>
    <w:multiLevelType w:val="singleLevel"/>
    <w:tmpl w:val="CFE7C3F8"/>
    <w:lvl w:ilvl="0" w:tentative="0">
      <w:start w:val="1"/>
      <w:numFmt w:val="decimal"/>
      <w:suff w:val="nothing"/>
      <w:lvlText w:val="（%1）"/>
      <w:lvlJc w:val="left"/>
    </w:lvl>
  </w:abstractNum>
  <w:abstractNum w:abstractNumId="3">
    <w:nsid w:val="DDECD3BC"/>
    <w:multiLevelType w:val="singleLevel"/>
    <w:tmpl w:val="DDECD3BC"/>
    <w:lvl w:ilvl="0" w:tentative="0">
      <w:start w:val="6"/>
      <w:numFmt w:val="decimal"/>
      <w:suff w:val="space"/>
      <w:lvlText w:val="%1."/>
      <w:lvlJc w:val="left"/>
    </w:lvl>
  </w:abstractNum>
  <w:abstractNum w:abstractNumId="4">
    <w:nsid w:val="DE759F4B"/>
    <w:multiLevelType w:val="singleLevel"/>
    <w:tmpl w:val="DE759F4B"/>
    <w:lvl w:ilvl="0" w:tentative="0">
      <w:start w:val="2"/>
      <w:numFmt w:val="decimal"/>
      <w:suff w:val="space"/>
      <w:lvlText w:val="%1."/>
      <w:lvlJc w:val="left"/>
    </w:lvl>
  </w:abstractNum>
  <w:abstractNum w:abstractNumId="5">
    <w:nsid w:val="DEABE1DB"/>
    <w:multiLevelType w:val="singleLevel"/>
    <w:tmpl w:val="DEABE1DB"/>
    <w:lvl w:ilvl="0" w:tentative="0">
      <w:start w:val="23"/>
      <w:numFmt w:val="decimal"/>
      <w:suff w:val="space"/>
      <w:lvlText w:val="%1."/>
      <w:lvlJc w:val="left"/>
    </w:lvl>
  </w:abstractNum>
  <w:abstractNum w:abstractNumId="6">
    <w:nsid w:val="FFEFC674"/>
    <w:multiLevelType w:val="singleLevel"/>
    <w:tmpl w:val="FFEFC674"/>
    <w:lvl w:ilvl="0" w:tentative="0">
      <w:start w:val="1"/>
      <w:numFmt w:val="decimal"/>
      <w:suff w:val="nothing"/>
      <w:lvlText w:val="（%1）"/>
      <w:lvlJc w:val="left"/>
    </w:lvl>
  </w:abstractNum>
  <w:abstractNum w:abstractNumId="7">
    <w:nsid w:val="FFFFFFFB"/>
    <w:multiLevelType w:val="multilevel"/>
    <w:tmpl w:val="FFFFFFFB"/>
    <w:lvl w:ilvl="0" w:tentative="0">
      <w:start w:val="1"/>
      <w:numFmt w:val="decimal"/>
      <w:lvlText w:val="%1."/>
      <w:legacy w:legacy="1" w:legacySpace="0" w:legacyIndent="425"/>
      <w:lvlJc w:val="left"/>
      <w:pPr>
        <w:ind w:left="425" w:hanging="425"/>
      </w:pPr>
      <w:rPr>
        <w:rFonts w:cs="Times New Roman"/>
      </w:rPr>
    </w:lvl>
    <w:lvl w:ilvl="1" w:tentative="0">
      <w:start w:val="1"/>
      <w:numFmt w:val="decimal"/>
      <w:lvlText w:val="%1.%2."/>
      <w:legacy w:legacy="1" w:legacySpace="0" w:legacyIndent="425"/>
      <w:lvlJc w:val="left"/>
      <w:pPr>
        <w:ind w:left="850" w:hanging="425"/>
      </w:pPr>
      <w:rPr>
        <w:rFonts w:cs="Times New Roman"/>
      </w:rPr>
    </w:lvl>
    <w:lvl w:ilvl="2" w:tentative="0">
      <w:start w:val="1"/>
      <w:numFmt w:val="decimal"/>
      <w:lvlText w:val="%1.%2.%3."/>
      <w:legacy w:legacy="1" w:legacySpace="0" w:legacyIndent="425"/>
      <w:lvlJc w:val="left"/>
      <w:pPr>
        <w:ind w:left="1275" w:hanging="425"/>
      </w:pPr>
      <w:rPr>
        <w:rFonts w:cs="Times New Roman"/>
      </w:rPr>
    </w:lvl>
    <w:lvl w:ilvl="3" w:tentative="0">
      <w:start w:val="1"/>
      <w:numFmt w:val="decimal"/>
      <w:lvlText w:val="%1.%2.%3.%4."/>
      <w:legacy w:legacy="1" w:legacySpace="0" w:legacyIndent="425"/>
      <w:lvlJc w:val="left"/>
      <w:pPr>
        <w:ind w:left="1700" w:hanging="425"/>
      </w:pPr>
      <w:rPr>
        <w:rFonts w:cs="Times New Roman"/>
      </w:rPr>
    </w:lvl>
    <w:lvl w:ilvl="4" w:tentative="0">
      <w:start w:val="1"/>
      <w:numFmt w:val="decimal"/>
      <w:pStyle w:val="7"/>
      <w:lvlText w:val="%1.%2.%3.%4.%5."/>
      <w:legacy w:legacy="1" w:legacySpace="0" w:legacyIndent="425"/>
      <w:lvlJc w:val="left"/>
      <w:pPr>
        <w:ind w:left="2125" w:hanging="425"/>
      </w:pPr>
      <w:rPr>
        <w:rFonts w:cs="Times New Roman"/>
      </w:rPr>
    </w:lvl>
    <w:lvl w:ilvl="5" w:tentative="0">
      <w:start w:val="1"/>
      <w:numFmt w:val="decimal"/>
      <w:lvlText w:val="%1.%2.%3.%4.%5.%6."/>
      <w:legacy w:legacy="1" w:legacySpace="0" w:legacyIndent="425"/>
      <w:lvlJc w:val="left"/>
      <w:pPr>
        <w:ind w:left="2550" w:hanging="425"/>
      </w:pPr>
      <w:rPr>
        <w:rFonts w:cs="Times New Roman"/>
      </w:rPr>
    </w:lvl>
    <w:lvl w:ilvl="6" w:tentative="0">
      <w:start w:val="1"/>
      <w:numFmt w:val="decimal"/>
      <w:lvlText w:val="%1.%2.%3.%4.%5.%6.%7."/>
      <w:legacy w:legacy="1" w:legacySpace="0" w:legacyIndent="425"/>
      <w:lvlJc w:val="left"/>
      <w:pPr>
        <w:ind w:left="2975" w:hanging="425"/>
      </w:pPr>
      <w:rPr>
        <w:rFonts w:cs="Times New Roman"/>
      </w:rPr>
    </w:lvl>
    <w:lvl w:ilvl="7" w:tentative="0">
      <w:start w:val="1"/>
      <w:numFmt w:val="decimal"/>
      <w:lvlText w:val="%1.%2.%3.%4.%5.%6.%7.%8."/>
      <w:legacy w:legacy="1" w:legacySpace="0" w:legacyIndent="425"/>
      <w:lvlJc w:val="left"/>
      <w:pPr>
        <w:ind w:left="3400" w:hanging="425"/>
      </w:pPr>
      <w:rPr>
        <w:rFonts w:cs="Times New Roman"/>
      </w:rPr>
    </w:lvl>
    <w:lvl w:ilvl="8" w:tentative="0">
      <w:start w:val="1"/>
      <w:numFmt w:val="decimal"/>
      <w:lvlText w:val="%1.%2.%3.%4.%5.%6.%7.%8.%9."/>
      <w:legacy w:legacy="1" w:legacySpace="0" w:legacyIndent="425"/>
      <w:lvlJc w:val="left"/>
      <w:pPr>
        <w:ind w:left="3825" w:hanging="425"/>
      </w:pPr>
      <w:rPr>
        <w:rFonts w:cs="Times New Roman"/>
      </w:rPr>
    </w:lvl>
  </w:abstractNum>
  <w:abstractNum w:abstractNumId="8">
    <w:nsid w:val="11EF3BBC"/>
    <w:multiLevelType w:val="multilevel"/>
    <w:tmpl w:val="11EF3BBC"/>
    <w:lvl w:ilvl="0" w:tentative="0">
      <w:start w:val="1"/>
      <w:numFmt w:val="bullet"/>
      <w:pStyle w:val="148"/>
      <w:lvlText w:val="♦"/>
      <w:lvlJc w:val="left"/>
      <w:pPr>
        <w:tabs>
          <w:tab w:val="left" w:pos="814"/>
        </w:tabs>
        <w:ind w:left="794" w:hanging="340"/>
      </w:pPr>
      <w:rPr>
        <w:rFonts w:hint="default" w:ascii="Arial Narrow" w:hAnsi="Arial Narrow" w:eastAsia="宋体"/>
        <w:b w:val="0"/>
        <w:i w:val="0"/>
        <w:color w:val="000000"/>
        <w:spacing w:val="-20"/>
        <w:sz w:val="24"/>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40918E90"/>
    <w:multiLevelType w:val="singleLevel"/>
    <w:tmpl w:val="40918E90"/>
    <w:lvl w:ilvl="0" w:tentative="0">
      <w:start w:val="6"/>
      <w:numFmt w:val="chineseCounting"/>
      <w:suff w:val="nothing"/>
      <w:lvlText w:val="（%1）"/>
      <w:lvlJc w:val="left"/>
      <w:rPr>
        <w:rFonts w:hint="eastAsia"/>
      </w:rPr>
    </w:lvl>
  </w:abstractNum>
  <w:abstractNum w:abstractNumId="10">
    <w:nsid w:val="594CDF5A"/>
    <w:multiLevelType w:val="singleLevel"/>
    <w:tmpl w:val="594CDF5A"/>
    <w:lvl w:ilvl="0" w:tentative="0">
      <w:start w:val="1"/>
      <w:numFmt w:val="chineseCounting"/>
      <w:suff w:val="nothing"/>
      <w:lvlText w:val="（%1）"/>
      <w:lvlJc w:val="left"/>
    </w:lvl>
  </w:abstractNum>
  <w:abstractNum w:abstractNumId="11">
    <w:nsid w:val="59509043"/>
    <w:multiLevelType w:val="singleLevel"/>
    <w:tmpl w:val="59509043"/>
    <w:lvl w:ilvl="0" w:tentative="0">
      <w:start w:val="3"/>
      <w:numFmt w:val="chineseCounting"/>
      <w:suff w:val="space"/>
      <w:lvlText w:val="第%1章"/>
      <w:lvlJc w:val="left"/>
    </w:lvl>
  </w:abstractNum>
  <w:abstractNum w:abstractNumId="12">
    <w:nsid w:val="603CFCC5"/>
    <w:multiLevelType w:val="singleLevel"/>
    <w:tmpl w:val="603CFCC5"/>
    <w:lvl w:ilvl="0" w:tentative="0">
      <w:start w:val="6"/>
      <w:numFmt w:val="chineseCounting"/>
      <w:suff w:val="space"/>
      <w:lvlText w:val="第%1章"/>
      <w:lvlJc w:val="left"/>
      <w:rPr>
        <w:rFonts w:hint="eastAsia"/>
      </w:rPr>
    </w:lvl>
  </w:abstractNum>
  <w:abstractNum w:abstractNumId="13">
    <w:nsid w:val="7A0F6431"/>
    <w:multiLevelType w:val="singleLevel"/>
    <w:tmpl w:val="7A0F6431"/>
    <w:lvl w:ilvl="0" w:tentative="0">
      <w:start w:val="1"/>
      <w:numFmt w:val="decimal"/>
      <w:suff w:val="space"/>
      <w:lvlText w:val="%1."/>
      <w:lvlJc w:val="left"/>
    </w:lvl>
  </w:abstractNum>
  <w:num w:numId="1">
    <w:abstractNumId w:val="7"/>
  </w:num>
  <w:num w:numId="2">
    <w:abstractNumId w:val="8"/>
  </w:num>
  <w:num w:numId="3">
    <w:abstractNumId w:val="0"/>
  </w:num>
  <w:num w:numId="4">
    <w:abstractNumId w:val="11"/>
  </w:num>
  <w:num w:numId="5">
    <w:abstractNumId w:val="13"/>
  </w:num>
  <w:num w:numId="6">
    <w:abstractNumId w:val="2"/>
  </w:num>
  <w:num w:numId="7">
    <w:abstractNumId w:val="6"/>
  </w:num>
  <w:num w:numId="8">
    <w:abstractNumId w:val="4"/>
  </w:num>
  <w:num w:numId="9">
    <w:abstractNumId w:val="3"/>
  </w:num>
  <w:num w:numId="10">
    <w:abstractNumId w:val="1"/>
  </w:num>
  <w:num w:numId="11">
    <w:abstractNumId w:val="5"/>
  </w:num>
  <w:num w:numId="12">
    <w:abstractNumId w:val="1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I1YjRhYjM1MDUxYzlkMTVhYzE3MDdmMjg0NjFkMmIifQ=="/>
  </w:docVars>
  <w:rsids>
    <w:rsidRoot w:val="001D0D46"/>
    <w:rsid w:val="000003D5"/>
    <w:rsid w:val="00003576"/>
    <w:rsid w:val="000039B6"/>
    <w:rsid w:val="0000458C"/>
    <w:rsid w:val="00004EF8"/>
    <w:rsid w:val="000055E2"/>
    <w:rsid w:val="00012DF4"/>
    <w:rsid w:val="00014A22"/>
    <w:rsid w:val="00014E7D"/>
    <w:rsid w:val="00015C0A"/>
    <w:rsid w:val="00015DDD"/>
    <w:rsid w:val="000176BB"/>
    <w:rsid w:val="00020EF8"/>
    <w:rsid w:val="00023B63"/>
    <w:rsid w:val="00025035"/>
    <w:rsid w:val="000254F6"/>
    <w:rsid w:val="00025D70"/>
    <w:rsid w:val="00025E15"/>
    <w:rsid w:val="00025F88"/>
    <w:rsid w:val="00026807"/>
    <w:rsid w:val="00027E3C"/>
    <w:rsid w:val="00030530"/>
    <w:rsid w:val="00030E60"/>
    <w:rsid w:val="000325B8"/>
    <w:rsid w:val="000351B9"/>
    <w:rsid w:val="00035656"/>
    <w:rsid w:val="00035772"/>
    <w:rsid w:val="00035C64"/>
    <w:rsid w:val="000373D1"/>
    <w:rsid w:val="00040685"/>
    <w:rsid w:val="00041C22"/>
    <w:rsid w:val="00043325"/>
    <w:rsid w:val="000441AA"/>
    <w:rsid w:val="00045167"/>
    <w:rsid w:val="000464D3"/>
    <w:rsid w:val="00046C52"/>
    <w:rsid w:val="00047D78"/>
    <w:rsid w:val="000506D4"/>
    <w:rsid w:val="000532B7"/>
    <w:rsid w:val="00054719"/>
    <w:rsid w:val="00055A3C"/>
    <w:rsid w:val="000565AF"/>
    <w:rsid w:val="00057A64"/>
    <w:rsid w:val="00057FA0"/>
    <w:rsid w:val="00062FEA"/>
    <w:rsid w:val="00063798"/>
    <w:rsid w:val="00063819"/>
    <w:rsid w:val="000654FB"/>
    <w:rsid w:val="00065669"/>
    <w:rsid w:val="00067FFB"/>
    <w:rsid w:val="00070124"/>
    <w:rsid w:val="00070934"/>
    <w:rsid w:val="00071BCC"/>
    <w:rsid w:val="00072AB2"/>
    <w:rsid w:val="0007568D"/>
    <w:rsid w:val="00077266"/>
    <w:rsid w:val="0007782D"/>
    <w:rsid w:val="000804B1"/>
    <w:rsid w:val="00080642"/>
    <w:rsid w:val="00080759"/>
    <w:rsid w:val="00081FC4"/>
    <w:rsid w:val="00082888"/>
    <w:rsid w:val="00082AD4"/>
    <w:rsid w:val="000838D7"/>
    <w:rsid w:val="000848A1"/>
    <w:rsid w:val="00085A0F"/>
    <w:rsid w:val="00086E23"/>
    <w:rsid w:val="00087152"/>
    <w:rsid w:val="00087783"/>
    <w:rsid w:val="000878A9"/>
    <w:rsid w:val="00087939"/>
    <w:rsid w:val="00090E73"/>
    <w:rsid w:val="00091DB0"/>
    <w:rsid w:val="0009335B"/>
    <w:rsid w:val="00093BDA"/>
    <w:rsid w:val="000942E6"/>
    <w:rsid w:val="00094981"/>
    <w:rsid w:val="00095A6C"/>
    <w:rsid w:val="000963C1"/>
    <w:rsid w:val="00096B4A"/>
    <w:rsid w:val="00096C26"/>
    <w:rsid w:val="00096DA8"/>
    <w:rsid w:val="00096ECA"/>
    <w:rsid w:val="00097175"/>
    <w:rsid w:val="0009739E"/>
    <w:rsid w:val="000A0B9D"/>
    <w:rsid w:val="000A110D"/>
    <w:rsid w:val="000A1D1A"/>
    <w:rsid w:val="000A3C06"/>
    <w:rsid w:val="000A49D4"/>
    <w:rsid w:val="000A4DBD"/>
    <w:rsid w:val="000A579D"/>
    <w:rsid w:val="000A5A59"/>
    <w:rsid w:val="000A6136"/>
    <w:rsid w:val="000A6AA0"/>
    <w:rsid w:val="000B23B9"/>
    <w:rsid w:val="000B2E8C"/>
    <w:rsid w:val="000B3A8B"/>
    <w:rsid w:val="000B3E97"/>
    <w:rsid w:val="000B46B5"/>
    <w:rsid w:val="000B4E28"/>
    <w:rsid w:val="000B54DA"/>
    <w:rsid w:val="000B5828"/>
    <w:rsid w:val="000B5F7E"/>
    <w:rsid w:val="000B636E"/>
    <w:rsid w:val="000B6983"/>
    <w:rsid w:val="000B6D1F"/>
    <w:rsid w:val="000B7ACB"/>
    <w:rsid w:val="000C094E"/>
    <w:rsid w:val="000C160E"/>
    <w:rsid w:val="000C1F55"/>
    <w:rsid w:val="000C2C91"/>
    <w:rsid w:val="000C3232"/>
    <w:rsid w:val="000C55E1"/>
    <w:rsid w:val="000C70EC"/>
    <w:rsid w:val="000C7B3D"/>
    <w:rsid w:val="000D0342"/>
    <w:rsid w:val="000D0B1F"/>
    <w:rsid w:val="000D0FAE"/>
    <w:rsid w:val="000D11C8"/>
    <w:rsid w:val="000D2573"/>
    <w:rsid w:val="000D464A"/>
    <w:rsid w:val="000D71E6"/>
    <w:rsid w:val="000E0A54"/>
    <w:rsid w:val="000E0B8F"/>
    <w:rsid w:val="000E0F1B"/>
    <w:rsid w:val="000E2169"/>
    <w:rsid w:val="000E21BC"/>
    <w:rsid w:val="000E2C47"/>
    <w:rsid w:val="000E2E58"/>
    <w:rsid w:val="000E33DF"/>
    <w:rsid w:val="000E4EC3"/>
    <w:rsid w:val="000E4F6E"/>
    <w:rsid w:val="000E5B5D"/>
    <w:rsid w:val="000E6734"/>
    <w:rsid w:val="000E71F2"/>
    <w:rsid w:val="000E74A6"/>
    <w:rsid w:val="000E7933"/>
    <w:rsid w:val="000E7F81"/>
    <w:rsid w:val="000F1112"/>
    <w:rsid w:val="000F2818"/>
    <w:rsid w:val="000F5849"/>
    <w:rsid w:val="000F6FC9"/>
    <w:rsid w:val="000F7CF4"/>
    <w:rsid w:val="0010124E"/>
    <w:rsid w:val="00101EE7"/>
    <w:rsid w:val="00102A40"/>
    <w:rsid w:val="00103CE7"/>
    <w:rsid w:val="00105D2C"/>
    <w:rsid w:val="0010775B"/>
    <w:rsid w:val="001108FB"/>
    <w:rsid w:val="00111B8A"/>
    <w:rsid w:val="00113BF8"/>
    <w:rsid w:val="00113EF9"/>
    <w:rsid w:val="00115247"/>
    <w:rsid w:val="00115773"/>
    <w:rsid w:val="00116323"/>
    <w:rsid w:val="00120EC0"/>
    <w:rsid w:val="00121B7A"/>
    <w:rsid w:val="00125DD1"/>
    <w:rsid w:val="00130446"/>
    <w:rsid w:val="00130E1C"/>
    <w:rsid w:val="00130F1E"/>
    <w:rsid w:val="0013194A"/>
    <w:rsid w:val="00131EAD"/>
    <w:rsid w:val="00132FF7"/>
    <w:rsid w:val="00134448"/>
    <w:rsid w:val="00136DA5"/>
    <w:rsid w:val="00136EC5"/>
    <w:rsid w:val="00137CEE"/>
    <w:rsid w:val="00141A80"/>
    <w:rsid w:val="00141AB8"/>
    <w:rsid w:val="00141C79"/>
    <w:rsid w:val="00142E85"/>
    <w:rsid w:val="0014358B"/>
    <w:rsid w:val="00145168"/>
    <w:rsid w:val="00146D03"/>
    <w:rsid w:val="001470CA"/>
    <w:rsid w:val="001476F9"/>
    <w:rsid w:val="00147BD7"/>
    <w:rsid w:val="00151415"/>
    <w:rsid w:val="0015180E"/>
    <w:rsid w:val="00151B72"/>
    <w:rsid w:val="001523F9"/>
    <w:rsid w:val="001536BE"/>
    <w:rsid w:val="00155024"/>
    <w:rsid w:val="00160F23"/>
    <w:rsid w:val="00162271"/>
    <w:rsid w:val="00162B72"/>
    <w:rsid w:val="00162E08"/>
    <w:rsid w:val="00163E49"/>
    <w:rsid w:val="0016507D"/>
    <w:rsid w:val="00165385"/>
    <w:rsid w:val="0016574A"/>
    <w:rsid w:val="00167AA0"/>
    <w:rsid w:val="00174CD2"/>
    <w:rsid w:val="00177495"/>
    <w:rsid w:val="00182C07"/>
    <w:rsid w:val="00183964"/>
    <w:rsid w:val="00184167"/>
    <w:rsid w:val="00184CBF"/>
    <w:rsid w:val="001853C9"/>
    <w:rsid w:val="00186483"/>
    <w:rsid w:val="00186796"/>
    <w:rsid w:val="001875E8"/>
    <w:rsid w:val="001919DF"/>
    <w:rsid w:val="001921DE"/>
    <w:rsid w:val="00193873"/>
    <w:rsid w:val="00193C67"/>
    <w:rsid w:val="00194676"/>
    <w:rsid w:val="00196195"/>
    <w:rsid w:val="001A0D00"/>
    <w:rsid w:val="001A14D9"/>
    <w:rsid w:val="001A22EF"/>
    <w:rsid w:val="001A2CE9"/>
    <w:rsid w:val="001A4BC7"/>
    <w:rsid w:val="001A5DD3"/>
    <w:rsid w:val="001A780C"/>
    <w:rsid w:val="001B1366"/>
    <w:rsid w:val="001B1671"/>
    <w:rsid w:val="001B25E0"/>
    <w:rsid w:val="001B3A55"/>
    <w:rsid w:val="001B4E4D"/>
    <w:rsid w:val="001B4F94"/>
    <w:rsid w:val="001B5003"/>
    <w:rsid w:val="001B5534"/>
    <w:rsid w:val="001B608F"/>
    <w:rsid w:val="001C02F4"/>
    <w:rsid w:val="001C0908"/>
    <w:rsid w:val="001C0BC9"/>
    <w:rsid w:val="001C15D7"/>
    <w:rsid w:val="001C21D9"/>
    <w:rsid w:val="001C273B"/>
    <w:rsid w:val="001C3ECE"/>
    <w:rsid w:val="001C495C"/>
    <w:rsid w:val="001C4A83"/>
    <w:rsid w:val="001C6A44"/>
    <w:rsid w:val="001C7086"/>
    <w:rsid w:val="001D0D46"/>
    <w:rsid w:val="001D0DBB"/>
    <w:rsid w:val="001D15AE"/>
    <w:rsid w:val="001D17E0"/>
    <w:rsid w:val="001D2474"/>
    <w:rsid w:val="001D2917"/>
    <w:rsid w:val="001D4328"/>
    <w:rsid w:val="001D436E"/>
    <w:rsid w:val="001D49BB"/>
    <w:rsid w:val="001D5182"/>
    <w:rsid w:val="001D7568"/>
    <w:rsid w:val="001E0CBD"/>
    <w:rsid w:val="001E1622"/>
    <w:rsid w:val="001E18D0"/>
    <w:rsid w:val="001E1E99"/>
    <w:rsid w:val="001E35E9"/>
    <w:rsid w:val="001E5DE0"/>
    <w:rsid w:val="001E775C"/>
    <w:rsid w:val="001F0ECB"/>
    <w:rsid w:val="001F1201"/>
    <w:rsid w:val="001F1B39"/>
    <w:rsid w:val="001F1C7B"/>
    <w:rsid w:val="001F3CD9"/>
    <w:rsid w:val="001F3DD8"/>
    <w:rsid w:val="001F4D3C"/>
    <w:rsid w:val="0020189C"/>
    <w:rsid w:val="00201B8F"/>
    <w:rsid w:val="00202E29"/>
    <w:rsid w:val="00202FE9"/>
    <w:rsid w:val="0020368E"/>
    <w:rsid w:val="00204AF6"/>
    <w:rsid w:val="002060F9"/>
    <w:rsid w:val="00206414"/>
    <w:rsid w:val="0021085E"/>
    <w:rsid w:val="002149A3"/>
    <w:rsid w:val="00214C72"/>
    <w:rsid w:val="002164AB"/>
    <w:rsid w:val="002165FD"/>
    <w:rsid w:val="00216769"/>
    <w:rsid w:val="002174F7"/>
    <w:rsid w:val="00224669"/>
    <w:rsid w:val="00224CDD"/>
    <w:rsid w:val="0022524D"/>
    <w:rsid w:val="002261DF"/>
    <w:rsid w:val="002271CE"/>
    <w:rsid w:val="002278A1"/>
    <w:rsid w:val="002320CD"/>
    <w:rsid w:val="002325AC"/>
    <w:rsid w:val="0023313A"/>
    <w:rsid w:val="00233310"/>
    <w:rsid w:val="00235A3C"/>
    <w:rsid w:val="00235B8D"/>
    <w:rsid w:val="00235E79"/>
    <w:rsid w:val="00236729"/>
    <w:rsid w:val="00236BF5"/>
    <w:rsid w:val="00240AD9"/>
    <w:rsid w:val="002430B2"/>
    <w:rsid w:val="002444D9"/>
    <w:rsid w:val="00245FDF"/>
    <w:rsid w:val="00247CBF"/>
    <w:rsid w:val="00250DA2"/>
    <w:rsid w:val="00251DE7"/>
    <w:rsid w:val="00253B55"/>
    <w:rsid w:val="0025636C"/>
    <w:rsid w:val="0025649F"/>
    <w:rsid w:val="002565AA"/>
    <w:rsid w:val="00256DC8"/>
    <w:rsid w:val="0025792E"/>
    <w:rsid w:val="002607A1"/>
    <w:rsid w:val="002611BA"/>
    <w:rsid w:val="002614DF"/>
    <w:rsid w:val="0026280F"/>
    <w:rsid w:val="00264A73"/>
    <w:rsid w:val="00266303"/>
    <w:rsid w:val="00266A92"/>
    <w:rsid w:val="002678C3"/>
    <w:rsid w:val="002721CA"/>
    <w:rsid w:val="00272F8E"/>
    <w:rsid w:val="002736A7"/>
    <w:rsid w:val="00274C04"/>
    <w:rsid w:val="0027552C"/>
    <w:rsid w:val="002757F9"/>
    <w:rsid w:val="002758B4"/>
    <w:rsid w:val="002759B5"/>
    <w:rsid w:val="00275F16"/>
    <w:rsid w:val="00276612"/>
    <w:rsid w:val="002805ED"/>
    <w:rsid w:val="00280C86"/>
    <w:rsid w:val="002810C7"/>
    <w:rsid w:val="00281A2B"/>
    <w:rsid w:val="002822B7"/>
    <w:rsid w:val="0028488F"/>
    <w:rsid w:val="002850BA"/>
    <w:rsid w:val="0028696C"/>
    <w:rsid w:val="002875DB"/>
    <w:rsid w:val="00287B19"/>
    <w:rsid w:val="00290ACD"/>
    <w:rsid w:val="00291631"/>
    <w:rsid w:val="00291896"/>
    <w:rsid w:val="0029214F"/>
    <w:rsid w:val="00293439"/>
    <w:rsid w:val="00293E02"/>
    <w:rsid w:val="00294544"/>
    <w:rsid w:val="002945A9"/>
    <w:rsid w:val="00295A72"/>
    <w:rsid w:val="00297A59"/>
    <w:rsid w:val="002A3016"/>
    <w:rsid w:val="002A5DF0"/>
    <w:rsid w:val="002A77BE"/>
    <w:rsid w:val="002A7AE6"/>
    <w:rsid w:val="002B0C58"/>
    <w:rsid w:val="002B0E71"/>
    <w:rsid w:val="002B0EF1"/>
    <w:rsid w:val="002B1C5C"/>
    <w:rsid w:val="002B3240"/>
    <w:rsid w:val="002B408D"/>
    <w:rsid w:val="002B4E35"/>
    <w:rsid w:val="002B77DE"/>
    <w:rsid w:val="002B7DC1"/>
    <w:rsid w:val="002B7F55"/>
    <w:rsid w:val="002C073E"/>
    <w:rsid w:val="002C258A"/>
    <w:rsid w:val="002C2C04"/>
    <w:rsid w:val="002C3BEC"/>
    <w:rsid w:val="002C514C"/>
    <w:rsid w:val="002C5682"/>
    <w:rsid w:val="002D020F"/>
    <w:rsid w:val="002D05CD"/>
    <w:rsid w:val="002D081E"/>
    <w:rsid w:val="002D1530"/>
    <w:rsid w:val="002D35CF"/>
    <w:rsid w:val="002D5721"/>
    <w:rsid w:val="002D613B"/>
    <w:rsid w:val="002D69A5"/>
    <w:rsid w:val="002D69D8"/>
    <w:rsid w:val="002D777E"/>
    <w:rsid w:val="002D7D88"/>
    <w:rsid w:val="002E0833"/>
    <w:rsid w:val="002E103C"/>
    <w:rsid w:val="002E254F"/>
    <w:rsid w:val="002E2EC4"/>
    <w:rsid w:val="002E40AA"/>
    <w:rsid w:val="002E4521"/>
    <w:rsid w:val="002E516A"/>
    <w:rsid w:val="002E53D3"/>
    <w:rsid w:val="002E624B"/>
    <w:rsid w:val="002E65FE"/>
    <w:rsid w:val="002E71C8"/>
    <w:rsid w:val="002E7895"/>
    <w:rsid w:val="002F065B"/>
    <w:rsid w:val="002F151B"/>
    <w:rsid w:val="002F1945"/>
    <w:rsid w:val="002F22B0"/>
    <w:rsid w:val="002F4D71"/>
    <w:rsid w:val="002F6DBD"/>
    <w:rsid w:val="00300BD5"/>
    <w:rsid w:val="0030418A"/>
    <w:rsid w:val="0030479D"/>
    <w:rsid w:val="00305E72"/>
    <w:rsid w:val="003119EE"/>
    <w:rsid w:val="00312486"/>
    <w:rsid w:val="003132BE"/>
    <w:rsid w:val="00313786"/>
    <w:rsid w:val="00313DD3"/>
    <w:rsid w:val="003167B9"/>
    <w:rsid w:val="00317F29"/>
    <w:rsid w:val="00321A27"/>
    <w:rsid w:val="0032298B"/>
    <w:rsid w:val="003252D2"/>
    <w:rsid w:val="00325AF2"/>
    <w:rsid w:val="00327F59"/>
    <w:rsid w:val="00330264"/>
    <w:rsid w:val="003316FF"/>
    <w:rsid w:val="0033195C"/>
    <w:rsid w:val="00331ABB"/>
    <w:rsid w:val="00332ABB"/>
    <w:rsid w:val="003331E0"/>
    <w:rsid w:val="00334B3E"/>
    <w:rsid w:val="00334C8C"/>
    <w:rsid w:val="0033633E"/>
    <w:rsid w:val="003367EA"/>
    <w:rsid w:val="00337AA0"/>
    <w:rsid w:val="003409BB"/>
    <w:rsid w:val="00340D38"/>
    <w:rsid w:val="00341ADD"/>
    <w:rsid w:val="00341EE8"/>
    <w:rsid w:val="00342722"/>
    <w:rsid w:val="00342C68"/>
    <w:rsid w:val="00342D1D"/>
    <w:rsid w:val="00343674"/>
    <w:rsid w:val="00343E23"/>
    <w:rsid w:val="00343E76"/>
    <w:rsid w:val="00344CAD"/>
    <w:rsid w:val="00346B14"/>
    <w:rsid w:val="00346D1F"/>
    <w:rsid w:val="00347028"/>
    <w:rsid w:val="00347D04"/>
    <w:rsid w:val="00350112"/>
    <w:rsid w:val="00350496"/>
    <w:rsid w:val="00351A64"/>
    <w:rsid w:val="003522F9"/>
    <w:rsid w:val="00352A80"/>
    <w:rsid w:val="0036008B"/>
    <w:rsid w:val="00363794"/>
    <w:rsid w:val="00367723"/>
    <w:rsid w:val="003718E0"/>
    <w:rsid w:val="00372112"/>
    <w:rsid w:val="00374A1D"/>
    <w:rsid w:val="00381541"/>
    <w:rsid w:val="003825FE"/>
    <w:rsid w:val="00383168"/>
    <w:rsid w:val="00386039"/>
    <w:rsid w:val="003860FF"/>
    <w:rsid w:val="00386186"/>
    <w:rsid w:val="003871AE"/>
    <w:rsid w:val="00387A9B"/>
    <w:rsid w:val="003900C7"/>
    <w:rsid w:val="00392F3D"/>
    <w:rsid w:val="0039475A"/>
    <w:rsid w:val="0039557A"/>
    <w:rsid w:val="0039580F"/>
    <w:rsid w:val="00395D15"/>
    <w:rsid w:val="003967F5"/>
    <w:rsid w:val="003A0EE0"/>
    <w:rsid w:val="003A1073"/>
    <w:rsid w:val="003A31A5"/>
    <w:rsid w:val="003A513B"/>
    <w:rsid w:val="003B03AF"/>
    <w:rsid w:val="003B0CCE"/>
    <w:rsid w:val="003B2D82"/>
    <w:rsid w:val="003B32F0"/>
    <w:rsid w:val="003B3676"/>
    <w:rsid w:val="003B39F8"/>
    <w:rsid w:val="003B45D3"/>
    <w:rsid w:val="003B4A06"/>
    <w:rsid w:val="003B4BE7"/>
    <w:rsid w:val="003B5871"/>
    <w:rsid w:val="003B64C5"/>
    <w:rsid w:val="003C0E6E"/>
    <w:rsid w:val="003C0FE2"/>
    <w:rsid w:val="003C1C33"/>
    <w:rsid w:val="003C3A2A"/>
    <w:rsid w:val="003C3B69"/>
    <w:rsid w:val="003C44CB"/>
    <w:rsid w:val="003C5EA5"/>
    <w:rsid w:val="003C6ADB"/>
    <w:rsid w:val="003C7444"/>
    <w:rsid w:val="003C7A90"/>
    <w:rsid w:val="003D14FE"/>
    <w:rsid w:val="003D2BDD"/>
    <w:rsid w:val="003D3900"/>
    <w:rsid w:val="003D42F2"/>
    <w:rsid w:val="003D4AFC"/>
    <w:rsid w:val="003D50F9"/>
    <w:rsid w:val="003D52C5"/>
    <w:rsid w:val="003D56AC"/>
    <w:rsid w:val="003D56C2"/>
    <w:rsid w:val="003D60FA"/>
    <w:rsid w:val="003D65C7"/>
    <w:rsid w:val="003D65D2"/>
    <w:rsid w:val="003D7E81"/>
    <w:rsid w:val="003E38CB"/>
    <w:rsid w:val="003E4288"/>
    <w:rsid w:val="003E6150"/>
    <w:rsid w:val="003E6601"/>
    <w:rsid w:val="003E73FE"/>
    <w:rsid w:val="003F0666"/>
    <w:rsid w:val="003F0796"/>
    <w:rsid w:val="003F39B3"/>
    <w:rsid w:val="003F4A0D"/>
    <w:rsid w:val="003F4E0A"/>
    <w:rsid w:val="003F4FB0"/>
    <w:rsid w:val="004004E0"/>
    <w:rsid w:val="004006FD"/>
    <w:rsid w:val="0040104B"/>
    <w:rsid w:val="004021F9"/>
    <w:rsid w:val="004022AC"/>
    <w:rsid w:val="00402B65"/>
    <w:rsid w:val="00402B74"/>
    <w:rsid w:val="00402FD8"/>
    <w:rsid w:val="00403B85"/>
    <w:rsid w:val="0040644D"/>
    <w:rsid w:val="00406C88"/>
    <w:rsid w:val="00407019"/>
    <w:rsid w:val="004077E0"/>
    <w:rsid w:val="0041072D"/>
    <w:rsid w:val="004130D7"/>
    <w:rsid w:val="00415DFF"/>
    <w:rsid w:val="00416D1C"/>
    <w:rsid w:val="004173E6"/>
    <w:rsid w:val="0042036B"/>
    <w:rsid w:val="0042041F"/>
    <w:rsid w:val="00422CCA"/>
    <w:rsid w:val="004249AF"/>
    <w:rsid w:val="004252B2"/>
    <w:rsid w:val="004269DF"/>
    <w:rsid w:val="0043012E"/>
    <w:rsid w:val="00430358"/>
    <w:rsid w:val="00432528"/>
    <w:rsid w:val="00432D51"/>
    <w:rsid w:val="00432D6B"/>
    <w:rsid w:val="00432FC3"/>
    <w:rsid w:val="004335B8"/>
    <w:rsid w:val="0043372E"/>
    <w:rsid w:val="0043400E"/>
    <w:rsid w:val="004347E5"/>
    <w:rsid w:val="00435129"/>
    <w:rsid w:val="004406FA"/>
    <w:rsid w:val="004417EF"/>
    <w:rsid w:val="0044225F"/>
    <w:rsid w:val="00442FC0"/>
    <w:rsid w:val="0044389B"/>
    <w:rsid w:val="004463E9"/>
    <w:rsid w:val="00446BF0"/>
    <w:rsid w:val="00447578"/>
    <w:rsid w:val="00453ADF"/>
    <w:rsid w:val="00453DFA"/>
    <w:rsid w:val="00454A94"/>
    <w:rsid w:val="00457385"/>
    <w:rsid w:val="004604A6"/>
    <w:rsid w:val="00461AF1"/>
    <w:rsid w:val="00461B9B"/>
    <w:rsid w:val="00463F4B"/>
    <w:rsid w:val="00465552"/>
    <w:rsid w:val="00467B56"/>
    <w:rsid w:val="00470BBE"/>
    <w:rsid w:val="00470C8D"/>
    <w:rsid w:val="00471AD5"/>
    <w:rsid w:val="00471B3F"/>
    <w:rsid w:val="00474523"/>
    <w:rsid w:val="0047555E"/>
    <w:rsid w:val="004766B0"/>
    <w:rsid w:val="0047735A"/>
    <w:rsid w:val="0048017F"/>
    <w:rsid w:val="00482808"/>
    <w:rsid w:val="004831EC"/>
    <w:rsid w:val="004834E9"/>
    <w:rsid w:val="00486454"/>
    <w:rsid w:val="00487312"/>
    <w:rsid w:val="00487A30"/>
    <w:rsid w:val="00491DD6"/>
    <w:rsid w:val="00492196"/>
    <w:rsid w:val="004939D7"/>
    <w:rsid w:val="00493CC3"/>
    <w:rsid w:val="00494856"/>
    <w:rsid w:val="00497400"/>
    <w:rsid w:val="004A0E1B"/>
    <w:rsid w:val="004A46B1"/>
    <w:rsid w:val="004A78FC"/>
    <w:rsid w:val="004A7F61"/>
    <w:rsid w:val="004B08C8"/>
    <w:rsid w:val="004B1A6F"/>
    <w:rsid w:val="004B2250"/>
    <w:rsid w:val="004B4385"/>
    <w:rsid w:val="004B4C97"/>
    <w:rsid w:val="004B5B0D"/>
    <w:rsid w:val="004B6046"/>
    <w:rsid w:val="004B7A30"/>
    <w:rsid w:val="004C0D54"/>
    <w:rsid w:val="004C1209"/>
    <w:rsid w:val="004C32AB"/>
    <w:rsid w:val="004C3CDC"/>
    <w:rsid w:val="004C4377"/>
    <w:rsid w:val="004C457A"/>
    <w:rsid w:val="004C482E"/>
    <w:rsid w:val="004C649A"/>
    <w:rsid w:val="004C70BE"/>
    <w:rsid w:val="004C7CD4"/>
    <w:rsid w:val="004D0B3E"/>
    <w:rsid w:val="004D14A3"/>
    <w:rsid w:val="004D1EF2"/>
    <w:rsid w:val="004D3035"/>
    <w:rsid w:val="004D3F8C"/>
    <w:rsid w:val="004D57B9"/>
    <w:rsid w:val="004D67EE"/>
    <w:rsid w:val="004D6B71"/>
    <w:rsid w:val="004D6F48"/>
    <w:rsid w:val="004E0590"/>
    <w:rsid w:val="004E07F7"/>
    <w:rsid w:val="004E3BDF"/>
    <w:rsid w:val="004E3E9A"/>
    <w:rsid w:val="004E4ED4"/>
    <w:rsid w:val="004E6C4C"/>
    <w:rsid w:val="004E7822"/>
    <w:rsid w:val="004E7D23"/>
    <w:rsid w:val="004F00AD"/>
    <w:rsid w:val="004F0BC5"/>
    <w:rsid w:val="004F294C"/>
    <w:rsid w:val="004F3828"/>
    <w:rsid w:val="004F3BCE"/>
    <w:rsid w:val="004F3EA6"/>
    <w:rsid w:val="004F4BC6"/>
    <w:rsid w:val="004F5574"/>
    <w:rsid w:val="004F5D9B"/>
    <w:rsid w:val="004F635C"/>
    <w:rsid w:val="005007AC"/>
    <w:rsid w:val="005011E3"/>
    <w:rsid w:val="00501654"/>
    <w:rsid w:val="00501BE4"/>
    <w:rsid w:val="00501D4D"/>
    <w:rsid w:val="00502293"/>
    <w:rsid w:val="00503DE1"/>
    <w:rsid w:val="00505410"/>
    <w:rsid w:val="005055DC"/>
    <w:rsid w:val="00505942"/>
    <w:rsid w:val="00510C73"/>
    <w:rsid w:val="005111E5"/>
    <w:rsid w:val="00511409"/>
    <w:rsid w:val="00511C7E"/>
    <w:rsid w:val="0051406E"/>
    <w:rsid w:val="00514A8F"/>
    <w:rsid w:val="00522F35"/>
    <w:rsid w:val="00525071"/>
    <w:rsid w:val="005260E9"/>
    <w:rsid w:val="00527A44"/>
    <w:rsid w:val="0053052A"/>
    <w:rsid w:val="005331EC"/>
    <w:rsid w:val="005348B4"/>
    <w:rsid w:val="00535486"/>
    <w:rsid w:val="00536315"/>
    <w:rsid w:val="0053678F"/>
    <w:rsid w:val="005401BE"/>
    <w:rsid w:val="005413C3"/>
    <w:rsid w:val="0054140A"/>
    <w:rsid w:val="0054149A"/>
    <w:rsid w:val="00543EEB"/>
    <w:rsid w:val="00544B28"/>
    <w:rsid w:val="0054709D"/>
    <w:rsid w:val="005473A9"/>
    <w:rsid w:val="0054794A"/>
    <w:rsid w:val="005501EB"/>
    <w:rsid w:val="00550A71"/>
    <w:rsid w:val="00553DE9"/>
    <w:rsid w:val="005544F8"/>
    <w:rsid w:val="0055536A"/>
    <w:rsid w:val="005565DF"/>
    <w:rsid w:val="005572D1"/>
    <w:rsid w:val="00557F25"/>
    <w:rsid w:val="00560C9C"/>
    <w:rsid w:val="00560EC6"/>
    <w:rsid w:val="00562375"/>
    <w:rsid w:val="00562AEE"/>
    <w:rsid w:val="00562F35"/>
    <w:rsid w:val="005636B8"/>
    <w:rsid w:val="00565080"/>
    <w:rsid w:val="00565533"/>
    <w:rsid w:val="00566371"/>
    <w:rsid w:val="00566427"/>
    <w:rsid w:val="0056670E"/>
    <w:rsid w:val="005715D9"/>
    <w:rsid w:val="0057282A"/>
    <w:rsid w:val="00572A94"/>
    <w:rsid w:val="00573FEC"/>
    <w:rsid w:val="00574A7C"/>
    <w:rsid w:val="005769CF"/>
    <w:rsid w:val="005776C1"/>
    <w:rsid w:val="00577BA1"/>
    <w:rsid w:val="00581159"/>
    <w:rsid w:val="00581E54"/>
    <w:rsid w:val="00585BC5"/>
    <w:rsid w:val="00585CEE"/>
    <w:rsid w:val="00586257"/>
    <w:rsid w:val="00587070"/>
    <w:rsid w:val="00590FFD"/>
    <w:rsid w:val="005911B9"/>
    <w:rsid w:val="00595649"/>
    <w:rsid w:val="005960EE"/>
    <w:rsid w:val="005970E1"/>
    <w:rsid w:val="005A12E3"/>
    <w:rsid w:val="005A1B80"/>
    <w:rsid w:val="005A1D2C"/>
    <w:rsid w:val="005A3EE7"/>
    <w:rsid w:val="005A5E1E"/>
    <w:rsid w:val="005A60DE"/>
    <w:rsid w:val="005A6464"/>
    <w:rsid w:val="005A7264"/>
    <w:rsid w:val="005B02C4"/>
    <w:rsid w:val="005B0953"/>
    <w:rsid w:val="005B28C0"/>
    <w:rsid w:val="005B3FEA"/>
    <w:rsid w:val="005B760C"/>
    <w:rsid w:val="005C0D0D"/>
    <w:rsid w:val="005C11F9"/>
    <w:rsid w:val="005C2CEB"/>
    <w:rsid w:val="005C31A7"/>
    <w:rsid w:val="005C5792"/>
    <w:rsid w:val="005C5C75"/>
    <w:rsid w:val="005C6441"/>
    <w:rsid w:val="005C649B"/>
    <w:rsid w:val="005D07DF"/>
    <w:rsid w:val="005D1CFA"/>
    <w:rsid w:val="005D2A5A"/>
    <w:rsid w:val="005D3275"/>
    <w:rsid w:val="005D4AC3"/>
    <w:rsid w:val="005D5894"/>
    <w:rsid w:val="005D5F9C"/>
    <w:rsid w:val="005D7FCF"/>
    <w:rsid w:val="005E01EF"/>
    <w:rsid w:val="005E0726"/>
    <w:rsid w:val="005E1460"/>
    <w:rsid w:val="005E1D02"/>
    <w:rsid w:val="005E21E4"/>
    <w:rsid w:val="005E26AB"/>
    <w:rsid w:val="005E580F"/>
    <w:rsid w:val="005E7934"/>
    <w:rsid w:val="005F1525"/>
    <w:rsid w:val="005F1546"/>
    <w:rsid w:val="005F209C"/>
    <w:rsid w:val="005F4AC9"/>
    <w:rsid w:val="005F4ECC"/>
    <w:rsid w:val="005F54E3"/>
    <w:rsid w:val="005F5681"/>
    <w:rsid w:val="005F7DC7"/>
    <w:rsid w:val="00600869"/>
    <w:rsid w:val="00600E6E"/>
    <w:rsid w:val="00601DF2"/>
    <w:rsid w:val="00601E77"/>
    <w:rsid w:val="00602C6A"/>
    <w:rsid w:val="00605309"/>
    <w:rsid w:val="00605C00"/>
    <w:rsid w:val="00605F9C"/>
    <w:rsid w:val="00606DDF"/>
    <w:rsid w:val="00611620"/>
    <w:rsid w:val="00611624"/>
    <w:rsid w:val="0061275C"/>
    <w:rsid w:val="00614073"/>
    <w:rsid w:val="00614153"/>
    <w:rsid w:val="00614901"/>
    <w:rsid w:val="006153DE"/>
    <w:rsid w:val="00615FA2"/>
    <w:rsid w:val="0061708F"/>
    <w:rsid w:val="0062096E"/>
    <w:rsid w:val="006228FC"/>
    <w:rsid w:val="00622BA0"/>
    <w:rsid w:val="00623A65"/>
    <w:rsid w:val="00623C03"/>
    <w:rsid w:val="00624936"/>
    <w:rsid w:val="00624F14"/>
    <w:rsid w:val="00627468"/>
    <w:rsid w:val="006274EB"/>
    <w:rsid w:val="00627EC7"/>
    <w:rsid w:val="00630419"/>
    <w:rsid w:val="006330EB"/>
    <w:rsid w:val="00633314"/>
    <w:rsid w:val="0063566A"/>
    <w:rsid w:val="00636825"/>
    <w:rsid w:val="00636A09"/>
    <w:rsid w:val="00636DB9"/>
    <w:rsid w:val="00636DBD"/>
    <w:rsid w:val="00637F6A"/>
    <w:rsid w:val="00640D9A"/>
    <w:rsid w:val="00641602"/>
    <w:rsid w:val="00642111"/>
    <w:rsid w:val="00642722"/>
    <w:rsid w:val="006449B0"/>
    <w:rsid w:val="00650ECD"/>
    <w:rsid w:val="0065194E"/>
    <w:rsid w:val="00651EE7"/>
    <w:rsid w:val="006532AB"/>
    <w:rsid w:val="00655D03"/>
    <w:rsid w:val="0065672F"/>
    <w:rsid w:val="00660806"/>
    <w:rsid w:val="0066090B"/>
    <w:rsid w:val="00660BF5"/>
    <w:rsid w:val="00662A47"/>
    <w:rsid w:val="006661DD"/>
    <w:rsid w:val="00666FEF"/>
    <w:rsid w:val="0066757F"/>
    <w:rsid w:val="00670F02"/>
    <w:rsid w:val="0067125C"/>
    <w:rsid w:val="00671F3C"/>
    <w:rsid w:val="0067267D"/>
    <w:rsid w:val="00673A7D"/>
    <w:rsid w:val="0067417C"/>
    <w:rsid w:val="00675555"/>
    <w:rsid w:val="0067680C"/>
    <w:rsid w:val="00676B49"/>
    <w:rsid w:val="00682106"/>
    <w:rsid w:val="00683C41"/>
    <w:rsid w:val="006871DC"/>
    <w:rsid w:val="0069052D"/>
    <w:rsid w:val="00690D7C"/>
    <w:rsid w:val="006926C3"/>
    <w:rsid w:val="00694508"/>
    <w:rsid w:val="00694964"/>
    <w:rsid w:val="00695439"/>
    <w:rsid w:val="006A3B44"/>
    <w:rsid w:val="006A416F"/>
    <w:rsid w:val="006A42DD"/>
    <w:rsid w:val="006A49F3"/>
    <w:rsid w:val="006A571B"/>
    <w:rsid w:val="006A5BA6"/>
    <w:rsid w:val="006A5EE8"/>
    <w:rsid w:val="006A687D"/>
    <w:rsid w:val="006A723F"/>
    <w:rsid w:val="006A7622"/>
    <w:rsid w:val="006A7EB7"/>
    <w:rsid w:val="006B07A1"/>
    <w:rsid w:val="006B0C11"/>
    <w:rsid w:val="006B0D0E"/>
    <w:rsid w:val="006B2252"/>
    <w:rsid w:val="006B2C13"/>
    <w:rsid w:val="006B322A"/>
    <w:rsid w:val="006B4552"/>
    <w:rsid w:val="006B4E78"/>
    <w:rsid w:val="006B700F"/>
    <w:rsid w:val="006C056F"/>
    <w:rsid w:val="006C1C01"/>
    <w:rsid w:val="006C5367"/>
    <w:rsid w:val="006C7897"/>
    <w:rsid w:val="006D0815"/>
    <w:rsid w:val="006D25E7"/>
    <w:rsid w:val="006D2648"/>
    <w:rsid w:val="006D62AD"/>
    <w:rsid w:val="006E227C"/>
    <w:rsid w:val="006E67EF"/>
    <w:rsid w:val="006F0051"/>
    <w:rsid w:val="006F1F08"/>
    <w:rsid w:val="006F2B98"/>
    <w:rsid w:val="006F6B54"/>
    <w:rsid w:val="00700918"/>
    <w:rsid w:val="00702CF5"/>
    <w:rsid w:val="00702F32"/>
    <w:rsid w:val="00703AB2"/>
    <w:rsid w:val="00704C20"/>
    <w:rsid w:val="007057E0"/>
    <w:rsid w:val="00710703"/>
    <w:rsid w:val="00710B71"/>
    <w:rsid w:val="00712519"/>
    <w:rsid w:val="007147CF"/>
    <w:rsid w:val="007152E7"/>
    <w:rsid w:val="0071572C"/>
    <w:rsid w:val="00715B68"/>
    <w:rsid w:val="007165CE"/>
    <w:rsid w:val="00717062"/>
    <w:rsid w:val="00721175"/>
    <w:rsid w:val="00721265"/>
    <w:rsid w:val="00721EC0"/>
    <w:rsid w:val="007223F8"/>
    <w:rsid w:val="0072304F"/>
    <w:rsid w:val="0072405F"/>
    <w:rsid w:val="00724317"/>
    <w:rsid w:val="0072431F"/>
    <w:rsid w:val="007254DF"/>
    <w:rsid w:val="007265B9"/>
    <w:rsid w:val="00727194"/>
    <w:rsid w:val="00731C5A"/>
    <w:rsid w:val="007321D8"/>
    <w:rsid w:val="00733506"/>
    <w:rsid w:val="00733F25"/>
    <w:rsid w:val="007345C6"/>
    <w:rsid w:val="00734C86"/>
    <w:rsid w:val="00735320"/>
    <w:rsid w:val="00735CD8"/>
    <w:rsid w:val="007365C9"/>
    <w:rsid w:val="007368A3"/>
    <w:rsid w:val="007368DD"/>
    <w:rsid w:val="00737BCF"/>
    <w:rsid w:val="0074248D"/>
    <w:rsid w:val="0074418B"/>
    <w:rsid w:val="00744C5F"/>
    <w:rsid w:val="0074507A"/>
    <w:rsid w:val="00746D70"/>
    <w:rsid w:val="00747D39"/>
    <w:rsid w:val="00747DB6"/>
    <w:rsid w:val="0075133B"/>
    <w:rsid w:val="007525DE"/>
    <w:rsid w:val="007531E7"/>
    <w:rsid w:val="00753262"/>
    <w:rsid w:val="00753BED"/>
    <w:rsid w:val="00754AE7"/>
    <w:rsid w:val="00754B5C"/>
    <w:rsid w:val="00757CE9"/>
    <w:rsid w:val="0076094B"/>
    <w:rsid w:val="00762041"/>
    <w:rsid w:val="007629C4"/>
    <w:rsid w:val="00763379"/>
    <w:rsid w:val="007643DC"/>
    <w:rsid w:val="0076562C"/>
    <w:rsid w:val="00765F6D"/>
    <w:rsid w:val="00766070"/>
    <w:rsid w:val="00770A5E"/>
    <w:rsid w:val="00771C98"/>
    <w:rsid w:val="007727AE"/>
    <w:rsid w:val="00773FB7"/>
    <w:rsid w:val="00773FDF"/>
    <w:rsid w:val="0078128E"/>
    <w:rsid w:val="00781F4F"/>
    <w:rsid w:val="007843E5"/>
    <w:rsid w:val="0078604A"/>
    <w:rsid w:val="00790D21"/>
    <w:rsid w:val="007912C5"/>
    <w:rsid w:val="00791490"/>
    <w:rsid w:val="00791BC8"/>
    <w:rsid w:val="00792565"/>
    <w:rsid w:val="0079380F"/>
    <w:rsid w:val="00793897"/>
    <w:rsid w:val="007938FA"/>
    <w:rsid w:val="007943FF"/>
    <w:rsid w:val="007946CB"/>
    <w:rsid w:val="00794D8B"/>
    <w:rsid w:val="00795AF7"/>
    <w:rsid w:val="00797583"/>
    <w:rsid w:val="00797DE6"/>
    <w:rsid w:val="007A1822"/>
    <w:rsid w:val="007A1D32"/>
    <w:rsid w:val="007A1E19"/>
    <w:rsid w:val="007A261A"/>
    <w:rsid w:val="007A37C6"/>
    <w:rsid w:val="007A406C"/>
    <w:rsid w:val="007A50E7"/>
    <w:rsid w:val="007A5B40"/>
    <w:rsid w:val="007A6D36"/>
    <w:rsid w:val="007A7907"/>
    <w:rsid w:val="007B1E5A"/>
    <w:rsid w:val="007B239D"/>
    <w:rsid w:val="007B28D2"/>
    <w:rsid w:val="007B2C41"/>
    <w:rsid w:val="007B3502"/>
    <w:rsid w:val="007B4F74"/>
    <w:rsid w:val="007B5F22"/>
    <w:rsid w:val="007B64EE"/>
    <w:rsid w:val="007B77BA"/>
    <w:rsid w:val="007C1503"/>
    <w:rsid w:val="007C17FB"/>
    <w:rsid w:val="007C1D1E"/>
    <w:rsid w:val="007C2F57"/>
    <w:rsid w:val="007C472D"/>
    <w:rsid w:val="007C68EF"/>
    <w:rsid w:val="007D0954"/>
    <w:rsid w:val="007D1039"/>
    <w:rsid w:val="007D1560"/>
    <w:rsid w:val="007D3809"/>
    <w:rsid w:val="007D41B7"/>
    <w:rsid w:val="007D5572"/>
    <w:rsid w:val="007D5610"/>
    <w:rsid w:val="007D6D4C"/>
    <w:rsid w:val="007E1683"/>
    <w:rsid w:val="007E1D5D"/>
    <w:rsid w:val="007E2100"/>
    <w:rsid w:val="007E23D8"/>
    <w:rsid w:val="007E40D5"/>
    <w:rsid w:val="007E7E29"/>
    <w:rsid w:val="007F0437"/>
    <w:rsid w:val="007F0775"/>
    <w:rsid w:val="007F263D"/>
    <w:rsid w:val="007F4876"/>
    <w:rsid w:val="007F4D8A"/>
    <w:rsid w:val="007F50CB"/>
    <w:rsid w:val="007F730B"/>
    <w:rsid w:val="007F73A0"/>
    <w:rsid w:val="00803751"/>
    <w:rsid w:val="00803E48"/>
    <w:rsid w:val="00803ECA"/>
    <w:rsid w:val="008055FD"/>
    <w:rsid w:val="0080709A"/>
    <w:rsid w:val="00807297"/>
    <w:rsid w:val="00807E28"/>
    <w:rsid w:val="008108D7"/>
    <w:rsid w:val="00815302"/>
    <w:rsid w:val="00817176"/>
    <w:rsid w:val="00825351"/>
    <w:rsid w:val="00825A75"/>
    <w:rsid w:val="00825EFA"/>
    <w:rsid w:val="008306FD"/>
    <w:rsid w:val="0083322C"/>
    <w:rsid w:val="00834940"/>
    <w:rsid w:val="00837DC4"/>
    <w:rsid w:val="00837EE9"/>
    <w:rsid w:val="00840628"/>
    <w:rsid w:val="008408AB"/>
    <w:rsid w:val="00843D67"/>
    <w:rsid w:val="00843FDD"/>
    <w:rsid w:val="0084448A"/>
    <w:rsid w:val="00844C97"/>
    <w:rsid w:val="00844E44"/>
    <w:rsid w:val="00847206"/>
    <w:rsid w:val="00851424"/>
    <w:rsid w:val="0085179C"/>
    <w:rsid w:val="00851C06"/>
    <w:rsid w:val="008536A8"/>
    <w:rsid w:val="00854877"/>
    <w:rsid w:val="008549DB"/>
    <w:rsid w:val="00855BF6"/>
    <w:rsid w:val="00856BAA"/>
    <w:rsid w:val="00857E0D"/>
    <w:rsid w:val="008616F4"/>
    <w:rsid w:val="00862109"/>
    <w:rsid w:val="0086247C"/>
    <w:rsid w:val="00862F15"/>
    <w:rsid w:val="008634DE"/>
    <w:rsid w:val="00864B29"/>
    <w:rsid w:val="00865D18"/>
    <w:rsid w:val="00865D36"/>
    <w:rsid w:val="00871495"/>
    <w:rsid w:val="0087407D"/>
    <w:rsid w:val="00874A1A"/>
    <w:rsid w:val="00875171"/>
    <w:rsid w:val="008752A9"/>
    <w:rsid w:val="00877E5A"/>
    <w:rsid w:val="0088061F"/>
    <w:rsid w:val="00880A8E"/>
    <w:rsid w:val="00881B99"/>
    <w:rsid w:val="00882C06"/>
    <w:rsid w:val="00882EB1"/>
    <w:rsid w:val="00883536"/>
    <w:rsid w:val="00884B3F"/>
    <w:rsid w:val="00884DCE"/>
    <w:rsid w:val="00885209"/>
    <w:rsid w:val="00886072"/>
    <w:rsid w:val="0088682D"/>
    <w:rsid w:val="0088768E"/>
    <w:rsid w:val="008879A4"/>
    <w:rsid w:val="008903B6"/>
    <w:rsid w:val="00890C72"/>
    <w:rsid w:val="0089186B"/>
    <w:rsid w:val="0089361A"/>
    <w:rsid w:val="0089378B"/>
    <w:rsid w:val="00897F67"/>
    <w:rsid w:val="008A03E7"/>
    <w:rsid w:val="008A0CE3"/>
    <w:rsid w:val="008A1B06"/>
    <w:rsid w:val="008A1F69"/>
    <w:rsid w:val="008A21A8"/>
    <w:rsid w:val="008A2C77"/>
    <w:rsid w:val="008A2DD1"/>
    <w:rsid w:val="008A3ECB"/>
    <w:rsid w:val="008A4A7C"/>
    <w:rsid w:val="008A572C"/>
    <w:rsid w:val="008A65AB"/>
    <w:rsid w:val="008A7AF8"/>
    <w:rsid w:val="008B4939"/>
    <w:rsid w:val="008B7220"/>
    <w:rsid w:val="008C0C5F"/>
    <w:rsid w:val="008C0F07"/>
    <w:rsid w:val="008C0F34"/>
    <w:rsid w:val="008C3505"/>
    <w:rsid w:val="008C651A"/>
    <w:rsid w:val="008C6B9C"/>
    <w:rsid w:val="008C6FA4"/>
    <w:rsid w:val="008C723A"/>
    <w:rsid w:val="008C76DB"/>
    <w:rsid w:val="008D0412"/>
    <w:rsid w:val="008D0660"/>
    <w:rsid w:val="008D07E4"/>
    <w:rsid w:val="008D27F7"/>
    <w:rsid w:val="008D7036"/>
    <w:rsid w:val="008E15D5"/>
    <w:rsid w:val="008E1D14"/>
    <w:rsid w:val="008E3255"/>
    <w:rsid w:val="008E344A"/>
    <w:rsid w:val="008E59A0"/>
    <w:rsid w:val="008E66B9"/>
    <w:rsid w:val="008E6B7B"/>
    <w:rsid w:val="008E6CAF"/>
    <w:rsid w:val="008E7E4F"/>
    <w:rsid w:val="008F0678"/>
    <w:rsid w:val="008F06EE"/>
    <w:rsid w:val="008F0B49"/>
    <w:rsid w:val="008F19C5"/>
    <w:rsid w:val="008F2847"/>
    <w:rsid w:val="008F2FE6"/>
    <w:rsid w:val="008F319C"/>
    <w:rsid w:val="008F373E"/>
    <w:rsid w:val="008F39E9"/>
    <w:rsid w:val="008F3F57"/>
    <w:rsid w:val="008F6A5F"/>
    <w:rsid w:val="00902ED3"/>
    <w:rsid w:val="00904352"/>
    <w:rsid w:val="0090507F"/>
    <w:rsid w:val="009050BF"/>
    <w:rsid w:val="00905375"/>
    <w:rsid w:val="00905CC4"/>
    <w:rsid w:val="00906B94"/>
    <w:rsid w:val="0090764F"/>
    <w:rsid w:val="0091009A"/>
    <w:rsid w:val="00912E9C"/>
    <w:rsid w:val="0091373E"/>
    <w:rsid w:val="00913B71"/>
    <w:rsid w:val="00913C45"/>
    <w:rsid w:val="009165D2"/>
    <w:rsid w:val="00917447"/>
    <w:rsid w:val="009204D2"/>
    <w:rsid w:val="009206DF"/>
    <w:rsid w:val="00921122"/>
    <w:rsid w:val="00922738"/>
    <w:rsid w:val="0092297B"/>
    <w:rsid w:val="00923646"/>
    <w:rsid w:val="0092476F"/>
    <w:rsid w:val="00926068"/>
    <w:rsid w:val="009269D8"/>
    <w:rsid w:val="00926C73"/>
    <w:rsid w:val="009311AB"/>
    <w:rsid w:val="009314B4"/>
    <w:rsid w:val="0093215D"/>
    <w:rsid w:val="0093222B"/>
    <w:rsid w:val="00933ACF"/>
    <w:rsid w:val="009352A5"/>
    <w:rsid w:val="009357A8"/>
    <w:rsid w:val="009366DE"/>
    <w:rsid w:val="00937EF7"/>
    <w:rsid w:val="009409D7"/>
    <w:rsid w:val="00940C38"/>
    <w:rsid w:val="00941BAD"/>
    <w:rsid w:val="00942960"/>
    <w:rsid w:val="00942B6D"/>
    <w:rsid w:val="009433C4"/>
    <w:rsid w:val="00943C38"/>
    <w:rsid w:val="00944D01"/>
    <w:rsid w:val="00951B6F"/>
    <w:rsid w:val="00951BCD"/>
    <w:rsid w:val="00952F4C"/>
    <w:rsid w:val="009540C5"/>
    <w:rsid w:val="0095575E"/>
    <w:rsid w:val="0095617E"/>
    <w:rsid w:val="009569D7"/>
    <w:rsid w:val="009579D8"/>
    <w:rsid w:val="009613DB"/>
    <w:rsid w:val="009626AC"/>
    <w:rsid w:val="009640C3"/>
    <w:rsid w:val="0096489C"/>
    <w:rsid w:val="009653B3"/>
    <w:rsid w:val="00965724"/>
    <w:rsid w:val="00967899"/>
    <w:rsid w:val="00975022"/>
    <w:rsid w:val="00975405"/>
    <w:rsid w:val="00976480"/>
    <w:rsid w:val="009807A7"/>
    <w:rsid w:val="009817B3"/>
    <w:rsid w:val="00981AC3"/>
    <w:rsid w:val="00982C66"/>
    <w:rsid w:val="0098376B"/>
    <w:rsid w:val="00985C1A"/>
    <w:rsid w:val="009869A2"/>
    <w:rsid w:val="00986DF5"/>
    <w:rsid w:val="00987E23"/>
    <w:rsid w:val="00991C51"/>
    <w:rsid w:val="00992D29"/>
    <w:rsid w:val="00994153"/>
    <w:rsid w:val="0099506E"/>
    <w:rsid w:val="00995AA5"/>
    <w:rsid w:val="00995B5B"/>
    <w:rsid w:val="009A1D5C"/>
    <w:rsid w:val="009A3DD1"/>
    <w:rsid w:val="009A4262"/>
    <w:rsid w:val="009A438E"/>
    <w:rsid w:val="009A5F8B"/>
    <w:rsid w:val="009B1EEB"/>
    <w:rsid w:val="009B2285"/>
    <w:rsid w:val="009B25D2"/>
    <w:rsid w:val="009B2767"/>
    <w:rsid w:val="009B29D3"/>
    <w:rsid w:val="009B2C68"/>
    <w:rsid w:val="009B35FB"/>
    <w:rsid w:val="009B495F"/>
    <w:rsid w:val="009B63F6"/>
    <w:rsid w:val="009B6508"/>
    <w:rsid w:val="009B6D4D"/>
    <w:rsid w:val="009C071D"/>
    <w:rsid w:val="009C2E40"/>
    <w:rsid w:val="009C3F36"/>
    <w:rsid w:val="009C4BD8"/>
    <w:rsid w:val="009C6EAA"/>
    <w:rsid w:val="009C7F11"/>
    <w:rsid w:val="009D0B2A"/>
    <w:rsid w:val="009D0BEE"/>
    <w:rsid w:val="009D1219"/>
    <w:rsid w:val="009D1A83"/>
    <w:rsid w:val="009D24DD"/>
    <w:rsid w:val="009D52C2"/>
    <w:rsid w:val="009D62AD"/>
    <w:rsid w:val="009D67B9"/>
    <w:rsid w:val="009E0E12"/>
    <w:rsid w:val="009E10A9"/>
    <w:rsid w:val="009E15EB"/>
    <w:rsid w:val="009E33E3"/>
    <w:rsid w:val="009E3CE8"/>
    <w:rsid w:val="009E5B0C"/>
    <w:rsid w:val="009E5E6E"/>
    <w:rsid w:val="009E6812"/>
    <w:rsid w:val="009E75E6"/>
    <w:rsid w:val="009F2340"/>
    <w:rsid w:val="009F4C76"/>
    <w:rsid w:val="009F7378"/>
    <w:rsid w:val="00A00C81"/>
    <w:rsid w:val="00A010E0"/>
    <w:rsid w:val="00A0163F"/>
    <w:rsid w:val="00A01ED4"/>
    <w:rsid w:val="00A02515"/>
    <w:rsid w:val="00A04D40"/>
    <w:rsid w:val="00A05A44"/>
    <w:rsid w:val="00A05C93"/>
    <w:rsid w:val="00A101A4"/>
    <w:rsid w:val="00A10C16"/>
    <w:rsid w:val="00A124E0"/>
    <w:rsid w:val="00A13829"/>
    <w:rsid w:val="00A14AE1"/>
    <w:rsid w:val="00A15EC5"/>
    <w:rsid w:val="00A161EA"/>
    <w:rsid w:val="00A175AA"/>
    <w:rsid w:val="00A20A78"/>
    <w:rsid w:val="00A21C40"/>
    <w:rsid w:val="00A22E9B"/>
    <w:rsid w:val="00A22FFF"/>
    <w:rsid w:val="00A23835"/>
    <w:rsid w:val="00A26C8C"/>
    <w:rsid w:val="00A2715D"/>
    <w:rsid w:val="00A33156"/>
    <w:rsid w:val="00A338B1"/>
    <w:rsid w:val="00A33AD3"/>
    <w:rsid w:val="00A360A4"/>
    <w:rsid w:val="00A3684E"/>
    <w:rsid w:val="00A36BCD"/>
    <w:rsid w:val="00A37403"/>
    <w:rsid w:val="00A416D0"/>
    <w:rsid w:val="00A42872"/>
    <w:rsid w:val="00A42DE2"/>
    <w:rsid w:val="00A440E7"/>
    <w:rsid w:val="00A44A97"/>
    <w:rsid w:val="00A4594A"/>
    <w:rsid w:val="00A45A60"/>
    <w:rsid w:val="00A45E42"/>
    <w:rsid w:val="00A46352"/>
    <w:rsid w:val="00A50052"/>
    <w:rsid w:val="00A51447"/>
    <w:rsid w:val="00A550F6"/>
    <w:rsid w:val="00A5735F"/>
    <w:rsid w:val="00A5779F"/>
    <w:rsid w:val="00A60CDD"/>
    <w:rsid w:val="00A6171F"/>
    <w:rsid w:val="00A6285A"/>
    <w:rsid w:val="00A71748"/>
    <w:rsid w:val="00A71FAA"/>
    <w:rsid w:val="00A72824"/>
    <w:rsid w:val="00A746E4"/>
    <w:rsid w:val="00A7470E"/>
    <w:rsid w:val="00A765C3"/>
    <w:rsid w:val="00A77F90"/>
    <w:rsid w:val="00A82590"/>
    <w:rsid w:val="00A83D4B"/>
    <w:rsid w:val="00A85FB6"/>
    <w:rsid w:val="00A864BA"/>
    <w:rsid w:val="00A86588"/>
    <w:rsid w:val="00A86C9A"/>
    <w:rsid w:val="00A8716C"/>
    <w:rsid w:val="00A87979"/>
    <w:rsid w:val="00A906CF"/>
    <w:rsid w:val="00A90877"/>
    <w:rsid w:val="00A922CF"/>
    <w:rsid w:val="00A92818"/>
    <w:rsid w:val="00A92D14"/>
    <w:rsid w:val="00A943A0"/>
    <w:rsid w:val="00AA1FCD"/>
    <w:rsid w:val="00AA261E"/>
    <w:rsid w:val="00AA2A9E"/>
    <w:rsid w:val="00AA3E51"/>
    <w:rsid w:val="00AA459C"/>
    <w:rsid w:val="00AA5878"/>
    <w:rsid w:val="00AB095C"/>
    <w:rsid w:val="00AB1C2B"/>
    <w:rsid w:val="00AB2813"/>
    <w:rsid w:val="00AB3D9B"/>
    <w:rsid w:val="00AB458A"/>
    <w:rsid w:val="00AB4D58"/>
    <w:rsid w:val="00AB558F"/>
    <w:rsid w:val="00AB7A69"/>
    <w:rsid w:val="00AB7A9E"/>
    <w:rsid w:val="00AC058E"/>
    <w:rsid w:val="00AC0C8E"/>
    <w:rsid w:val="00AC2B78"/>
    <w:rsid w:val="00AC3C33"/>
    <w:rsid w:val="00AC6EED"/>
    <w:rsid w:val="00AC6F7B"/>
    <w:rsid w:val="00AC773C"/>
    <w:rsid w:val="00AC7BB5"/>
    <w:rsid w:val="00AD248D"/>
    <w:rsid w:val="00AD436B"/>
    <w:rsid w:val="00AD4B6C"/>
    <w:rsid w:val="00AD5D68"/>
    <w:rsid w:val="00AD6911"/>
    <w:rsid w:val="00AD76C7"/>
    <w:rsid w:val="00AD7B29"/>
    <w:rsid w:val="00AE0B40"/>
    <w:rsid w:val="00AE37D5"/>
    <w:rsid w:val="00AE3AC4"/>
    <w:rsid w:val="00AE57BE"/>
    <w:rsid w:val="00AE63A5"/>
    <w:rsid w:val="00AE683A"/>
    <w:rsid w:val="00AE796C"/>
    <w:rsid w:val="00AF0038"/>
    <w:rsid w:val="00AF00B9"/>
    <w:rsid w:val="00AF0C08"/>
    <w:rsid w:val="00AF4E37"/>
    <w:rsid w:val="00AF55C4"/>
    <w:rsid w:val="00AF59B4"/>
    <w:rsid w:val="00AF5B4E"/>
    <w:rsid w:val="00AF5C64"/>
    <w:rsid w:val="00AF617A"/>
    <w:rsid w:val="00AF79B8"/>
    <w:rsid w:val="00AF7B12"/>
    <w:rsid w:val="00B0035D"/>
    <w:rsid w:val="00B00874"/>
    <w:rsid w:val="00B008B2"/>
    <w:rsid w:val="00B01307"/>
    <w:rsid w:val="00B016FE"/>
    <w:rsid w:val="00B01B41"/>
    <w:rsid w:val="00B029AF"/>
    <w:rsid w:val="00B02C5C"/>
    <w:rsid w:val="00B036B4"/>
    <w:rsid w:val="00B05B75"/>
    <w:rsid w:val="00B066E7"/>
    <w:rsid w:val="00B067C8"/>
    <w:rsid w:val="00B1112E"/>
    <w:rsid w:val="00B129B2"/>
    <w:rsid w:val="00B12D04"/>
    <w:rsid w:val="00B1358C"/>
    <w:rsid w:val="00B1380B"/>
    <w:rsid w:val="00B16358"/>
    <w:rsid w:val="00B20124"/>
    <w:rsid w:val="00B20467"/>
    <w:rsid w:val="00B20C01"/>
    <w:rsid w:val="00B21CBC"/>
    <w:rsid w:val="00B21ED6"/>
    <w:rsid w:val="00B23113"/>
    <w:rsid w:val="00B231C7"/>
    <w:rsid w:val="00B30206"/>
    <w:rsid w:val="00B3169D"/>
    <w:rsid w:val="00B32B10"/>
    <w:rsid w:val="00B32F49"/>
    <w:rsid w:val="00B33B3F"/>
    <w:rsid w:val="00B34F10"/>
    <w:rsid w:val="00B40765"/>
    <w:rsid w:val="00B427CF"/>
    <w:rsid w:val="00B44BB7"/>
    <w:rsid w:val="00B44FE7"/>
    <w:rsid w:val="00B454FD"/>
    <w:rsid w:val="00B46C75"/>
    <w:rsid w:val="00B5017F"/>
    <w:rsid w:val="00B50B11"/>
    <w:rsid w:val="00B50F77"/>
    <w:rsid w:val="00B51E7D"/>
    <w:rsid w:val="00B54647"/>
    <w:rsid w:val="00B5550A"/>
    <w:rsid w:val="00B5575D"/>
    <w:rsid w:val="00B56C4C"/>
    <w:rsid w:val="00B56E50"/>
    <w:rsid w:val="00B60F7A"/>
    <w:rsid w:val="00B61192"/>
    <w:rsid w:val="00B61EF6"/>
    <w:rsid w:val="00B6383E"/>
    <w:rsid w:val="00B63C60"/>
    <w:rsid w:val="00B64005"/>
    <w:rsid w:val="00B6423F"/>
    <w:rsid w:val="00B65383"/>
    <w:rsid w:val="00B658DB"/>
    <w:rsid w:val="00B659A2"/>
    <w:rsid w:val="00B66DEA"/>
    <w:rsid w:val="00B672D7"/>
    <w:rsid w:val="00B7134A"/>
    <w:rsid w:val="00B72D76"/>
    <w:rsid w:val="00B734A8"/>
    <w:rsid w:val="00B7572C"/>
    <w:rsid w:val="00B75CB8"/>
    <w:rsid w:val="00B7747B"/>
    <w:rsid w:val="00B7756A"/>
    <w:rsid w:val="00B7780F"/>
    <w:rsid w:val="00B801DF"/>
    <w:rsid w:val="00B802EA"/>
    <w:rsid w:val="00B802FE"/>
    <w:rsid w:val="00B82A9E"/>
    <w:rsid w:val="00B842C2"/>
    <w:rsid w:val="00B84685"/>
    <w:rsid w:val="00B84BB9"/>
    <w:rsid w:val="00B84D0E"/>
    <w:rsid w:val="00B86448"/>
    <w:rsid w:val="00B87985"/>
    <w:rsid w:val="00B90D3F"/>
    <w:rsid w:val="00B91D9D"/>
    <w:rsid w:val="00B9752D"/>
    <w:rsid w:val="00BA041B"/>
    <w:rsid w:val="00BA0C7B"/>
    <w:rsid w:val="00BA17C8"/>
    <w:rsid w:val="00BA243A"/>
    <w:rsid w:val="00BA4945"/>
    <w:rsid w:val="00BA51B5"/>
    <w:rsid w:val="00BA594E"/>
    <w:rsid w:val="00BA7723"/>
    <w:rsid w:val="00BB00A2"/>
    <w:rsid w:val="00BB08E4"/>
    <w:rsid w:val="00BB1E59"/>
    <w:rsid w:val="00BB4124"/>
    <w:rsid w:val="00BB58DE"/>
    <w:rsid w:val="00BC222C"/>
    <w:rsid w:val="00BC258F"/>
    <w:rsid w:val="00BC3C19"/>
    <w:rsid w:val="00BD1F1A"/>
    <w:rsid w:val="00BD2888"/>
    <w:rsid w:val="00BD28DF"/>
    <w:rsid w:val="00BD32E7"/>
    <w:rsid w:val="00BD404B"/>
    <w:rsid w:val="00BD4ECA"/>
    <w:rsid w:val="00BD4FCB"/>
    <w:rsid w:val="00BD5017"/>
    <w:rsid w:val="00BD58BD"/>
    <w:rsid w:val="00BD73C1"/>
    <w:rsid w:val="00BE09EF"/>
    <w:rsid w:val="00BE0C4F"/>
    <w:rsid w:val="00BE2434"/>
    <w:rsid w:val="00BE2C50"/>
    <w:rsid w:val="00BE46BD"/>
    <w:rsid w:val="00BE4FFC"/>
    <w:rsid w:val="00BE6DF5"/>
    <w:rsid w:val="00BE7150"/>
    <w:rsid w:val="00BF196E"/>
    <w:rsid w:val="00BF20AC"/>
    <w:rsid w:val="00BF3C7F"/>
    <w:rsid w:val="00BF4FD4"/>
    <w:rsid w:val="00C00521"/>
    <w:rsid w:val="00C0156A"/>
    <w:rsid w:val="00C02689"/>
    <w:rsid w:val="00C03BF9"/>
    <w:rsid w:val="00C047A2"/>
    <w:rsid w:val="00C05EB6"/>
    <w:rsid w:val="00C06C82"/>
    <w:rsid w:val="00C079B0"/>
    <w:rsid w:val="00C10EE8"/>
    <w:rsid w:val="00C114E6"/>
    <w:rsid w:val="00C14BC7"/>
    <w:rsid w:val="00C159C9"/>
    <w:rsid w:val="00C2059C"/>
    <w:rsid w:val="00C21259"/>
    <w:rsid w:val="00C30AE6"/>
    <w:rsid w:val="00C31105"/>
    <w:rsid w:val="00C31765"/>
    <w:rsid w:val="00C33585"/>
    <w:rsid w:val="00C336A1"/>
    <w:rsid w:val="00C3384F"/>
    <w:rsid w:val="00C33D43"/>
    <w:rsid w:val="00C343A2"/>
    <w:rsid w:val="00C344C0"/>
    <w:rsid w:val="00C347BA"/>
    <w:rsid w:val="00C348B3"/>
    <w:rsid w:val="00C35899"/>
    <w:rsid w:val="00C36321"/>
    <w:rsid w:val="00C37239"/>
    <w:rsid w:val="00C374A4"/>
    <w:rsid w:val="00C4280C"/>
    <w:rsid w:val="00C45BB1"/>
    <w:rsid w:val="00C45CE4"/>
    <w:rsid w:val="00C5028C"/>
    <w:rsid w:val="00C50471"/>
    <w:rsid w:val="00C51287"/>
    <w:rsid w:val="00C52A31"/>
    <w:rsid w:val="00C52AE2"/>
    <w:rsid w:val="00C52E1F"/>
    <w:rsid w:val="00C534C4"/>
    <w:rsid w:val="00C55662"/>
    <w:rsid w:val="00C558D8"/>
    <w:rsid w:val="00C56385"/>
    <w:rsid w:val="00C61DB8"/>
    <w:rsid w:val="00C626EF"/>
    <w:rsid w:val="00C627CB"/>
    <w:rsid w:val="00C62D88"/>
    <w:rsid w:val="00C63975"/>
    <w:rsid w:val="00C6428E"/>
    <w:rsid w:val="00C650B8"/>
    <w:rsid w:val="00C65D89"/>
    <w:rsid w:val="00C6637A"/>
    <w:rsid w:val="00C70CFF"/>
    <w:rsid w:val="00C7181D"/>
    <w:rsid w:val="00C73057"/>
    <w:rsid w:val="00C73817"/>
    <w:rsid w:val="00C73C5C"/>
    <w:rsid w:val="00C7459D"/>
    <w:rsid w:val="00C753D7"/>
    <w:rsid w:val="00C76110"/>
    <w:rsid w:val="00C76CD1"/>
    <w:rsid w:val="00C8078E"/>
    <w:rsid w:val="00C84217"/>
    <w:rsid w:val="00C85A91"/>
    <w:rsid w:val="00C85BB6"/>
    <w:rsid w:val="00C92A54"/>
    <w:rsid w:val="00C93972"/>
    <w:rsid w:val="00C93C58"/>
    <w:rsid w:val="00C94D64"/>
    <w:rsid w:val="00C957D4"/>
    <w:rsid w:val="00C95B96"/>
    <w:rsid w:val="00C96384"/>
    <w:rsid w:val="00C96419"/>
    <w:rsid w:val="00C96B8C"/>
    <w:rsid w:val="00C97172"/>
    <w:rsid w:val="00C97457"/>
    <w:rsid w:val="00CA0BD6"/>
    <w:rsid w:val="00CA1F30"/>
    <w:rsid w:val="00CA4838"/>
    <w:rsid w:val="00CA6803"/>
    <w:rsid w:val="00CA7084"/>
    <w:rsid w:val="00CA7727"/>
    <w:rsid w:val="00CA79C3"/>
    <w:rsid w:val="00CB188B"/>
    <w:rsid w:val="00CB18D0"/>
    <w:rsid w:val="00CB428F"/>
    <w:rsid w:val="00CB4865"/>
    <w:rsid w:val="00CB6DB1"/>
    <w:rsid w:val="00CB7831"/>
    <w:rsid w:val="00CB7994"/>
    <w:rsid w:val="00CB7F68"/>
    <w:rsid w:val="00CC1414"/>
    <w:rsid w:val="00CC1D49"/>
    <w:rsid w:val="00CC5533"/>
    <w:rsid w:val="00CC6327"/>
    <w:rsid w:val="00CD0491"/>
    <w:rsid w:val="00CD0927"/>
    <w:rsid w:val="00CD118D"/>
    <w:rsid w:val="00CD2809"/>
    <w:rsid w:val="00CD2BCC"/>
    <w:rsid w:val="00CD477F"/>
    <w:rsid w:val="00CD562D"/>
    <w:rsid w:val="00CE26A2"/>
    <w:rsid w:val="00CE5928"/>
    <w:rsid w:val="00CE5F69"/>
    <w:rsid w:val="00CF0758"/>
    <w:rsid w:val="00CF1414"/>
    <w:rsid w:val="00CF2718"/>
    <w:rsid w:val="00CF337A"/>
    <w:rsid w:val="00CF46B5"/>
    <w:rsid w:val="00CF6534"/>
    <w:rsid w:val="00CF674A"/>
    <w:rsid w:val="00CF6EF3"/>
    <w:rsid w:val="00CF73D0"/>
    <w:rsid w:val="00CF7C71"/>
    <w:rsid w:val="00D0082D"/>
    <w:rsid w:val="00D00D26"/>
    <w:rsid w:val="00D02C18"/>
    <w:rsid w:val="00D0310D"/>
    <w:rsid w:val="00D03407"/>
    <w:rsid w:val="00D04974"/>
    <w:rsid w:val="00D064C7"/>
    <w:rsid w:val="00D06BF5"/>
    <w:rsid w:val="00D102CE"/>
    <w:rsid w:val="00D134DC"/>
    <w:rsid w:val="00D15988"/>
    <w:rsid w:val="00D17119"/>
    <w:rsid w:val="00D171AE"/>
    <w:rsid w:val="00D2012E"/>
    <w:rsid w:val="00D20FCA"/>
    <w:rsid w:val="00D230EE"/>
    <w:rsid w:val="00D23C04"/>
    <w:rsid w:val="00D272B9"/>
    <w:rsid w:val="00D30740"/>
    <w:rsid w:val="00D30D42"/>
    <w:rsid w:val="00D32002"/>
    <w:rsid w:val="00D32B6F"/>
    <w:rsid w:val="00D337FB"/>
    <w:rsid w:val="00D33CA6"/>
    <w:rsid w:val="00D33D35"/>
    <w:rsid w:val="00D34419"/>
    <w:rsid w:val="00D4035E"/>
    <w:rsid w:val="00D40ADD"/>
    <w:rsid w:val="00D41110"/>
    <w:rsid w:val="00D433DB"/>
    <w:rsid w:val="00D43716"/>
    <w:rsid w:val="00D442AD"/>
    <w:rsid w:val="00D46F8F"/>
    <w:rsid w:val="00D504DC"/>
    <w:rsid w:val="00D541BD"/>
    <w:rsid w:val="00D542BE"/>
    <w:rsid w:val="00D55441"/>
    <w:rsid w:val="00D554BC"/>
    <w:rsid w:val="00D55C79"/>
    <w:rsid w:val="00D571EF"/>
    <w:rsid w:val="00D574A9"/>
    <w:rsid w:val="00D57979"/>
    <w:rsid w:val="00D62027"/>
    <w:rsid w:val="00D625F6"/>
    <w:rsid w:val="00D62888"/>
    <w:rsid w:val="00D62DC9"/>
    <w:rsid w:val="00D6307F"/>
    <w:rsid w:val="00D643A1"/>
    <w:rsid w:val="00D655F1"/>
    <w:rsid w:val="00D70903"/>
    <w:rsid w:val="00D70D73"/>
    <w:rsid w:val="00D70D9E"/>
    <w:rsid w:val="00D71309"/>
    <w:rsid w:val="00D71BAF"/>
    <w:rsid w:val="00D75FA9"/>
    <w:rsid w:val="00D765F8"/>
    <w:rsid w:val="00D76920"/>
    <w:rsid w:val="00D771F6"/>
    <w:rsid w:val="00D77A40"/>
    <w:rsid w:val="00D77BBD"/>
    <w:rsid w:val="00D8072F"/>
    <w:rsid w:val="00D80FA3"/>
    <w:rsid w:val="00D80FF9"/>
    <w:rsid w:val="00D83CAF"/>
    <w:rsid w:val="00D85C52"/>
    <w:rsid w:val="00D86F78"/>
    <w:rsid w:val="00D90A54"/>
    <w:rsid w:val="00D9103E"/>
    <w:rsid w:val="00D91611"/>
    <w:rsid w:val="00D91C2B"/>
    <w:rsid w:val="00D92733"/>
    <w:rsid w:val="00D94266"/>
    <w:rsid w:val="00D94397"/>
    <w:rsid w:val="00D945AA"/>
    <w:rsid w:val="00D978FB"/>
    <w:rsid w:val="00DA08E1"/>
    <w:rsid w:val="00DA14E8"/>
    <w:rsid w:val="00DA21A8"/>
    <w:rsid w:val="00DA22C0"/>
    <w:rsid w:val="00DA2AD8"/>
    <w:rsid w:val="00DA3CF4"/>
    <w:rsid w:val="00DA41CD"/>
    <w:rsid w:val="00DA5981"/>
    <w:rsid w:val="00DB1F22"/>
    <w:rsid w:val="00DB297F"/>
    <w:rsid w:val="00DB2E88"/>
    <w:rsid w:val="00DB4A9A"/>
    <w:rsid w:val="00DB4AA7"/>
    <w:rsid w:val="00DB4D85"/>
    <w:rsid w:val="00DB5596"/>
    <w:rsid w:val="00DB5DFD"/>
    <w:rsid w:val="00DB6219"/>
    <w:rsid w:val="00DB7468"/>
    <w:rsid w:val="00DB7BCA"/>
    <w:rsid w:val="00DC0FA8"/>
    <w:rsid w:val="00DC1248"/>
    <w:rsid w:val="00DC1A14"/>
    <w:rsid w:val="00DC2935"/>
    <w:rsid w:val="00DC2D5B"/>
    <w:rsid w:val="00DC37D1"/>
    <w:rsid w:val="00DC3D6B"/>
    <w:rsid w:val="00DC4E8E"/>
    <w:rsid w:val="00DC59DA"/>
    <w:rsid w:val="00DD00D3"/>
    <w:rsid w:val="00DD1185"/>
    <w:rsid w:val="00DD386E"/>
    <w:rsid w:val="00DD50C8"/>
    <w:rsid w:val="00DD598F"/>
    <w:rsid w:val="00DD6E2C"/>
    <w:rsid w:val="00DD7211"/>
    <w:rsid w:val="00DE0C12"/>
    <w:rsid w:val="00DE10A6"/>
    <w:rsid w:val="00DE3856"/>
    <w:rsid w:val="00DE3C60"/>
    <w:rsid w:val="00DE42ED"/>
    <w:rsid w:val="00DF0DC6"/>
    <w:rsid w:val="00DF1D33"/>
    <w:rsid w:val="00DF30EE"/>
    <w:rsid w:val="00DF3E37"/>
    <w:rsid w:val="00DF407E"/>
    <w:rsid w:val="00E000C7"/>
    <w:rsid w:val="00E00B45"/>
    <w:rsid w:val="00E00D91"/>
    <w:rsid w:val="00E01BC3"/>
    <w:rsid w:val="00E02C63"/>
    <w:rsid w:val="00E041DE"/>
    <w:rsid w:val="00E052F3"/>
    <w:rsid w:val="00E05909"/>
    <w:rsid w:val="00E05FEB"/>
    <w:rsid w:val="00E074C1"/>
    <w:rsid w:val="00E07ACF"/>
    <w:rsid w:val="00E1006E"/>
    <w:rsid w:val="00E10595"/>
    <w:rsid w:val="00E106ED"/>
    <w:rsid w:val="00E11432"/>
    <w:rsid w:val="00E11C87"/>
    <w:rsid w:val="00E12C65"/>
    <w:rsid w:val="00E132B6"/>
    <w:rsid w:val="00E141A5"/>
    <w:rsid w:val="00E14D03"/>
    <w:rsid w:val="00E15FFF"/>
    <w:rsid w:val="00E1622D"/>
    <w:rsid w:val="00E20004"/>
    <w:rsid w:val="00E203AD"/>
    <w:rsid w:val="00E20EBC"/>
    <w:rsid w:val="00E21F71"/>
    <w:rsid w:val="00E22A68"/>
    <w:rsid w:val="00E24D4C"/>
    <w:rsid w:val="00E26142"/>
    <w:rsid w:val="00E3360F"/>
    <w:rsid w:val="00E33CCB"/>
    <w:rsid w:val="00E345D6"/>
    <w:rsid w:val="00E351ED"/>
    <w:rsid w:val="00E35E01"/>
    <w:rsid w:val="00E36965"/>
    <w:rsid w:val="00E372E6"/>
    <w:rsid w:val="00E37608"/>
    <w:rsid w:val="00E37801"/>
    <w:rsid w:val="00E37BE3"/>
    <w:rsid w:val="00E43589"/>
    <w:rsid w:val="00E45BBA"/>
    <w:rsid w:val="00E45E5C"/>
    <w:rsid w:val="00E47AE3"/>
    <w:rsid w:val="00E50945"/>
    <w:rsid w:val="00E50C82"/>
    <w:rsid w:val="00E54146"/>
    <w:rsid w:val="00E54166"/>
    <w:rsid w:val="00E5444C"/>
    <w:rsid w:val="00E545E0"/>
    <w:rsid w:val="00E546DB"/>
    <w:rsid w:val="00E566B1"/>
    <w:rsid w:val="00E6051E"/>
    <w:rsid w:val="00E6152C"/>
    <w:rsid w:val="00E63701"/>
    <w:rsid w:val="00E63A96"/>
    <w:rsid w:val="00E665A9"/>
    <w:rsid w:val="00E67C99"/>
    <w:rsid w:val="00E70462"/>
    <w:rsid w:val="00E720CD"/>
    <w:rsid w:val="00E73F13"/>
    <w:rsid w:val="00E7499C"/>
    <w:rsid w:val="00E74A7B"/>
    <w:rsid w:val="00E76512"/>
    <w:rsid w:val="00E76988"/>
    <w:rsid w:val="00E76E30"/>
    <w:rsid w:val="00E77C96"/>
    <w:rsid w:val="00E802D1"/>
    <w:rsid w:val="00E815A2"/>
    <w:rsid w:val="00E817D5"/>
    <w:rsid w:val="00E81C32"/>
    <w:rsid w:val="00E82C47"/>
    <w:rsid w:val="00E830B3"/>
    <w:rsid w:val="00E86E11"/>
    <w:rsid w:val="00E901BC"/>
    <w:rsid w:val="00E92937"/>
    <w:rsid w:val="00E930DB"/>
    <w:rsid w:val="00E95C31"/>
    <w:rsid w:val="00E95C8D"/>
    <w:rsid w:val="00E96F50"/>
    <w:rsid w:val="00E97CA3"/>
    <w:rsid w:val="00EA1780"/>
    <w:rsid w:val="00EA23E7"/>
    <w:rsid w:val="00EA257F"/>
    <w:rsid w:val="00EA2CC3"/>
    <w:rsid w:val="00EA2D25"/>
    <w:rsid w:val="00EA4AEC"/>
    <w:rsid w:val="00EA5252"/>
    <w:rsid w:val="00EA5DF1"/>
    <w:rsid w:val="00EB00C0"/>
    <w:rsid w:val="00EB1935"/>
    <w:rsid w:val="00EB1C84"/>
    <w:rsid w:val="00EB237E"/>
    <w:rsid w:val="00EB5902"/>
    <w:rsid w:val="00EB70B4"/>
    <w:rsid w:val="00EB7DC0"/>
    <w:rsid w:val="00EC06B1"/>
    <w:rsid w:val="00EC1281"/>
    <w:rsid w:val="00EC14AF"/>
    <w:rsid w:val="00EC1540"/>
    <w:rsid w:val="00EC15CC"/>
    <w:rsid w:val="00EC3884"/>
    <w:rsid w:val="00EC583F"/>
    <w:rsid w:val="00EC61AC"/>
    <w:rsid w:val="00EC76B1"/>
    <w:rsid w:val="00ED094D"/>
    <w:rsid w:val="00ED2835"/>
    <w:rsid w:val="00ED3141"/>
    <w:rsid w:val="00ED682B"/>
    <w:rsid w:val="00ED6CEB"/>
    <w:rsid w:val="00ED7594"/>
    <w:rsid w:val="00ED7E67"/>
    <w:rsid w:val="00EE18AD"/>
    <w:rsid w:val="00EE24B0"/>
    <w:rsid w:val="00EE2A4D"/>
    <w:rsid w:val="00EE2AF8"/>
    <w:rsid w:val="00EE4E45"/>
    <w:rsid w:val="00EE5192"/>
    <w:rsid w:val="00EE7FA6"/>
    <w:rsid w:val="00EF1684"/>
    <w:rsid w:val="00EF30C4"/>
    <w:rsid w:val="00EF390A"/>
    <w:rsid w:val="00EF42F1"/>
    <w:rsid w:val="00EF4DBD"/>
    <w:rsid w:val="00EF5529"/>
    <w:rsid w:val="00EF743A"/>
    <w:rsid w:val="00F00E56"/>
    <w:rsid w:val="00F00F92"/>
    <w:rsid w:val="00F01CF3"/>
    <w:rsid w:val="00F02F1D"/>
    <w:rsid w:val="00F03413"/>
    <w:rsid w:val="00F04057"/>
    <w:rsid w:val="00F04526"/>
    <w:rsid w:val="00F04AAC"/>
    <w:rsid w:val="00F04C54"/>
    <w:rsid w:val="00F05575"/>
    <w:rsid w:val="00F10393"/>
    <w:rsid w:val="00F1204E"/>
    <w:rsid w:val="00F1306E"/>
    <w:rsid w:val="00F136F4"/>
    <w:rsid w:val="00F13B06"/>
    <w:rsid w:val="00F17CDA"/>
    <w:rsid w:val="00F20E51"/>
    <w:rsid w:val="00F2297C"/>
    <w:rsid w:val="00F22FDA"/>
    <w:rsid w:val="00F25712"/>
    <w:rsid w:val="00F25A66"/>
    <w:rsid w:val="00F26ADA"/>
    <w:rsid w:val="00F277B1"/>
    <w:rsid w:val="00F27A38"/>
    <w:rsid w:val="00F27D42"/>
    <w:rsid w:val="00F30517"/>
    <w:rsid w:val="00F3163C"/>
    <w:rsid w:val="00F321F9"/>
    <w:rsid w:val="00F32309"/>
    <w:rsid w:val="00F32F1B"/>
    <w:rsid w:val="00F333BC"/>
    <w:rsid w:val="00F3645A"/>
    <w:rsid w:val="00F36C15"/>
    <w:rsid w:val="00F36F54"/>
    <w:rsid w:val="00F40508"/>
    <w:rsid w:val="00F40840"/>
    <w:rsid w:val="00F40EB7"/>
    <w:rsid w:val="00F41B9A"/>
    <w:rsid w:val="00F4211B"/>
    <w:rsid w:val="00F423D8"/>
    <w:rsid w:val="00F450BE"/>
    <w:rsid w:val="00F47F6C"/>
    <w:rsid w:val="00F50685"/>
    <w:rsid w:val="00F50CB8"/>
    <w:rsid w:val="00F51221"/>
    <w:rsid w:val="00F5134C"/>
    <w:rsid w:val="00F5532C"/>
    <w:rsid w:val="00F577AD"/>
    <w:rsid w:val="00F60394"/>
    <w:rsid w:val="00F61C82"/>
    <w:rsid w:val="00F63AE3"/>
    <w:rsid w:val="00F63D89"/>
    <w:rsid w:val="00F6403F"/>
    <w:rsid w:val="00F6590F"/>
    <w:rsid w:val="00F66B55"/>
    <w:rsid w:val="00F670C8"/>
    <w:rsid w:val="00F7165E"/>
    <w:rsid w:val="00F725FE"/>
    <w:rsid w:val="00F75110"/>
    <w:rsid w:val="00F75484"/>
    <w:rsid w:val="00F76328"/>
    <w:rsid w:val="00F773FE"/>
    <w:rsid w:val="00F8149C"/>
    <w:rsid w:val="00F81AD0"/>
    <w:rsid w:val="00F82EA9"/>
    <w:rsid w:val="00F832A2"/>
    <w:rsid w:val="00F846C4"/>
    <w:rsid w:val="00F85C10"/>
    <w:rsid w:val="00F8751B"/>
    <w:rsid w:val="00F91123"/>
    <w:rsid w:val="00F921EC"/>
    <w:rsid w:val="00F93DD1"/>
    <w:rsid w:val="00F9445A"/>
    <w:rsid w:val="00F946CD"/>
    <w:rsid w:val="00F966AB"/>
    <w:rsid w:val="00F96BA7"/>
    <w:rsid w:val="00FA14B3"/>
    <w:rsid w:val="00FA1848"/>
    <w:rsid w:val="00FA3CCB"/>
    <w:rsid w:val="00FA5635"/>
    <w:rsid w:val="00FA652B"/>
    <w:rsid w:val="00FA6D17"/>
    <w:rsid w:val="00FA7A0D"/>
    <w:rsid w:val="00FB0F85"/>
    <w:rsid w:val="00FB1EC9"/>
    <w:rsid w:val="00FB2517"/>
    <w:rsid w:val="00FB3114"/>
    <w:rsid w:val="00FB3887"/>
    <w:rsid w:val="00FB4E20"/>
    <w:rsid w:val="00FB72DC"/>
    <w:rsid w:val="00FB7657"/>
    <w:rsid w:val="00FC0929"/>
    <w:rsid w:val="00FC1759"/>
    <w:rsid w:val="00FC5138"/>
    <w:rsid w:val="00FC5BED"/>
    <w:rsid w:val="00FC5D46"/>
    <w:rsid w:val="00FC67D8"/>
    <w:rsid w:val="00FC7CD9"/>
    <w:rsid w:val="00FD0AD9"/>
    <w:rsid w:val="00FD3311"/>
    <w:rsid w:val="00FD41AA"/>
    <w:rsid w:val="00FD4726"/>
    <w:rsid w:val="00FD47AC"/>
    <w:rsid w:val="00FD4A7F"/>
    <w:rsid w:val="00FD4B9D"/>
    <w:rsid w:val="00FD60ED"/>
    <w:rsid w:val="00FD648C"/>
    <w:rsid w:val="00FE22EB"/>
    <w:rsid w:val="00FE2E30"/>
    <w:rsid w:val="00FE47B2"/>
    <w:rsid w:val="00FE51CE"/>
    <w:rsid w:val="00FE526B"/>
    <w:rsid w:val="00FF0FAC"/>
    <w:rsid w:val="00FF34B2"/>
    <w:rsid w:val="00FF3981"/>
    <w:rsid w:val="00FF59E8"/>
    <w:rsid w:val="00FF6982"/>
    <w:rsid w:val="00FF69FE"/>
    <w:rsid w:val="00FF6D27"/>
    <w:rsid w:val="00FF6F87"/>
    <w:rsid w:val="00FF7A46"/>
    <w:rsid w:val="010814D0"/>
    <w:rsid w:val="010A5624"/>
    <w:rsid w:val="01A746B1"/>
    <w:rsid w:val="01C43C76"/>
    <w:rsid w:val="02607F53"/>
    <w:rsid w:val="02614F12"/>
    <w:rsid w:val="02B24CD3"/>
    <w:rsid w:val="02DF206A"/>
    <w:rsid w:val="034B4BE6"/>
    <w:rsid w:val="03DE6C29"/>
    <w:rsid w:val="043F6BEE"/>
    <w:rsid w:val="046D3644"/>
    <w:rsid w:val="04716299"/>
    <w:rsid w:val="047C599F"/>
    <w:rsid w:val="04C8127B"/>
    <w:rsid w:val="04CE3D21"/>
    <w:rsid w:val="05025778"/>
    <w:rsid w:val="05225D8B"/>
    <w:rsid w:val="055E6A77"/>
    <w:rsid w:val="058F319D"/>
    <w:rsid w:val="05A0746B"/>
    <w:rsid w:val="05AA59AE"/>
    <w:rsid w:val="05B75F0F"/>
    <w:rsid w:val="05C52137"/>
    <w:rsid w:val="05C726F1"/>
    <w:rsid w:val="05D96F3A"/>
    <w:rsid w:val="05EF21A1"/>
    <w:rsid w:val="0600615C"/>
    <w:rsid w:val="06783F44"/>
    <w:rsid w:val="07203D2B"/>
    <w:rsid w:val="07353BD3"/>
    <w:rsid w:val="07374D4B"/>
    <w:rsid w:val="073D632D"/>
    <w:rsid w:val="077823B7"/>
    <w:rsid w:val="078519C3"/>
    <w:rsid w:val="07A108CB"/>
    <w:rsid w:val="07DD473F"/>
    <w:rsid w:val="081005AF"/>
    <w:rsid w:val="085744F3"/>
    <w:rsid w:val="08973738"/>
    <w:rsid w:val="08A13C26"/>
    <w:rsid w:val="08CF508A"/>
    <w:rsid w:val="08EC0C19"/>
    <w:rsid w:val="09240A7A"/>
    <w:rsid w:val="09652EA6"/>
    <w:rsid w:val="097242D7"/>
    <w:rsid w:val="097E5D15"/>
    <w:rsid w:val="09BD6DAD"/>
    <w:rsid w:val="09D15596"/>
    <w:rsid w:val="09FC5890"/>
    <w:rsid w:val="0A1C021F"/>
    <w:rsid w:val="0A3960E0"/>
    <w:rsid w:val="0A6316FF"/>
    <w:rsid w:val="0A643107"/>
    <w:rsid w:val="0A6A3E01"/>
    <w:rsid w:val="0A857EA9"/>
    <w:rsid w:val="0AA0673D"/>
    <w:rsid w:val="0AA44BF0"/>
    <w:rsid w:val="0AC6366E"/>
    <w:rsid w:val="0B3378D7"/>
    <w:rsid w:val="0B8307CE"/>
    <w:rsid w:val="0B9F6601"/>
    <w:rsid w:val="0BBA5BF3"/>
    <w:rsid w:val="0BD12BE3"/>
    <w:rsid w:val="0C0D09B9"/>
    <w:rsid w:val="0C9870EE"/>
    <w:rsid w:val="0CA4538C"/>
    <w:rsid w:val="0CBD1A69"/>
    <w:rsid w:val="0D0C42EA"/>
    <w:rsid w:val="0D1D3EAB"/>
    <w:rsid w:val="0D452FBA"/>
    <w:rsid w:val="0D8439D4"/>
    <w:rsid w:val="0DA1776A"/>
    <w:rsid w:val="0DA54222"/>
    <w:rsid w:val="0DAB0F37"/>
    <w:rsid w:val="0DE02687"/>
    <w:rsid w:val="0DEB5944"/>
    <w:rsid w:val="0E065CCC"/>
    <w:rsid w:val="0E2C6228"/>
    <w:rsid w:val="0E6665C1"/>
    <w:rsid w:val="0E7B0A75"/>
    <w:rsid w:val="0EBA2766"/>
    <w:rsid w:val="0EC57F43"/>
    <w:rsid w:val="0F854FCD"/>
    <w:rsid w:val="0F8765E4"/>
    <w:rsid w:val="0F8E2A2A"/>
    <w:rsid w:val="0FBA55CD"/>
    <w:rsid w:val="0FBF32C2"/>
    <w:rsid w:val="0FFA1E6E"/>
    <w:rsid w:val="108412CD"/>
    <w:rsid w:val="10973B61"/>
    <w:rsid w:val="10DD15B2"/>
    <w:rsid w:val="10E97AE6"/>
    <w:rsid w:val="1142416A"/>
    <w:rsid w:val="11733C86"/>
    <w:rsid w:val="11C96725"/>
    <w:rsid w:val="11CA0AC8"/>
    <w:rsid w:val="11F100A1"/>
    <w:rsid w:val="12955B53"/>
    <w:rsid w:val="12A32EDA"/>
    <w:rsid w:val="12A90533"/>
    <w:rsid w:val="12EB5D86"/>
    <w:rsid w:val="135F4698"/>
    <w:rsid w:val="13EE3B54"/>
    <w:rsid w:val="148A7C64"/>
    <w:rsid w:val="14A168E7"/>
    <w:rsid w:val="14AC2EEC"/>
    <w:rsid w:val="14EC207E"/>
    <w:rsid w:val="15256588"/>
    <w:rsid w:val="156572F9"/>
    <w:rsid w:val="1570712E"/>
    <w:rsid w:val="15764772"/>
    <w:rsid w:val="157A3097"/>
    <w:rsid w:val="15D579E6"/>
    <w:rsid w:val="15FE0889"/>
    <w:rsid w:val="16383402"/>
    <w:rsid w:val="163D5E63"/>
    <w:rsid w:val="16A13924"/>
    <w:rsid w:val="16C50F7C"/>
    <w:rsid w:val="16C62963"/>
    <w:rsid w:val="16C77784"/>
    <w:rsid w:val="16DB5C8F"/>
    <w:rsid w:val="16F83DC9"/>
    <w:rsid w:val="170768D4"/>
    <w:rsid w:val="17AA4675"/>
    <w:rsid w:val="17B6195E"/>
    <w:rsid w:val="17D34DF7"/>
    <w:rsid w:val="17FC66DC"/>
    <w:rsid w:val="18155A97"/>
    <w:rsid w:val="18226406"/>
    <w:rsid w:val="185A794E"/>
    <w:rsid w:val="188A386F"/>
    <w:rsid w:val="18B04867"/>
    <w:rsid w:val="18C179C9"/>
    <w:rsid w:val="19171D23"/>
    <w:rsid w:val="19C52CE3"/>
    <w:rsid w:val="19D73946"/>
    <w:rsid w:val="1A06648D"/>
    <w:rsid w:val="1AC06CF9"/>
    <w:rsid w:val="1B280C01"/>
    <w:rsid w:val="1B6B1AB0"/>
    <w:rsid w:val="1B972C67"/>
    <w:rsid w:val="1BF9747E"/>
    <w:rsid w:val="1C6F727A"/>
    <w:rsid w:val="1D412129"/>
    <w:rsid w:val="1D4E3BE5"/>
    <w:rsid w:val="1DA15ADD"/>
    <w:rsid w:val="1DB418AE"/>
    <w:rsid w:val="1E2F0CFA"/>
    <w:rsid w:val="1E314012"/>
    <w:rsid w:val="1E3B66CA"/>
    <w:rsid w:val="1E51534F"/>
    <w:rsid w:val="1E771790"/>
    <w:rsid w:val="1E7948A6"/>
    <w:rsid w:val="1E8D5FC5"/>
    <w:rsid w:val="1F0760DA"/>
    <w:rsid w:val="1F212FA2"/>
    <w:rsid w:val="1F6E6210"/>
    <w:rsid w:val="1F917D6F"/>
    <w:rsid w:val="1FE8673D"/>
    <w:rsid w:val="200F1FA9"/>
    <w:rsid w:val="20182D5C"/>
    <w:rsid w:val="201A79C2"/>
    <w:rsid w:val="202A7C37"/>
    <w:rsid w:val="2034514D"/>
    <w:rsid w:val="20422154"/>
    <w:rsid w:val="205D26E1"/>
    <w:rsid w:val="20611216"/>
    <w:rsid w:val="208C08C0"/>
    <w:rsid w:val="20A670ED"/>
    <w:rsid w:val="20E8384A"/>
    <w:rsid w:val="21281A1C"/>
    <w:rsid w:val="21473A9B"/>
    <w:rsid w:val="219F3FDF"/>
    <w:rsid w:val="21A405F1"/>
    <w:rsid w:val="21A84A07"/>
    <w:rsid w:val="21AB121A"/>
    <w:rsid w:val="22076603"/>
    <w:rsid w:val="227015CA"/>
    <w:rsid w:val="22BE6D2B"/>
    <w:rsid w:val="22D12547"/>
    <w:rsid w:val="23990C86"/>
    <w:rsid w:val="23CF4121"/>
    <w:rsid w:val="23E92684"/>
    <w:rsid w:val="23FE1247"/>
    <w:rsid w:val="24392AEA"/>
    <w:rsid w:val="2460183D"/>
    <w:rsid w:val="249C4E4A"/>
    <w:rsid w:val="24C21936"/>
    <w:rsid w:val="257412D0"/>
    <w:rsid w:val="257C1370"/>
    <w:rsid w:val="26296BB1"/>
    <w:rsid w:val="265A5785"/>
    <w:rsid w:val="26C63094"/>
    <w:rsid w:val="277B2EF0"/>
    <w:rsid w:val="2790513A"/>
    <w:rsid w:val="27EF1D1C"/>
    <w:rsid w:val="27EF7B95"/>
    <w:rsid w:val="28834C9E"/>
    <w:rsid w:val="288770E9"/>
    <w:rsid w:val="29175060"/>
    <w:rsid w:val="291C02FF"/>
    <w:rsid w:val="295A675F"/>
    <w:rsid w:val="29C25353"/>
    <w:rsid w:val="2A1B1011"/>
    <w:rsid w:val="2A64640A"/>
    <w:rsid w:val="2A754A30"/>
    <w:rsid w:val="2A8C5825"/>
    <w:rsid w:val="2AB307A6"/>
    <w:rsid w:val="2AF6762C"/>
    <w:rsid w:val="2B332666"/>
    <w:rsid w:val="2B560448"/>
    <w:rsid w:val="2B655220"/>
    <w:rsid w:val="2B6622CB"/>
    <w:rsid w:val="2B8463A0"/>
    <w:rsid w:val="2B9D4613"/>
    <w:rsid w:val="2BF67536"/>
    <w:rsid w:val="2C3E2DE4"/>
    <w:rsid w:val="2C5D5807"/>
    <w:rsid w:val="2C7C0B74"/>
    <w:rsid w:val="2C8D252B"/>
    <w:rsid w:val="2CA36119"/>
    <w:rsid w:val="2CB5119F"/>
    <w:rsid w:val="2D3E7060"/>
    <w:rsid w:val="2D7C1CBC"/>
    <w:rsid w:val="2DCB3204"/>
    <w:rsid w:val="2DD85F90"/>
    <w:rsid w:val="2E227E42"/>
    <w:rsid w:val="2E2447CC"/>
    <w:rsid w:val="2E5F5866"/>
    <w:rsid w:val="2EC1046E"/>
    <w:rsid w:val="2ED85D90"/>
    <w:rsid w:val="2F1B2B41"/>
    <w:rsid w:val="2F224E0C"/>
    <w:rsid w:val="2F3C30EF"/>
    <w:rsid w:val="2F8E6A02"/>
    <w:rsid w:val="2FDE4749"/>
    <w:rsid w:val="300A35B0"/>
    <w:rsid w:val="301C5E13"/>
    <w:rsid w:val="30F05D17"/>
    <w:rsid w:val="314B289F"/>
    <w:rsid w:val="31827708"/>
    <w:rsid w:val="318850D4"/>
    <w:rsid w:val="31AC6634"/>
    <w:rsid w:val="31FD4F8D"/>
    <w:rsid w:val="32046A9F"/>
    <w:rsid w:val="320565B0"/>
    <w:rsid w:val="32430542"/>
    <w:rsid w:val="3255225A"/>
    <w:rsid w:val="329F4483"/>
    <w:rsid w:val="32B8355B"/>
    <w:rsid w:val="32C15C90"/>
    <w:rsid w:val="3321758E"/>
    <w:rsid w:val="333721D8"/>
    <w:rsid w:val="33494C98"/>
    <w:rsid w:val="33552B28"/>
    <w:rsid w:val="335C05C6"/>
    <w:rsid w:val="336008E9"/>
    <w:rsid w:val="3363291B"/>
    <w:rsid w:val="33677291"/>
    <w:rsid w:val="33977754"/>
    <w:rsid w:val="33D265CC"/>
    <w:rsid w:val="340053F5"/>
    <w:rsid w:val="342E2B2C"/>
    <w:rsid w:val="3445105A"/>
    <w:rsid w:val="3479380E"/>
    <w:rsid w:val="347C4ED7"/>
    <w:rsid w:val="34D83BA5"/>
    <w:rsid w:val="35145EA2"/>
    <w:rsid w:val="35327C2F"/>
    <w:rsid w:val="358B5193"/>
    <w:rsid w:val="35CF58BD"/>
    <w:rsid w:val="35EF3EA1"/>
    <w:rsid w:val="369E12C1"/>
    <w:rsid w:val="36B54BF8"/>
    <w:rsid w:val="371D1E1A"/>
    <w:rsid w:val="37466F18"/>
    <w:rsid w:val="37AB035E"/>
    <w:rsid w:val="38131B19"/>
    <w:rsid w:val="385F6AE9"/>
    <w:rsid w:val="387E2D8D"/>
    <w:rsid w:val="38886367"/>
    <w:rsid w:val="38A345A1"/>
    <w:rsid w:val="39311BAD"/>
    <w:rsid w:val="394E2737"/>
    <w:rsid w:val="39534219"/>
    <w:rsid w:val="395D56C9"/>
    <w:rsid w:val="39936F85"/>
    <w:rsid w:val="399718B4"/>
    <w:rsid w:val="3A041E6A"/>
    <w:rsid w:val="3A563FC1"/>
    <w:rsid w:val="3ABB0F5A"/>
    <w:rsid w:val="3ACA0A7A"/>
    <w:rsid w:val="3B246370"/>
    <w:rsid w:val="3B342C19"/>
    <w:rsid w:val="3B44766E"/>
    <w:rsid w:val="3B6D0A20"/>
    <w:rsid w:val="3B7346FF"/>
    <w:rsid w:val="3B82333E"/>
    <w:rsid w:val="3B8E318D"/>
    <w:rsid w:val="3C00008F"/>
    <w:rsid w:val="3C4A04B3"/>
    <w:rsid w:val="3C755589"/>
    <w:rsid w:val="3C815294"/>
    <w:rsid w:val="3CDE2DBA"/>
    <w:rsid w:val="3D91372F"/>
    <w:rsid w:val="3DBD2F5B"/>
    <w:rsid w:val="3DFE6E09"/>
    <w:rsid w:val="3E093E07"/>
    <w:rsid w:val="3E1201FF"/>
    <w:rsid w:val="3E6D1633"/>
    <w:rsid w:val="3F0E250C"/>
    <w:rsid w:val="3F2A3290"/>
    <w:rsid w:val="3F47212A"/>
    <w:rsid w:val="3F53655A"/>
    <w:rsid w:val="406665E0"/>
    <w:rsid w:val="407F737A"/>
    <w:rsid w:val="40B57980"/>
    <w:rsid w:val="40FD7820"/>
    <w:rsid w:val="410D2F00"/>
    <w:rsid w:val="417F252A"/>
    <w:rsid w:val="41BD15D3"/>
    <w:rsid w:val="42410E41"/>
    <w:rsid w:val="42B0160B"/>
    <w:rsid w:val="42B600AB"/>
    <w:rsid w:val="42B80AE5"/>
    <w:rsid w:val="43421586"/>
    <w:rsid w:val="43651E32"/>
    <w:rsid w:val="43F62613"/>
    <w:rsid w:val="444255B6"/>
    <w:rsid w:val="444B446B"/>
    <w:rsid w:val="446477B1"/>
    <w:rsid w:val="446B0669"/>
    <w:rsid w:val="44722CC9"/>
    <w:rsid w:val="44816AD9"/>
    <w:rsid w:val="4516027D"/>
    <w:rsid w:val="456663CD"/>
    <w:rsid w:val="457C4AF8"/>
    <w:rsid w:val="45A77305"/>
    <w:rsid w:val="45AF13D1"/>
    <w:rsid w:val="45BC4287"/>
    <w:rsid w:val="45D21ED5"/>
    <w:rsid w:val="462C207A"/>
    <w:rsid w:val="463B5928"/>
    <w:rsid w:val="46576146"/>
    <w:rsid w:val="468719BB"/>
    <w:rsid w:val="469E1F73"/>
    <w:rsid w:val="46AE6F33"/>
    <w:rsid w:val="46AE701E"/>
    <w:rsid w:val="46BA1434"/>
    <w:rsid w:val="46EB180F"/>
    <w:rsid w:val="471E5E67"/>
    <w:rsid w:val="475A6E9A"/>
    <w:rsid w:val="47694C08"/>
    <w:rsid w:val="477554F4"/>
    <w:rsid w:val="47E54177"/>
    <w:rsid w:val="47F941DE"/>
    <w:rsid w:val="48253225"/>
    <w:rsid w:val="486C785F"/>
    <w:rsid w:val="487655DE"/>
    <w:rsid w:val="48AE30E0"/>
    <w:rsid w:val="48B4625C"/>
    <w:rsid w:val="49F75682"/>
    <w:rsid w:val="4A161067"/>
    <w:rsid w:val="4A210FA6"/>
    <w:rsid w:val="4A307CC5"/>
    <w:rsid w:val="4A435D9C"/>
    <w:rsid w:val="4A89372B"/>
    <w:rsid w:val="4AC565D0"/>
    <w:rsid w:val="4AE65728"/>
    <w:rsid w:val="4AFA43C1"/>
    <w:rsid w:val="4AFF5FAF"/>
    <w:rsid w:val="4B385707"/>
    <w:rsid w:val="4B524E5A"/>
    <w:rsid w:val="4B6D519B"/>
    <w:rsid w:val="4BF7039D"/>
    <w:rsid w:val="4BFE21BF"/>
    <w:rsid w:val="4C19015C"/>
    <w:rsid w:val="4C347F92"/>
    <w:rsid w:val="4C514CE4"/>
    <w:rsid w:val="4D0F360A"/>
    <w:rsid w:val="4D106C7B"/>
    <w:rsid w:val="4D2B456F"/>
    <w:rsid w:val="4DB92554"/>
    <w:rsid w:val="4DF01BDF"/>
    <w:rsid w:val="4E817C3B"/>
    <w:rsid w:val="4EAC29E4"/>
    <w:rsid w:val="4F005E52"/>
    <w:rsid w:val="4F173443"/>
    <w:rsid w:val="4F3A75B6"/>
    <w:rsid w:val="4F4C72E9"/>
    <w:rsid w:val="4F5A38AB"/>
    <w:rsid w:val="4F5F590E"/>
    <w:rsid w:val="4F5F7157"/>
    <w:rsid w:val="505A6595"/>
    <w:rsid w:val="510959A1"/>
    <w:rsid w:val="518E70C9"/>
    <w:rsid w:val="519531C9"/>
    <w:rsid w:val="51B675C7"/>
    <w:rsid w:val="51B96217"/>
    <w:rsid w:val="51E13CB1"/>
    <w:rsid w:val="51E639F0"/>
    <w:rsid w:val="52293FE3"/>
    <w:rsid w:val="524F08BE"/>
    <w:rsid w:val="5266450B"/>
    <w:rsid w:val="528D5D2C"/>
    <w:rsid w:val="52972F71"/>
    <w:rsid w:val="52CF05DB"/>
    <w:rsid w:val="52EA30A1"/>
    <w:rsid w:val="52F94621"/>
    <w:rsid w:val="5361046E"/>
    <w:rsid w:val="53980E5E"/>
    <w:rsid w:val="53C13A62"/>
    <w:rsid w:val="53C923C2"/>
    <w:rsid w:val="53F01D41"/>
    <w:rsid w:val="53F35F85"/>
    <w:rsid w:val="540168F4"/>
    <w:rsid w:val="54CE266B"/>
    <w:rsid w:val="5511700B"/>
    <w:rsid w:val="554661ED"/>
    <w:rsid w:val="557143D1"/>
    <w:rsid w:val="557F5832"/>
    <w:rsid w:val="558E2C11"/>
    <w:rsid w:val="55A80694"/>
    <w:rsid w:val="55AC59DA"/>
    <w:rsid w:val="55EE7B38"/>
    <w:rsid w:val="55F54236"/>
    <w:rsid w:val="569C1B90"/>
    <w:rsid w:val="56C24C57"/>
    <w:rsid w:val="56EC3AFA"/>
    <w:rsid w:val="56F535FB"/>
    <w:rsid w:val="57696DB5"/>
    <w:rsid w:val="576E69E9"/>
    <w:rsid w:val="57776ECD"/>
    <w:rsid w:val="57894E7C"/>
    <w:rsid w:val="57905034"/>
    <w:rsid w:val="57A75A04"/>
    <w:rsid w:val="57B85F91"/>
    <w:rsid w:val="57E722A5"/>
    <w:rsid w:val="58472D43"/>
    <w:rsid w:val="58511F46"/>
    <w:rsid w:val="585711D8"/>
    <w:rsid w:val="589E5C33"/>
    <w:rsid w:val="58D802CE"/>
    <w:rsid w:val="58FE7EC7"/>
    <w:rsid w:val="59044790"/>
    <w:rsid w:val="5906675A"/>
    <w:rsid w:val="59937EFA"/>
    <w:rsid w:val="59A044B9"/>
    <w:rsid w:val="5A0D02E3"/>
    <w:rsid w:val="5A132EDD"/>
    <w:rsid w:val="5A144D46"/>
    <w:rsid w:val="5A1530F9"/>
    <w:rsid w:val="5A232696"/>
    <w:rsid w:val="5AF56C56"/>
    <w:rsid w:val="5AFA5E4B"/>
    <w:rsid w:val="5B0538E4"/>
    <w:rsid w:val="5B440FD7"/>
    <w:rsid w:val="5B5F7C32"/>
    <w:rsid w:val="5C8005D2"/>
    <w:rsid w:val="5C8B276B"/>
    <w:rsid w:val="5D2B2C34"/>
    <w:rsid w:val="5D7004E1"/>
    <w:rsid w:val="5D874F72"/>
    <w:rsid w:val="5DA157B2"/>
    <w:rsid w:val="5DCB1DDA"/>
    <w:rsid w:val="5DD22183"/>
    <w:rsid w:val="5DF11787"/>
    <w:rsid w:val="5DFA1B6A"/>
    <w:rsid w:val="5E510478"/>
    <w:rsid w:val="5EB61768"/>
    <w:rsid w:val="5EE67966"/>
    <w:rsid w:val="5EE74938"/>
    <w:rsid w:val="5F266E7F"/>
    <w:rsid w:val="5F3F1C87"/>
    <w:rsid w:val="5F4A0A48"/>
    <w:rsid w:val="5F6B37BB"/>
    <w:rsid w:val="5F813DBC"/>
    <w:rsid w:val="5FAF36A8"/>
    <w:rsid w:val="5FBB029F"/>
    <w:rsid w:val="5FD17F08"/>
    <w:rsid w:val="60160E14"/>
    <w:rsid w:val="603231CF"/>
    <w:rsid w:val="606B2390"/>
    <w:rsid w:val="60D72225"/>
    <w:rsid w:val="61372FF5"/>
    <w:rsid w:val="617D64C9"/>
    <w:rsid w:val="61CC1E8F"/>
    <w:rsid w:val="62580CD2"/>
    <w:rsid w:val="627A7081"/>
    <w:rsid w:val="62946A0F"/>
    <w:rsid w:val="62B55D92"/>
    <w:rsid w:val="62E169B9"/>
    <w:rsid w:val="62FB09B2"/>
    <w:rsid w:val="63186930"/>
    <w:rsid w:val="6359155D"/>
    <w:rsid w:val="635E7B59"/>
    <w:rsid w:val="63846E1B"/>
    <w:rsid w:val="639815CC"/>
    <w:rsid w:val="63F73EC8"/>
    <w:rsid w:val="64144421"/>
    <w:rsid w:val="642017B4"/>
    <w:rsid w:val="64713622"/>
    <w:rsid w:val="64C422B6"/>
    <w:rsid w:val="64DB3390"/>
    <w:rsid w:val="656A65F3"/>
    <w:rsid w:val="656F1B9E"/>
    <w:rsid w:val="65E46357"/>
    <w:rsid w:val="664136E5"/>
    <w:rsid w:val="664F0A29"/>
    <w:rsid w:val="666111A4"/>
    <w:rsid w:val="669B4675"/>
    <w:rsid w:val="66D52598"/>
    <w:rsid w:val="66F161C5"/>
    <w:rsid w:val="67A27F96"/>
    <w:rsid w:val="67DE40E1"/>
    <w:rsid w:val="67F124B2"/>
    <w:rsid w:val="688E23B0"/>
    <w:rsid w:val="68B554AC"/>
    <w:rsid w:val="690D2406"/>
    <w:rsid w:val="691F6BC1"/>
    <w:rsid w:val="694766FF"/>
    <w:rsid w:val="696314F4"/>
    <w:rsid w:val="697370B8"/>
    <w:rsid w:val="69BC3C00"/>
    <w:rsid w:val="69FD5576"/>
    <w:rsid w:val="6A1A0E9D"/>
    <w:rsid w:val="6A1C4030"/>
    <w:rsid w:val="6A265C01"/>
    <w:rsid w:val="6A2F7A10"/>
    <w:rsid w:val="6A356147"/>
    <w:rsid w:val="6A947A2C"/>
    <w:rsid w:val="6A96324F"/>
    <w:rsid w:val="6A974E28"/>
    <w:rsid w:val="6ACC20D9"/>
    <w:rsid w:val="6AFA5417"/>
    <w:rsid w:val="6B1C64D2"/>
    <w:rsid w:val="6B4B624F"/>
    <w:rsid w:val="6B621F16"/>
    <w:rsid w:val="6BEA4E8B"/>
    <w:rsid w:val="6C992F6F"/>
    <w:rsid w:val="6CAE2B04"/>
    <w:rsid w:val="6D9C125A"/>
    <w:rsid w:val="6DB66549"/>
    <w:rsid w:val="6DE433A4"/>
    <w:rsid w:val="6DE60142"/>
    <w:rsid w:val="6E0424DA"/>
    <w:rsid w:val="6E070521"/>
    <w:rsid w:val="6E0C3B2D"/>
    <w:rsid w:val="6E4E1CDE"/>
    <w:rsid w:val="6E65505C"/>
    <w:rsid w:val="6F093D79"/>
    <w:rsid w:val="6F0D2199"/>
    <w:rsid w:val="6F221116"/>
    <w:rsid w:val="6F6A74E8"/>
    <w:rsid w:val="6F923F89"/>
    <w:rsid w:val="6F934101"/>
    <w:rsid w:val="6FD75BA4"/>
    <w:rsid w:val="6FF306C3"/>
    <w:rsid w:val="700F4825"/>
    <w:rsid w:val="7040034C"/>
    <w:rsid w:val="70871AD7"/>
    <w:rsid w:val="715F1085"/>
    <w:rsid w:val="71CC7C4C"/>
    <w:rsid w:val="722C2369"/>
    <w:rsid w:val="7244764E"/>
    <w:rsid w:val="726D6D75"/>
    <w:rsid w:val="731D6723"/>
    <w:rsid w:val="73647917"/>
    <w:rsid w:val="737E1648"/>
    <w:rsid w:val="738B63EC"/>
    <w:rsid w:val="73B0502B"/>
    <w:rsid w:val="73BC03B5"/>
    <w:rsid w:val="73D9089C"/>
    <w:rsid w:val="74206737"/>
    <w:rsid w:val="742241EE"/>
    <w:rsid w:val="74856C75"/>
    <w:rsid w:val="74997E74"/>
    <w:rsid w:val="74AE7AC2"/>
    <w:rsid w:val="752C5111"/>
    <w:rsid w:val="75476930"/>
    <w:rsid w:val="75932CCC"/>
    <w:rsid w:val="75961894"/>
    <w:rsid w:val="76373EEC"/>
    <w:rsid w:val="764C03DE"/>
    <w:rsid w:val="76FD72A1"/>
    <w:rsid w:val="772B653D"/>
    <w:rsid w:val="773D584B"/>
    <w:rsid w:val="775376C3"/>
    <w:rsid w:val="778D7C68"/>
    <w:rsid w:val="77D83309"/>
    <w:rsid w:val="78205E0F"/>
    <w:rsid w:val="783C764B"/>
    <w:rsid w:val="785E75AD"/>
    <w:rsid w:val="78666D3E"/>
    <w:rsid w:val="78931961"/>
    <w:rsid w:val="78C209AA"/>
    <w:rsid w:val="795B4373"/>
    <w:rsid w:val="796930D3"/>
    <w:rsid w:val="7982038B"/>
    <w:rsid w:val="79822F8F"/>
    <w:rsid w:val="79AE3339"/>
    <w:rsid w:val="79E2779C"/>
    <w:rsid w:val="7A4B7668"/>
    <w:rsid w:val="7A543209"/>
    <w:rsid w:val="7A590988"/>
    <w:rsid w:val="7ABF066E"/>
    <w:rsid w:val="7ADB4028"/>
    <w:rsid w:val="7AEC7EEE"/>
    <w:rsid w:val="7B1D19B6"/>
    <w:rsid w:val="7B544618"/>
    <w:rsid w:val="7B611E85"/>
    <w:rsid w:val="7BC05DAD"/>
    <w:rsid w:val="7C243A22"/>
    <w:rsid w:val="7C6850DF"/>
    <w:rsid w:val="7CF4672B"/>
    <w:rsid w:val="7D16490F"/>
    <w:rsid w:val="7D2119E9"/>
    <w:rsid w:val="7D9B1948"/>
    <w:rsid w:val="7DD0546E"/>
    <w:rsid w:val="7DD30A52"/>
    <w:rsid w:val="7DF05160"/>
    <w:rsid w:val="7E07566D"/>
    <w:rsid w:val="7E172886"/>
    <w:rsid w:val="7E395114"/>
    <w:rsid w:val="7E4B7C06"/>
    <w:rsid w:val="7EDE34DC"/>
    <w:rsid w:val="7F622B74"/>
    <w:rsid w:val="7FB77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3"/>
    <w:autoRedefine/>
    <w:qFormat/>
    <w:uiPriority w:val="9"/>
    <w:pPr>
      <w:keepNext/>
      <w:autoSpaceDE w:val="0"/>
      <w:autoSpaceDN w:val="0"/>
      <w:adjustRightInd w:val="0"/>
      <w:jc w:val="left"/>
      <w:outlineLvl w:val="0"/>
    </w:pPr>
    <w:rPr>
      <w:rFonts w:ascii="仿宋_GB2312" w:eastAsia="仿宋_GB2312"/>
      <w:b/>
      <w:bCs/>
      <w:color w:val="000000"/>
      <w:kern w:val="0"/>
      <w:sz w:val="20"/>
      <w:szCs w:val="20"/>
    </w:rPr>
  </w:style>
  <w:style w:type="paragraph" w:styleId="4">
    <w:name w:val="heading 2"/>
    <w:basedOn w:val="1"/>
    <w:next w:val="1"/>
    <w:link w:val="54"/>
    <w:autoRedefine/>
    <w:qFormat/>
    <w:uiPriority w:val="9"/>
    <w:pPr>
      <w:keepNext/>
      <w:keepLines/>
      <w:spacing w:before="120" w:after="120" w:line="360" w:lineRule="auto"/>
      <w:jc w:val="center"/>
      <w:outlineLvl w:val="1"/>
    </w:pPr>
    <w:rPr>
      <w:rFonts w:ascii="Arial" w:hAnsi="Arial"/>
      <w:b/>
      <w:bCs/>
      <w:kern w:val="0"/>
      <w:sz w:val="32"/>
      <w:szCs w:val="32"/>
    </w:rPr>
  </w:style>
  <w:style w:type="paragraph" w:styleId="5">
    <w:name w:val="heading 3"/>
    <w:basedOn w:val="1"/>
    <w:next w:val="1"/>
    <w:link w:val="55"/>
    <w:autoRedefine/>
    <w:qFormat/>
    <w:uiPriority w:val="9"/>
    <w:pPr>
      <w:keepNext/>
      <w:keepLines/>
      <w:spacing w:before="120" w:after="120" w:line="360" w:lineRule="auto"/>
      <w:ind w:firstLine="200" w:firstLineChars="200"/>
      <w:jc w:val="center"/>
      <w:outlineLvl w:val="2"/>
    </w:pPr>
    <w:rPr>
      <w:rFonts w:ascii="宋体"/>
      <w:b/>
      <w:bCs/>
      <w:kern w:val="0"/>
      <w:sz w:val="32"/>
      <w:szCs w:val="32"/>
    </w:rPr>
  </w:style>
  <w:style w:type="paragraph" w:styleId="6">
    <w:name w:val="heading 4"/>
    <w:basedOn w:val="1"/>
    <w:link w:val="56"/>
    <w:autoRedefine/>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57"/>
    <w:autoRedefine/>
    <w:qFormat/>
    <w:uiPriority w:val="9"/>
    <w:pPr>
      <w:keepNext/>
      <w:keepLines/>
      <w:numPr>
        <w:ilvl w:val="4"/>
        <w:numId w:val="1"/>
      </w:numPr>
      <w:adjustRightInd w:val="0"/>
      <w:spacing w:before="280" w:after="290" w:line="376" w:lineRule="atLeast"/>
      <w:textAlignment w:val="baseline"/>
      <w:outlineLvl w:val="4"/>
    </w:pPr>
    <w:rPr>
      <w:b/>
      <w:kern w:val="0"/>
      <w:sz w:val="24"/>
    </w:rPr>
  </w:style>
  <w:style w:type="character" w:default="1" w:styleId="40">
    <w:name w:val="Default Paragraph Font"/>
    <w:autoRedefine/>
    <w:semiHidden/>
    <w:unhideWhenUsed/>
    <w:qFormat/>
    <w:uiPriority w:val="1"/>
  </w:style>
  <w:style w:type="table" w:default="1" w:styleId="3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62"/>
    <w:autoRedefine/>
    <w:unhideWhenUsed/>
    <w:qFormat/>
    <w:uiPriority w:val="99"/>
    <w:pPr>
      <w:spacing w:after="120"/>
    </w:pPr>
    <w:rPr>
      <w:kern w:val="0"/>
      <w:sz w:val="24"/>
    </w:rPr>
  </w:style>
  <w:style w:type="paragraph" w:styleId="8">
    <w:name w:val="toc 7"/>
    <w:basedOn w:val="1"/>
    <w:next w:val="1"/>
    <w:autoRedefine/>
    <w:qFormat/>
    <w:uiPriority w:val="39"/>
    <w:pPr>
      <w:ind w:left="1200" w:leftChars="1200"/>
    </w:pPr>
  </w:style>
  <w:style w:type="paragraph" w:styleId="9">
    <w:name w:val="Normal Indent"/>
    <w:basedOn w:val="1"/>
    <w:next w:val="1"/>
    <w:link w:val="58"/>
    <w:autoRedefine/>
    <w:qFormat/>
    <w:uiPriority w:val="0"/>
    <w:pPr>
      <w:tabs>
        <w:tab w:val="left" w:pos="750"/>
      </w:tabs>
      <w:spacing w:beforeLines="50" w:line="300" w:lineRule="auto"/>
      <w:ind w:firstLine="200" w:firstLineChars="200"/>
    </w:pPr>
    <w:rPr>
      <w:rFonts w:ascii="宋体"/>
      <w:szCs w:val="20"/>
    </w:rPr>
  </w:style>
  <w:style w:type="paragraph" w:styleId="10">
    <w:name w:val="caption"/>
    <w:basedOn w:val="1"/>
    <w:next w:val="1"/>
    <w:link w:val="59"/>
    <w:autoRedefine/>
    <w:qFormat/>
    <w:uiPriority w:val="0"/>
    <w:pPr>
      <w:spacing w:line="300" w:lineRule="auto"/>
    </w:pPr>
    <w:rPr>
      <w:rFonts w:ascii="Cambria" w:hAnsi="Cambria" w:eastAsia="黑体"/>
      <w:kern w:val="0"/>
      <w:sz w:val="20"/>
      <w:szCs w:val="20"/>
    </w:rPr>
  </w:style>
  <w:style w:type="paragraph" w:styleId="11">
    <w:name w:val="Document Map"/>
    <w:basedOn w:val="1"/>
    <w:link w:val="60"/>
    <w:autoRedefine/>
    <w:qFormat/>
    <w:uiPriority w:val="99"/>
    <w:pPr>
      <w:shd w:val="clear" w:color="auto" w:fill="000080"/>
    </w:pPr>
    <w:rPr>
      <w:kern w:val="0"/>
      <w:sz w:val="24"/>
    </w:rPr>
  </w:style>
  <w:style w:type="paragraph" w:styleId="12">
    <w:name w:val="toa heading"/>
    <w:basedOn w:val="1"/>
    <w:next w:val="1"/>
    <w:autoRedefine/>
    <w:qFormat/>
    <w:uiPriority w:val="0"/>
    <w:pPr>
      <w:spacing w:before="120"/>
    </w:pPr>
    <w:rPr>
      <w:rFonts w:ascii="Arial" w:hAnsi="Arial" w:cs="Arial"/>
      <w:sz w:val="24"/>
    </w:rPr>
  </w:style>
  <w:style w:type="paragraph" w:styleId="13">
    <w:name w:val="annotation text"/>
    <w:basedOn w:val="1"/>
    <w:link w:val="61"/>
    <w:autoRedefine/>
    <w:semiHidden/>
    <w:qFormat/>
    <w:uiPriority w:val="99"/>
    <w:pPr>
      <w:jc w:val="left"/>
    </w:pPr>
    <w:rPr>
      <w:kern w:val="0"/>
      <w:sz w:val="24"/>
    </w:rPr>
  </w:style>
  <w:style w:type="paragraph" w:styleId="14">
    <w:name w:val="Body Text Indent"/>
    <w:basedOn w:val="1"/>
    <w:link w:val="52"/>
    <w:autoRedefine/>
    <w:qFormat/>
    <w:uiPriority w:val="99"/>
    <w:pPr>
      <w:ind w:firstLine="200" w:firstLineChars="200"/>
      <w:jc w:val="left"/>
    </w:pPr>
    <w:rPr>
      <w:rFonts w:ascii="仿宋_GB2312" w:eastAsia="仿宋_GB2312"/>
      <w:kern w:val="0"/>
      <w:sz w:val="24"/>
    </w:rPr>
  </w:style>
  <w:style w:type="paragraph" w:styleId="15">
    <w:name w:val="index 4"/>
    <w:basedOn w:val="1"/>
    <w:next w:val="1"/>
    <w:autoRedefine/>
    <w:qFormat/>
    <w:uiPriority w:val="0"/>
    <w:pPr>
      <w:ind w:left="600" w:leftChars="600"/>
    </w:pPr>
  </w:style>
  <w:style w:type="paragraph" w:styleId="16">
    <w:name w:val="toc 5"/>
    <w:basedOn w:val="1"/>
    <w:next w:val="1"/>
    <w:autoRedefine/>
    <w:qFormat/>
    <w:uiPriority w:val="39"/>
    <w:pPr>
      <w:ind w:left="800" w:leftChars="800"/>
    </w:pPr>
  </w:style>
  <w:style w:type="paragraph" w:styleId="17">
    <w:name w:val="toc 3"/>
    <w:basedOn w:val="1"/>
    <w:next w:val="1"/>
    <w:autoRedefine/>
    <w:qFormat/>
    <w:uiPriority w:val="39"/>
    <w:pPr>
      <w:tabs>
        <w:tab w:val="right" w:leader="dot" w:pos="9515"/>
      </w:tabs>
      <w:ind w:left="400" w:leftChars="400"/>
    </w:pPr>
  </w:style>
  <w:style w:type="paragraph" w:styleId="18">
    <w:name w:val="Plain Text"/>
    <w:basedOn w:val="1"/>
    <w:next w:val="1"/>
    <w:link w:val="63"/>
    <w:autoRedefine/>
    <w:qFormat/>
    <w:uiPriority w:val="0"/>
    <w:pPr>
      <w:autoSpaceDE w:val="0"/>
      <w:autoSpaceDN w:val="0"/>
      <w:adjustRightInd w:val="0"/>
      <w:jc w:val="left"/>
    </w:pPr>
    <w:rPr>
      <w:rFonts w:ascii="宋体" w:hAnsi="Courier New"/>
      <w:szCs w:val="21"/>
    </w:rPr>
  </w:style>
  <w:style w:type="paragraph" w:styleId="19">
    <w:name w:val="toc 8"/>
    <w:basedOn w:val="1"/>
    <w:next w:val="1"/>
    <w:autoRedefine/>
    <w:qFormat/>
    <w:uiPriority w:val="39"/>
    <w:pPr>
      <w:ind w:left="1400" w:leftChars="1400"/>
    </w:pPr>
  </w:style>
  <w:style w:type="paragraph" w:styleId="20">
    <w:name w:val="Date"/>
    <w:basedOn w:val="1"/>
    <w:next w:val="1"/>
    <w:link w:val="64"/>
    <w:autoRedefine/>
    <w:qFormat/>
    <w:uiPriority w:val="99"/>
    <w:pPr>
      <w:ind w:left="2500" w:leftChars="2500"/>
    </w:pPr>
    <w:rPr>
      <w:rFonts w:ascii="仿宋_GB2312" w:eastAsia="仿宋_GB2312"/>
      <w:kern w:val="0"/>
      <w:sz w:val="24"/>
    </w:rPr>
  </w:style>
  <w:style w:type="paragraph" w:styleId="21">
    <w:name w:val="Body Text Indent 2"/>
    <w:basedOn w:val="1"/>
    <w:link w:val="65"/>
    <w:autoRedefine/>
    <w:qFormat/>
    <w:uiPriority w:val="99"/>
    <w:pPr>
      <w:spacing w:line="60" w:lineRule="auto"/>
      <w:ind w:firstLine="128" w:firstLineChars="128"/>
    </w:pPr>
    <w:rPr>
      <w:rFonts w:ascii="仿宋_GB2312" w:eastAsia="仿宋_GB2312"/>
      <w:kern w:val="0"/>
      <w:sz w:val="24"/>
    </w:rPr>
  </w:style>
  <w:style w:type="paragraph" w:styleId="22">
    <w:name w:val="Balloon Text"/>
    <w:basedOn w:val="1"/>
    <w:link w:val="66"/>
    <w:autoRedefine/>
    <w:qFormat/>
    <w:uiPriority w:val="0"/>
    <w:rPr>
      <w:kern w:val="0"/>
      <w:sz w:val="18"/>
      <w:szCs w:val="18"/>
    </w:rPr>
  </w:style>
  <w:style w:type="paragraph" w:styleId="23">
    <w:name w:val="footer"/>
    <w:basedOn w:val="1"/>
    <w:link w:val="67"/>
    <w:autoRedefine/>
    <w:unhideWhenUsed/>
    <w:qFormat/>
    <w:uiPriority w:val="99"/>
    <w:pPr>
      <w:tabs>
        <w:tab w:val="center" w:pos="4153"/>
        <w:tab w:val="right" w:pos="8306"/>
      </w:tabs>
      <w:snapToGrid w:val="0"/>
      <w:jc w:val="left"/>
    </w:pPr>
    <w:rPr>
      <w:kern w:val="0"/>
      <w:sz w:val="18"/>
      <w:szCs w:val="18"/>
    </w:rPr>
  </w:style>
  <w:style w:type="paragraph" w:styleId="24">
    <w:name w:val="header"/>
    <w:basedOn w:val="1"/>
    <w:link w:val="68"/>
    <w:autoRedefine/>
    <w:unhideWhenUsed/>
    <w:qFormat/>
    <w:uiPriority w:val="99"/>
    <w:pPr>
      <w:tabs>
        <w:tab w:val="center" w:pos="4153"/>
        <w:tab w:val="right" w:pos="8306"/>
      </w:tabs>
      <w:snapToGrid w:val="0"/>
      <w:jc w:val="center"/>
    </w:pPr>
    <w:rPr>
      <w:rFonts w:ascii="Calibri" w:hAnsi="Calibri"/>
      <w:kern w:val="0"/>
      <w:sz w:val="18"/>
      <w:szCs w:val="18"/>
    </w:rPr>
  </w:style>
  <w:style w:type="paragraph" w:styleId="25">
    <w:name w:val="toc 1"/>
    <w:basedOn w:val="1"/>
    <w:next w:val="1"/>
    <w:autoRedefine/>
    <w:qFormat/>
    <w:uiPriority w:val="39"/>
    <w:pPr>
      <w:tabs>
        <w:tab w:val="right" w:leader="dot" w:pos="9628"/>
      </w:tabs>
      <w:spacing w:line="360" w:lineRule="auto"/>
    </w:pPr>
    <w:rPr>
      <w:rFonts w:hAnsi="宋体"/>
      <w:b/>
      <w:sz w:val="24"/>
    </w:rPr>
  </w:style>
  <w:style w:type="paragraph" w:styleId="26">
    <w:name w:val="toc 4"/>
    <w:basedOn w:val="1"/>
    <w:next w:val="1"/>
    <w:autoRedefine/>
    <w:qFormat/>
    <w:uiPriority w:val="39"/>
    <w:pPr>
      <w:ind w:left="600" w:leftChars="600"/>
    </w:pPr>
  </w:style>
  <w:style w:type="paragraph" w:styleId="27">
    <w:name w:val="footnote text"/>
    <w:basedOn w:val="1"/>
    <w:autoRedefine/>
    <w:qFormat/>
    <w:uiPriority w:val="0"/>
    <w:pPr>
      <w:snapToGrid w:val="0"/>
      <w:jc w:val="left"/>
    </w:pPr>
    <w:rPr>
      <w:sz w:val="18"/>
    </w:rPr>
  </w:style>
  <w:style w:type="paragraph" w:styleId="28">
    <w:name w:val="toc 6"/>
    <w:basedOn w:val="1"/>
    <w:next w:val="1"/>
    <w:autoRedefine/>
    <w:qFormat/>
    <w:uiPriority w:val="39"/>
    <w:pPr>
      <w:ind w:left="1000" w:leftChars="1000"/>
    </w:pPr>
  </w:style>
  <w:style w:type="paragraph" w:styleId="29">
    <w:name w:val="Body Text Indent 3"/>
    <w:basedOn w:val="1"/>
    <w:link w:val="69"/>
    <w:autoRedefine/>
    <w:qFormat/>
    <w:uiPriority w:val="99"/>
    <w:pPr>
      <w:spacing w:line="360" w:lineRule="auto"/>
      <w:ind w:firstLine="192" w:firstLineChars="192"/>
    </w:pPr>
    <w:rPr>
      <w:rFonts w:ascii="仿宋_GB2312" w:eastAsia="仿宋_GB2312"/>
      <w:color w:val="3366FF"/>
      <w:kern w:val="0"/>
      <w:sz w:val="24"/>
    </w:rPr>
  </w:style>
  <w:style w:type="paragraph" w:styleId="30">
    <w:name w:val="toc 2"/>
    <w:basedOn w:val="1"/>
    <w:next w:val="1"/>
    <w:autoRedefine/>
    <w:qFormat/>
    <w:uiPriority w:val="39"/>
    <w:pPr>
      <w:tabs>
        <w:tab w:val="right" w:leader="dot" w:pos="9515"/>
      </w:tabs>
      <w:ind w:left="270" w:leftChars="100" w:right="100" w:rightChars="100" w:hanging="60"/>
    </w:pPr>
  </w:style>
  <w:style w:type="paragraph" w:styleId="31">
    <w:name w:val="toc 9"/>
    <w:basedOn w:val="1"/>
    <w:next w:val="1"/>
    <w:autoRedefine/>
    <w:qFormat/>
    <w:uiPriority w:val="39"/>
    <w:pPr>
      <w:ind w:left="1600" w:leftChars="1600"/>
    </w:pPr>
  </w:style>
  <w:style w:type="paragraph" w:styleId="32">
    <w:name w:val="Body Text 2"/>
    <w:basedOn w:val="1"/>
    <w:link w:val="70"/>
    <w:autoRedefine/>
    <w:qFormat/>
    <w:uiPriority w:val="99"/>
    <w:rPr>
      <w:rFonts w:ascii="宋体"/>
      <w:kern w:val="0"/>
      <w:sz w:val="20"/>
      <w:szCs w:val="20"/>
    </w:rPr>
  </w:style>
  <w:style w:type="paragraph" w:styleId="33">
    <w:name w:val="Normal (Web)"/>
    <w:basedOn w:val="1"/>
    <w:link w:val="71"/>
    <w:autoRedefine/>
    <w:qFormat/>
    <w:uiPriority w:val="0"/>
    <w:pPr>
      <w:widowControl/>
      <w:spacing w:before="100" w:beforeAutospacing="1" w:after="100" w:afterAutospacing="1"/>
      <w:jc w:val="left"/>
    </w:pPr>
    <w:rPr>
      <w:rFonts w:ascii="宋体" w:hAnsi="宋体"/>
      <w:kern w:val="0"/>
      <w:sz w:val="24"/>
    </w:rPr>
  </w:style>
  <w:style w:type="paragraph" w:styleId="34">
    <w:name w:val="Title"/>
    <w:basedOn w:val="1"/>
    <w:next w:val="1"/>
    <w:autoRedefine/>
    <w:qFormat/>
    <w:uiPriority w:val="0"/>
    <w:pPr>
      <w:jc w:val="center"/>
    </w:pPr>
    <w:rPr>
      <w:sz w:val="30"/>
    </w:rPr>
  </w:style>
  <w:style w:type="paragraph" w:styleId="35">
    <w:name w:val="annotation subject"/>
    <w:basedOn w:val="13"/>
    <w:next w:val="1"/>
    <w:link w:val="72"/>
    <w:autoRedefine/>
    <w:semiHidden/>
    <w:qFormat/>
    <w:uiPriority w:val="99"/>
    <w:rPr>
      <w:b/>
      <w:bCs/>
    </w:rPr>
  </w:style>
  <w:style w:type="paragraph" w:styleId="36">
    <w:name w:val="Body Text First Indent"/>
    <w:basedOn w:val="2"/>
    <w:link w:val="73"/>
    <w:autoRedefine/>
    <w:qFormat/>
    <w:uiPriority w:val="99"/>
    <w:pPr>
      <w:tabs>
        <w:tab w:val="center" w:pos="2185"/>
      </w:tabs>
      <w:spacing w:beforeLines="50" w:after="0" w:line="300" w:lineRule="auto"/>
      <w:ind w:firstLine="200" w:firstLineChars="200"/>
    </w:pPr>
    <w:rPr>
      <w:rFonts w:ascii="楷体_GB2312" w:eastAsia="楷体_GB2312"/>
      <w:spacing w:val="4"/>
      <w:sz w:val="20"/>
      <w:szCs w:val="20"/>
    </w:rPr>
  </w:style>
  <w:style w:type="paragraph" w:styleId="37">
    <w:name w:val="Body Text First Indent 2"/>
    <w:basedOn w:val="14"/>
    <w:autoRedefine/>
    <w:qFormat/>
    <w:uiPriority w:val="0"/>
    <w:pPr>
      <w:spacing w:after="120"/>
      <w:ind w:left="420" w:leftChars="200" w:firstLine="420"/>
    </w:pPr>
    <w:rPr>
      <w:sz w:val="21"/>
    </w:rPr>
  </w:style>
  <w:style w:type="table" w:styleId="39">
    <w:name w:val="Table Grid"/>
    <w:basedOn w:val="38"/>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Strong"/>
    <w:autoRedefine/>
    <w:qFormat/>
    <w:uiPriority w:val="22"/>
    <w:rPr>
      <w:b/>
    </w:rPr>
  </w:style>
  <w:style w:type="character" w:styleId="42">
    <w:name w:val="page number"/>
    <w:autoRedefine/>
    <w:qFormat/>
    <w:uiPriority w:val="99"/>
    <w:rPr>
      <w:rFonts w:cs="Times New Roman"/>
    </w:rPr>
  </w:style>
  <w:style w:type="character" w:styleId="43">
    <w:name w:val="FollowedHyperlink"/>
    <w:autoRedefine/>
    <w:qFormat/>
    <w:uiPriority w:val="99"/>
    <w:rPr>
      <w:color w:val="337AB7"/>
      <w:u w:val="single"/>
    </w:rPr>
  </w:style>
  <w:style w:type="character" w:styleId="44">
    <w:name w:val="HTML Definition"/>
    <w:autoRedefine/>
    <w:unhideWhenUsed/>
    <w:qFormat/>
    <w:uiPriority w:val="99"/>
    <w:rPr>
      <w:i/>
    </w:rPr>
  </w:style>
  <w:style w:type="character" w:styleId="45">
    <w:name w:val="Hyperlink"/>
    <w:autoRedefine/>
    <w:qFormat/>
    <w:uiPriority w:val="99"/>
    <w:rPr>
      <w:color w:val="337AB7"/>
      <w:u w:val="single"/>
    </w:rPr>
  </w:style>
  <w:style w:type="character" w:styleId="46">
    <w:name w:val="HTML Code"/>
    <w:autoRedefine/>
    <w:unhideWhenUsed/>
    <w:qFormat/>
    <w:uiPriority w:val="99"/>
    <w:rPr>
      <w:rFonts w:hint="default" w:ascii="Consolas" w:hAnsi="Consolas" w:eastAsia="Consolas" w:cs="Consolas"/>
      <w:color w:val="C7254E"/>
      <w:sz w:val="21"/>
      <w:szCs w:val="21"/>
      <w:shd w:val="clear" w:color="auto" w:fill="F9F2F4"/>
    </w:rPr>
  </w:style>
  <w:style w:type="character" w:styleId="47">
    <w:name w:val="annotation reference"/>
    <w:autoRedefine/>
    <w:semiHidden/>
    <w:qFormat/>
    <w:uiPriority w:val="99"/>
    <w:rPr>
      <w:rFonts w:cs="Times New Roman"/>
      <w:sz w:val="21"/>
      <w:szCs w:val="21"/>
    </w:rPr>
  </w:style>
  <w:style w:type="character" w:styleId="48">
    <w:name w:val="footnote reference"/>
    <w:autoRedefine/>
    <w:qFormat/>
    <w:uiPriority w:val="0"/>
    <w:rPr>
      <w:vertAlign w:val="superscript"/>
    </w:rPr>
  </w:style>
  <w:style w:type="character" w:styleId="49">
    <w:name w:val="HTML Keyboard"/>
    <w:autoRedefine/>
    <w:unhideWhenUsed/>
    <w:qFormat/>
    <w:uiPriority w:val="99"/>
    <w:rPr>
      <w:rFonts w:hint="default" w:ascii="Consolas" w:hAnsi="Consolas" w:eastAsia="Consolas" w:cs="Consolas"/>
      <w:color w:val="FFFFFF"/>
      <w:sz w:val="21"/>
      <w:szCs w:val="21"/>
      <w:shd w:val="clear" w:color="auto" w:fill="333333"/>
    </w:rPr>
  </w:style>
  <w:style w:type="character" w:styleId="50">
    <w:name w:val="HTML Sample"/>
    <w:autoRedefine/>
    <w:unhideWhenUsed/>
    <w:qFormat/>
    <w:uiPriority w:val="99"/>
    <w:rPr>
      <w:rFonts w:ascii="Consolas" w:hAnsi="Consolas" w:eastAsia="Consolas" w:cs="Consolas"/>
      <w:sz w:val="21"/>
      <w:szCs w:val="21"/>
    </w:rPr>
  </w:style>
  <w:style w:type="paragraph" w:customStyle="1" w:styleId="51">
    <w:name w:val="Default"/>
    <w:basedOn w:val="34"/>
    <w:next w:val="3"/>
    <w:autoRedefine/>
    <w:qFormat/>
    <w:uiPriority w:val="0"/>
    <w:pPr>
      <w:widowControl w:val="0"/>
      <w:autoSpaceDE w:val="0"/>
      <w:autoSpaceDN w:val="0"/>
      <w:adjustRightInd w:val="0"/>
    </w:pPr>
    <w:rPr>
      <w:rFonts w:ascii="......." w:hAnsi="......." w:eastAsia="......." w:cs="......."/>
      <w:color w:val="000000"/>
      <w:sz w:val="24"/>
      <w:szCs w:val="24"/>
      <w:lang w:val="en-US" w:eastAsia="zh-CN" w:bidi="ar-SA"/>
    </w:rPr>
  </w:style>
  <w:style w:type="character" w:customStyle="1" w:styleId="52">
    <w:name w:val="正文文本缩进 字符"/>
    <w:link w:val="14"/>
    <w:autoRedefine/>
    <w:qFormat/>
    <w:locked/>
    <w:uiPriority w:val="99"/>
    <w:rPr>
      <w:rFonts w:ascii="仿宋_GB2312" w:hAnsi="Times New Roman" w:eastAsia="仿宋_GB2312" w:cs="Times New Roman"/>
      <w:sz w:val="24"/>
      <w:szCs w:val="24"/>
    </w:rPr>
  </w:style>
  <w:style w:type="character" w:customStyle="1" w:styleId="53">
    <w:name w:val="标题 1 字符"/>
    <w:link w:val="3"/>
    <w:autoRedefine/>
    <w:qFormat/>
    <w:locked/>
    <w:uiPriority w:val="9"/>
    <w:rPr>
      <w:rFonts w:ascii="仿宋_GB2312" w:hAnsi="Times New Roman" w:eastAsia="仿宋_GB2312" w:cs="Times New Roman"/>
      <w:b/>
      <w:bCs/>
      <w:color w:val="000000"/>
      <w:kern w:val="0"/>
      <w:sz w:val="20"/>
      <w:szCs w:val="20"/>
    </w:rPr>
  </w:style>
  <w:style w:type="character" w:customStyle="1" w:styleId="54">
    <w:name w:val="标题 2 字符"/>
    <w:link w:val="4"/>
    <w:autoRedefine/>
    <w:qFormat/>
    <w:locked/>
    <w:uiPriority w:val="9"/>
    <w:rPr>
      <w:rFonts w:ascii="Arial" w:hAnsi="Arial" w:eastAsia="宋体" w:cs="Times New Roman"/>
      <w:b/>
      <w:bCs/>
      <w:sz w:val="32"/>
      <w:szCs w:val="32"/>
    </w:rPr>
  </w:style>
  <w:style w:type="character" w:customStyle="1" w:styleId="55">
    <w:name w:val="标题 3 字符"/>
    <w:link w:val="5"/>
    <w:autoRedefine/>
    <w:qFormat/>
    <w:locked/>
    <w:uiPriority w:val="9"/>
    <w:rPr>
      <w:rFonts w:ascii="宋体" w:hAnsi="Times New Roman" w:eastAsia="宋体" w:cs="Times New Roman"/>
      <w:b/>
      <w:bCs/>
      <w:sz w:val="32"/>
      <w:szCs w:val="32"/>
    </w:rPr>
  </w:style>
  <w:style w:type="character" w:customStyle="1" w:styleId="56">
    <w:name w:val="标题 4 字符"/>
    <w:link w:val="6"/>
    <w:autoRedefine/>
    <w:qFormat/>
    <w:uiPriority w:val="0"/>
    <w:rPr>
      <w:rFonts w:ascii="Arial" w:hAnsi="Arial" w:eastAsia="黑体"/>
      <w:b/>
      <w:bCs/>
      <w:kern w:val="2"/>
      <w:sz w:val="28"/>
      <w:szCs w:val="28"/>
    </w:rPr>
  </w:style>
  <w:style w:type="character" w:customStyle="1" w:styleId="57">
    <w:name w:val="标题 5 字符"/>
    <w:link w:val="7"/>
    <w:autoRedefine/>
    <w:qFormat/>
    <w:locked/>
    <w:uiPriority w:val="9"/>
    <w:rPr>
      <w:rFonts w:ascii="Times New Roman" w:hAnsi="Times New Roman"/>
      <w:b/>
      <w:sz w:val="24"/>
      <w:szCs w:val="24"/>
    </w:rPr>
  </w:style>
  <w:style w:type="character" w:customStyle="1" w:styleId="58">
    <w:name w:val="正文缩进 字符"/>
    <w:link w:val="9"/>
    <w:autoRedefine/>
    <w:qFormat/>
    <w:uiPriority w:val="0"/>
    <w:rPr>
      <w:rFonts w:ascii="宋体"/>
      <w:kern w:val="2"/>
      <w:sz w:val="21"/>
    </w:rPr>
  </w:style>
  <w:style w:type="character" w:customStyle="1" w:styleId="59">
    <w:name w:val="题注 字符"/>
    <w:link w:val="10"/>
    <w:autoRedefine/>
    <w:qFormat/>
    <w:uiPriority w:val="0"/>
    <w:rPr>
      <w:rFonts w:ascii="Cambria" w:hAnsi="Cambria" w:eastAsia="黑体"/>
    </w:rPr>
  </w:style>
  <w:style w:type="character" w:customStyle="1" w:styleId="60">
    <w:name w:val="文档结构图 字符"/>
    <w:link w:val="11"/>
    <w:autoRedefine/>
    <w:qFormat/>
    <w:locked/>
    <w:uiPriority w:val="99"/>
    <w:rPr>
      <w:rFonts w:ascii="Times New Roman" w:hAnsi="Times New Roman" w:eastAsia="宋体" w:cs="Times New Roman"/>
      <w:sz w:val="24"/>
      <w:szCs w:val="24"/>
      <w:shd w:val="clear" w:color="auto" w:fill="000080"/>
    </w:rPr>
  </w:style>
  <w:style w:type="character" w:customStyle="1" w:styleId="61">
    <w:name w:val="批注文字 字符"/>
    <w:link w:val="13"/>
    <w:autoRedefine/>
    <w:semiHidden/>
    <w:qFormat/>
    <w:locked/>
    <w:uiPriority w:val="99"/>
    <w:rPr>
      <w:rFonts w:ascii="Times New Roman" w:hAnsi="Times New Roman" w:eastAsia="宋体" w:cs="Times New Roman"/>
      <w:sz w:val="24"/>
      <w:szCs w:val="24"/>
    </w:rPr>
  </w:style>
  <w:style w:type="character" w:customStyle="1" w:styleId="62">
    <w:name w:val="正文文本 字符"/>
    <w:link w:val="2"/>
    <w:autoRedefine/>
    <w:semiHidden/>
    <w:qFormat/>
    <w:locked/>
    <w:uiPriority w:val="99"/>
    <w:rPr>
      <w:rFonts w:ascii="Times New Roman" w:hAnsi="Times New Roman" w:eastAsia="宋体" w:cs="Times New Roman"/>
      <w:sz w:val="24"/>
      <w:szCs w:val="24"/>
    </w:rPr>
  </w:style>
  <w:style w:type="character" w:customStyle="1" w:styleId="63">
    <w:name w:val="纯文本 字符"/>
    <w:link w:val="18"/>
    <w:autoRedefine/>
    <w:qFormat/>
    <w:uiPriority w:val="0"/>
    <w:rPr>
      <w:rFonts w:ascii="宋体" w:hAnsi="Courier New" w:cs="Courier New"/>
      <w:kern w:val="2"/>
      <w:sz w:val="21"/>
      <w:szCs w:val="21"/>
    </w:rPr>
  </w:style>
  <w:style w:type="character" w:customStyle="1" w:styleId="64">
    <w:name w:val="日期 字符"/>
    <w:link w:val="20"/>
    <w:autoRedefine/>
    <w:qFormat/>
    <w:locked/>
    <w:uiPriority w:val="99"/>
    <w:rPr>
      <w:rFonts w:ascii="仿宋_GB2312" w:hAnsi="Times New Roman" w:eastAsia="仿宋_GB2312" w:cs="Times New Roman"/>
      <w:sz w:val="24"/>
      <w:szCs w:val="24"/>
    </w:rPr>
  </w:style>
  <w:style w:type="character" w:customStyle="1" w:styleId="65">
    <w:name w:val="正文文本缩进 2 字符"/>
    <w:link w:val="21"/>
    <w:autoRedefine/>
    <w:qFormat/>
    <w:locked/>
    <w:uiPriority w:val="99"/>
    <w:rPr>
      <w:rFonts w:ascii="仿宋_GB2312" w:hAnsi="Times New Roman" w:eastAsia="仿宋_GB2312" w:cs="Times New Roman"/>
      <w:sz w:val="24"/>
      <w:szCs w:val="24"/>
    </w:rPr>
  </w:style>
  <w:style w:type="character" w:customStyle="1" w:styleId="66">
    <w:name w:val="批注框文本 字符"/>
    <w:link w:val="22"/>
    <w:autoRedefine/>
    <w:qFormat/>
    <w:locked/>
    <w:uiPriority w:val="0"/>
    <w:rPr>
      <w:rFonts w:ascii="Times New Roman" w:hAnsi="Times New Roman" w:eastAsia="宋体" w:cs="Times New Roman"/>
      <w:sz w:val="18"/>
      <w:szCs w:val="18"/>
    </w:rPr>
  </w:style>
  <w:style w:type="character" w:customStyle="1" w:styleId="67">
    <w:name w:val="页脚 字符"/>
    <w:link w:val="23"/>
    <w:autoRedefine/>
    <w:qFormat/>
    <w:locked/>
    <w:uiPriority w:val="99"/>
    <w:rPr>
      <w:rFonts w:cs="Times New Roman"/>
      <w:sz w:val="18"/>
      <w:szCs w:val="18"/>
    </w:rPr>
  </w:style>
  <w:style w:type="character" w:customStyle="1" w:styleId="68">
    <w:name w:val="页眉 字符"/>
    <w:link w:val="24"/>
    <w:autoRedefine/>
    <w:qFormat/>
    <w:locked/>
    <w:uiPriority w:val="99"/>
    <w:rPr>
      <w:rFonts w:ascii="Calibri" w:hAnsi="Calibri"/>
      <w:sz w:val="18"/>
      <w:szCs w:val="18"/>
    </w:rPr>
  </w:style>
  <w:style w:type="character" w:customStyle="1" w:styleId="69">
    <w:name w:val="正文文本缩进 3 字符"/>
    <w:link w:val="29"/>
    <w:autoRedefine/>
    <w:qFormat/>
    <w:locked/>
    <w:uiPriority w:val="99"/>
    <w:rPr>
      <w:rFonts w:ascii="仿宋_GB2312" w:hAnsi="Times New Roman" w:eastAsia="仿宋_GB2312" w:cs="Times New Roman"/>
      <w:color w:val="3366FF"/>
      <w:sz w:val="24"/>
      <w:szCs w:val="24"/>
    </w:rPr>
  </w:style>
  <w:style w:type="character" w:customStyle="1" w:styleId="70">
    <w:name w:val="正文文本 2 字符"/>
    <w:link w:val="32"/>
    <w:autoRedefine/>
    <w:qFormat/>
    <w:locked/>
    <w:uiPriority w:val="99"/>
    <w:rPr>
      <w:rFonts w:ascii="宋体" w:hAnsi="Times New Roman" w:eastAsia="宋体" w:cs="Times New Roman"/>
      <w:sz w:val="20"/>
      <w:szCs w:val="20"/>
    </w:rPr>
  </w:style>
  <w:style w:type="character" w:customStyle="1" w:styleId="71">
    <w:name w:val="普通(网站) 字符"/>
    <w:link w:val="33"/>
    <w:autoRedefine/>
    <w:qFormat/>
    <w:uiPriority w:val="0"/>
    <w:rPr>
      <w:rFonts w:ascii="宋体" w:hAnsi="宋体" w:cs="宋体"/>
      <w:sz w:val="24"/>
      <w:szCs w:val="24"/>
    </w:rPr>
  </w:style>
  <w:style w:type="character" w:customStyle="1" w:styleId="72">
    <w:name w:val="批注主题 字符"/>
    <w:link w:val="35"/>
    <w:autoRedefine/>
    <w:semiHidden/>
    <w:qFormat/>
    <w:locked/>
    <w:uiPriority w:val="99"/>
    <w:rPr>
      <w:rFonts w:ascii="Times New Roman" w:hAnsi="Times New Roman" w:eastAsia="宋体" w:cs="Times New Roman"/>
      <w:b/>
      <w:bCs/>
      <w:sz w:val="24"/>
      <w:szCs w:val="24"/>
    </w:rPr>
  </w:style>
  <w:style w:type="character" w:customStyle="1" w:styleId="73">
    <w:name w:val="正文首行缩进 字符"/>
    <w:link w:val="36"/>
    <w:autoRedefine/>
    <w:qFormat/>
    <w:locked/>
    <w:uiPriority w:val="99"/>
    <w:rPr>
      <w:rFonts w:ascii="楷体_GB2312" w:hAnsi="Times New Roman" w:eastAsia="楷体_GB2312" w:cs="Times New Roman"/>
      <w:spacing w:val="4"/>
      <w:sz w:val="20"/>
      <w:szCs w:val="20"/>
    </w:rPr>
  </w:style>
  <w:style w:type="character" w:customStyle="1" w:styleId="74">
    <w:name w:val="apple-converted-space"/>
    <w:autoRedefine/>
    <w:qFormat/>
    <w:uiPriority w:val="0"/>
  </w:style>
  <w:style w:type="character" w:customStyle="1" w:styleId="75">
    <w:name w:val="页脚 Char1"/>
    <w:autoRedefine/>
    <w:qFormat/>
    <w:uiPriority w:val="99"/>
    <w:rPr>
      <w:kern w:val="2"/>
      <w:sz w:val="18"/>
    </w:rPr>
  </w:style>
  <w:style w:type="character" w:customStyle="1" w:styleId="76">
    <w:name w:val="普通文字 Char Char1"/>
    <w:autoRedefine/>
    <w:qFormat/>
    <w:uiPriority w:val="0"/>
    <w:rPr>
      <w:rFonts w:ascii="宋体" w:eastAsia="宋体" w:cs="Times New Roman"/>
      <w:kern w:val="2"/>
      <w:sz w:val="21"/>
      <w:lang w:val="en-US" w:eastAsia="zh-CN" w:bidi="ar-SA"/>
    </w:rPr>
  </w:style>
  <w:style w:type="character" w:customStyle="1" w:styleId="77">
    <w:name w:val="无间隔字符"/>
    <w:link w:val="78"/>
    <w:autoRedefine/>
    <w:qFormat/>
    <w:uiPriority w:val="0"/>
    <w:rPr>
      <w:sz w:val="21"/>
      <w:szCs w:val="22"/>
      <w:lang w:val="en-US" w:eastAsia="zh-CN" w:bidi="ar-SA"/>
    </w:rPr>
  </w:style>
  <w:style w:type="paragraph" w:customStyle="1" w:styleId="78">
    <w:name w:val="无间隔1"/>
    <w:link w:val="77"/>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79">
    <w:name w:val="hour_am"/>
    <w:autoRedefine/>
    <w:qFormat/>
    <w:uiPriority w:val="0"/>
  </w:style>
  <w:style w:type="character" w:customStyle="1" w:styleId="80">
    <w:name w:val="indent"/>
    <w:autoRedefine/>
    <w:qFormat/>
    <w:uiPriority w:val="0"/>
  </w:style>
  <w:style w:type="character" w:customStyle="1" w:styleId="81">
    <w:name w:val="fontstyle21"/>
    <w:autoRedefine/>
    <w:qFormat/>
    <w:uiPriority w:val="0"/>
    <w:rPr>
      <w:rFonts w:hint="eastAsia" w:ascii="宋体" w:hAnsi="宋体" w:eastAsia="宋体"/>
      <w:color w:val="000000"/>
      <w:sz w:val="32"/>
      <w:szCs w:val="32"/>
    </w:rPr>
  </w:style>
  <w:style w:type="character" w:customStyle="1" w:styleId="82">
    <w:name w:val="fontstyle01"/>
    <w:autoRedefine/>
    <w:qFormat/>
    <w:uiPriority w:val="0"/>
    <w:rPr>
      <w:rFonts w:hint="default" w:ascii="FZFSK--GBK1-0" w:hAnsi="FZFSK--GBK1-0"/>
      <w:color w:val="000000"/>
      <w:sz w:val="32"/>
      <w:szCs w:val="32"/>
    </w:rPr>
  </w:style>
  <w:style w:type="character" w:customStyle="1" w:styleId="83">
    <w:name w:val="font31"/>
    <w:basedOn w:val="40"/>
    <w:autoRedefine/>
    <w:qFormat/>
    <w:uiPriority w:val="0"/>
    <w:rPr>
      <w:rFonts w:hint="eastAsia" w:ascii="宋体" w:hAnsi="宋体" w:eastAsia="宋体" w:cs="宋体"/>
      <w:color w:val="000000"/>
      <w:sz w:val="22"/>
      <w:szCs w:val="22"/>
      <w:u w:val="none"/>
    </w:rPr>
  </w:style>
  <w:style w:type="character" w:customStyle="1" w:styleId="84">
    <w:name w:val="hover1"/>
    <w:autoRedefine/>
    <w:qFormat/>
    <w:uiPriority w:val="0"/>
    <w:rPr>
      <w:shd w:val="clear" w:color="auto" w:fill="EEEEEE"/>
    </w:rPr>
  </w:style>
  <w:style w:type="character" w:customStyle="1" w:styleId="85">
    <w:name w:val="font51"/>
    <w:basedOn w:val="40"/>
    <w:autoRedefine/>
    <w:qFormat/>
    <w:uiPriority w:val="0"/>
    <w:rPr>
      <w:rFonts w:hint="eastAsia" w:ascii="宋体" w:hAnsi="宋体" w:eastAsia="宋体" w:cs="宋体"/>
      <w:color w:val="000000"/>
      <w:sz w:val="22"/>
      <w:szCs w:val="22"/>
      <w:u w:val="none"/>
    </w:rPr>
  </w:style>
  <w:style w:type="character" w:customStyle="1" w:styleId="86">
    <w:name w:val="font21"/>
    <w:autoRedefine/>
    <w:qFormat/>
    <w:uiPriority w:val="99"/>
    <w:rPr>
      <w:rFonts w:hint="eastAsia" w:ascii="宋体" w:hAnsi="宋体" w:eastAsia="宋体" w:cs="宋体"/>
      <w:color w:val="000000"/>
      <w:sz w:val="22"/>
      <w:szCs w:val="22"/>
      <w:u w:val="none"/>
    </w:rPr>
  </w:style>
  <w:style w:type="character" w:customStyle="1" w:styleId="87">
    <w:name w:val="纯文本 Char"/>
    <w:autoRedefine/>
    <w:qFormat/>
    <w:uiPriority w:val="99"/>
    <w:rPr>
      <w:rFonts w:ascii="宋体" w:hAnsi="Courier New" w:eastAsia="宋体" w:cs="Courier New"/>
      <w:sz w:val="21"/>
      <w:szCs w:val="21"/>
    </w:rPr>
  </w:style>
  <w:style w:type="character" w:customStyle="1" w:styleId="88">
    <w:name w:val="无间隔 字符"/>
    <w:link w:val="89"/>
    <w:autoRedefine/>
    <w:qFormat/>
    <w:uiPriority w:val="1"/>
    <w:rPr>
      <w:sz w:val="22"/>
      <w:szCs w:val="22"/>
      <w:lang w:val="en-US" w:eastAsia="zh-CN" w:bidi="ar-SA"/>
    </w:rPr>
  </w:style>
  <w:style w:type="paragraph" w:styleId="89">
    <w:name w:val="No Spacing"/>
    <w:link w:val="88"/>
    <w:autoRedefine/>
    <w:qFormat/>
    <w:uiPriority w:val="1"/>
    <w:rPr>
      <w:rFonts w:ascii="Times New Roman" w:hAnsi="Times New Roman" w:eastAsia="宋体" w:cs="Times New Roman"/>
      <w:sz w:val="22"/>
      <w:szCs w:val="22"/>
      <w:lang w:val="en-US" w:eastAsia="zh-CN" w:bidi="ar-SA"/>
    </w:rPr>
  </w:style>
  <w:style w:type="character" w:customStyle="1" w:styleId="90">
    <w:name w:val="grame"/>
    <w:autoRedefine/>
    <w:qFormat/>
    <w:uiPriority w:val="0"/>
    <w:rPr>
      <w:rFonts w:cs="Times New Roman"/>
    </w:rPr>
  </w:style>
  <w:style w:type="character" w:customStyle="1" w:styleId="91">
    <w:name w:val="font01"/>
    <w:basedOn w:val="40"/>
    <w:autoRedefine/>
    <w:qFormat/>
    <w:uiPriority w:val="99"/>
    <w:rPr>
      <w:rFonts w:hint="default" w:ascii="Times New Roman" w:hAnsi="Times New Roman" w:cs="Times New Roman"/>
      <w:color w:val="000000"/>
      <w:sz w:val="20"/>
      <w:szCs w:val="20"/>
      <w:u w:val="none"/>
    </w:rPr>
  </w:style>
  <w:style w:type="character" w:customStyle="1" w:styleId="92">
    <w:name w:val="*正文 字符"/>
    <w:link w:val="93"/>
    <w:autoRedefine/>
    <w:qFormat/>
    <w:locked/>
    <w:uiPriority w:val="0"/>
    <w:rPr>
      <w:rFonts w:ascii="宋体" w:hAnsi="宋体"/>
      <w:kern w:val="2"/>
      <w:sz w:val="24"/>
      <w:szCs w:val="22"/>
    </w:rPr>
  </w:style>
  <w:style w:type="paragraph" w:customStyle="1" w:styleId="93">
    <w:name w:val="*正文"/>
    <w:basedOn w:val="1"/>
    <w:link w:val="92"/>
    <w:autoRedefine/>
    <w:qFormat/>
    <w:uiPriority w:val="0"/>
    <w:pPr>
      <w:spacing w:beforeLines="50" w:afterLines="50" w:line="360" w:lineRule="auto"/>
      <w:ind w:firstLine="200" w:firstLineChars="200"/>
      <w:contextualSpacing/>
    </w:pPr>
    <w:rPr>
      <w:rFonts w:ascii="宋体" w:hAnsi="宋体"/>
      <w:sz w:val="24"/>
      <w:szCs w:val="22"/>
    </w:rPr>
  </w:style>
  <w:style w:type="character" w:customStyle="1" w:styleId="94">
    <w:name w:val="纯文本 Char2"/>
    <w:autoRedefine/>
    <w:qFormat/>
    <w:uiPriority w:val="0"/>
    <w:rPr>
      <w:rFonts w:ascii="宋体" w:eastAsia="宋体"/>
      <w:kern w:val="2"/>
      <w:sz w:val="21"/>
      <w:lang w:val="en-US" w:eastAsia="zh-CN" w:bidi="ar-SA"/>
    </w:rPr>
  </w:style>
  <w:style w:type="character" w:customStyle="1" w:styleId="95">
    <w:name w:val="font61"/>
    <w:autoRedefine/>
    <w:qFormat/>
    <w:uiPriority w:val="0"/>
    <w:rPr>
      <w:rFonts w:hint="eastAsia" w:ascii="宋体" w:hAnsi="宋体" w:eastAsia="宋体" w:cs="宋体"/>
      <w:color w:val="000000"/>
      <w:sz w:val="22"/>
      <w:szCs w:val="22"/>
      <w:u w:val="none"/>
    </w:rPr>
  </w:style>
  <w:style w:type="character" w:customStyle="1" w:styleId="96">
    <w:name w:val="glyphicon6"/>
    <w:autoRedefine/>
    <w:qFormat/>
    <w:uiPriority w:val="0"/>
  </w:style>
  <w:style w:type="character" w:customStyle="1" w:styleId="97">
    <w:name w:val="icon"/>
    <w:autoRedefine/>
    <w:qFormat/>
    <w:uiPriority w:val="0"/>
  </w:style>
  <w:style w:type="character" w:customStyle="1" w:styleId="98">
    <w:name w:val="para1"/>
    <w:autoRedefine/>
    <w:qFormat/>
    <w:uiPriority w:val="0"/>
    <w:rPr>
      <w:rFonts w:ascii="Arial" w:hAnsi="Arial"/>
      <w:sz w:val="18"/>
    </w:rPr>
  </w:style>
  <w:style w:type="character" w:customStyle="1" w:styleId="99">
    <w:name w:val="old"/>
    <w:autoRedefine/>
    <w:qFormat/>
    <w:uiPriority w:val="0"/>
    <w:rPr>
      <w:color w:val="999999"/>
    </w:rPr>
  </w:style>
  <w:style w:type="character" w:customStyle="1" w:styleId="100">
    <w:name w:val="hour_pm"/>
    <w:autoRedefine/>
    <w:qFormat/>
    <w:uiPriority w:val="0"/>
  </w:style>
  <w:style w:type="paragraph" w:customStyle="1" w:styleId="101">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02">
    <w:name w:val="xl45"/>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_GB2312" w:eastAsia="仿宋_GB2312"/>
      <w:b/>
      <w:bCs/>
      <w:kern w:val="0"/>
      <w:sz w:val="24"/>
    </w:rPr>
  </w:style>
  <w:style w:type="paragraph" w:customStyle="1" w:styleId="103">
    <w:name w:val="_Style 100"/>
    <w:basedOn w:val="1"/>
    <w:next w:val="1"/>
    <w:autoRedefine/>
    <w:qFormat/>
    <w:uiPriority w:val="0"/>
    <w:pPr>
      <w:pBdr>
        <w:bottom w:val="single" w:color="auto" w:sz="6" w:space="1"/>
      </w:pBdr>
      <w:jc w:val="center"/>
    </w:pPr>
    <w:rPr>
      <w:rFonts w:ascii="Arial"/>
      <w:vanish/>
      <w:sz w:val="16"/>
    </w:rPr>
  </w:style>
  <w:style w:type="paragraph" w:customStyle="1" w:styleId="104">
    <w:name w:val="xl5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05">
    <w:name w:val="xl57"/>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06">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0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08">
    <w:name w:val="xl3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09">
    <w:name w:val="xl48"/>
    <w:basedOn w:val="1"/>
    <w:autoRedefine/>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宋体"/>
      <w:kern w:val="0"/>
      <w:sz w:val="24"/>
    </w:rPr>
  </w:style>
  <w:style w:type="paragraph" w:styleId="110">
    <w:name w:val="List Paragraph"/>
    <w:basedOn w:val="1"/>
    <w:autoRedefine/>
    <w:qFormat/>
    <w:uiPriority w:val="34"/>
    <w:pPr>
      <w:ind w:firstLine="420" w:firstLineChars="200"/>
    </w:pPr>
  </w:style>
  <w:style w:type="paragraph" w:customStyle="1" w:styleId="111">
    <w:name w:val="xl6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12">
    <w:name w:val="xl58"/>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13">
    <w:name w:val="xl69"/>
    <w:basedOn w:val="1"/>
    <w:autoRedefine/>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1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15">
    <w:name w:val="xl28"/>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16">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17">
    <w:name w:val="xl40"/>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1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19">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20">
    <w:name w:val="Char13"/>
    <w:basedOn w:val="1"/>
    <w:autoRedefine/>
    <w:qFormat/>
    <w:uiPriority w:val="0"/>
  </w:style>
  <w:style w:type="paragraph" w:customStyle="1" w:styleId="121">
    <w:name w:val="xl24"/>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2">
    <w:name w:val="列出段落1"/>
    <w:basedOn w:val="1"/>
    <w:autoRedefine/>
    <w:qFormat/>
    <w:uiPriority w:val="34"/>
    <w:pPr>
      <w:ind w:firstLine="420" w:firstLineChars="200"/>
    </w:pPr>
    <w:rPr>
      <w:rFonts w:ascii="Calibri" w:hAnsi="Calibri" w:cs="黑体"/>
      <w:szCs w:val="22"/>
    </w:rPr>
  </w:style>
  <w:style w:type="paragraph" w:customStyle="1" w:styleId="123">
    <w:name w:val="xl3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4">
    <w:name w:val="xl34"/>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25">
    <w:name w:val="font8"/>
    <w:basedOn w:val="1"/>
    <w:autoRedefine/>
    <w:qFormat/>
    <w:uiPriority w:val="0"/>
    <w:pPr>
      <w:widowControl/>
      <w:spacing w:before="100" w:beforeAutospacing="1" w:after="100" w:afterAutospacing="1"/>
      <w:jc w:val="left"/>
    </w:pPr>
    <w:rPr>
      <w:kern w:val="0"/>
      <w:sz w:val="20"/>
      <w:szCs w:val="20"/>
    </w:rPr>
  </w:style>
  <w:style w:type="paragraph" w:customStyle="1" w:styleId="126">
    <w:name w:val="xl31"/>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textAlignment w:val="top"/>
    </w:pPr>
    <w:rPr>
      <w:rFonts w:ascii="仿宋_GB2312" w:eastAsia="仿宋_GB2312"/>
      <w:kern w:val="0"/>
      <w:sz w:val="24"/>
    </w:rPr>
  </w:style>
  <w:style w:type="paragraph" w:customStyle="1" w:styleId="127">
    <w:name w:val="xl77"/>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28">
    <w:name w:val="Char"/>
    <w:basedOn w:val="1"/>
    <w:autoRedefine/>
    <w:qFormat/>
    <w:uiPriority w:val="0"/>
  </w:style>
  <w:style w:type="paragraph" w:customStyle="1" w:styleId="129">
    <w:name w:val="标题目"/>
    <w:basedOn w:val="1"/>
    <w:autoRedefine/>
    <w:qFormat/>
    <w:uiPriority w:val="0"/>
    <w:pPr>
      <w:spacing w:line="300" w:lineRule="auto"/>
      <w:ind w:firstLine="200" w:firstLineChars="200"/>
      <w:jc w:val="center"/>
    </w:pPr>
    <w:rPr>
      <w:rFonts w:eastAsia="黑体"/>
      <w:szCs w:val="20"/>
    </w:rPr>
  </w:style>
  <w:style w:type="paragraph" w:customStyle="1" w:styleId="130">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kern w:val="0"/>
      <w:sz w:val="20"/>
      <w:szCs w:val="20"/>
    </w:rPr>
  </w:style>
  <w:style w:type="paragraph" w:customStyle="1" w:styleId="13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32">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kern w:val="0"/>
      <w:sz w:val="24"/>
    </w:rPr>
  </w:style>
  <w:style w:type="paragraph" w:customStyle="1" w:styleId="13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4">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135">
    <w:name w:val="font11"/>
    <w:basedOn w:val="1"/>
    <w:autoRedefine/>
    <w:qFormat/>
    <w:uiPriority w:val="0"/>
    <w:pPr>
      <w:widowControl/>
      <w:spacing w:before="100" w:beforeAutospacing="1" w:after="100" w:afterAutospacing="1"/>
      <w:jc w:val="left"/>
    </w:pPr>
    <w:rPr>
      <w:rFonts w:ascii="Tahoma" w:hAnsi="Tahoma" w:cs="Tahoma"/>
      <w:kern w:val="0"/>
      <w:sz w:val="22"/>
      <w:szCs w:val="22"/>
    </w:rPr>
  </w:style>
  <w:style w:type="paragraph" w:customStyle="1" w:styleId="136">
    <w:name w:val="font10"/>
    <w:basedOn w:val="1"/>
    <w:autoRedefine/>
    <w:qFormat/>
    <w:uiPriority w:val="0"/>
    <w:pPr>
      <w:widowControl/>
      <w:spacing w:before="100" w:beforeAutospacing="1" w:after="100" w:afterAutospacing="1"/>
      <w:jc w:val="left"/>
    </w:pPr>
    <w:rPr>
      <w:rFonts w:ascii="等线" w:hAnsi="等线" w:eastAsia="等线" w:cs="宋体"/>
      <w:kern w:val="0"/>
      <w:sz w:val="22"/>
      <w:szCs w:val="22"/>
    </w:rPr>
  </w:style>
  <w:style w:type="paragraph" w:customStyle="1" w:styleId="137">
    <w:name w:val="xl47"/>
    <w:basedOn w:val="1"/>
    <w:autoRedefine/>
    <w:qFormat/>
    <w:uiPriority w:val="0"/>
    <w:pPr>
      <w:widowControl/>
      <w:pBdr>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3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39">
    <w:name w:val="font7"/>
    <w:basedOn w:val="1"/>
    <w:autoRedefine/>
    <w:qFormat/>
    <w:uiPriority w:val="0"/>
    <w:pPr>
      <w:widowControl/>
      <w:spacing w:before="100" w:beforeAutospacing="1" w:after="100" w:afterAutospacing="1"/>
      <w:jc w:val="left"/>
    </w:pPr>
    <w:rPr>
      <w:rFonts w:ascii="宋体"/>
      <w:kern w:val="0"/>
      <w:sz w:val="18"/>
      <w:szCs w:val="18"/>
    </w:rPr>
  </w:style>
  <w:style w:type="paragraph" w:customStyle="1" w:styleId="140">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2"/>
      <w:szCs w:val="22"/>
    </w:rPr>
  </w:style>
  <w:style w:type="paragraph" w:customStyle="1" w:styleId="141">
    <w:name w:val="xl46"/>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kern w:val="0"/>
      <w:sz w:val="24"/>
    </w:rPr>
  </w:style>
  <w:style w:type="paragraph" w:customStyle="1" w:styleId="142">
    <w:name w:val="xl68"/>
    <w:basedOn w:val="1"/>
    <w:autoRedefine/>
    <w:qFormat/>
    <w:uiPriority w:val="0"/>
    <w:pPr>
      <w:widowControl/>
      <w:spacing w:before="100" w:beforeAutospacing="1" w:after="100" w:afterAutospacing="1"/>
      <w:jc w:val="center"/>
      <w:textAlignment w:val="center"/>
    </w:pPr>
    <w:rPr>
      <w:rFonts w:ascii="宋体" w:hAnsi="宋体" w:cs="宋体"/>
      <w:kern w:val="0"/>
      <w:sz w:val="18"/>
      <w:szCs w:val="18"/>
    </w:rPr>
  </w:style>
  <w:style w:type="paragraph" w:customStyle="1" w:styleId="143">
    <w:name w:val="xl70"/>
    <w:basedOn w:val="1"/>
    <w:autoRedefine/>
    <w:qFormat/>
    <w:uiPriority w:val="0"/>
    <w:pPr>
      <w:widowControl/>
      <w:spacing w:before="100" w:beforeAutospacing="1" w:after="100" w:afterAutospacing="1"/>
      <w:jc w:val="left"/>
      <w:textAlignment w:val="center"/>
    </w:pPr>
    <w:rPr>
      <w:rFonts w:ascii="宋体" w:hAnsi="宋体" w:cs="宋体"/>
      <w:kern w:val="0"/>
      <w:sz w:val="18"/>
      <w:szCs w:val="18"/>
    </w:rPr>
  </w:style>
  <w:style w:type="paragraph" w:customStyle="1" w:styleId="144">
    <w:name w:val="xl38"/>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45">
    <w:name w:val="xl30"/>
    <w:basedOn w:val="1"/>
    <w:autoRedefine/>
    <w:qFormat/>
    <w:uiPriority w:val="0"/>
    <w:pPr>
      <w:widowControl/>
      <w:pBdr>
        <w:bottom w:val="single" w:color="auto" w:sz="8" w:space="0"/>
      </w:pBdr>
      <w:spacing w:before="100" w:beforeAutospacing="1" w:after="100" w:afterAutospacing="1"/>
      <w:jc w:val="left"/>
    </w:pPr>
    <w:rPr>
      <w:rFonts w:ascii="仿宋_GB2312" w:eastAsia="仿宋_GB2312"/>
      <w:kern w:val="0"/>
      <w:sz w:val="24"/>
    </w:rPr>
  </w:style>
  <w:style w:type="paragraph" w:customStyle="1" w:styleId="146">
    <w:name w:val="xl42"/>
    <w:basedOn w:val="1"/>
    <w:autoRedefine/>
    <w:qFormat/>
    <w:uiPriority w:val="0"/>
    <w:pPr>
      <w:widowControl/>
      <w:pBdr>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47">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148">
    <w:name w:val="Bullet_Title"/>
    <w:basedOn w:val="1"/>
    <w:autoRedefine/>
    <w:qFormat/>
    <w:uiPriority w:val="0"/>
    <w:pPr>
      <w:numPr>
        <w:ilvl w:val="0"/>
        <w:numId w:val="2"/>
      </w:numPr>
      <w:spacing w:after="78" w:line="300" w:lineRule="auto"/>
    </w:pPr>
    <w:rPr>
      <w:rFonts w:ascii="Arial Narrow" w:hAnsi="Arial Narrow"/>
      <w:sz w:val="24"/>
      <w:szCs w:val="20"/>
    </w:rPr>
  </w:style>
  <w:style w:type="paragraph" w:customStyle="1" w:styleId="149">
    <w:name w:val="xl65"/>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50">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2"/>
      <w:szCs w:val="22"/>
    </w:rPr>
  </w:style>
  <w:style w:type="paragraph" w:customStyle="1" w:styleId="151">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mbria" w:hAnsi="Cambria" w:cs="宋体"/>
      <w:kern w:val="0"/>
      <w:sz w:val="22"/>
      <w:szCs w:val="22"/>
    </w:rPr>
  </w:style>
  <w:style w:type="paragraph" w:customStyle="1" w:styleId="152">
    <w:name w:val="font5"/>
    <w:basedOn w:val="1"/>
    <w:autoRedefine/>
    <w:qFormat/>
    <w:uiPriority w:val="0"/>
    <w:pPr>
      <w:widowControl/>
      <w:spacing w:before="100" w:beforeAutospacing="1" w:after="100" w:afterAutospacing="1"/>
      <w:jc w:val="left"/>
    </w:pPr>
    <w:rPr>
      <w:rFonts w:ascii="宋体"/>
      <w:kern w:val="0"/>
      <w:sz w:val="18"/>
      <w:szCs w:val="18"/>
    </w:rPr>
  </w:style>
  <w:style w:type="paragraph" w:customStyle="1" w:styleId="153">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154">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55">
    <w:name w:val="font9"/>
    <w:basedOn w:val="1"/>
    <w:autoRedefine/>
    <w:qFormat/>
    <w:uiPriority w:val="0"/>
    <w:pPr>
      <w:widowControl/>
      <w:spacing w:before="100" w:beforeAutospacing="1" w:after="100" w:afterAutospacing="1"/>
      <w:jc w:val="left"/>
    </w:pPr>
    <w:rPr>
      <w:rFonts w:ascii="宋体"/>
      <w:b/>
      <w:bCs/>
      <w:color w:val="000000"/>
      <w:kern w:val="0"/>
      <w:sz w:val="18"/>
      <w:szCs w:val="18"/>
    </w:rPr>
  </w:style>
  <w:style w:type="paragraph" w:customStyle="1" w:styleId="156">
    <w:name w:val="p0"/>
    <w:basedOn w:val="1"/>
    <w:autoRedefine/>
    <w:qFormat/>
    <w:uiPriority w:val="0"/>
    <w:pPr>
      <w:widowControl/>
    </w:pPr>
    <w:rPr>
      <w:kern w:val="0"/>
      <w:szCs w:val="21"/>
    </w:rPr>
  </w:style>
  <w:style w:type="paragraph" w:customStyle="1" w:styleId="157">
    <w:name w:val="_Style 155"/>
    <w:autoRedefine/>
    <w:semiHidden/>
    <w:qFormat/>
    <w:uiPriority w:val="99"/>
    <w:rPr>
      <w:rFonts w:ascii="Times New Roman" w:hAnsi="Times New Roman" w:eastAsia="宋体" w:cs="Times New Roman"/>
      <w:kern w:val="2"/>
      <w:sz w:val="21"/>
      <w:szCs w:val="24"/>
      <w:lang w:val="en-US" w:eastAsia="zh-CN" w:bidi="ar-SA"/>
    </w:rPr>
  </w:style>
  <w:style w:type="paragraph" w:customStyle="1" w:styleId="15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2"/>
      <w:szCs w:val="22"/>
    </w:rPr>
  </w:style>
  <w:style w:type="paragraph" w:customStyle="1" w:styleId="159">
    <w:name w:val="a"/>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0">
    <w:name w:val="xl25"/>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61">
    <w:name w:val="xl37"/>
    <w:basedOn w:val="1"/>
    <w:autoRedefine/>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62">
    <w:name w:val="xl44"/>
    <w:basedOn w:val="1"/>
    <w:autoRedefine/>
    <w:qFormat/>
    <w:uiPriority w:val="0"/>
    <w:pPr>
      <w:widowControl/>
      <w:pBdr>
        <w:top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63">
    <w:name w:val="xl6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kern w:val="0"/>
      <w:sz w:val="20"/>
      <w:szCs w:val="20"/>
    </w:rPr>
  </w:style>
  <w:style w:type="paragraph" w:customStyle="1" w:styleId="164">
    <w:name w:val="xl2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kern w:val="0"/>
      <w:sz w:val="24"/>
    </w:rPr>
  </w:style>
  <w:style w:type="paragraph" w:customStyle="1" w:styleId="165">
    <w:name w:val="xl39"/>
    <w:basedOn w:val="1"/>
    <w:autoRedefine/>
    <w:qFormat/>
    <w:uiPriority w:val="0"/>
    <w:pPr>
      <w:widowControl/>
      <w:pBdr>
        <w:top w:val="single" w:color="auto" w:sz="8" w:space="0"/>
        <w:bottom w:val="single" w:color="auto" w:sz="8" w:space="0"/>
      </w:pBdr>
      <w:spacing w:before="100" w:beforeAutospacing="1" w:after="100" w:afterAutospacing="1"/>
      <w:jc w:val="center"/>
      <w:textAlignment w:val="center"/>
    </w:pPr>
    <w:rPr>
      <w:rFonts w:ascii="仿宋_GB2312" w:eastAsia="仿宋_GB2312"/>
      <w:b/>
      <w:bCs/>
      <w:kern w:val="0"/>
      <w:sz w:val="24"/>
    </w:rPr>
  </w:style>
  <w:style w:type="paragraph" w:customStyle="1" w:styleId="166">
    <w:name w:val="Char1"/>
    <w:basedOn w:val="1"/>
    <w:autoRedefine/>
    <w:qFormat/>
    <w:uiPriority w:val="0"/>
    <w:rPr>
      <w:sz w:val="24"/>
      <w:szCs w:val="20"/>
    </w:rPr>
  </w:style>
  <w:style w:type="paragraph" w:customStyle="1" w:styleId="167">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68">
    <w:name w:val="xl43"/>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仿宋_GB2312" w:eastAsia="仿宋_GB2312"/>
      <w:b/>
      <w:bCs/>
      <w:kern w:val="0"/>
      <w:sz w:val="24"/>
    </w:rPr>
  </w:style>
  <w:style w:type="paragraph" w:customStyle="1" w:styleId="169">
    <w:name w:val="xl6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70">
    <w:name w:val="xl51"/>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kern w:val="0"/>
      <w:sz w:val="20"/>
      <w:szCs w:val="20"/>
    </w:rPr>
  </w:style>
  <w:style w:type="paragraph" w:customStyle="1" w:styleId="171">
    <w:name w:val="Char Char Char Char Char Char Char Char Char Char"/>
    <w:basedOn w:val="1"/>
    <w:autoRedefine/>
    <w:qFormat/>
    <w:uiPriority w:val="0"/>
    <w:rPr>
      <w:rFonts w:ascii="Tahoma" w:hAnsi="Tahoma"/>
      <w:sz w:val="24"/>
      <w:szCs w:val="20"/>
    </w:rPr>
  </w:style>
  <w:style w:type="paragraph" w:customStyle="1" w:styleId="172">
    <w:name w:val="font6"/>
    <w:basedOn w:val="1"/>
    <w:autoRedefine/>
    <w:qFormat/>
    <w:uiPriority w:val="0"/>
    <w:pPr>
      <w:widowControl/>
      <w:spacing w:before="100" w:beforeAutospacing="1" w:after="100" w:afterAutospacing="1"/>
      <w:jc w:val="left"/>
    </w:pPr>
    <w:rPr>
      <w:rFonts w:ascii="宋体"/>
      <w:color w:val="0000FF"/>
      <w:kern w:val="0"/>
      <w:sz w:val="24"/>
      <w:u w:val="single"/>
    </w:rPr>
  </w:style>
  <w:style w:type="paragraph" w:customStyle="1" w:styleId="173">
    <w:name w:val="xl29"/>
    <w:basedOn w:val="1"/>
    <w:autoRedefine/>
    <w:qFormat/>
    <w:uiPriority w:val="0"/>
    <w:pPr>
      <w:widowControl/>
      <w:pBdr>
        <w:bottom w:val="single" w:color="auto" w:sz="8" w:space="0"/>
      </w:pBdr>
      <w:spacing w:before="100" w:beforeAutospacing="1" w:after="100" w:afterAutospacing="1"/>
      <w:textAlignment w:val="top"/>
    </w:pPr>
    <w:rPr>
      <w:rFonts w:ascii="仿宋_GB2312" w:eastAsia="仿宋_GB2312"/>
      <w:kern w:val="0"/>
      <w:sz w:val="24"/>
    </w:rPr>
  </w:style>
  <w:style w:type="paragraph" w:customStyle="1" w:styleId="174">
    <w:name w:val="xl52"/>
    <w:basedOn w:val="1"/>
    <w:autoRedefine/>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textAlignment w:val="center"/>
    </w:pPr>
    <w:rPr>
      <w:kern w:val="0"/>
      <w:sz w:val="20"/>
      <w:szCs w:val="20"/>
    </w:rPr>
  </w:style>
  <w:style w:type="paragraph" w:customStyle="1" w:styleId="175">
    <w:name w:val="xl35"/>
    <w:basedOn w:val="1"/>
    <w:autoRedefine/>
    <w:qFormat/>
    <w:uiPriority w:val="0"/>
    <w:pPr>
      <w:widowControl/>
      <w:pBdr>
        <w:left w:val="single" w:color="auto" w:sz="8" w:space="0"/>
        <w:bottom w:val="single" w:color="000000"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76">
    <w:name w:val="xl61"/>
    <w:basedOn w:val="1"/>
    <w:autoRedefine/>
    <w:qFormat/>
    <w:uiPriority w:val="0"/>
    <w:pPr>
      <w:widowControl/>
      <w:pBdr>
        <w:top w:val="double" w:color="auto" w:sz="6" w:space="0"/>
        <w:left w:val="single" w:color="auto" w:sz="4" w:space="0"/>
        <w:bottom w:val="single" w:color="auto" w:sz="4" w:space="0"/>
        <w:right w:val="single" w:color="auto" w:sz="4" w:space="0"/>
      </w:pBdr>
      <w:shd w:val="clear" w:color="auto" w:fill="FFFFFF"/>
      <w:spacing w:before="100" w:beforeAutospacing="1" w:after="100" w:afterAutospacing="1"/>
      <w:textAlignment w:val="center"/>
    </w:pPr>
    <w:rPr>
      <w:rFonts w:ascii="宋体"/>
      <w:kern w:val="0"/>
      <w:sz w:val="20"/>
      <w:szCs w:val="20"/>
    </w:rPr>
  </w:style>
  <w:style w:type="paragraph" w:customStyle="1" w:styleId="177">
    <w:name w:val="Char2"/>
    <w:basedOn w:val="1"/>
    <w:autoRedefine/>
    <w:qFormat/>
    <w:uiPriority w:val="0"/>
  </w:style>
  <w:style w:type="paragraph" w:customStyle="1" w:styleId="178">
    <w:name w:val="xl26"/>
    <w:basedOn w:val="1"/>
    <w:autoRedefine/>
    <w:qFormat/>
    <w:uiPriority w:val="0"/>
    <w:pPr>
      <w:widowControl/>
      <w:pBdr>
        <w:bottom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79">
    <w:name w:val="xl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宋体"/>
      <w:kern w:val="0"/>
      <w:sz w:val="20"/>
      <w:szCs w:val="20"/>
    </w:rPr>
  </w:style>
  <w:style w:type="paragraph" w:customStyle="1" w:styleId="180">
    <w:name w:val="xl32"/>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left"/>
    </w:pPr>
    <w:rPr>
      <w:rFonts w:ascii="宋体"/>
      <w:b/>
      <w:bCs/>
      <w:kern w:val="0"/>
      <w:sz w:val="24"/>
    </w:rPr>
  </w:style>
  <w:style w:type="paragraph" w:customStyle="1" w:styleId="181">
    <w:name w:val="xl5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kern w:val="0"/>
      <w:sz w:val="20"/>
      <w:szCs w:val="20"/>
    </w:rPr>
  </w:style>
  <w:style w:type="paragraph" w:customStyle="1" w:styleId="18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3">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184">
    <w:name w:val="xl41"/>
    <w:basedOn w:val="1"/>
    <w:autoRedefine/>
    <w:qFormat/>
    <w:uiPriority w:val="0"/>
    <w:pPr>
      <w:widowControl/>
      <w:pBdr>
        <w:top w:val="single" w:color="000000" w:sz="8" w:space="0"/>
        <w:left w:val="single" w:color="auto" w:sz="8" w:space="0"/>
        <w:right w:val="single" w:color="auto" w:sz="8" w:space="0"/>
      </w:pBdr>
      <w:spacing w:before="100" w:beforeAutospacing="1" w:after="100" w:afterAutospacing="1"/>
      <w:jc w:val="center"/>
      <w:textAlignment w:val="center"/>
    </w:pPr>
    <w:rPr>
      <w:rFonts w:ascii="仿宋_GB2312" w:eastAsia="仿宋_GB2312"/>
      <w:kern w:val="0"/>
      <w:sz w:val="24"/>
    </w:rPr>
  </w:style>
  <w:style w:type="paragraph" w:customStyle="1" w:styleId="185">
    <w:name w:val="xl49"/>
    <w:basedOn w:val="1"/>
    <w:autoRedefine/>
    <w:qFormat/>
    <w:uiPriority w:val="0"/>
    <w:pPr>
      <w:widowControl/>
      <w:pBdr>
        <w:left w:val="single" w:color="auto" w:sz="4" w:space="0"/>
        <w:bottom w:val="double" w:color="auto" w:sz="6" w:space="0"/>
        <w:right w:val="single" w:color="auto" w:sz="4" w:space="0"/>
      </w:pBdr>
      <w:shd w:val="clear" w:color="auto" w:fill="FFFFFF"/>
      <w:spacing w:before="100" w:beforeAutospacing="1" w:after="100" w:afterAutospacing="1"/>
      <w:jc w:val="left"/>
      <w:textAlignment w:val="center"/>
    </w:pPr>
    <w:rPr>
      <w:kern w:val="0"/>
      <w:sz w:val="20"/>
      <w:szCs w:val="20"/>
    </w:rPr>
  </w:style>
  <w:style w:type="paragraph" w:customStyle="1" w:styleId="186">
    <w:name w:val="标题1"/>
    <w:basedOn w:val="3"/>
    <w:autoRedefine/>
    <w:qFormat/>
    <w:uiPriority w:val="0"/>
    <w:pPr>
      <w:keepLines/>
      <w:autoSpaceDE/>
      <w:autoSpaceDN/>
      <w:adjustRightInd/>
      <w:spacing w:before="100" w:beforeAutospacing="1" w:after="100" w:afterAutospacing="1" w:line="240" w:lineRule="atLeast"/>
      <w:jc w:val="center"/>
    </w:pPr>
    <w:rPr>
      <w:rFonts w:ascii="Times New Roman" w:eastAsia="宋体"/>
      <w:kern w:val="2"/>
      <w:sz w:val="30"/>
      <w:szCs w:val="30"/>
    </w:rPr>
  </w:style>
  <w:style w:type="paragraph" w:customStyle="1" w:styleId="18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2"/>
      <w:szCs w:val="22"/>
    </w:rPr>
  </w:style>
  <w:style w:type="paragraph" w:customStyle="1" w:styleId="188">
    <w:name w:val="xl23"/>
    <w:next w:val="115"/>
    <w:autoRedefine/>
    <w:qFormat/>
    <w:uiPriority w:val="0"/>
    <w:pPr>
      <w:spacing w:before="100" w:beforeAutospacing="1" w:after="100" w:afterAutospacing="1"/>
      <w:jc w:val="center"/>
    </w:pPr>
    <w:rPr>
      <w:rFonts w:ascii="Arial Unicode MS" w:hAnsi="Arial Unicode MS" w:eastAsia="Arial Unicode MS" w:cs="Times New Roman"/>
      <w:sz w:val="24"/>
      <w:lang w:val="en-US" w:eastAsia="zh-CN" w:bidi="ar-SA"/>
    </w:rPr>
  </w:style>
  <w:style w:type="paragraph" w:customStyle="1" w:styleId="189">
    <w:name w:val="xl5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宋体"/>
      <w:kern w:val="0"/>
      <w:sz w:val="20"/>
      <w:szCs w:val="20"/>
    </w:rPr>
  </w:style>
  <w:style w:type="paragraph" w:customStyle="1" w:styleId="190">
    <w:name w:val="_Style 188"/>
    <w:basedOn w:val="1"/>
    <w:next w:val="1"/>
    <w:autoRedefine/>
    <w:qFormat/>
    <w:uiPriority w:val="0"/>
    <w:pPr>
      <w:pBdr>
        <w:top w:val="single" w:color="auto" w:sz="6" w:space="1"/>
      </w:pBdr>
      <w:jc w:val="center"/>
    </w:pPr>
    <w:rPr>
      <w:rFonts w:ascii="Arial"/>
      <w:vanish/>
      <w:sz w:val="16"/>
    </w:rPr>
  </w:style>
  <w:style w:type="paragraph" w:customStyle="1" w:styleId="191">
    <w:name w:val="Plain Text1"/>
    <w:basedOn w:val="1"/>
    <w:autoRedefine/>
    <w:qFormat/>
    <w:uiPriority w:val="0"/>
    <w:rPr>
      <w:rFonts w:hint="eastAsia" w:ascii="宋体" w:hAnsi="Courier New"/>
      <w:szCs w:val="21"/>
    </w:rPr>
  </w:style>
  <w:style w:type="paragraph" w:customStyle="1" w:styleId="192">
    <w:name w:val="C503-正文格式"/>
    <w:basedOn w:val="1"/>
    <w:autoRedefine/>
    <w:qFormat/>
    <w:uiPriority w:val="0"/>
    <w:pPr>
      <w:spacing w:line="360" w:lineRule="auto"/>
      <w:ind w:firstLine="480" w:firstLineChars="200"/>
    </w:pPr>
    <w:rPr>
      <w:sz w:val="24"/>
      <w:szCs w:val="20"/>
    </w:rPr>
  </w:style>
  <w:style w:type="character" w:customStyle="1" w:styleId="193">
    <w:name w:val="font41"/>
    <w:basedOn w:val="40"/>
    <w:autoRedefine/>
    <w:qFormat/>
    <w:uiPriority w:val="0"/>
    <w:rPr>
      <w:rFonts w:hint="default" w:ascii="Times New Roman" w:hAnsi="Times New Roman" w:cs="Times New Roman"/>
      <w:color w:val="000000"/>
      <w:sz w:val="18"/>
      <w:szCs w:val="18"/>
      <w:u w:val="none"/>
    </w:rPr>
  </w:style>
  <w:style w:type="paragraph" w:customStyle="1" w:styleId="194">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82</Pages>
  <Words>13906</Words>
  <Characters>14857</Characters>
  <Lines>303</Lines>
  <Paragraphs>85</Paragraphs>
  <TotalTime>122</TotalTime>
  <ScaleCrop>false</ScaleCrop>
  <LinksUpToDate>false</LinksUpToDate>
  <CharactersWithSpaces>17669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2024-03-07T02:46:00Z</dcterms:created>
  <dc:creator>YY</dc:creator>
  <cp:lastModifiedBy>淡然一笑</cp:lastModifiedBy>
  <cp:lastPrinted>2023-03-28T03:03:00Z</cp:lastPrinted>
  <dcterms:modified xsi:type="dcterms:W3CDTF">2025-03-25T10:26:41Z</dcterms:modified>
  <dc:title>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69310487563B47ABA3DF49A54F86ED91_13</vt:lpwstr>
  </property>
  <property fmtid="{D5CDD505-2E9C-101B-9397-08002B2CF9AE}" pid="4" name="KSOTemplateDocerSaveRecord">
    <vt:lpwstr>eyJoZGlkIjoiZTg1Njk5NDE4ZTE2Yjg5ZDBkZDRkN2FlYzFiN2ZjNDgiLCJ1c2VySWQiOiIzNjQyODEwMTEifQ==</vt:lpwstr>
  </property>
</Properties>
</file>