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0"/>
        </w:tabs>
        <w:rPr>
          <w:rFonts w:hint="eastAsia" w:ascii="Times New Roman" w:hAnsi="Times New Roman" w:eastAsia="宋体"/>
          <w:bCs/>
          <w:sz w:val="28"/>
          <w:szCs w:val="28"/>
          <w:lang w:val="en-US" w:eastAsia="zh-CN"/>
        </w:rPr>
      </w:pPr>
      <w:bookmarkStart w:id="0" w:name="_Toc27292_WPSOffice_Level1"/>
    </w:p>
    <w:p>
      <w:pPr>
        <w:tabs>
          <w:tab w:val="left" w:pos="0"/>
        </w:tabs>
        <w:rPr>
          <w:rFonts w:ascii="Times New Roman" w:hAnsi="Times New Roman" w:eastAsia="方正小标宋简体"/>
          <w:bCs/>
          <w:sz w:val="22"/>
        </w:rPr>
      </w:pPr>
    </w:p>
    <w:p>
      <w:pPr>
        <w:tabs>
          <w:tab w:val="left" w:pos="0"/>
        </w:tabs>
        <w:rPr>
          <w:rFonts w:ascii="Times New Roman" w:hAnsi="Times New Roman" w:eastAsia="方正小标宋简体"/>
          <w:bCs/>
          <w:sz w:val="22"/>
        </w:rPr>
      </w:pPr>
    </w:p>
    <w:p>
      <w:pPr>
        <w:tabs>
          <w:tab w:val="left" w:pos="0"/>
        </w:tabs>
        <w:rPr>
          <w:rFonts w:ascii="Times New Roman" w:hAnsi="Times New Roman" w:eastAsia="方正小标宋简体"/>
          <w:bCs/>
          <w:sz w:val="22"/>
        </w:rPr>
      </w:pPr>
    </w:p>
    <w:p>
      <w:pPr>
        <w:tabs>
          <w:tab w:val="left" w:pos="0"/>
        </w:tabs>
        <w:rPr>
          <w:rFonts w:ascii="Times New Roman" w:hAnsi="Times New Roman" w:eastAsia="方正小标宋简体"/>
          <w:bCs/>
          <w:sz w:val="22"/>
        </w:rPr>
      </w:pPr>
    </w:p>
    <w:p>
      <w:pPr>
        <w:widowControl w:val="0"/>
        <w:tabs>
          <w:tab w:val="left" w:pos="0"/>
        </w:tabs>
        <w:jc w:val="center"/>
        <w:rPr>
          <w:rFonts w:ascii="Times New Roman" w:hAnsi="Times New Roman" w:eastAsia="方正小标宋简体"/>
          <w:kern w:val="0"/>
          <w:sz w:val="84"/>
          <w:szCs w:val="84"/>
        </w:rPr>
      </w:pPr>
      <w:r>
        <w:rPr>
          <w:rFonts w:ascii="Times New Roman" w:hAnsi="Times New Roman" w:eastAsia="方正小标宋简体"/>
          <w:kern w:val="0"/>
          <w:sz w:val="84"/>
          <w:szCs w:val="84"/>
        </w:rPr>
        <w:t>公开招标文件</w:t>
      </w:r>
    </w:p>
    <w:p>
      <w:pPr>
        <w:widowControl w:val="0"/>
        <w:tabs>
          <w:tab w:val="left" w:pos="0"/>
        </w:tabs>
        <w:jc w:val="center"/>
        <w:rPr>
          <w:rFonts w:ascii="Times New Roman" w:hAnsi="Times New Roman" w:eastAsia="宋体"/>
          <w:kern w:val="0"/>
          <w:sz w:val="44"/>
          <w:szCs w:val="44"/>
        </w:rPr>
      </w:pPr>
    </w:p>
    <w:p>
      <w:pPr>
        <w:widowControl w:val="0"/>
        <w:tabs>
          <w:tab w:val="left" w:pos="0"/>
        </w:tabs>
        <w:jc w:val="center"/>
        <w:rPr>
          <w:rFonts w:ascii="Times New Roman" w:hAnsi="Times New Roman" w:eastAsia="宋体"/>
          <w:kern w:val="0"/>
          <w:sz w:val="84"/>
          <w:szCs w:val="84"/>
        </w:rPr>
      </w:pPr>
    </w:p>
    <w:p>
      <w:pPr>
        <w:tabs>
          <w:tab w:val="left" w:pos="0"/>
        </w:tabs>
        <w:jc w:val="center"/>
        <w:rPr>
          <w:rFonts w:ascii="Times New Roman" w:hAnsi="Times New Roman" w:eastAsia="方正小标宋简体"/>
          <w:bCs/>
          <w:sz w:val="84"/>
        </w:rPr>
      </w:pPr>
      <w:r>
        <w:rPr>
          <w:rFonts w:ascii="Times New Roman" w:hAnsi="Times New Roman" w:eastAsia="宋体"/>
          <w:kern w:val="0"/>
          <w:sz w:val="32"/>
          <w:szCs w:val="32"/>
          <w:lang w:val="en-US"/>
        </w:rPr>
        <w:drawing>
          <wp:inline distT="0" distB="0" distL="114300" distR="114300">
            <wp:extent cx="2124075" cy="2105025"/>
            <wp:effectExtent l="0" t="0" r="9525" b="317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8"/>
                    <a:stretch>
                      <a:fillRect/>
                    </a:stretch>
                  </pic:blipFill>
                  <pic:spPr>
                    <a:xfrm>
                      <a:off x="0" y="0"/>
                      <a:ext cx="2124075" cy="2105025"/>
                    </a:xfrm>
                    <a:prstGeom prst="rect">
                      <a:avLst/>
                    </a:prstGeom>
                    <a:noFill/>
                    <a:ln>
                      <a:noFill/>
                    </a:ln>
                  </pic:spPr>
                </pic:pic>
              </a:graphicData>
            </a:graphic>
          </wp:inline>
        </w:drawing>
      </w:r>
    </w:p>
    <w:p>
      <w:pPr>
        <w:widowControl w:val="0"/>
        <w:tabs>
          <w:tab w:val="left" w:pos="0"/>
        </w:tabs>
        <w:jc w:val="both"/>
        <w:rPr>
          <w:rFonts w:ascii="Times New Roman" w:hAnsi="Times New Roman" w:eastAsia="宋体"/>
          <w:kern w:val="0"/>
          <w:sz w:val="28"/>
          <w:szCs w:val="28"/>
        </w:rPr>
      </w:pPr>
    </w:p>
    <w:p>
      <w:pPr>
        <w:widowControl w:val="0"/>
        <w:tabs>
          <w:tab w:val="left" w:pos="0"/>
        </w:tabs>
        <w:jc w:val="both"/>
        <w:rPr>
          <w:rFonts w:ascii="Times New Roman" w:hAnsi="Times New Roman" w:eastAsia="宋体"/>
          <w:kern w:val="0"/>
          <w:sz w:val="28"/>
          <w:szCs w:val="28"/>
        </w:rPr>
      </w:pPr>
    </w:p>
    <w:p>
      <w:pPr>
        <w:widowControl w:val="0"/>
        <w:tabs>
          <w:tab w:val="left" w:pos="0"/>
        </w:tabs>
        <w:spacing w:line="360" w:lineRule="auto"/>
        <w:jc w:val="both"/>
        <w:rPr>
          <w:rFonts w:ascii="Times New Roman" w:hAnsi="Times New Roman" w:eastAsia="宋体"/>
          <w:kern w:val="0"/>
          <w:sz w:val="28"/>
          <w:szCs w:val="28"/>
        </w:rPr>
      </w:pPr>
    </w:p>
    <w:p>
      <w:pPr>
        <w:widowControl w:val="0"/>
        <w:tabs>
          <w:tab w:val="left" w:pos="0"/>
        </w:tabs>
        <w:spacing w:before="120" w:beforeLines="50" w:after="120" w:afterLines="50"/>
        <w:jc w:val="both"/>
        <w:rPr>
          <w:rFonts w:hint="default" w:ascii="Times New Roman" w:hAnsi="Times New Roman" w:eastAsia="宋体"/>
          <w:kern w:val="0"/>
          <w:sz w:val="30"/>
          <w:szCs w:val="30"/>
          <w:lang w:val="en-US" w:eastAsia="zh-CN"/>
        </w:rPr>
      </w:pPr>
      <w:r>
        <w:rPr>
          <w:rFonts w:ascii="Times New Roman" w:hAnsi="Times New Roman" w:eastAsia="宋体"/>
          <w:kern w:val="0"/>
          <w:sz w:val="30"/>
          <w:szCs w:val="30"/>
        </w:rPr>
        <w:t>项 目 编 号</w:t>
      </w:r>
      <w:r>
        <w:rPr>
          <w:rFonts w:hint="eastAsia" w:ascii="Times New Roman" w:hAnsi="Times New Roman" w:eastAsia="宋体"/>
          <w:kern w:val="0"/>
          <w:sz w:val="30"/>
          <w:szCs w:val="30"/>
        </w:rPr>
        <w:t>：JC-HG20240</w:t>
      </w:r>
      <w:r>
        <w:rPr>
          <w:rFonts w:hint="eastAsia" w:ascii="Times New Roman" w:hAnsi="Times New Roman" w:eastAsia="宋体"/>
          <w:kern w:val="0"/>
          <w:sz w:val="30"/>
          <w:szCs w:val="30"/>
          <w:lang w:val="en-US" w:eastAsia="zh-CN"/>
        </w:rPr>
        <w:t>105</w:t>
      </w:r>
    </w:p>
    <w:p>
      <w:pPr>
        <w:widowControl w:val="0"/>
        <w:tabs>
          <w:tab w:val="left" w:pos="0"/>
        </w:tabs>
        <w:spacing w:before="120" w:beforeLines="50" w:after="120" w:afterLines="50"/>
        <w:ind w:left="1905" w:hanging="1905" w:hangingChars="635"/>
        <w:rPr>
          <w:rFonts w:ascii="仿宋_GB2312" w:hAnsi="仿宋_GB2312" w:eastAsia="宋体" w:cs="仿宋_GB2312"/>
          <w:kern w:val="0"/>
          <w:sz w:val="30"/>
          <w:szCs w:val="30"/>
          <w:lang w:val="en-US"/>
        </w:rPr>
      </w:pPr>
      <w:r>
        <w:rPr>
          <w:rFonts w:ascii="Times New Roman" w:hAnsi="Times New Roman" w:eastAsia="宋体"/>
          <w:kern w:val="0"/>
          <w:sz w:val="30"/>
          <w:szCs w:val="30"/>
        </w:rPr>
        <w:t>项 目 名 称</w:t>
      </w:r>
      <w:bookmarkStart w:id="1" w:name="_Hlk22138524"/>
      <w:r>
        <w:rPr>
          <w:rFonts w:hint="eastAsia" w:ascii="Times New Roman" w:hAnsi="Times New Roman" w:eastAsia="宋体"/>
          <w:kern w:val="0"/>
          <w:sz w:val="30"/>
          <w:szCs w:val="30"/>
        </w:rPr>
        <w:t>：</w:t>
      </w:r>
      <w:bookmarkEnd w:id="1"/>
      <w:r>
        <w:rPr>
          <w:rFonts w:hint="eastAsia" w:ascii="Times New Roman" w:hAnsi="Times New Roman" w:eastAsia="宋体"/>
          <w:kern w:val="0"/>
          <w:sz w:val="30"/>
          <w:szCs w:val="30"/>
        </w:rPr>
        <w:t>海关缉私实验室设备更新项目</w:t>
      </w:r>
    </w:p>
    <w:p>
      <w:pPr>
        <w:widowControl w:val="0"/>
        <w:tabs>
          <w:tab w:val="left" w:pos="0"/>
        </w:tabs>
        <w:spacing w:line="360" w:lineRule="auto"/>
        <w:rPr>
          <w:rFonts w:ascii="Times New Roman" w:hAnsi="Times New Roman" w:eastAsia="宋体"/>
          <w:bCs/>
          <w:sz w:val="32"/>
          <w:szCs w:val="32"/>
        </w:rPr>
      </w:pPr>
    </w:p>
    <w:p>
      <w:pPr>
        <w:widowControl w:val="0"/>
        <w:tabs>
          <w:tab w:val="left" w:pos="0"/>
        </w:tabs>
        <w:spacing w:line="360" w:lineRule="auto"/>
        <w:rPr>
          <w:rFonts w:ascii="Times New Roman" w:hAnsi="Times New Roman" w:eastAsia="宋体"/>
          <w:bCs/>
          <w:sz w:val="32"/>
          <w:szCs w:val="32"/>
        </w:rPr>
      </w:pPr>
    </w:p>
    <w:p>
      <w:pPr>
        <w:pStyle w:val="31"/>
        <w:rPr>
          <w:color w:val="auto"/>
        </w:rPr>
      </w:pPr>
    </w:p>
    <w:p>
      <w:pPr>
        <w:widowControl w:val="0"/>
        <w:tabs>
          <w:tab w:val="left" w:pos="0"/>
        </w:tabs>
        <w:spacing w:line="360" w:lineRule="auto"/>
        <w:jc w:val="center"/>
        <w:rPr>
          <w:rFonts w:ascii="Times New Roman" w:hAnsi="Times New Roman" w:eastAsia="宋体"/>
          <w:kern w:val="0"/>
          <w:sz w:val="32"/>
          <w:szCs w:val="32"/>
        </w:rPr>
      </w:pPr>
      <w:r>
        <w:rPr>
          <w:rFonts w:ascii="Times New Roman" w:hAnsi="Times New Roman" w:eastAsia="宋体"/>
          <w:kern w:val="0"/>
          <w:sz w:val="32"/>
          <w:szCs w:val="32"/>
        </w:rPr>
        <w:t>公 安 部 警 用 装 备 采 购 中 心</w:t>
      </w:r>
    </w:p>
    <w:p>
      <w:pPr>
        <w:widowControl w:val="0"/>
        <w:tabs>
          <w:tab w:val="left" w:pos="0"/>
        </w:tabs>
        <w:spacing w:line="360" w:lineRule="auto"/>
        <w:jc w:val="center"/>
        <w:rPr>
          <w:rFonts w:ascii="Times New Roman" w:hAnsi="Times New Roman" w:eastAsia="宋体"/>
          <w:kern w:val="0"/>
          <w:sz w:val="32"/>
          <w:szCs w:val="32"/>
        </w:rPr>
        <w:sectPr>
          <w:headerReference r:id="rId3" w:type="default"/>
          <w:pgSz w:w="11907" w:h="16839"/>
          <w:pgMar w:top="1928" w:right="1531" w:bottom="1871" w:left="1531" w:header="1145" w:footer="709" w:gutter="0"/>
          <w:pgNumType w:start="1"/>
          <w:cols w:space="720" w:num="1"/>
          <w:docGrid w:linePitch="360" w:charSpace="0"/>
        </w:sectPr>
      </w:pPr>
      <w:r>
        <w:rPr>
          <w:rFonts w:ascii="Times New Roman" w:hAnsi="Times New Roman" w:eastAsia="宋体"/>
          <w:kern w:val="0"/>
          <w:sz w:val="32"/>
          <w:szCs w:val="32"/>
        </w:rPr>
        <w:t>二〇</w:t>
      </w:r>
      <w:r>
        <w:rPr>
          <w:rFonts w:hint="eastAsia" w:ascii="Times New Roman" w:hAnsi="Times New Roman" w:eastAsia="宋体"/>
          <w:kern w:val="0"/>
          <w:sz w:val="32"/>
          <w:szCs w:val="32"/>
        </w:rPr>
        <w:t>二</w:t>
      </w:r>
      <w:r>
        <w:rPr>
          <w:rFonts w:hint="eastAsia" w:ascii="Times New Roman" w:hAnsi="Times New Roman" w:eastAsia="宋体"/>
          <w:kern w:val="0"/>
          <w:sz w:val="32"/>
          <w:szCs w:val="32"/>
          <w:lang w:val="en-US"/>
        </w:rPr>
        <w:t>四年十</w:t>
      </w:r>
      <w:r>
        <w:rPr>
          <w:rFonts w:hint="eastAsia" w:ascii="Times New Roman" w:hAnsi="Times New Roman" w:eastAsia="宋体"/>
          <w:kern w:val="0"/>
          <w:sz w:val="32"/>
          <w:szCs w:val="32"/>
          <w:lang w:val="en-US" w:eastAsia="zh-CN"/>
        </w:rPr>
        <w:t>一</w:t>
      </w:r>
      <w:r>
        <w:rPr>
          <w:rFonts w:ascii="Times New Roman" w:hAnsi="Times New Roman" w:eastAsia="宋体"/>
          <w:kern w:val="0"/>
          <w:sz w:val="32"/>
          <w:szCs w:val="32"/>
        </w:rPr>
        <w:t>月</w:t>
      </w:r>
    </w:p>
    <w:p>
      <w:pPr>
        <w:widowControl w:val="0"/>
        <w:tabs>
          <w:tab w:val="left" w:pos="0"/>
        </w:tabs>
        <w:spacing w:line="360" w:lineRule="auto"/>
        <w:jc w:val="center"/>
        <w:rPr>
          <w:rFonts w:ascii="Times New Roman" w:hAnsi="Times New Roman" w:eastAsia="宋体"/>
          <w:kern w:val="0"/>
          <w:sz w:val="32"/>
          <w:szCs w:val="32"/>
        </w:rPr>
      </w:pPr>
      <w:r>
        <w:rPr>
          <w:rFonts w:ascii="Times New Roman" w:hAnsi="Times New Roman" w:eastAsia="宋体"/>
          <w:kern w:val="0"/>
          <w:sz w:val="32"/>
          <w:szCs w:val="32"/>
        </w:rPr>
        <w:t>目  录</w:t>
      </w:r>
    </w:p>
    <w:p>
      <w:pPr>
        <w:pStyle w:val="54"/>
        <w:tabs>
          <w:tab w:val="right" w:leader="dot" w:pos="8845"/>
          <w:tab w:val="clear" w:pos="420"/>
          <w:tab w:val="clear" w:pos="8835"/>
        </w:tabs>
        <w:rPr>
          <w:rFonts w:hint="default" w:ascii="Times New Roman" w:hAnsi="Times New Roman" w:cs="Times New Roman"/>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TOC \o "1-2" \h \u </w:instrText>
      </w:r>
      <w:r>
        <w:rPr>
          <w:rFonts w:hint="default" w:ascii="Times New Roman" w:hAnsi="Times New Roman" w:cs="Times New Roman" w:eastAsiaTheme="minorEastAsia"/>
        </w:rPr>
        <w:fldChar w:fldCharType="separate"/>
      </w: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_Toc3501 </w:instrText>
      </w:r>
      <w:r>
        <w:rPr>
          <w:rFonts w:hint="default" w:ascii="Times New Roman" w:hAnsi="Times New Roman" w:cs="Times New Roman" w:eastAsiaTheme="minorEastAsia"/>
        </w:rPr>
        <w:fldChar w:fldCharType="separate"/>
      </w:r>
      <w:r>
        <w:rPr>
          <w:rFonts w:hint="default" w:ascii="Times New Roman" w:hAnsi="Times New Roman" w:cs="Times New Roman"/>
        </w:rPr>
        <w:t>1 投标邀请</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_Toc3501 \h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cs="Times New Roman" w:eastAsiaTheme="minorEastAsia"/>
        </w:rPr>
        <w:fldChar w:fldCharType="end"/>
      </w:r>
    </w:p>
    <w:p>
      <w:pPr>
        <w:pStyle w:val="54"/>
        <w:tabs>
          <w:tab w:val="right" w:leader="dot" w:pos="8845"/>
          <w:tab w:val="clear" w:pos="420"/>
          <w:tab w:val="clear" w:pos="8835"/>
        </w:tabs>
        <w:rPr>
          <w:rFonts w:hint="default" w:ascii="Times New Roman" w:hAnsi="Times New Roman" w:cs="Times New Roman"/>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_Toc27659 </w:instrText>
      </w:r>
      <w:r>
        <w:rPr>
          <w:rFonts w:hint="default" w:ascii="Times New Roman" w:hAnsi="Times New Roman" w:cs="Times New Roman" w:eastAsiaTheme="minorEastAsia"/>
        </w:rPr>
        <w:fldChar w:fldCharType="separate"/>
      </w:r>
      <w:r>
        <w:rPr>
          <w:rFonts w:hint="default" w:ascii="Times New Roman" w:hAnsi="Times New Roman" w:cs="Times New Roman"/>
        </w:rPr>
        <w:t>2 投标人须知前附表</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_Toc27659 \h </w:instrText>
      </w:r>
      <w:r>
        <w:rPr>
          <w:rFonts w:hint="default" w:ascii="Times New Roman" w:hAnsi="Times New Roman" w:cs="Times New Roman"/>
        </w:rPr>
        <w:fldChar w:fldCharType="separate"/>
      </w:r>
      <w:r>
        <w:rPr>
          <w:rFonts w:hint="default" w:ascii="Times New Roman" w:hAnsi="Times New Roman" w:cs="Times New Roman"/>
        </w:rPr>
        <w:t>4</w:t>
      </w:r>
      <w:r>
        <w:rPr>
          <w:rFonts w:hint="default" w:ascii="Times New Roman" w:hAnsi="Times New Roman" w:cs="Times New Roman"/>
        </w:rPr>
        <w:fldChar w:fldCharType="end"/>
      </w:r>
      <w:r>
        <w:rPr>
          <w:rFonts w:hint="default" w:ascii="Times New Roman" w:hAnsi="Times New Roman" w:cs="Times New Roman" w:eastAsiaTheme="minorEastAsia"/>
        </w:rPr>
        <w:fldChar w:fldCharType="end"/>
      </w:r>
    </w:p>
    <w:p>
      <w:pPr>
        <w:pStyle w:val="54"/>
        <w:tabs>
          <w:tab w:val="right" w:leader="dot" w:pos="8845"/>
          <w:tab w:val="clear" w:pos="420"/>
          <w:tab w:val="clear" w:pos="8835"/>
        </w:tabs>
        <w:rPr>
          <w:rFonts w:hint="default" w:ascii="Times New Roman" w:hAnsi="Times New Roman" w:cs="Times New Roman"/>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_Toc28124 </w:instrText>
      </w:r>
      <w:r>
        <w:rPr>
          <w:rFonts w:hint="default" w:ascii="Times New Roman" w:hAnsi="Times New Roman" w:cs="Times New Roman" w:eastAsiaTheme="minorEastAsia"/>
        </w:rPr>
        <w:fldChar w:fldCharType="separate"/>
      </w:r>
      <w:r>
        <w:rPr>
          <w:rFonts w:hint="default" w:ascii="Times New Roman" w:hAnsi="Times New Roman" w:cs="Times New Roman"/>
        </w:rPr>
        <w:t>3 投标人须知</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_Toc28124 \h </w:instrText>
      </w:r>
      <w:r>
        <w:rPr>
          <w:rFonts w:hint="default" w:ascii="Times New Roman" w:hAnsi="Times New Roman" w:cs="Times New Roman"/>
        </w:rPr>
        <w:fldChar w:fldCharType="separate"/>
      </w:r>
      <w:r>
        <w:rPr>
          <w:rFonts w:hint="default" w:ascii="Times New Roman" w:hAnsi="Times New Roman" w:cs="Times New Roman"/>
        </w:rPr>
        <w:t>11</w:t>
      </w:r>
      <w:r>
        <w:rPr>
          <w:rFonts w:hint="default" w:ascii="Times New Roman" w:hAnsi="Times New Roman" w:cs="Times New Roman"/>
        </w:rPr>
        <w:fldChar w:fldCharType="end"/>
      </w:r>
      <w:r>
        <w:rPr>
          <w:rFonts w:hint="default" w:ascii="Times New Roman" w:hAnsi="Times New Roman" w:cs="Times New Roman" w:eastAsiaTheme="minorEastAsia"/>
        </w:rPr>
        <w:fldChar w:fldCharType="end"/>
      </w:r>
    </w:p>
    <w:p>
      <w:pPr>
        <w:pStyle w:val="68"/>
        <w:tabs>
          <w:tab w:val="right" w:leader="dot" w:pos="8845"/>
          <w:tab w:val="clear" w:pos="840"/>
          <w:tab w:val="clear" w:pos="8835"/>
        </w:tabs>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_Toc29469 </w:instrText>
      </w:r>
      <w:r>
        <w:rPr>
          <w:rFonts w:hint="default" w:ascii="Times New Roman" w:hAnsi="Times New Roman" w:eastAsia="宋体" w:cs="Times New Roman"/>
        </w:rPr>
        <w:fldChar w:fldCharType="separate"/>
      </w:r>
      <w:r>
        <w:rPr>
          <w:rFonts w:hint="default" w:ascii="Times New Roman" w:hAnsi="Times New Roman" w:eastAsia="宋体" w:cs="Times New Roman"/>
          <w:szCs w:val="21"/>
        </w:rPr>
        <w:t>3.1 总则</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_Toc29469 \h </w:instrText>
      </w:r>
      <w:r>
        <w:rPr>
          <w:rFonts w:hint="default" w:ascii="Times New Roman" w:hAnsi="Times New Roman" w:eastAsia="宋体" w:cs="Times New Roman"/>
        </w:rPr>
        <w:fldChar w:fldCharType="separate"/>
      </w:r>
      <w:r>
        <w:rPr>
          <w:rFonts w:hint="default" w:ascii="Times New Roman" w:hAnsi="Times New Roman" w:eastAsia="宋体" w:cs="Times New Roman"/>
        </w:rPr>
        <w:t>11</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pPr>
        <w:pStyle w:val="68"/>
        <w:tabs>
          <w:tab w:val="right" w:leader="dot" w:pos="8845"/>
          <w:tab w:val="clear" w:pos="840"/>
          <w:tab w:val="clear" w:pos="8835"/>
        </w:tabs>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_Toc24305 </w:instrText>
      </w:r>
      <w:r>
        <w:rPr>
          <w:rFonts w:hint="default" w:ascii="Times New Roman" w:hAnsi="Times New Roman" w:eastAsia="宋体" w:cs="Times New Roman"/>
        </w:rPr>
        <w:fldChar w:fldCharType="separate"/>
      </w:r>
      <w:r>
        <w:rPr>
          <w:rFonts w:hint="default" w:ascii="Times New Roman" w:hAnsi="Times New Roman" w:eastAsia="宋体" w:cs="Times New Roman"/>
          <w:szCs w:val="21"/>
        </w:rPr>
        <w:t>3.2 招标文件</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_Toc24305 \h </w:instrText>
      </w:r>
      <w:r>
        <w:rPr>
          <w:rFonts w:hint="default" w:ascii="Times New Roman" w:hAnsi="Times New Roman" w:eastAsia="宋体" w:cs="Times New Roman"/>
        </w:rPr>
        <w:fldChar w:fldCharType="separate"/>
      </w:r>
      <w:r>
        <w:rPr>
          <w:rFonts w:hint="default" w:ascii="Times New Roman" w:hAnsi="Times New Roman" w:eastAsia="宋体" w:cs="Times New Roman"/>
        </w:rPr>
        <w:t>12</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pPr>
        <w:pStyle w:val="68"/>
        <w:tabs>
          <w:tab w:val="right" w:leader="dot" w:pos="8845"/>
          <w:tab w:val="clear" w:pos="840"/>
          <w:tab w:val="clear" w:pos="8835"/>
        </w:tabs>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_Toc5536 </w:instrText>
      </w:r>
      <w:r>
        <w:rPr>
          <w:rFonts w:hint="default" w:ascii="Times New Roman" w:hAnsi="Times New Roman" w:eastAsia="宋体" w:cs="Times New Roman"/>
        </w:rPr>
        <w:fldChar w:fldCharType="separate"/>
      </w:r>
      <w:r>
        <w:rPr>
          <w:rFonts w:hint="default" w:ascii="Times New Roman" w:hAnsi="Times New Roman" w:eastAsia="宋体" w:cs="Times New Roman"/>
          <w:szCs w:val="21"/>
        </w:rPr>
        <w:t>3.3 投标文件</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_Toc5536 \h </w:instrText>
      </w:r>
      <w:r>
        <w:rPr>
          <w:rFonts w:hint="default" w:ascii="Times New Roman" w:hAnsi="Times New Roman" w:eastAsia="宋体" w:cs="Times New Roman"/>
        </w:rPr>
        <w:fldChar w:fldCharType="separate"/>
      </w:r>
      <w:r>
        <w:rPr>
          <w:rFonts w:hint="default" w:ascii="Times New Roman" w:hAnsi="Times New Roman" w:eastAsia="宋体" w:cs="Times New Roman"/>
        </w:rPr>
        <w:t>13</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pPr>
        <w:pStyle w:val="68"/>
        <w:tabs>
          <w:tab w:val="right" w:leader="dot" w:pos="8845"/>
          <w:tab w:val="clear" w:pos="840"/>
          <w:tab w:val="clear" w:pos="8835"/>
        </w:tabs>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_Toc31806 </w:instrText>
      </w:r>
      <w:r>
        <w:rPr>
          <w:rFonts w:hint="default" w:ascii="Times New Roman" w:hAnsi="Times New Roman" w:eastAsia="宋体" w:cs="Times New Roman"/>
        </w:rPr>
        <w:fldChar w:fldCharType="separate"/>
      </w:r>
      <w:r>
        <w:rPr>
          <w:rFonts w:hint="default" w:ascii="Times New Roman" w:hAnsi="Times New Roman" w:eastAsia="宋体" w:cs="Times New Roman"/>
          <w:szCs w:val="21"/>
        </w:rPr>
        <w:t>3.4 开标、评标</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_Toc31806 \h </w:instrText>
      </w:r>
      <w:r>
        <w:rPr>
          <w:rFonts w:hint="default" w:ascii="Times New Roman" w:hAnsi="Times New Roman" w:eastAsia="宋体" w:cs="Times New Roman"/>
        </w:rPr>
        <w:fldChar w:fldCharType="separate"/>
      </w:r>
      <w:r>
        <w:rPr>
          <w:rFonts w:hint="default" w:ascii="Times New Roman" w:hAnsi="Times New Roman" w:eastAsia="宋体" w:cs="Times New Roman"/>
        </w:rPr>
        <w:t>14</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pPr>
        <w:pStyle w:val="68"/>
        <w:tabs>
          <w:tab w:val="right" w:leader="dot" w:pos="8845"/>
          <w:tab w:val="clear" w:pos="840"/>
          <w:tab w:val="clear" w:pos="8835"/>
        </w:tabs>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_Toc31955 </w:instrText>
      </w:r>
      <w:r>
        <w:rPr>
          <w:rFonts w:hint="default" w:ascii="Times New Roman" w:hAnsi="Times New Roman" w:eastAsia="宋体" w:cs="Times New Roman"/>
        </w:rPr>
        <w:fldChar w:fldCharType="separate"/>
      </w:r>
      <w:r>
        <w:rPr>
          <w:rFonts w:hint="default" w:ascii="Times New Roman" w:hAnsi="Times New Roman" w:eastAsia="宋体" w:cs="Times New Roman"/>
          <w:szCs w:val="21"/>
        </w:rPr>
        <w:t>3.5 中标和合同</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_Toc31955 \h </w:instrText>
      </w:r>
      <w:r>
        <w:rPr>
          <w:rFonts w:hint="default" w:ascii="Times New Roman" w:hAnsi="Times New Roman" w:eastAsia="宋体" w:cs="Times New Roman"/>
        </w:rPr>
        <w:fldChar w:fldCharType="separate"/>
      </w:r>
      <w:r>
        <w:rPr>
          <w:rFonts w:hint="default" w:ascii="Times New Roman" w:hAnsi="Times New Roman" w:eastAsia="宋体" w:cs="Times New Roman"/>
        </w:rPr>
        <w:t>17</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pPr>
        <w:pStyle w:val="68"/>
        <w:tabs>
          <w:tab w:val="right" w:leader="dot" w:pos="8845"/>
          <w:tab w:val="clear" w:pos="840"/>
          <w:tab w:val="clear" w:pos="8835"/>
        </w:tabs>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_Toc8306 </w:instrText>
      </w:r>
      <w:r>
        <w:rPr>
          <w:rFonts w:hint="default" w:ascii="Times New Roman" w:hAnsi="Times New Roman" w:eastAsia="宋体" w:cs="Times New Roman"/>
        </w:rPr>
        <w:fldChar w:fldCharType="separate"/>
      </w:r>
      <w:r>
        <w:rPr>
          <w:rFonts w:hint="default" w:ascii="Times New Roman" w:hAnsi="Times New Roman" w:eastAsia="宋体" w:cs="Times New Roman"/>
          <w:szCs w:val="21"/>
        </w:rPr>
        <w:t>3.6 中标服务费</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_Toc8306 \h </w:instrText>
      </w:r>
      <w:r>
        <w:rPr>
          <w:rFonts w:hint="default" w:ascii="Times New Roman" w:hAnsi="Times New Roman" w:eastAsia="宋体" w:cs="Times New Roman"/>
        </w:rPr>
        <w:fldChar w:fldCharType="separate"/>
      </w:r>
      <w:r>
        <w:rPr>
          <w:rFonts w:hint="default" w:ascii="Times New Roman" w:hAnsi="Times New Roman" w:eastAsia="宋体" w:cs="Times New Roman"/>
        </w:rPr>
        <w:t>18</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pPr>
        <w:pStyle w:val="68"/>
        <w:tabs>
          <w:tab w:val="right" w:leader="dot" w:pos="8845"/>
          <w:tab w:val="clear" w:pos="840"/>
          <w:tab w:val="clear" w:pos="8835"/>
        </w:tabs>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_Toc15726 </w:instrText>
      </w:r>
      <w:r>
        <w:rPr>
          <w:rFonts w:hint="default" w:ascii="Times New Roman" w:hAnsi="Times New Roman" w:eastAsia="宋体" w:cs="Times New Roman"/>
        </w:rPr>
        <w:fldChar w:fldCharType="separate"/>
      </w:r>
      <w:r>
        <w:rPr>
          <w:rFonts w:hint="default" w:ascii="Times New Roman" w:hAnsi="Times New Roman" w:eastAsia="宋体" w:cs="Times New Roman"/>
          <w:szCs w:val="21"/>
        </w:rPr>
        <w:t>3.7 询问、质疑、投诉</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_Toc15726 \h </w:instrText>
      </w:r>
      <w:r>
        <w:rPr>
          <w:rFonts w:hint="default" w:ascii="Times New Roman" w:hAnsi="Times New Roman" w:eastAsia="宋体" w:cs="Times New Roman"/>
        </w:rPr>
        <w:fldChar w:fldCharType="separate"/>
      </w:r>
      <w:r>
        <w:rPr>
          <w:rFonts w:hint="default" w:ascii="Times New Roman" w:hAnsi="Times New Roman" w:eastAsia="宋体" w:cs="Times New Roman"/>
        </w:rPr>
        <w:t>18</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pPr>
        <w:pStyle w:val="68"/>
        <w:tabs>
          <w:tab w:val="right" w:leader="dot" w:pos="8845"/>
          <w:tab w:val="clear" w:pos="840"/>
          <w:tab w:val="clear" w:pos="8835"/>
        </w:tabs>
        <w:rPr>
          <w:rFonts w:hint="default" w:ascii="Times New Roman" w:hAnsi="Times New Roman"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_Toc10016 </w:instrText>
      </w:r>
      <w:r>
        <w:rPr>
          <w:rFonts w:hint="default" w:ascii="Times New Roman" w:hAnsi="Times New Roman" w:eastAsia="宋体" w:cs="Times New Roman"/>
        </w:rPr>
        <w:fldChar w:fldCharType="separate"/>
      </w:r>
      <w:r>
        <w:rPr>
          <w:rFonts w:hint="default" w:ascii="Times New Roman" w:hAnsi="Times New Roman" w:eastAsia="宋体" w:cs="Times New Roman"/>
          <w:szCs w:val="21"/>
        </w:rPr>
        <w:t>3.8 保密义务和信息披露</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_Toc10016 \h </w:instrText>
      </w:r>
      <w:r>
        <w:rPr>
          <w:rFonts w:hint="default" w:ascii="Times New Roman" w:hAnsi="Times New Roman" w:eastAsia="宋体" w:cs="Times New Roman"/>
        </w:rPr>
        <w:fldChar w:fldCharType="separate"/>
      </w:r>
      <w:r>
        <w:rPr>
          <w:rFonts w:hint="default" w:ascii="Times New Roman" w:hAnsi="Times New Roman" w:eastAsia="宋体" w:cs="Times New Roman"/>
        </w:rPr>
        <w:t>19</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pPr>
        <w:pStyle w:val="54"/>
        <w:tabs>
          <w:tab w:val="right" w:leader="dot" w:pos="8845"/>
          <w:tab w:val="clear" w:pos="420"/>
          <w:tab w:val="clear" w:pos="8835"/>
        </w:tabs>
        <w:rPr>
          <w:rFonts w:hint="default" w:ascii="Times New Roman" w:hAnsi="Times New Roman" w:cs="Times New Roman"/>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_Toc24453 </w:instrText>
      </w:r>
      <w:r>
        <w:rPr>
          <w:rFonts w:hint="default" w:ascii="Times New Roman" w:hAnsi="Times New Roman" w:cs="Times New Roman" w:eastAsiaTheme="minorEastAsia"/>
        </w:rPr>
        <w:fldChar w:fldCharType="separate"/>
      </w:r>
      <w:r>
        <w:rPr>
          <w:rFonts w:hint="default" w:ascii="Times New Roman" w:hAnsi="Times New Roman" w:cs="Times New Roman"/>
        </w:rPr>
        <w:t>4 评</w:t>
      </w:r>
      <w:r>
        <w:rPr>
          <w:rFonts w:hint="default" w:ascii="Times New Roman" w:hAnsi="Times New Roman" w:cs="Times New Roman"/>
          <w:lang w:val="en-US"/>
        </w:rPr>
        <w:t>分</w:t>
      </w:r>
      <w:r>
        <w:rPr>
          <w:rFonts w:hint="default" w:ascii="Times New Roman" w:hAnsi="Times New Roman" w:cs="Times New Roman"/>
        </w:rPr>
        <w:t>办法和评</w:t>
      </w:r>
      <w:r>
        <w:rPr>
          <w:rFonts w:hint="default" w:ascii="Times New Roman" w:hAnsi="Times New Roman" w:cs="Times New Roman"/>
          <w:lang w:val="en-US"/>
        </w:rPr>
        <w:t>审</w:t>
      </w:r>
      <w:r>
        <w:rPr>
          <w:rFonts w:hint="default" w:ascii="Times New Roman" w:hAnsi="Times New Roman" w:cs="Times New Roman"/>
        </w:rPr>
        <w:t>标准</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_Toc24453 \h </w:instrText>
      </w:r>
      <w:r>
        <w:rPr>
          <w:rFonts w:hint="default" w:ascii="Times New Roman" w:hAnsi="Times New Roman" w:cs="Times New Roman"/>
        </w:rPr>
        <w:fldChar w:fldCharType="separate"/>
      </w:r>
      <w:r>
        <w:rPr>
          <w:rFonts w:hint="default" w:ascii="Times New Roman" w:hAnsi="Times New Roman" w:cs="Times New Roman"/>
        </w:rPr>
        <w:t>21</w:t>
      </w:r>
      <w:r>
        <w:rPr>
          <w:rFonts w:hint="default" w:ascii="Times New Roman" w:hAnsi="Times New Roman" w:cs="Times New Roman"/>
        </w:rPr>
        <w:fldChar w:fldCharType="end"/>
      </w:r>
      <w:r>
        <w:rPr>
          <w:rFonts w:hint="default" w:ascii="Times New Roman" w:hAnsi="Times New Roman" w:cs="Times New Roman" w:eastAsiaTheme="minorEastAsia"/>
        </w:rPr>
        <w:fldChar w:fldCharType="end"/>
      </w:r>
    </w:p>
    <w:p>
      <w:pPr>
        <w:pStyle w:val="68"/>
        <w:tabs>
          <w:tab w:val="right" w:leader="dot" w:pos="8845"/>
          <w:tab w:val="clear" w:pos="840"/>
          <w:tab w:val="clear" w:pos="8835"/>
        </w:tabs>
        <w:rPr>
          <w:rFonts w:hint="default" w:ascii="Times New Roman" w:hAnsi="Times New Roman" w:cs="Times New Roman"/>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_Toc28566 </w:instrText>
      </w:r>
      <w:r>
        <w:rPr>
          <w:rFonts w:hint="default" w:ascii="Times New Roman" w:hAnsi="Times New Roman" w:cs="Times New Roman" w:eastAsiaTheme="minorEastAsia"/>
        </w:rPr>
        <w:fldChar w:fldCharType="separate"/>
      </w:r>
      <w:r>
        <w:rPr>
          <w:rFonts w:hint="default" w:ascii="Times New Roman" w:hAnsi="Times New Roman" w:eastAsia="宋体" w:cs="Times New Roman"/>
          <w:szCs w:val="32"/>
        </w:rPr>
        <w:t xml:space="preserve">4.1 </w:t>
      </w:r>
      <w:r>
        <w:rPr>
          <w:rFonts w:hint="default" w:ascii="Times New Roman" w:hAnsi="Times New Roman" w:cs="Times New Roman"/>
        </w:rPr>
        <w:t>评</w:t>
      </w:r>
      <w:r>
        <w:rPr>
          <w:rFonts w:hint="default" w:ascii="Times New Roman" w:hAnsi="Times New Roman" w:cs="Times New Roman"/>
          <w:lang w:val="en-US"/>
        </w:rPr>
        <w:t>分</w:t>
      </w:r>
      <w:r>
        <w:rPr>
          <w:rFonts w:hint="default" w:ascii="Times New Roman" w:hAnsi="Times New Roman" w:cs="Times New Roman"/>
        </w:rPr>
        <w:t>办法</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_Toc28566 \h </w:instrText>
      </w:r>
      <w:r>
        <w:rPr>
          <w:rFonts w:hint="default" w:ascii="Times New Roman" w:hAnsi="Times New Roman" w:cs="Times New Roman"/>
        </w:rPr>
        <w:fldChar w:fldCharType="separate"/>
      </w:r>
      <w:r>
        <w:rPr>
          <w:rFonts w:hint="default" w:ascii="Times New Roman" w:hAnsi="Times New Roman" w:cs="Times New Roman"/>
        </w:rPr>
        <w:t>21</w:t>
      </w:r>
      <w:r>
        <w:rPr>
          <w:rFonts w:hint="default" w:ascii="Times New Roman" w:hAnsi="Times New Roman" w:cs="Times New Roman"/>
        </w:rPr>
        <w:fldChar w:fldCharType="end"/>
      </w:r>
      <w:r>
        <w:rPr>
          <w:rFonts w:hint="default" w:ascii="Times New Roman" w:hAnsi="Times New Roman" w:cs="Times New Roman" w:eastAsiaTheme="minorEastAsia"/>
        </w:rPr>
        <w:fldChar w:fldCharType="end"/>
      </w:r>
    </w:p>
    <w:p>
      <w:pPr>
        <w:pStyle w:val="68"/>
        <w:tabs>
          <w:tab w:val="right" w:leader="dot" w:pos="8845"/>
          <w:tab w:val="clear" w:pos="840"/>
          <w:tab w:val="clear" w:pos="8835"/>
        </w:tabs>
        <w:rPr>
          <w:rFonts w:hint="default" w:ascii="Times New Roman" w:hAnsi="Times New Roman" w:cs="Times New Roman"/>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_Toc1683 </w:instrText>
      </w:r>
      <w:r>
        <w:rPr>
          <w:rFonts w:hint="default" w:ascii="Times New Roman" w:hAnsi="Times New Roman" w:cs="Times New Roman" w:eastAsiaTheme="minorEastAsia"/>
        </w:rPr>
        <w:fldChar w:fldCharType="separate"/>
      </w:r>
      <w:r>
        <w:rPr>
          <w:rFonts w:hint="default" w:ascii="Times New Roman" w:hAnsi="Times New Roman" w:eastAsia="宋体" w:cs="Times New Roman"/>
          <w:szCs w:val="32"/>
        </w:rPr>
        <w:t xml:space="preserve">4.2 </w:t>
      </w:r>
      <w:r>
        <w:rPr>
          <w:rFonts w:hint="default" w:ascii="Times New Roman" w:hAnsi="Times New Roman" w:cs="Times New Roman"/>
        </w:rPr>
        <w:t>初步评审</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_Toc1683 \h </w:instrText>
      </w:r>
      <w:r>
        <w:rPr>
          <w:rFonts w:hint="default" w:ascii="Times New Roman" w:hAnsi="Times New Roman" w:cs="Times New Roman"/>
        </w:rPr>
        <w:fldChar w:fldCharType="separate"/>
      </w:r>
      <w:r>
        <w:rPr>
          <w:rFonts w:hint="default" w:ascii="Times New Roman" w:hAnsi="Times New Roman" w:cs="Times New Roman"/>
        </w:rPr>
        <w:t>21</w:t>
      </w:r>
      <w:r>
        <w:rPr>
          <w:rFonts w:hint="default" w:ascii="Times New Roman" w:hAnsi="Times New Roman" w:cs="Times New Roman"/>
        </w:rPr>
        <w:fldChar w:fldCharType="end"/>
      </w:r>
      <w:r>
        <w:rPr>
          <w:rFonts w:hint="default" w:ascii="Times New Roman" w:hAnsi="Times New Roman" w:cs="Times New Roman" w:eastAsiaTheme="minorEastAsia"/>
        </w:rPr>
        <w:fldChar w:fldCharType="end"/>
      </w:r>
    </w:p>
    <w:p>
      <w:pPr>
        <w:pStyle w:val="68"/>
        <w:tabs>
          <w:tab w:val="right" w:leader="dot" w:pos="8845"/>
          <w:tab w:val="clear" w:pos="840"/>
          <w:tab w:val="clear" w:pos="8835"/>
        </w:tabs>
        <w:rPr>
          <w:rFonts w:hint="default" w:ascii="Times New Roman" w:hAnsi="Times New Roman" w:cs="Times New Roman"/>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_Toc21309 </w:instrText>
      </w:r>
      <w:r>
        <w:rPr>
          <w:rFonts w:hint="default" w:ascii="Times New Roman" w:hAnsi="Times New Roman" w:cs="Times New Roman" w:eastAsiaTheme="minorEastAsia"/>
        </w:rPr>
        <w:fldChar w:fldCharType="separate"/>
      </w:r>
      <w:r>
        <w:rPr>
          <w:rFonts w:hint="default" w:ascii="Times New Roman" w:hAnsi="Times New Roman" w:eastAsia="宋体" w:cs="Times New Roman"/>
          <w:szCs w:val="32"/>
        </w:rPr>
        <w:t xml:space="preserve">4.3 </w:t>
      </w:r>
      <w:r>
        <w:rPr>
          <w:rFonts w:hint="default" w:ascii="Times New Roman" w:hAnsi="Times New Roman" w:cs="Times New Roman"/>
        </w:rPr>
        <w:t>评分细则</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_Toc21309 \h </w:instrText>
      </w:r>
      <w:r>
        <w:rPr>
          <w:rFonts w:hint="default" w:ascii="Times New Roman" w:hAnsi="Times New Roman" w:cs="Times New Roman"/>
        </w:rPr>
        <w:fldChar w:fldCharType="separate"/>
      </w:r>
      <w:r>
        <w:rPr>
          <w:rFonts w:hint="default" w:ascii="Times New Roman" w:hAnsi="Times New Roman" w:cs="Times New Roman"/>
        </w:rPr>
        <w:t>21</w:t>
      </w:r>
      <w:r>
        <w:rPr>
          <w:rFonts w:hint="default" w:ascii="Times New Roman" w:hAnsi="Times New Roman" w:cs="Times New Roman"/>
        </w:rPr>
        <w:fldChar w:fldCharType="end"/>
      </w:r>
      <w:r>
        <w:rPr>
          <w:rFonts w:hint="default" w:ascii="Times New Roman" w:hAnsi="Times New Roman" w:cs="Times New Roman" w:eastAsiaTheme="minorEastAsia"/>
        </w:rPr>
        <w:fldChar w:fldCharType="end"/>
      </w:r>
    </w:p>
    <w:p>
      <w:pPr>
        <w:pStyle w:val="54"/>
        <w:tabs>
          <w:tab w:val="right" w:leader="dot" w:pos="8845"/>
          <w:tab w:val="clear" w:pos="420"/>
          <w:tab w:val="clear" w:pos="8835"/>
        </w:tabs>
        <w:rPr>
          <w:rFonts w:hint="default" w:ascii="Times New Roman" w:hAnsi="Times New Roman" w:cs="Times New Roman"/>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_Toc17105 </w:instrText>
      </w:r>
      <w:r>
        <w:rPr>
          <w:rFonts w:hint="default" w:ascii="Times New Roman" w:hAnsi="Times New Roman" w:cs="Times New Roman" w:eastAsiaTheme="minorEastAsia"/>
        </w:rPr>
        <w:fldChar w:fldCharType="separate"/>
      </w:r>
      <w:r>
        <w:rPr>
          <w:rFonts w:hint="default" w:ascii="Times New Roman" w:hAnsi="Times New Roman" w:cs="Times New Roman"/>
        </w:rPr>
        <w:t>5 采购需求</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_Toc17105 \h </w:instrText>
      </w:r>
      <w:r>
        <w:rPr>
          <w:rFonts w:hint="default" w:ascii="Times New Roman" w:hAnsi="Times New Roman" w:cs="Times New Roman"/>
        </w:rPr>
        <w:fldChar w:fldCharType="separate"/>
      </w:r>
      <w:r>
        <w:rPr>
          <w:rFonts w:hint="default" w:ascii="Times New Roman" w:hAnsi="Times New Roman" w:cs="Times New Roman"/>
        </w:rPr>
        <w:t>26</w:t>
      </w:r>
      <w:r>
        <w:rPr>
          <w:rFonts w:hint="default" w:ascii="Times New Roman" w:hAnsi="Times New Roman" w:cs="Times New Roman"/>
        </w:rPr>
        <w:fldChar w:fldCharType="end"/>
      </w:r>
      <w:r>
        <w:rPr>
          <w:rFonts w:hint="default" w:ascii="Times New Roman" w:hAnsi="Times New Roman" w:cs="Times New Roman" w:eastAsiaTheme="minorEastAsia"/>
        </w:rPr>
        <w:fldChar w:fldCharType="end"/>
      </w:r>
    </w:p>
    <w:p>
      <w:pPr>
        <w:pStyle w:val="68"/>
        <w:tabs>
          <w:tab w:val="right" w:leader="dot" w:pos="8845"/>
          <w:tab w:val="clear" w:pos="840"/>
          <w:tab w:val="clear" w:pos="8835"/>
        </w:tabs>
        <w:rPr>
          <w:rFonts w:hint="default" w:ascii="Times New Roman" w:hAnsi="Times New Roman" w:cs="Times New Roman"/>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_Toc5139 </w:instrText>
      </w:r>
      <w:r>
        <w:rPr>
          <w:rFonts w:hint="default" w:ascii="Times New Roman" w:hAnsi="Times New Roman" w:cs="Times New Roman" w:eastAsiaTheme="minorEastAsia"/>
        </w:rPr>
        <w:fldChar w:fldCharType="separate"/>
      </w:r>
      <w:r>
        <w:rPr>
          <w:rFonts w:hint="default" w:ascii="Times New Roman" w:hAnsi="Times New Roman" w:eastAsia="宋体" w:cs="Times New Roman"/>
          <w:szCs w:val="32"/>
        </w:rPr>
        <w:t xml:space="preserve">5.1 </w:t>
      </w:r>
      <w:r>
        <w:rPr>
          <w:rFonts w:hint="default" w:ascii="Times New Roman" w:hAnsi="Times New Roman" w:cs="Times New Roman"/>
        </w:rPr>
        <w:t>项目</w:t>
      </w:r>
      <w:r>
        <w:rPr>
          <w:rFonts w:hint="default" w:ascii="Times New Roman" w:hAnsi="Times New Roman" w:cs="Times New Roman"/>
          <w:lang w:val="en-US"/>
        </w:rPr>
        <w:t>概述</w:t>
      </w:r>
      <w:r>
        <w:rPr>
          <w:rFonts w:hint="default" w:ascii="Times New Roman" w:hAnsi="Times New Roman" w:cs="Times New Roman"/>
          <w:szCs w:val="24"/>
          <w:lang w:val="en-US"/>
        </w:rPr>
        <w:t>（</w:t>
      </w:r>
      <w:r>
        <w:rPr>
          <w:rFonts w:hint="default" w:ascii="Times New Roman" w:hAnsi="Times New Roman" w:cs="Times New Roman"/>
          <w:szCs w:val="24"/>
        </w:rPr>
        <w:t>不作为评分项</w:t>
      </w:r>
      <w:r>
        <w:rPr>
          <w:rFonts w:hint="default" w:ascii="Times New Roman" w:hAnsi="Times New Roman" w:cs="Times New Roman"/>
          <w:szCs w:val="24"/>
          <w:lang w:val="en-US"/>
        </w:rPr>
        <w:t>）</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_Toc5139 \h </w:instrText>
      </w:r>
      <w:r>
        <w:rPr>
          <w:rFonts w:hint="default" w:ascii="Times New Roman" w:hAnsi="Times New Roman" w:cs="Times New Roman"/>
        </w:rPr>
        <w:fldChar w:fldCharType="separate"/>
      </w:r>
      <w:r>
        <w:rPr>
          <w:rFonts w:hint="default" w:ascii="Times New Roman" w:hAnsi="Times New Roman" w:cs="Times New Roman"/>
        </w:rPr>
        <w:t>26</w:t>
      </w:r>
      <w:r>
        <w:rPr>
          <w:rFonts w:hint="default" w:ascii="Times New Roman" w:hAnsi="Times New Roman" w:cs="Times New Roman"/>
        </w:rPr>
        <w:fldChar w:fldCharType="end"/>
      </w:r>
      <w:r>
        <w:rPr>
          <w:rFonts w:hint="default" w:ascii="Times New Roman" w:hAnsi="Times New Roman" w:cs="Times New Roman" w:eastAsiaTheme="minorEastAsia"/>
        </w:rPr>
        <w:fldChar w:fldCharType="end"/>
      </w:r>
    </w:p>
    <w:p>
      <w:pPr>
        <w:pStyle w:val="68"/>
        <w:tabs>
          <w:tab w:val="right" w:leader="dot" w:pos="8845"/>
          <w:tab w:val="clear" w:pos="840"/>
          <w:tab w:val="clear" w:pos="8835"/>
        </w:tabs>
        <w:rPr>
          <w:rFonts w:hint="default" w:ascii="Times New Roman" w:hAnsi="Times New Roman" w:cs="Times New Roman"/>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_Toc7744 </w:instrText>
      </w:r>
      <w:r>
        <w:rPr>
          <w:rFonts w:hint="default" w:ascii="Times New Roman" w:hAnsi="Times New Roman" w:cs="Times New Roman" w:eastAsiaTheme="minorEastAsia"/>
        </w:rPr>
        <w:fldChar w:fldCharType="separate"/>
      </w:r>
      <w:r>
        <w:rPr>
          <w:rFonts w:hint="default" w:ascii="Times New Roman" w:hAnsi="Times New Roman" w:eastAsia="宋体" w:cs="Times New Roman"/>
          <w:szCs w:val="32"/>
        </w:rPr>
        <w:t xml:space="preserve">5.2 </w:t>
      </w:r>
      <w:r>
        <w:rPr>
          <w:rFonts w:hint="default" w:ascii="Times New Roman" w:hAnsi="Times New Roman" w:cs="Times New Roman"/>
        </w:rPr>
        <w:t>技术要求</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_Toc7744 \h </w:instrText>
      </w:r>
      <w:r>
        <w:rPr>
          <w:rFonts w:hint="default" w:ascii="Times New Roman" w:hAnsi="Times New Roman" w:cs="Times New Roman"/>
        </w:rPr>
        <w:fldChar w:fldCharType="separate"/>
      </w:r>
      <w:r>
        <w:rPr>
          <w:rFonts w:hint="default" w:ascii="Times New Roman" w:hAnsi="Times New Roman" w:cs="Times New Roman"/>
        </w:rPr>
        <w:t>29</w:t>
      </w:r>
      <w:r>
        <w:rPr>
          <w:rFonts w:hint="default" w:ascii="Times New Roman" w:hAnsi="Times New Roman" w:cs="Times New Roman"/>
        </w:rPr>
        <w:fldChar w:fldCharType="end"/>
      </w:r>
      <w:r>
        <w:rPr>
          <w:rFonts w:hint="default" w:ascii="Times New Roman" w:hAnsi="Times New Roman" w:cs="Times New Roman" w:eastAsiaTheme="minorEastAsia"/>
        </w:rPr>
        <w:fldChar w:fldCharType="end"/>
      </w:r>
    </w:p>
    <w:p>
      <w:pPr>
        <w:pStyle w:val="68"/>
        <w:tabs>
          <w:tab w:val="right" w:leader="dot" w:pos="8845"/>
          <w:tab w:val="clear" w:pos="840"/>
          <w:tab w:val="clear" w:pos="8835"/>
        </w:tabs>
        <w:rPr>
          <w:rFonts w:hint="default" w:ascii="Times New Roman" w:hAnsi="Times New Roman" w:cs="Times New Roman"/>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_Toc11279 </w:instrText>
      </w:r>
      <w:r>
        <w:rPr>
          <w:rFonts w:hint="default" w:ascii="Times New Roman" w:hAnsi="Times New Roman" w:cs="Times New Roman" w:eastAsiaTheme="minorEastAsia"/>
        </w:rPr>
        <w:fldChar w:fldCharType="separate"/>
      </w:r>
      <w:r>
        <w:rPr>
          <w:rFonts w:hint="default" w:ascii="Times New Roman" w:hAnsi="Times New Roman" w:eastAsia="宋体" w:cs="Times New Roman"/>
          <w:szCs w:val="32"/>
        </w:rPr>
        <w:t xml:space="preserve">5.3 </w:t>
      </w:r>
      <w:r>
        <w:rPr>
          <w:rFonts w:hint="default" w:ascii="Times New Roman" w:hAnsi="Times New Roman" w:cs="Times New Roman"/>
        </w:rPr>
        <w:t>服务要求</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_Toc11279 \h </w:instrText>
      </w:r>
      <w:r>
        <w:rPr>
          <w:rFonts w:hint="default" w:ascii="Times New Roman" w:hAnsi="Times New Roman" w:cs="Times New Roman"/>
        </w:rPr>
        <w:fldChar w:fldCharType="separate"/>
      </w:r>
      <w:r>
        <w:rPr>
          <w:rFonts w:hint="default" w:ascii="Times New Roman" w:hAnsi="Times New Roman" w:cs="Times New Roman"/>
        </w:rPr>
        <w:t>160</w:t>
      </w:r>
      <w:r>
        <w:rPr>
          <w:rFonts w:hint="default" w:ascii="Times New Roman" w:hAnsi="Times New Roman" w:cs="Times New Roman"/>
        </w:rPr>
        <w:fldChar w:fldCharType="end"/>
      </w:r>
      <w:r>
        <w:rPr>
          <w:rFonts w:hint="default" w:ascii="Times New Roman" w:hAnsi="Times New Roman" w:cs="Times New Roman" w:eastAsiaTheme="minorEastAsia"/>
        </w:rPr>
        <w:fldChar w:fldCharType="end"/>
      </w:r>
    </w:p>
    <w:p>
      <w:pPr>
        <w:pStyle w:val="54"/>
        <w:tabs>
          <w:tab w:val="right" w:leader="dot" w:pos="8845"/>
          <w:tab w:val="clear" w:pos="420"/>
          <w:tab w:val="clear" w:pos="8835"/>
        </w:tabs>
        <w:rPr>
          <w:rFonts w:hint="default" w:ascii="Times New Roman" w:hAnsi="Times New Roman" w:cs="Times New Roman"/>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_Toc19219 </w:instrText>
      </w:r>
      <w:r>
        <w:rPr>
          <w:rFonts w:hint="default" w:ascii="Times New Roman" w:hAnsi="Times New Roman" w:cs="Times New Roman" w:eastAsiaTheme="minorEastAsia"/>
        </w:rPr>
        <w:fldChar w:fldCharType="separate"/>
      </w:r>
      <w:r>
        <w:rPr>
          <w:rFonts w:hint="default" w:ascii="Times New Roman" w:hAnsi="Times New Roman" w:cs="Times New Roman"/>
        </w:rPr>
        <w:t>6 合同（参考文本）</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_Toc19219 \h </w:instrText>
      </w:r>
      <w:r>
        <w:rPr>
          <w:rFonts w:hint="default" w:ascii="Times New Roman" w:hAnsi="Times New Roman" w:cs="Times New Roman"/>
        </w:rPr>
        <w:fldChar w:fldCharType="separate"/>
      </w:r>
      <w:r>
        <w:rPr>
          <w:rFonts w:hint="default" w:ascii="Times New Roman" w:hAnsi="Times New Roman" w:cs="Times New Roman"/>
        </w:rPr>
        <w:t>162</w:t>
      </w:r>
      <w:r>
        <w:rPr>
          <w:rFonts w:hint="default" w:ascii="Times New Roman" w:hAnsi="Times New Roman" w:cs="Times New Roman"/>
        </w:rPr>
        <w:fldChar w:fldCharType="end"/>
      </w:r>
      <w:r>
        <w:rPr>
          <w:rFonts w:hint="default" w:ascii="Times New Roman" w:hAnsi="Times New Roman" w:cs="Times New Roman" w:eastAsiaTheme="minorEastAsia"/>
        </w:rPr>
        <w:fldChar w:fldCharType="end"/>
      </w:r>
    </w:p>
    <w:p>
      <w:pPr>
        <w:pStyle w:val="68"/>
        <w:tabs>
          <w:tab w:val="right" w:leader="dot" w:pos="8845"/>
          <w:tab w:val="clear" w:pos="840"/>
          <w:tab w:val="clear" w:pos="8835"/>
        </w:tabs>
        <w:rPr>
          <w:rFonts w:hint="default" w:ascii="Times New Roman" w:hAnsi="Times New Roman" w:cs="Times New Roman"/>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_Toc27743 </w:instrText>
      </w:r>
      <w:r>
        <w:rPr>
          <w:rFonts w:hint="default" w:ascii="Times New Roman" w:hAnsi="Times New Roman" w:cs="Times New Roman" w:eastAsiaTheme="minorEastAsia"/>
        </w:rPr>
        <w:fldChar w:fldCharType="separate"/>
      </w:r>
      <w:r>
        <w:rPr>
          <w:rFonts w:hint="default" w:ascii="Times New Roman" w:hAnsi="Times New Roman" w:eastAsia="宋体" w:cs="Times New Roman"/>
          <w:szCs w:val="32"/>
        </w:rPr>
        <w:t xml:space="preserve">6.1 </w:t>
      </w:r>
      <w:r>
        <w:rPr>
          <w:rFonts w:hint="default" w:ascii="Times New Roman" w:hAnsi="Times New Roman" w:cs="Times New Roman"/>
        </w:rPr>
        <w:t>合同标的</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_Toc27743 \h </w:instrText>
      </w:r>
      <w:r>
        <w:rPr>
          <w:rFonts w:hint="default" w:ascii="Times New Roman" w:hAnsi="Times New Roman" w:cs="Times New Roman"/>
        </w:rPr>
        <w:fldChar w:fldCharType="separate"/>
      </w:r>
      <w:r>
        <w:rPr>
          <w:rFonts w:hint="default" w:ascii="Times New Roman" w:hAnsi="Times New Roman" w:cs="Times New Roman"/>
        </w:rPr>
        <w:t>163</w:t>
      </w:r>
      <w:r>
        <w:rPr>
          <w:rFonts w:hint="default" w:ascii="Times New Roman" w:hAnsi="Times New Roman" w:cs="Times New Roman"/>
        </w:rPr>
        <w:fldChar w:fldCharType="end"/>
      </w:r>
      <w:r>
        <w:rPr>
          <w:rFonts w:hint="default" w:ascii="Times New Roman" w:hAnsi="Times New Roman" w:cs="Times New Roman" w:eastAsiaTheme="minorEastAsia"/>
        </w:rPr>
        <w:fldChar w:fldCharType="end"/>
      </w:r>
    </w:p>
    <w:p>
      <w:pPr>
        <w:pStyle w:val="68"/>
        <w:tabs>
          <w:tab w:val="right" w:leader="dot" w:pos="8845"/>
          <w:tab w:val="clear" w:pos="840"/>
          <w:tab w:val="clear" w:pos="8835"/>
        </w:tabs>
        <w:rPr>
          <w:rFonts w:hint="default" w:ascii="Times New Roman" w:hAnsi="Times New Roman" w:cs="Times New Roman"/>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_Toc18014 </w:instrText>
      </w:r>
      <w:r>
        <w:rPr>
          <w:rFonts w:hint="default" w:ascii="Times New Roman" w:hAnsi="Times New Roman" w:cs="Times New Roman" w:eastAsiaTheme="minorEastAsia"/>
        </w:rPr>
        <w:fldChar w:fldCharType="separate"/>
      </w:r>
      <w:r>
        <w:rPr>
          <w:rFonts w:hint="default" w:ascii="Times New Roman" w:hAnsi="Times New Roman" w:eastAsia="宋体" w:cs="Times New Roman"/>
          <w:szCs w:val="32"/>
        </w:rPr>
        <w:t xml:space="preserve">6.2 </w:t>
      </w:r>
      <w:r>
        <w:rPr>
          <w:rFonts w:hint="default" w:ascii="Times New Roman" w:hAnsi="Times New Roman" w:cs="Times New Roman"/>
        </w:rPr>
        <w:t>交付时间及地点</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_Toc18014 \h </w:instrText>
      </w:r>
      <w:r>
        <w:rPr>
          <w:rFonts w:hint="default" w:ascii="Times New Roman" w:hAnsi="Times New Roman" w:cs="Times New Roman"/>
        </w:rPr>
        <w:fldChar w:fldCharType="separate"/>
      </w:r>
      <w:r>
        <w:rPr>
          <w:rFonts w:hint="default" w:ascii="Times New Roman" w:hAnsi="Times New Roman" w:cs="Times New Roman"/>
        </w:rPr>
        <w:t>163</w:t>
      </w:r>
      <w:r>
        <w:rPr>
          <w:rFonts w:hint="default" w:ascii="Times New Roman" w:hAnsi="Times New Roman" w:cs="Times New Roman"/>
        </w:rPr>
        <w:fldChar w:fldCharType="end"/>
      </w:r>
      <w:r>
        <w:rPr>
          <w:rFonts w:hint="default" w:ascii="Times New Roman" w:hAnsi="Times New Roman" w:cs="Times New Roman" w:eastAsiaTheme="minorEastAsia"/>
        </w:rPr>
        <w:fldChar w:fldCharType="end"/>
      </w:r>
    </w:p>
    <w:p>
      <w:pPr>
        <w:pStyle w:val="68"/>
        <w:tabs>
          <w:tab w:val="right" w:leader="dot" w:pos="8845"/>
          <w:tab w:val="clear" w:pos="840"/>
          <w:tab w:val="clear" w:pos="8835"/>
        </w:tabs>
        <w:rPr>
          <w:rFonts w:hint="default" w:ascii="Times New Roman" w:hAnsi="Times New Roman" w:cs="Times New Roman"/>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_Toc5095 </w:instrText>
      </w:r>
      <w:r>
        <w:rPr>
          <w:rFonts w:hint="default" w:ascii="Times New Roman" w:hAnsi="Times New Roman" w:cs="Times New Roman" w:eastAsiaTheme="minorEastAsia"/>
        </w:rPr>
        <w:fldChar w:fldCharType="separate"/>
      </w:r>
      <w:r>
        <w:rPr>
          <w:rFonts w:hint="default" w:ascii="Times New Roman" w:hAnsi="Times New Roman" w:eastAsia="宋体" w:cs="Times New Roman"/>
          <w:szCs w:val="32"/>
        </w:rPr>
        <w:t xml:space="preserve">6.3 </w:t>
      </w:r>
      <w:r>
        <w:rPr>
          <w:rFonts w:hint="default" w:ascii="Times New Roman" w:hAnsi="Times New Roman" w:cs="Times New Roman"/>
        </w:rPr>
        <w:t>付（退）款方式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_Toc5095 \h </w:instrText>
      </w:r>
      <w:r>
        <w:rPr>
          <w:rFonts w:hint="default" w:ascii="Times New Roman" w:hAnsi="Times New Roman" w:cs="Times New Roman"/>
        </w:rPr>
        <w:fldChar w:fldCharType="separate"/>
      </w:r>
      <w:r>
        <w:rPr>
          <w:rFonts w:hint="default" w:ascii="Times New Roman" w:hAnsi="Times New Roman" w:cs="Times New Roman"/>
        </w:rPr>
        <w:t>163</w:t>
      </w:r>
      <w:r>
        <w:rPr>
          <w:rFonts w:hint="default" w:ascii="Times New Roman" w:hAnsi="Times New Roman" w:cs="Times New Roman"/>
        </w:rPr>
        <w:fldChar w:fldCharType="end"/>
      </w:r>
      <w:r>
        <w:rPr>
          <w:rFonts w:hint="default" w:ascii="Times New Roman" w:hAnsi="Times New Roman" w:cs="Times New Roman" w:eastAsiaTheme="minorEastAsia"/>
        </w:rPr>
        <w:fldChar w:fldCharType="end"/>
      </w:r>
    </w:p>
    <w:p>
      <w:pPr>
        <w:pStyle w:val="68"/>
        <w:tabs>
          <w:tab w:val="right" w:leader="dot" w:pos="8845"/>
          <w:tab w:val="clear" w:pos="840"/>
          <w:tab w:val="clear" w:pos="8835"/>
        </w:tabs>
        <w:rPr>
          <w:rFonts w:hint="default" w:ascii="Times New Roman" w:hAnsi="Times New Roman" w:cs="Times New Roman"/>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_Toc6446 </w:instrText>
      </w:r>
      <w:r>
        <w:rPr>
          <w:rFonts w:hint="default" w:ascii="Times New Roman" w:hAnsi="Times New Roman" w:cs="Times New Roman" w:eastAsiaTheme="minorEastAsia"/>
        </w:rPr>
        <w:fldChar w:fldCharType="separate"/>
      </w:r>
      <w:r>
        <w:rPr>
          <w:rFonts w:hint="default" w:ascii="Times New Roman" w:hAnsi="Times New Roman" w:eastAsia="宋体" w:cs="Times New Roman"/>
          <w:szCs w:val="32"/>
        </w:rPr>
        <w:t xml:space="preserve">6.4 </w:t>
      </w:r>
      <w:r>
        <w:rPr>
          <w:rFonts w:hint="default" w:ascii="Times New Roman" w:hAnsi="Times New Roman" w:cs="Times New Roman"/>
        </w:rPr>
        <w:t>合同条款</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_Toc6446 \h </w:instrText>
      </w:r>
      <w:r>
        <w:rPr>
          <w:rFonts w:hint="default" w:ascii="Times New Roman" w:hAnsi="Times New Roman" w:cs="Times New Roman"/>
        </w:rPr>
        <w:fldChar w:fldCharType="separate"/>
      </w:r>
      <w:r>
        <w:rPr>
          <w:rFonts w:hint="default" w:ascii="Times New Roman" w:hAnsi="Times New Roman" w:cs="Times New Roman"/>
        </w:rPr>
        <w:t>163</w:t>
      </w:r>
      <w:r>
        <w:rPr>
          <w:rFonts w:hint="default" w:ascii="Times New Roman" w:hAnsi="Times New Roman" w:cs="Times New Roman"/>
        </w:rPr>
        <w:fldChar w:fldCharType="end"/>
      </w:r>
      <w:r>
        <w:rPr>
          <w:rFonts w:hint="default" w:ascii="Times New Roman" w:hAnsi="Times New Roman" w:cs="Times New Roman" w:eastAsiaTheme="minorEastAsia"/>
        </w:rPr>
        <w:fldChar w:fldCharType="end"/>
      </w:r>
    </w:p>
    <w:p>
      <w:pPr>
        <w:pStyle w:val="68"/>
        <w:tabs>
          <w:tab w:val="right" w:leader="dot" w:pos="8845"/>
          <w:tab w:val="clear" w:pos="840"/>
          <w:tab w:val="clear" w:pos="8835"/>
        </w:tabs>
        <w:rPr>
          <w:rFonts w:hint="default" w:ascii="Times New Roman" w:hAnsi="Times New Roman" w:cs="Times New Roman"/>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_Toc32361 </w:instrText>
      </w:r>
      <w:r>
        <w:rPr>
          <w:rFonts w:hint="default" w:ascii="Times New Roman" w:hAnsi="Times New Roman" w:cs="Times New Roman" w:eastAsiaTheme="minorEastAsia"/>
        </w:rPr>
        <w:fldChar w:fldCharType="separate"/>
      </w:r>
      <w:r>
        <w:rPr>
          <w:rFonts w:hint="default" w:ascii="Times New Roman" w:hAnsi="Times New Roman" w:eastAsia="宋体" w:cs="Times New Roman"/>
          <w:szCs w:val="32"/>
        </w:rPr>
        <w:t xml:space="preserve">6.5 </w:t>
      </w:r>
      <w:r>
        <w:rPr>
          <w:rFonts w:hint="default" w:ascii="Times New Roman" w:hAnsi="Times New Roman" w:cs="Times New Roman"/>
        </w:rPr>
        <w:t>合同补充条款</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_Toc32361 \h </w:instrText>
      </w:r>
      <w:r>
        <w:rPr>
          <w:rFonts w:hint="default" w:ascii="Times New Roman" w:hAnsi="Times New Roman" w:cs="Times New Roman"/>
        </w:rPr>
        <w:fldChar w:fldCharType="separate"/>
      </w:r>
      <w:r>
        <w:rPr>
          <w:rFonts w:hint="default" w:ascii="Times New Roman" w:hAnsi="Times New Roman" w:cs="Times New Roman"/>
        </w:rPr>
        <w:t>166</w:t>
      </w:r>
      <w:r>
        <w:rPr>
          <w:rFonts w:hint="default" w:ascii="Times New Roman" w:hAnsi="Times New Roman" w:cs="Times New Roman"/>
        </w:rPr>
        <w:fldChar w:fldCharType="end"/>
      </w:r>
      <w:r>
        <w:rPr>
          <w:rFonts w:hint="default" w:ascii="Times New Roman" w:hAnsi="Times New Roman" w:cs="Times New Roman" w:eastAsiaTheme="minorEastAsia"/>
        </w:rPr>
        <w:fldChar w:fldCharType="end"/>
      </w:r>
    </w:p>
    <w:p>
      <w:pPr>
        <w:pStyle w:val="54"/>
        <w:tabs>
          <w:tab w:val="right" w:leader="dot" w:pos="8845"/>
          <w:tab w:val="clear" w:pos="420"/>
          <w:tab w:val="clear" w:pos="8835"/>
        </w:tabs>
        <w:rPr>
          <w:rFonts w:hint="default" w:ascii="Times New Roman" w:hAnsi="Times New Roman" w:cs="Times New Roman"/>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_Toc29560 </w:instrText>
      </w:r>
      <w:r>
        <w:rPr>
          <w:rFonts w:hint="default" w:ascii="Times New Roman" w:hAnsi="Times New Roman" w:cs="Times New Roman" w:eastAsiaTheme="minorEastAsia"/>
        </w:rPr>
        <w:fldChar w:fldCharType="separate"/>
      </w:r>
      <w:r>
        <w:rPr>
          <w:rFonts w:hint="default" w:ascii="Times New Roman" w:hAnsi="Times New Roman" w:cs="Times New Roman"/>
        </w:rPr>
        <w:t>7 投标材料格式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_Toc29560 \h </w:instrText>
      </w:r>
      <w:r>
        <w:rPr>
          <w:rFonts w:hint="default" w:ascii="Times New Roman" w:hAnsi="Times New Roman" w:cs="Times New Roman"/>
        </w:rPr>
        <w:fldChar w:fldCharType="separate"/>
      </w:r>
      <w:r>
        <w:rPr>
          <w:rFonts w:hint="default" w:ascii="Times New Roman" w:hAnsi="Times New Roman" w:cs="Times New Roman"/>
        </w:rPr>
        <w:t>168</w:t>
      </w:r>
      <w:r>
        <w:rPr>
          <w:rFonts w:hint="default" w:ascii="Times New Roman" w:hAnsi="Times New Roman" w:cs="Times New Roman"/>
        </w:rPr>
        <w:fldChar w:fldCharType="end"/>
      </w:r>
      <w:r>
        <w:rPr>
          <w:rFonts w:hint="default" w:ascii="Times New Roman" w:hAnsi="Times New Roman" w:cs="Times New Roman" w:eastAsiaTheme="minorEastAsia"/>
        </w:rPr>
        <w:fldChar w:fldCharType="end"/>
      </w:r>
    </w:p>
    <w:p>
      <w:pPr>
        <w:pStyle w:val="68"/>
        <w:tabs>
          <w:tab w:val="right" w:leader="dot" w:pos="8845"/>
          <w:tab w:val="clear" w:pos="840"/>
          <w:tab w:val="clear" w:pos="8835"/>
        </w:tabs>
        <w:rPr>
          <w:rFonts w:hint="default" w:ascii="Times New Roman" w:hAnsi="Times New Roman" w:cs="Times New Roman"/>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_Toc23100 </w:instrText>
      </w:r>
      <w:r>
        <w:rPr>
          <w:rFonts w:hint="default" w:ascii="Times New Roman" w:hAnsi="Times New Roman" w:cs="Times New Roman" w:eastAsiaTheme="minorEastAsia"/>
        </w:rPr>
        <w:fldChar w:fldCharType="separate"/>
      </w:r>
      <w:r>
        <w:rPr>
          <w:rFonts w:hint="default" w:ascii="Times New Roman" w:hAnsi="Times New Roman" w:eastAsia="宋体" w:cs="Times New Roman"/>
          <w:szCs w:val="32"/>
        </w:rPr>
        <w:t xml:space="preserve">7.1 </w:t>
      </w:r>
      <w:r>
        <w:rPr>
          <w:rFonts w:hint="default" w:ascii="Times New Roman" w:hAnsi="Times New Roman" w:cs="Times New Roman"/>
        </w:rPr>
        <w:t>*承诺函</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_Toc23100 \h </w:instrText>
      </w:r>
      <w:r>
        <w:rPr>
          <w:rFonts w:hint="default" w:ascii="Times New Roman" w:hAnsi="Times New Roman" w:cs="Times New Roman"/>
        </w:rPr>
        <w:fldChar w:fldCharType="separate"/>
      </w:r>
      <w:r>
        <w:rPr>
          <w:rFonts w:hint="default" w:ascii="Times New Roman" w:hAnsi="Times New Roman" w:cs="Times New Roman"/>
        </w:rPr>
        <w:t>169</w:t>
      </w:r>
      <w:r>
        <w:rPr>
          <w:rFonts w:hint="default" w:ascii="Times New Roman" w:hAnsi="Times New Roman" w:cs="Times New Roman"/>
        </w:rPr>
        <w:fldChar w:fldCharType="end"/>
      </w:r>
      <w:r>
        <w:rPr>
          <w:rFonts w:hint="default" w:ascii="Times New Roman" w:hAnsi="Times New Roman" w:cs="Times New Roman" w:eastAsiaTheme="minorEastAsia"/>
        </w:rPr>
        <w:fldChar w:fldCharType="end"/>
      </w:r>
    </w:p>
    <w:p>
      <w:pPr>
        <w:pStyle w:val="68"/>
        <w:tabs>
          <w:tab w:val="right" w:leader="dot" w:pos="8845"/>
          <w:tab w:val="clear" w:pos="840"/>
          <w:tab w:val="clear" w:pos="8835"/>
        </w:tabs>
        <w:rPr>
          <w:rFonts w:hint="default" w:ascii="Times New Roman" w:hAnsi="Times New Roman" w:cs="Times New Roman"/>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_Toc30601 </w:instrText>
      </w:r>
      <w:r>
        <w:rPr>
          <w:rFonts w:hint="default" w:ascii="Times New Roman" w:hAnsi="Times New Roman" w:cs="Times New Roman" w:eastAsiaTheme="minorEastAsia"/>
        </w:rPr>
        <w:fldChar w:fldCharType="separate"/>
      </w:r>
      <w:r>
        <w:rPr>
          <w:rFonts w:hint="default" w:ascii="Times New Roman" w:hAnsi="Times New Roman" w:eastAsia="宋体" w:cs="Times New Roman"/>
          <w:szCs w:val="32"/>
        </w:rPr>
        <w:t xml:space="preserve">7.2 </w:t>
      </w:r>
      <w:r>
        <w:rPr>
          <w:rFonts w:hint="default" w:ascii="Times New Roman" w:hAnsi="Times New Roman" w:cs="Times New Roman"/>
        </w:rPr>
        <w:t>*投标函</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_Toc30601 \h </w:instrText>
      </w:r>
      <w:r>
        <w:rPr>
          <w:rFonts w:hint="default" w:ascii="Times New Roman" w:hAnsi="Times New Roman" w:cs="Times New Roman"/>
        </w:rPr>
        <w:fldChar w:fldCharType="separate"/>
      </w:r>
      <w:r>
        <w:rPr>
          <w:rFonts w:hint="default" w:ascii="Times New Roman" w:hAnsi="Times New Roman" w:cs="Times New Roman"/>
        </w:rPr>
        <w:t>169</w:t>
      </w:r>
      <w:r>
        <w:rPr>
          <w:rFonts w:hint="default" w:ascii="Times New Roman" w:hAnsi="Times New Roman" w:cs="Times New Roman"/>
        </w:rPr>
        <w:fldChar w:fldCharType="end"/>
      </w:r>
      <w:r>
        <w:rPr>
          <w:rFonts w:hint="default" w:ascii="Times New Roman" w:hAnsi="Times New Roman" w:cs="Times New Roman" w:eastAsiaTheme="minorEastAsia"/>
        </w:rPr>
        <w:fldChar w:fldCharType="end"/>
      </w:r>
    </w:p>
    <w:p>
      <w:pPr>
        <w:pStyle w:val="68"/>
        <w:tabs>
          <w:tab w:val="right" w:leader="dot" w:pos="8845"/>
          <w:tab w:val="clear" w:pos="840"/>
          <w:tab w:val="clear" w:pos="8835"/>
        </w:tabs>
        <w:rPr>
          <w:rFonts w:hint="default" w:ascii="Times New Roman" w:hAnsi="Times New Roman" w:cs="Times New Roman"/>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_Toc134 </w:instrText>
      </w:r>
      <w:r>
        <w:rPr>
          <w:rFonts w:hint="default" w:ascii="Times New Roman" w:hAnsi="Times New Roman" w:cs="Times New Roman" w:eastAsiaTheme="minorEastAsia"/>
        </w:rPr>
        <w:fldChar w:fldCharType="separate"/>
      </w:r>
      <w:r>
        <w:rPr>
          <w:rFonts w:hint="default" w:ascii="Times New Roman" w:hAnsi="Times New Roman" w:eastAsia="宋体" w:cs="Times New Roman"/>
          <w:szCs w:val="32"/>
        </w:rPr>
        <w:t xml:space="preserve">7.3 </w:t>
      </w:r>
      <w:r>
        <w:rPr>
          <w:rFonts w:hint="default" w:ascii="Times New Roman" w:hAnsi="Times New Roman" w:cs="Times New Roman"/>
        </w:rPr>
        <w:t>*法定代表人授权委托书</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_Toc134 \h </w:instrText>
      </w:r>
      <w:r>
        <w:rPr>
          <w:rFonts w:hint="default" w:ascii="Times New Roman" w:hAnsi="Times New Roman" w:cs="Times New Roman"/>
        </w:rPr>
        <w:fldChar w:fldCharType="separate"/>
      </w:r>
      <w:r>
        <w:rPr>
          <w:rFonts w:hint="default" w:ascii="Times New Roman" w:hAnsi="Times New Roman" w:cs="Times New Roman"/>
        </w:rPr>
        <w:t>171</w:t>
      </w:r>
      <w:r>
        <w:rPr>
          <w:rFonts w:hint="default" w:ascii="Times New Roman" w:hAnsi="Times New Roman" w:cs="Times New Roman"/>
        </w:rPr>
        <w:fldChar w:fldCharType="end"/>
      </w:r>
      <w:r>
        <w:rPr>
          <w:rFonts w:hint="default" w:ascii="Times New Roman" w:hAnsi="Times New Roman" w:cs="Times New Roman" w:eastAsiaTheme="minorEastAsia"/>
        </w:rPr>
        <w:fldChar w:fldCharType="end"/>
      </w:r>
    </w:p>
    <w:p>
      <w:pPr>
        <w:pStyle w:val="68"/>
        <w:tabs>
          <w:tab w:val="right" w:leader="dot" w:pos="8845"/>
          <w:tab w:val="clear" w:pos="840"/>
          <w:tab w:val="clear" w:pos="8835"/>
        </w:tabs>
        <w:rPr>
          <w:rFonts w:hint="default" w:ascii="Times New Roman" w:hAnsi="Times New Roman" w:cs="Times New Roman"/>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_Toc469 </w:instrText>
      </w:r>
      <w:r>
        <w:rPr>
          <w:rFonts w:hint="default" w:ascii="Times New Roman" w:hAnsi="Times New Roman" w:cs="Times New Roman" w:eastAsiaTheme="minorEastAsia"/>
        </w:rPr>
        <w:fldChar w:fldCharType="separate"/>
      </w:r>
      <w:r>
        <w:rPr>
          <w:rFonts w:hint="default" w:ascii="Times New Roman" w:hAnsi="Times New Roman" w:eastAsia="宋体" w:cs="Times New Roman"/>
          <w:szCs w:val="32"/>
        </w:rPr>
        <w:t xml:space="preserve">7.4 </w:t>
      </w:r>
      <w:r>
        <w:rPr>
          <w:rFonts w:hint="default" w:ascii="Times New Roman" w:hAnsi="Times New Roman" w:cs="Times New Roman"/>
        </w:rPr>
        <w:t>*投标人资质声明</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_Toc469 \h </w:instrText>
      </w:r>
      <w:r>
        <w:rPr>
          <w:rFonts w:hint="default" w:ascii="Times New Roman" w:hAnsi="Times New Roman" w:cs="Times New Roman"/>
        </w:rPr>
        <w:fldChar w:fldCharType="separate"/>
      </w:r>
      <w:r>
        <w:rPr>
          <w:rFonts w:hint="default" w:ascii="Times New Roman" w:hAnsi="Times New Roman" w:cs="Times New Roman"/>
        </w:rPr>
        <w:t>171</w:t>
      </w:r>
      <w:r>
        <w:rPr>
          <w:rFonts w:hint="default" w:ascii="Times New Roman" w:hAnsi="Times New Roman" w:cs="Times New Roman"/>
        </w:rPr>
        <w:fldChar w:fldCharType="end"/>
      </w:r>
      <w:r>
        <w:rPr>
          <w:rFonts w:hint="default" w:ascii="Times New Roman" w:hAnsi="Times New Roman" w:cs="Times New Roman" w:eastAsiaTheme="minorEastAsia"/>
        </w:rPr>
        <w:fldChar w:fldCharType="end"/>
      </w:r>
    </w:p>
    <w:p>
      <w:pPr>
        <w:pStyle w:val="68"/>
        <w:tabs>
          <w:tab w:val="right" w:leader="dot" w:pos="8845"/>
          <w:tab w:val="clear" w:pos="840"/>
          <w:tab w:val="clear" w:pos="8835"/>
        </w:tabs>
        <w:rPr>
          <w:rFonts w:hint="default" w:ascii="Times New Roman" w:hAnsi="Times New Roman" w:cs="Times New Roman"/>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_Toc11331 </w:instrText>
      </w:r>
      <w:r>
        <w:rPr>
          <w:rFonts w:hint="default" w:ascii="Times New Roman" w:hAnsi="Times New Roman" w:cs="Times New Roman" w:eastAsiaTheme="minorEastAsia"/>
        </w:rPr>
        <w:fldChar w:fldCharType="separate"/>
      </w:r>
      <w:r>
        <w:rPr>
          <w:rFonts w:hint="default" w:ascii="Times New Roman" w:hAnsi="Times New Roman" w:eastAsia="宋体" w:cs="Times New Roman"/>
          <w:szCs w:val="32"/>
        </w:rPr>
        <w:t xml:space="preserve">7.5 </w:t>
      </w:r>
      <w:r>
        <w:rPr>
          <w:rFonts w:hint="default" w:ascii="Times New Roman" w:hAnsi="Times New Roman" w:cs="Times New Roman"/>
        </w:rPr>
        <w:t>*企业法人营业执照/事业单位法人证书</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_Toc11331 \h </w:instrText>
      </w:r>
      <w:r>
        <w:rPr>
          <w:rFonts w:hint="default" w:ascii="Times New Roman" w:hAnsi="Times New Roman" w:cs="Times New Roman"/>
        </w:rPr>
        <w:fldChar w:fldCharType="separate"/>
      </w:r>
      <w:r>
        <w:rPr>
          <w:rFonts w:hint="default" w:ascii="Times New Roman" w:hAnsi="Times New Roman" w:cs="Times New Roman"/>
        </w:rPr>
        <w:t>172</w:t>
      </w:r>
      <w:r>
        <w:rPr>
          <w:rFonts w:hint="default" w:ascii="Times New Roman" w:hAnsi="Times New Roman" w:cs="Times New Roman"/>
        </w:rPr>
        <w:fldChar w:fldCharType="end"/>
      </w:r>
      <w:r>
        <w:rPr>
          <w:rFonts w:hint="default" w:ascii="Times New Roman" w:hAnsi="Times New Roman" w:cs="Times New Roman" w:eastAsiaTheme="minorEastAsia"/>
        </w:rPr>
        <w:fldChar w:fldCharType="end"/>
      </w:r>
    </w:p>
    <w:p>
      <w:pPr>
        <w:pStyle w:val="68"/>
        <w:tabs>
          <w:tab w:val="right" w:leader="dot" w:pos="8845"/>
          <w:tab w:val="clear" w:pos="840"/>
          <w:tab w:val="clear" w:pos="8835"/>
        </w:tabs>
        <w:rPr>
          <w:rFonts w:hint="default" w:ascii="Times New Roman" w:hAnsi="Times New Roman" w:cs="Times New Roman"/>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_Toc22615 </w:instrText>
      </w:r>
      <w:r>
        <w:rPr>
          <w:rFonts w:hint="default" w:ascii="Times New Roman" w:hAnsi="Times New Roman" w:cs="Times New Roman" w:eastAsiaTheme="minorEastAsia"/>
        </w:rPr>
        <w:fldChar w:fldCharType="separate"/>
      </w:r>
      <w:r>
        <w:rPr>
          <w:rFonts w:hint="default" w:ascii="Times New Roman" w:hAnsi="Times New Roman" w:eastAsia="宋体" w:cs="Times New Roman"/>
          <w:szCs w:val="32"/>
        </w:rPr>
        <w:t xml:space="preserve">7.6 </w:t>
      </w:r>
      <w:r>
        <w:rPr>
          <w:rFonts w:hint="default" w:ascii="Times New Roman" w:hAnsi="Times New Roman" w:cs="Times New Roman"/>
        </w:rPr>
        <w:t>*纳税证明</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_Toc22615 \h </w:instrText>
      </w:r>
      <w:r>
        <w:rPr>
          <w:rFonts w:hint="default" w:ascii="Times New Roman" w:hAnsi="Times New Roman" w:cs="Times New Roman"/>
        </w:rPr>
        <w:fldChar w:fldCharType="separate"/>
      </w:r>
      <w:r>
        <w:rPr>
          <w:rFonts w:hint="default" w:ascii="Times New Roman" w:hAnsi="Times New Roman" w:cs="Times New Roman"/>
        </w:rPr>
        <w:t>172</w:t>
      </w:r>
      <w:r>
        <w:rPr>
          <w:rFonts w:hint="default" w:ascii="Times New Roman" w:hAnsi="Times New Roman" w:cs="Times New Roman"/>
        </w:rPr>
        <w:fldChar w:fldCharType="end"/>
      </w:r>
      <w:r>
        <w:rPr>
          <w:rFonts w:hint="default" w:ascii="Times New Roman" w:hAnsi="Times New Roman" w:cs="Times New Roman" w:eastAsiaTheme="minorEastAsia"/>
        </w:rPr>
        <w:fldChar w:fldCharType="end"/>
      </w:r>
    </w:p>
    <w:p>
      <w:pPr>
        <w:pStyle w:val="68"/>
        <w:tabs>
          <w:tab w:val="right" w:leader="dot" w:pos="8845"/>
          <w:tab w:val="clear" w:pos="840"/>
          <w:tab w:val="clear" w:pos="8835"/>
        </w:tabs>
        <w:rPr>
          <w:rFonts w:hint="default" w:ascii="Times New Roman" w:hAnsi="Times New Roman" w:cs="Times New Roman"/>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_Toc28334 </w:instrText>
      </w:r>
      <w:r>
        <w:rPr>
          <w:rFonts w:hint="default" w:ascii="Times New Roman" w:hAnsi="Times New Roman" w:cs="Times New Roman" w:eastAsiaTheme="minorEastAsia"/>
        </w:rPr>
        <w:fldChar w:fldCharType="separate"/>
      </w:r>
      <w:r>
        <w:rPr>
          <w:rFonts w:hint="default" w:ascii="Times New Roman" w:hAnsi="Times New Roman" w:eastAsia="宋体" w:cs="Times New Roman"/>
          <w:szCs w:val="32"/>
        </w:rPr>
        <w:t xml:space="preserve">7.7 </w:t>
      </w:r>
      <w:r>
        <w:rPr>
          <w:rFonts w:hint="default" w:ascii="Times New Roman" w:hAnsi="Times New Roman" w:cs="Times New Roman"/>
        </w:rPr>
        <w:t>*社保缴费记录</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_Toc28334 \h </w:instrText>
      </w:r>
      <w:r>
        <w:rPr>
          <w:rFonts w:hint="default" w:ascii="Times New Roman" w:hAnsi="Times New Roman" w:cs="Times New Roman"/>
        </w:rPr>
        <w:fldChar w:fldCharType="separate"/>
      </w:r>
      <w:r>
        <w:rPr>
          <w:rFonts w:hint="default" w:ascii="Times New Roman" w:hAnsi="Times New Roman" w:cs="Times New Roman"/>
        </w:rPr>
        <w:t>172</w:t>
      </w:r>
      <w:r>
        <w:rPr>
          <w:rFonts w:hint="default" w:ascii="Times New Roman" w:hAnsi="Times New Roman" w:cs="Times New Roman"/>
        </w:rPr>
        <w:fldChar w:fldCharType="end"/>
      </w:r>
      <w:r>
        <w:rPr>
          <w:rFonts w:hint="default" w:ascii="Times New Roman" w:hAnsi="Times New Roman" w:cs="Times New Roman" w:eastAsiaTheme="minorEastAsia"/>
        </w:rPr>
        <w:fldChar w:fldCharType="end"/>
      </w:r>
    </w:p>
    <w:p>
      <w:pPr>
        <w:pStyle w:val="68"/>
        <w:tabs>
          <w:tab w:val="right" w:leader="dot" w:pos="8845"/>
          <w:tab w:val="clear" w:pos="840"/>
          <w:tab w:val="clear" w:pos="8835"/>
        </w:tabs>
        <w:rPr>
          <w:rFonts w:hint="default" w:ascii="Times New Roman" w:hAnsi="Times New Roman" w:cs="Times New Roman"/>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_Toc17892 </w:instrText>
      </w:r>
      <w:r>
        <w:rPr>
          <w:rFonts w:hint="default" w:ascii="Times New Roman" w:hAnsi="Times New Roman" w:cs="Times New Roman" w:eastAsiaTheme="minorEastAsia"/>
        </w:rPr>
        <w:fldChar w:fldCharType="separate"/>
      </w:r>
      <w:r>
        <w:rPr>
          <w:rFonts w:hint="default" w:ascii="Times New Roman" w:hAnsi="Times New Roman" w:eastAsia="宋体" w:cs="Times New Roman"/>
          <w:szCs w:val="32"/>
        </w:rPr>
        <w:t xml:space="preserve">7.8 </w:t>
      </w:r>
      <w:r>
        <w:rPr>
          <w:rFonts w:hint="default" w:ascii="Times New Roman" w:hAnsi="Times New Roman" w:cs="Times New Roman"/>
        </w:rPr>
        <w:t>*企业审计报告</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_Toc17892 \h </w:instrText>
      </w:r>
      <w:r>
        <w:rPr>
          <w:rFonts w:hint="default" w:ascii="Times New Roman" w:hAnsi="Times New Roman" w:cs="Times New Roman"/>
        </w:rPr>
        <w:fldChar w:fldCharType="separate"/>
      </w:r>
      <w:r>
        <w:rPr>
          <w:rFonts w:hint="default" w:ascii="Times New Roman" w:hAnsi="Times New Roman" w:cs="Times New Roman"/>
        </w:rPr>
        <w:t>172</w:t>
      </w:r>
      <w:r>
        <w:rPr>
          <w:rFonts w:hint="default" w:ascii="Times New Roman" w:hAnsi="Times New Roman" w:cs="Times New Roman"/>
        </w:rPr>
        <w:fldChar w:fldCharType="end"/>
      </w:r>
      <w:r>
        <w:rPr>
          <w:rFonts w:hint="default" w:ascii="Times New Roman" w:hAnsi="Times New Roman" w:cs="Times New Roman" w:eastAsiaTheme="minorEastAsia"/>
        </w:rPr>
        <w:fldChar w:fldCharType="end"/>
      </w:r>
    </w:p>
    <w:p>
      <w:pPr>
        <w:pStyle w:val="68"/>
        <w:tabs>
          <w:tab w:val="right" w:leader="dot" w:pos="8845"/>
          <w:tab w:val="clear" w:pos="840"/>
          <w:tab w:val="clear" w:pos="8835"/>
        </w:tabs>
        <w:rPr>
          <w:rFonts w:hint="default" w:ascii="Times New Roman" w:hAnsi="Times New Roman" w:cs="Times New Roman"/>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_Toc29633 </w:instrText>
      </w:r>
      <w:r>
        <w:rPr>
          <w:rFonts w:hint="default" w:ascii="Times New Roman" w:hAnsi="Times New Roman" w:cs="Times New Roman" w:eastAsiaTheme="minorEastAsia"/>
        </w:rPr>
        <w:fldChar w:fldCharType="separate"/>
      </w:r>
      <w:r>
        <w:rPr>
          <w:rFonts w:hint="default" w:ascii="Times New Roman" w:hAnsi="Times New Roman" w:eastAsia="宋体" w:cs="Times New Roman"/>
          <w:szCs w:val="32"/>
        </w:rPr>
        <w:t xml:space="preserve">7.9 </w:t>
      </w:r>
      <w:r>
        <w:rPr>
          <w:rFonts w:hint="default" w:ascii="Times New Roman" w:hAnsi="Times New Roman" w:cs="Times New Roman"/>
          <w:highlight w:val="none"/>
          <w:lang w:val="en-US"/>
        </w:rPr>
        <w:t>*</w:t>
      </w:r>
      <w:r>
        <w:rPr>
          <w:rFonts w:hint="eastAsia" w:ascii="Times New Roman" w:hAnsi="Times New Roman" w:cs="Times New Roman"/>
          <w:highlight w:val="none"/>
          <w:lang w:val="en-US" w:eastAsia="zh-CN"/>
        </w:rPr>
        <w:t>中小企业文件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_Toc29633 \h </w:instrText>
      </w:r>
      <w:r>
        <w:rPr>
          <w:rFonts w:hint="default" w:ascii="Times New Roman" w:hAnsi="Times New Roman" w:cs="Times New Roman"/>
        </w:rPr>
        <w:fldChar w:fldCharType="separate"/>
      </w:r>
      <w:r>
        <w:rPr>
          <w:rFonts w:hint="default" w:ascii="Times New Roman" w:hAnsi="Times New Roman" w:cs="Times New Roman"/>
        </w:rPr>
        <w:t>172</w:t>
      </w:r>
      <w:r>
        <w:rPr>
          <w:rFonts w:hint="default" w:ascii="Times New Roman" w:hAnsi="Times New Roman" w:cs="Times New Roman"/>
        </w:rPr>
        <w:fldChar w:fldCharType="end"/>
      </w:r>
      <w:r>
        <w:rPr>
          <w:rFonts w:hint="default" w:ascii="Times New Roman" w:hAnsi="Times New Roman" w:cs="Times New Roman" w:eastAsiaTheme="minorEastAsia"/>
        </w:rPr>
        <w:fldChar w:fldCharType="end"/>
      </w:r>
    </w:p>
    <w:p>
      <w:pPr>
        <w:pStyle w:val="68"/>
        <w:tabs>
          <w:tab w:val="right" w:leader="dot" w:pos="8845"/>
          <w:tab w:val="clear" w:pos="840"/>
          <w:tab w:val="clear" w:pos="8835"/>
        </w:tabs>
        <w:rPr>
          <w:rFonts w:hint="default" w:ascii="Times New Roman" w:hAnsi="Times New Roman" w:cs="Times New Roman"/>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_Toc2332 </w:instrText>
      </w:r>
      <w:r>
        <w:rPr>
          <w:rFonts w:hint="default" w:ascii="Times New Roman" w:hAnsi="Times New Roman" w:cs="Times New Roman" w:eastAsiaTheme="minorEastAsia"/>
        </w:rPr>
        <w:fldChar w:fldCharType="separate"/>
      </w:r>
      <w:r>
        <w:rPr>
          <w:rFonts w:hint="default" w:ascii="Times New Roman" w:hAnsi="Times New Roman" w:eastAsia="宋体" w:cs="Times New Roman"/>
          <w:szCs w:val="32"/>
        </w:rPr>
        <w:t xml:space="preserve">7.10 </w:t>
      </w:r>
      <w:r>
        <w:rPr>
          <w:rFonts w:hint="default" w:ascii="Times New Roman" w:hAnsi="Times New Roman" w:cs="Times New Roman"/>
        </w:rPr>
        <w:t>*商务条款偏离表</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_Toc2332 \h </w:instrText>
      </w:r>
      <w:r>
        <w:rPr>
          <w:rFonts w:hint="default" w:ascii="Times New Roman" w:hAnsi="Times New Roman" w:cs="Times New Roman"/>
        </w:rPr>
        <w:fldChar w:fldCharType="separate"/>
      </w:r>
      <w:r>
        <w:rPr>
          <w:rFonts w:hint="default" w:ascii="Times New Roman" w:hAnsi="Times New Roman" w:cs="Times New Roman"/>
        </w:rPr>
        <w:t>172</w:t>
      </w:r>
      <w:r>
        <w:rPr>
          <w:rFonts w:hint="default" w:ascii="Times New Roman" w:hAnsi="Times New Roman" w:cs="Times New Roman"/>
        </w:rPr>
        <w:fldChar w:fldCharType="end"/>
      </w:r>
      <w:r>
        <w:rPr>
          <w:rFonts w:hint="default" w:ascii="Times New Roman" w:hAnsi="Times New Roman" w:cs="Times New Roman" w:eastAsiaTheme="minorEastAsia"/>
        </w:rPr>
        <w:fldChar w:fldCharType="end"/>
      </w:r>
    </w:p>
    <w:p>
      <w:pPr>
        <w:pStyle w:val="68"/>
        <w:tabs>
          <w:tab w:val="right" w:leader="dot" w:pos="8845"/>
          <w:tab w:val="clear" w:pos="840"/>
          <w:tab w:val="clear" w:pos="8835"/>
        </w:tabs>
        <w:rPr>
          <w:rFonts w:hint="default" w:ascii="Times New Roman" w:hAnsi="Times New Roman" w:cs="Times New Roman"/>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_Toc32744 </w:instrText>
      </w:r>
      <w:r>
        <w:rPr>
          <w:rFonts w:hint="default" w:ascii="Times New Roman" w:hAnsi="Times New Roman" w:cs="Times New Roman" w:eastAsiaTheme="minorEastAsia"/>
        </w:rPr>
        <w:fldChar w:fldCharType="separate"/>
      </w:r>
      <w:r>
        <w:rPr>
          <w:rFonts w:hint="default" w:ascii="Times New Roman" w:hAnsi="Times New Roman" w:eastAsia="宋体" w:cs="Times New Roman"/>
          <w:szCs w:val="32"/>
        </w:rPr>
        <w:t xml:space="preserve">7.11 </w:t>
      </w:r>
      <w:r>
        <w:rPr>
          <w:rFonts w:hint="default" w:ascii="Times New Roman" w:hAnsi="Times New Roman" w:cs="Times New Roman"/>
          <w:lang w:val="en-US"/>
        </w:rPr>
        <w:t>体系认证证书</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_Toc32744 \h </w:instrText>
      </w:r>
      <w:r>
        <w:rPr>
          <w:rFonts w:hint="default" w:ascii="Times New Roman" w:hAnsi="Times New Roman" w:cs="Times New Roman"/>
        </w:rPr>
        <w:fldChar w:fldCharType="separate"/>
      </w:r>
      <w:r>
        <w:rPr>
          <w:rFonts w:hint="default" w:ascii="Times New Roman" w:hAnsi="Times New Roman" w:cs="Times New Roman"/>
        </w:rPr>
        <w:t>173</w:t>
      </w:r>
      <w:r>
        <w:rPr>
          <w:rFonts w:hint="default" w:ascii="Times New Roman" w:hAnsi="Times New Roman" w:cs="Times New Roman"/>
        </w:rPr>
        <w:fldChar w:fldCharType="end"/>
      </w:r>
      <w:r>
        <w:rPr>
          <w:rFonts w:hint="default" w:ascii="Times New Roman" w:hAnsi="Times New Roman" w:cs="Times New Roman" w:eastAsiaTheme="minorEastAsia"/>
        </w:rPr>
        <w:fldChar w:fldCharType="end"/>
      </w:r>
    </w:p>
    <w:p>
      <w:pPr>
        <w:pStyle w:val="68"/>
        <w:tabs>
          <w:tab w:val="right" w:leader="dot" w:pos="8845"/>
          <w:tab w:val="clear" w:pos="840"/>
          <w:tab w:val="clear" w:pos="8835"/>
        </w:tabs>
        <w:rPr>
          <w:rFonts w:hint="default" w:ascii="Times New Roman" w:hAnsi="Times New Roman" w:cs="Times New Roman"/>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_Toc31710 </w:instrText>
      </w:r>
      <w:r>
        <w:rPr>
          <w:rFonts w:hint="default" w:ascii="Times New Roman" w:hAnsi="Times New Roman" w:cs="Times New Roman" w:eastAsiaTheme="minorEastAsia"/>
        </w:rPr>
        <w:fldChar w:fldCharType="separate"/>
      </w:r>
      <w:r>
        <w:rPr>
          <w:rFonts w:hint="default" w:ascii="Times New Roman" w:hAnsi="Times New Roman" w:eastAsia="宋体" w:cs="Times New Roman"/>
          <w:szCs w:val="32"/>
        </w:rPr>
        <w:t xml:space="preserve">7.12 </w:t>
      </w:r>
      <w:r>
        <w:rPr>
          <w:rFonts w:hint="default" w:ascii="Times New Roman" w:hAnsi="Times New Roman" w:cs="Times New Roman"/>
        </w:rPr>
        <w:t>中小企业声明函</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_Toc31710 \h </w:instrText>
      </w:r>
      <w:r>
        <w:rPr>
          <w:rFonts w:hint="default" w:ascii="Times New Roman" w:hAnsi="Times New Roman" w:cs="Times New Roman"/>
        </w:rPr>
        <w:fldChar w:fldCharType="separate"/>
      </w:r>
      <w:r>
        <w:rPr>
          <w:rFonts w:hint="default" w:ascii="Times New Roman" w:hAnsi="Times New Roman" w:cs="Times New Roman"/>
        </w:rPr>
        <w:t>173</w:t>
      </w:r>
      <w:r>
        <w:rPr>
          <w:rFonts w:hint="default" w:ascii="Times New Roman" w:hAnsi="Times New Roman" w:cs="Times New Roman"/>
        </w:rPr>
        <w:fldChar w:fldCharType="end"/>
      </w:r>
      <w:r>
        <w:rPr>
          <w:rFonts w:hint="default" w:ascii="Times New Roman" w:hAnsi="Times New Roman" w:cs="Times New Roman" w:eastAsiaTheme="minorEastAsia"/>
        </w:rPr>
        <w:fldChar w:fldCharType="end"/>
      </w:r>
    </w:p>
    <w:p>
      <w:pPr>
        <w:pStyle w:val="68"/>
        <w:tabs>
          <w:tab w:val="right" w:leader="dot" w:pos="8845"/>
          <w:tab w:val="clear" w:pos="840"/>
          <w:tab w:val="clear" w:pos="8835"/>
        </w:tabs>
        <w:rPr>
          <w:rFonts w:hint="default" w:ascii="Times New Roman" w:hAnsi="Times New Roman" w:cs="Times New Roman"/>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_Toc6174 </w:instrText>
      </w:r>
      <w:r>
        <w:rPr>
          <w:rFonts w:hint="default" w:ascii="Times New Roman" w:hAnsi="Times New Roman" w:cs="Times New Roman" w:eastAsiaTheme="minorEastAsia"/>
        </w:rPr>
        <w:fldChar w:fldCharType="separate"/>
      </w:r>
      <w:r>
        <w:rPr>
          <w:rFonts w:hint="default" w:ascii="Times New Roman" w:hAnsi="Times New Roman" w:eastAsia="宋体" w:cs="Times New Roman"/>
          <w:szCs w:val="32"/>
          <w:lang w:val="en-US"/>
        </w:rPr>
        <w:t xml:space="preserve">7.13 </w:t>
      </w:r>
      <w:r>
        <w:rPr>
          <w:rFonts w:hint="default" w:ascii="Times New Roman" w:hAnsi="Times New Roman" w:cs="Times New Roman"/>
          <w:lang w:val="en-US"/>
        </w:rPr>
        <w:t>残疾人福利性单位声明函</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_Toc6174 \h </w:instrText>
      </w:r>
      <w:r>
        <w:rPr>
          <w:rFonts w:hint="default" w:ascii="Times New Roman" w:hAnsi="Times New Roman" w:cs="Times New Roman"/>
        </w:rPr>
        <w:fldChar w:fldCharType="separate"/>
      </w:r>
      <w:r>
        <w:rPr>
          <w:rFonts w:hint="default" w:ascii="Times New Roman" w:hAnsi="Times New Roman" w:cs="Times New Roman"/>
        </w:rPr>
        <w:t>173</w:t>
      </w:r>
      <w:r>
        <w:rPr>
          <w:rFonts w:hint="default" w:ascii="Times New Roman" w:hAnsi="Times New Roman" w:cs="Times New Roman"/>
        </w:rPr>
        <w:fldChar w:fldCharType="end"/>
      </w:r>
      <w:r>
        <w:rPr>
          <w:rFonts w:hint="default" w:ascii="Times New Roman" w:hAnsi="Times New Roman" w:cs="Times New Roman" w:eastAsiaTheme="minorEastAsia"/>
        </w:rPr>
        <w:fldChar w:fldCharType="end"/>
      </w:r>
    </w:p>
    <w:p>
      <w:pPr>
        <w:pStyle w:val="68"/>
        <w:tabs>
          <w:tab w:val="right" w:leader="dot" w:pos="8845"/>
          <w:tab w:val="clear" w:pos="840"/>
          <w:tab w:val="clear" w:pos="8835"/>
        </w:tabs>
        <w:rPr>
          <w:rFonts w:hint="default" w:ascii="Times New Roman" w:hAnsi="Times New Roman" w:cs="Times New Roman"/>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_Toc16236 </w:instrText>
      </w:r>
      <w:r>
        <w:rPr>
          <w:rFonts w:hint="default" w:ascii="Times New Roman" w:hAnsi="Times New Roman" w:cs="Times New Roman" w:eastAsiaTheme="minorEastAsia"/>
        </w:rPr>
        <w:fldChar w:fldCharType="separate"/>
      </w:r>
      <w:r>
        <w:rPr>
          <w:rFonts w:hint="default" w:ascii="Times New Roman" w:hAnsi="Times New Roman" w:eastAsia="宋体" w:cs="Times New Roman"/>
          <w:szCs w:val="32"/>
        </w:rPr>
        <w:t xml:space="preserve">7.14 </w:t>
      </w:r>
      <w:r>
        <w:rPr>
          <w:rFonts w:hint="default" w:ascii="Times New Roman" w:hAnsi="Times New Roman" w:cs="Times New Roman"/>
        </w:rPr>
        <w:t>与评审相关的其他商务资料</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_Toc16236 \h </w:instrText>
      </w:r>
      <w:r>
        <w:rPr>
          <w:rFonts w:hint="default" w:ascii="Times New Roman" w:hAnsi="Times New Roman" w:cs="Times New Roman"/>
        </w:rPr>
        <w:fldChar w:fldCharType="separate"/>
      </w:r>
      <w:r>
        <w:rPr>
          <w:rFonts w:hint="default" w:ascii="Times New Roman" w:hAnsi="Times New Roman" w:cs="Times New Roman"/>
        </w:rPr>
        <w:t>174</w:t>
      </w:r>
      <w:r>
        <w:rPr>
          <w:rFonts w:hint="default" w:ascii="Times New Roman" w:hAnsi="Times New Roman" w:cs="Times New Roman"/>
        </w:rPr>
        <w:fldChar w:fldCharType="end"/>
      </w:r>
      <w:r>
        <w:rPr>
          <w:rFonts w:hint="default" w:ascii="Times New Roman" w:hAnsi="Times New Roman" w:cs="Times New Roman" w:eastAsiaTheme="minorEastAsia"/>
        </w:rPr>
        <w:fldChar w:fldCharType="end"/>
      </w:r>
    </w:p>
    <w:p>
      <w:pPr>
        <w:pStyle w:val="68"/>
        <w:tabs>
          <w:tab w:val="right" w:leader="dot" w:pos="8845"/>
          <w:tab w:val="clear" w:pos="840"/>
          <w:tab w:val="clear" w:pos="8835"/>
        </w:tabs>
        <w:rPr>
          <w:rFonts w:hint="default" w:ascii="Times New Roman" w:hAnsi="Times New Roman" w:cs="Times New Roman"/>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_Toc4099 </w:instrText>
      </w:r>
      <w:r>
        <w:rPr>
          <w:rFonts w:hint="default" w:ascii="Times New Roman" w:hAnsi="Times New Roman" w:cs="Times New Roman" w:eastAsiaTheme="minorEastAsia"/>
        </w:rPr>
        <w:fldChar w:fldCharType="separate"/>
      </w:r>
      <w:r>
        <w:rPr>
          <w:rFonts w:hint="default" w:ascii="Times New Roman" w:hAnsi="Times New Roman" w:eastAsia="宋体" w:cs="Times New Roman"/>
          <w:szCs w:val="32"/>
        </w:rPr>
        <w:t xml:space="preserve">7.15 </w:t>
      </w:r>
      <w:r>
        <w:rPr>
          <w:rFonts w:hint="default" w:ascii="Times New Roman" w:hAnsi="Times New Roman" w:cs="Times New Roman"/>
        </w:rPr>
        <w:t>*开标一览表</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_Toc4099 \h </w:instrText>
      </w:r>
      <w:r>
        <w:rPr>
          <w:rFonts w:hint="default" w:ascii="Times New Roman" w:hAnsi="Times New Roman" w:cs="Times New Roman"/>
        </w:rPr>
        <w:fldChar w:fldCharType="separate"/>
      </w:r>
      <w:r>
        <w:rPr>
          <w:rFonts w:hint="default" w:ascii="Times New Roman" w:hAnsi="Times New Roman" w:cs="Times New Roman"/>
        </w:rPr>
        <w:t>174</w:t>
      </w:r>
      <w:r>
        <w:rPr>
          <w:rFonts w:hint="default" w:ascii="Times New Roman" w:hAnsi="Times New Roman" w:cs="Times New Roman"/>
        </w:rPr>
        <w:fldChar w:fldCharType="end"/>
      </w:r>
      <w:r>
        <w:rPr>
          <w:rFonts w:hint="default" w:ascii="Times New Roman" w:hAnsi="Times New Roman" w:cs="Times New Roman" w:eastAsiaTheme="minorEastAsia"/>
        </w:rPr>
        <w:fldChar w:fldCharType="end"/>
      </w:r>
    </w:p>
    <w:p>
      <w:pPr>
        <w:pStyle w:val="68"/>
        <w:tabs>
          <w:tab w:val="right" w:leader="dot" w:pos="8845"/>
          <w:tab w:val="clear" w:pos="840"/>
          <w:tab w:val="clear" w:pos="8835"/>
        </w:tabs>
        <w:rPr>
          <w:rFonts w:hint="default" w:ascii="Times New Roman" w:hAnsi="Times New Roman" w:cs="Times New Roman"/>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_Toc23206 </w:instrText>
      </w:r>
      <w:r>
        <w:rPr>
          <w:rFonts w:hint="default" w:ascii="Times New Roman" w:hAnsi="Times New Roman" w:cs="Times New Roman" w:eastAsiaTheme="minorEastAsia"/>
        </w:rPr>
        <w:fldChar w:fldCharType="separate"/>
      </w:r>
      <w:r>
        <w:rPr>
          <w:rFonts w:hint="default" w:ascii="Times New Roman" w:hAnsi="Times New Roman" w:eastAsia="宋体" w:cs="Times New Roman"/>
          <w:szCs w:val="32"/>
        </w:rPr>
        <w:t xml:space="preserve">7.16 </w:t>
      </w:r>
      <w:r>
        <w:rPr>
          <w:rFonts w:hint="default" w:ascii="Times New Roman" w:hAnsi="Times New Roman" w:cs="Times New Roman"/>
        </w:rPr>
        <w:t>*投标货物技术规范偏离表</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_Toc23206 \h </w:instrText>
      </w:r>
      <w:r>
        <w:rPr>
          <w:rFonts w:hint="default" w:ascii="Times New Roman" w:hAnsi="Times New Roman" w:cs="Times New Roman"/>
        </w:rPr>
        <w:fldChar w:fldCharType="separate"/>
      </w:r>
      <w:r>
        <w:rPr>
          <w:rFonts w:hint="default" w:ascii="Times New Roman" w:hAnsi="Times New Roman" w:cs="Times New Roman"/>
        </w:rPr>
        <w:t>174</w:t>
      </w:r>
      <w:r>
        <w:rPr>
          <w:rFonts w:hint="default" w:ascii="Times New Roman" w:hAnsi="Times New Roman" w:cs="Times New Roman"/>
        </w:rPr>
        <w:fldChar w:fldCharType="end"/>
      </w:r>
      <w:r>
        <w:rPr>
          <w:rFonts w:hint="default" w:ascii="Times New Roman" w:hAnsi="Times New Roman" w:cs="Times New Roman" w:eastAsiaTheme="minorEastAsia"/>
        </w:rPr>
        <w:fldChar w:fldCharType="end"/>
      </w:r>
    </w:p>
    <w:p>
      <w:pPr>
        <w:pStyle w:val="68"/>
        <w:tabs>
          <w:tab w:val="right" w:leader="dot" w:pos="8845"/>
          <w:tab w:val="clear" w:pos="840"/>
          <w:tab w:val="clear" w:pos="8835"/>
        </w:tabs>
        <w:rPr>
          <w:rFonts w:hint="default" w:ascii="Times New Roman" w:hAnsi="Times New Roman" w:cs="Times New Roman"/>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_Toc21946 </w:instrText>
      </w:r>
      <w:r>
        <w:rPr>
          <w:rFonts w:hint="default" w:ascii="Times New Roman" w:hAnsi="Times New Roman" w:cs="Times New Roman" w:eastAsiaTheme="minorEastAsia"/>
        </w:rPr>
        <w:fldChar w:fldCharType="separate"/>
      </w:r>
      <w:r>
        <w:rPr>
          <w:rFonts w:hint="default" w:ascii="Times New Roman" w:hAnsi="Times New Roman" w:eastAsia="宋体" w:cs="Times New Roman"/>
          <w:szCs w:val="32"/>
        </w:rPr>
        <w:t xml:space="preserve">7.17 </w:t>
      </w:r>
      <w:r>
        <w:rPr>
          <w:rFonts w:hint="default" w:ascii="Times New Roman" w:hAnsi="Times New Roman" w:cs="Times New Roman"/>
        </w:rPr>
        <w:t>*投标人服务项目偏离表</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_Toc21946 \h </w:instrText>
      </w:r>
      <w:r>
        <w:rPr>
          <w:rFonts w:hint="default" w:ascii="Times New Roman" w:hAnsi="Times New Roman" w:cs="Times New Roman"/>
        </w:rPr>
        <w:fldChar w:fldCharType="separate"/>
      </w:r>
      <w:r>
        <w:rPr>
          <w:rFonts w:hint="default" w:ascii="Times New Roman" w:hAnsi="Times New Roman" w:cs="Times New Roman"/>
        </w:rPr>
        <w:t>175</w:t>
      </w:r>
      <w:r>
        <w:rPr>
          <w:rFonts w:hint="default" w:ascii="Times New Roman" w:hAnsi="Times New Roman" w:cs="Times New Roman"/>
        </w:rPr>
        <w:fldChar w:fldCharType="end"/>
      </w:r>
      <w:r>
        <w:rPr>
          <w:rFonts w:hint="default" w:ascii="Times New Roman" w:hAnsi="Times New Roman" w:cs="Times New Roman" w:eastAsiaTheme="minorEastAsia"/>
        </w:rPr>
        <w:fldChar w:fldCharType="end"/>
      </w:r>
    </w:p>
    <w:p>
      <w:pPr>
        <w:pStyle w:val="68"/>
        <w:tabs>
          <w:tab w:val="right" w:leader="dot" w:pos="8845"/>
          <w:tab w:val="clear" w:pos="840"/>
          <w:tab w:val="clear" w:pos="8835"/>
        </w:tabs>
        <w:rPr>
          <w:rFonts w:hint="default" w:ascii="Times New Roman" w:hAnsi="Times New Roman" w:cs="Times New Roman"/>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_Toc25334 </w:instrText>
      </w:r>
      <w:r>
        <w:rPr>
          <w:rFonts w:hint="default" w:ascii="Times New Roman" w:hAnsi="Times New Roman" w:cs="Times New Roman" w:eastAsiaTheme="minorEastAsia"/>
        </w:rPr>
        <w:fldChar w:fldCharType="separate"/>
      </w:r>
      <w:r>
        <w:rPr>
          <w:rFonts w:hint="default" w:ascii="Times New Roman" w:hAnsi="Times New Roman" w:eastAsia="宋体" w:cs="Times New Roman"/>
          <w:szCs w:val="32"/>
        </w:rPr>
        <w:t xml:space="preserve">7.18 </w:t>
      </w:r>
      <w:r>
        <w:rPr>
          <w:rFonts w:hint="default" w:ascii="Times New Roman" w:hAnsi="Times New Roman" w:cs="Times New Roman"/>
          <w:lang w:val="en-US"/>
        </w:rPr>
        <w:t>检验报告</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_Toc25334 \h </w:instrText>
      </w:r>
      <w:r>
        <w:rPr>
          <w:rFonts w:hint="default" w:ascii="Times New Roman" w:hAnsi="Times New Roman" w:cs="Times New Roman"/>
        </w:rPr>
        <w:fldChar w:fldCharType="separate"/>
      </w:r>
      <w:r>
        <w:rPr>
          <w:rFonts w:hint="default" w:ascii="Times New Roman" w:hAnsi="Times New Roman" w:cs="Times New Roman"/>
        </w:rPr>
        <w:t>175</w:t>
      </w:r>
      <w:r>
        <w:rPr>
          <w:rFonts w:hint="default" w:ascii="Times New Roman" w:hAnsi="Times New Roman" w:cs="Times New Roman"/>
        </w:rPr>
        <w:fldChar w:fldCharType="end"/>
      </w:r>
      <w:r>
        <w:rPr>
          <w:rFonts w:hint="default" w:ascii="Times New Roman" w:hAnsi="Times New Roman" w:cs="Times New Roman" w:eastAsiaTheme="minorEastAsia"/>
        </w:rPr>
        <w:fldChar w:fldCharType="end"/>
      </w:r>
    </w:p>
    <w:p>
      <w:pPr>
        <w:pStyle w:val="68"/>
        <w:tabs>
          <w:tab w:val="right" w:leader="dot" w:pos="8845"/>
          <w:tab w:val="clear" w:pos="840"/>
          <w:tab w:val="clear" w:pos="8835"/>
        </w:tabs>
        <w:rPr>
          <w:rFonts w:hint="default" w:ascii="Times New Roman" w:hAnsi="Times New Roman" w:cs="Times New Roman"/>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_Toc20871 </w:instrText>
      </w:r>
      <w:r>
        <w:rPr>
          <w:rFonts w:hint="default" w:ascii="Times New Roman" w:hAnsi="Times New Roman" w:cs="Times New Roman" w:eastAsiaTheme="minorEastAsia"/>
        </w:rPr>
        <w:fldChar w:fldCharType="separate"/>
      </w:r>
      <w:r>
        <w:rPr>
          <w:rFonts w:hint="default" w:ascii="Times New Roman" w:hAnsi="Times New Roman" w:eastAsia="宋体" w:cs="Times New Roman"/>
          <w:szCs w:val="32"/>
        </w:rPr>
        <w:t xml:space="preserve">7.19 </w:t>
      </w:r>
      <w:r>
        <w:rPr>
          <w:rFonts w:hint="default" w:ascii="Times New Roman" w:hAnsi="Times New Roman" w:cs="Times New Roman"/>
        </w:rPr>
        <w:t>服务要求</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_Toc20871 \h </w:instrText>
      </w:r>
      <w:r>
        <w:rPr>
          <w:rFonts w:hint="default" w:ascii="Times New Roman" w:hAnsi="Times New Roman" w:cs="Times New Roman"/>
        </w:rPr>
        <w:fldChar w:fldCharType="separate"/>
      </w:r>
      <w:r>
        <w:rPr>
          <w:rFonts w:hint="default" w:ascii="Times New Roman" w:hAnsi="Times New Roman" w:cs="Times New Roman"/>
        </w:rPr>
        <w:t>175</w:t>
      </w:r>
      <w:r>
        <w:rPr>
          <w:rFonts w:hint="default" w:ascii="Times New Roman" w:hAnsi="Times New Roman" w:cs="Times New Roman"/>
        </w:rPr>
        <w:fldChar w:fldCharType="end"/>
      </w:r>
      <w:r>
        <w:rPr>
          <w:rFonts w:hint="default" w:ascii="Times New Roman" w:hAnsi="Times New Roman" w:cs="Times New Roman" w:eastAsiaTheme="minorEastAsia"/>
        </w:rPr>
        <w:fldChar w:fldCharType="end"/>
      </w:r>
    </w:p>
    <w:p>
      <w:pPr>
        <w:pStyle w:val="68"/>
        <w:tabs>
          <w:tab w:val="right" w:leader="dot" w:pos="8845"/>
          <w:tab w:val="clear" w:pos="840"/>
          <w:tab w:val="clear" w:pos="8835"/>
        </w:tabs>
        <w:rPr>
          <w:rFonts w:hint="default" w:ascii="Times New Roman" w:hAnsi="Times New Roman" w:cs="Times New Roman"/>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_Toc19956 </w:instrText>
      </w:r>
      <w:r>
        <w:rPr>
          <w:rFonts w:hint="default" w:ascii="Times New Roman" w:hAnsi="Times New Roman" w:cs="Times New Roman" w:eastAsiaTheme="minorEastAsia"/>
        </w:rPr>
        <w:fldChar w:fldCharType="separate"/>
      </w:r>
      <w:r>
        <w:rPr>
          <w:rFonts w:hint="default" w:ascii="Times New Roman" w:hAnsi="Times New Roman" w:eastAsia="宋体" w:cs="Times New Roman"/>
          <w:szCs w:val="32"/>
        </w:rPr>
        <w:t xml:space="preserve">7.20 </w:t>
      </w:r>
      <w:r>
        <w:rPr>
          <w:rFonts w:hint="default" w:ascii="Times New Roman" w:hAnsi="Times New Roman" w:cs="Times New Roman"/>
        </w:rPr>
        <w:t>自行编写的技术文件</w:t>
      </w:r>
      <w:r>
        <w:rPr>
          <w:rFonts w:hint="default" w:ascii="Times New Roman" w:hAnsi="Times New Roman" w:cs="Times New Roman"/>
          <w:szCs w:val="24"/>
          <w:lang w:val="en-US"/>
        </w:rPr>
        <w:t>（加盖投标人公章）</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_Toc19956 \h </w:instrText>
      </w:r>
      <w:r>
        <w:rPr>
          <w:rFonts w:hint="default" w:ascii="Times New Roman" w:hAnsi="Times New Roman" w:cs="Times New Roman"/>
        </w:rPr>
        <w:fldChar w:fldCharType="separate"/>
      </w:r>
      <w:r>
        <w:rPr>
          <w:rFonts w:hint="default" w:ascii="Times New Roman" w:hAnsi="Times New Roman" w:cs="Times New Roman"/>
        </w:rPr>
        <w:t>175</w:t>
      </w:r>
      <w:r>
        <w:rPr>
          <w:rFonts w:hint="default" w:ascii="Times New Roman" w:hAnsi="Times New Roman" w:cs="Times New Roman"/>
        </w:rPr>
        <w:fldChar w:fldCharType="end"/>
      </w:r>
      <w:r>
        <w:rPr>
          <w:rFonts w:hint="default" w:ascii="Times New Roman" w:hAnsi="Times New Roman" w:cs="Times New Roman" w:eastAsiaTheme="minorEastAsia"/>
        </w:rPr>
        <w:fldChar w:fldCharType="end"/>
      </w:r>
    </w:p>
    <w:p>
      <w:pPr>
        <w:pStyle w:val="68"/>
        <w:tabs>
          <w:tab w:val="right" w:leader="dot" w:pos="8845"/>
          <w:tab w:val="clear" w:pos="840"/>
          <w:tab w:val="clear" w:pos="8835"/>
        </w:tabs>
        <w:rPr>
          <w:rFonts w:hint="default" w:ascii="Times New Roman" w:hAnsi="Times New Roman" w:cs="Times New Roman"/>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_Toc8068 </w:instrText>
      </w:r>
      <w:r>
        <w:rPr>
          <w:rFonts w:hint="default" w:ascii="Times New Roman" w:hAnsi="Times New Roman" w:cs="Times New Roman" w:eastAsiaTheme="minorEastAsia"/>
        </w:rPr>
        <w:fldChar w:fldCharType="separate"/>
      </w:r>
      <w:r>
        <w:rPr>
          <w:rFonts w:hint="default" w:ascii="Times New Roman" w:hAnsi="Times New Roman" w:eastAsia="宋体" w:cs="Times New Roman"/>
          <w:szCs w:val="32"/>
        </w:rPr>
        <w:t xml:space="preserve">7.21 </w:t>
      </w:r>
      <w:r>
        <w:rPr>
          <w:rFonts w:hint="default" w:ascii="Times New Roman" w:hAnsi="Times New Roman" w:cs="Times New Roman"/>
        </w:rPr>
        <w:t>与评审相关的其他技术文件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_Toc8068 \h </w:instrText>
      </w:r>
      <w:r>
        <w:rPr>
          <w:rFonts w:hint="default" w:ascii="Times New Roman" w:hAnsi="Times New Roman" w:cs="Times New Roman"/>
        </w:rPr>
        <w:fldChar w:fldCharType="separate"/>
      </w:r>
      <w:r>
        <w:rPr>
          <w:rFonts w:hint="default" w:ascii="Times New Roman" w:hAnsi="Times New Roman" w:cs="Times New Roman"/>
        </w:rPr>
        <w:t>176</w:t>
      </w:r>
      <w:r>
        <w:rPr>
          <w:rFonts w:hint="default" w:ascii="Times New Roman" w:hAnsi="Times New Roman" w:cs="Times New Roman"/>
        </w:rPr>
        <w:fldChar w:fldCharType="end"/>
      </w:r>
      <w:r>
        <w:rPr>
          <w:rFonts w:hint="default" w:ascii="Times New Roman" w:hAnsi="Times New Roman" w:cs="Times New Roman" w:eastAsiaTheme="minorEastAsia"/>
        </w:rPr>
        <w:fldChar w:fldCharType="end"/>
      </w:r>
    </w:p>
    <w:p>
      <w:pPr>
        <w:pStyle w:val="54"/>
        <w:tabs>
          <w:tab w:val="right" w:leader="dot" w:pos="8845"/>
          <w:tab w:val="clear" w:pos="420"/>
          <w:tab w:val="clear" w:pos="8835"/>
        </w:tabs>
        <w:rPr>
          <w:rFonts w:hint="default" w:ascii="Times New Roman" w:hAnsi="Times New Roman" w:cs="Times New Roman"/>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_Toc23531 </w:instrText>
      </w:r>
      <w:r>
        <w:rPr>
          <w:rFonts w:hint="default" w:ascii="Times New Roman" w:hAnsi="Times New Roman" w:cs="Times New Roman" w:eastAsiaTheme="minorEastAsia"/>
        </w:rPr>
        <w:fldChar w:fldCharType="separate"/>
      </w:r>
      <w:r>
        <w:rPr>
          <w:rFonts w:hint="default" w:ascii="Times New Roman" w:hAnsi="Times New Roman" w:cs="Times New Roman"/>
        </w:rPr>
        <w:t>8 附件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_Toc23531 \h </w:instrText>
      </w:r>
      <w:r>
        <w:rPr>
          <w:rFonts w:hint="default" w:ascii="Times New Roman" w:hAnsi="Times New Roman" w:cs="Times New Roman"/>
        </w:rPr>
        <w:fldChar w:fldCharType="separate"/>
      </w:r>
      <w:r>
        <w:rPr>
          <w:rFonts w:hint="default" w:ascii="Times New Roman" w:hAnsi="Times New Roman" w:cs="Times New Roman"/>
        </w:rPr>
        <w:t>177</w:t>
      </w:r>
      <w:r>
        <w:rPr>
          <w:rFonts w:hint="default" w:ascii="Times New Roman" w:hAnsi="Times New Roman" w:cs="Times New Roman"/>
        </w:rPr>
        <w:fldChar w:fldCharType="end"/>
      </w:r>
      <w:r>
        <w:rPr>
          <w:rFonts w:hint="default" w:ascii="Times New Roman" w:hAnsi="Times New Roman" w:cs="Times New Roman" w:eastAsiaTheme="minorEastAsia"/>
        </w:rPr>
        <w:fldChar w:fldCharType="end"/>
      </w:r>
    </w:p>
    <w:p>
      <w:pPr>
        <w:pStyle w:val="68"/>
        <w:tabs>
          <w:tab w:val="right" w:leader="dot" w:pos="8845"/>
          <w:tab w:val="clear" w:pos="840"/>
          <w:tab w:val="clear" w:pos="8835"/>
        </w:tabs>
        <w:rPr>
          <w:rFonts w:hint="default" w:ascii="Times New Roman" w:hAnsi="Times New Roman" w:cs="Times New Roman"/>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_Toc7090 </w:instrText>
      </w:r>
      <w:r>
        <w:rPr>
          <w:rFonts w:hint="default" w:ascii="Times New Roman" w:hAnsi="Times New Roman" w:cs="Times New Roman" w:eastAsiaTheme="minorEastAsia"/>
        </w:rPr>
        <w:fldChar w:fldCharType="separate"/>
      </w:r>
      <w:r>
        <w:rPr>
          <w:rFonts w:hint="default" w:ascii="Times New Roman" w:hAnsi="Times New Roman" w:eastAsia="宋体" w:cs="Times New Roman"/>
          <w:szCs w:val="32"/>
        </w:rPr>
        <w:t xml:space="preserve">8.1 </w:t>
      </w:r>
      <w:r>
        <w:rPr>
          <w:rFonts w:hint="default" w:ascii="Times New Roman" w:hAnsi="Times New Roman" w:cs="Times New Roman"/>
          <w:lang w:val="en-US"/>
        </w:rPr>
        <w:t>报名</w:t>
      </w:r>
      <w:r>
        <w:rPr>
          <w:rFonts w:hint="default" w:ascii="Times New Roman" w:hAnsi="Times New Roman" w:cs="Times New Roman"/>
        </w:rPr>
        <w:t>函</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_Toc7090 \h </w:instrText>
      </w:r>
      <w:r>
        <w:rPr>
          <w:rFonts w:hint="default" w:ascii="Times New Roman" w:hAnsi="Times New Roman" w:cs="Times New Roman"/>
        </w:rPr>
        <w:fldChar w:fldCharType="separate"/>
      </w:r>
      <w:r>
        <w:rPr>
          <w:rFonts w:hint="default" w:ascii="Times New Roman" w:hAnsi="Times New Roman" w:cs="Times New Roman"/>
        </w:rPr>
        <w:t>177</w:t>
      </w:r>
      <w:r>
        <w:rPr>
          <w:rFonts w:hint="default" w:ascii="Times New Roman" w:hAnsi="Times New Roman" w:cs="Times New Roman"/>
        </w:rPr>
        <w:fldChar w:fldCharType="end"/>
      </w:r>
      <w:r>
        <w:rPr>
          <w:rFonts w:hint="default" w:ascii="Times New Roman" w:hAnsi="Times New Roman" w:cs="Times New Roman" w:eastAsiaTheme="minorEastAsia"/>
        </w:rPr>
        <w:fldChar w:fldCharType="end"/>
      </w:r>
    </w:p>
    <w:p>
      <w:pPr>
        <w:pStyle w:val="68"/>
        <w:tabs>
          <w:tab w:val="right" w:leader="dot" w:pos="8845"/>
          <w:tab w:val="clear" w:pos="840"/>
          <w:tab w:val="clear" w:pos="8835"/>
        </w:tabs>
        <w:rPr>
          <w:rFonts w:hint="default" w:ascii="Times New Roman" w:hAnsi="Times New Roman" w:cs="Times New Roman"/>
        </w:rPr>
      </w:pPr>
      <w:r>
        <w:rPr>
          <w:rFonts w:hint="default" w:ascii="Times New Roman" w:hAnsi="Times New Roman" w:cs="Times New Roman" w:eastAsiaTheme="minorEastAsia"/>
        </w:rPr>
        <w:fldChar w:fldCharType="begin"/>
      </w:r>
      <w:r>
        <w:rPr>
          <w:rFonts w:hint="default" w:ascii="Times New Roman" w:hAnsi="Times New Roman" w:cs="Times New Roman" w:eastAsiaTheme="minorEastAsia"/>
        </w:rPr>
        <w:instrText xml:space="preserve"> HYPERLINK \l _Toc16072 </w:instrText>
      </w:r>
      <w:r>
        <w:rPr>
          <w:rFonts w:hint="default" w:ascii="Times New Roman" w:hAnsi="Times New Roman" w:cs="Times New Roman" w:eastAsiaTheme="minorEastAsia"/>
        </w:rPr>
        <w:fldChar w:fldCharType="separate"/>
      </w:r>
      <w:r>
        <w:rPr>
          <w:rFonts w:hint="default" w:ascii="Times New Roman" w:hAnsi="Times New Roman" w:eastAsia="宋体" w:cs="Times New Roman"/>
          <w:szCs w:val="32"/>
        </w:rPr>
        <w:t xml:space="preserve">8.2 </w:t>
      </w:r>
      <w:r>
        <w:rPr>
          <w:rFonts w:hint="default" w:ascii="Times New Roman" w:hAnsi="Times New Roman" w:cs="Times New Roman"/>
        </w:rPr>
        <w:t>质疑函</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_Toc16072 \h </w:instrText>
      </w:r>
      <w:r>
        <w:rPr>
          <w:rFonts w:hint="default" w:ascii="Times New Roman" w:hAnsi="Times New Roman" w:cs="Times New Roman"/>
        </w:rPr>
        <w:fldChar w:fldCharType="separate"/>
      </w:r>
      <w:r>
        <w:rPr>
          <w:rFonts w:hint="default" w:ascii="Times New Roman" w:hAnsi="Times New Roman" w:cs="Times New Roman"/>
        </w:rPr>
        <w:t>178</w:t>
      </w:r>
      <w:r>
        <w:rPr>
          <w:rFonts w:hint="default" w:ascii="Times New Roman" w:hAnsi="Times New Roman" w:cs="Times New Roman"/>
        </w:rPr>
        <w:fldChar w:fldCharType="end"/>
      </w:r>
      <w:r>
        <w:rPr>
          <w:rFonts w:hint="default" w:ascii="Times New Roman" w:hAnsi="Times New Roman" w:cs="Times New Roman" w:eastAsiaTheme="minorEastAsia"/>
        </w:rPr>
        <w:fldChar w:fldCharType="end"/>
      </w:r>
    </w:p>
    <w:p>
      <w:pPr>
        <w:pStyle w:val="68"/>
        <w:tabs>
          <w:tab w:val="clear" w:pos="840"/>
        </w:tabs>
        <w:spacing w:line="360" w:lineRule="auto"/>
        <w:ind w:left="420"/>
        <w:rPr>
          <w:rFonts w:ascii="Times New Roman" w:hAnsi="Times New Roman"/>
        </w:rPr>
        <w:sectPr>
          <w:headerReference r:id="rId4" w:type="default"/>
          <w:footerReference r:id="rId5" w:type="default"/>
          <w:pgSz w:w="11907" w:h="16839"/>
          <w:pgMar w:top="1928" w:right="1531" w:bottom="1871" w:left="1531" w:header="1145" w:footer="709" w:gutter="0"/>
          <w:pgNumType w:start="1"/>
          <w:cols w:space="720" w:num="1"/>
          <w:docGrid w:linePitch="360" w:charSpace="0"/>
        </w:sectPr>
      </w:pPr>
      <w:r>
        <w:rPr>
          <w:rFonts w:hint="default" w:ascii="Times New Roman" w:hAnsi="Times New Roman" w:cs="Times New Roman" w:eastAsiaTheme="minorEastAsia"/>
        </w:rPr>
        <w:fldChar w:fldCharType="end"/>
      </w:r>
    </w:p>
    <w:bookmarkEnd w:id="0"/>
    <w:p>
      <w:pPr>
        <w:pStyle w:val="2"/>
        <w:rPr>
          <w:color w:val="auto"/>
        </w:rPr>
      </w:pPr>
      <w:bookmarkStart w:id="2" w:name="_Toc3501"/>
      <w:bookmarkStart w:id="3" w:name="_Toc16263"/>
      <w:bookmarkStart w:id="4" w:name="_Toc18752"/>
      <w:bookmarkStart w:id="5" w:name="_Toc8778"/>
      <w:bookmarkStart w:id="6" w:name="_Toc16531104"/>
      <w:bookmarkStart w:id="7" w:name="_Toc16531330"/>
      <w:bookmarkStart w:id="8" w:name="_Toc27744"/>
      <w:bookmarkStart w:id="9" w:name="_Toc6208"/>
      <w:bookmarkStart w:id="10" w:name="_Toc26625"/>
      <w:bookmarkStart w:id="11" w:name="_Toc16531105"/>
      <w:bookmarkStart w:id="12" w:name="_Toc16531331"/>
      <w:bookmarkStart w:id="13" w:name="_Toc8290"/>
      <w:bookmarkStart w:id="14" w:name="_Toc17717"/>
      <w:r>
        <w:rPr>
          <w:color w:val="auto"/>
        </w:rPr>
        <w:t>投标邀请</w:t>
      </w:r>
      <w:bookmarkEnd w:id="2"/>
      <w:bookmarkEnd w:id="3"/>
      <w:bookmarkEnd w:id="4"/>
      <w:bookmarkEnd w:id="5"/>
      <w:bookmarkEnd w:id="6"/>
      <w:bookmarkEnd w:id="7"/>
      <w:bookmarkEnd w:id="8"/>
      <w:bookmarkEnd w:id="9"/>
    </w:p>
    <w:p>
      <w:pPr>
        <w:rPr>
          <w:rFonts w:ascii="Times New Roman" w:hAnsi="Times New Roman" w:eastAsia="宋体"/>
        </w:rPr>
      </w:pPr>
    </w:p>
    <w:p>
      <w:pPr>
        <w:pStyle w:val="249"/>
        <w:rPr>
          <w:rFonts w:ascii="Times New Roman" w:hAnsi="Times New Roman"/>
        </w:rPr>
      </w:pPr>
      <w:r>
        <w:rPr>
          <w:rFonts w:ascii="Times New Roman" w:hAnsi="Times New Roman"/>
        </w:rPr>
        <w:t>公安部警用装备采购中心（以下或简称</w:t>
      </w:r>
      <w:r>
        <w:rPr>
          <w:rFonts w:hint="eastAsia" w:ascii="Times New Roman" w:hAnsi="Times New Roman"/>
        </w:rPr>
        <w:t>“</w:t>
      </w:r>
      <w:r>
        <w:rPr>
          <w:rFonts w:ascii="Times New Roman" w:hAnsi="Times New Roman"/>
        </w:rPr>
        <w:t>警采中心</w:t>
      </w:r>
      <w:r>
        <w:rPr>
          <w:rFonts w:hint="eastAsia" w:ascii="Times New Roman" w:hAnsi="Times New Roman"/>
        </w:rPr>
        <w:t>”</w:t>
      </w:r>
      <w:r>
        <w:rPr>
          <w:rFonts w:ascii="Times New Roman" w:hAnsi="Times New Roman"/>
        </w:rPr>
        <w:t>）就本次采购项目的相关货物和服务进行国内公开招标</w:t>
      </w:r>
      <w:r>
        <w:t>，</w:t>
      </w:r>
      <w:r>
        <w:rPr>
          <w:rFonts w:ascii="Times New Roman" w:hAnsi="Times New Roman"/>
        </w:rPr>
        <w:t>邀请合格投标人进行投标。</w:t>
      </w:r>
    </w:p>
    <w:p>
      <w:pPr>
        <w:widowControl w:val="0"/>
        <w:numPr>
          <w:ilvl w:val="1"/>
          <w:numId w:val="12"/>
        </w:numPr>
        <w:tabs>
          <w:tab w:val="left" w:pos="0"/>
        </w:tabs>
        <w:ind w:left="1021"/>
        <w:rPr>
          <w:rFonts w:ascii="Times New Roman" w:hAnsi="Times New Roman" w:eastAsia="宋体"/>
          <w:b/>
          <w:szCs w:val="21"/>
          <w:lang w:val="en-US"/>
        </w:rPr>
      </w:pPr>
      <w:r>
        <w:rPr>
          <w:rFonts w:ascii="Times New Roman" w:hAnsi="Times New Roman" w:eastAsia="宋体"/>
          <w:b/>
          <w:szCs w:val="21"/>
        </w:rPr>
        <w:t>项目编号：</w:t>
      </w:r>
      <w:r>
        <w:rPr>
          <w:rFonts w:hint="eastAsia" w:ascii="Times New Roman" w:hAnsi="Times New Roman" w:eastAsia="宋体"/>
          <w:bCs/>
          <w:szCs w:val="21"/>
          <w:u w:val="single"/>
        </w:rPr>
        <w:t>JC-HG20240</w:t>
      </w:r>
      <w:r>
        <w:rPr>
          <w:rFonts w:hint="eastAsia" w:ascii="Times New Roman" w:hAnsi="Times New Roman" w:eastAsia="宋体"/>
          <w:bCs/>
          <w:szCs w:val="21"/>
          <w:u w:val="single"/>
          <w:lang w:val="en-US" w:eastAsia="zh-CN"/>
        </w:rPr>
        <w:t>105</w:t>
      </w:r>
    </w:p>
    <w:p>
      <w:pPr>
        <w:numPr>
          <w:ilvl w:val="1"/>
          <w:numId w:val="12"/>
        </w:numPr>
        <w:tabs>
          <w:tab w:val="left" w:pos="0"/>
        </w:tabs>
        <w:ind w:left="1021"/>
        <w:rPr>
          <w:rFonts w:ascii="Times New Roman" w:hAnsi="Times New Roman" w:eastAsia="宋体"/>
          <w:b/>
          <w:szCs w:val="21"/>
          <w:u w:val="single"/>
        </w:rPr>
      </w:pPr>
      <w:r>
        <w:rPr>
          <w:rFonts w:ascii="Times New Roman" w:hAnsi="Times New Roman" w:eastAsia="宋体"/>
          <w:b/>
          <w:szCs w:val="21"/>
        </w:rPr>
        <w:t>项目名称：</w:t>
      </w:r>
      <w:r>
        <w:rPr>
          <w:rFonts w:hint="eastAsia" w:ascii="Times New Roman" w:hAnsi="Times New Roman" w:eastAsia="宋体"/>
          <w:bCs/>
          <w:szCs w:val="21"/>
          <w:u w:val="single"/>
          <w:lang w:val="en-US"/>
        </w:rPr>
        <w:t>海关缉私实验室设备更新项目</w:t>
      </w:r>
    </w:p>
    <w:p>
      <w:pPr>
        <w:numPr>
          <w:ilvl w:val="1"/>
          <w:numId w:val="12"/>
        </w:numPr>
        <w:tabs>
          <w:tab w:val="left" w:pos="0"/>
        </w:tabs>
        <w:ind w:left="1021"/>
        <w:rPr>
          <w:rFonts w:ascii="Times New Roman" w:hAnsi="Times New Roman" w:eastAsia="宋体"/>
          <w:b/>
          <w:szCs w:val="21"/>
          <w:u w:val="single"/>
        </w:rPr>
      </w:pPr>
      <w:r>
        <w:rPr>
          <w:rFonts w:ascii="Times New Roman" w:hAnsi="Times New Roman" w:eastAsia="宋体"/>
          <w:b/>
          <w:szCs w:val="21"/>
        </w:rPr>
        <w:t>招标内容：</w:t>
      </w:r>
    </w:p>
    <w:p>
      <w:pPr>
        <w:pStyle w:val="249"/>
        <w:rPr>
          <w:rFonts w:ascii="Times New Roman" w:hAnsi="Times New Roman"/>
          <w:bCs/>
          <w:highlight w:val="none"/>
        </w:rPr>
      </w:pPr>
      <w:bookmarkStart w:id="15" w:name="_Toc32114_WPSOffice_Level2"/>
      <w:r>
        <w:rPr>
          <w:rFonts w:ascii="Times New Roman" w:hAnsi="Times New Roman"/>
          <w:bCs/>
        </w:rPr>
        <w:t>本次招标共</w:t>
      </w:r>
      <w:r>
        <w:rPr>
          <w:rFonts w:ascii="Times New Roman" w:hAnsi="Times New Roman"/>
          <w:b/>
          <w:u w:val="single"/>
          <w:lang w:val="en-US"/>
        </w:rPr>
        <w:t>11</w:t>
      </w:r>
      <w:r>
        <w:rPr>
          <w:rFonts w:ascii="Times New Roman" w:hAnsi="Times New Roman"/>
          <w:bCs/>
        </w:rPr>
        <w:t>包，总预算</w:t>
      </w:r>
      <w:r>
        <w:rPr>
          <w:rFonts w:ascii="Times New Roman" w:hAnsi="Times New Roman"/>
          <w:bCs/>
          <w:highlight w:val="none"/>
        </w:rPr>
        <w:t>：</w:t>
      </w:r>
      <w:r>
        <w:rPr>
          <w:rFonts w:hint="eastAsia" w:ascii="Times New Roman" w:hAnsi="Times New Roman"/>
          <w:b/>
          <w:highlight w:val="none"/>
          <w:u w:val="single"/>
          <w:lang w:val="en-US"/>
        </w:rPr>
        <w:t>7</w:t>
      </w:r>
      <w:r>
        <w:rPr>
          <w:rFonts w:hint="eastAsia" w:ascii="Times New Roman" w:hAnsi="Times New Roman"/>
          <w:b/>
          <w:highlight w:val="none"/>
          <w:u w:val="single"/>
          <w:lang w:val="en-US" w:eastAsia="zh-CN"/>
        </w:rPr>
        <w:t>540</w:t>
      </w:r>
      <w:r>
        <w:rPr>
          <w:rFonts w:hint="eastAsia" w:ascii="Times New Roman" w:hAnsi="Times New Roman"/>
          <w:b/>
          <w:highlight w:val="none"/>
          <w:u w:val="single"/>
          <w:lang w:val="en-US"/>
        </w:rPr>
        <w:t>.</w:t>
      </w:r>
      <w:r>
        <w:rPr>
          <w:rFonts w:hint="eastAsia" w:ascii="Times New Roman" w:hAnsi="Times New Roman"/>
          <w:b/>
          <w:highlight w:val="none"/>
          <w:u w:val="single"/>
          <w:lang w:val="en-US" w:eastAsia="zh-CN"/>
        </w:rPr>
        <w:t>39</w:t>
      </w:r>
      <w:r>
        <w:rPr>
          <w:rFonts w:hint="eastAsia" w:ascii="Times New Roman" w:hAnsi="Times New Roman"/>
          <w:b/>
          <w:highlight w:val="none"/>
          <w:u w:val="single"/>
          <w:lang w:val="en-US"/>
        </w:rPr>
        <w:t>8</w:t>
      </w:r>
      <w:r>
        <w:rPr>
          <w:rFonts w:hint="eastAsia" w:ascii="Times New Roman" w:hAnsi="Times New Roman"/>
          <w:b/>
          <w:highlight w:val="none"/>
          <w:u w:val="single"/>
        </w:rPr>
        <w:t>万元</w:t>
      </w:r>
      <w:r>
        <w:rPr>
          <w:rFonts w:hint="eastAsia"/>
          <w:bCs/>
          <w:highlight w:val="none"/>
        </w:rPr>
        <w:t>，</w:t>
      </w:r>
      <w:r>
        <w:rPr>
          <w:rFonts w:ascii="Times New Roman" w:hAnsi="Times New Roman"/>
          <w:bCs/>
          <w:highlight w:val="none"/>
        </w:rPr>
        <w:t>详见下表：</w:t>
      </w:r>
      <w:bookmarkEnd w:id="15"/>
    </w:p>
    <w:tbl>
      <w:tblPr>
        <w:tblStyle w:val="82"/>
        <w:tblW w:w="90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8"/>
        <w:gridCol w:w="658"/>
        <w:gridCol w:w="3680"/>
        <w:gridCol w:w="974"/>
        <w:gridCol w:w="674"/>
        <w:gridCol w:w="1207"/>
        <w:gridCol w:w="1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58" w:type="dxa"/>
            <w:vAlign w:val="center"/>
          </w:tcPr>
          <w:p>
            <w:pPr>
              <w:jc w:val="center"/>
              <w:rPr>
                <w:rFonts w:ascii="Times New Roman" w:hAnsi="Times New Roman" w:eastAsia="宋体"/>
                <w:b/>
                <w:color w:val="000000" w:themeColor="text1"/>
                <w:szCs w:val="21"/>
                <w:highlight w:val="none"/>
                <w:lang w:val="en-US"/>
                <w14:textFill>
                  <w14:solidFill>
                    <w14:schemeClr w14:val="tx1"/>
                  </w14:solidFill>
                </w14:textFill>
              </w:rPr>
            </w:pPr>
            <w:r>
              <w:rPr>
                <w:rFonts w:ascii="Times New Roman" w:hAnsi="Times New Roman" w:eastAsia="宋体"/>
                <w:b/>
                <w:color w:val="000000" w:themeColor="text1"/>
                <w:szCs w:val="21"/>
                <w:highlight w:val="none"/>
                <w:lang w:val="en-US"/>
                <w14:textFill>
                  <w14:solidFill>
                    <w14:schemeClr w14:val="tx1"/>
                  </w14:solidFill>
                </w14:textFill>
              </w:rPr>
              <w:t>包号</w:t>
            </w:r>
          </w:p>
        </w:tc>
        <w:tc>
          <w:tcPr>
            <w:tcW w:w="658" w:type="dxa"/>
            <w:vAlign w:val="center"/>
          </w:tcPr>
          <w:p>
            <w:pPr>
              <w:jc w:val="center"/>
              <w:rPr>
                <w:rFonts w:ascii="Times New Roman" w:hAnsi="Times New Roman" w:eastAsia="宋体"/>
                <w:bCs/>
                <w:szCs w:val="21"/>
                <w:highlight w:val="none"/>
              </w:rPr>
            </w:pPr>
            <w:r>
              <w:rPr>
                <w:rFonts w:ascii="Times New Roman" w:hAnsi="Times New Roman" w:eastAsia="宋体"/>
                <w:b/>
                <w:color w:val="000000" w:themeColor="text1"/>
                <w:szCs w:val="21"/>
                <w:highlight w:val="none"/>
                <w14:textFill>
                  <w14:solidFill>
                    <w14:schemeClr w14:val="tx1"/>
                  </w14:solidFill>
                </w14:textFill>
              </w:rPr>
              <w:t>序号</w:t>
            </w:r>
          </w:p>
        </w:tc>
        <w:tc>
          <w:tcPr>
            <w:tcW w:w="3680" w:type="dxa"/>
            <w:vAlign w:val="center"/>
          </w:tcPr>
          <w:p>
            <w:pPr>
              <w:jc w:val="center"/>
              <w:rPr>
                <w:rFonts w:ascii="Times New Roman" w:hAnsi="Times New Roman" w:eastAsia="宋体"/>
                <w:bCs/>
                <w:szCs w:val="21"/>
                <w:highlight w:val="none"/>
                <w:lang w:val="en-US"/>
              </w:rPr>
            </w:pPr>
            <w:r>
              <w:rPr>
                <w:rFonts w:hint="eastAsia" w:ascii="Times New Roman" w:hAnsi="Times New Roman" w:eastAsia="宋体"/>
                <w:b/>
                <w:color w:val="000000" w:themeColor="text1"/>
                <w:szCs w:val="21"/>
                <w:highlight w:val="none"/>
                <w:lang w:val="en-US"/>
                <w14:textFill>
                  <w14:solidFill>
                    <w14:schemeClr w14:val="tx1"/>
                  </w14:solidFill>
                </w14:textFill>
              </w:rPr>
              <w:t>产品名称</w:t>
            </w:r>
          </w:p>
        </w:tc>
        <w:tc>
          <w:tcPr>
            <w:tcW w:w="974" w:type="dxa"/>
            <w:vAlign w:val="center"/>
          </w:tcPr>
          <w:p>
            <w:pPr>
              <w:jc w:val="center"/>
              <w:rPr>
                <w:rFonts w:ascii="Times New Roman" w:hAnsi="Times New Roman" w:eastAsia="宋体"/>
                <w:bCs/>
                <w:szCs w:val="21"/>
                <w:highlight w:val="none"/>
              </w:rPr>
            </w:pPr>
            <w:r>
              <w:rPr>
                <w:rFonts w:ascii="Times New Roman" w:hAnsi="Times New Roman" w:eastAsia="宋体"/>
                <w:b/>
                <w:color w:val="000000" w:themeColor="text1"/>
                <w:szCs w:val="21"/>
                <w:highlight w:val="none"/>
                <w14:textFill>
                  <w14:solidFill>
                    <w14:schemeClr w14:val="tx1"/>
                  </w14:solidFill>
                </w14:textFill>
              </w:rPr>
              <w:t>单位</w:t>
            </w:r>
          </w:p>
        </w:tc>
        <w:tc>
          <w:tcPr>
            <w:tcW w:w="674" w:type="dxa"/>
            <w:vAlign w:val="center"/>
          </w:tcPr>
          <w:p>
            <w:pPr>
              <w:jc w:val="center"/>
              <w:rPr>
                <w:rFonts w:ascii="Times New Roman" w:hAnsi="Times New Roman" w:eastAsia="宋体"/>
                <w:bCs/>
                <w:szCs w:val="21"/>
                <w:highlight w:val="none"/>
              </w:rPr>
            </w:pPr>
            <w:r>
              <w:rPr>
                <w:rFonts w:ascii="Times New Roman" w:hAnsi="Times New Roman" w:eastAsia="宋体"/>
                <w:b/>
                <w:color w:val="000000" w:themeColor="text1"/>
                <w:szCs w:val="21"/>
                <w:highlight w:val="none"/>
                <w14:textFill>
                  <w14:solidFill>
                    <w14:schemeClr w14:val="tx1"/>
                  </w14:solidFill>
                </w14:textFill>
              </w:rPr>
              <w:t>数量</w:t>
            </w:r>
          </w:p>
        </w:tc>
        <w:tc>
          <w:tcPr>
            <w:tcW w:w="1207" w:type="dxa"/>
            <w:vAlign w:val="center"/>
          </w:tcPr>
          <w:p>
            <w:pPr>
              <w:jc w:val="center"/>
              <w:rPr>
                <w:rFonts w:ascii="Times New Roman" w:hAnsi="Times New Roman" w:eastAsia="宋体"/>
                <w:b/>
                <w:color w:val="000000" w:themeColor="text1"/>
                <w:szCs w:val="21"/>
                <w:highlight w:val="none"/>
                <w:lang w:val="en-US"/>
                <w14:textFill>
                  <w14:solidFill>
                    <w14:schemeClr w14:val="tx1"/>
                  </w14:solidFill>
                </w14:textFill>
              </w:rPr>
            </w:pPr>
            <w:r>
              <w:rPr>
                <w:rFonts w:ascii="Times New Roman" w:hAnsi="Times New Roman" w:eastAsia="宋体"/>
                <w:b/>
                <w:color w:val="000000" w:themeColor="text1"/>
                <w:szCs w:val="21"/>
                <w:highlight w:val="none"/>
                <w:lang w:val="en-US"/>
                <w14:textFill>
                  <w14:solidFill>
                    <w14:schemeClr w14:val="tx1"/>
                  </w14:solidFill>
                </w14:textFill>
              </w:rPr>
              <w:t>单价</w:t>
            </w:r>
          </w:p>
          <w:p>
            <w:pPr>
              <w:jc w:val="center"/>
              <w:rPr>
                <w:rFonts w:ascii="Times New Roman" w:hAnsi="Times New Roman" w:eastAsia="宋体"/>
                <w:bCs/>
                <w:szCs w:val="21"/>
                <w:highlight w:val="none"/>
              </w:rPr>
            </w:pPr>
            <w:r>
              <w:rPr>
                <w:rFonts w:ascii="Times New Roman" w:hAnsi="Times New Roman" w:eastAsia="宋体"/>
                <w:b/>
                <w:color w:val="000000" w:themeColor="text1"/>
                <w:szCs w:val="21"/>
                <w:highlight w:val="none"/>
                <w:lang w:val="en-US"/>
                <w14:textFill>
                  <w14:solidFill>
                    <w14:schemeClr w14:val="tx1"/>
                  </w14:solidFill>
                </w14:textFill>
              </w:rPr>
              <w:t>（万元）</w:t>
            </w:r>
          </w:p>
        </w:tc>
        <w:tc>
          <w:tcPr>
            <w:tcW w:w="1207" w:type="dxa"/>
            <w:vAlign w:val="center"/>
          </w:tcPr>
          <w:p>
            <w:pPr>
              <w:jc w:val="center"/>
              <w:rPr>
                <w:rFonts w:ascii="Times New Roman" w:hAnsi="Times New Roman" w:eastAsia="宋体"/>
                <w:b/>
                <w:color w:val="000000" w:themeColor="text1"/>
                <w:szCs w:val="21"/>
                <w:highlight w:val="none"/>
                <w:lang w:val="en-US"/>
                <w14:textFill>
                  <w14:solidFill>
                    <w14:schemeClr w14:val="tx1"/>
                  </w14:solidFill>
                </w14:textFill>
              </w:rPr>
            </w:pPr>
            <w:r>
              <w:rPr>
                <w:rFonts w:ascii="Times New Roman" w:hAnsi="Times New Roman" w:eastAsia="宋体"/>
                <w:b/>
                <w:color w:val="000000" w:themeColor="text1"/>
                <w:szCs w:val="21"/>
                <w:highlight w:val="none"/>
                <w:lang w:val="en-US"/>
                <w14:textFill>
                  <w14:solidFill>
                    <w14:schemeClr w14:val="tx1"/>
                  </w14:solidFill>
                </w14:textFill>
              </w:rPr>
              <w:t>分包预算（万元）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8" w:type="dxa"/>
            <w:vMerge w:val="restart"/>
            <w:vAlign w:val="center"/>
          </w:tcPr>
          <w:p>
            <w:pPr>
              <w:numPr>
                <w:ilvl w:val="0"/>
                <w:numId w:val="13"/>
              </w:numPr>
              <w:tabs>
                <w:tab w:val="clear" w:pos="0"/>
              </w:tabs>
              <w:jc w:val="center"/>
              <w:rPr>
                <w:rFonts w:ascii="Times New Roman" w:hAnsi="Times New Roman" w:eastAsia="宋体"/>
                <w:bCs/>
                <w:szCs w:val="21"/>
                <w:highlight w:val="none"/>
                <w:lang w:val="en-US"/>
              </w:rPr>
            </w:pPr>
          </w:p>
        </w:tc>
        <w:tc>
          <w:tcPr>
            <w:tcW w:w="658" w:type="dxa"/>
            <w:vAlign w:val="center"/>
          </w:tcPr>
          <w:p>
            <w:pPr>
              <w:numPr>
                <w:ilvl w:val="0"/>
                <w:numId w:val="14"/>
              </w:numPr>
              <w:jc w:val="center"/>
              <w:rPr>
                <w:rFonts w:ascii="Times New Roman" w:hAnsi="Times New Roman" w:eastAsia="宋体"/>
                <w:bCs/>
                <w:szCs w:val="21"/>
                <w:highlight w:val="none"/>
              </w:rPr>
            </w:pPr>
          </w:p>
        </w:tc>
        <w:tc>
          <w:tcPr>
            <w:tcW w:w="3680" w:type="dxa"/>
            <w:vAlign w:val="center"/>
          </w:tcPr>
          <w:p>
            <w:pPr>
              <w:textAlignment w:val="center"/>
              <w:rPr>
                <w:rFonts w:ascii="Times New Roman" w:hAnsi="Times New Roman" w:eastAsia="宋体"/>
                <w:bCs/>
                <w:szCs w:val="21"/>
                <w:highlight w:val="none"/>
              </w:rPr>
            </w:pPr>
            <w:r>
              <w:rPr>
                <w:rFonts w:ascii="Times New Roman" w:hAnsi="Times New Roman" w:eastAsia="宋体"/>
                <w:color w:val="000000"/>
                <w:kern w:val="0"/>
                <w:szCs w:val="21"/>
                <w:highlight w:val="none"/>
                <w:lang w:val="en-US" w:bidi="ar"/>
              </w:rPr>
              <w:t>手机取证塔Ⅰ</w:t>
            </w:r>
          </w:p>
        </w:tc>
        <w:tc>
          <w:tcPr>
            <w:tcW w:w="974" w:type="dxa"/>
            <w:vAlign w:val="center"/>
          </w:tcPr>
          <w:p>
            <w:pPr>
              <w:jc w:val="center"/>
              <w:rPr>
                <w:rFonts w:ascii="Times New Roman" w:hAnsi="Times New Roman" w:eastAsia="宋体"/>
                <w:bCs/>
                <w:szCs w:val="21"/>
                <w:highlight w:val="none"/>
              </w:rPr>
            </w:pPr>
            <w:r>
              <w:rPr>
                <w:rFonts w:ascii="Times New Roman" w:hAnsi="Times New Roman" w:eastAsia="宋体"/>
                <w:szCs w:val="21"/>
                <w:highlight w:val="none"/>
              </w:rPr>
              <w:t>套</w:t>
            </w:r>
          </w:p>
        </w:tc>
        <w:tc>
          <w:tcPr>
            <w:tcW w:w="674" w:type="dxa"/>
            <w:vAlign w:val="center"/>
          </w:tcPr>
          <w:p>
            <w:pPr>
              <w:jc w:val="center"/>
              <w:rPr>
                <w:rFonts w:ascii="Times New Roman" w:hAnsi="Times New Roman" w:eastAsia="宋体"/>
                <w:bCs/>
                <w:szCs w:val="21"/>
                <w:highlight w:val="none"/>
                <w:lang w:val="en-US"/>
              </w:rPr>
            </w:pPr>
            <w:r>
              <w:rPr>
                <w:rFonts w:ascii="Times New Roman" w:hAnsi="Times New Roman" w:eastAsia="宋体"/>
                <w:bCs/>
                <w:szCs w:val="21"/>
                <w:highlight w:val="none"/>
                <w:lang w:val="en-US"/>
              </w:rPr>
              <w:t>42</w:t>
            </w:r>
          </w:p>
        </w:tc>
        <w:tc>
          <w:tcPr>
            <w:tcW w:w="1207" w:type="dxa"/>
            <w:vAlign w:val="center"/>
          </w:tcPr>
          <w:p>
            <w:pPr>
              <w:jc w:val="center"/>
              <w:rPr>
                <w:rFonts w:ascii="Times New Roman" w:hAnsi="Times New Roman" w:eastAsia="宋体"/>
                <w:bCs/>
                <w:szCs w:val="21"/>
                <w:highlight w:val="none"/>
                <w:lang w:val="en-US"/>
              </w:rPr>
            </w:pPr>
            <w:r>
              <w:rPr>
                <w:rFonts w:ascii="Times New Roman" w:hAnsi="Times New Roman" w:eastAsia="宋体"/>
                <w:bCs/>
                <w:szCs w:val="21"/>
                <w:highlight w:val="none"/>
                <w:lang w:val="en-US"/>
              </w:rPr>
              <w:t>23.84</w:t>
            </w:r>
            <w:r>
              <w:rPr>
                <w:rFonts w:hint="eastAsia" w:ascii="Times New Roman" w:hAnsi="Times New Roman" w:eastAsia="宋体"/>
                <w:bCs/>
                <w:szCs w:val="21"/>
                <w:highlight w:val="none"/>
                <w:lang w:val="en-US"/>
              </w:rPr>
              <w:t>0</w:t>
            </w:r>
          </w:p>
        </w:tc>
        <w:tc>
          <w:tcPr>
            <w:tcW w:w="1207" w:type="dxa"/>
            <w:vMerge w:val="restart"/>
            <w:vAlign w:val="center"/>
          </w:tcPr>
          <w:p>
            <w:pPr>
              <w:jc w:val="center"/>
              <w:rPr>
                <w:rFonts w:ascii="Times New Roman" w:hAnsi="Times New Roman" w:eastAsia="宋体"/>
                <w:bCs/>
                <w:szCs w:val="21"/>
                <w:highlight w:val="none"/>
                <w:lang w:val="en-US"/>
              </w:rPr>
            </w:pPr>
            <w:r>
              <w:rPr>
                <w:rFonts w:hint="eastAsia" w:ascii="Times New Roman" w:hAnsi="Times New Roman" w:eastAsia="宋体"/>
                <w:bCs/>
                <w:szCs w:val="21"/>
                <w:highlight w:val="none"/>
                <w:lang w:val="en-US" w:eastAsia="zh-CN"/>
              </w:rPr>
              <w:t>4949</w:t>
            </w:r>
            <w:r>
              <w:rPr>
                <w:rFonts w:ascii="Times New Roman" w:hAnsi="Times New Roman" w:eastAsia="宋体"/>
                <w:bCs/>
                <w:szCs w:val="21"/>
                <w:highlight w:val="none"/>
                <w:lang w:val="en-US"/>
              </w:rPr>
              <w:t>.</w:t>
            </w:r>
            <w:r>
              <w:rPr>
                <w:rFonts w:hint="eastAsia" w:ascii="Times New Roman" w:hAnsi="Times New Roman" w:eastAsia="宋体"/>
                <w:bCs/>
                <w:szCs w:val="21"/>
                <w:highlight w:val="none"/>
                <w:lang w:val="en-US" w:eastAsia="zh-CN"/>
              </w:rPr>
              <w:t>30</w:t>
            </w:r>
            <w:r>
              <w:rPr>
                <w:rFonts w:hint="eastAsia" w:ascii="Times New Roman" w:hAnsi="Times New Roman" w:eastAsia="宋体"/>
                <w:bCs/>
                <w:szCs w:val="21"/>
                <w:highlight w:val="none"/>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continue"/>
            <w:vAlign w:val="center"/>
          </w:tcPr>
          <w:p>
            <w:pPr>
              <w:jc w:val="center"/>
              <w:rPr>
                <w:rFonts w:ascii="Times New Roman" w:hAnsi="Times New Roman" w:eastAsia="宋体"/>
                <w:bCs/>
                <w:szCs w:val="21"/>
                <w:highlight w:val="none"/>
              </w:rPr>
            </w:pPr>
          </w:p>
        </w:tc>
        <w:tc>
          <w:tcPr>
            <w:tcW w:w="658" w:type="dxa"/>
            <w:vAlign w:val="center"/>
          </w:tcPr>
          <w:p>
            <w:pPr>
              <w:numPr>
                <w:ilvl w:val="0"/>
                <w:numId w:val="14"/>
              </w:numPr>
              <w:jc w:val="center"/>
              <w:rPr>
                <w:rFonts w:ascii="Times New Roman" w:hAnsi="Times New Roman" w:eastAsia="宋体"/>
                <w:bCs/>
                <w:szCs w:val="21"/>
                <w:highlight w:val="none"/>
              </w:rPr>
            </w:pPr>
          </w:p>
        </w:tc>
        <w:tc>
          <w:tcPr>
            <w:tcW w:w="3680" w:type="dxa"/>
            <w:vAlign w:val="center"/>
          </w:tcPr>
          <w:p>
            <w:pPr>
              <w:textAlignment w:val="center"/>
              <w:rPr>
                <w:rFonts w:ascii="Times New Roman" w:hAnsi="Times New Roman" w:eastAsia="宋体"/>
                <w:bCs/>
                <w:szCs w:val="21"/>
                <w:highlight w:val="none"/>
              </w:rPr>
            </w:pPr>
            <w:r>
              <w:rPr>
                <w:rFonts w:ascii="Times New Roman" w:hAnsi="Times New Roman" w:eastAsia="宋体"/>
                <w:color w:val="000000"/>
                <w:kern w:val="0"/>
                <w:szCs w:val="21"/>
                <w:highlight w:val="none"/>
                <w:lang w:val="en-US" w:bidi="ar"/>
              </w:rPr>
              <w:t>便携式手机取证设备Ⅰ</w:t>
            </w:r>
          </w:p>
        </w:tc>
        <w:tc>
          <w:tcPr>
            <w:tcW w:w="974" w:type="dxa"/>
            <w:vAlign w:val="center"/>
          </w:tcPr>
          <w:p>
            <w:pPr>
              <w:jc w:val="center"/>
              <w:rPr>
                <w:rFonts w:ascii="Times New Roman" w:hAnsi="Times New Roman" w:eastAsia="宋体"/>
                <w:bCs/>
                <w:szCs w:val="21"/>
                <w:highlight w:val="none"/>
              </w:rPr>
            </w:pPr>
            <w:r>
              <w:rPr>
                <w:rFonts w:ascii="Times New Roman" w:hAnsi="Times New Roman" w:eastAsia="宋体"/>
                <w:szCs w:val="21"/>
                <w:highlight w:val="none"/>
              </w:rPr>
              <w:t>套</w:t>
            </w:r>
          </w:p>
        </w:tc>
        <w:tc>
          <w:tcPr>
            <w:tcW w:w="674" w:type="dxa"/>
            <w:vAlign w:val="center"/>
          </w:tcPr>
          <w:p>
            <w:pPr>
              <w:jc w:val="center"/>
              <w:rPr>
                <w:rFonts w:ascii="Times New Roman" w:hAnsi="Times New Roman" w:eastAsia="宋体"/>
                <w:bCs/>
                <w:szCs w:val="21"/>
                <w:highlight w:val="none"/>
                <w:lang w:val="en-US"/>
              </w:rPr>
            </w:pPr>
            <w:r>
              <w:rPr>
                <w:rFonts w:ascii="Times New Roman" w:hAnsi="Times New Roman" w:eastAsia="宋体"/>
                <w:bCs/>
                <w:szCs w:val="21"/>
                <w:highlight w:val="none"/>
                <w:lang w:val="en-US"/>
              </w:rPr>
              <w:t>84</w:t>
            </w:r>
          </w:p>
        </w:tc>
        <w:tc>
          <w:tcPr>
            <w:tcW w:w="1207" w:type="dxa"/>
            <w:vAlign w:val="center"/>
          </w:tcPr>
          <w:p>
            <w:pPr>
              <w:jc w:val="center"/>
              <w:rPr>
                <w:rFonts w:ascii="Times New Roman" w:hAnsi="Times New Roman" w:eastAsia="宋体"/>
                <w:bCs/>
                <w:szCs w:val="21"/>
                <w:highlight w:val="none"/>
                <w:lang w:val="en-US"/>
              </w:rPr>
            </w:pPr>
            <w:r>
              <w:rPr>
                <w:rFonts w:ascii="Times New Roman" w:hAnsi="Times New Roman" w:eastAsia="宋体"/>
                <w:bCs/>
                <w:szCs w:val="21"/>
                <w:highlight w:val="none"/>
                <w:lang w:val="en-US"/>
              </w:rPr>
              <w:t>15.84</w:t>
            </w:r>
            <w:r>
              <w:rPr>
                <w:rFonts w:hint="eastAsia" w:ascii="Times New Roman" w:hAnsi="Times New Roman" w:eastAsia="宋体"/>
                <w:bCs/>
                <w:szCs w:val="21"/>
                <w:highlight w:val="none"/>
                <w:lang w:val="en-US"/>
              </w:rPr>
              <w:t>0</w:t>
            </w:r>
          </w:p>
        </w:tc>
        <w:tc>
          <w:tcPr>
            <w:tcW w:w="1207" w:type="dxa"/>
            <w:vMerge w:val="continue"/>
            <w:vAlign w:val="center"/>
          </w:tcPr>
          <w:p>
            <w:pPr>
              <w:jc w:val="center"/>
              <w:rPr>
                <w:rFonts w:ascii="Times New Roman" w:hAnsi="Times New Roman" w:eastAsia="宋体"/>
                <w:bCs/>
                <w:szCs w:val="21"/>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continue"/>
            <w:vAlign w:val="center"/>
          </w:tcPr>
          <w:p>
            <w:pPr>
              <w:jc w:val="center"/>
              <w:rPr>
                <w:rFonts w:ascii="Times New Roman" w:hAnsi="Times New Roman" w:eastAsia="宋体"/>
                <w:bCs/>
                <w:szCs w:val="21"/>
                <w:highlight w:val="none"/>
              </w:rPr>
            </w:pPr>
          </w:p>
        </w:tc>
        <w:tc>
          <w:tcPr>
            <w:tcW w:w="658" w:type="dxa"/>
            <w:vAlign w:val="center"/>
          </w:tcPr>
          <w:p>
            <w:pPr>
              <w:numPr>
                <w:ilvl w:val="0"/>
                <w:numId w:val="14"/>
              </w:numPr>
              <w:jc w:val="center"/>
              <w:rPr>
                <w:rFonts w:ascii="Times New Roman" w:hAnsi="Times New Roman" w:eastAsia="宋体"/>
                <w:bCs/>
                <w:szCs w:val="21"/>
                <w:highlight w:val="none"/>
              </w:rPr>
            </w:pPr>
          </w:p>
        </w:tc>
        <w:tc>
          <w:tcPr>
            <w:tcW w:w="3680" w:type="dxa"/>
            <w:vAlign w:val="center"/>
          </w:tcPr>
          <w:p>
            <w:pPr>
              <w:textAlignment w:val="center"/>
              <w:rPr>
                <w:rFonts w:ascii="Times New Roman" w:hAnsi="Times New Roman" w:eastAsia="宋体"/>
                <w:bCs/>
                <w:szCs w:val="21"/>
                <w:highlight w:val="none"/>
              </w:rPr>
            </w:pPr>
            <w:r>
              <w:rPr>
                <w:rFonts w:ascii="Times New Roman" w:hAnsi="Times New Roman" w:eastAsia="宋体"/>
                <w:color w:val="000000"/>
                <w:kern w:val="0"/>
                <w:szCs w:val="21"/>
                <w:highlight w:val="none"/>
                <w:lang w:val="en-US" w:bidi="ar"/>
              </w:rPr>
              <w:t>介质取证塔Ⅰ</w:t>
            </w:r>
          </w:p>
        </w:tc>
        <w:tc>
          <w:tcPr>
            <w:tcW w:w="974" w:type="dxa"/>
            <w:vAlign w:val="center"/>
          </w:tcPr>
          <w:p>
            <w:pPr>
              <w:jc w:val="center"/>
              <w:rPr>
                <w:rFonts w:ascii="Times New Roman" w:hAnsi="Times New Roman" w:eastAsia="宋体"/>
                <w:bCs/>
                <w:szCs w:val="21"/>
                <w:highlight w:val="none"/>
              </w:rPr>
            </w:pPr>
            <w:r>
              <w:rPr>
                <w:rFonts w:ascii="Times New Roman" w:hAnsi="Times New Roman" w:eastAsia="宋体"/>
                <w:szCs w:val="21"/>
                <w:highlight w:val="none"/>
              </w:rPr>
              <w:t>套</w:t>
            </w:r>
          </w:p>
        </w:tc>
        <w:tc>
          <w:tcPr>
            <w:tcW w:w="674" w:type="dxa"/>
            <w:vAlign w:val="center"/>
          </w:tcPr>
          <w:p>
            <w:pPr>
              <w:jc w:val="center"/>
              <w:rPr>
                <w:rFonts w:ascii="Times New Roman" w:hAnsi="Times New Roman" w:eastAsia="宋体"/>
                <w:bCs/>
                <w:szCs w:val="21"/>
                <w:highlight w:val="none"/>
                <w:lang w:val="en-US"/>
              </w:rPr>
            </w:pPr>
            <w:r>
              <w:rPr>
                <w:rFonts w:ascii="Times New Roman" w:hAnsi="Times New Roman" w:eastAsia="宋体"/>
                <w:bCs/>
                <w:szCs w:val="21"/>
                <w:highlight w:val="none"/>
                <w:lang w:val="en-US"/>
              </w:rPr>
              <w:t>23</w:t>
            </w:r>
          </w:p>
        </w:tc>
        <w:tc>
          <w:tcPr>
            <w:tcW w:w="1207" w:type="dxa"/>
            <w:vAlign w:val="center"/>
          </w:tcPr>
          <w:p>
            <w:pPr>
              <w:jc w:val="center"/>
              <w:rPr>
                <w:rFonts w:ascii="Times New Roman" w:hAnsi="Times New Roman" w:eastAsia="宋体"/>
                <w:bCs/>
                <w:szCs w:val="21"/>
                <w:highlight w:val="none"/>
                <w:lang w:val="en-US"/>
              </w:rPr>
            </w:pPr>
            <w:r>
              <w:rPr>
                <w:rFonts w:ascii="Times New Roman" w:hAnsi="Times New Roman" w:eastAsia="宋体"/>
                <w:bCs/>
                <w:szCs w:val="21"/>
                <w:highlight w:val="none"/>
                <w:lang w:val="en-US"/>
              </w:rPr>
              <w:t>15.84</w:t>
            </w:r>
            <w:r>
              <w:rPr>
                <w:rFonts w:hint="eastAsia" w:ascii="Times New Roman" w:hAnsi="Times New Roman" w:eastAsia="宋体"/>
                <w:bCs/>
                <w:szCs w:val="21"/>
                <w:highlight w:val="none"/>
                <w:lang w:val="en-US"/>
              </w:rPr>
              <w:t>0</w:t>
            </w:r>
          </w:p>
        </w:tc>
        <w:tc>
          <w:tcPr>
            <w:tcW w:w="1207" w:type="dxa"/>
            <w:vMerge w:val="continue"/>
            <w:vAlign w:val="center"/>
          </w:tcPr>
          <w:p>
            <w:pPr>
              <w:jc w:val="center"/>
              <w:rPr>
                <w:rFonts w:ascii="Times New Roman" w:hAnsi="Times New Roman" w:eastAsia="宋体"/>
                <w:bCs/>
                <w:szCs w:val="21"/>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658" w:type="dxa"/>
            <w:vMerge w:val="continue"/>
            <w:vAlign w:val="center"/>
          </w:tcPr>
          <w:p>
            <w:pPr>
              <w:jc w:val="center"/>
              <w:rPr>
                <w:rFonts w:ascii="Times New Roman" w:hAnsi="Times New Roman" w:eastAsia="宋体"/>
                <w:bCs/>
                <w:szCs w:val="21"/>
                <w:highlight w:val="none"/>
              </w:rPr>
            </w:pPr>
          </w:p>
        </w:tc>
        <w:tc>
          <w:tcPr>
            <w:tcW w:w="658" w:type="dxa"/>
            <w:vAlign w:val="center"/>
          </w:tcPr>
          <w:p>
            <w:pPr>
              <w:numPr>
                <w:ilvl w:val="0"/>
                <w:numId w:val="14"/>
              </w:numPr>
              <w:jc w:val="center"/>
              <w:rPr>
                <w:rFonts w:ascii="Times New Roman" w:hAnsi="Times New Roman" w:eastAsia="宋体"/>
                <w:bCs/>
                <w:szCs w:val="21"/>
                <w:highlight w:val="none"/>
              </w:rPr>
            </w:pPr>
          </w:p>
        </w:tc>
        <w:tc>
          <w:tcPr>
            <w:tcW w:w="3680" w:type="dxa"/>
            <w:vAlign w:val="center"/>
          </w:tcPr>
          <w:p>
            <w:pPr>
              <w:textAlignment w:val="center"/>
              <w:rPr>
                <w:rFonts w:ascii="Times New Roman" w:hAnsi="Times New Roman" w:eastAsia="宋体"/>
                <w:bCs/>
                <w:szCs w:val="21"/>
                <w:highlight w:val="none"/>
              </w:rPr>
            </w:pPr>
            <w:r>
              <w:rPr>
                <w:rFonts w:ascii="Times New Roman" w:hAnsi="Times New Roman" w:eastAsia="宋体"/>
                <w:color w:val="000000"/>
                <w:kern w:val="0"/>
                <w:szCs w:val="21"/>
                <w:highlight w:val="none"/>
                <w:lang w:val="en-US" w:bidi="ar"/>
              </w:rPr>
              <w:t>一体化电子取证工作站Ⅰ</w:t>
            </w:r>
          </w:p>
        </w:tc>
        <w:tc>
          <w:tcPr>
            <w:tcW w:w="974" w:type="dxa"/>
            <w:vAlign w:val="center"/>
          </w:tcPr>
          <w:p>
            <w:pPr>
              <w:jc w:val="center"/>
              <w:rPr>
                <w:rFonts w:ascii="Times New Roman" w:hAnsi="Times New Roman" w:eastAsia="宋体"/>
                <w:bCs/>
                <w:szCs w:val="21"/>
                <w:highlight w:val="none"/>
              </w:rPr>
            </w:pPr>
            <w:r>
              <w:rPr>
                <w:rFonts w:ascii="Times New Roman" w:hAnsi="Times New Roman" w:eastAsia="宋体"/>
                <w:szCs w:val="21"/>
                <w:highlight w:val="none"/>
              </w:rPr>
              <w:t>套</w:t>
            </w:r>
          </w:p>
        </w:tc>
        <w:tc>
          <w:tcPr>
            <w:tcW w:w="674" w:type="dxa"/>
            <w:vAlign w:val="center"/>
          </w:tcPr>
          <w:p>
            <w:pPr>
              <w:jc w:val="center"/>
              <w:rPr>
                <w:rFonts w:ascii="Times New Roman" w:hAnsi="Times New Roman" w:eastAsia="宋体"/>
                <w:bCs/>
                <w:szCs w:val="21"/>
                <w:highlight w:val="none"/>
                <w:lang w:val="en-US"/>
              </w:rPr>
            </w:pPr>
            <w:r>
              <w:rPr>
                <w:rFonts w:ascii="Times New Roman" w:hAnsi="Times New Roman" w:eastAsia="宋体"/>
                <w:bCs/>
                <w:szCs w:val="21"/>
                <w:highlight w:val="none"/>
                <w:lang w:val="en-US"/>
              </w:rPr>
              <w:t>18</w:t>
            </w:r>
          </w:p>
        </w:tc>
        <w:tc>
          <w:tcPr>
            <w:tcW w:w="1207" w:type="dxa"/>
            <w:vAlign w:val="center"/>
          </w:tcPr>
          <w:p>
            <w:pPr>
              <w:jc w:val="center"/>
              <w:rPr>
                <w:rFonts w:ascii="Times New Roman" w:hAnsi="Times New Roman" w:eastAsia="宋体"/>
                <w:bCs/>
                <w:szCs w:val="21"/>
                <w:highlight w:val="none"/>
                <w:lang w:val="en-US"/>
              </w:rPr>
            </w:pPr>
            <w:r>
              <w:rPr>
                <w:rFonts w:ascii="Times New Roman" w:hAnsi="Times New Roman" w:eastAsia="宋体"/>
                <w:bCs/>
                <w:szCs w:val="21"/>
                <w:highlight w:val="none"/>
                <w:lang w:val="en-US"/>
              </w:rPr>
              <w:t>37.00</w:t>
            </w:r>
            <w:r>
              <w:rPr>
                <w:rFonts w:hint="eastAsia" w:ascii="Times New Roman" w:hAnsi="Times New Roman" w:eastAsia="宋体"/>
                <w:bCs/>
                <w:szCs w:val="21"/>
                <w:highlight w:val="none"/>
                <w:lang w:val="en-US"/>
              </w:rPr>
              <w:t>0</w:t>
            </w:r>
          </w:p>
        </w:tc>
        <w:tc>
          <w:tcPr>
            <w:tcW w:w="1207" w:type="dxa"/>
            <w:vMerge w:val="continue"/>
            <w:vAlign w:val="center"/>
          </w:tcPr>
          <w:p>
            <w:pPr>
              <w:jc w:val="center"/>
              <w:rPr>
                <w:rFonts w:ascii="Times New Roman" w:hAnsi="Times New Roman" w:eastAsia="宋体"/>
                <w:bCs/>
                <w:szCs w:val="21"/>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continue"/>
            <w:vAlign w:val="center"/>
          </w:tcPr>
          <w:p>
            <w:pPr>
              <w:jc w:val="center"/>
              <w:rPr>
                <w:rFonts w:ascii="Times New Roman" w:hAnsi="Times New Roman" w:eastAsia="宋体"/>
                <w:bCs/>
                <w:szCs w:val="21"/>
                <w:highlight w:val="none"/>
              </w:rPr>
            </w:pPr>
          </w:p>
        </w:tc>
        <w:tc>
          <w:tcPr>
            <w:tcW w:w="658" w:type="dxa"/>
            <w:vAlign w:val="center"/>
          </w:tcPr>
          <w:p>
            <w:pPr>
              <w:numPr>
                <w:ilvl w:val="0"/>
                <w:numId w:val="14"/>
              </w:numPr>
              <w:jc w:val="center"/>
              <w:rPr>
                <w:rFonts w:ascii="Times New Roman" w:hAnsi="Times New Roman" w:eastAsia="宋体"/>
                <w:bCs/>
                <w:szCs w:val="21"/>
                <w:highlight w:val="none"/>
              </w:rPr>
            </w:pPr>
          </w:p>
        </w:tc>
        <w:tc>
          <w:tcPr>
            <w:tcW w:w="3680" w:type="dxa"/>
            <w:vAlign w:val="center"/>
          </w:tcPr>
          <w:p>
            <w:pPr>
              <w:textAlignment w:val="center"/>
              <w:rPr>
                <w:rFonts w:ascii="Times New Roman" w:hAnsi="Times New Roman" w:eastAsia="宋体"/>
                <w:bCs/>
                <w:szCs w:val="21"/>
                <w:highlight w:val="none"/>
              </w:rPr>
            </w:pPr>
            <w:r>
              <w:rPr>
                <w:rFonts w:ascii="Times New Roman" w:hAnsi="Times New Roman" w:eastAsia="宋体"/>
                <w:color w:val="000000"/>
                <w:kern w:val="0"/>
                <w:szCs w:val="21"/>
                <w:highlight w:val="none"/>
                <w:lang w:val="en-US" w:bidi="ar"/>
              </w:rPr>
              <w:t>电子物证现场提取设备Ⅰ</w:t>
            </w:r>
          </w:p>
        </w:tc>
        <w:tc>
          <w:tcPr>
            <w:tcW w:w="974" w:type="dxa"/>
            <w:vAlign w:val="center"/>
          </w:tcPr>
          <w:p>
            <w:pPr>
              <w:jc w:val="center"/>
              <w:rPr>
                <w:rFonts w:ascii="Times New Roman" w:hAnsi="Times New Roman" w:eastAsia="宋体"/>
                <w:bCs/>
                <w:szCs w:val="21"/>
                <w:highlight w:val="none"/>
              </w:rPr>
            </w:pPr>
            <w:r>
              <w:rPr>
                <w:rFonts w:ascii="Times New Roman" w:hAnsi="Times New Roman" w:eastAsia="宋体"/>
                <w:szCs w:val="21"/>
                <w:highlight w:val="none"/>
              </w:rPr>
              <w:t>套</w:t>
            </w:r>
          </w:p>
        </w:tc>
        <w:tc>
          <w:tcPr>
            <w:tcW w:w="674" w:type="dxa"/>
            <w:vAlign w:val="center"/>
          </w:tcPr>
          <w:p>
            <w:pPr>
              <w:jc w:val="center"/>
              <w:rPr>
                <w:rFonts w:ascii="Times New Roman" w:hAnsi="Times New Roman" w:eastAsia="宋体"/>
                <w:bCs/>
                <w:szCs w:val="21"/>
                <w:highlight w:val="none"/>
                <w:lang w:val="en-US"/>
              </w:rPr>
            </w:pPr>
            <w:r>
              <w:rPr>
                <w:rFonts w:ascii="Times New Roman" w:hAnsi="Times New Roman" w:eastAsia="宋体"/>
                <w:bCs/>
                <w:szCs w:val="21"/>
                <w:highlight w:val="none"/>
                <w:lang w:val="en-US"/>
              </w:rPr>
              <w:t>4</w:t>
            </w:r>
          </w:p>
        </w:tc>
        <w:tc>
          <w:tcPr>
            <w:tcW w:w="1207" w:type="dxa"/>
            <w:vAlign w:val="center"/>
          </w:tcPr>
          <w:p>
            <w:pPr>
              <w:jc w:val="center"/>
              <w:rPr>
                <w:rFonts w:ascii="Times New Roman" w:hAnsi="Times New Roman" w:eastAsia="宋体"/>
                <w:bCs/>
                <w:szCs w:val="21"/>
                <w:highlight w:val="none"/>
                <w:lang w:val="en-US"/>
              </w:rPr>
            </w:pPr>
            <w:r>
              <w:rPr>
                <w:rFonts w:ascii="Times New Roman" w:hAnsi="Times New Roman" w:eastAsia="宋体"/>
                <w:bCs/>
                <w:szCs w:val="21"/>
                <w:highlight w:val="none"/>
                <w:lang w:val="en-US"/>
              </w:rPr>
              <w:t>13.21</w:t>
            </w:r>
            <w:r>
              <w:rPr>
                <w:rFonts w:hint="eastAsia" w:ascii="Times New Roman" w:hAnsi="Times New Roman" w:eastAsia="宋体"/>
                <w:bCs/>
                <w:szCs w:val="21"/>
                <w:highlight w:val="none"/>
                <w:lang w:val="en-US"/>
              </w:rPr>
              <w:t>0</w:t>
            </w:r>
          </w:p>
        </w:tc>
        <w:tc>
          <w:tcPr>
            <w:tcW w:w="1207" w:type="dxa"/>
            <w:vMerge w:val="continue"/>
            <w:vAlign w:val="center"/>
          </w:tcPr>
          <w:p>
            <w:pPr>
              <w:jc w:val="center"/>
              <w:rPr>
                <w:rFonts w:ascii="Times New Roman" w:hAnsi="Times New Roman" w:eastAsia="宋体"/>
                <w:bCs/>
                <w:szCs w:val="21"/>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continue"/>
            <w:vAlign w:val="center"/>
          </w:tcPr>
          <w:p>
            <w:pPr>
              <w:jc w:val="center"/>
              <w:rPr>
                <w:rFonts w:ascii="Times New Roman" w:hAnsi="Times New Roman" w:eastAsia="宋体"/>
                <w:bCs/>
                <w:szCs w:val="21"/>
                <w:highlight w:val="none"/>
              </w:rPr>
            </w:pPr>
          </w:p>
        </w:tc>
        <w:tc>
          <w:tcPr>
            <w:tcW w:w="658" w:type="dxa"/>
            <w:vAlign w:val="center"/>
          </w:tcPr>
          <w:p>
            <w:pPr>
              <w:numPr>
                <w:ilvl w:val="0"/>
                <w:numId w:val="14"/>
              </w:numPr>
              <w:jc w:val="center"/>
              <w:rPr>
                <w:rFonts w:ascii="Times New Roman" w:hAnsi="Times New Roman" w:eastAsia="宋体"/>
                <w:bCs/>
                <w:szCs w:val="21"/>
                <w:highlight w:val="none"/>
              </w:rPr>
            </w:pPr>
          </w:p>
        </w:tc>
        <w:tc>
          <w:tcPr>
            <w:tcW w:w="3680" w:type="dxa"/>
            <w:vAlign w:val="center"/>
          </w:tcPr>
          <w:p>
            <w:pPr>
              <w:textAlignment w:val="center"/>
              <w:rPr>
                <w:rFonts w:ascii="Times New Roman" w:hAnsi="Times New Roman" w:eastAsia="宋体"/>
                <w:bCs/>
                <w:szCs w:val="21"/>
                <w:highlight w:val="none"/>
              </w:rPr>
            </w:pPr>
            <w:r>
              <w:rPr>
                <w:rFonts w:ascii="Times New Roman" w:hAnsi="Times New Roman" w:eastAsia="宋体"/>
                <w:color w:val="000000"/>
                <w:kern w:val="0"/>
                <w:szCs w:val="21"/>
                <w:highlight w:val="none"/>
                <w:lang w:val="en-US" w:bidi="ar"/>
              </w:rPr>
              <w:t>电子物证现场提取设备Ⅱ</w:t>
            </w:r>
          </w:p>
        </w:tc>
        <w:tc>
          <w:tcPr>
            <w:tcW w:w="974" w:type="dxa"/>
            <w:vAlign w:val="center"/>
          </w:tcPr>
          <w:p>
            <w:pPr>
              <w:jc w:val="center"/>
              <w:rPr>
                <w:rFonts w:ascii="Times New Roman" w:hAnsi="Times New Roman" w:eastAsia="宋体"/>
                <w:bCs/>
                <w:szCs w:val="21"/>
                <w:highlight w:val="none"/>
              </w:rPr>
            </w:pPr>
            <w:r>
              <w:rPr>
                <w:rFonts w:ascii="Times New Roman" w:hAnsi="Times New Roman" w:eastAsia="宋体"/>
                <w:szCs w:val="21"/>
                <w:highlight w:val="none"/>
              </w:rPr>
              <w:t>套</w:t>
            </w:r>
          </w:p>
        </w:tc>
        <w:tc>
          <w:tcPr>
            <w:tcW w:w="674" w:type="dxa"/>
            <w:vAlign w:val="center"/>
          </w:tcPr>
          <w:p>
            <w:pPr>
              <w:jc w:val="center"/>
              <w:rPr>
                <w:rFonts w:ascii="Times New Roman" w:hAnsi="Times New Roman" w:eastAsia="宋体"/>
                <w:bCs/>
                <w:szCs w:val="21"/>
                <w:highlight w:val="none"/>
                <w:lang w:val="en-US"/>
              </w:rPr>
            </w:pPr>
            <w:r>
              <w:rPr>
                <w:rFonts w:ascii="Times New Roman" w:hAnsi="Times New Roman" w:eastAsia="宋体"/>
                <w:bCs/>
                <w:szCs w:val="21"/>
                <w:highlight w:val="none"/>
                <w:lang w:val="en-US"/>
              </w:rPr>
              <w:t>17</w:t>
            </w:r>
          </w:p>
        </w:tc>
        <w:tc>
          <w:tcPr>
            <w:tcW w:w="1207" w:type="dxa"/>
            <w:vAlign w:val="center"/>
          </w:tcPr>
          <w:p>
            <w:pPr>
              <w:jc w:val="center"/>
              <w:rPr>
                <w:rFonts w:ascii="Times New Roman" w:hAnsi="Times New Roman" w:eastAsia="宋体"/>
                <w:bCs/>
                <w:szCs w:val="21"/>
                <w:highlight w:val="none"/>
                <w:lang w:val="en-US"/>
              </w:rPr>
            </w:pPr>
            <w:r>
              <w:rPr>
                <w:rFonts w:ascii="Times New Roman" w:hAnsi="Times New Roman" w:eastAsia="宋体"/>
                <w:bCs/>
                <w:szCs w:val="21"/>
                <w:highlight w:val="none"/>
                <w:lang w:val="en-US"/>
              </w:rPr>
              <w:t>23.66</w:t>
            </w:r>
            <w:r>
              <w:rPr>
                <w:rFonts w:hint="eastAsia" w:ascii="Times New Roman" w:hAnsi="Times New Roman" w:eastAsia="宋体"/>
                <w:bCs/>
                <w:szCs w:val="21"/>
                <w:highlight w:val="none"/>
                <w:lang w:val="en-US"/>
              </w:rPr>
              <w:t>0</w:t>
            </w:r>
          </w:p>
        </w:tc>
        <w:tc>
          <w:tcPr>
            <w:tcW w:w="1207" w:type="dxa"/>
            <w:vMerge w:val="continue"/>
            <w:vAlign w:val="center"/>
          </w:tcPr>
          <w:p>
            <w:pPr>
              <w:jc w:val="center"/>
              <w:rPr>
                <w:rFonts w:ascii="Times New Roman" w:hAnsi="Times New Roman" w:eastAsia="宋体"/>
                <w:bCs/>
                <w:szCs w:val="21"/>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continue"/>
            <w:vAlign w:val="center"/>
          </w:tcPr>
          <w:p>
            <w:pPr>
              <w:jc w:val="center"/>
              <w:rPr>
                <w:rFonts w:ascii="Times New Roman" w:hAnsi="Times New Roman" w:eastAsia="宋体"/>
                <w:bCs/>
                <w:szCs w:val="21"/>
                <w:highlight w:val="none"/>
              </w:rPr>
            </w:pPr>
          </w:p>
        </w:tc>
        <w:tc>
          <w:tcPr>
            <w:tcW w:w="658" w:type="dxa"/>
            <w:vAlign w:val="center"/>
          </w:tcPr>
          <w:p>
            <w:pPr>
              <w:numPr>
                <w:ilvl w:val="0"/>
                <w:numId w:val="14"/>
              </w:numPr>
              <w:jc w:val="center"/>
              <w:rPr>
                <w:rFonts w:ascii="Times New Roman" w:hAnsi="Times New Roman" w:eastAsia="宋体"/>
                <w:bCs/>
                <w:szCs w:val="21"/>
                <w:highlight w:val="none"/>
              </w:rPr>
            </w:pPr>
          </w:p>
        </w:tc>
        <w:tc>
          <w:tcPr>
            <w:tcW w:w="3680" w:type="dxa"/>
            <w:vAlign w:val="center"/>
          </w:tcPr>
          <w:p>
            <w:pPr>
              <w:textAlignment w:val="center"/>
              <w:rPr>
                <w:rFonts w:ascii="Times New Roman" w:hAnsi="Times New Roman" w:eastAsia="宋体"/>
                <w:bCs/>
                <w:szCs w:val="21"/>
                <w:highlight w:val="none"/>
              </w:rPr>
            </w:pPr>
            <w:r>
              <w:rPr>
                <w:rFonts w:ascii="Times New Roman" w:hAnsi="Times New Roman" w:eastAsia="宋体"/>
                <w:color w:val="000000"/>
                <w:kern w:val="0"/>
                <w:szCs w:val="21"/>
                <w:highlight w:val="none"/>
                <w:lang w:val="en-US" w:bidi="ar"/>
              </w:rPr>
              <w:t>云取证工作站Ⅰ</w:t>
            </w:r>
          </w:p>
        </w:tc>
        <w:tc>
          <w:tcPr>
            <w:tcW w:w="974" w:type="dxa"/>
            <w:vAlign w:val="center"/>
          </w:tcPr>
          <w:p>
            <w:pPr>
              <w:jc w:val="center"/>
              <w:rPr>
                <w:rFonts w:ascii="Times New Roman" w:hAnsi="Times New Roman" w:eastAsia="宋体"/>
                <w:bCs/>
                <w:szCs w:val="21"/>
                <w:highlight w:val="none"/>
              </w:rPr>
            </w:pPr>
            <w:r>
              <w:rPr>
                <w:rFonts w:ascii="Times New Roman" w:hAnsi="Times New Roman" w:eastAsia="宋体"/>
                <w:szCs w:val="21"/>
                <w:highlight w:val="none"/>
              </w:rPr>
              <w:t>套</w:t>
            </w:r>
          </w:p>
        </w:tc>
        <w:tc>
          <w:tcPr>
            <w:tcW w:w="674" w:type="dxa"/>
            <w:vAlign w:val="center"/>
          </w:tcPr>
          <w:p>
            <w:pPr>
              <w:jc w:val="center"/>
              <w:rPr>
                <w:rFonts w:ascii="Times New Roman" w:hAnsi="Times New Roman" w:eastAsia="宋体"/>
                <w:bCs/>
                <w:szCs w:val="21"/>
                <w:highlight w:val="none"/>
                <w:lang w:val="en-US"/>
              </w:rPr>
            </w:pPr>
            <w:r>
              <w:rPr>
                <w:rFonts w:ascii="Times New Roman" w:hAnsi="Times New Roman" w:eastAsia="宋体"/>
                <w:bCs/>
                <w:szCs w:val="21"/>
                <w:highlight w:val="none"/>
                <w:lang w:val="en-US"/>
              </w:rPr>
              <w:t>3</w:t>
            </w:r>
          </w:p>
        </w:tc>
        <w:tc>
          <w:tcPr>
            <w:tcW w:w="1207" w:type="dxa"/>
            <w:vAlign w:val="center"/>
          </w:tcPr>
          <w:p>
            <w:pPr>
              <w:jc w:val="center"/>
              <w:rPr>
                <w:rFonts w:ascii="Times New Roman" w:hAnsi="Times New Roman" w:eastAsia="宋体"/>
                <w:bCs/>
                <w:szCs w:val="21"/>
                <w:highlight w:val="none"/>
                <w:lang w:val="en-US"/>
              </w:rPr>
            </w:pPr>
            <w:r>
              <w:rPr>
                <w:rFonts w:ascii="Times New Roman" w:hAnsi="Times New Roman" w:eastAsia="宋体"/>
                <w:bCs/>
                <w:szCs w:val="21"/>
                <w:highlight w:val="none"/>
                <w:lang w:val="en-US"/>
              </w:rPr>
              <w:t>23.84</w:t>
            </w:r>
            <w:r>
              <w:rPr>
                <w:rFonts w:hint="eastAsia" w:ascii="Times New Roman" w:hAnsi="Times New Roman" w:eastAsia="宋体"/>
                <w:bCs/>
                <w:szCs w:val="21"/>
                <w:highlight w:val="none"/>
                <w:lang w:val="en-US"/>
              </w:rPr>
              <w:t>0</w:t>
            </w:r>
          </w:p>
        </w:tc>
        <w:tc>
          <w:tcPr>
            <w:tcW w:w="1207" w:type="dxa"/>
            <w:vMerge w:val="continue"/>
            <w:vAlign w:val="center"/>
          </w:tcPr>
          <w:p>
            <w:pPr>
              <w:jc w:val="center"/>
              <w:rPr>
                <w:rFonts w:ascii="Times New Roman" w:hAnsi="Times New Roman" w:eastAsia="宋体"/>
                <w:bCs/>
                <w:szCs w:val="21"/>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continue"/>
            <w:vAlign w:val="center"/>
          </w:tcPr>
          <w:p>
            <w:pPr>
              <w:jc w:val="center"/>
              <w:rPr>
                <w:rFonts w:ascii="Times New Roman" w:hAnsi="Times New Roman" w:eastAsia="宋体"/>
                <w:bCs/>
                <w:szCs w:val="21"/>
                <w:highlight w:val="none"/>
              </w:rPr>
            </w:pPr>
          </w:p>
        </w:tc>
        <w:tc>
          <w:tcPr>
            <w:tcW w:w="658" w:type="dxa"/>
            <w:vAlign w:val="center"/>
          </w:tcPr>
          <w:p>
            <w:pPr>
              <w:numPr>
                <w:ilvl w:val="0"/>
                <w:numId w:val="14"/>
              </w:numPr>
              <w:jc w:val="center"/>
              <w:rPr>
                <w:rFonts w:ascii="Times New Roman" w:hAnsi="Times New Roman" w:eastAsia="宋体"/>
                <w:bCs/>
                <w:szCs w:val="21"/>
                <w:highlight w:val="none"/>
              </w:rPr>
            </w:pPr>
          </w:p>
        </w:tc>
        <w:tc>
          <w:tcPr>
            <w:tcW w:w="3680" w:type="dxa"/>
            <w:vAlign w:val="center"/>
          </w:tcPr>
          <w:p>
            <w:pPr>
              <w:textAlignment w:val="center"/>
              <w:rPr>
                <w:rFonts w:ascii="Times New Roman" w:hAnsi="Times New Roman" w:eastAsia="宋体"/>
                <w:bCs/>
                <w:szCs w:val="21"/>
                <w:highlight w:val="none"/>
              </w:rPr>
            </w:pPr>
            <w:r>
              <w:rPr>
                <w:rFonts w:ascii="Times New Roman" w:hAnsi="Times New Roman" w:eastAsia="宋体"/>
                <w:color w:val="000000"/>
                <w:kern w:val="0"/>
                <w:szCs w:val="21"/>
                <w:highlight w:val="none"/>
                <w:lang w:val="en-US" w:bidi="ar"/>
              </w:rPr>
              <w:t>手机云取证设备Ⅰ</w:t>
            </w:r>
          </w:p>
        </w:tc>
        <w:tc>
          <w:tcPr>
            <w:tcW w:w="974" w:type="dxa"/>
            <w:vAlign w:val="center"/>
          </w:tcPr>
          <w:p>
            <w:pPr>
              <w:jc w:val="center"/>
              <w:rPr>
                <w:rFonts w:ascii="Times New Roman" w:hAnsi="Times New Roman" w:eastAsia="宋体"/>
                <w:bCs/>
                <w:szCs w:val="21"/>
                <w:highlight w:val="none"/>
              </w:rPr>
            </w:pPr>
            <w:r>
              <w:rPr>
                <w:rFonts w:ascii="Times New Roman" w:hAnsi="Times New Roman" w:eastAsia="宋体"/>
                <w:szCs w:val="21"/>
                <w:highlight w:val="none"/>
              </w:rPr>
              <w:t>套</w:t>
            </w:r>
          </w:p>
        </w:tc>
        <w:tc>
          <w:tcPr>
            <w:tcW w:w="674" w:type="dxa"/>
            <w:vAlign w:val="center"/>
          </w:tcPr>
          <w:p>
            <w:pPr>
              <w:jc w:val="center"/>
              <w:rPr>
                <w:rFonts w:hint="eastAsia" w:ascii="Times New Roman" w:hAnsi="Times New Roman" w:eastAsia="宋体"/>
                <w:bCs/>
                <w:szCs w:val="21"/>
                <w:highlight w:val="none"/>
                <w:lang w:val="en-US" w:eastAsia="zh-CN"/>
              </w:rPr>
            </w:pPr>
            <w:r>
              <w:rPr>
                <w:rFonts w:ascii="Times New Roman" w:hAnsi="Times New Roman" w:eastAsia="宋体"/>
                <w:bCs/>
                <w:szCs w:val="21"/>
                <w:highlight w:val="none"/>
                <w:lang w:val="en-US"/>
              </w:rPr>
              <w:t>1</w:t>
            </w:r>
            <w:r>
              <w:rPr>
                <w:rFonts w:hint="eastAsia" w:ascii="Times New Roman" w:hAnsi="Times New Roman" w:eastAsia="宋体"/>
                <w:bCs/>
                <w:szCs w:val="21"/>
                <w:highlight w:val="none"/>
                <w:lang w:val="en-US" w:eastAsia="zh-CN"/>
              </w:rPr>
              <w:t>4</w:t>
            </w:r>
          </w:p>
        </w:tc>
        <w:tc>
          <w:tcPr>
            <w:tcW w:w="1207" w:type="dxa"/>
            <w:vAlign w:val="center"/>
          </w:tcPr>
          <w:p>
            <w:pPr>
              <w:jc w:val="center"/>
              <w:rPr>
                <w:rFonts w:ascii="Times New Roman" w:hAnsi="Times New Roman" w:eastAsia="宋体"/>
                <w:bCs/>
                <w:szCs w:val="21"/>
                <w:highlight w:val="none"/>
                <w:lang w:val="en-US"/>
              </w:rPr>
            </w:pPr>
            <w:r>
              <w:rPr>
                <w:rFonts w:ascii="Times New Roman" w:hAnsi="Times New Roman" w:eastAsia="宋体"/>
                <w:bCs/>
                <w:szCs w:val="21"/>
                <w:highlight w:val="none"/>
                <w:lang w:val="en-US"/>
              </w:rPr>
              <w:t>31.88</w:t>
            </w:r>
            <w:r>
              <w:rPr>
                <w:rFonts w:hint="eastAsia" w:ascii="Times New Roman" w:hAnsi="Times New Roman" w:eastAsia="宋体"/>
                <w:bCs/>
                <w:szCs w:val="21"/>
                <w:highlight w:val="none"/>
                <w:lang w:val="en-US"/>
              </w:rPr>
              <w:t>0</w:t>
            </w:r>
          </w:p>
        </w:tc>
        <w:tc>
          <w:tcPr>
            <w:tcW w:w="1207" w:type="dxa"/>
            <w:vMerge w:val="continue"/>
            <w:vAlign w:val="center"/>
          </w:tcPr>
          <w:p>
            <w:pPr>
              <w:jc w:val="center"/>
              <w:rPr>
                <w:rFonts w:ascii="Times New Roman" w:hAnsi="Times New Roman" w:eastAsia="宋体"/>
                <w:bCs/>
                <w:szCs w:val="21"/>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continue"/>
            <w:vAlign w:val="center"/>
          </w:tcPr>
          <w:p>
            <w:pPr>
              <w:jc w:val="center"/>
              <w:rPr>
                <w:rFonts w:ascii="Times New Roman" w:hAnsi="Times New Roman" w:eastAsia="宋体"/>
                <w:bCs/>
                <w:szCs w:val="21"/>
                <w:highlight w:val="none"/>
              </w:rPr>
            </w:pPr>
          </w:p>
        </w:tc>
        <w:tc>
          <w:tcPr>
            <w:tcW w:w="658" w:type="dxa"/>
            <w:vAlign w:val="center"/>
          </w:tcPr>
          <w:p>
            <w:pPr>
              <w:numPr>
                <w:ilvl w:val="0"/>
                <w:numId w:val="14"/>
              </w:numPr>
              <w:jc w:val="center"/>
              <w:rPr>
                <w:rFonts w:ascii="Times New Roman" w:hAnsi="Times New Roman" w:eastAsia="宋体"/>
                <w:bCs/>
                <w:szCs w:val="21"/>
                <w:highlight w:val="none"/>
              </w:rPr>
            </w:pPr>
          </w:p>
        </w:tc>
        <w:tc>
          <w:tcPr>
            <w:tcW w:w="3680" w:type="dxa"/>
            <w:vAlign w:val="center"/>
          </w:tcPr>
          <w:p>
            <w:pPr>
              <w:textAlignment w:val="center"/>
              <w:rPr>
                <w:rFonts w:ascii="Times New Roman" w:hAnsi="Times New Roman" w:eastAsia="宋体"/>
                <w:bCs/>
                <w:szCs w:val="21"/>
                <w:highlight w:val="none"/>
              </w:rPr>
            </w:pPr>
            <w:r>
              <w:rPr>
                <w:rFonts w:ascii="Times New Roman" w:hAnsi="Times New Roman" w:eastAsia="宋体"/>
                <w:color w:val="000000"/>
                <w:kern w:val="0"/>
                <w:szCs w:val="21"/>
                <w:highlight w:val="none"/>
                <w:lang w:val="en-US" w:bidi="ar"/>
              </w:rPr>
              <w:t>数据恢复设备Ⅰ</w:t>
            </w:r>
          </w:p>
        </w:tc>
        <w:tc>
          <w:tcPr>
            <w:tcW w:w="974" w:type="dxa"/>
            <w:vAlign w:val="center"/>
          </w:tcPr>
          <w:p>
            <w:pPr>
              <w:jc w:val="center"/>
              <w:rPr>
                <w:rFonts w:ascii="Times New Roman" w:hAnsi="Times New Roman" w:eastAsia="宋体"/>
                <w:bCs/>
                <w:szCs w:val="21"/>
                <w:highlight w:val="none"/>
              </w:rPr>
            </w:pPr>
            <w:r>
              <w:rPr>
                <w:rFonts w:ascii="Times New Roman" w:hAnsi="Times New Roman" w:eastAsia="宋体"/>
                <w:szCs w:val="21"/>
                <w:highlight w:val="none"/>
              </w:rPr>
              <w:t>套</w:t>
            </w:r>
          </w:p>
        </w:tc>
        <w:tc>
          <w:tcPr>
            <w:tcW w:w="674" w:type="dxa"/>
            <w:vAlign w:val="center"/>
          </w:tcPr>
          <w:p>
            <w:pPr>
              <w:jc w:val="center"/>
              <w:rPr>
                <w:rFonts w:ascii="Times New Roman" w:hAnsi="Times New Roman" w:eastAsia="宋体"/>
                <w:bCs/>
                <w:szCs w:val="21"/>
                <w:highlight w:val="none"/>
                <w:lang w:val="en-US"/>
              </w:rPr>
            </w:pPr>
            <w:r>
              <w:rPr>
                <w:rFonts w:ascii="Times New Roman" w:hAnsi="Times New Roman" w:eastAsia="宋体"/>
                <w:bCs/>
                <w:szCs w:val="21"/>
                <w:highlight w:val="none"/>
                <w:lang w:val="en-US"/>
              </w:rPr>
              <w:t>3</w:t>
            </w:r>
          </w:p>
        </w:tc>
        <w:tc>
          <w:tcPr>
            <w:tcW w:w="1207" w:type="dxa"/>
            <w:vAlign w:val="center"/>
          </w:tcPr>
          <w:p>
            <w:pPr>
              <w:jc w:val="center"/>
              <w:rPr>
                <w:rFonts w:ascii="Times New Roman" w:hAnsi="Times New Roman" w:eastAsia="宋体"/>
                <w:bCs/>
                <w:szCs w:val="21"/>
                <w:highlight w:val="none"/>
                <w:lang w:val="en-US"/>
              </w:rPr>
            </w:pPr>
            <w:r>
              <w:rPr>
                <w:rFonts w:ascii="Times New Roman" w:hAnsi="Times New Roman" w:eastAsia="宋体"/>
                <w:bCs/>
                <w:szCs w:val="21"/>
                <w:highlight w:val="none"/>
                <w:lang w:val="en-US"/>
              </w:rPr>
              <w:t>15.84</w:t>
            </w:r>
            <w:r>
              <w:rPr>
                <w:rFonts w:hint="eastAsia" w:ascii="Times New Roman" w:hAnsi="Times New Roman" w:eastAsia="宋体"/>
                <w:bCs/>
                <w:szCs w:val="21"/>
                <w:highlight w:val="none"/>
                <w:lang w:val="en-US"/>
              </w:rPr>
              <w:t>0</w:t>
            </w:r>
          </w:p>
        </w:tc>
        <w:tc>
          <w:tcPr>
            <w:tcW w:w="1207" w:type="dxa"/>
            <w:vMerge w:val="continue"/>
            <w:vAlign w:val="center"/>
          </w:tcPr>
          <w:p>
            <w:pPr>
              <w:jc w:val="center"/>
              <w:rPr>
                <w:rFonts w:ascii="Times New Roman" w:hAnsi="Times New Roman" w:eastAsia="宋体"/>
                <w:bCs/>
                <w:szCs w:val="21"/>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continue"/>
            <w:vAlign w:val="center"/>
          </w:tcPr>
          <w:p>
            <w:pPr>
              <w:jc w:val="center"/>
              <w:rPr>
                <w:rFonts w:ascii="Times New Roman" w:hAnsi="Times New Roman" w:eastAsia="宋体"/>
                <w:bCs/>
                <w:szCs w:val="21"/>
                <w:highlight w:val="none"/>
              </w:rPr>
            </w:pPr>
          </w:p>
        </w:tc>
        <w:tc>
          <w:tcPr>
            <w:tcW w:w="658" w:type="dxa"/>
            <w:vAlign w:val="center"/>
          </w:tcPr>
          <w:p>
            <w:pPr>
              <w:numPr>
                <w:ilvl w:val="0"/>
                <w:numId w:val="14"/>
              </w:numPr>
              <w:jc w:val="center"/>
              <w:rPr>
                <w:rFonts w:ascii="Times New Roman" w:hAnsi="Times New Roman" w:eastAsia="宋体"/>
                <w:bCs/>
                <w:szCs w:val="21"/>
                <w:highlight w:val="none"/>
              </w:rPr>
            </w:pPr>
          </w:p>
        </w:tc>
        <w:tc>
          <w:tcPr>
            <w:tcW w:w="3680" w:type="dxa"/>
            <w:vAlign w:val="center"/>
          </w:tcPr>
          <w:p>
            <w:pPr>
              <w:textAlignment w:val="center"/>
              <w:rPr>
                <w:rFonts w:ascii="Times New Roman" w:hAnsi="Times New Roman" w:eastAsia="宋体"/>
                <w:bCs/>
                <w:szCs w:val="21"/>
                <w:highlight w:val="none"/>
              </w:rPr>
            </w:pPr>
            <w:r>
              <w:rPr>
                <w:rFonts w:ascii="Times New Roman" w:hAnsi="Times New Roman" w:eastAsia="宋体"/>
                <w:color w:val="000000"/>
                <w:kern w:val="0"/>
                <w:szCs w:val="21"/>
                <w:highlight w:val="none"/>
                <w:lang w:val="en-US" w:bidi="ar"/>
              </w:rPr>
              <w:t>密码破解设备Ⅰ</w:t>
            </w:r>
          </w:p>
        </w:tc>
        <w:tc>
          <w:tcPr>
            <w:tcW w:w="974" w:type="dxa"/>
            <w:vAlign w:val="center"/>
          </w:tcPr>
          <w:p>
            <w:pPr>
              <w:jc w:val="center"/>
              <w:rPr>
                <w:rFonts w:ascii="Times New Roman" w:hAnsi="Times New Roman" w:eastAsia="宋体"/>
                <w:bCs/>
                <w:szCs w:val="21"/>
                <w:highlight w:val="none"/>
              </w:rPr>
            </w:pPr>
            <w:r>
              <w:rPr>
                <w:rFonts w:ascii="Times New Roman" w:hAnsi="Times New Roman" w:eastAsia="宋体"/>
                <w:szCs w:val="21"/>
                <w:highlight w:val="none"/>
              </w:rPr>
              <w:t>套</w:t>
            </w:r>
          </w:p>
        </w:tc>
        <w:tc>
          <w:tcPr>
            <w:tcW w:w="674" w:type="dxa"/>
            <w:vAlign w:val="center"/>
          </w:tcPr>
          <w:p>
            <w:pPr>
              <w:jc w:val="center"/>
              <w:rPr>
                <w:rFonts w:ascii="Times New Roman" w:hAnsi="Times New Roman" w:eastAsia="宋体"/>
                <w:bCs/>
                <w:szCs w:val="21"/>
                <w:highlight w:val="none"/>
                <w:lang w:val="en-US"/>
              </w:rPr>
            </w:pPr>
            <w:r>
              <w:rPr>
                <w:rFonts w:ascii="Times New Roman" w:hAnsi="Times New Roman" w:eastAsia="宋体"/>
                <w:bCs/>
                <w:szCs w:val="21"/>
                <w:highlight w:val="none"/>
                <w:lang w:val="en-US"/>
              </w:rPr>
              <w:t>3</w:t>
            </w:r>
          </w:p>
        </w:tc>
        <w:tc>
          <w:tcPr>
            <w:tcW w:w="1207" w:type="dxa"/>
            <w:vAlign w:val="center"/>
          </w:tcPr>
          <w:p>
            <w:pPr>
              <w:jc w:val="center"/>
              <w:rPr>
                <w:rFonts w:ascii="Times New Roman" w:hAnsi="Times New Roman" w:eastAsia="宋体"/>
                <w:bCs/>
                <w:szCs w:val="21"/>
                <w:highlight w:val="none"/>
                <w:lang w:val="en-US"/>
              </w:rPr>
            </w:pPr>
            <w:r>
              <w:rPr>
                <w:rFonts w:ascii="Times New Roman" w:hAnsi="Times New Roman" w:eastAsia="宋体"/>
                <w:bCs/>
                <w:szCs w:val="21"/>
                <w:highlight w:val="none"/>
                <w:lang w:val="en-US"/>
              </w:rPr>
              <w:t>59.76</w:t>
            </w:r>
            <w:r>
              <w:rPr>
                <w:rFonts w:hint="eastAsia" w:ascii="Times New Roman" w:hAnsi="Times New Roman" w:eastAsia="宋体"/>
                <w:bCs/>
                <w:szCs w:val="21"/>
                <w:highlight w:val="none"/>
                <w:lang w:val="en-US"/>
              </w:rPr>
              <w:t>0</w:t>
            </w:r>
          </w:p>
        </w:tc>
        <w:tc>
          <w:tcPr>
            <w:tcW w:w="1207" w:type="dxa"/>
            <w:vMerge w:val="continue"/>
            <w:vAlign w:val="center"/>
          </w:tcPr>
          <w:p>
            <w:pPr>
              <w:jc w:val="center"/>
              <w:rPr>
                <w:rFonts w:ascii="Times New Roman" w:hAnsi="Times New Roman" w:eastAsia="宋体"/>
                <w:bCs/>
                <w:szCs w:val="21"/>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continue"/>
            <w:vAlign w:val="center"/>
          </w:tcPr>
          <w:p>
            <w:pPr>
              <w:jc w:val="center"/>
              <w:rPr>
                <w:rFonts w:ascii="Times New Roman" w:hAnsi="Times New Roman" w:eastAsia="宋体"/>
                <w:bCs/>
                <w:szCs w:val="21"/>
                <w:highlight w:val="none"/>
              </w:rPr>
            </w:pPr>
          </w:p>
        </w:tc>
        <w:tc>
          <w:tcPr>
            <w:tcW w:w="658" w:type="dxa"/>
            <w:vAlign w:val="center"/>
          </w:tcPr>
          <w:p>
            <w:pPr>
              <w:numPr>
                <w:ilvl w:val="0"/>
                <w:numId w:val="14"/>
              </w:numPr>
              <w:jc w:val="center"/>
              <w:rPr>
                <w:rFonts w:ascii="Times New Roman" w:hAnsi="Times New Roman" w:eastAsia="宋体"/>
                <w:bCs/>
                <w:szCs w:val="21"/>
                <w:highlight w:val="none"/>
              </w:rPr>
            </w:pPr>
          </w:p>
        </w:tc>
        <w:tc>
          <w:tcPr>
            <w:tcW w:w="3680" w:type="dxa"/>
            <w:vAlign w:val="center"/>
          </w:tcPr>
          <w:p>
            <w:pPr>
              <w:textAlignment w:val="center"/>
              <w:rPr>
                <w:rFonts w:ascii="Times New Roman" w:hAnsi="Times New Roman" w:eastAsia="宋体"/>
                <w:bCs/>
                <w:szCs w:val="21"/>
                <w:highlight w:val="none"/>
              </w:rPr>
            </w:pPr>
            <w:r>
              <w:rPr>
                <w:rFonts w:ascii="Times New Roman" w:hAnsi="Times New Roman" w:eastAsia="宋体"/>
                <w:color w:val="000000"/>
                <w:kern w:val="0"/>
                <w:szCs w:val="21"/>
                <w:highlight w:val="none"/>
                <w:lang w:val="en-US" w:bidi="ar"/>
              </w:rPr>
              <w:t>可视化关联分析系统Ⅰ</w:t>
            </w:r>
          </w:p>
        </w:tc>
        <w:tc>
          <w:tcPr>
            <w:tcW w:w="974" w:type="dxa"/>
            <w:vAlign w:val="center"/>
          </w:tcPr>
          <w:p>
            <w:pPr>
              <w:jc w:val="center"/>
              <w:rPr>
                <w:rFonts w:ascii="Times New Roman" w:hAnsi="Times New Roman" w:eastAsia="宋体"/>
                <w:bCs/>
                <w:szCs w:val="21"/>
                <w:highlight w:val="none"/>
              </w:rPr>
            </w:pPr>
            <w:r>
              <w:rPr>
                <w:rFonts w:ascii="Times New Roman" w:hAnsi="Times New Roman" w:eastAsia="宋体"/>
                <w:szCs w:val="21"/>
                <w:highlight w:val="none"/>
              </w:rPr>
              <w:t>套</w:t>
            </w:r>
          </w:p>
        </w:tc>
        <w:tc>
          <w:tcPr>
            <w:tcW w:w="674" w:type="dxa"/>
            <w:vAlign w:val="center"/>
          </w:tcPr>
          <w:p>
            <w:pPr>
              <w:jc w:val="center"/>
              <w:rPr>
                <w:rFonts w:ascii="Times New Roman" w:hAnsi="Times New Roman" w:eastAsia="宋体"/>
                <w:bCs/>
                <w:szCs w:val="21"/>
                <w:highlight w:val="none"/>
                <w:lang w:val="en-US"/>
              </w:rPr>
            </w:pPr>
            <w:r>
              <w:rPr>
                <w:rFonts w:ascii="Times New Roman" w:hAnsi="Times New Roman" w:eastAsia="宋体"/>
                <w:bCs/>
                <w:szCs w:val="21"/>
                <w:highlight w:val="none"/>
                <w:lang w:val="en-US"/>
              </w:rPr>
              <w:t>2</w:t>
            </w:r>
          </w:p>
        </w:tc>
        <w:tc>
          <w:tcPr>
            <w:tcW w:w="1207" w:type="dxa"/>
            <w:vAlign w:val="center"/>
          </w:tcPr>
          <w:p>
            <w:pPr>
              <w:jc w:val="center"/>
              <w:rPr>
                <w:rFonts w:ascii="Times New Roman" w:hAnsi="Times New Roman" w:eastAsia="宋体"/>
                <w:bCs/>
                <w:szCs w:val="21"/>
                <w:highlight w:val="none"/>
                <w:lang w:val="en-US"/>
              </w:rPr>
            </w:pPr>
            <w:r>
              <w:rPr>
                <w:rFonts w:ascii="Times New Roman" w:hAnsi="Times New Roman" w:eastAsia="宋体"/>
                <w:bCs/>
                <w:szCs w:val="21"/>
                <w:highlight w:val="none"/>
                <w:lang w:val="en-US"/>
              </w:rPr>
              <w:t>15.84</w:t>
            </w:r>
            <w:r>
              <w:rPr>
                <w:rFonts w:hint="eastAsia" w:ascii="Times New Roman" w:hAnsi="Times New Roman" w:eastAsia="宋体"/>
                <w:bCs/>
                <w:szCs w:val="21"/>
                <w:highlight w:val="none"/>
                <w:lang w:val="en-US"/>
              </w:rPr>
              <w:t>0</w:t>
            </w:r>
          </w:p>
        </w:tc>
        <w:tc>
          <w:tcPr>
            <w:tcW w:w="1207" w:type="dxa"/>
            <w:vMerge w:val="continue"/>
            <w:vAlign w:val="center"/>
          </w:tcPr>
          <w:p>
            <w:pPr>
              <w:jc w:val="center"/>
              <w:rPr>
                <w:rFonts w:ascii="Times New Roman" w:hAnsi="Times New Roman" w:eastAsia="宋体"/>
                <w:bCs/>
                <w:szCs w:val="21"/>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continue"/>
            <w:vAlign w:val="center"/>
          </w:tcPr>
          <w:p>
            <w:pPr>
              <w:jc w:val="center"/>
              <w:rPr>
                <w:rFonts w:ascii="Times New Roman" w:hAnsi="Times New Roman" w:eastAsia="宋体"/>
                <w:bCs/>
                <w:szCs w:val="21"/>
                <w:highlight w:val="none"/>
              </w:rPr>
            </w:pPr>
          </w:p>
        </w:tc>
        <w:tc>
          <w:tcPr>
            <w:tcW w:w="658" w:type="dxa"/>
            <w:vAlign w:val="center"/>
          </w:tcPr>
          <w:p>
            <w:pPr>
              <w:numPr>
                <w:ilvl w:val="0"/>
                <w:numId w:val="14"/>
              </w:numPr>
              <w:jc w:val="center"/>
              <w:rPr>
                <w:rFonts w:ascii="Times New Roman" w:hAnsi="Times New Roman" w:eastAsia="宋体"/>
                <w:bCs/>
                <w:szCs w:val="21"/>
                <w:highlight w:val="none"/>
              </w:rPr>
            </w:pPr>
          </w:p>
        </w:tc>
        <w:tc>
          <w:tcPr>
            <w:tcW w:w="3680" w:type="dxa"/>
            <w:vAlign w:val="center"/>
          </w:tcPr>
          <w:p>
            <w:pPr>
              <w:textAlignment w:val="center"/>
              <w:rPr>
                <w:rFonts w:ascii="Times New Roman" w:hAnsi="Times New Roman" w:eastAsia="宋体"/>
                <w:bCs/>
                <w:szCs w:val="21"/>
                <w:highlight w:val="none"/>
              </w:rPr>
            </w:pPr>
            <w:r>
              <w:rPr>
                <w:rFonts w:ascii="Times New Roman" w:hAnsi="Times New Roman" w:eastAsia="宋体"/>
                <w:color w:val="000000"/>
                <w:kern w:val="0"/>
                <w:szCs w:val="21"/>
                <w:highlight w:val="none"/>
                <w:lang w:val="en-US" w:bidi="ar"/>
              </w:rPr>
              <w:t>战训一体化平台Ⅰ</w:t>
            </w:r>
          </w:p>
        </w:tc>
        <w:tc>
          <w:tcPr>
            <w:tcW w:w="974" w:type="dxa"/>
            <w:vAlign w:val="center"/>
          </w:tcPr>
          <w:p>
            <w:pPr>
              <w:jc w:val="center"/>
              <w:rPr>
                <w:rFonts w:ascii="Times New Roman" w:hAnsi="Times New Roman" w:eastAsia="宋体"/>
                <w:bCs/>
                <w:szCs w:val="21"/>
                <w:highlight w:val="none"/>
              </w:rPr>
            </w:pPr>
            <w:r>
              <w:rPr>
                <w:rFonts w:ascii="Times New Roman" w:hAnsi="Times New Roman" w:eastAsia="宋体"/>
                <w:szCs w:val="21"/>
                <w:highlight w:val="none"/>
              </w:rPr>
              <w:t>套</w:t>
            </w:r>
          </w:p>
        </w:tc>
        <w:tc>
          <w:tcPr>
            <w:tcW w:w="674" w:type="dxa"/>
            <w:vAlign w:val="center"/>
          </w:tcPr>
          <w:p>
            <w:pPr>
              <w:jc w:val="center"/>
              <w:rPr>
                <w:rFonts w:hint="eastAsia" w:ascii="Times New Roman" w:hAnsi="Times New Roman" w:eastAsia="宋体"/>
                <w:bCs/>
                <w:szCs w:val="21"/>
                <w:highlight w:val="none"/>
                <w:lang w:val="en-US" w:eastAsia="zh-CN"/>
              </w:rPr>
            </w:pPr>
            <w:r>
              <w:rPr>
                <w:rFonts w:hint="eastAsia" w:ascii="Times New Roman" w:hAnsi="Times New Roman" w:eastAsia="宋体"/>
                <w:bCs/>
                <w:szCs w:val="21"/>
                <w:highlight w:val="none"/>
                <w:lang w:val="en-US" w:eastAsia="zh-CN"/>
              </w:rPr>
              <w:t>4</w:t>
            </w:r>
          </w:p>
        </w:tc>
        <w:tc>
          <w:tcPr>
            <w:tcW w:w="1207" w:type="dxa"/>
            <w:vAlign w:val="center"/>
          </w:tcPr>
          <w:p>
            <w:pPr>
              <w:jc w:val="center"/>
              <w:rPr>
                <w:rFonts w:ascii="Times New Roman" w:hAnsi="Times New Roman" w:eastAsia="宋体"/>
                <w:bCs/>
                <w:szCs w:val="21"/>
                <w:highlight w:val="none"/>
                <w:lang w:val="en-US"/>
              </w:rPr>
            </w:pPr>
            <w:r>
              <w:rPr>
                <w:rFonts w:ascii="Times New Roman" w:hAnsi="Times New Roman" w:eastAsia="宋体"/>
                <w:bCs/>
                <w:szCs w:val="21"/>
                <w:highlight w:val="none"/>
                <w:lang w:val="en-US"/>
              </w:rPr>
              <w:t>77.74</w:t>
            </w:r>
            <w:r>
              <w:rPr>
                <w:rFonts w:hint="eastAsia" w:ascii="Times New Roman" w:hAnsi="Times New Roman" w:eastAsia="宋体"/>
                <w:bCs/>
                <w:szCs w:val="21"/>
                <w:highlight w:val="none"/>
                <w:lang w:val="en-US"/>
              </w:rPr>
              <w:t>0</w:t>
            </w:r>
          </w:p>
        </w:tc>
        <w:tc>
          <w:tcPr>
            <w:tcW w:w="1207" w:type="dxa"/>
            <w:vMerge w:val="continue"/>
            <w:vAlign w:val="center"/>
          </w:tcPr>
          <w:p>
            <w:pPr>
              <w:jc w:val="center"/>
              <w:rPr>
                <w:rFonts w:ascii="Times New Roman" w:hAnsi="Times New Roman" w:eastAsia="宋体"/>
                <w:bCs/>
                <w:szCs w:val="21"/>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continue"/>
            <w:vAlign w:val="center"/>
          </w:tcPr>
          <w:p>
            <w:pPr>
              <w:jc w:val="center"/>
              <w:rPr>
                <w:rFonts w:ascii="Times New Roman" w:hAnsi="Times New Roman" w:eastAsia="宋体"/>
                <w:bCs/>
                <w:szCs w:val="21"/>
                <w:highlight w:val="none"/>
              </w:rPr>
            </w:pPr>
          </w:p>
        </w:tc>
        <w:tc>
          <w:tcPr>
            <w:tcW w:w="658" w:type="dxa"/>
            <w:vAlign w:val="center"/>
          </w:tcPr>
          <w:p>
            <w:pPr>
              <w:numPr>
                <w:ilvl w:val="0"/>
                <w:numId w:val="14"/>
              </w:numPr>
              <w:jc w:val="center"/>
              <w:rPr>
                <w:rFonts w:ascii="Times New Roman" w:hAnsi="Times New Roman" w:eastAsia="宋体"/>
                <w:bCs/>
                <w:szCs w:val="21"/>
                <w:highlight w:val="none"/>
              </w:rPr>
            </w:pPr>
          </w:p>
        </w:tc>
        <w:tc>
          <w:tcPr>
            <w:tcW w:w="3680" w:type="dxa"/>
            <w:vAlign w:val="center"/>
          </w:tcPr>
          <w:p>
            <w:pPr>
              <w:textAlignment w:val="center"/>
              <w:rPr>
                <w:rFonts w:ascii="Times New Roman" w:hAnsi="Times New Roman" w:eastAsia="宋体"/>
                <w:bCs/>
                <w:szCs w:val="21"/>
                <w:highlight w:val="none"/>
              </w:rPr>
            </w:pPr>
            <w:r>
              <w:rPr>
                <w:rFonts w:ascii="Times New Roman" w:hAnsi="Times New Roman" w:eastAsia="宋体"/>
                <w:color w:val="000000"/>
                <w:kern w:val="0"/>
                <w:szCs w:val="21"/>
                <w:highlight w:val="none"/>
                <w:lang w:val="en-US" w:bidi="ar"/>
              </w:rPr>
              <w:t>实验室管理系统Ⅰ</w:t>
            </w:r>
          </w:p>
        </w:tc>
        <w:tc>
          <w:tcPr>
            <w:tcW w:w="974" w:type="dxa"/>
            <w:vAlign w:val="center"/>
          </w:tcPr>
          <w:p>
            <w:pPr>
              <w:jc w:val="center"/>
              <w:rPr>
                <w:rFonts w:ascii="Times New Roman" w:hAnsi="Times New Roman" w:eastAsia="宋体"/>
                <w:bCs/>
                <w:szCs w:val="21"/>
                <w:highlight w:val="none"/>
              </w:rPr>
            </w:pPr>
            <w:r>
              <w:rPr>
                <w:rFonts w:ascii="Times New Roman" w:hAnsi="Times New Roman" w:eastAsia="宋体"/>
                <w:szCs w:val="21"/>
                <w:highlight w:val="none"/>
              </w:rPr>
              <w:t>套</w:t>
            </w:r>
          </w:p>
        </w:tc>
        <w:tc>
          <w:tcPr>
            <w:tcW w:w="674" w:type="dxa"/>
            <w:vAlign w:val="center"/>
          </w:tcPr>
          <w:p>
            <w:pPr>
              <w:jc w:val="center"/>
              <w:rPr>
                <w:rFonts w:ascii="Times New Roman" w:hAnsi="Times New Roman" w:eastAsia="宋体"/>
                <w:bCs/>
                <w:szCs w:val="21"/>
                <w:highlight w:val="none"/>
                <w:lang w:val="en-US"/>
              </w:rPr>
            </w:pPr>
            <w:r>
              <w:rPr>
                <w:rFonts w:ascii="Times New Roman" w:hAnsi="Times New Roman" w:eastAsia="宋体"/>
                <w:bCs/>
                <w:szCs w:val="21"/>
                <w:highlight w:val="none"/>
                <w:lang w:val="en-US"/>
              </w:rPr>
              <w:t>2</w:t>
            </w:r>
          </w:p>
        </w:tc>
        <w:tc>
          <w:tcPr>
            <w:tcW w:w="1207" w:type="dxa"/>
            <w:vAlign w:val="center"/>
          </w:tcPr>
          <w:p>
            <w:pPr>
              <w:jc w:val="center"/>
              <w:rPr>
                <w:rFonts w:ascii="Times New Roman" w:hAnsi="Times New Roman" w:eastAsia="宋体"/>
                <w:bCs/>
                <w:szCs w:val="21"/>
                <w:highlight w:val="none"/>
                <w:lang w:val="en-US"/>
              </w:rPr>
            </w:pPr>
            <w:r>
              <w:rPr>
                <w:rFonts w:ascii="Times New Roman" w:hAnsi="Times New Roman" w:eastAsia="宋体"/>
                <w:bCs/>
                <w:szCs w:val="21"/>
                <w:highlight w:val="none"/>
                <w:lang w:val="en-US"/>
              </w:rPr>
              <w:t>22.40</w:t>
            </w:r>
            <w:r>
              <w:rPr>
                <w:rFonts w:hint="eastAsia" w:ascii="Times New Roman" w:hAnsi="Times New Roman" w:eastAsia="宋体"/>
                <w:bCs/>
                <w:szCs w:val="21"/>
                <w:highlight w:val="none"/>
                <w:lang w:val="en-US"/>
              </w:rPr>
              <w:t>0</w:t>
            </w:r>
          </w:p>
        </w:tc>
        <w:tc>
          <w:tcPr>
            <w:tcW w:w="1207" w:type="dxa"/>
            <w:vMerge w:val="continue"/>
            <w:vAlign w:val="center"/>
          </w:tcPr>
          <w:p>
            <w:pPr>
              <w:jc w:val="center"/>
              <w:rPr>
                <w:rFonts w:ascii="Times New Roman" w:hAnsi="Times New Roman" w:eastAsia="宋体"/>
                <w:bCs/>
                <w:szCs w:val="21"/>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restart"/>
            <w:vAlign w:val="center"/>
          </w:tcPr>
          <w:p>
            <w:pPr>
              <w:numPr>
                <w:ilvl w:val="0"/>
                <w:numId w:val="13"/>
              </w:numPr>
              <w:tabs>
                <w:tab w:val="clear" w:pos="0"/>
              </w:tabs>
              <w:jc w:val="center"/>
              <w:rPr>
                <w:rFonts w:ascii="Times New Roman" w:hAnsi="Times New Roman" w:eastAsia="宋体"/>
                <w:bCs/>
                <w:szCs w:val="21"/>
                <w:highlight w:val="none"/>
              </w:rPr>
            </w:pPr>
          </w:p>
        </w:tc>
        <w:tc>
          <w:tcPr>
            <w:tcW w:w="658" w:type="dxa"/>
            <w:vAlign w:val="center"/>
          </w:tcPr>
          <w:p>
            <w:pPr>
              <w:numPr>
                <w:ilvl w:val="0"/>
                <w:numId w:val="15"/>
              </w:numPr>
              <w:jc w:val="center"/>
              <w:rPr>
                <w:rFonts w:ascii="Times New Roman" w:hAnsi="Times New Roman" w:eastAsia="宋体"/>
                <w:bCs/>
                <w:szCs w:val="21"/>
                <w:highlight w:val="none"/>
              </w:rPr>
            </w:pPr>
          </w:p>
        </w:tc>
        <w:tc>
          <w:tcPr>
            <w:tcW w:w="3680" w:type="dxa"/>
            <w:vAlign w:val="center"/>
          </w:tcPr>
          <w:p>
            <w:pPr>
              <w:textAlignment w:val="center"/>
              <w:rPr>
                <w:rFonts w:ascii="Times New Roman" w:hAnsi="Times New Roman" w:eastAsia="宋体"/>
                <w:color w:val="000000"/>
                <w:kern w:val="0"/>
                <w:szCs w:val="21"/>
                <w:highlight w:val="none"/>
                <w:lang w:val="en-US" w:bidi="ar"/>
              </w:rPr>
            </w:pPr>
            <w:r>
              <w:rPr>
                <w:rFonts w:ascii="Times New Roman" w:hAnsi="Times New Roman" w:eastAsia="宋体"/>
                <w:color w:val="000000"/>
                <w:kern w:val="0"/>
                <w:szCs w:val="21"/>
                <w:highlight w:val="none"/>
                <w:lang w:val="en-US" w:bidi="ar"/>
              </w:rPr>
              <w:t>手机取证塔Ⅱ</w:t>
            </w:r>
          </w:p>
        </w:tc>
        <w:tc>
          <w:tcPr>
            <w:tcW w:w="974" w:type="dxa"/>
            <w:vAlign w:val="center"/>
          </w:tcPr>
          <w:p>
            <w:pPr>
              <w:jc w:val="center"/>
              <w:rPr>
                <w:rFonts w:ascii="Times New Roman" w:hAnsi="Times New Roman" w:eastAsia="宋体"/>
                <w:szCs w:val="21"/>
                <w:highlight w:val="none"/>
              </w:rPr>
            </w:pPr>
            <w:r>
              <w:rPr>
                <w:rFonts w:ascii="Times New Roman" w:hAnsi="Times New Roman" w:eastAsia="宋体"/>
                <w:szCs w:val="21"/>
                <w:highlight w:val="none"/>
              </w:rPr>
              <w:t>套</w:t>
            </w:r>
          </w:p>
        </w:tc>
        <w:tc>
          <w:tcPr>
            <w:tcW w:w="674" w:type="dxa"/>
            <w:vAlign w:val="center"/>
          </w:tcPr>
          <w:p>
            <w:pPr>
              <w:jc w:val="center"/>
              <w:rPr>
                <w:rFonts w:hint="eastAsia" w:ascii="Times New Roman" w:hAnsi="Times New Roman" w:eastAsia="宋体"/>
                <w:bCs/>
                <w:szCs w:val="21"/>
                <w:highlight w:val="none"/>
                <w:lang w:val="en-US" w:eastAsia="zh-CN"/>
              </w:rPr>
            </w:pPr>
            <w:r>
              <w:rPr>
                <w:rFonts w:hint="eastAsia" w:ascii="Times New Roman" w:hAnsi="Times New Roman" w:eastAsia="宋体"/>
                <w:bCs/>
                <w:szCs w:val="21"/>
                <w:highlight w:val="none"/>
                <w:lang w:val="en-US" w:eastAsia="zh-CN"/>
              </w:rPr>
              <w:t>5</w:t>
            </w:r>
          </w:p>
        </w:tc>
        <w:tc>
          <w:tcPr>
            <w:tcW w:w="1207" w:type="dxa"/>
            <w:vAlign w:val="center"/>
          </w:tcPr>
          <w:p>
            <w:pPr>
              <w:jc w:val="center"/>
              <w:rPr>
                <w:rFonts w:ascii="Times New Roman" w:hAnsi="Times New Roman" w:eastAsia="宋体"/>
                <w:bCs/>
                <w:szCs w:val="21"/>
                <w:highlight w:val="none"/>
                <w:lang w:val="en-US"/>
              </w:rPr>
            </w:pPr>
            <w:r>
              <w:rPr>
                <w:rFonts w:ascii="Times New Roman" w:hAnsi="Times New Roman" w:eastAsia="宋体"/>
                <w:bCs/>
                <w:szCs w:val="21"/>
                <w:highlight w:val="none"/>
                <w:lang w:val="en-US"/>
              </w:rPr>
              <w:t>26.24</w:t>
            </w:r>
            <w:r>
              <w:rPr>
                <w:rFonts w:hint="eastAsia" w:ascii="Times New Roman" w:hAnsi="Times New Roman" w:eastAsia="宋体"/>
                <w:bCs/>
                <w:szCs w:val="21"/>
                <w:highlight w:val="none"/>
                <w:lang w:val="en-US"/>
              </w:rPr>
              <w:t>0</w:t>
            </w:r>
          </w:p>
        </w:tc>
        <w:tc>
          <w:tcPr>
            <w:tcW w:w="1207" w:type="dxa"/>
            <w:vMerge w:val="restart"/>
            <w:vAlign w:val="center"/>
          </w:tcPr>
          <w:p>
            <w:pPr>
              <w:jc w:val="center"/>
              <w:rPr>
                <w:rFonts w:ascii="Times New Roman" w:hAnsi="Times New Roman" w:eastAsia="宋体"/>
                <w:bCs/>
                <w:szCs w:val="21"/>
                <w:highlight w:val="none"/>
                <w:lang w:val="en-US"/>
              </w:rPr>
            </w:pPr>
            <w:r>
              <w:rPr>
                <w:rFonts w:ascii="Times New Roman" w:hAnsi="Times New Roman" w:eastAsia="宋体"/>
                <w:bCs/>
                <w:szCs w:val="21"/>
                <w:highlight w:val="none"/>
                <w:lang w:val="en-US"/>
              </w:rPr>
              <w:t>7</w:t>
            </w:r>
            <w:r>
              <w:rPr>
                <w:rFonts w:hint="eastAsia" w:ascii="Times New Roman" w:hAnsi="Times New Roman" w:eastAsia="宋体"/>
                <w:bCs/>
                <w:szCs w:val="21"/>
                <w:highlight w:val="none"/>
                <w:lang w:val="en-US" w:eastAsia="zh-CN"/>
              </w:rPr>
              <w:t>30</w:t>
            </w:r>
            <w:r>
              <w:rPr>
                <w:rFonts w:ascii="Times New Roman" w:hAnsi="Times New Roman" w:eastAsia="宋体"/>
                <w:bCs/>
                <w:szCs w:val="21"/>
                <w:highlight w:val="none"/>
                <w:lang w:val="en-US"/>
              </w:rPr>
              <w:t>.</w:t>
            </w:r>
            <w:r>
              <w:rPr>
                <w:rFonts w:hint="eastAsia" w:ascii="Times New Roman" w:hAnsi="Times New Roman" w:eastAsia="宋体"/>
                <w:bCs/>
                <w:szCs w:val="21"/>
                <w:highlight w:val="none"/>
                <w:lang w:val="en-US" w:eastAsia="zh-CN"/>
              </w:rPr>
              <w:t>62</w:t>
            </w:r>
            <w:r>
              <w:rPr>
                <w:rFonts w:hint="eastAsia" w:ascii="Times New Roman" w:hAnsi="Times New Roman" w:eastAsia="宋体"/>
                <w:bCs/>
                <w:szCs w:val="21"/>
                <w:highlight w:val="none"/>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continue"/>
            <w:vAlign w:val="center"/>
          </w:tcPr>
          <w:p>
            <w:pPr>
              <w:jc w:val="center"/>
              <w:rPr>
                <w:rFonts w:ascii="Times New Roman" w:hAnsi="Times New Roman" w:eastAsia="宋体"/>
                <w:bCs/>
                <w:szCs w:val="21"/>
                <w:highlight w:val="none"/>
              </w:rPr>
            </w:pPr>
          </w:p>
        </w:tc>
        <w:tc>
          <w:tcPr>
            <w:tcW w:w="658" w:type="dxa"/>
            <w:vAlign w:val="center"/>
          </w:tcPr>
          <w:p>
            <w:pPr>
              <w:numPr>
                <w:ilvl w:val="0"/>
                <w:numId w:val="15"/>
              </w:numPr>
              <w:jc w:val="center"/>
              <w:rPr>
                <w:rFonts w:ascii="Times New Roman" w:hAnsi="Times New Roman" w:eastAsia="宋体"/>
                <w:bCs/>
                <w:szCs w:val="21"/>
                <w:highlight w:val="none"/>
              </w:rPr>
            </w:pPr>
          </w:p>
        </w:tc>
        <w:tc>
          <w:tcPr>
            <w:tcW w:w="3680" w:type="dxa"/>
            <w:vAlign w:val="center"/>
          </w:tcPr>
          <w:p>
            <w:pPr>
              <w:textAlignment w:val="center"/>
              <w:rPr>
                <w:rFonts w:ascii="Times New Roman" w:hAnsi="Times New Roman" w:eastAsia="宋体"/>
                <w:color w:val="000000"/>
                <w:kern w:val="0"/>
                <w:szCs w:val="21"/>
                <w:highlight w:val="none"/>
                <w:lang w:val="en-US" w:bidi="ar"/>
              </w:rPr>
            </w:pPr>
            <w:r>
              <w:rPr>
                <w:rFonts w:ascii="Times New Roman" w:hAnsi="Times New Roman" w:eastAsia="宋体"/>
                <w:color w:val="000000"/>
                <w:kern w:val="0"/>
                <w:szCs w:val="21"/>
                <w:highlight w:val="none"/>
                <w:lang w:val="en-US" w:bidi="ar"/>
              </w:rPr>
              <w:t>便携式手机取证设备Ⅱ</w:t>
            </w:r>
          </w:p>
        </w:tc>
        <w:tc>
          <w:tcPr>
            <w:tcW w:w="974" w:type="dxa"/>
            <w:vAlign w:val="center"/>
          </w:tcPr>
          <w:p>
            <w:pPr>
              <w:jc w:val="center"/>
              <w:rPr>
                <w:rFonts w:ascii="Times New Roman" w:hAnsi="Times New Roman" w:eastAsia="宋体"/>
                <w:szCs w:val="21"/>
                <w:highlight w:val="none"/>
              </w:rPr>
            </w:pPr>
            <w:r>
              <w:rPr>
                <w:rFonts w:ascii="Times New Roman" w:hAnsi="Times New Roman" w:eastAsia="宋体"/>
                <w:szCs w:val="21"/>
                <w:highlight w:val="none"/>
              </w:rPr>
              <w:t>套</w:t>
            </w:r>
          </w:p>
        </w:tc>
        <w:tc>
          <w:tcPr>
            <w:tcW w:w="674" w:type="dxa"/>
            <w:vAlign w:val="center"/>
          </w:tcPr>
          <w:p>
            <w:pPr>
              <w:jc w:val="center"/>
              <w:rPr>
                <w:rFonts w:ascii="Times New Roman" w:hAnsi="Times New Roman" w:eastAsia="宋体"/>
                <w:bCs/>
                <w:szCs w:val="21"/>
                <w:highlight w:val="none"/>
                <w:lang w:val="en-US"/>
              </w:rPr>
            </w:pPr>
            <w:r>
              <w:rPr>
                <w:rFonts w:ascii="Times New Roman" w:hAnsi="Times New Roman" w:eastAsia="宋体"/>
                <w:bCs/>
                <w:szCs w:val="21"/>
                <w:highlight w:val="none"/>
                <w:lang w:val="en-US"/>
              </w:rPr>
              <w:t>7</w:t>
            </w:r>
          </w:p>
        </w:tc>
        <w:tc>
          <w:tcPr>
            <w:tcW w:w="1207" w:type="dxa"/>
            <w:vAlign w:val="center"/>
          </w:tcPr>
          <w:p>
            <w:pPr>
              <w:jc w:val="center"/>
              <w:rPr>
                <w:rFonts w:ascii="Times New Roman" w:hAnsi="Times New Roman" w:eastAsia="宋体"/>
                <w:bCs/>
                <w:szCs w:val="21"/>
                <w:highlight w:val="none"/>
                <w:lang w:val="en-US"/>
              </w:rPr>
            </w:pPr>
            <w:r>
              <w:rPr>
                <w:rFonts w:ascii="Times New Roman" w:hAnsi="Times New Roman" w:eastAsia="宋体"/>
                <w:bCs/>
                <w:szCs w:val="21"/>
                <w:highlight w:val="none"/>
                <w:lang w:val="en-US"/>
              </w:rPr>
              <w:t>25.60</w:t>
            </w:r>
            <w:r>
              <w:rPr>
                <w:rFonts w:hint="eastAsia" w:ascii="Times New Roman" w:hAnsi="Times New Roman" w:eastAsia="宋体"/>
                <w:bCs/>
                <w:szCs w:val="21"/>
                <w:highlight w:val="none"/>
                <w:lang w:val="en-US"/>
              </w:rPr>
              <w:t>0</w:t>
            </w:r>
          </w:p>
        </w:tc>
        <w:tc>
          <w:tcPr>
            <w:tcW w:w="1207" w:type="dxa"/>
            <w:vMerge w:val="continue"/>
            <w:vAlign w:val="center"/>
          </w:tcPr>
          <w:p>
            <w:pPr>
              <w:jc w:val="center"/>
              <w:rPr>
                <w:rFonts w:ascii="Times New Roman" w:hAnsi="Times New Roman" w:eastAsia="宋体"/>
                <w:bCs/>
                <w:szCs w:val="21"/>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continue"/>
            <w:vAlign w:val="center"/>
          </w:tcPr>
          <w:p>
            <w:pPr>
              <w:jc w:val="center"/>
              <w:rPr>
                <w:rFonts w:ascii="Times New Roman" w:hAnsi="Times New Roman" w:eastAsia="宋体"/>
                <w:bCs/>
                <w:szCs w:val="21"/>
                <w:highlight w:val="none"/>
              </w:rPr>
            </w:pPr>
          </w:p>
        </w:tc>
        <w:tc>
          <w:tcPr>
            <w:tcW w:w="658" w:type="dxa"/>
            <w:vAlign w:val="center"/>
          </w:tcPr>
          <w:p>
            <w:pPr>
              <w:numPr>
                <w:ilvl w:val="0"/>
                <w:numId w:val="15"/>
              </w:numPr>
              <w:jc w:val="center"/>
              <w:rPr>
                <w:rFonts w:ascii="Times New Roman" w:hAnsi="Times New Roman" w:eastAsia="宋体"/>
                <w:bCs/>
                <w:szCs w:val="21"/>
                <w:highlight w:val="none"/>
              </w:rPr>
            </w:pPr>
          </w:p>
        </w:tc>
        <w:tc>
          <w:tcPr>
            <w:tcW w:w="3680" w:type="dxa"/>
            <w:vAlign w:val="center"/>
          </w:tcPr>
          <w:p>
            <w:pPr>
              <w:textAlignment w:val="center"/>
              <w:rPr>
                <w:rFonts w:ascii="Times New Roman" w:hAnsi="Times New Roman" w:eastAsia="宋体"/>
                <w:color w:val="000000"/>
                <w:kern w:val="0"/>
                <w:szCs w:val="21"/>
                <w:highlight w:val="none"/>
                <w:lang w:val="en-US" w:bidi="ar"/>
              </w:rPr>
            </w:pPr>
            <w:r>
              <w:rPr>
                <w:rFonts w:ascii="Times New Roman" w:hAnsi="Times New Roman" w:eastAsia="宋体"/>
                <w:color w:val="000000"/>
                <w:kern w:val="0"/>
                <w:szCs w:val="21"/>
                <w:highlight w:val="none"/>
                <w:lang w:val="en-US" w:bidi="ar"/>
              </w:rPr>
              <w:t>便携式手机取证设备Ⅲ</w:t>
            </w:r>
          </w:p>
        </w:tc>
        <w:tc>
          <w:tcPr>
            <w:tcW w:w="974" w:type="dxa"/>
            <w:vAlign w:val="center"/>
          </w:tcPr>
          <w:p>
            <w:pPr>
              <w:jc w:val="center"/>
              <w:rPr>
                <w:rFonts w:ascii="Times New Roman" w:hAnsi="Times New Roman" w:eastAsia="宋体"/>
                <w:szCs w:val="21"/>
                <w:highlight w:val="none"/>
              </w:rPr>
            </w:pPr>
            <w:r>
              <w:rPr>
                <w:rFonts w:ascii="Times New Roman" w:hAnsi="Times New Roman" w:eastAsia="宋体"/>
                <w:szCs w:val="21"/>
                <w:highlight w:val="none"/>
              </w:rPr>
              <w:t>套</w:t>
            </w:r>
          </w:p>
        </w:tc>
        <w:tc>
          <w:tcPr>
            <w:tcW w:w="674" w:type="dxa"/>
            <w:vAlign w:val="center"/>
          </w:tcPr>
          <w:p>
            <w:pPr>
              <w:jc w:val="center"/>
              <w:rPr>
                <w:rFonts w:ascii="Times New Roman" w:hAnsi="Times New Roman" w:eastAsia="宋体"/>
                <w:bCs/>
                <w:szCs w:val="21"/>
                <w:highlight w:val="none"/>
                <w:lang w:val="en-US"/>
              </w:rPr>
            </w:pPr>
            <w:r>
              <w:rPr>
                <w:rFonts w:ascii="Times New Roman" w:hAnsi="Times New Roman" w:eastAsia="宋体"/>
                <w:bCs/>
                <w:szCs w:val="21"/>
                <w:highlight w:val="none"/>
                <w:lang w:val="en-US"/>
              </w:rPr>
              <w:t>1</w:t>
            </w:r>
          </w:p>
        </w:tc>
        <w:tc>
          <w:tcPr>
            <w:tcW w:w="1207" w:type="dxa"/>
            <w:vAlign w:val="center"/>
          </w:tcPr>
          <w:p>
            <w:pPr>
              <w:jc w:val="center"/>
              <w:rPr>
                <w:rFonts w:ascii="Times New Roman" w:hAnsi="Times New Roman" w:eastAsia="宋体"/>
                <w:bCs/>
                <w:szCs w:val="21"/>
                <w:highlight w:val="none"/>
                <w:lang w:val="en-US"/>
              </w:rPr>
            </w:pPr>
            <w:r>
              <w:rPr>
                <w:rFonts w:ascii="Times New Roman" w:hAnsi="Times New Roman" w:eastAsia="宋体"/>
                <w:bCs/>
                <w:szCs w:val="21"/>
                <w:highlight w:val="none"/>
                <w:lang w:val="en-US"/>
              </w:rPr>
              <w:t>23.84</w:t>
            </w:r>
            <w:r>
              <w:rPr>
                <w:rFonts w:hint="eastAsia" w:ascii="Times New Roman" w:hAnsi="Times New Roman" w:eastAsia="宋体"/>
                <w:bCs/>
                <w:szCs w:val="21"/>
                <w:highlight w:val="none"/>
                <w:lang w:val="en-US"/>
              </w:rPr>
              <w:t>0</w:t>
            </w:r>
          </w:p>
        </w:tc>
        <w:tc>
          <w:tcPr>
            <w:tcW w:w="1207" w:type="dxa"/>
            <w:vMerge w:val="continue"/>
            <w:vAlign w:val="center"/>
          </w:tcPr>
          <w:p>
            <w:pPr>
              <w:jc w:val="center"/>
              <w:rPr>
                <w:rFonts w:ascii="Times New Roman" w:hAnsi="Times New Roman" w:eastAsia="宋体"/>
                <w:bCs/>
                <w:szCs w:val="21"/>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continue"/>
            <w:vAlign w:val="center"/>
          </w:tcPr>
          <w:p>
            <w:pPr>
              <w:jc w:val="center"/>
              <w:rPr>
                <w:rFonts w:ascii="Times New Roman" w:hAnsi="Times New Roman" w:eastAsia="宋体"/>
                <w:bCs/>
                <w:szCs w:val="21"/>
                <w:highlight w:val="none"/>
              </w:rPr>
            </w:pPr>
          </w:p>
        </w:tc>
        <w:tc>
          <w:tcPr>
            <w:tcW w:w="658" w:type="dxa"/>
            <w:vAlign w:val="center"/>
          </w:tcPr>
          <w:p>
            <w:pPr>
              <w:numPr>
                <w:ilvl w:val="0"/>
                <w:numId w:val="15"/>
              </w:numPr>
              <w:jc w:val="center"/>
              <w:rPr>
                <w:rFonts w:ascii="Times New Roman" w:hAnsi="Times New Roman" w:eastAsia="宋体"/>
                <w:bCs/>
                <w:szCs w:val="21"/>
                <w:highlight w:val="none"/>
              </w:rPr>
            </w:pPr>
          </w:p>
        </w:tc>
        <w:tc>
          <w:tcPr>
            <w:tcW w:w="3680" w:type="dxa"/>
            <w:vAlign w:val="center"/>
          </w:tcPr>
          <w:p>
            <w:pPr>
              <w:textAlignment w:val="center"/>
              <w:rPr>
                <w:rFonts w:ascii="Times New Roman" w:hAnsi="Times New Roman" w:eastAsia="宋体"/>
                <w:color w:val="000000"/>
                <w:kern w:val="0"/>
                <w:szCs w:val="21"/>
                <w:highlight w:val="none"/>
                <w:lang w:val="en-US" w:bidi="ar"/>
              </w:rPr>
            </w:pPr>
            <w:r>
              <w:rPr>
                <w:rFonts w:ascii="Times New Roman" w:hAnsi="Times New Roman" w:eastAsia="宋体"/>
                <w:color w:val="000000"/>
                <w:kern w:val="0"/>
                <w:szCs w:val="21"/>
                <w:highlight w:val="none"/>
                <w:lang w:val="en-US" w:bidi="ar"/>
              </w:rPr>
              <w:t>介质取证塔Ⅱ</w:t>
            </w:r>
          </w:p>
        </w:tc>
        <w:tc>
          <w:tcPr>
            <w:tcW w:w="974" w:type="dxa"/>
            <w:vAlign w:val="center"/>
          </w:tcPr>
          <w:p>
            <w:pPr>
              <w:jc w:val="center"/>
              <w:rPr>
                <w:rFonts w:ascii="Times New Roman" w:hAnsi="Times New Roman" w:eastAsia="宋体"/>
                <w:szCs w:val="21"/>
                <w:highlight w:val="none"/>
              </w:rPr>
            </w:pPr>
            <w:r>
              <w:rPr>
                <w:rFonts w:ascii="Times New Roman" w:hAnsi="Times New Roman" w:eastAsia="宋体"/>
                <w:szCs w:val="21"/>
                <w:highlight w:val="none"/>
              </w:rPr>
              <w:t>套</w:t>
            </w:r>
          </w:p>
        </w:tc>
        <w:tc>
          <w:tcPr>
            <w:tcW w:w="674" w:type="dxa"/>
            <w:vAlign w:val="center"/>
          </w:tcPr>
          <w:p>
            <w:pPr>
              <w:jc w:val="center"/>
              <w:rPr>
                <w:rFonts w:ascii="Times New Roman" w:hAnsi="Times New Roman" w:eastAsia="宋体"/>
                <w:bCs/>
                <w:szCs w:val="21"/>
                <w:highlight w:val="none"/>
                <w:lang w:val="en-US"/>
              </w:rPr>
            </w:pPr>
            <w:r>
              <w:rPr>
                <w:rFonts w:ascii="Times New Roman" w:hAnsi="Times New Roman" w:eastAsia="宋体"/>
                <w:bCs/>
                <w:szCs w:val="21"/>
                <w:highlight w:val="none"/>
                <w:lang w:val="en-US"/>
              </w:rPr>
              <w:t>1</w:t>
            </w:r>
          </w:p>
        </w:tc>
        <w:tc>
          <w:tcPr>
            <w:tcW w:w="1207" w:type="dxa"/>
            <w:vAlign w:val="center"/>
          </w:tcPr>
          <w:p>
            <w:pPr>
              <w:jc w:val="center"/>
              <w:rPr>
                <w:rFonts w:ascii="Times New Roman" w:hAnsi="Times New Roman" w:eastAsia="宋体"/>
                <w:bCs/>
                <w:szCs w:val="21"/>
                <w:highlight w:val="none"/>
                <w:lang w:val="en-US"/>
              </w:rPr>
            </w:pPr>
            <w:r>
              <w:rPr>
                <w:rFonts w:ascii="Times New Roman" w:hAnsi="Times New Roman" w:eastAsia="宋体"/>
                <w:bCs/>
                <w:szCs w:val="21"/>
                <w:highlight w:val="none"/>
                <w:lang w:val="en-US"/>
              </w:rPr>
              <w:t>15.04</w:t>
            </w:r>
            <w:r>
              <w:rPr>
                <w:rFonts w:hint="eastAsia" w:ascii="Times New Roman" w:hAnsi="Times New Roman" w:eastAsia="宋体"/>
                <w:bCs/>
                <w:szCs w:val="21"/>
                <w:highlight w:val="none"/>
                <w:lang w:val="en-US"/>
              </w:rPr>
              <w:t>0</w:t>
            </w:r>
          </w:p>
        </w:tc>
        <w:tc>
          <w:tcPr>
            <w:tcW w:w="1207" w:type="dxa"/>
            <w:vMerge w:val="continue"/>
            <w:vAlign w:val="center"/>
          </w:tcPr>
          <w:p>
            <w:pPr>
              <w:jc w:val="center"/>
              <w:rPr>
                <w:rFonts w:ascii="Times New Roman" w:hAnsi="Times New Roman" w:eastAsia="宋体"/>
                <w:bCs/>
                <w:szCs w:val="21"/>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continue"/>
            <w:vAlign w:val="center"/>
          </w:tcPr>
          <w:p>
            <w:pPr>
              <w:jc w:val="center"/>
              <w:rPr>
                <w:rFonts w:ascii="Times New Roman" w:hAnsi="Times New Roman" w:eastAsia="宋体"/>
                <w:bCs/>
                <w:szCs w:val="21"/>
                <w:highlight w:val="none"/>
              </w:rPr>
            </w:pPr>
          </w:p>
        </w:tc>
        <w:tc>
          <w:tcPr>
            <w:tcW w:w="658" w:type="dxa"/>
            <w:vAlign w:val="center"/>
          </w:tcPr>
          <w:p>
            <w:pPr>
              <w:numPr>
                <w:ilvl w:val="0"/>
                <w:numId w:val="15"/>
              </w:numPr>
              <w:jc w:val="center"/>
              <w:rPr>
                <w:rFonts w:ascii="Times New Roman" w:hAnsi="Times New Roman" w:eastAsia="宋体"/>
                <w:bCs/>
                <w:szCs w:val="21"/>
                <w:highlight w:val="none"/>
              </w:rPr>
            </w:pPr>
          </w:p>
        </w:tc>
        <w:tc>
          <w:tcPr>
            <w:tcW w:w="3680" w:type="dxa"/>
            <w:vAlign w:val="center"/>
          </w:tcPr>
          <w:p>
            <w:pPr>
              <w:textAlignment w:val="center"/>
              <w:rPr>
                <w:rFonts w:ascii="Times New Roman" w:hAnsi="Times New Roman" w:eastAsia="宋体"/>
                <w:color w:val="000000"/>
                <w:kern w:val="0"/>
                <w:szCs w:val="21"/>
                <w:highlight w:val="none"/>
                <w:lang w:val="en-US" w:bidi="ar"/>
              </w:rPr>
            </w:pPr>
            <w:r>
              <w:rPr>
                <w:rFonts w:ascii="Times New Roman" w:hAnsi="Times New Roman" w:eastAsia="宋体"/>
                <w:color w:val="000000"/>
                <w:kern w:val="0"/>
                <w:szCs w:val="21"/>
                <w:highlight w:val="none"/>
                <w:lang w:val="en-US" w:bidi="ar"/>
              </w:rPr>
              <w:t>云取证工作站Ⅱ</w:t>
            </w:r>
          </w:p>
        </w:tc>
        <w:tc>
          <w:tcPr>
            <w:tcW w:w="974" w:type="dxa"/>
            <w:vAlign w:val="center"/>
          </w:tcPr>
          <w:p>
            <w:pPr>
              <w:jc w:val="center"/>
              <w:rPr>
                <w:rFonts w:ascii="Times New Roman" w:hAnsi="Times New Roman" w:eastAsia="宋体"/>
                <w:szCs w:val="21"/>
                <w:highlight w:val="none"/>
              </w:rPr>
            </w:pPr>
            <w:r>
              <w:rPr>
                <w:rFonts w:ascii="Times New Roman" w:hAnsi="Times New Roman" w:eastAsia="宋体"/>
                <w:szCs w:val="21"/>
                <w:highlight w:val="none"/>
              </w:rPr>
              <w:t>套</w:t>
            </w:r>
          </w:p>
        </w:tc>
        <w:tc>
          <w:tcPr>
            <w:tcW w:w="674" w:type="dxa"/>
            <w:vAlign w:val="center"/>
          </w:tcPr>
          <w:p>
            <w:pPr>
              <w:jc w:val="center"/>
              <w:rPr>
                <w:rFonts w:ascii="Times New Roman" w:hAnsi="Times New Roman" w:eastAsia="宋体"/>
                <w:bCs/>
                <w:szCs w:val="21"/>
                <w:highlight w:val="none"/>
                <w:lang w:val="en-US"/>
              </w:rPr>
            </w:pPr>
            <w:r>
              <w:rPr>
                <w:rFonts w:ascii="Times New Roman" w:hAnsi="Times New Roman" w:eastAsia="宋体"/>
                <w:bCs/>
                <w:szCs w:val="21"/>
                <w:highlight w:val="none"/>
                <w:lang w:val="en-US"/>
              </w:rPr>
              <w:t>2</w:t>
            </w:r>
          </w:p>
        </w:tc>
        <w:tc>
          <w:tcPr>
            <w:tcW w:w="1207" w:type="dxa"/>
            <w:vAlign w:val="center"/>
          </w:tcPr>
          <w:p>
            <w:pPr>
              <w:jc w:val="center"/>
              <w:rPr>
                <w:rFonts w:ascii="Times New Roman" w:hAnsi="Times New Roman" w:eastAsia="宋体"/>
                <w:bCs/>
                <w:szCs w:val="21"/>
                <w:highlight w:val="none"/>
                <w:lang w:val="en-US"/>
              </w:rPr>
            </w:pPr>
            <w:r>
              <w:rPr>
                <w:rFonts w:ascii="Times New Roman" w:hAnsi="Times New Roman" w:eastAsia="宋体"/>
                <w:bCs/>
                <w:szCs w:val="21"/>
                <w:highlight w:val="none"/>
                <w:lang w:val="en-US"/>
              </w:rPr>
              <w:t>26.24</w:t>
            </w:r>
            <w:r>
              <w:rPr>
                <w:rFonts w:hint="eastAsia" w:ascii="Times New Roman" w:hAnsi="Times New Roman" w:eastAsia="宋体"/>
                <w:bCs/>
                <w:szCs w:val="21"/>
                <w:highlight w:val="none"/>
                <w:lang w:val="en-US"/>
              </w:rPr>
              <w:t>0</w:t>
            </w:r>
          </w:p>
        </w:tc>
        <w:tc>
          <w:tcPr>
            <w:tcW w:w="1207" w:type="dxa"/>
            <w:vMerge w:val="continue"/>
            <w:vAlign w:val="center"/>
          </w:tcPr>
          <w:p>
            <w:pPr>
              <w:jc w:val="center"/>
              <w:rPr>
                <w:rFonts w:ascii="Times New Roman" w:hAnsi="Times New Roman" w:eastAsia="宋体"/>
                <w:bCs/>
                <w:szCs w:val="21"/>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continue"/>
            <w:vAlign w:val="center"/>
          </w:tcPr>
          <w:p>
            <w:pPr>
              <w:jc w:val="center"/>
              <w:rPr>
                <w:rFonts w:ascii="Times New Roman" w:hAnsi="Times New Roman" w:eastAsia="宋体"/>
                <w:bCs/>
                <w:szCs w:val="21"/>
                <w:highlight w:val="none"/>
              </w:rPr>
            </w:pPr>
          </w:p>
        </w:tc>
        <w:tc>
          <w:tcPr>
            <w:tcW w:w="658" w:type="dxa"/>
            <w:vAlign w:val="center"/>
          </w:tcPr>
          <w:p>
            <w:pPr>
              <w:numPr>
                <w:ilvl w:val="0"/>
                <w:numId w:val="15"/>
              </w:numPr>
              <w:jc w:val="center"/>
              <w:rPr>
                <w:rFonts w:ascii="Times New Roman" w:hAnsi="Times New Roman" w:eastAsia="宋体"/>
                <w:bCs/>
                <w:szCs w:val="21"/>
                <w:highlight w:val="none"/>
              </w:rPr>
            </w:pPr>
          </w:p>
        </w:tc>
        <w:tc>
          <w:tcPr>
            <w:tcW w:w="3680" w:type="dxa"/>
            <w:vAlign w:val="center"/>
          </w:tcPr>
          <w:p>
            <w:pPr>
              <w:textAlignment w:val="center"/>
              <w:rPr>
                <w:rFonts w:ascii="Times New Roman" w:hAnsi="Times New Roman" w:eastAsia="宋体"/>
                <w:color w:val="000000"/>
                <w:kern w:val="0"/>
                <w:szCs w:val="21"/>
                <w:highlight w:val="none"/>
                <w:lang w:val="en-US" w:bidi="ar"/>
              </w:rPr>
            </w:pPr>
            <w:r>
              <w:rPr>
                <w:rFonts w:ascii="Times New Roman" w:hAnsi="Times New Roman" w:eastAsia="宋体"/>
                <w:color w:val="000000"/>
                <w:kern w:val="0"/>
                <w:szCs w:val="21"/>
                <w:highlight w:val="none"/>
                <w:lang w:val="en-US" w:bidi="ar"/>
              </w:rPr>
              <w:t>手机云取证设备Ⅱ</w:t>
            </w:r>
          </w:p>
        </w:tc>
        <w:tc>
          <w:tcPr>
            <w:tcW w:w="974" w:type="dxa"/>
            <w:vAlign w:val="center"/>
          </w:tcPr>
          <w:p>
            <w:pPr>
              <w:jc w:val="center"/>
              <w:rPr>
                <w:rFonts w:ascii="Times New Roman" w:hAnsi="Times New Roman" w:eastAsia="宋体"/>
                <w:szCs w:val="21"/>
                <w:highlight w:val="none"/>
              </w:rPr>
            </w:pPr>
            <w:r>
              <w:rPr>
                <w:rFonts w:ascii="Times New Roman" w:hAnsi="Times New Roman" w:eastAsia="宋体"/>
                <w:szCs w:val="21"/>
                <w:highlight w:val="none"/>
              </w:rPr>
              <w:t>套</w:t>
            </w:r>
          </w:p>
        </w:tc>
        <w:tc>
          <w:tcPr>
            <w:tcW w:w="674" w:type="dxa"/>
            <w:vAlign w:val="center"/>
          </w:tcPr>
          <w:p>
            <w:pPr>
              <w:jc w:val="center"/>
              <w:rPr>
                <w:rFonts w:ascii="Times New Roman" w:hAnsi="Times New Roman" w:eastAsia="宋体"/>
                <w:bCs/>
                <w:szCs w:val="21"/>
                <w:highlight w:val="none"/>
                <w:lang w:val="en-US"/>
              </w:rPr>
            </w:pPr>
            <w:r>
              <w:rPr>
                <w:rFonts w:ascii="Times New Roman" w:hAnsi="Times New Roman" w:eastAsia="宋体"/>
                <w:bCs/>
                <w:szCs w:val="21"/>
                <w:highlight w:val="none"/>
                <w:lang w:val="en-US"/>
              </w:rPr>
              <w:t>1</w:t>
            </w:r>
          </w:p>
        </w:tc>
        <w:tc>
          <w:tcPr>
            <w:tcW w:w="1207" w:type="dxa"/>
            <w:vAlign w:val="center"/>
          </w:tcPr>
          <w:p>
            <w:pPr>
              <w:jc w:val="center"/>
              <w:rPr>
                <w:rFonts w:ascii="Times New Roman" w:hAnsi="Times New Roman" w:eastAsia="宋体"/>
                <w:bCs/>
                <w:szCs w:val="21"/>
                <w:highlight w:val="none"/>
                <w:lang w:val="en-US"/>
              </w:rPr>
            </w:pPr>
            <w:r>
              <w:rPr>
                <w:rFonts w:ascii="Times New Roman" w:hAnsi="Times New Roman" w:eastAsia="宋体"/>
                <w:bCs/>
                <w:szCs w:val="21"/>
                <w:highlight w:val="none"/>
                <w:lang w:val="en-US"/>
              </w:rPr>
              <w:t>43.60</w:t>
            </w:r>
            <w:r>
              <w:rPr>
                <w:rFonts w:hint="eastAsia" w:ascii="Times New Roman" w:hAnsi="Times New Roman" w:eastAsia="宋体"/>
                <w:bCs/>
                <w:szCs w:val="21"/>
                <w:highlight w:val="none"/>
                <w:lang w:val="en-US"/>
              </w:rPr>
              <w:t>0</w:t>
            </w:r>
          </w:p>
        </w:tc>
        <w:tc>
          <w:tcPr>
            <w:tcW w:w="1207" w:type="dxa"/>
            <w:vMerge w:val="continue"/>
            <w:vAlign w:val="center"/>
          </w:tcPr>
          <w:p>
            <w:pPr>
              <w:jc w:val="center"/>
              <w:rPr>
                <w:rFonts w:ascii="Times New Roman" w:hAnsi="Times New Roman" w:eastAsia="宋体"/>
                <w:bCs/>
                <w:szCs w:val="21"/>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continue"/>
            <w:vAlign w:val="center"/>
          </w:tcPr>
          <w:p>
            <w:pPr>
              <w:jc w:val="center"/>
              <w:rPr>
                <w:rFonts w:ascii="Times New Roman" w:hAnsi="Times New Roman" w:eastAsia="宋体"/>
                <w:bCs/>
                <w:szCs w:val="21"/>
                <w:highlight w:val="none"/>
              </w:rPr>
            </w:pPr>
          </w:p>
        </w:tc>
        <w:tc>
          <w:tcPr>
            <w:tcW w:w="658" w:type="dxa"/>
            <w:vAlign w:val="center"/>
          </w:tcPr>
          <w:p>
            <w:pPr>
              <w:numPr>
                <w:ilvl w:val="0"/>
                <w:numId w:val="15"/>
              </w:numPr>
              <w:jc w:val="center"/>
              <w:rPr>
                <w:rFonts w:ascii="Times New Roman" w:hAnsi="Times New Roman" w:eastAsia="宋体"/>
                <w:bCs/>
                <w:szCs w:val="21"/>
                <w:highlight w:val="none"/>
              </w:rPr>
            </w:pPr>
          </w:p>
        </w:tc>
        <w:tc>
          <w:tcPr>
            <w:tcW w:w="3680" w:type="dxa"/>
            <w:vAlign w:val="center"/>
          </w:tcPr>
          <w:p>
            <w:pPr>
              <w:textAlignment w:val="center"/>
              <w:rPr>
                <w:rFonts w:ascii="Times New Roman" w:hAnsi="Times New Roman" w:eastAsia="宋体"/>
                <w:color w:val="000000"/>
                <w:kern w:val="0"/>
                <w:szCs w:val="21"/>
                <w:highlight w:val="none"/>
                <w:lang w:val="en-US" w:bidi="ar"/>
              </w:rPr>
            </w:pPr>
            <w:r>
              <w:rPr>
                <w:rFonts w:ascii="Times New Roman" w:hAnsi="Times New Roman" w:eastAsia="宋体"/>
                <w:color w:val="000000"/>
                <w:kern w:val="0"/>
                <w:szCs w:val="21"/>
                <w:highlight w:val="none"/>
                <w:lang w:val="en-US" w:bidi="ar"/>
              </w:rPr>
              <w:t>手机云取证设备Ⅲ</w:t>
            </w:r>
          </w:p>
        </w:tc>
        <w:tc>
          <w:tcPr>
            <w:tcW w:w="974" w:type="dxa"/>
            <w:vAlign w:val="center"/>
          </w:tcPr>
          <w:p>
            <w:pPr>
              <w:jc w:val="center"/>
              <w:rPr>
                <w:rFonts w:ascii="Times New Roman" w:hAnsi="Times New Roman" w:eastAsia="宋体"/>
                <w:szCs w:val="21"/>
                <w:highlight w:val="none"/>
              </w:rPr>
            </w:pPr>
            <w:r>
              <w:rPr>
                <w:rFonts w:ascii="Times New Roman" w:hAnsi="Times New Roman" w:eastAsia="宋体"/>
                <w:szCs w:val="21"/>
                <w:highlight w:val="none"/>
              </w:rPr>
              <w:t>套</w:t>
            </w:r>
          </w:p>
        </w:tc>
        <w:tc>
          <w:tcPr>
            <w:tcW w:w="674" w:type="dxa"/>
            <w:vAlign w:val="center"/>
          </w:tcPr>
          <w:p>
            <w:pPr>
              <w:jc w:val="center"/>
              <w:rPr>
                <w:rFonts w:ascii="Times New Roman" w:hAnsi="Times New Roman" w:eastAsia="宋体"/>
                <w:bCs/>
                <w:szCs w:val="21"/>
                <w:highlight w:val="none"/>
                <w:lang w:val="en-US"/>
              </w:rPr>
            </w:pPr>
            <w:r>
              <w:rPr>
                <w:rFonts w:ascii="Times New Roman" w:hAnsi="Times New Roman" w:eastAsia="宋体"/>
                <w:bCs/>
                <w:szCs w:val="21"/>
                <w:highlight w:val="none"/>
                <w:lang w:val="en-US"/>
              </w:rPr>
              <w:t>11</w:t>
            </w:r>
          </w:p>
        </w:tc>
        <w:tc>
          <w:tcPr>
            <w:tcW w:w="1207" w:type="dxa"/>
            <w:vAlign w:val="center"/>
          </w:tcPr>
          <w:p>
            <w:pPr>
              <w:jc w:val="center"/>
              <w:rPr>
                <w:rFonts w:ascii="Times New Roman" w:hAnsi="Times New Roman" w:eastAsia="宋体"/>
                <w:bCs/>
                <w:szCs w:val="21"/>
                <w:highlight w:val="none"/>
                <w:lang w:val="en-US"/>
              </w:rPr>
            </w:pPr>
            <w:r>
              <w:rPr>
                <w:rFonts w:ascii="Times New Roman" w:hAnsi="Times New Roman" w:eastAsia="宋体"/>
                <w:bCs/>
                <w:szCs w:val="21"/>
                <w:highlight w:val="none"/>
                <w:lang w:val="en-US"/>
              </w:rPr>
              <w:t>19.04</w:t>
            </w:r>
            <w:r>
              <w:rPr>
                <w:rFonts w:hint="eastAsia" w:ascii="Times New Roman" w:hAnsi="Times New Roman" w:eastAsia="宋体"/>
                <w:bCs/>
                <w:szCs w:val="21"/>
                <w:highlight w:val="none"/>
                <w:lang w:val="en-US"/>
              </w:rPr>
              <w:t>0</w:t>
            </w:r>
          </w:p>
        </w:tc>
        <w:tc>
          <w:tcPr>
            <w:tcW w:w="1207" w:type="dxa"/>
            <w:vMerge w:val="continue"/>
            <w:vAlign w:val="center"/>
          </w:tcPr>
          <w:p>
            <w:pPr>
              <w:jc w:val="center"/>
              <w:rPr>
                <w:rFonts w:ascii="Times New Roman" w:hAnsi="Times New Roman" w:eastAsia="宋体"/>
                <w:bCs/>
                <w:szCs w:val="21"/>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continue"/>
            <w:vAlign w:val="center"/>
          </w:tcPr>
          <w:p>
            <w:pPr>
              <w:jc w:val="center"/>
              <w:rPr>
                <w:rFonts w:ascii="Times New Roman" w:hAnsi="Times New Roman" w:eastAsia="宋体"/>
                <w:bCs/>
                <w:szCs w:val="21"/>
                <w:highlight w:val="none"/>
              </w:rPr>
            </w:pPr>
          </w:p>
        </w:tc>
        <w:tc>
          <w:tcPr>
            <w:tcW w:w="658" w:type="dxa"/>
            <w:vAlign w:val="center"/>
          </w:tcPr>
          <w:p>
            <w:pPr>
              <w:numPr>
                <w:ilvl w:val="0"/>
                <w:numId w:val="15"/>
              </w:numPr>
              <w:jc w:val="center"/>
              <w:rPr>
                <w:rFonts w:ascii="Times New Roman" w:hAnsi="Times New Roman" w:eastAsia="宋体"/>
                <w:bCs/>
                <w:szCs w:val="21"/>
                <w:highlight w:val="none"/>
              </w:rPr>
            </w:pPr>
          </w:p>
        </w:tc>
        <w:tc>
          <w:tcPr>
            <w:tcW w:w="3680" w:type="dxa"/>
            <w:vAlign w:val="center"/>
          </w:tcPr>
          <w:p>
            <w:pPr>
              <w:textAlignment w:val="center"/>
              <w:rPr>
                <w:rFonts w:ascii="Times New Roman" w:hAnsi="Times New Roman" w:eastAsia="宋体"/>
                <w:color w:val="000000"/>
                <w:kern w:val="0"/>
                <w:szCs w:val="21"/>
                <w:highlight w:val="none"/>
                <w:lang w:val="en-US" w:bidi="ar"/>
              </w:rPr>
            </w:pPr>
            <w:r>
              <w:rPr>
                <w:rFonts w:ascii="Times New Roman" w:hAnsi="Times New Roman" w:eastAsia="宋体"/>
                <w:color w:val="000000"/>
                <w:kern w:val="0"/>
                <w:szCs w:val="21"/>
                <w:highlight w:val="none"/>
                <w:lang w:val="en-US" w:bidi="ar"/>
              </w:rPr>
              <w:t>战训一体化平台Ⅱ</w:t>
            </w:r>
          </w:p>
        </w:tc>
        <w:tc>
          <w:tcPr>
            <w:tcW w:w="974" w:type="dxa"/>
            <w:vAlign w:val="center"/>
          </w:tcPr>
          <w:p>
            <w:pPr>
              <w:jc w:val="center"/>
              <w:rPr>
                <w:rFonts w:ascii="Times New Roman" w:hAnsi="Times New Roman" w:eastAsia="宋体"/>
                <w:szCs w:val="21"/>
                <w:highlight w:val="none"/>
              </w:rPr>
            </w:pPr>
            <w:r>
              <w:rPr>
                <w:rFonts w:ascii="Times New Roman" w:hAnsi="Times New Roman" w:eastAsia="宋体"/>
                <w:szCs w:val="21"/>
                <w:highlight w:val="none"/>
              </w:rPr>
              <w:t>套</w:t>
            </w:r>
          </w:p>
        </w:tc>
        <w:tc>
          <w:tcPr>
            <w:tcW w:w="674" w:type="dxa"/>
            <w:vAlign w:val="center"/>
          </w:tcPr>
          <w:p>
            <w:pPr>
              <w:jc w:val="center"/>
              <w:rPr>
                <w:rFonts w:ascii="Times New Roman" w:hAnsi="Times New Roman" w:eastAsia="宋体"/>
                <w:bCs/>
                <w:szCs w:val="21"/>
                <w:highlight w:val="none"/>
                <w:lang w:val="en-US"/>
              </w:rPr>
            </w:pPr>
            <w:r>
              <w:rPr>
                <w:rFonts w:ascii="Times New Roman" w:hAnsi="Times New Roman" w:eastAsia="宋体"/>
                <w:bCs/>
                <w:szCs w:val="21"/>
                <w:highlight w:val="none"/>
                <w:lang w:val="en-US"/>
              </w:rPr>
              <w:t>1</w:t>
            </w:r>
          </w:p>
        </w:tc>
        <w:tc>
          <w:tcPr>
            <w:tcW w:w="1207" w:type="dxa"/>
            <w:vAlign w:val="center"/>
          </w:tcPr>
          <w:p>
            <w:pPr>
              <w:jc w:val="center"/>
              <w:rPr>
                <w:rFonts w:ascii="Times New Roman" w:hAnsi="Times New Roman" w:eastAsia="宋体"/>
                <w:bCs/>
                <w:szCs w:val="21"/>
                <w:highlight w:val="none"/>
                <w:lang w:val="en-US"/>
              </w:rPr>
            </w:pPr>
            <w:r>
              <w:rPr>
                <w:rFonts w:ascii="Times New Roman" w:hAnsi="Times New Roman" w:eastAsia="宋体"/>
                <w:bCs/>
                <w:szCs w:val="21"/>
                <w:highlight w:val="none"/>
                <w:lang w:val="en-US"/>
              </w:rPr>
              <w:t>75.82</w:t>
            </w:r>
            <w:r>
              <w:rPr>
                <w:rFonts w:hint="eastAsia" w:ascii="Times New Roman" w:hAnsi="Times New Roman" w:eastAsia="宋体"/>
                <w:bCs/>
                <w:szCs w:val="21"/>
                <w:highlight w:val="none"/>
                <w:lang w:val="en-US"/>
              </w:rPr>
              <w:t>0</w:t>
            </w:r>
          </w:p>
        </w:tc>
        <w:tc>
          <w:tcPr>
            <w:tcW w:w="1207" w:type="dxa"/>
            <w:vMerge w:val="continue"/>
            <w:vAlign w:val="center"/>
          </w:tcPr>
          <w:p>
            <w:pPr>
              <w:jc w:val="center"/>
              <w:rPr>
                <w:rFonts w:ascii="Times New Roman" w:hAnsi="Times New Roman" w:eastAsia="宋体"/>
                <w:bCs/>
                <w:szCs w:val="21"/>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restart"/>
            <w:vAlign w:val="center"/>
          </w:tcPr>
          <w:p>
            <w:pPr>
              <w:numPr>
                <w:ilvl w:val="0"/>
                <w:numId w:val="13"/>
              </w:numPr>
              <w:tabs>
                <w:tab w:val="clear" w:pos="0"/>
              </w:tabs>
              <w:jc w:val="center"/>
              <w:rPr>
                <w:rFonts w:ascii="Times New Roman" w:hAnsi="Times New Roman" w:eastAsia="宋体"/>
                <w:bCs/>
                <w:szCs w:val="21"/>
                <w:highlight w:val="none"/>
              </w:rPr>
            </w:pPr>
          </w:p>
        </w:tc>
        <w:tc>
          <w:tcPr>
            <w:tcW w:w="658" w:type="dxa"/>
            <w:vAlign w:val="center"/>
          </w:tcPr>
          <w:p>
            <w:pPr>
              <w:numPr>
                <w:ilvl w:val="0"/>
                <w:numId w:val="16"/>
              </w:numPr>
              <w:jc w:val="center"/>
              <w:rPr>
                <w:rFonts w:ascii="Times New Roman" w:hAnsi="Times New Roman" w:eastAsia="宋体"/>
                <w:bCs/>
                <w:szCs w:val="21"/>
                <w:highlight w:val="none"/>
              </w:rPr>
            </w:pPr>
          </w:p>
        </w:tc>
        <w:tc>
          <w:tcPr>
            <w:tcW w:w="3680" w:type="dxa"/>
            <w:vAlign w:val="center"/>
          </w:tcPr>
          <w:p>
            <w:pPr>
              <w:textAlignment w:val="center"/>
              <w:rPr>
                <w:rFonts w:ascii="Times New Roman" w:hAnsi="Times New Roman" w:eastAsia="宋体"/>
                <w:color w:val="000000"/>
                <w:kern w:val="0"/>
                <w:szCs w:val="21"/>
                <w:highlight w:val="none"/>
                <w:lang w:val="en-US" w:bidi="ar"/>
              </w:rPr>
            </w:pPr>
            <w:r>
              <w:rPr>
                <w:rFonts w:ascii="Times New Roman" w:hAnsi="Times New Roman" w:eastAsia="宋体"/>
                <w:color w:val="000000"/>
                <w:kern w:val="0"/>
                <w:szCs w:val="21"/>
                <w:highlight w:val="none"/>
                <w:lang w:val="en-US" w:bidi="ar"/>
              </w:rPr>
              <w:t>手机取证塔Ⅲ</w:t>
            </w:r>
          </w:p>
        </w:tc>
        <w:tc>
          <w:tcPr>
            <w:tcW w:w="974" w:type="dxa"/>
            <w:vAlign w:val="center"/>
          </w:tcPr>
          <w:p>
            <w:pPr>
              <w:jc w:val="center"/>
              <w:rPr>
                <w:rFonts w:ascii="Times New Roman" w:hAnsi="Times New Roman" w:eastAsia="宋体"/>
                <w:szCs w:val="21"/>
                <w:highlight w:val="none"/>
              </w:rPr>
            </w:pPr>
            <w:r>
              <w:rPr>
                <w:rFonts w:ascii="Times New Roman" w:hAnsi="Times New Roman" w:eastAsia="宋体"/>
                <w:szCs w:val="21"/>
                <w:highlight w:val="none"/>
              </w:rPr>
              <w:t>套</w:t>
            </w:r>
          </w:p>
        </w:tc>
        <w:tc>
          <w:tcPr>
            <w:tcW w:w="674" w:type="dxa"/>
            <w:vAlign w:val="center"/>
          </w:tcPr>
          <w:p>
            <w:pPr>
              <w:jc w:val="center"/>
              <w:rPr>
                <w:rFonts w:hint="eastAsia" w:ascii="Times New Roman" w:hAnsi="Times New Roman" w:eastAsia="宋体"/>
                <w:bCs/>
                <w:szCs w:val="21"/>
                <w:highlight w:val="none"/>
                <w:lang w:val="en-US" w:eastAsia="zh-CN"/>
              </w:rPr>
            </w:pPr>
            <w:r>
              <w:rPr>
                <w:rFonts w:hint="eastAsia" w:ascii="Times New Roman" w:hAnsi="Times New Roman" w:eastAsia="宋体"/>
                <w:bCs/>
                <w:szCs w:val="21"/>
                <w:highlight w:val="none"/>
                <w:lang w:val="en-US" w:eastAsia="zh-CN"/>
              </w:rPr>
              <w:t>8</w:t>
            </w:r>
          </w:p>
        </w:tc>
        <w:tc>
          <w:tcPr>
            <w:tcW w:w="1207" w:type="dxa"/>
            <w:vAlign w:val="center"/>
          </w:tcPr>
          <w:p>
            <w:pPr>
              <w:jc w:val="center"/>
              <w:rPr>
                <w:rFonts w:ascii="Times New Roman" w:hAnsi="Times New Roman" w:eastAsia="宋体"/>
                <w:bCs/>
                <w:szCs w:val="21"/>
                <w:highlight w:val="none"/>
                <w:lang w:val="en-US"/>
              </w:rPr>
            </w:pPr>
            <w:r>
              <w:rPr>
                <w:rFonts w:ascii="Times New Roman" w:hAnsi="Times New Roman" w:eastAsia="宋体"/>
                <w:bCs/>
                <w:szCs w:val="21"/>
                <w:highlight w:val="none"/>
                <w:lang w:val="en-US"/>
              </w:rPr>
              <w:t>28.80</w:t>
            </w:r>
            <w:r>
              <w:rPr>
                <w:rFonts w:hint="eastAsia" w:ascii="Times New Roman" w:hAnsi="Times New Roman" w:eastAsia="宋体"/>
                <w:bCs/>
                <w:szCs w:val="21"/>
                <w:highlight w:val="none"/>
                <w:lang w:val="en-US"/>
              </w:rPr>
              <w:t>0</w:t>
            </w:r>
          </w:p>
        </w:tc>
        <w:tc>
          <w:tcPr>
            <w:tcW w:w="1207" w:type="dxa"/>
            <w:vMerge w:val="restart"/>
            <w:vAlign w:val="center"/>
          </w:tcPr>
          <w:p>
            <w:pPr>
              <w:jc w:val="center"/>
              <w:rPr>
                <w:rFonts w:ascii="Times New Roman" w:hAnsi="Times New Roman" w:eastAsia="宋体"/>
                <w:bCs/>
                <w:szCs w:val="21"/>
                <w:highlight w:val="none"/>
                <w:lang w:val="en-US"/>
              </w:rPr>
            </w:pPr>
            <w:r>
              <w:rPr>
                <w:rFonts w:ascii="Times New Roman" w:hAnsi="Times New Roman" w:eastAsia="宋体"/>
                <w:highlight w:val="none"/>
              </w:rPr>
              <w:t>4</w:t>
            </w:r>
            <w:r>
              <w:rPr>
                <w:rFonts w:hint="eastAsia" w:ascii="Times New Roman" w:hAnsi="Times New Roman" w:eastAsia="宋体"/>
                <w:highlight w:val="none"/>
                <w:lang w:val="en-US" w:eastAsia="zh-CN"/>
              </w:rPr>
              <w:t>52</w:t>
            </w:r>
            <w:r>
              <w:rPr>
                <w:rFonts w:ascii="Times New Roman" w:hAnsi="Times New Roman" w:eastAsia="宋体"/>
                <w:highlight w:val="none"/>
              </w:rPr>
              <w:t>.</w:t>
            </w:r>
            <w:r>
              <w:rPr>
                <w:rFonts w:hint="eastAsia" w:ascii="Times New Roman" w:hAnsi="Times New Roman" w:eastAsia="宋体"/>
                <w:highlight w:val="none"/>
                <w:lang w:val="en-US" w:eastAsia="zh-CN"/>
              </w:rPr>
              <w:t>0</w:t>
            </w:r>
            <w:r>
              <w:rPr>
                <w:rFonts w:ascii="Times New Roman" w:hAnsi="Times New Roman" w:eastAsia="宋体"/>
                <w:highlight w:val="none"/>
              </w:rPr>
              <w:t>4</w:t>
            </w:r>
            <w:r>
              <w:rPr>
                <w:rFonts w:hint="eastAsia" w:ascii="Times New Roman" w:hAnsi="Times New Roman" w:eastAsia="宋体"/>
                <w:highlight w:val="none"/>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continue"/>
            <w:vAlign w:val="center"/>
          </w:tcPr>
          <w:p>
            <w:pPr>
              <w:jc w:val="center"/>
              <w:rPr>
                <w:rFonts w:ascii="Times New Roman" w:hAnsi="Times New Roman" w:eastAsia="宋体"/>
                <w:bCs/>
                <w:szCs w:val="21"/>
                <w:highlight w:val="none"/>
              </w:rPr>
            </w:pPr>
          </w:p>
        </w:tc>
        <w:tc>
          <w:tcPr>
            <w:tcW w:w="658" w:type="dxa"/>
            <w:vAlign w:val="center"/>
          </w:tcPr>
          <w:p>
            <w:pPr>
              <w:numPr>
                <w:ilvl w:val="0"/>
                <w:numId w:val="16"/>
              </w:numPr>
              <w:jc w:val="center"/>
              <w:rPr>
                <w:rFonts w:ascii="Times New Roman" w:hAnsi="Times New Roman" w:eastAsia="宋体"/>
                <w:bCs/>
                <w:szCs w:val="21"/>
                <w:highlight w:val="none"/>
              </w:rPr>
            </w:pPr>
          </w:p>
        </w:tc>
        <w:tc>
          <w:tcPr>
            <w:tcW w:w="3680" w:type="dxa"/>
            <w:vAlign w:val="center"/>
          </w:tcPr>
          <w:p>
            <w:pPr>
              <w:textAlignment w:val="center"/>
              <w:rPr>
                <w:rFonts w:ascii="Times New Roman" w:hAnsi="Times New Roman" w:eastAsia="宋体"/>
                <w:color w:val="000000"/>
                <w:kern w:val="0"/>
                <w:szCs w:val="21"/>
                <w:highlight w:val="none"/>
                <w:lang w:val="en-US" w:bidi="ar"/>
              </w:rPr>
            </w:pPr>
            <w:r>
              <w:rPr>
                <w:rFonts w:ascii="Times New Roman" w:hAnsi="Times New Roman" w:eastAsia="宋体"/>
                <w:color w:val="000000"/>
                <w:kern w:val="0"/>
                <w:szCs w:val="21"/>
                <w:highlight w:val="none"/>
                <w:lang w:val="en-US" w:bidi="ar"/>
              </w:rPr>
              <w:t>介质取证塔Ⅲ</w:t>
            </w:r>
          </w:p>
        </w:tc>
        <w:tc>
          <w:tcPr>
            <w:tcW w:w="974" w:type="dxa"/>
            <w:vAlign w:val="center"/>
          </w:tcPr>
          <w:p>
            <w:pPr>
              <w:jc w:val="center"/>
              <w:rPr>
                <w:rFonts w:ascii="Times New Roman" w:hAnsi="Times New Roman" w:eastAsia="宋体"/>
                <w:szCs w:val="21"/>
                <w:highlight w:val="none"/>
              </w:rPr>
            </w:pPr>
            <w:r>
              <w:rPr>
                <w:rFonts w:ascii="Times New Roman" w:hAnsi="Times New Roman" w:eastAsia="宋体"/>
                <w:szCs w:val="21"/>
                <w:highlight w:val="none"/>
              </w:rPr>
              <w:t>套</w:t>
            </w:r>
          </w:p>
        </w:tc>
        <w:tc>
          <w:tcPr>
            <w:tcW w:w="674" w:type="dxa"/>
            <w:vAlign w:val="center"/>
          </w:tcPr>
          <w:p>
            <w:pPr>
              <w:jc w:val="center"/>
              <w:rPr>
                <w:rFonts w:ascii="Times New Roman" w:hAnsi="Times New Roman" w:eastAsia="宋体"/>
                <w:bCs/>
                <w:szCs w:val="21"/>
                <w:highlight w:val="none"/>
                <w:lang w:val="en-US"/>
              </w:rPr>
            </w:pPr>
            <w:r>
              <w:rPr>
                <w:rFonts w:ascii="Times New Roman" w:hAnsi="Times New Roman" w:eastAsia="宋体"/>
                <w:bCs/>
                <w:szCs w:val="21"/>
                <w:highlight w:val="none"/>
                <w:lang w:val="en-US"/>
              </w:rPr>
              <w:t>4</w:t>
            </w:r>
          </w:p>
        </w:tc>
        <w:tc>
          <w:tcPr>
            <w:tcW w:w="1207" w:type="dxa"/>
            <w:vAlign w:val="center"/>
          </w:tcPr>
          <w:p>
            <w:pPr>
              <w:jc w:val="center"/>
              <w:rPr>
                <w:rFonts w:ascii="Times New Roman" w:hAnsi="Times New Roman" w:eastAsia="宋体"/>
                <w:bCs/>
                <w:szCs w:val="21"/>
                <w:highlight w:val="none"/>
                <w:lang w:val="en-US"/>
              </w:rPr>
            </w:pPr>
            <w:r>
              <w:rPr>
                <w:rFonts w:ascii="Times New Roman" w:hAnsi="Times New Roman" w:eastAsia="宋体"/>
                <w:bCs/>
                <w:szCs w:val="21"/>
                <w:highlight w:val="none"/>
                <w:lang w:val="en-US"/>
              </w:rPr>
              <w:t>25.44</w:t>
            </w:r>
            <w:r>
              <w:rPr>
                <w:rFonts w:hint="eastAsia" w:ascii="Times New Roman" w:hAnsi="Times New Roman" w:eastAsia="宋体"/>
                <w:bCs/>
                <w:szCs w:val="21"/>
                <w:highlight w:val="none"/>
                <w:lang w:val="en-US"/>
              </w:rPr>
              <w:t>0</w:t>
            </w:r>
          </w:p>
        </w:tc>
        <w:tc>
          <w:tcPr>
            <w:tcW w:w="1207" w:type="dxa"/>
            <w:vMerge w:val="continue"/>
            <w:vAlign w:val="center"/>
          </w:tcPr>
          <w:p>
            <w:pPr>
              <w:jc w:val="center"/>
              <w:rPr>
                <w:rFonts w:ascii="Times New Roman" w:hAnsi="Times New Roman" w:eastAsia="宋体"/>
                <w:bCs/>
                <w:szCs w:val="21"/>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continue"/>
            <w:vAlign w:val="center"/>
          </w:tcPr>
          <w:p>
            <w:pPr>
              <w:jc w:val="center"/>
              <w:rPr>
                <w:rFonts w:ascii="Times New Roman" w:hAnsi="Times New Roman" w:eastAsia="宋体"/>
                <w:bCs/>
                <w:szCs w:val="21"/>
                <w:highlight w:val="none"/>
              </w:rPr>
            </w:pPr>
          </w:p>
        </w:tc>
        <w:tc>
          <w:tcPr>
            <w:tcW w:w="658" w:type="dxa"/>
            <w:vAlign w:val="center"/>
          </w:tcPr>
          <w:p>
            <w:pPr>
              <w:numPr>
                <w:ilvl w:val="0"/>
                <w:numId w:val="16"/>
              </w:numPr>
              <w:jc w:val="center"/>
              <w:rPr>
                <w:rFonts w:ascii="Times New Roman" w:hAnsi="Times New Roman" w:eastAsia="宋体"/>
                <w:bCs/>
                <w:szCs w:val="21"/>
                <w:highlight w:val="none"/>
              </w:rPr>
            </w:pPr>
          </w:p>
        </w:tc>
        <w:tc>
          <w:tcPr>
            <w:tcW w:w="3680" w:type="dxa"/>
            <w:vAlign w:val="center"/>
          </w:tcPr>
          <w:p>
            <w:pPr>
              <w:textAlignment w:val="center"/>
              <w:rPr>
                <w:rFonts w:ascii="Times New Roman" w:hAnsi="Times New Roman" w:eastAsia="宋体"/>
                <w:color w:val="000000"/>
                <w:kern w:val="0"/>
                <w:szCs w:val="21"/>
                <w:highlight w:val="none"/>
                <w:lang w:val="en-US" w:bidi="ar"/>
              </w:rPr>
            </w:pPr>
            <w:r>
              <w:rPr>
                <w:rFonts w:ascii="Times New Roman" w:hAnsi="Times New Roman" w:eastAsia="宋体"/>
                <w:color w:val="000000"/>
                <w:kern w:val="0"/>
                <w:szCs w:val="21"/>
                <w:highlight w:val="none"/>
                <w:lang w:val="en-US" w:bidi="ar"/>
              </w:rPr>
              <w:t>电子物证现场提取设备Ⅲ</w:t>
            </w:r>
          </w:p>
        </w:tc>
        <w:tc>
          <w:tcPr>
            <w:tcW w:w="974" w:type="dxa"/>
            <w:vAlign w:val="center"/>
          </w:tcPr>
          <w:p>
            <w:pPr>
              <w:jc w:val="center"/>
              <w:rPr>
                <w:rFonts w:ascii="Times New Roman" w:hAnsi="Times New Roman" w:eastAsia="宋体"/>
                <w:szCs w:val="21"/>
                <w:highlight w:val="none"/>
              </w:rPr>
            </w:pPr>
            <w:r>
              <w:rPr>
                <w:rFonts w:ascii="Times New Roman" w:hAnsi="Times New Roman" w:eastAsia="宋体"/>
                <w:szCs w:val="21"/>
                <w:highlight w:val="none"/>
              </w:rPr>
              <w:t>套</w:t>
            </w:r>
          </w:p>
        </w:tc>
        <w:tc>
          <w:tcPr>
            <w:tcW w:w="674" w:type="dxa"/>
            <w:vAlign w:val="center"/>
          </w:tcPr>
          <w:p>
            <w:pPr>
              <w:jc w:val="center"/>
              <w:rPr>
                <w:rFonts w:ascii="Times New Roman" w:hAnsi="Times New Roman" w:eastAsia="宋体"/>
                <w:bCs/>
                <w:szCs w:val="21"/>
                <w:highlight w:val="none"/>
                <w:lang w:val="en-US"/>
              </w:rPr>
            </w:pPr>
            <w:r>
              <w:rPr>
                <w:rFonts w:ascii="Times New Roman" w:hAnsi="Times New Roman" w:eastAsia="宋体"/>
                <w:bCs/>
                <w:szCs w:val="21"/>
                <w:highlight w:val="none"/>
                <w:lang w:val="en-US"/>
              </w:rPr>
              <w:t>1</w:t>
            </w:r>
          </w:p>
        </w:tc>
        <w:tc>
          <w:tcPr>
            <w:tcW w:w="1207" w:type="dxa"/>
            <w:vAlign w:val="center"/>
          </w:tcPr>
          <w:p>
            <w:pPr>
              <w:jc w:val="center"/>
              <w:rPr>
                <w:rFonts w:ascii="Times New Roman" w:hAnsi="Times New Roman" w:eastAsia="宋体"/>
                <w:bCs/>
                <w:szCs w:val="21"/>
                <w:highlight w:val="none"/>
                <w:lang w:val="en-US"/>
              </w:rPr>
            </w:pPr>
            <w:r>
              <w:rPr>
                <w:rFonts w:ascii="Times New Roman" w:hAnsi="Times New Roman" w:eastAsia="宋体"/>
                <w:bCs/>
                <w:szCs w:val="21"/>
                <w:highlight w:val="none"/>
                <w:lang w:val="en-US"/>
              </w:rPr>
              <w:t>28.80</w:t>
            </w:r>
            <w:r>
              <w:rPr>
                <w:rFonts w:hint="eastAsia" w:ascii="Times New Roman" w:hAnsi="Times New Roman" w:eastAsia="宋体"/>
                <w:bCs/>
                <w:szCs w:val="21"/>
                <w:highlight w:val="none"/>
                <w:lang w:val="en-US"/>
              </w:rPr>
              <w:t>0</w:t>
            </w:r>
          </w:p>
        </w:tc>
        <w:tc>
          <w:tcPr>
            <w:tcW w:w="1207" w:type="dxa"/>
            <w:vMerge w:val="continue"/>
            <w:vAlign w:val="center"/>
          </w:tcPr>
          <w:p>
            <w:pPr>
              <w:jc w:val="center"/>
              <w:rPr>
                <w:rFonts w:ascii="Times New Roman" w:hAnsi="Times New Roman" w:eastAsia="宋体"/>
                <w:bCs/>
                <w:szCs w:val="21"/>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continue"/>
            <w:vAlign w:val="center"/>
          </w:tcPr>
          <w:p>
            <w:pPr>
              <w:jc w:val="center"/>
              <w:rPr>
                <w:rFonts w:ascii="Times New Roman" w:hAnsi="Times New Roman" w:eastAsia="宋体"/>
                <w:bCs/>
                <w:szCs w:val="21"/>
                <w:highlight w:val="none"/>
              </w:rPr>
            </w:pPr>
          </w:p>
        </w:tc>
        <w:tc>
          <w:tcPr>
            <w:tcW w:w="658" w:type="dxa"/>
            <w:vAlign w:val="center"/>
          </w:tcPr>
          <w:p>
            <w:pPr>
              <w:numPr>
                <w:ilvl w:val="0"/>
                <w:numId w:val="16"/>
              </w:numPr>
              <w:jc w:val="center"/>
              <w:rPr>
                <w:rFonts w:ascii="Times New Roman" w:hAnsi="Times New Roman" w:eastAsia="宋体"/>
                <w:bCs/>
                <w:szCs w:val="21"/>
                <w:highlight w:val="none"/>
              </w:rPr>
            </w:pPr>
          </w:p>
        </w:tc>
        <w:tc>
          <w:tcPr>
            <w:tcW w:w="3680" w:type="dxa"/>
            <w:vAlign w:val="center"/>
          </w:tcPr>
          <w:p>
            <w:pPr>
              <w:textAlignment w:val="center"/>
              <w:rPr>
                <w:rFonts w:ascii="Times New Roman" w:hAnsi="Times New Roman" w:eastAsia="宋体"/>
                <w:color w:val="000000"/>
                <w:kern w:val="0"/>
                <w:szCs w:val="21"/>
                <w:highlight w:val="none"/>
                <w:lang w:val="en-US" w:bidi="ar"/>
              </w:rPr>
            </w:pPr>
            <w:r>
              <w:rPr>
                <w:rFonts w:ascii="Times New Roman" w:hAnsi="Times New Roman" w:eastAsia="宋体"/>
                <w:color w:val="000000"/>
                <w:kern w:val="0"/>
                <w:szCs w:val="21"/>
                <w:highlight w:val="none"/>
                <w:lang w:val="en-US" w:bidi="ar"/>
              </w:rPr>
              <w:t>数据恢复设备Ⅱ</w:t>
            </w:r>
          </w:p>
        </w:tc>
        <w:tc>
          <w:tcPr>
            <w:tcW w:w="974" w:type="dxa"/>
            <w:vAlign w:val="center"/>
          </w:tcPr>
          <w:p>
            <w:pPr>
              <w:jc w:val="center"/>
              <w:rPr>
                <w:rFonts w:ascii="Times New Roman" w:hAnsi="Times New Roman" w:eastAsia="宋体"/>
                <w:szCs w:val="21"/>
                <w:highlight w:val="none"/>
              </w:rPr>
            </w:pPr>
            <w:r>
              <w:rPr>
                <w:rFonts w:ascii="Times New Roman" w:hAnsi="Times New Roman" w:eastAsia="宋体"/>
                <w:szCs w:val="21"/>
                <w:highlight w:val="none"/>
              </w:rPr>
              <w:t>套</w:t>
            </w:r>
          </w:p>
        </w:tc>
        <w:tc>
          <w:tcPr>
            <w:tcW w:w="674" w:type="dxa"/>
            <w:vAlign w:val="center"/>
          </w:tcPr>
          <w:p>
            <w:pPr>
              <w:jc w:val="center"/>
              <w:rPr>
                <w:rFonts w:ascii="Times New Roman" w:hAnsi="Times New Roman" w:eastAsia="宋体"/>
                <w:bCs/>
                <w:szCs w:val="21"/>
                <w:highlight w:val="none"/>
                <w:lang w:val="en-US"/>
              </w:rPr>
            </w:pPr>
            <w:r>
              <w:rPr>
                <w:rFonts w:ascii="Times New Roman" w:hAnsi="Times New Roman" w:eastAsia="宋体"/>
                <w:bCs/>
                <w:szCs w:val="21"/>
                <w:highlight w:val="none"/>
                <w:lang w:val="en-US"/>
              </w:rPr>
              <w:t>1</w:t>
            </w:r>
          </w:p>
        </w:tc>
        <w:tc>
          <w:tcPr>
            <w:tcW w:w="1207" w:type="dxa"/>
            <w:vAlign w:val="center"/>
          </w:tcPr>
          <w:p>
            <w:pPr>
              <w:jc w:val="center"/>
              <w:rPr>
                <w:rFonts w:ascii="Times New Roman" w:hAnsi="Times New Roman" w:eastAsia="宋体"/>
                <w:bCs/>
                <w:szCs w:val="21"/>
                <w:highlight w:val="none"/>
                <w:lang w:val="en-US"/>
              </w:rPr>
            </w:pPr>
            <w:r>
              <w:rPr>
                <w:rFonts w:ascii="Times New Roman" w:hAnsi="Times New Roman" w:eastAsia="宋体"/>
                <w:bCs/>
                <w:szCs w:val="21"/>
                <w:highlight w:val="none"/>
                <w:lang w:val="en-US"/>
              </w:rPr>
              <w:t>31.84</w:t>
            </w:r>
            <w:r>
              <w:rPr>
                <w:rFonts w:hint="eastAsia" w:ascii="Times New Roman" w:hAnsi="Times New Roman" w:eastAsia="宋体"/>
                <w:bCs/>
                <w:szCs w:val="21"/>
                <w:highlight w:val="none"/>
                <w:lang w:val="en-US"/>
              </w:rPr>
              <w:t>0</w:t>
            </w:r>
          </w:p>
        </w:tc>
        <w:tc>
          <w:tcPr>
            <w:tcW w:w="1207" w:type="dxa"/>
            <w:vMerge w:val="continue"/>
            <w:vAlign w:val="center"/>
          </w:tcPr>
          <w:p>
            <w:pPr>
              <w:jc w:val="center"/>
              <w:rPr>
                <w:rFonts w:ascii="Times New Roman" w:hAnsi="Times New Roman" w:eastAsia="宋体"/>
                <w:bCs/>
                <w:szCs w:val="21"/>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continue"/>
            <w:vAlign w:val="center"/>
          </w:tcPr>
          <w:p>
            <w:pPr>
              <w:jc w:val="center"/>
              <w:rPr>
                <w:rFonts w:ascii="Times New Roman" w:hAnsi="Times New Roman" w:eastAsia="宋体"/>
                <w:bCs/>
                <w:szCs w:val="21"/>
                <w:highlight w:val="none"/>
              </w:rPr>
            </w:pPr>
          </w:p>
        </w:tc>
        <w:tc>
          <w:tcPr>
            <w:tcW w:w="658" w:type="dxa"/>
            <w:vAlign w:val="center"/>
          </w:tcPr>
          <w:p>
            <w:pPr>
              <w:numPr>
                <w:ilvl w:val="0"/>
                <w:numId w:val="16"/>
              </w:numPr>
              <w:jc w:val="center"/>
              <w:rPr>
                <w:rFonts w:ascii="Times New Roman" w:hAnsi="Times New Roman" w:eastAsia="宋体"/>
                <w:bCs/>
                <w:szCs w:val="21"/>
                <w:highlight w:val="none"/>
              </w:rPr>
            </w:pPr>
          </w:p>
        </w:tc>
        <w:tc>
          <w:tcPr>
            <w:tcW w:w="3680" w:type="dxa"/>
            <w:vAlign w:val="center"/>
          </w:tcPr>
          <w:p>
            <w:pPr>
              <w:textAlignment w:val="center"/>
              <w:rPr>
                <w:rFonts w:ascii="Times New Roman" w:hAnsi="Times New Roman" w:eastAsia="宋体"/>
                <w:color w:val="000000"/>
                <w:kern w:val="0"/>
                <w:szCs w:val="21"/>
                <w:highlight w:val="none"/>
                <w:lang w:val="en-US" w:bidi="ar"/>
              </w:rPr>
            </w:pPr>
            <w:r>
              <w:rPr>
                <w:rFonts w:ascii="Times New Roman" w:hAnsi="Times New Roman" w:eastAsia="宋体"/>
                <w:color w:val="000000"/>
                <w:kern w:val="0"/>
                <w:szCs w:val="21"/>
                <w:highlight w:val="none"/>
                <w:lang w:val="en-US" w:bidi="ar"/>
              </w:rPr>
              <w:t>密码破解设备Ⅱ</w:t>
            </w:r>
          </w:p>
        </w:tc>
        <w:tc>
          <w:tcPr>
            <w:tcW w:w="974" w:type="dxa"/>
            <w:shd w:val="clear" w:color="auto" w:fill="auto"/>
            <w:vAlign w:val="center"/>
          </w:tcPr>
          <w:p>
            <w:pPr>
              <w:jc w:val="center"/>
              <w:rPr>
                <w:rFonts w:ascii="Times New Roman" w:hAnsi="Times New Roman" w:eastAsia="宋体"/>
                <w:bCs/>
                <w:szCs w:val="21"/>
                <w:highlight w:val="none"/>
              </w:rPr>
            </w:pPr>
            <w:r>
              <w:rPr>
                <w:rFonts w:ascii="Times New Roman" w:hAnsi="Times New Roman" w:eastAsia="宋体"/>
                <w:szCs w:val="21"/>
                <w:highlight w:val="none"/>
              </w:rPr>
              <w:t>套</w:t>
            </w:r>
          </w:p>
        </w:tc>
        <w:tc>
          <w:tcPr>
            <w:tcW w:w="674" w:type="dxa"/>
            <w:vAlign w:val="center"/>
          </w:tcPr>
          <w:p>
            <w:pPr>
              <w:jc w:val="center"/>
              <w:rPr>
                <w:rFonts w:ascii="Times New Roman" w:hAnsi="Times New Roman" w:eastAsia="宋体"/>
                <w:bCs/>
                <w:szCs w:val="21"/>
                <w:highlight w:val="none"/>
                <w:lang w:val="en-US"/>
              </w:rPr>
            </w:pPr>
            <w:r>
              <w:rPr>
                <w:rFonts w:ascii="Times New Roman" w:hAnsi="Times New Roman" w:eastAsia="宋体"/>
                <w:bCs/>
                <w:szCs w:val="21"/>
                <w:highlight w:val="none"/>
                <w:lang w:val="en-US"/>
              </w:rPr>
              <w:t>1</w:t>
            </w:r>
          </w:p>
        </w:tc>
        <w:tc>
          <w:tcPr>
            <w:tcW w:w="1207" w:type="dxa"/>
            <w:vAlign w:val="center"/>
          </w:tcPr>
          <w:p>
            <w:pPr>
              <w:jc w:val="center"/>
              <w:rPr>
                <w:rFonts w:ascii="Times New Roman" w:hAnsi="Times New Roman" w:eastAsia="宋体"/>
                <w:bCs/>
                <w:szCs w:val="21"/>
                <w:highlight w:val="none"/>
                <w:lang w:val="en-US"/>
              </w:rPr>
            </w:pPr>
            <w:r>
              <w:rPr>
                <w:rFonts w:ascii="Times New Roman" w:hAnsi="Times New Roman" w:eastAsia="宋体"/>
                <w:bCs/>
                <w:szCs w:val="21"/>
                <w:highlight w:val="none"/>
                <w:lang w:val="en-US"/>
              </w:rPr>
              <w:t>28.64</w:t>
            </w:r>
            <w:r>
              <w:rPr>
                <w:rFonts w:hint="eastAsia" w:ascii="Times New Roman" w:hAnsi="Times New Roman" w:eastAsia="宋体"/>
                <w:bCs/>
                <w:szCs w:val="21"/>
                <w:highlight w:val="none"/>
                <w:lang w:val="en-US"/>
              </w:rPr>
              <w:t>0</w:t>
            </w:r>
          </w:p>
        </w:tc>
        <w:tc>
          <w:tcPr>
            <w:tcW w:w="1207" w:type="dxa"/>
            <w:vMerge w:val="continue"/>
            <w:vAlign w:val="center"/>
          </w:tcPr>
          <w:p>
            <w:pPr>
              <w:jc w:val="center"/>
              <w:rPr>
                <w:rFonts w:ascii="Times New Roman" w:hAnsi="Times New Roman" w:eastAsia="宋体"/>
                <w:bCs/>
                <w:szCs w:val="21"/>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continue"/>
            <w:vAlign w:val="center"/>
          </w:tcPr>
          <w:p>
            <w:pPr>
              <w:jc w:val="center"/>
              <w:rPr>
                <w:rFonts w:ascii="Times New Roman" w:hAnsi="Times New Roman" w:eastAsia="宋体"/>
                <w:bCs/>
                <w:szCs w:val="21"/>
                <w:highlight w:val="none"/>
              </w:rPr>
            </w:pPr>
          </w:p>
        </w:tc>
        <w:tc>
          <w:tcPr>
            <w:tcW w:w="658" w:type="dxa"/>
            <w:vAlign w:val="center"/>
          </w:tcPr>
          <w:p>
            <w:pPr>
              <w:numPr>
                <w:ilvl w:val="0"/>
                <w:numId w:val="16"/>
              </w:numPr>
              <w:jc w:val="center"/>
              <w:rPr>
                <w:rFonts w:ascii="Times New Roman" w:hAnsi="Times New Roman" w:eastAsia="宋体"/>
                <w:bCs/>
                <w:szCs w:val="21"/>
                <w:highlight w:val="none"/>
              </w:rPr>
            </w:pPr>
          </w:p>
        </w:tc>
        <w:tc>
          <w:tcPr>
            <w:tcW w:w="3680" w:type="dxa"/>
            <w:vAlign w:val="center"/>
          </w:tcPr>
          <w:p>
            <w:pPr>
              <w:textAlignment w:val="center"/>
              <w:rPr>
                <w:rFonts w:ascii="Times New Roman" w:hAnsi="Times New Roman" w:eastAsia="宋体"/>
                <w:color w:val="000000"/>
                <w:kern w:val="0"/>
                <w:szCs w:val="21"/>
                <w:highlight w:val="none"/>
                <w:lang w:val="en-US" w:bidi="ar"/>
              </w:rPr>
            </w:pPr>
            <w:r>
              <w:rPr>
                <w:rFonts w:ascii="Times New Roman" w:hAnsi="Times New Roman" w:eastAsia="宋体"/>
                <w:color w:val="000000"/>
                <w:kern w:val="0"/>
                <w:szCs w:val="21"/>
                <w:highlight w:val="none"/>
                <w:lang w:val="en-US" w:bidi="ar"/>
              </w:rPr>
              <w:t>实验室管理系统Ⅱ</w:t>
            </w:r>
          </w:p>
        </w:tc>
        <w:tc>
          <w:tcPr>
            <w:tcW w:w="974" w:type="dxa"/>
            <w:shd w:val="clear" w:color="auto" w:fill="auto"/>
            <w:vAlign w:val="center"/>
          </w:tcPr>
          <w:p>
            <w:pPr>
              <w:jc w:val="center"/>
              <w:rPr>
                <w:rFonts w:ascii="Times New Roman" w:hAnsi="Times New Roman" w:eastAsia="宋体"/>
                <w:bCs/>
                <w:szCs w:val="21"/>
                <w:highlight w:val="none"/>
              </w:rPr>
            </w:pPr>
            <w:r>
              <w:rPr>
                <w:rFonts w:ascii="Times New Roman" w:hAnsi="Times New Roman" w:eastAsia="宋体"/>
                <w:szCs w:val="21"/>
                <w:highlight w:val="none"/>
              </w:rPr>
              <w:t>套</w:t>
            </w:r>
          </w:p>
        </w:tc>
        <w:tc>
          <w:tcPr>
            <w:tcW w:w="674" w:type="dxa"/>
            <w:vAlign w:val="center"/>
          </w:tcPr>
          <w:p>
            <w:pPr>
              <w:jc w:val="center"/>
              <w:rPr>
                <w:rFonts w:ascii="Times New Roman" w:hAnsi="Times New Roman" w:eastAsia="宋体"/>
                <w:bCs/>
                <w:szCs w:val="21"/>
                <w:highlight w:val="none"/>
                <w:lang w:val="en-US"/>
              </w:rPr>
            </w:pPr>
            <w:r>
              <w:rPr>
                <w:rFonts w:ascii="Times New Roman" w:hAnsi="Times New Roman" w:eastAsia="宋体"/>
                <w:bCs/>
                <w:szCs w:val="21"/>
                <w:highlight w:val="none"/>
                <w:lang w:val="en-US"/>
              </w:rPr>
              <w:t>1</w:t>
            </w:r>
          </w:p>
        </w:tc>
        <w:tc>
          <w:tcPr>
            <w:tcW w:w="1207" w:type="dxa"/>
            <w:vAlign w:val="center"/>
          </w:tcPr>
          <w:p>
            <w:pPr>
              <w:jc w:val="center"/>
              <w:rPr>
                <w:rFonts w:ascii="Times New Roman" w:hAnsi="Times New Roman" w:eastAsia="宋体"/>
                <w:bCs/>
                <w:szCs w:val="21"/>
                <w:highlight w:val="none"/>
                <w:lang w:val="en-US"/>
              </w:rPr>
            </w:pPr>
            <w:r>
              <w:rPr>
                <w:rFonts w:ascii="Times New Roman" w:hAnsi="Times New Roman" w:eastAsia="宋体"/>
                <w:bCs/>
                <w:szCs w:val="21"/>
                <w:highlight w:val="none"/>
                <w:lang w:val="en-US"/>
              </w:rPr>
              <w:t>30.60</w:t>
            </w:r>
            <w:r>
              <w:rPr>
                <w:rFonts w:hint="eastAsia" w:ascii="Times New Roman" w:hAnsi="Times New Roman" w:eastAsia="宋体"/>
                <w:bCs/>
                <w:szCs w:val="21"/>
                <w:highlight w:val="none"/>
                <w:lang w:val="en-US"/>
              </w:rPr>
              <w:t>0</w:t>
            </w:r>
          </w:p>
        </w:tc>
        <w:tc>
          <w:tcPr>
            <w:tcW w:w="1207" w:type="dxa"/>
            <w:vMerge w:val="continue"/>
            <w:vAlign w:val="center"/>
          </w:tcPr>
          <w:p>
            <w:pPr>
              <w:jc w:val="center"/>
              <w:rPr>
                <w:rFonts w:ascii="Times New Roman" w:hAnsi="Times New Roman" w:eastAsia="宋体"/>
                <w:bCs/>
                <w:szCs w:val="21"/>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restart"/>
            <w:vAlign w:val="center"/>
          </w:tcPr>
          <w:p>
            <w:pPr>
              <w:numPr>
                <w:ilvl w:val="0"/>
                <w:numId w:val="13"/>
              </w:numPr>
              <w:tabs>
                <w:tab w:val="clear" w:pos="0"/>
              </w:tabs>
              <w:jc w:val="center"/>
              <w:rPr>
                <w:rFonts w:ascii="Times New Roman" w:hAnsi="Times New Roman" w:eastAsia="宋体"/>
                <w:bCs/>
                <w:szCs w:val="21"/>
                <w:highlight w:val="none"/>
              </w:rPr>
            </w:pPr>
          </w:p>
        </w:tc>
        <w:tc>
          <w:tcPr>
            <w:tcW w:w="658" w:type="dxa"/>
            <w:vAlign w:val="center"/>
          </w:tcPr>
          <w:p>
            <w:pPr>
              <w:numPr>
                <w:ilvl w:val="0"/>
                <w:numId w:val="17"/>
              </w:numPr>
              <w:jc w:val="center"/>
              <w:rPr>
                <w:rFonts w:ascii="Times New Roman" w:hAnsi="Times New Roman" w:eastAsia="宋体"/>
                <w:bCs/>
                <w:szCs w:val="21"/>
                <w:highlight w:val="none"/>
              </w:rPr>
            </w:pPr>
          </w:p>
        </w:tc>
        <w:tc>
          <w:tcPr>
            <w:tcW w:w="3680" w:type="dxa"/>
            <w:vAlign w:val="center"/>
          </w:tcPr>
          <w:p>
            <w:pPr>
              <w:textAlignment w:val="center"/>
              <w:rPr>
                <w:rFonts w:ascii="Times New Roman" w:hAnsi="Times New Roman" w:eastAsia="宋体"/>
                <w:color w:val="000000"/>
                <w:kern w:val="0"/>
                <w:szCs w:val="21"/>
                <w:highlight w:val="none"/>
                <w:lang w:val="en-US" w:bidi="ar"/>
              </w:rPr>
            </w:pPr>
            <w:r>
              <w:rPr>
                <w:rFonts w:ascii="Times New Roman" w:hAnsi="Times New Roman" w:eastAsia="宋体"/>
                <w:color w:val="000000"/>
                <w:kern w:val="0"/>
                <w:szCs w:val="21"/>
                <w:highlight w:val="none"/>
                <w:lang w:val="en-US" w:bidi="ar"/>
              </w:rPr>
              <w:t>手机取证塔Ⅳ</w:t>
            </w:r>
          </w:p>
        </w:tc>
        <w:tc>
          <w:tcPr>
            <w:tcW w:w="974" w:type="dxa"/>
            <w:shd w:val="clear" w:color="auto" w:fill="auto"/>
            <w:vAlign w:val="center"/>
          </w:tcPr>
          <w:p>
            <w:pPr>
              <w:jc w:val="center"/>
              <w:rPr>
                <w:rFonts w:ascii="Times New Roman" w:hAnsi="Times New Roman" w:eastAsia="宋体"/>
                <w:bCs/>
                <w:szCs w:val="21"/>
                <w:highlight w:val="none"/>
              </w:rPr>
            </w:pPr>
            <w:r>
              <w:rPr>
                <w:rFonts w:ascii="Times New Roman" w:hAnsi="Times New Roman" w:eastAsia="宋体"/>
                <w:szCs w:val="21"/>
                <w:highlight w:val="none"/>
              </w:rPr>
              <w:t>套</w:t>
            </w:r>
          </w:p>
        </w:tc>
        <w:tc>
          <w:tcPr>
            <w:tcW w:w="674" w:type="dxa"/>
            <w:vAlign w:val="center"/>
          </w:tcPr>
          <w:p>
            <w:pPr>
              <w:jc w:val="center"/>
              <w:rPr>
                <w:rFonts w:ascii="Times New Roman" w:hAnsi="Times New Roman" w:eastAsia="宋体"/>
                <w:bCs/>
                <w:szCs w:val="21"/>
                <w:highlight w:val="none"/>
                <w:lang w:val="en-US"/>
              </w:rPr>
            </w:pPr>
            <w:r>
              <w:rPr>
                <w:rFonts w:ascii="Times New Roman" w:hAnsi="Times New Roman" w:eastAsia="宋体"/>
                <w:bCs/>
                <w:szCs w:val="21"/>
                <w:highlight w:val="none"/>
                <w:lang w:val="en-US"/>
              </w:rPr>
              <w:t>1</w:t>
            </w:r>
          </w:p>
        </w:tc>
        <w:tc>
          <w:tcPr>
            <w:tcW w:w="1207" w:type="dxa"/>
            <w:vAlign w:val="center"/>
          </w:tcPr>
          <w:p>
            <w:pPr>
              <w:jc w:val="center"/>
              <w:rPr>
                <w:rFonts w:ascii="Times New Roman" w:hAnsi="Times New Roman" w:eastAsia="宋体"/>
                <w:bCs/>
                <w:szCs w:val="21"/>
                <w:highlight w:val="none"/>
                <w:lang w:val="en-US"/>
              </w:rPr>
            </w:pPr>
            <w:r>
              <w:rPr>
                <w:rFonts w:ascii="Times New Roman" w:hAnsi="Times New Roman" w:eastAsia="宋体"/>
                <w:bCs/>
                <w:szCs w:val="21"/>
                <w:highlight w:val="none"/>
                <w:lang w:val="en-US"/>
              </w:rPr>
              <w:t>23.84</w:t>
            </w:r>
            <w:r>
              <w:rPr>
                <w:rFonts w:hint="eastAsia" w:ascii="Times New Roman" w:hAnsi="Times New Roman" w:eastAsia="宋体"/>
                <w:bCs/>
                <w:szCs w:val="21"/>
                <w:highlight w:val="none"/>
                <w:lang w:val="en-US"/>
              </w:rPr>
              <w:t>0</w:t>
            </w:r>
          </w:p>
        </w:tc>
        <w:tc>
          <w:tcPr>
            <w:tcW w:w="1207" w:type="dxa"/>
            <w:vMerge w:val="restart"/>
            <w:vAlign w:val="center"/>
          </w:tcPr>
          <w:p>
            <w:pPr>
              <w:jc w:val="center"/>
              <w:rPr>
                <w:rFonts w:ascii="Times New Roman" w:hAnsi="Times New Roman" w:eastAsia="宋体"/>
                <w:bCs/>
                <w:szCs w:val="21"/>
                <w:highlight w:val="none"/>
                <w:lang w:val="en-US"/>
              </w:rPr>
            </w:pPr>
            <w:r>
              <w:rPr>
                <w:rFonts w:ascii="Times New Roman" w:hAnsi="Times New Roman" w:eastAsia="宋体"/>
                <w:bCs/>
                <w:szCs w:val="21"/>
                <w:highlight w:val="none"/>
                <w:lang w:val="en-US"/>
              </w:rPr>
              <w:t>152.96</w:t>
            </w:r>
            <w:r>
              <w:rPr>
                <w:rFonts w:hint="eastAsia" w:ascii="Times New Roman" w:hAnsi="Times New Roman" w:eastAsia="宋体"/>
                <w:bCs/>
                <w:szCs w:val="21"/>
                <w:highlight w:val="none"/>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continue"/>
            <w:vAlign w:val="center"/>
          </w:tcPr>
          <w:p>
            <w:pPr>
              <w:jc w:val="center"/>
              <w:rPr>
                <w:rFonts w:ascii="Times New Roman" w:hAnsi="Times New Roman" w:eastAsia="宋体"/>
                <w:bCs/>
                <w:szCs w:val="21"/>
                <w:highlight w:val="none"/>
              </w:rPr>
            </w:pPr>
          </w:p>
        </w:tc>
        <w:tc>
          <w:tcPr>
            <w:tcW w:w="658" w:type="dxa"/>
            <w:vAlign w:val="center"/>
          </w:tcPr>
          <w:p>
            <w:pPr>
              <w:numPr>
                <w:ilvl w:val="0"/>
                <w:numId w:val="17"/>
              </w:numPr>
              <w:jc w:val="center"/>
              <w:rPr>
                <w:rFonts w:ascii="Times New Roman" w:hAnsi="Times New Roman" w:eastAsia="宋体"/>
                <w:bCs/>
                <w:szCs w:val="21"/>
                <w:highlight w:val="none"/>
              </w:rPr>
            </w:pPr>
          </w:p>
        </w:tc>
        <w:tc>
          <w:tcPr>
            <w:tcW w:w="3680" w:type="dxa"/>
            <w:vAlign w:val="center"/>
          </w:tcPr>
          <w:p>
            <w:pPr>
              <w:textAlignment w:val="center"/>
              <w:rPr>
                <w:rFonts w:ascii="Times New Roman" w:hAnsi="Times New Roman" w:eastAsia="宋体"/>
                <w:color w:val="000000"/>
                <w:kern w:val="0"/>
                <w:szCs w:val="21"/>
                <w:highlight w:val="none"/>
                <w:lang w:val="en-US" w:bidi="ar"/>
              </w:rPr>
            </w:pPr>
            <w:r>
              <w:rPr>
                <w:rFonts w:ascii="Times New Roman" w:hAnsi="Times New Roman" w:eastAsia="宋体"/>
                <w:color w:val="000000"/>
                <w:kern w:val="0"/>
                <w:szCs w:val="21"/>
                <w:highlight w:val="none"/>
                <w:lang w:val="en-US" w:bidi="ar"/>
              </w:rPr>
              <w:t>介质取证塔Ⅳ</w:t>
            </w:r>
          </w:p>
        </w:tc>
        <w:tc>
          <w:tcPr>
            <w:tcW w:w="974" w:type="dxa"/>
            <w:shd w:val="clear" w:color="auto" w:fill="auto"/>
            <w:vAlign w:val="center"/>
          </w:tcPr>
          <w:p>
            <w:pPr>
              <w:jc w:val="center"/>
              <w:rPr>
                <w:rFonts w:ascii="Times New Roman" w:hAnsi="Times New Roman" w:eastAsia="宋体"/>
                <w:bCs/>
                <w:szCs w:val="21"/>
                <w:highlight w:val="none"/>
              </w:rPr>
            </w:pPr>
            <w:r>
              <w:rPr>
                <w:rFonts w:ascii="Times New Roman" w:hAnsi="Times New Roman" w:eastAsia="宋体"/>
                <w:szCs w:val="21"/>
                <w:highlight w:val="none"/>
              </w:rPr>
              <w:t>套</w:t>
            </w:r>
          </w:p>
        </w:tc>
        <w:tc>
          <w:tcPr>
            <w:tcW w:w="674" w:type="dxa"/>
            <w:vAlign w:val="center"/>
          </w:tcPr>
          <w:p>
            <w:pPr>
              <w:jc w:val="center"/>
              <w:rPr>
                <w:rFonts w:ascii="Times New Roman" w:hAnsi="Times New Roman" w:eastAsia="宋体"/>
                <w:bCs/>
                <w:szCs w:val="21"/>
                <w:highlight w:val="none"/>
                <w:lang w:val="en-US"/>
              </w:rPr>
            </w:pPr>
            <w:r>
              <w:rPr>
                <w:rFonts w:ascii="Times New Roman" w:hAnsi="Times New Roman" w:eastAsia="宋体"/>
                <w:bCs/>
                <w:szCs w:val="21"/>
                <w:highlight w:val="none"/>
                <w:lang w:val="en-US"/>
              </w:rPr>
              <w:t>1</w:t>
            </w:r>
          </w:p>
        </w:tc>
        <w:tc>
          <w:tcPr>
            <w:tcW w:w="1207" w:type="dxa"/>
            <w:vAlign w:val="center"/>
          </w:tcPr>
          <w:p>
            <w:pPr>
              <w:jc w:val="center"/>
              <w:rPr>
                <w:rFonts w:ascii="Times New Roman" w:hAnsi="Times New Roman" w:eastAsia="宋体"/>
                <w:bCs/>
                <w:szCs w:val="21"/>
                <w:highlight w:val="none"/>
                <w:lang w:val="en-US"/>
              </w:rPr>
            </w:pPr>
            <w:r>
              <w:rPr>
                <w:rFonts w:ascii="Times New Roman" w:hAnsi="Times New Roman" w:eastAsia="宋体"/>
                <w:bCs/>
                <w:szCs w:val="21"/>
                <w:highlight w:val="none"/>
                <w:lang w:val="en-US"/>
              </w:rPr>
              <w:t>19.84</w:t>
            </w:r>
            <w:r>
              <w:rPr>
                <w:rFonts w:hint="eastAsia" w:ascii="Times New Roman" w:hAnsi="Times New Roman" w:eastAsia="宋体"/>
                <w:bCs/>
                <w:szCs w:val="21"/>
                <w:highlight w:val="none"/>
                <w:lang w:val="en-US"/>
              </w:rPr>
              <w:t>0</w:t>
            </w:r>
          </w:p>
        </w:tc>
        <w:tc>
          <w:tcPr>
            <w:tcW w:w="1207" w:type="dxa"/>
            <w:vMerge w:val="continue"/>
            <w:vAlign w:val="center"/>
          </w:tcPr>
          <w:p>
            <w:pPr>
              <w:jc w:val="center"/>
              <w:rPr>
                <w:rFonts w:ascii="Times New Roman" w:hAnsi="Times New Roman" w:eastAsia="宋体"/>
                <w:bCs/>
                <w:szCs w:val="21"/>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continue"/>
            <w:vAlign w:val="center"/>
          </w:tcPr>
          <w:p>
            <w:pPr>
              <w:jc w:val="center"/>
              <w:rPr>
                <w:rFonts w:ascii="Times New Roman" w:hAnsi="Times New Roman" w:eastAsia="宋体"/>
                <w:bCs/>
                <w:szCs w:val="21"/>
                <w:highlight w:val="none"/>
              </w:rPr>
            </w:pPr>
          </w:p>
        </w:tc>
        <w:tc>
          <w:tcPr>
            <w:tcW w:w="658" w:type="dxa"/>
            <w:vAlign w:val="center"/>
          </w:tcPr>
          <w:p>
            <w:pPr>
              <w:numPr>
                <w:ilvl w:val="0"/>
                <w:numId w:val="17"/>
              </w:numPr>
              <w:jc w:val="center"/>
              <w:rPr>
                <w:rFonts w:ascii="Times New Roman" w:hAnsi="Times New Roman" w:eastAsia="宋体"/>
                <w:bCs/>
                <w:szCs w:val="21"/>
                <w:highlight w:val="none"/>
              </w:rPr>
            </w:pPr>
          </w:p>
        </w:tc>
        <w:tc>
          <w:tcPr>
            <w:tcW w:w="3680" w:type="dxa"/>
            <w:vAlign w:val="center"/>
          </w:tcPr>
          <w:p>
            <w:pPr>
              <w:textAlignment w:val="center"/>
              <w:rPr>
                <w:rFonts w:ascii="Times New Roman" w:hAnsi="Times New Roman" w:eastAsia="宋体"/>
                <w:color w:val="000000"/>
                <w:kern w:val="0"/>
                <w:szCs w:val="21"/>
                <w:highlight w:val="none"/>
                <w:lang w:val="en-US" w:bidi="ar"/>
              </w:rPr>
            </w:pPr>
            <w:r>
              <w:rPr>
                <w:rFonts w:ascii="Times New Roman" w:hAnsi="Times New Roman" w:eastAsia="宋体"/>
                <w:color w:val="000000"/>
                <w:kern w:val="0"/>
                <w:szCs w:val="21"/>
                <w:highlight w:val="none"/>
                <w:lang w:val="en-US" w:bidi="ar"/>
              </w:rPr>
              <w:t>一体化电子取证工作站Ⅱ</w:t>
            </w:r>
          </w:p>
        </w:tc>
        <w:tc>
          <w:tcPr>
            <w:tcW w:w="974" w:type="dxa"/>
            <w:shd w:val="clear" w:color="auto" w:fill="auto"/>
            <w:vAlign w:val="center"/>
          </w:tcPr>
          <w:p>
            <w:pPr>
              <w:jc w:val="center"/>
              <w:rPr>
                <w:rFonts w:ascii="Times New Roman" w:hAnsi="Times New Roman" w:eastAsia="宋体"/>
                <w:bCs/>
                <w:szCs w:val="21"/>
                <w:highlight w:val="none"/>
              </w:rPr>
            </w:pPr>
            <w:r>
              <w:rPr>
                <w:rFonts w:ascii="Times New Roman" w:hAnsi="Times New Roman" w:eastAsia="宋体"/>
                <w:szCs w:val="21"/>
                <w:highlight w:val="none"/>
              </w:rPr>
              <w:t>套</w:t>
            </w:r>
          </w:p>
        </w:tc>
        <w:tc>
          <w:tcPr>
            <w:tcW w:w="674" w:type="dxa"/>
            <w:vAlign w:val="center"/>
          </w:tcPr>
          <w:p>
            <w:pPr>
              <w:jc w:val="center"/>
              <w:rPr>
                <w:rFonts w:ascii="Times New Roman" w:hAnsi="Times New Roman" w:eastAsia="宋体"/>
                <w:bCs/>
                <w:szCs w:val="21"/>
                <w:highlight w:val="none"/>
                <w:lang w:val="en-US"/>
              </w:rPr>
            </w:pPr>
            <w:r>
              <w:rPr>
                <w:rFonts w:ascii="Times New Roman" w:hAnsi="Times New Roman" w:eastAsia="宋体"/>
                <w:bCs/>
                <w:szCs w:val="21"/>
                <w:highlight w:val="none"/>
                <w:lang w:val="en-US"/>
              </w:rPr>
              <w:t>1</w:t>
            </w:r>
          </w:p>
        </w:tc>
        <w:tc>
          <w:tcPr>
            <w:tcW w:w="1207" w:type="dxa"/>
            <w:vAlign w:val="center"/>
          </w:tcPr>
          <w:p>
            <w:pPr>
              <w:jc w:val="center"/>
              <w:rPr>
                <w:rFonts w:ascii="Times New Roman" w:hAnsi="Times New Roman" w:eastAsia="宋体"/>
                <w:bCs/>
                <w:szCs w:val="21"/>
                <w:highlight w:val="none"/>
                <w:lang w:val="en-US"/>
              </w:rPr>
            </w:pPr>
            <w:r>
              <w:rPr>
                <w:rFonts w:ascii="Times New Roman" w:hAnsi="Times New Roman" w:eastAsia="宋体"/>
                <w:bCs/>
                <w:szCs w:val="21"/>
                <w:highlight w:val="none"/>
                <w:lang w:val="en-US"/>
              </w:rPr>
              <w:t>28.00</w:t>
            </w:r>
            <w:r>
              <w:rPr>
                <w:rFonts w:hint="eastAsia" w:ascii="Times New Roman" w:hAnsi="Times New Roman" w:eastAsia="宋体"/>
                <w:bCs/>
                <w:szCs w:val="21"/>
                <w:highlight w:val="none"/>
                <w:lang w:val="en-US"/>
              </w:rPr>
              <w:t>0</w:t>
            </w:r>
          </w:p>
        </w:tc>
        <w:tc>
          <w:tcPr>
            <w:tcW w:w="1207" w:type="dxa"/>
            <w:vMerge w:val="continue"/>
            <w:vAlign w:val="center"/>
          </w:tcPr>
          <w:p>
            <w:pPr>
              <w:jc w:val="center"/>
              <w:rPr>
                <w:rFonts w:ascii="Times New Roman" w:hAnsi="Times New Roman" w:eastAsia="宋体"/>
                <w:bCs/>
                <w:szCs w:val="21"/>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continue"/>
            <w:vAlign w:val="center"/>
          </w:tcPr>
          <w:p>
            <w:pPr>
              <w:jc w:val="center"/>
              <w:rPr>
                <w:rFonts w:ascii="Times New Roman" w:hAnsi="Times New Roman" w:eastAsia="宋体"/>
                <w:bCs/>
                <w:szCs w:val="21"/>
                <w:highlight w:val="none"/>
              </w:rPr>
            </w:pPr>
          </w:p>
        </w:tc>
        <w:tc>
          <w:tcPr>
            <w:tcW w:w="658" w:type="dxa"/>
            <w:vAlign w:val="center"/>
          </w:tcPr>
          <w:p>
            <w:pPr>
              <w:numPr>
                <w:ilvl w:val="0"/>
                <w:numId w:val="17"/>
              </w:numPr>
              <w:jc w:val="center"/>
              <w:rPr>
                <w:rFonts w:ascii="Times New Roman" w:hAnsi="Times New Roman" w:eastAsia="宋体"/>
                <w:bCs/>
                <w:szCs w:val="21"/>
                <w:highlight w:val="none"/>
              </w:rPr>
            </w:pPr>
          </w:p>
        </w:tc>
        <w:tc>
          <w:tcPr>
            <w:tcW w:w="3680" w:type="dxa"/>
            <w:vAlign w:val="center"/>
          </w:tcPr>
          <w:p>
            <w:pPr>
              <w:textAlignment w:val="center"/>
              <w:rPr>
                <w:rFonts w:ascii="Times New Roman" w:hAnsi="Times New Roman" w:eastAsia="宋体"/>
                <w:color w:val="000000"/>
                <w:kern w:val="0"/>
                <w:szCs w:val="21"/>
                <w:highlight w:val="none"/>
                <w:lang w:val="en-US" w:bidi="ar"/>
              </w:rPr>
            </w:pPr>
            <w:r>
              <w:rPr>
                <w:rFonts w:ascii="Times New Roman" w:hAnsi="Times New Roman" w:eastAsia="宋体"/>
                <w:color w:val="000000"/>
                <w:kern w:val="0"/>
                <w:szCs w:val="21"/>
                <w:highlight w:val="none"/>
                <w:lang w:val="en-US" w:bidi="ar"/>
              </w:rPr>
              <w:t>云取证工作站Ⅲ</w:t>
            </w:r>
          </w:p>
        </w:tc>
        <w:tc>
          <w:tcPr>
            <w:tcW w:w="974" w:type="dxa"/>
            <w:shd w:val="clear" w:color="auto" w:fill="auto"/>
            <w:vAlign w:val="center"/>
          </w:tcPr>
          <w:p>
            <w:pPr>
              <w:jc w:val="center"/>
              <w:rPr>
                <w:rFonts w:ascii="Times New Roman" w:hAnsi="Times New Roman" w:eastAsia="宋体"/>
                <w:bCs/>
                <w:szCs w:val="21"/>
                <w:highlight w:val="none"/>
              </w:rPr>
            </w:pPr>
            <w:r>
              <w:rPr>
                <w:rFonts w:ascii="Times New Roman" w:hAnsi="Times New Roman" w:eastAsia="宋体"/>
                <w:szCs w:val="21"/>
                <w:highlight w:val="none"/>
              </w:rPr>
              <w:t>套</w:t>
            </w:r>
          </w:p>
        </w:tc>
        <w:tc>
          <w:tcPr>
            <w:tcW w:w="674" w:type="dxa"/>
            <w:vAlign w:val="center"/>
          </w:tcPr>
          <w:p>
            <w:pPr>
              <w:jc w:val="center"/>
              <w:rPr>
                <w:rFonts w:ascii="Times New Roman" w:hAnsi="Times New Roman" w:eastAsia="宋体"/>
                <w:bCs/>
                <w:szCs w:val="21"/>
                <w:highlight w:val="none"/>
                <w:lang w:val="en-US"/>
              </w:rPr>
            </w:pPr>
            <w:r>
              <w:rPr>
                <w:rFonts w:ascii="Times New Roman" w:hAnsi="Times New Roman" w:eastAsia="宋体"/>
                <w:bCs/>
                <w:szCs w:val="21"/>
                <w:highlight w:val="none"/>
                <w:lang w:val="en-US"/>
              </w:rPr>
              <w:t>1</w:t>
            </w:r>
          </w:p>
        </w:tc>
        <w:tc>
          <w:tcPr>
            <w:tcW w:w="1207" w:type="dxa"/>
            <w:vAlign w:val="center"/>
          </w:tcPr>
          <w:p>
            <w:pPr>
              <w:jc w:val="center"/>
              <w:rPr>
                <w:rFonts w:ascii="Times New Roman" w:hAnsi="Times New Roman" w:eastAsia="宋体"/>
                <w:bCs/>
                <w:szCs w:val="21"/>
                <w:highlight w:val="none"/>
                <w:lang w:val="en-US"/>
              </w:rPr>
            </w:pPr>
            <w:r>
              <w:rPr>
                <w:rFonts w:ascii="Times New Roman" w:hAnsi="Times New Roman" w:eastAsia="宋体"/>
                <w:bCs/>
                <w:szCs w:val="21"/>
                <w:highlight w:val="none"/>
                <w:lang w:val="en-US"/>
              </w:rPr>
              <w:t>31.04</w:t>
            </w:r>
            <w:r>
              <w:rPr>
                <w:rFonts w:hint="eastAsia" w:ascii="Times New Roman" w:hAnsi="Times New Roman" w:eastAsia="宋体"/>
                <w:bCs/>
                <w:szCs w:val="21"/>
                <w:highlight w:val="none"/>
                <w:lang w:val="en-US"/>
              </w:rPr>
              <w:t>0</w:t>
            </w:r>
          </w:p>
        </w:tc>
        <w:tc>
          <w:tcPr>
            <w:tcW w:w="1207" w:type="dxa"/>
            <w:vMerge w:val="continue"/>
            <w:vAlign w:val="center"/>
          </w:tcPr>
          <w:p>
            <w:pPr>
              <w:jc w:val="center"/>
              <w:rPr>
                <w:rFonts w:ascii="Times New Roman" w:hAnsi="Times New Roman" w:eastAsia="宋体"/>
                <w:bCs/>
                <w:szCs w:val="21"/>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continue"/>
            <w:vAlign w:val="center"/>
          </w:tcPr>
          <w:p>
            <w:pPr>
              <w:jc w:val="center"/>
              <w:rPr>
                <w:rFonts w:ascii="Times New Roman" w:hAnsi="Times New Roman" w:eastAsia="宋体"/>
                <w:bCs/>
                <w:szCs w:val="21"/>
                <w:highlight w:val="none"/>
              </w:rPr>
            </w:pPr>
          </w:p>
        </w:tc>
        <w:tc>
          <w:tcPr>
            <w:tcW w:w="658" w:type="dxa"/>
            <w:vAlign w:val="center"/>
          </w:tcPr>
          <w:p>
            <w:pPr>
              <w:numPr>
                <w:ilvl w:val="0"/>
                <w:numId w:val="17"/>
              </w:numPr>
              <w:jc w:val="center"/>
              <w:rPr>
                <w:rFonts w:ascii="Times New Roman" w:hAnsi="Times New Roman" w:eastAsia="宋体"/>
                <w:bCs/>
                <w:szCs w:val="21"/>
                <w:highlight w:val="none"/>
              </w:rPr>
            </w:pPr>
          </w:p>
        </w:tc>
        <w:tc>
          <w:tcPr>
            <w:tcW w:w="3680" w:type="dxa"/>
            <w:vAlign w:val="center"/>
          </w:tcPr>
          <w:p>
            <w:pPr>
              <w:textAlignment w:val="center"/>
              <w:rPr>
                <w:rFonts w:ascii="Times New Roman" w:hAnsi="Times New Roman" w:eastAsia="宋体"/>
                <w:color w:val="000000"/>
                <w:kern w:val="0"/>
                <w:szCs w:val="21"/>
                <w:highlight w:val="none"/>
                <w:lang w:val="en-US" w:bidi="ar"/>
              </w:rPr>
            </w:pPr>
            <w:r>
              <w:rPr>
                <w:rFonts w:ascii="Times New Roman" w:hAnsi="Times New Roman" w:eastAsia="宋体"/>
                <w:color w:val="000000"/>
                <w:kern w:val="0"/>
                <w:szCs w:val="21"/>
                <w:highlight w:val="none"/>
                <w:lang w:val="en-US" w:bidi="ar"/>
              </w:rPr>
              <w:t>手机密码破解设备Ⅰ</w:t>
            </w:r>
          </w:p>
        </w:tc>
        <w:tc>
          <w:tcPr>
            <w:tcW w:w="974" w:type="dxa"/>
            <w:shd w:val="clear" w:color="auto" w:fill="auto"/>
            <w:vAlign w:val="center"/>
          </w:tcPr>
          <w:p>
            <w:pPr>
              <w:jc w:val="center"/>
              <w:rPr>
                <w:rFonts w:ascii="Times New Roman" w:hAnsi="Times New Roman" w:eastAsia="宋体"/>
                <w:bCs/>
                <w:szCs w:val="21"/>
                <w:highlight w:val="none"/>
              </w:rPr>
            </w:pPr>
            <w:r>
              <w:rPr>
                <w:rFonts w:ascii="Times New Roman" w:hAnsi="Times New Roman" w:eastAsia="宋体"/>
                <w:szCs w:val="21"/>
                <w:highlight w:val="none"/>
              </w:rPr>
              <w:t>套</w:t>
            </w:r>
          </w:p>
        </w:tc>
        <w:tc>
          <w:tcPr>
            <w:tcW w:w="674" w:type="dxa"/>
            <w:vAlign w:val="center"/>
          </w:tcPr>
          <w:p>
            <w:pPr>
              <w:jc w:val="center"/>
              <w:rPr>
                <w:rFonts w:ascii="Times New Roman" w:hAnsi="Times New Roman" w:eastAsia="宋体"/>
                <w:bCs/>
                <w:szCs w:val="21"/>
                <w:highlight w:val="none"/>
                <w:lang w:val="en-US"/>
              </w:rPr>
            </w:pPr>
            <w:r>
              <w:rPr>
                <w:rFonts w:ascii="Times New Roman" w:hAnsi="Times New Roman" w:eastAsia="宋体"/>
                <w:bCs/>
                <w:szCs w:val="21"/>
                <w:highlight w:val="none"/>
                <w:lang w:val="en-US"/>
              </w:rPr>
              <w:t>1</w:t>
            </w:r>
          </w:p>
        </w:tc>
        <w:tc>
          <w:tcPr>
            <w:tcW w:w="1207" w:type="dxa"/>
            <w:vAlign w:val="center"/>
          </w:tcPr>
          <w:p>
            <w:pPr>
              <w:jc w:val="center"/>
              <w:rPr>
                <w:rFonts w:ascii="Times New Roman" w:hAnsi="Times New Roman" w:eastAsia="宋体"/>
                <w:bCs/>
                <w:szCs w:val="21"/>
                <w:highlight w:val="none"/>
                <w:lang w:val="en-US"/>
              </w:rPr>
            </w:pPr>
            <w:r>
              <w:rPr>
                <w:rFonts w:ascii="Times New Roman" w:hAnsi="Times New Roman" w:eastAsia="宋体"/>
                <w:bCs/>
                <w:szCs w:val="21"/>
                <w:highlight w:val="none"/>
                <w:lang w:val="en-US"/>
              </w:rPr>
              <w:t>22.24</w:t>
            </w:r>
            <w:r>
              <w:rPr>
                <w:rFonts w:hint="eastAsia" w:ascii="Times New Roman" w:hAnsi="Times New Roman" w:eastAsia="宋体"/>
                <w:bCs/>
                <w:szCs w:val="21"/>
                <w:highlight w:val="none"/>
                <w:lang w:val="en-US"/>
              </w:rPr>
              <w:t>0</w:t>
            </w:r>
          </w:p>
        </w:tc>
        <w:tc>
          <w:tcPr>
            <w:tcW w:w="1207" w:type="dxa"/>
            <w:vMerge w:val="continue"/>
            <w:vAlign w:val="center"/>
          </w:tcPr>
          <w:p>
            <w:pPr>
              <w:jc w:val="center"/>
              <w:rPr>
                <w:rFonts w:ascii="Times New Roman" w:hAnsi="Times New Roman" w:eastAsia="宋体"/>
                <w:bCs/>
                <w:szCs w:val="21"/>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continue"/>
            <w:vAlign w:val="center"/>
          </w:tcPr>
          <w:p>
            <w:pPr>
              <w:jc w:val="center"/>
              <w:rPr>
                <w:rFonts w:ascii="Times New Roman" w:hAnsi="Times New Roman" w:eastAsia="宋体"/>
                <w:bCs/>
                <w:szCs w:val="21"/>
                <w:highlight w:val="none"/>
              </w:rPr>
            </w:pPr>
          </w:p>
        </w:tc>
        <w:tc>
          <w:tcPr>
            <w:tcW w:w="658" w:type="dxa"/>
            <w:vAlign w:val="center"/>
          </w:tcPr>
          <w:p>
            <w:pPr>
              <w:numPr>
                <w:ilvl w:val="0"/>
                <w:numId w:val="17"/>
              </w:numPr>
              <w:jc w:val="center"/>
              <w:rPr>
                <w:rFonts w:ascii="Times New Roman" w:hAnsi="Times New Roman" w:eastAsia="宋体"/>
                <w:bCs/>
                <w:szCs w:val="21"/>
                <w:highlight w:val="none"/>
              </w:rPr>
            </w:pPr>
          </w:p>
        </w:tc>
        <w:tc>
          <w:tcPr>
            <w:tcW w:w="3680" w:type="dxa"/>
            <w:vAlign w:val="center"/>
          </w:tcPr>
          <w:p>
            <w:pPr>
              <w:textAlignment w:val="center"/>
              <w:rPr>
                <w:rFonts w:ascii="Times New Roman" w:hAnsi="Times New Roman" w:eastAsia="宋体"/>
                <w:color w:val="000000"/>
                <w:kern w:val="0"/>
                <w:szCs w:val="21"/>
                <w:highlight w:val="none"/>
                <w:lang w:val="en-US" w:bidi="ar"/>
              </w:rPr>
            </w:pPr>
            <w:r>
              <w:rPr>
                <w:rFonts w:ascii="Times New Roman" w:hAnsi="Times New Roman" w:eastAsia="宋体"/>
                <w:color w:val="000000"/>
                <w:kern w:val="0"/>
                <w:szCs w:val="21"/>
                <w:highlight w:val="none"/>
                <w:lang w:val="en-US" w:bidi="ar"/>
              </w:rPr>
              <w:t>电子取证数据库分析系统</w:t>
            </w:r>
          </w:p>
        </w:tc>
        <w:tc>
          <w:tcPr>
            <w:tcW w:w="974" w:type="dxa"/>
            <w:shd w:val="clear" w:color="auto" w:fill="auto"/>
            <w:vAlign w:val="center"/>
          </w:tcPr>
          <w:p>
            <w:pPr>
              <w:jc w:val="center"/>
              <w:rPr>
                <w:rFonts w:ascii="Times New Roman" w:hAnsi="Times New Roman" w:eastAsia="宋体"/>
                <w:bCs/>
                <w:szCs w:val="21"/>
                <w:highlight w:val="none"/>
              </w:rPr>
            </w:pPr>
            <w:r>
              <w:rPr>
                <w:rFonts w:ascii="Times New Roman" w:hAnsi="Times New Roman" w:eastAsia="宋体"/>
                <w:szCs w:val="21"/>
                <w:highlight w:val="none"/>
              </w:rPr>
              <w:t>套</w:t>
            </w:r>
          </w:p>
        </w:tc>
        <w:tc>
          <w:tcPr>
            <w:tcW w:w="674" w:type="dxa"/>
            <w:vAlign w:val="center"/>
          </w:tcPr>
          <w:p>
            <w:pPr>
              <w:jc w:val="center"/>
              <w:rPr>
                <w:rFonts w:ascii="Times New Roman" w:hAnsi="Times New Roman" w:eastAsia="宋体"/>
                <w:bCs/>
                <w:szCs w:val="21"/>
                <w:highlight w:val="none"/>
                <w:lang w:val="en-US"/>
              </w:rPr>
            </w:pPr>
            <w:r>
              <w:rPr>
                <w:rFonts w:ascii="Times New Roman" w:hAnsi="Times New Roman" w:eastAsia="宋体"/>
                <w:bCs/>
                <w:szCs w:val="21"/>
                <w:highlight w:val="none"/>
                <w:lang w:val="en-US"/>
              </w:rPr>
              <w:t>1</w:t>
            </w:r>
          </w:p>
        </w:tc>
        <w:tc>
          <w:tcPr>
            <w:tcW w:w="1207" w:type="dxa"/>
            <w:vAlign w:val="center"/>
          </w:tcPr>
          <w:p>
            <w:pPr>
              <w:jc w:val="center"/>
              <w:rPr>
                <w:rFonts w:ascii="Times New Roman" w:hAnsi="Times New Roman" w:eastAsia="宋体"/>
                <w:bCs/>
                <w:szCs w:val="21"/>
                <w:highlight w:val="none"/>
                <w:lang w:val="en-US"/>
              </w:rPr>
            </w:pPr>
            <w:r>
              <w:rPr>
                <w:rFonts w:ascii="Times New Roman" w:hAnsi="Times New Roman" w:eastAsia="宋体"/>
                <w:bCs/>
                <w:szCs w:val="21"/>
                <w:highlight w:val="none"/>
                <w:lang w:val="en-US"/>
              </w:rPr>
              <w:t>28.00</w:t>
            </w:r>
            <w:r>
              <w:rPr>
                <w:rFonts w:hint="eastAsia" w:ascii="Times New Roman" w:hAnsi="Times New Roman" w:eastAsia="宋体"/>
                <w:bCs/>
                <w:szCs w:val="21"/>
                <w:highlight w:val="none"/>
                <w:lang w:val="en-US"/>
              </w:rPr>
              <w:t>0</w:t>
            </w:r>
          </w:p>
        </w:tc>
        <w:tc>
          <w:tcPr>
            <w:tcW w:w="1207" w:type="dxa"/>
            <w:vMerge w:val="continue"/>
            <w:vAlign w:val="center"/>
          </w:tcPr>
          <w:p>
            <w:pPr>
              <w:jc w:val="center"/>
              <w:rPr>
                <w:rFonts w:ascii="Times New Roman" w:hAnsi="Times New Roman" w:eastAsia="宋体"/>
                <w:bCs/>
                <w:szCs w:val="21"/>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Align w:val="center"/>
          </w:tcPr>
          <w:p>
            <w:pPr>
              <w:numPr>
                <w:ilvl w:val="0"/>
                <w:numId w:val="13"/>
              </w:numPr>
              <w:tabs>
                <w:tab w:val="clear" w:pos="0"/>
              </w:tabs>
              <w:jc w:val="center"/>
              <w:rPr>
                <w:rFonts w:ascii="Times New Roman" w:hAnsi="Times New Roman" w:eastAsia="宋体"/>
                <w:bCs/>
                <w:szCs w:val="21"/>
                <w:highlight w:val="none"/>
              </w:rPr>
            </w:pPr>
          </w:p>
        </w:tc>
        <w:tc>
          <w:tcPr>
            <w:tcW w:w="658" w:type="dxa"/>
            <w:vAlign w:val="center"/>
          </w:tcPr>
          <w:p>
            <w:pPr>
              <w:numPr>
                <w:ilvl w:val="0"/>
                <w:numId w:val="18"/>
              </w:numPr>
              <w:jc w:val="center"/>
              <w:rPr>
                <w:rFonts w:ascii="Times New Roman" w:hAnsi="Times New Roman" w:eastAsia="宋体"/>
                <w:bCs/>
                <w:szCs w:val="21"/>
                <w:highlight w:val="none"/>
              </w:rPr>
            </w:pPr>
          </w:p>
        </w:tc>
        <w:tc>
          <w:tcPr>
            <w:tcW w:w="3680" w:type="dxa"/>
            <w:vAlign w:val="center"/>
          </w:tcPr>
          <w:p>
            <w:pPr>
              <w:textAlignment w:val="center"/>
              <w:rPr>
                <w:rFonts w:ascii="Times New Roman" w:hAnsi="Times New Roman" w:eastAsia="宋体"/>
                <w:color w:val="000000"/>
                <w:kern w:val="0"/>
                <w:szCs w:val="21"/>
                <w:highlight w:val="none"/>
                <w:lang w:val="en-US" w:bidi="ar"/>
              </w:rPr>
            </w:pPr>
            <w:r>
              <w:rPr>
                <w:rFonts w:ascii="Times New Roman" w:hAnsi="Times New Roman" w:eastAsia="宋体"/>
                <w:color w:val="000000"/>
                <w:kern w:val="0"/>
                <w:szCs w:val="21"/>
                <w:highlight w:val="none"/>
                <w:lang w:val="en-US" w:bidi="ar"/>
              </w:rPr>
              <w:t>手机取证塔Ⅴ</w:t>
            </w:r>
          </w:p>
        </w:tc>
        <w:tc>
          <w:tcPr>
            <w:tcW w:w="974" w:type="dxa"/>
            <w:shd w:val="clear" w:color="auto" w:fill="auto"/>
            <w:vAlign w:val="center"/>
          </w:tcPr>
          <w:p>
            <w:pPr>
              <w:jc w:val="center"/>
              <w:rPr>
                <w:rFonts w:ascii="Times New Roman" w:hAnsi="Times New Roman" w:eastAsia="宋体"/>
                <w:bCs/>
                <w:szCs w:val="21"/>
                <w:highlight w:val="none"/>
              </w:rPr>
            </w:pPr>
            <w:r>
              <w:rPr>
                <w:rFonts w:ascii="Times New Roman" w:hAnsi="Times New Roman" w:eastAsia="宋体"/>
                <w:szCs w:val="21"/>
                <w:highlight w:val="none"/>
              </w:rPr>
              <w:t>套</w:t>
            </w:r>
          </w:p>
        </w:tc>
        <w:tc>
          <w:tcPr>
            <w:tcW w:w="674" w:type="dxa"/>
            <w:vAlign w:val="center"/>
          </w:tcPr>
          <w:p>
            <w:pPr>
              <w:jc w:val="center"/>
              <w:rPr>
                <w:rFonts w:ascii="Times New Roman" w:hAnsi="Times New Roman" w:eastAsia="宋体"/>
                <w:bCs/>
                <w:szCs w:val="21"/>
                <w:highlight w:val="none"/>
                <w:lang w:val="en-US"/>
              </w:rPr>
            </w:pPr>
            <w:r>
              <w:rPr>
                <w:rFonts w:ascii="Times New Roman" w:hAnsi="Times New Roman" w:eastAsia="宋体"/>
                <w:bCs/>
                <w:szCs w:val="21"/>
                <w:highlight w:val="none"/>
                <w:lang w:val="en-US"/>
              </w:rPr>
              <w:t>7</w:t>
            </w:r>
          </w:p>
        </w:tc>
        <w:tc>
          <w:tcPr>
            <w:tcW w:w="1207" w:type="dxa"/>
            <w:vAlign w:val="center"/>
          </w:tcPr>
          <w:p>
            <w:pPr>
              <w:jc w:val="center"/>
              <w:rPr>
                <w:rFonts w:ascii="Times New Roman" w:hAnsi="Times New Roman" w:eastAsia="宋体"/>
                <w:bCs/>
                <w:szCs w:val="21"/>
                <w:highlight w:val="none"/>
                <w:lang w:val="en-US"/>
              </w:rPr>
            </w:pPr>
            <w:r>
              <w:rPr>
                <w:rFonts w:ascii="Times New Roman" w:hAnsi="Times New Roman" w:eastAsia="宋体"/>
                <w:bCs/>
                <w:szCs w:val="21"/>
                <w:highlight w:val="none"/>
                <w:lang w:val="en-US"/>
              </w:rPr>
              <w:t>30.89</w:t>
            </w:r>
            <w:r>
              <w:rPr>
                <w:rFonts w:hint="eastAsia" w:ascii="Times New Roman" w:hAnsi="Times New Roman" w:eastAsia="宋体"/>
                <w:bCs/>
                <w:szCs w:val="21"/>
                <w:highlight w:val="none"/>
                <w:lang w:val="en-US"/>
              </w:rPr>
              <w:t>0</w:t>
            </w:r>
          </w:p>
        </w:tc>
        <w:tc>
          <w:tcPr>
            <w:tcW w:w="1207" w:type="dxa"/>
            <w:vAlign w:val="center"/>
          </w:tcPr>
          <w:p>
            <w:pPr>
              <w:jc w:val="center"/>
              <w:rPr>
                <w:rFonts w:ascii="Times New Roman" w:hAnsi="Times New Roman" w:eastAsia="宋体"/>
                <w:bCs/>
                <w:szCs w:val="21"/>
                <w:highlight w:val="none"/>
                <w:lang w:val="en-US"/>
              </w:rPr>
            </w:pPr>
            <w:r>
              <w:rPr>
                <w:rFonts w:ascii="Times New Roman" w:hAnsi="Times New Roman" w:eastAsia="宋体"/>
                <w:bCs/>
                <w:szCs w:val="21"/>
                <w:highlight w:val="none"/>
                <w:lang w:val="en-US"/>
              </w:rPr>
              <w:t>2</w:t>
            </w:r>
            <w:r>
              <w:rPr>
                <w:rFonts w:hint="eastAsia" w:ascii="Times New Roman" w:hAnsi="Times New Roman" w:eastAsia="宋体"/>
                <w:bCs/>
                <w:szCs w:val="21"/>
                <w:highlight w:val="none"/>
                <w:lang w:val="en-US" w:eastAsia="zh-CN"/>
              </w:rPr>
              <w:t>16.23</w:t>
            </w:r>
            <w:r>
              <w:rPr>
                <w:rFonts w:hint="eastAsia" w:ascii="Times New Roman" w:hAnsi="Times New Roman" w:eastAsia="宋体"/>
                <w:bCs/>
                <w:szCs w:val="21"/>
                <w:highlight w:val="none"/>
                <w:lang w:val="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restart"/>
            <w:vAlign w:val="center"/>
          </w:tcPr>
          <w:p>
            <w:pPr>
              <w:numPr>
                <w:ilvl w:val="0"/>
                <w:numId w:val="13"/>
              </w:numPr>
              <w:tabs>
                <w:tab w:val="clear" w:pos="0"/>
              </w:tabs>
              <w:jc w:val="center"/>
              <w:rPr>
                <w:rFonts w:ascii="Times New Roman" w:hAnsi="Times New Roman" w:eastAsia="宋体"/>
                <w:bCs/>
                <w:szCs w:val="21"/>
                <w:highlight w:val="none"/>
              </w:rPr>
            </w:pPr>
          </w:p>
        </w:tc>
        <w:tc>
          <w:tcPr>
            <w:tcW w:w="658" w:type="dxa"/>
            <w:vAlign w:val="center"/>
          </w:tcPr>
          <w:p>
            <w:pPr>
              <w:numPr>
                <w:ilvl w:val="0"/>
                <w:numId w:val="19"/>
              </w:numPr>
              <w:jc w:val="center"/>
              <w:rPr>
                <w:rFonts w:ascii="Times New Roman" w:hAnsi="Times New Roman" w:eastAsia="宋体"/>
                <w:bCs/>
                <w:szCs w:val="21"/>
                <w:highlight w:val="none"/>
              </w:rPr>
            </w:pPr>
          </w:p>
        </w:tc>
        <w:tc>
          <w:tcPr>
            <w:tcW w:w="3680" w:type="dxa"/>
            <w:vAlign w:val="center"/>
          </w:tcPr>
          <w:p>
            <w:pPr>
              <w:textAlignment w:val="center"/>
              <w:rPr>
                <w:rFonts w:ascii="Times New Roman" w:hAnsi="Times New Roman" w:eastAsia="宋体"/>
                <w:color w:val="000000"/>
                <w:kern w:val="0"/>
                <w:szCs w:val="21"/>
                <w:highlight w:val="none"/>
                <w:lang w:val="en-US" w:bidi="ar"/>
              </w:rPr>
            </w:pPr>
            <w:r>
              <w:rPr>
                <w:rFonts w:ascii="Times New Roman" w:hAnsi="Times New Roman" w:eastAsia="宋体"/>
                <w:color w:val="000000"/>
                <w:kern w:val="0"/>
                <w:szCs w:val="21"/>
                <w:highlight w:val="none"/>
                <w:lang w:val="en-US" w:bidi="ar"/>
              </w:rPr>
              <w:t>手机密码破解设备Ⅱ</w:t>
            </w:r>
          </w:p>
        </w:tc>
        <w:tc>
          <w:tcPr>
            <w:tcW w:w="974" w:type="dxa"/>
            <w:shd w:val="clear" w:color="auto" w:fill="auto"/>
            <w:vAlign w:val="center"/>
          </w:tcPr>
          <w:p>
            <w:pPr>
              <w:jc w:val="center"/>
              <w:rPr>
                <w:rFonts w:ascii="Times New Roman" w:hAnsi="Times New Roman" w:eastAsia="宋体"/>
                <w:bCs/>
                <w:szCs w:val="21"/>
                <w:highlight w:val="none"/>
              </w:rPr>
            </w:pPr>
            <w:r>
              <w:rPr>
                <w:rFonts w:ascii="Times New Roman" w:hAnsi="Times New Roman" w:eastAsia="宋体"/>
                <w:szCs w:val="21"/>
                <w:highlight w:val="none"/>
              </w:rPr>
              <w:t>套</w:t>
            </w:r>
          </w:p>
        </w:tc>
        <w:tc>
          <w:tcPr>
            <w:tcW w:w="674" w:type="dxa"/>
            <w:vAlign w:val="center"/>
          </w:tcPr>
          <w:p>
            <w:pPr>
              <w:jc w:val="center"/>
              <w:rPr>
                <w:rFonts w:ascii="Times New Roman" w:hAnsi="Times New Roman" w:eastAsia="宋体"/>
                <w:bCs/>
                <w:szCs w:val="21"/>
                <w:highlight w:val="none"/>
                <w:lang w:val="en-US"/>
              </w:rPr>
            </w:pPr>
            <w:r>
              <w:rPr>
                <w:rFonts w:ascii="Times New Roman" w:hAnsi="Times New Roman" w:eastAsia="宋体"/>
                <w:bCs/>
                <w:szCs w:val="21"/>
                <w:highlight w:val="none"/>
                <w:lang w:val="en-US"/>
              </w:rPr>
              <w:t>6</w:t>
            </w:r>
          </w:p>
        </w:tc>
        <w:tc>
          <w:tcPr>
            <w:tcW w:w="1207" w:type="dxa"/>
            <w:vAlign w:val="center"/>
          </w:tcPr>
          <w:p>
            <w:pPr>
              <w:jc w:val="center"/>
              <w:rPr>
                <w:rFonts w:ascii="Times New Roman" w:hAnsi="Times New Roman" w:eastAsia="宋体"/>
                <w:bCs/>
                <w:szCs w:val="21"/>
                <w:highlight w:val="none"/>
                <w:lang w:val="en-US"/>
              </w:rPr>
            </w:pPr>
            <w:r>
              <w:rPr>
                <w:rFonts w:ascii="Times New Roman" w:hAnsi="Times New Roman" w:eastAsia="宋体"/>
                <w:bCs/>
                <w:szCs w:val="21"/>
                <w:highlight w:val="none"/>
                <w:lang w:val="en-US"/>
              </w:rPr>
              <w:t>19.98</w:t>
            </w:r>
            <w:r>
              <w:rPr>
                <w:rFonts w:hint="eastAsia" w:ascii="Times New Roman" w:hAnsi="Times New Roman" w:eastAsia="宋体"/>
                <w:bCs/>
                <w:szCs w:val="21"/>
                <w:highlight w:val="none"/>
                <w:lang w:val="en-US"/>
              </w:rPr>
              <w:t>4</w:t>
            </w:r>
          </w:p>
        </w:tc>
        <w:tc>
          <w:tcPr>
            <w:tcW w:w="1207" w:type="dxa"/>
            <w:vMerge w:val="restart"/>
            <w:vAlign w:val="center"/>
          </w:tcPr>
          <w:p>
            <w:pPr>
              <w:jc w:val="center"/>
              <w:rPr>
                <w:rFonts w:ascii="Times New Roman" w:hAnsi="Times New Roman" w:eastAsia="宋体"/>
                <w:bCs/>
                <w:szCs w:val="21"/>
                <w:highlight w:val="none"/>
                <w:lang w:val="en-US"/>
              </w:rPr>
            </w:pPr>
            <w:r>
              <w:rPr>
                <w:rFonts w:ascii="Times New Roman" w:hAnsi="Times New Roman" w:eastAsia="宋体"/>
                <w:bCs/>
                <w:szCs w:val="21"/>
                <w:highlight w:val="none"/>
                <w:lang w:val="en-US"/>
              </w:rPr>
              <w:t>143.8</w:t>
            </w:r>
            <w:r>
              <w:rPr>
                <w:rFonts w:hint="eastAsia" w:ascii="Times New Roman" w:hAnsi="Times New Roman" w:eastAsia="宋体"/>
                <w:bCs/>
                <w:szCs w:val="21"/>
                <w:highlight w:val="none"/>
                <w:lang w:val="en-US"/>
              </w:rPr>
              <w:t>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Merge w:val="continue"/>
            <w:vAlign w:val="center"/>
          </w:tcPr>
          <w:p>
            <w:pPr>
              <w:jc w:val="center"/>
              <w:rPr>
                <w:rFonts w:ascii="Times New Roman" w:hAnsi="Times New Roman" w:eastAsia="宋体"/>
                <w:bCs/>
                <w:szCs w:val="21"/>
                <w:highlight w:val="none"/>
              </w:rPr>
            </w:pPr>
          </w:p>
        </w:tc>
        <w:tc>
          <w:tcPr>
            <w:tcW w:w="658" w:type="dxa"/>
            <w:vAlign w:val="center"/>
          </w:tcPr>
          <w:p>
            <w:pPr>
              <w:numPr>
                <w:ilvl w:val="0"/>
                <w:numId w:val="19"/>
              </w:numPr>
              <w:jc w:val="center"/>
              <w:rPr>
                <w:rFonts w:ascii="Times New Roman" w:hAnsi="Times New Roman" w:eastAsia="宋体"/>
                <w:bCs/>
                <w:szCs w:val="21"/>
                <w:highlight w:val="none"/>
              </w:rPr>
            </w:pPr>
          </w:p>
        </w:tc>
        <w:tc>
          <w:tcPr>
            <w:tcW w:w="3680" w:type="dxa"/>
            <w:vAlign w:val="center"/>
          </w:tcPr>
          <w:p>
            <w:pPr>
              <w:textAlignment w:val="center"/>
              <w:rPr>
                <w:rFonts w:ascii="Times New Roman" w:hAnsi="Times New Roman" w:eastAsia="宋体"/>
                <w:color w:val="000000"/>
                <w:kern w:val="0"/>
                <w:szCs w:val="21"/>
                <w:highlight w:val="none"/>
                <w:lang w:val="en-US" w:bidi="ar"/>
              </w:rPr>
            </w:pPr>
            <w:r>
              <w:rPr>
                <w:rFonts w:ascii="Times New Roman" w:hAnsi="Times New Roman" w:eastAsia="宋体"/>
                <w:color w:val="000000"/>
                <w:kern w:val="0"/>
                <w:szCs w:val="21"/>
                <w:highlight w:val="none"/>
                <w:lang w:val="en-US" w:bidi="ar"/>
              </w:rPr>
              <w:t>可视化关联分析系统Ⅱ</w:t>
            </w:r>
          </w:p>
        </w:tc>
        <w:tc>
          <w:tcPr>
            <w:tcW w:w="974" w:type="dxa"/>
            <w:shd w:val="clear" w:color="auto" w:fill="auto"/>
            <w:vAlign w:val="center"/>
          </w:tcPr>
          <w:p>
            <w:pPr>
              <w:jc w:val="center"/>
              <w:rPr>
                <w:rFonts w:ascii="Times New Roman" w:hAnsi="Times New Roman" w:eastAsia="宋体"/>
                <w:bCs/>
                <w:szCs w:val="21"/>
                <w:highlight w:val="none"/>
              </w:rPr>
            </w:pPr>
            <w:r>
              <w:rPr>
                <w:rFonts w:ascii="Times New Roman" w:hAnsi="Times New Roman" w:eastAsia="宋体"/>
                <w:szCs w:val="21"/>
                <w:highlight w:val="none"/>
              </w:rPr>
              <w:t>套</w:t>
            </w:r>
          </w:p>
        </w:tc>
        <w:tc>
          <w:tcPr>
            <w:tcW w:w="674" w:type="dxa"/>
            <w:vAlign w:val="center"/>
          </w:tcPr>
          <w:p>
            <w:pPr>
              <w:jc w:val="center"/>
              <w:rPr>
                <w:rFonts w:ascii="Times New Roman" w:hAnsi="Times New Roman" w:eastAsia="宋体"/>
                <w:bCs/>
                <w:szCs w:val="21"/>
                <w:highlight w:val="none"/>
                <w:lang w:val="en-US"/>
              </w:rPr>
            </w:pPr>
            <w:r>
              <w:rPr>
                <w:rFonts w:ascii="Times New Roman" w:hAnsi="Times New Roman" w:eastAsia="宋体"/>
                <w:bCs/>
                <w:szCs w:val="21"/>
                <w:highlight w:val="none"/>
                <w:lang w:val="en-US"/>
              </w:rPr>
              <w:t>1</w:t>
            </w:r>
          </w:p>
        </w:tc>
        <w:tc>
          <w:tcPr>
            <w:tcW w:w="1207" w:type="dxa"/>
            <w:vAlign w:val="center"/>
          </w:tcPr>
          <w:p>
            <w:pPr>
              <w:jc w:val="center"/>
              <w:rPr>
                <w:rFonts w:ascii="Times New Roman" w:hAnsi="Times New Roman" w:eastAsia="宋体"/>
                <w:bCs/>
                <w:szCs w:val="21"/>
                <w:highlight w:val="none"/>
                <w:lang w:val="en-US"/>
              </w:rPr>
            </w:pPr>
            <w:r>
              <w:rPr>
                <w:rFonts w:ascii="Times New Roman" w:hAnsi="Times New Roman" w:eastAsia="宋体"/>
                <w:bCs/>
                <w:szCs w:val="21"/>
                <w:highlight w:val="none"/>
                <w:lang w:val="en-US"/>
              </w:rPr>
              <w:t>23.98</w:t>
            </w:r>
            <w:r>
              <w:rPr>
                <w:rFonts w:hint="eastAsia" w:ascii="Times New Roman" w:hAnsi="Times New Roman" w:eastAsia="宋体"/>
                <w:bCs/>
                <w:szCs w:val="21"/>
                <w:highlight w:val="none"/>
                <w:lang w:val="en-US"/>
              </w:rPr>
              <w:t>4</w:t>
            </w:r>
          </w:p>
        </w:tc>
        <w:tc>
          <w:tcPr>
            <w:tcW w:w="1207" w:type="dxa"/>
            <w:vMerge w:val="continue"/>
            <w:vAlign w:val="center"/>
          </w:tcPr>
          <w:p>
            <w:pPr>
              <w:jc w:val="center"/>
              <w:rPr>
                <w:rFonts w:ascii="Times New Roman" w:hAnsi="Times New Roman" w:eastAsia="宋体"/>
                <w:bCs/>
                <w:szCs w:val="21"/>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Align w:val="center"/>
          </w:tcPr>
          <w:p>
            <w:pPr>
              <w:numPr>
                <w:ilvl w:val="0"/>
                <w:numId w:val="13"/>
              </w:numPr>
              <w:tabs>
                <w:tab w:val="clear" w:pos="0"/>
              </w:tabs>
              <w:jc w:val="center"/>
              <w:rPr>
                <w:rFonts w:ascii="Times New Roman" w:hAnsi="Times New Roman" w:eastAsia="宋体"/>
                <w:bCs/>
                <w:szCs w:val="21"/>
                <w:highlight w:val="none"/>
              </w:rPr>
            </w:pPr>
          </w:p>
        </w:tc>
        <w:tc>
          <w:tcPr>
            <w:tcW w:w="658" w:type="dxa"/>
            <w:vAlign w:val="center"/>
          </w:tcPr>
          <w:p>
            <w:pPr>
              <w:numPr>
                <w:ilvl w:val="0"/>
                <w:numId w:val="20"/>
              </w:numPr>
              <w:jc w:val="center"/>
              <w:rPr>
                <w:rFonts w:ascii="Times New Roman" w:hAnsi="Times New Roman" w:eastAsia="宋体"/>
                <w:bCs/>
                <w:szCs w:val="21"/>
                <w:highlight w:val="none"/>
              </w:rPr>
            </w:pPr>
          </w:p>
        </w:tc>
        <w:tc>
          <w:tcPr>
            <w:tcW w:w="3680" w:type="dxa"/>
            <w:shd w:val="clear" w:color="auto" w:fill="auto"/>
            <w:vAlign w:val="center"/>
          </w:tcPr>
          <w:p>
            <w:pPr>
              <w:textAlignment w:val="center"/>
              <w:rPr>
                <w:rFonts w:ascii="Times New Roman" w:hAnsi="Times New Roman" w:eastAsia="宋体"/>
                <w:color w:val="000000"/>
                <w:szCs w:val="21"/>
                <w:highlight w:val="none"/>
                <w:lang w:val="en-US"/>
              </w:rPr>
            </w:pPr>
            <w:r>
              <w:rPr>
                <w:rFonts w:ascii="Times New Roman" w:hAnsi="Times New Roman" w:eastAsia="宋体"/>
                <w:color w:val="000000"/>
                <w:kern w:val="0"/>
                <w:szCs w:val="21"/>
                <w:highlight w:val="none"/>
                <w:lang w:val="en-US" w:bidi="ar"/>
              </w:rPr>
              <w:t>手机密码破解设备Ⅲ</w:t>
            </w:r>
          </w:p>
        </w:tc>
        <w:tc>
          <w:tcPr>
            <w:tcW w:w="974" w:type="dxa"/>
            <w:shd w:val="clear" w:color="auto" w:fill="auto"/>
            <w:vAlign w:val="center"/>
          </w:tcPr>
          <w:p>
            <w:pPr>
              <w:jc w:val="center"/>
              <w:rPr>
                <w:rFonts w:ascii="Times New Roman" w:hAnsi="Times New Roman" w:eastAsia="宋体"/>
                <w:bCs/>
                <w:szCs w:val="21"/>
                <w:highlight w:val="none"/>
              </w:rPr>
            </w:pPr>
            <w:r>
              <w:rPr>
                <w:rFonts w:ascii="Times New Roman" w:hAnsi="Times New Roman" w:eastAsia="宋体"/>
                <w:szCs w:val="21"/>
                <w:highlight w:val="none"/>
              </w:rPr>
              <w:t>套</w:t>
            </w:r>
          </w:p>
        </w:tc>
        <w:tc>
          <w:tcPr>
            <w:tcW w:w="674" w:type="dxa"/>
            <w:vAlign w:val="center"/>
          </w:tcPr>
          <w:p>
            <w:pPr>
              <w:jc w:val="center"/>
              <w:rPr>
                <w:rFonts w:hint="eastAsia" w:ascii="Times New Roman" w:hAnsi="Times New Roman" w:eastAsia="宋体"/>
                <w:bCs/>
                <w:szCs w:val="21"/>
                <w:highlight w:val="none"/>
                <w:lang w:val="en-US" w:eastAsia="zh-CN"/>
              </w:rPr>
            </w:pPr>
            <w:r>
              <w:rPr>
                <w:rFonts w:hint="eastAsia" w:ascii="Times New Roman" w:hAnsi="Times New Roman" w:eastAsia="宋体"/>
                <w:bCs/>
                <w:szCs w:val="21"/>
                <w:highlight w:val="none"/>
                <w:lang w:val="en-US" w:eastAsia="zh-CN"/>
              </w:rPr>
              <w:t>4</w:t>
            </w:r>
          </w:p>
        </w:tc>
        <w:tc>
          <w:tcPr>
            <w:tcW w:w="1207" w:type="dxa"/>
            <w:vAlign w:val="center"/>
          </w:tcPr>
          <w:p>
            <w:pPr>
              <w:jc w:val="center"/>
              <w:rPr>
                <w:rFonts w:ascii="Times New Roman" w:hAnsi="Times New Roman" w:eastAsia="宋体"/>
                <w:bCs/>
                <w:szCs w:val="21"/>
                <w:highlight w:val="none"/>
                <w:lang w:val="en-US"/>
              </w:rPr>
            </w:pPr>
            <w:r>
              <w:rPr>
                <w:rFonts w:ascii="Times New Roman" w:hAnsi="Times New Roman" w:eastAsia="宋体"/>
                <w:bCs/>
                <w:szCs w:val="21"/>
                <w:highlight w:val="none"/>
                <w:lang w:val="en-US"/>
              </w:rPr>
              <w:t>23.84</w:t>
            </w:r>
            <w:r>
              <w:rPr>
                <w:rFonts w:hint="eastAsia" w:ascii="Times New Roman" w:hAnsi="Times New Roman" w:eastAsia="宋体"/>
                <w:bCs/>
                <w:szCs w:val="21"/>
                <w:highlight w:val="none"/>
                <w:lang w:val="en-US"/>
              </w:rPr>
              <w:t>0</w:t>
            </w:r>
          </w:p>
        </w:tc>
        <w:tc>
          <w:tcPr>
            <w:tcW w:w="1207" w:type="dxa"/>
            <w:vAlign w:val="center"/>
          </w:tcPr>
          <w:p>
            <w:pPr>
              <w:jc w:val="center"/>
              <w:textAlignment w:val="center"/>
              <w:rPr>
                <w:rFonts w:ascii="Times New Roman" w:hAnsi="Times New Roman" w:eastAsia="宋体"/>
                <w:bCs/>
                <w:szCs w:val="21"/>
                <w:highlight w:val="none"/>
                <w:lang w:val="en-US"/>
              </w:rPr>
            </w:pPr>
            <w:r>
              <w:rPr>
                <w:rFonts w:ascii="Times New Roman" w:hAnsi="Times New Roman" w:eastAsia="宋体"/>
                <w:color w:val="000000"/>
                <w:kern w:val="0"/>
                <w:szCs w:val="21"/>
                <w:highlight w:val="none"/>
                <w:lang w:val="en-US" w:bidi="ar"/>
              </w:rPr>
              <w:t>9</w:t>
            </w:r>
            <w:r>
              <w:rPr>
                <w:rFonts w:hint="eastAsia" w:ascii="Times New Roman" w:hAnsi="Times New Roman" w:eastAsia="宋体"/>
                <w:color w:val="000000"/>
                <w:kern w:val="0"/>
                <w:szCs w:val="21"/>
                <w:highlight w:val="none"/>
                <w:lang w:val="en-US" w:eastAsia="zh-CN" w:bidi="ar"/>
              </w:rPr>
              <w:t>5</w:t>
            </w:r>
            <w:r>
              <w:rPr>
                <w:rFonts w:ascii="Times New Roman" w:hAnsi="Times New Roman" w:eastAsia="宋体"/>
                <w:color w:val="000000"/>
                <w:kern w:val="0"/>
                <w:szCs w:val="21"/>
                <w:highlight w:val="none"/>
                <w:lang w:val="en-US" w:bidi="ar"/>
              </w:rPr>
              <w:t>.</w:t>
            </w:r>
            <w:r>
              <w:rPr>
                <w:rFonts w:hint="eastAsia" w:ascii="Times New Roman" w:hAnsi="Times New Roman" w:eastAsia="宋体"/>
                <w:color w:val="000000"/>
                <w:kern w:val="0"/>
                <w:szCs w:val="21"/>
                <w:highlight w:val="none"/>
                <w:lang w:val="en-US" w:eastAsia="zh-CN" w:bidi="ar"/>
              </w:rPr>
              <w:t>36</w:t>
            </w:r>
            <w:r>
              <w:rPr>
                <w:rFonts w:hint="eastAsia" w:ascii="Times New Roman" w:hAnsi="Times New Roman" w:eastAsia="宋体"/>
                <w:color w:val="000000"/>
                <w:kern w:val="0"/>
                <w:szCs w:val="21"/>
                <w:highlight w:val="none"/>
                <w:lang w:val="en-US"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Align w:val="center"/>
          </w:tcPr>
          <w:p>
            <w:pPr>
              <w:numPr>
                <w:ilvl w:val="0"/>
                <w:numId w:val="13"/>
              </w:numPr>
              <w:tabs>
                <w:tab w:val="clear" w:pos="0"/>
              </w:tabs>
              <w:jc w:val="center"/>
              <w:rPr>
                <w:rFonts w:ascii="Times New Roman" w:hAnsi="Times New Roman" w:eastAsia="宋体"/>
                <w:bCs/>
                <w:szCs w:val="21"/>
                <w:highlight w:val="none"/>
              </w:rPr>
            </w:pPr>
          </w:p>
        </w:tc>
        <w:tc>
          <w:tcPr>
            <w:tcW w:w="658" w:type="dxa"/>
            <w:vAlign w:val="center"/>
          </w:tcPr>
          <w:p>
            <w:pPr>
              <w:numPr>
                <w:ilvl w:val="0"/>
                <w:numId w:val="21"/>
              </w:numPr>
              <w:jc w:val="center"/>
              <w:rPr>
                <w:rFonts w:ascii="Times New Roman" w:hAnsi="Times New Roman" w:eastAsia="宋体"/>
                <w:bCs/>
                <w:szCs w:val="21"/>
                <w:highlight w:val="none"/>
              </w:rPr>
            </w:pPr>
          </w:p>
        </w:tc>
        <w:tc>
          <w:tcPr>
            <w:tcW w:w="3680" w:type="dxa"/>
            <w:shd w:val="clear" w:color="auto" w:fill="auto"/>
            <w:vAlign w:val="center"/>
          </w:tcPr>
          <w:p>
            <w:pPr>
              <w:textAlignment w:val="center"/>
              <w:rPr>
                <w:rFonts w:ascii="Times New Roman" w:hAnsi="Times New Roman" w:eastAsia="宋体"/>
                <w:color w:val="000000"/>
                <w:szCs w:val="21"/>
                <w:highlight w:val="none"/>
                <w:lang w:val="en-US"/>
              </w:rPr>
            </w:pPr>
            <w:r>
              <w:rPr>
                <w:rFonts w:ascii="Times New Roman" w:hAnsi="Times New Roman" w:eastAsia="宋体"/>
                <w:color w:val="000000"/>
                <w:kern w:val="0"/>
                <w:szCs w:val="21"/>
                <w:highlight w:val="none"/>
                <w:lang w:val="en-US" w:bidi="ar"/>
              </w:rPr>
              <w:t>电子物证存储系统</w:t>
            </w:r>
          </w:p>
        </w:tc>
        <w:tc>
          <w:tcPr>
            <w:tcW w:w="974" w:type="dxa"/>
            <w:shd w:val="clear" w:color="auto" w:fill="auto"/>
            <w:vAlign w:val="center"/>
          </w:tcPr>
          <w:p>
            <w:pPr>
              <w:jc w:val="center"/>
              <w:rPr>
                <w:rFonts w:ascii="Times New Roman" w:hAnsi="Times New Roman" w:eastAsia="宋体"/>
                <w:bCs/>
                <w:szCs w:val="21"/>
                <w:highlight w:val="none"/>
              </w:rPr>
            </w:pPr>
            <w:r>
              <w:rPr>
                <w:rFonts w:ascii="Times New Roman" w:hAnsi="Times New Roman" w:eastAsia="宋体"/>
                <w:szCs w:val="21"/>
                <w:highlight w:val="none"/>
              </w:rPr>
              <w:t>套</w:t>
            </w:r>
          </w:p>
        </w:tc>
        <w:tc>
          <w:tcPr>
            <w:tcW w:w="674" w:type="dxa"/>
            <w:vAlign w:val="center"/>
          </w:tcPr>
          <w:p>
            <w:pPr>
              <w:jc w:val="center"/>
              <w:rPr>
                <w:rFonts w:hint="eastAsia" w:ascii="Times New Roman" w:hAnsi="Times New Roman" w:eastAsia="宋体"/>
                <w:bCs/>
                <w:szCs w:val="21"/>
                <w:highlight w:val="none"/>
                <w:lang w:val="en-US" w:eastAsia="zh-CN"/>
              </w:rPr>
            </w:pPr>
            <w:r>
              <w:rPr>
                <w:rFonts w:ascii="Times New Roman" w:hAnsi="Times New Roman" w:eastAsia="宋体"/>
                <w:bCs/>
                <w:szCs w:val="21"/>
                <w:highlight w:val="none"/>
                <w:lang w:val="en-US"/>
              </w:rPr>
              <w:t>1</w:t>
            </w:r>
            <w:r>
              <w:rPr>
                <w:rFonts w:hint="eastAsia" w:ascii="Times New Roman" w:hAnsi="Times New Roman" w:eastAsia="宋体"/>
                <w:bCs/>
                <w:szCs w:val="21"/>
                <w:highlight w:val="none"/>
                <w:lang w:val="en-US" w:eastAsia="zh-CN"/>
              </w:rPr>
              <w:t>1</w:t>
            </w:r>
          </w:p>
        </w:tc>
        <w:tc>
          <w:tcPr>
            <w:tcW w:w="1207" w:type="dxa"/>
            <w:vAlign w:val="center"/>
          </w:tcPr>
          <w:p>
            <w:pPr>
              <w:jc w:val="center"/>
              <w:rPr>
                <w:rFonts w:ascii="Times New Roman" w:hAnsi="Times New Roman" w:eastAsia="宋体"/>
                <w:bCs/>
                <w:szCs w:val="21"/>
                <w:highlight w:val="none"/>
                <w:lang w:val="en-US"/>
              </w:rPr>
            </w:pPr>
            <w:r>
              <w:rPr>
                <w:rFonts w:ascii="Times New Roman" w:hAnsi="Times New Roman" w:eastAsia="宋体"/>
                <w:bCs/>
                <w:szCs w:val="21"/>
                <w:highlight w:val="none"/>
                <w:lang w:val="en-US"/>
              </w:rPr>
              <w:t>40.00</w:t>
            </w:r>
            <w:r>
              <w:rPr>
                <w:rFonts w:hint="eastAsia" w:ascii="Times New Roman" w:hAnsi="Times New Roman" w:eastAsia="宋体"/>
                <w:bCs/>
                <w:szCs w:val="21"/>
                <w:highlight w:val="none"/>
                <w:lang w:val="en-US"/>
              </w:rPr>
              <w:t>0</w:t>
            </w:r>
          </w:p>
        </w:tc>
        <w:tc>
          <w:tcPr>
            <w:tcW w:w="1207" w:type="dxa"/>
            <w:vAlign w:val="center"/>
          </w:tcPr>
          <w:p>
            <w:pPr>
              <w:jc w:val="center"/>
              <w:textAlignment w:val="center"/>
              <w:rPr>
                <w:rFonts w:ascii="Times New Roman" w:hAnsi="Times New Roman" w:eastAsia="宋体"/>
                <w:bCs/>
                <w:szCs w:val="21"/>
                <w:highlight w:val="none"/>
                <w:lang w:val="en-US"/>
              </w:rPr>
            </w:pPr>
            <w:r>
              <w:rPr>
                <w:rFonts w:ascii="Times New Roman" w:hAnsi="Times New Roman" w:eastAsia="宋体"/>
                <w:color w:val="000000"/>
                <w:kern w:val="0"/>
                <w:szCs w:val="21"/>
                <w:highlight w:val="none"/>
                <w:lang w:val="en-US" w:bidi="ar"/>
              </w:rPr>
              <w:t>4</w:t>
            </w:r>
            <w:r>
              <w:rPr>
                <w:rFonts w:hint="eastAsia" w:ascii="Times New Roman" w:hAnsi="Times New Roman" w:eastAsia="宋体"/>
                <w:color w:val="000000"/>
                <w:kern w:val="0"/>
                <w:szCs w:val="21"/>
                <w:highlight w:val="none"/>
                <w:lang w:val="en-US" w:eastAsia="zh-CN" w:bidi="ar"/>
              </w:rPr>
              <w:t>4</w:t>
            </w:r>
            <w:r>
              <w:rPr>
                <w:rFonts w:ascii="Times New Roman" w:hAnsi="Times New Roman" w:eastAsia="宋体"/>
                <w:color w:val="000000"/>
                <w:kern w:val="0"/>
                <w:szCs w:val="21"/>
                <w:highlight w:val="none"/>
                <w:lang w:val="en-US" w:bidi="ar"/>
              </w:rPr>
              <w:t>0</w:t>
            </w:r>
            <w:r>
              <w:rPr>
                <w:rFonts w:hint="eastAsia" w:ascii="Times New Roman" w:hAnsi="Times New Roman" w:eastAsia="宋体"/>
                <w:color w:val="000000"/>
                <w:kern w:val="0"/>
                <w:szCs w:val="21"/>
                <w:highlight w:val="none"/>
                <w:lang w:val="en-US"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Align w:val="center"/>
          </w:tcPr>
          <w:p>
            <w:pPr>
              <w:numPr>
                <w:ilvl w:val="0"/>
                <w:numId w:val="13"/>
              </w:numPr>
              <w:tabs>
                <w:tab w:val="clear" w:pos="0"/>
              </w:tabs>
              <w:jc w:val="center"/>
              <w:rPr>
                <w:rFonts w:ascii="Times New Roman" w:hAnsi="Times New Roman" w:eastAsia="宋体"/>
                <w:bCs/>
                <w:szCs w:val="21"/>
                <w:highlight w:val="none"/>
                <w:lang w:val="en-US"/>
              </w:rPr>
            </w:pPr>
          </w:p>
        </w:tc>
        <w:tc>
          <w:tcPr>
            <w:tcW w:w="658" w:type="dxa"/>
            <w:vAlign w:val="center"/>
          </w:tcPr>
          <w:p>
            <w:pPr>
              <w:numPr>
                <w:ilvl w:val="0"/>
                <w:numId w:val="22"/>
              </w:numPr>
              <w:jc w:val="center"/>
              <w:rPr>
                <w:rFonts w:ascii="Times New Roman" w:hAnsi="Times New Roman" w:eastAsia="宋体"/>
                <w:bCs/>
                <w:szCs w:val="21"/>
                <w:highlight w:val="none"/>
              </w:rPr>
            </w:pPr>
          </w:p>
        </w:tc>
        <w:tc>
          <w:tcPr>
            <w:tcW w:w="3680" w:type="dxa"/>
            <w:vAlign w:val="center"/>
          </w:tcPr>
          <w:p>
            <w:pPr>
              <w:textAlignment w:val="center"/>
              <w:rPr>
                <w:rFonts w:ascii="Times New Roman" w:hAnsi="Times New Roman" w:eastAsia="宋体"/>
                <w:color w:val="000000"/>
                <w:kern w:val="0"/>
                <w:szCs w:val="21"/>
                <w:highlight w:val="none"/>
                <w:lang w:val="en-US" w:bidi="ar"/>
              </w:rPr>
            </w:pPr>
            <w:r>
              <w:rPr>
                <w:rFonts w:ascii="Times New Roman" w:hAnsi="Times New Roman" w:eastAsia="宋体"/>
                <w:color w:val="000000"/>
                <w:kern w:val="0"/>
                <w:szCs w:val="21"/>
                <w:highlight w:val="none"/>
                <w:lang w:val="en-US" w:bidi="ar"/>
              </w:rPr>
              <w:t>声纹工作站Ⅰ</w:t>
            </w:r>
          </w:p>
        </w:tc>
        <w:tc>
          <w:tcPr>
            <w:tcW w:w="974" w:type="dxa"/>
            <w:vAlign w:val="center"/>
          </w:tcPr>
          <w:p>
            <w:pPr>
              <w:jc w:val="center"/>
              <w:rPr>
                <w:rFonts w:ascii="Times New Roman" w:hAnsi="Times New Roman" w:eastAsia="宋体"/>
                <w:szCs w:val="21"/>
                <w:highlight w:val="none"/>
              </w:rPr>
            </w:pPr>
            <w:r>
              <w:rPr>
                <w:rFonts w:ascii="Times New Roman" w:hAnsi="Times New Roman" w:eastAsia="宋体"/>
                <w:szCs w:val="21"/>
                <w:highlight w:val="none"/>
              </w:rPr>
              <w:t>套</w:t>
            </w:r>
          </w:p>
        </w:tc>
        <w:tc>
          <w:tcPr>
            <w:tcW w:w="674" w:type="dxa"/>
            <w:vAlign w:val="center"/>
          </w:tcPr>
          <w:p>
            <w:pPr>
              <w:jc w:val="center"/>
              <w:rPr>
                <w:rFonts w:ascii="Times New Roman" w:hAnsi="Times New Roman" w:eastAsia="宋体"/>
                <w:bCs/>
                <w:szCs w:val="21"/>
                <w:highlight w:val="none"/>
                <w:lang w:val="en-US"/>
              </w:rPr>
            </w:pPr>
            <w:r>
              <w:rPr>
                <w:rFonts w:ascii="Times New Roman" w:hAnsi="Times New Roman" w:eastAsia="宋体"/>
                <w:bCs/>
                <w:szCs w:val="21"/>
                <w:highlight w:val="none"/>
                <w:lang w:val="en-US"/>
              </w:rPr>
              <w:t>1</w:t>
            </w:r>
          </w:p>
        </w:tc>
        <w:tc>
          <w:tcPr>
            <w:tcW w:w="1207" w:type="dxa"/>
            <w:vAlign w:val="center"/>
          </w:tcPr>
          <w:p>
            <w:pPr>
              <w:jc w:val="center"/>
              <w:rPr>
                <w:rFonts w:ascii="Times New Roman" w:hAnsi="Times New Roman" w:eastAsia="宋体"/>
                <w:bCs/>
                <w:szCs w:val="21"/>
                <w:highlight w:val="none"/>
                <w:lang w:val="en-US"/>
              </w:rPr>
            </w:pPr>
            <w:r>
              <w:rPr>
                <w:rFonts w:ascii="Times New Roman" w:hAnsi="Times New Roman" w:eastAsia="宋体"/>
                <w:bCs/>
                <w:szCs w:val="21"/>
                <w:highlight w:val="none"/>
                <w:lang w:val="en-US"/>
              </w:rPr>
              <w:t>120.00</w:t>
            </w:r>
            <w:r>
              <w:rPr>
                <w:rFonts w:hint="eastAsia" w:ascii="Times New Roman" w:hAnsi="Times New Roman" w:eastAsia="宋体"/>
                <w:bCs/>
                <w:szCs w:val="21"/>
                <w:highlight w:val="none"/>
                <w:lang w:val="en-US"/>
              </w:rPr>
              <w:t>0</w:t>
            </w:r>
          </w:p>
        </w:tc>
        <w:tc>
          <w:tcPr>
            <w:tcW w:w="1207" w:type="dxa"/>
            <w:vAlign w:val="center"/>
          </w:tcPr>
          <w:p>
            <w:pPr>
              <w:jc w:val="center"/>
              <w:textAlignment w:val="center"/>
              <w:rPr>
                <w:rFonts w:ascii="Times New Roman" w:hAnsi="Times New Roman" w:eastAsia="宋体"/>
                <w:bCs/>
                <w:szCs w:val="21"/>
                <w:highlight w:val="none"/>
                <w:lang w:val="en-US"/>
              </w:rPr>
            </w:pPr>
            <w:r>
              <w:rPr>
                <w:rFonts w:ascii="Times New Roman" w:hAnsi="Times New Roman" w:eastAsia="宋体"/>
                <w:color w:val="000000"/>
                <w:kern w:val="0"/>
                <w:szCs w:val="21"/>
                <w:highlight w:val="none"/>
                <w:lang w:val="en-US" w:bidi="ar"/>
              </w:rPr>
              <w:t>120</w:t>
            </w:r>
            <w:r>
              <w:rPr>
                <w:rFonts w:hint="eastAsia" w:ascii="Times New Roman" w:hAnsi="Times New Roman" w:eastAsia="宋体"/>
                <w:color w:val="000000"/>
                <w:kern w:val="0"/>
                <w:szCs w:val="21"/>
                <w:highlight w:val="none"/>
                <w:lang w:val="en-US"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Align w:val="center"/>
          </w:tcPr>
          <w:p>
            <w:pPr>
              <w:numPr>
                <w:ilvl w:val="0"/>
                <w:numId w:val="13"/>
              </w:numPr>
              <w:tabs>
                <w:tab w:val="clear" w:pos="0"/>
              </w:tabs>
              <w:jc w:val="center"/>
              <w:rPr>
                <w:rFonts w:ascii="Times New Roman" w:hAnsi="Times New Roman" w:eastAsia="宋体"/>
                <w:bCs/>
                <w:szCs w:val="21"/>
                <w:highlight w:val="none"/>
                <w:lang w:val="en-US"/>
              </w:rPr>
            </w:pPr>
          </w:p>
        </w:tc>
        <w:tc>
          <w:tcPr>
            <w:tcW w:w="658" w:type="dxa"/>
            <w:vAlign w:val="center"/>
          </w:tcPr>
          <w:p>
            <w:pPr>
              <w:numPr>
                <w:ilvl w:val="0"/>
                <w:numId w:val="23"/>
              </w:numPr>
              <w:jc w:val="center"/>
              <w:rPr>
                <w:rFonts w:ascii="Times New Roman" w:hAnsi="Times New Roman" w:eastAsia="宋体"/>
                <w:bCs/>
                <w:szCs w:val="21"/>
                <w:highlight w:val="none"/>
              </w:rPr>
            </w:pPr>
          </w:p>
        </w:tc>
        <w:tc>
          <w:tcPr>
            <w:tcW w:w="3680" w:type="dxa"/>
            <w:vAlign w:val="center"/>
          </w:tcPr>
          <w:p>
            <w:pPr>
              <w:textAlignment w:val="center"/>
              <w:rPr>
                <w:rFonts w:ascii="Times New Roman" w:hAnsi="Times New Roman" w:eastAsia="宋体"/>
                <w:color w:val="000000"/>
                <w:kern w:val="0"/>
                <w:szCs w:val="21"/>
                <w:highlight w:val="none"/>
                <w:lang w:val="en-US" w:bidi="ar"/>
              </w:rPr>
            </w:pPr>
            <w:r>
              <w:rPr>
                <w:rFonts w:ascii="Times New Roman" w:hAnsi="Times New Roman" w:eastAsia="宋体"/>
                <w:color w:val="000000"/>
                <w:kern w:val="0"/>
                <w:szCs w:val="21"/>
                <w:highlight w:val="none"/>
                <w:lang w:val="en-US" w:bidi="ar"/>
              </w:rPr>
              <w:t>声纹工作站Ⅱ</w:t>
            </w:r>
          </w:p>
        </w:tc>
        <w:tc>
          <w:tcPr>
            <w:tcW w:w="974" w:type="dxa"/>
            <w:vAlign w:val="center"/>
          </w:tcPr>
          <w:p>
            <w:pPr>
              <w:jc w:val="center"/>
              <w:rPr>
                <w:rFonts w:ascii="Times New Roman" w:hAnsi="Times New Roman" w:eastAsia="宋体"/>
                <w:szCs w:val="21"/>
                <w:highlight w:val="none"/>
              </w:rPr>
            </w:pPr>
            <w:r>
              <w:rPr>
                <w:rFonts w:ascii="Times New Roman" w:hAnsi="Times New Roman" w:eastAsia="宋体"/>
                <w:szCs w:val="21"/>
                <w:highlight w:val="none"/>
              </w:rPr>
              <w:t>套</w:t>
            </w:r>
          </w:p>
        </w:tc>
        <w:tc>
          <w:tcPr>
            <w:tcW w:w="674" w:type="dxa"/>
            <w:vAlign w:val="center"/>
          </w:tcPr>
          <w:p>
            <w:pPr>
              <w:jc w:val="center"/>
              <w:rPr>
                <w:rFonts w:ascii="Times New Roman" w:hAnsi="Times New Roman" w:eastAsia="宋体"/>
                <w:bCs/>
                <w:szCs w:val="21"/>
                <w:highlight w:val="none"/>
                <w:lang w:val="en-US"/>
              </w:rPr>
            </w:pPr>
            <w:r>
              <w:rPr>
                <w:rFonts w:ascii="Times New Roman" w:hAnsi="Times New Roman" w:eastAsia="宋体"/>
                <w:bCs/>
                <w:szCs w:val="21"/>
                <w:highlight w:val="none"/>
                <w:lang w:val="en-US"/>
              </w:rPr>
              <w:t>1</w:t>
            </w:r>
          </w:p>
        </w:tc>
        <w:tc>
          <w:tcPr>
            <w:tcW w:w="1207" w:type="dxa"/>
            <w:vAlign w:val="center"/>
          </w:tcPr>
          <w:p>
            <w:pPr>
              <w:jc w:val="center"/>
              <w:rPr>
                <w:rFonts w:ascii="Times New Roman" w:hAnsi="Times New Roman" w:eastAsia="宋体"/>
                <w:bCs/>
                <w:szCs w:val="21"/>
                <w:highlight w:val="none"/>
                <w:lang w:val="en-US"/>
              </w:rPr>
            </w:pPr>
            <w:r>
              <w:rPr>
                <w:rFonts w:ascii="Times New Roman" w:hAnsi="Times New Roman" w:eastAsia="宋体"/>
                <w:bCs/>
                <w:szCs w:val="21"/>
                <w:highlight w:val="none"/>
                <w:lang w:val="en-US"/>
              </w:rPr>
              <w:t>120.00</w:t>
            </w:r>
            <w:r>
              <w:rPr>
                <w:rFonts w:hint="eastAsia" w:ascii="Times New Roman" w:hAnsi="Times New Roman" w:eastAsia="宋体"/>
                <w:bCs/>
                <w:szCs w:val="21"/>
                <w:highlight w:val="none"/>
                <w:lang w:val="en-US"/>
              </w:rPr>
              <w:t>0</w:t>
            </w:r>
          </w:p>
        </w:tc>
        <w:tc>
          <w:tcPr>
            <w:tcW w:w="1207" w:type="dxa"/>
            <w:vAlign w:val="center"/>
          </w:tcPr>
          <w:p>
            <w:pPr>
              <w:jc w:val="center"/>
              <w:textAlignment w:val="center"/>
              <w:rPr>
                <w:rFonts w:ascii="Times New Roman" w:hAnsi="Times New Roman" w:eastAsia="宋体"/>
                <w:bCs/>
                <w:szCs w:val="21"/>
                <w:highlight w:val="none"/>
                <w:lang w:val="en-US"/>
              </w:rPr>
            </w:pPr>
            <w:r>
              <w:rPr>
                <w:rFonts w:ascii="Times New Roman" w:hAnsi="Times New Roman" w:eastAsia="宋体"/>
                <w:color w:val="000000"/>
                <w:kern w:val="0"/>
                <w:szCs w:val="21"/>
                <w:highlight w:val="none"/>
                <w:lang w:val="en-US" w:bidi="ar"/>
              </w:rPr>
              <w:t>120</w:t>
            </w:r>
            <w:r>
              <w:rPr>
                <w:rFonts w:hint="eastAsia" w:ascii="Times New Roman" w:hAnsi="Times New Roman" w:eastAsia="宋体"/>
                <w:color w:val="000000"/>
                <w:kern w:val="0"/>
                <w:szCs w:val="21"/>
                <w:highlight w:val="none"/>
                <w:lang w:val="en-US"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8" w:type="dxa"/>
            <w:vAlign w:val="center"/>
          </w:tcPr>
          <w:p>
            <w:pPr>
              <w:numPr>
                <w:ilvl w:val="0"/>
                <w:numId w:val="13"/>
              </w:numPr>
              <w:tabs>
                <w:tab w:val="clear" w:pos="0"/>
              </w:tabs>
              <w:jc w:val="center"/>
              <w:rPr>
                <w:rFonts w:ascii="Times New Roman" w:hAnsi="Times New Roman" w:eastAsia="宋体"/>
                <w:bCs/>
                <w:szCs w:val="21"/>
                <w:highlight w:val="none"/>
                <w:lang w:val="en-US"/>
              </w:rPr>
            </w:pPr>
          </w:p>
        </w:tc>
        <w:tc>
          <w:tcPr>
            <w:tcW w:w="658" w:type="dxa"/>
            <w:vAlign w:val="center"/>
          </w:tcPr>
          <w:p>
            <w:pPr>
              <w:numPr>
                <w:ilvl w:val="0"/>
                <w:numId w:val="24"/>
              </w:numPr>
              <w:jc w:val="center"/>
              <w:rPr>
                <w:rFonts w:ascii="Times New Roman" w:hAnsi="Times New Roman" w:eastAsia="宋体"/>
                <w:bCs/>
                <w:szCs w:val="21"/>
                <w:highlight w:val="none"/>
              </w:rPr>
            </w:pPr>
          </w:p>
        </w:tc>
        <w:tc>
          <w:tcPr>
            <w:tcW w:w="3680" w:type="dxa"/>
            <w:vAlign w:val="center"/>
          </w:tcPr>
          <w:p>
            <w:pPr>
              <w:textAlignment w:val="center"/>
              <w:rPr>
                <w:rFonts w:ascii="Times New Roman" w:hAnsi="Times New Roman" w:eastAsia="宋体"/>
                <w:color w:val="000000"/>
                <w:kern w:val="0"/>
                <w:szCs w:val="21"/>
                <w:highlight w:val="none"/>
                <w:lang w:val="en-US" w:bidi="ar"/>
              </w:rPr>
            </w:pPr>
            <w:r>
              <w:rPr>
                <w:rFonts w:ascii="Times New Roman" w:hAnsi="Times New Roman" w:eastAsia="宋体"/>
                <w:color w:val="000000"/>
                <w:kern w:val="0"/>
                <w:szCs w:val="21"/>
                <w:highlight w:val="none"/>
                <w:lang w:val="en-US" w:bidi="ar"/>
              </w:rPr>
              <w:t>声纹工作站Ⅲ</w:t>
            </w:r>
          </w:p>
        </w:tc>
        <w:tc>
          <w:tcPr>
            <w:tcW w:w="974" w:type="dxa"/>
            <w:vAlign w:val="center"/>
          </w:tcPr>
          <w:p>
            <w:pPr>
              <w:jc w:val="center"/>
              <w:rPr>
                <w:rFonts w:ascii="Times New Roman" w:hAnsi="Times New Roman" w:eastAsia="宋体"/>
                <w:szCs w:val="21"/>
                <w:highlight w:val="none"/>
              </w:rPr>
            </w:pPr>
            <w:r>
              <w:rPr>
                <w:rFonts w:ascii="Times New Roman" w:hAnsi="Times New Roman" w:eastAsia="宋体"/>
                <w:szCs w:val="21"/>
                <w:highlight w:val="none"/>
              </w:rPr>
              <w:t>套</w:t>
            </w:r>
          </w:p>
        </w:tc>
        <w:tc>
          <w:tcPr>
            <w:tcW w:w="674" w:type="dxa"/>
            <w:vAlign w:val="center"/>
          </w:tcPr>
          <w:p>
            <w:pPr>
              <w:jc w:val="center"/>
              <w:rPr>
                <w:rFonts w:ascii="Times New Roman" w:hAnsi="Times New Roman" w:eastAsia="宋体"/>
                <w:bCs/>
                <w:szCs w:val="21"/>
                <w:highlight w:val="none"/>
                <w:lang w:val="en-US"/>
              </w:rPr>
            </w:pPr>
            <w:r>
              <w:rPr>
                <w:rFonts w:ascii="Times New Roman" w:hAnsi="Times New Roman" w:eastAsia="宋体"/>
                <w:bCs/>
                <w:szCs w:val="21"/>
                <w:highlight w:val="none"/>
                <w:lang w:val="en-US"/>
              </w:rPr>
              <w:t>1</w:t>
            </w:r>
          </w:p>
        </w:tc>
        <w:tc>
          <w:tcPr>
            <w:tcW w:w="1207" w:type="dxa"/>
            <w:vAlign w:val="center"/>
          </w:tcPr>
          <w:p>
            <w:pPr>
              <w:jc w:val="center"/>
              <w:rPr>
                <w:rFonts w:ascii="Times New Roman" w:hAnsi="Times New Roman" w:eastAsia="宋体"/>
                <w:bCs/>
                <w:szCs w:val="21"/>
                <w:highlight w:val="none"/>
                <w:lang w:val="en-US"/>
              </w:rPr>
            </w:pPr>
            <w:r>
              <w:rPr>
                <w:rFonts w:ascii="Times New Roman" w:hAnsi="Times New Roman" w:eastAsia="宋体"/>
                <w:bCs/>
                <w:szCs w:val="21"/>
                <w:highlight w:val="none"/>
                <w:lang w:val="en-US"/>
              </w:rPr>
              <w:t>120.00</w:t>
            </w:r>
            <w:r>
              <w:rPr>
                <w:rFonts w:hint="eastAsia" w:ascii="Times New Roman" w:hAnsi="Times New Roman" w:eastAsia="宋体"/>
                <w:bCs/>
                <w:szCs w:val="21"/>
                <w:highlight w:val="none"/>
                <w:lang w:val="en-US"/>
              </w:rPr>
              <w:t>0</w:t>
            </w:r>
          </w:p>
        </w:tc>
        <w:tc>
          <w:tcPr>
            <w:tcW w:w="1207" w:type="dxa"/>
            <w:vAlign w:val="center"/>
          </w:tcPr>
          <w:p>
            <w:pPr>
              <w:jc w:val="center"/>
              <w:textAlignment w:val="center"/>
              <w:rPr>
                <w:rFonts w:ascii="Times New Roman" w:hAnsi="Times New Roman" w:eastAsia="宋体"/>
                <w:bCs/>
                <w:szCs w:val="21"/>
                <w:highlight w:val="none"/>
                <w:lang w:val="en-US"/>
              </w:rPr>
            </w:pPr>
            <w:r>
              <w:rPr>
                <w:rFonts w:ascii="Times New Roman" w:hAnsi="Times New Roman" w:eastAsia="宋体"/>
                <w:color w:val="000000"/>
                <w:kern w:val="0"/>
                <w:szCs w:val="21"/>
                <w:highlight w:val="none"/>
                <w:lang w:val="en-US" w:bidi="ar"/>
              </w:rPr>
              <w:t>120</w:t>
            </w:r>
            <w:r>
              <w:rPr>
                <w:rFonts w:hint="eastAsia" w:ascii="Times New Roman" w:hAnsi="Times New Roman" w:eastAsia="宋体"/>
                <w:color w:val="000000"/>
                <w:kern w:val="0"/>
                <w:szCs w:val="21"/>
                <w:highlight w:val="none"/>
                <w:lang w:val="en-US"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6" w:type="dxa"/>
            <w:gridSpan w:val="2"/>
            <w:vAlign w:val="center"/>
          </w:tcPr>
          <w:p>
            <w:pPr>
              <w:jc w:val="center"/>
              <w:rPr>
                <w:rFonts w:ascii="Times New Roman" w:hAnsi="Times New Roman" w:eastAsia="宋体"/>
                <w:bCs/>
                <w:highlight w:val="none"/>
              </w:rPr>
            </w:pPr>
            <w:r>
              <w:rPr>
                <w:rFonts w:ascii="Times New Roman" w:hAnsi="Times New Roman" w:eastAsia="宋体"/>
                <w:szCs w:val="21"/>
                <w:highlight w:val="none"/>
                <w:lang w:val="en-US"/>
              </w:rPr>
              <w:t>合计</w:t>
            </w:r>
          </w:p>
        </w:tc>
        <w:tc>
          <w:tcPr>
            <w:tcW w:w="7742" w:type="dxa"/>
            <w:gridSpan w:val="5"/>
            <w:vAlign w:val="center"/>
          </w:tcPr>
          <w:p>
            <w:pPr>
              <w:jc w:val="both"/>
              <w:rPr>
                <w:rFonts w:ascii="Times New Roman" w:hAnsi="Times New Roman" w:eastAsia="宋体"/>
                <w:bCs/>
                <w:highlight w:val="none"/>
              </w:rPr>
            </w:pPr>
            <w:r>
              <w:rPr>
                <w:rFonts w:hint="eastAsia" w:ascii="Times New Roman" w:hAnsi="Times New Roman" w:eastAsia="宋体"/>
                <w:bCs/>
                <w:highlight w:val="none"/>
                <w:lang w:val="en-US" w:eastAsia="zh-CN"/>
              </w:rPr>
              <w:t>7540.398万元</w:t>
            </w:r>
            <w:r>
              <w:rPr>
                <w:rFonts w:ascii="Times New Roman" w:hAnsi="Times New Roman" w:eastAsia="宋体"/>
                <w:bCs/>
                <w:highlight w:val="none"/>
                <w:lang w:val="en-US"/>
              </w:rPr>
              <w:t xml:space="preserve">    </w:t>
            </w:r>
            <w:r>
              <w:rPr>
                <w:rFonts w:hint="eastAsia" w:ascii="Times New Roman" w:hAnsi="Times New Roman" w:eastAsia="宋体"/>
                <w:bCs/>
                <w:highlight w:val="none"/>
                <w:lang w:val="en-US"/>
              </w:rPr>
              <w:t xml:space="preserve">       </w:t>
            </w:r>
            <w:r>
              <w:rPr>
                <w:rFonts w:ascii="Times New Roman" w:hAnsi="Times New Roman" w:eastAsia="宋体"/>
                <w:bCs/>
                <w:highlight w:val="none"/>
                <w:lang w:val="en-US"/>
              </w:rPr>
              <w:t xml:space="preserve">      </w:t>
            </w:r>
            <w:r>
              <w:rPr>
                <w:rFonts w:hint="eastAsia" w:ascii="Times New Roman" w:hAnsi="Times New Roman" w:eastAsia="宋体"/>
                <w:bCs/>
                <w:highlight w:val="none"/>
                <w:lang w:val="en-US" w:eastAsia="zh-CN"/>
              </w:rPr>
              <w:t xml:space="preserve">  </w:t>
            </w:r>
            <w:r>
              <w:rPr>
                <w:rFonts w:ascii="Times New Roman" w:hAnsi="Times New Roman" w:eastAsia="宋体"/>
                <w:bCs/>
                <w:highlight w:val="none"/>
                <w:lang w:val="en-US"/>
              </w:rPr>
              <w:t xml:space="preserve"> </w:t>
            </w:r>
            <w:r>
              <w:rPr>
                <w:rFonts w:hint="eastAsia" w:ascii="Times New Roman" w:hAnsi="Times New Roman" w:eastAsia="宋体"/>
                <w:bCs/>
                <w:highlight w:val="none"/>
                <w:lang w:val="en-US" w:eastAsia="zh-CN"/>
              </w:rPr>
              <w:t xml:space="preserve">   </w:t>
            </w:r>
            <w:r>
              <w:rPr>
                <w:rFonts w:ascii="Times New Roman" w:hAnsi="Times New Roman" w:eastAsia="宋体"/>
                <w:bCs/>
                <w:highlight w:val="none"/>
                <w:lang w:val="en-US"/>
              </w:rPr>
              <w:t>大写：</w:t>
            </w:r>
            <w:r>
              <w:rPr>
                <w:rFonts w:hint="eastAsia" w:ascii="Times New Roman" w:hAnsi="Times New Roman" w:eastAsia="宋体"/>
                <w:bCs/>
                <w:highlight w:val="none"/>
                <w:lang w:val="en-US" w:eastAsia="zh-CN"/>
              </w:rPr>
              <w:t>柒仟伍佰肆拾万叁仟玖佰捌拾元整</w:t>
            </w:r>
          </w:p>
        </w:tc>
      </w:tr>
    </w:tbl>
    <w:p>
      <w:pPr>
        <w:spacing w:before="120" w:beforeLines="50"/>
        <w:ind w:firstLine="420" w:firstLineChars="200"/>
        <w:rPr>
          <w:rFonts w:ascii="Times New Roman" w:hAnsi="Times New Roman" w:eastAsia="宋体"/>
          <w:bCs/>
          <w:szCs w:val="21"/>
          <w:highlight w:val="none"/>
        </w:rPr>
      </w:pPr>
      <w:r>
        <w:rPr>
          <w:rFonts w:ascii="Times New Roman" w:hAnsi="Times New Roman" w:eastAsia="宋体"/>
          <w:bCs/>
          <w:szCs w:val="21"/>
        </w:rPr>
        <w:t>本次招标范围包括：上述招标货物的生产供应、运输及伴随服务。具体采购范围及所应达到的具体要求</w:t>
      </w:r>
      <w:r>
        <w:rPr>
          <w:rFonts w:ascii="宋体" w:hAnsi="宋体" w:eastAsia="宋体"/>
          <w:bCs/>
          <w:szCs w:val="21"/>
        </w:rPr>
        <w:t>，</w:t>
      </w:r>
      <w:r>
        <w:rPr>
          <w:rFonts w:ascii="Times New Roman" w:hAnsi="Times New Roman" w:eastAsia="宋体"/>
          <w:bCs/>
          <w:szCs w:val="21"/>
        </w:rPr>
        <w:t>以本招标文件中商务、技术和服务的相应规定为准（详见第五部分</w:t>
      </w:r>
      <w:r>
        <w:rPr>
          <w:rFonts w:hint="eastAsia" w:ascii="Times New Roman" w:hAnsi="Times New Roman" w:eastAsia="宋体"/>
          <w:bCs/>
          <w:szCs w:val="21"/>
        </w:rPr>
        <w:t>“</w:t>
      </w:r>
      <w:r>
        <w:rPr>
          <w:rFonts w:ascii="Times New Roman" w:hAnsi="Times New Roman" w:eastAsia="宋体"/>
          <w:bCs/>
          <w:szCs w:val="21"/>
        </w:rPr>
        <w:t>采购需求</w:t>
      </w:r>
      <w:r>
        <w:rPr>
          <w:rFonts w:hint="eastAsia" w:ascii="Times New Roman" w:hAnsi="Times New Roman" w:eastAsia="宋体"/>
          <w:bCs/>
          <w:szCs w:val="21"/>
        </w:rPr>
        <w:t>”</w:t>
      </w:r>
      <w:r>
        <w:rPr>
          <w:rFonts w:ascii="Times New Roman" w:hAnsi="Times New Roman" w:eastAsia="宋体"/>
          <w:bCs/>
          <w:szCs w:val="21"/>
        </w:rPr>
        <w:t>）。投标人的投标文件必须满足本次采购的实质目的</w:t>
      </w:r>
      <w:r>
        <w:rPr>
          <w:rFonts w:ascii="宋体" w:hAnsi="宋体" w:eastAsia="宋体"/>
          <w:bCs/>
          <w:szCs w:val="21"/>
        </w:rPr>
        <w:t>，</w:t>
      </w:r>
      <w:r>
        <w:rPr>
          <w:rFonts w:ascii="Times New Roman" w:hAnsi="Times New Roman" w:eastAsia="宋体"/>
          <w:bCs/>
          <w:szCs w:val="21"/>
        </w:rPr>
        <w:t>完全实现所应有的全部要求。投标人若存在任何理解上无法确定之处</w:t>
      </w:r>
      <w:r>
        <w:rPr>
          <w:rFonts w:ascii="宋体" w:hAnsi="宋体" w:eastAsia="宋体"/>
          <w:bCs/>
          <w:szCs w:val="21"/>
        </w:rPr>
        <w:t>，</w:t>
      </w:r>
      <w:r>
        <w:rPr>
          <w:rFonts w:ascii="Times New Roman" w:hAnsi="Times New Roman" w:eastAsia="宋体"/>
          <w:bCs/>
          <w:szCs w:val="21"/>
        </w:rPr>
        <w:t>均应当按照招标文件所规定的投标前的澄清等程序提出</w:t>
      </w:r>
      <w:r>
        <w:rPr>
          <w:rFonts w:ascii="宋体" w:hAnsi="宋体" w:eastAsia="宋体"/>
          <w:bCs/>
          <w:szCs w:val="21"/>
        </w:rPr>
        <w:t>，</w:t>
      </w:r>
      <w:r>
        <w:rPr>
          <w:rFonts w:ascii="Times New Roman" w:hAnsi="Times New Roman" w:eastAsia="宋体"/>
          <w:bCs/>
          <w:szCs w:val="21"/>
        </w:rPr>
        <w:t>否则</w:t>
      </w:r>
      <w:r>
        <w:rPr>
          <w:rFonts w:ascii="宋体" w:hAnsi="宋体" w:eastAsia="宋体"/>
          <w:bCs/>
          <w:szCs w:val="21"/>
        </w:rPr>
        <w:t>，</w:t>
      </w:r>
      <w:r>
        <w:rPr>
          <w:rFonts w:ascii="Times New Roman" w:hAnsi="Times New Roman" w:eastAsia="宋体"/>
          <w:bCs/>
          <w:szCs w:val="21"/>
        </w:rPr>
        <w:t>由此导致的任何不利后果均由投标人自行承担。</w:t>
      </w:r>
    </w:p>
    <w:p>
      <w:pPr>
        <w:keepNext w:val="0"/>
        <w:keepLines w:val="0"/>
        <w:pageBreakBefore w:val="0"/>
        <w:widowControl/>
        <w:numPr>
          <w:ilvl w:val="1"/>
          <w:numId w:val="12"/>
        </w:numPr>
        <w:tabs>
          <w:tab w:val="left" w:pos="0"/>
        </w:tabs>
        <w:kinsoku/>
        <w:wordWrap/>
        <w:overflowPunct/>
        <w:topLinePunct w:val="0"/>
        <w:autoSpaceDE/>
        <w:autoSpaceDN/>
        <w:bidi w:val="0"/>
        <w:adjustRightInd/>
        <w:snapToGrid/>
        <w:ind w:left="454" w:firstLine="0"/>
        <w:textAlignment w:val="auto"/>
        <w:rPr>
          <w:rFonts w:ascii="Times New Roman" w:hAnsi="Times New Roman" w:eastAsia="宋体"/>
          <w:b/>
          <w:szCs w:val="21"/>
        </w:rPr>
      </w:pPr>
      <w:bookmarkStart w:id="16" w:name="_Toc9384_WPSOffice_Level2"/>
      <w:r>
        <w:rPr>
          <w:rFonts w:ascii="Times New Roman" w:hAnsi="Times New Roman" w:eastAsia="宋体"/>
          <w:b/>
          <w:szCs w:val="21"/>
          <w:highlight w:val="none"/>
        </w:rPr>
        <w:t>履约时间：</w:t>
      </w:r>
      <w:bookmarkEnd w:id="16"/>
      <w:r>
        <w:rPr>
          <w:rFonts w:hint="eastAsia" w:ascii="Times New Roman" w:hAnsi="Times New Roman" w:eastAsia="宋体"/>
          <w:bCs/>
          <w:color w:val="000000"/>
          <w:szCs w:val="21"/>
          <w:highlight w:val="none"/>
          <w:u w:val="single"/>
        </w:rPr>
        <w:t>合同签订后</w:t>
      </w:r>
      <w:r>
        <w:rPr>
          <w:rFonts w:hint="eastAsia" w:ascii="Times New Roman" w:hAnsi="Times New Roman" w:eastAsia="宋体"/>
          <w:bCs/>
          <w:color w:val="000000"/>
          <w:szCs w:val="21"/>
          <w:highlight w:val="none"/>
          <w:u w:val="single"/>
          <w:lang w:val="en-US"/>
        </w:rPr>
        <w:t>30</w:t>
      </w:r>
      <w:r>
        <w:rPr>
          <w:rFonts w:hint="eastAsia" w:ascii="Times New Roman" w:hAnsi="Times New Roman" w:eastAsia="宋体"/>
          <w:bCs/>
          <w:color w:val="000000"/>
          <w:szCs w:val="21"/>
          <w:highlight w:val="none"/>
          <w:u w:val="single"/>
        </w:rPr>
        <w:t>个日历日内交货</w:t>
      </w:r>
      <w:r>
        <w:rPr>
          <w:rFonts w:hint="eastAsia" w:ascii="Times New Roman" w:hAnsi="Times New Roman" w:eastAsia="宋体"/>
          <w:bCs/>
          <w:color w:val="000000"/>
          <w:szCs w:val="21"/>
          <w:u w:val="single"/>
        </w:rPr>
        <w:t>，</w:t>
      </w:r>
      <w:r>
        <w:rPr>
          <w:rFonts w:hint="eastAsia" w:ascii="Times New Roman" w:hAnsi="Times New Roman" w:eastAsia="宋体"/>
          <w:bCs/>
          <w:color w:val="000000"/>
          <w:szCs w:val="21"/>
          <w:u w:val="single"/>
          <w:lang w:val="en-US"/>
        </w:rPr>
        <w:t>并</w:t>
      </w:r>
      <w:r>
        <w:rPr>
          <w:rFonts w:hint="eastAsia" w:ascii="Times New Roman" w:hAnsi="Times New Roman" w:eastAsia="宋体"/>
          <w:bCs/>
          <w:color w:val="000000"/>
          <w:szCs w:val="21"/>
          <w:u w:val="single"/>
        </w:rPr>
        <w:t>完成安装调试</w:t>
      </w:r>
      <w:r>
        <w:rPr>
          <w:rFonts w:hint="eastAsia" w:ascii="Times New Roman" w:hAnsi="Times New Roman" w:eastAsia="宋体"/>
          <w:bCs/>
          <w:color w:val="000000"/>
          <w:szCs w:val="21"/>
          <w:u w:val="single"/>
          <w:lang w:eastAsia="zh-CN"/>
        </w:rPr>
        <w:t>（</w:t>
      </w:r>
      <w:r>
        <w:rPr>
          <w:rFonts w:hint="eastAsia" w:ascii="Times New Roman" w:hAnsi="Times New Roman" w:eastAsia="宋体"/>
          <w:bCs/>
          <w:color w:val="000000"/>
          <w:szCs w:val="21"/>
          <w:highlight w:val="yellow"/>
          <w:u w:val="single"/>
          <w:lang w:val="en-US" w:eastAsia="zh-CN"/>
        </w:rPr>
        <w:t>广州海关缉私局需在2024年12月25日前完成供货</w:t>
      </w:r>
      <w:r>
        <w:rPr>
          <w:rFonts w:hint="eastAsia" w:ascii="Times New Roman" w:hAnsi="Times New Roman" w:eastAsia="宋体"/>
          <w:bCs/>
          <w:color w:val="000000"/>
          <w:szCs w:val="21"/>
          <w:u w:val="single"/>
          <w:lang w:eastAsia="zh-CN"/>
        </w:rPr>
        <w:t>）</w:t>
      </w:r>
    </w:p>
    <w:p>
      <w:pPr>
        <w:numPr>
          <w:ilvl w:val="1"/>
          <w:numId w:val="12"/>
        </w:numPr>
        <w:tabs>
          <w:tab w:val="left" w:pos="0"/>
        </w:tabs>
        <w:ind w:left="1021"/>
        <w:rPr>
          <w:rFonts w:ascii="Times New Roman" w:hAnsi="Times New Roman" w:eastAsia="宋体"/>
          <w:b/>
          <w:szCs w:val="21"/>
        </w:rPr>
      </w:pPr>
      <w:bookmarkStart w:id="17" w:name="_Toc8212_WPSOffice_Level2"/>
      <w:r>
        <w:rPr>
          <w:rFonts w:ascii="Times New Roman" w:hAnsi="Times New Roman" w:eastAsia="宋体"/>
          <w:b/>
          <w:szCs w:val="21"/>
        </w:rPr>
        <w:t>履约地点：</w:t>
      </w:r>
      <w:bookmarkEnd w:id="17"/>
      <w:r>
        <w:rPr>
          <w:rFonts w:hint="eastAsia" w:ascii="Times New Roman" w:hAnsi="Times New Roman" w:eastAsia="宋体"/>
          <w:bCs/>
          <w:color w:val="000000"/>
          <w:szCs w:val="21"/>
          <w:u w:val="single"/>
          <w:lang w:val="en-US"/>
        </w:rPr>
        <w:t>采购人指定地点</w:t>
      </w:r>
    </w:p>
    <w:p>
      <w:pPr>
        <w:numPr>
          <w:ilvl w:val="1"/>
          <w:numId w:val="12"/>
        </w:numPr>
        <w:tabs>
          <w:tab w:val="left" w:pos="0"/>
        </w:tabs>
        <w:ind w:left="1021"/>
        <w:rPr>
          <w:rFonts w:ascii="Times New Roman" w:hAnsi="Times New Roman" w:eastAsia="宋体"/>
          <w:b/>
          <w:kern w:val="0"/>
          <w:szCs w:val="21"/>
          <w:highlight w:val="none"/>
          <w:lang w:val="en-US" w:bidi="ar"/>
        </w:rPr>
      </w:pPr>
      <w:bookmarkStart w:id="18" w:name="_Toc11477_WPSOffice_Level2"/>
      <w:r>
        <w:rPr>
          <w:rFonts w:ascii="Times New Roman" w:hAnsi="Times New Roman" w:eastAsia="宋体"/>
          <w:b/>
          <w:szCs w:val="21"/>
        </w:rPr>
        <w:t>预算金额：</w:t>
      </w:r>
      <w:bookmarkEnd w:id="18"/>
      <w:r>
        <w:rPr>
          <w:rFonts w:hint="eastAsia" w:ascii="Times New Roman" w:hAnsi="Times New Roman" w:eastAsia="宋体"/>
          <w:szCs w:val="21"/>
          <w:highlight w:val="none"/>
          <w:u w:val="single"/>
          <w:lang w:val="en-US" w:eastAsia="zh-CN"/>
        </w:rPr>
        <w:t>7540.398万</w:t>
      </w:r>
      <w:r>
        <w:rPr>
          <w:rFonts w:hint="eastAsia" w:ascii="Times New Roman" w:hAnsi="Times New Roman" w:eastAsia="宋体"/>
          <w:szCs w:val="21"/>
          <w:highlight w:val="none"/>
          <w:u w:val="single"/>
          <w:lang w:val="en-US"/>
        </w:rPr>
        <w:t>元</w:t>
      </w:r>
    </w:p>
    <w:p>
      <w:pPr>
        <w:numPr>
          <w:ilvl w:val="1"/>
          <w:numId w:val="12"/>
        </w:numPr>
        <w:tabs>
          <w:tab w:val="left" w:pos="0"/>
        </w:tabs>
        <w:ind w:left="1021"/>
        <w:rPr>
          <w:rFonts w:ascii="Times New Roman" w:hAnsi="Times New Roman" w:eastAsia="宋体"/>
          <w:b/>
          <w:szCs w:val="21"/>
          <w:highlight w:val="none"/>
          <w:u w:val="single"/>
          <w:lang w:val="en-US"/>
        </w:rPr>
      </w:pPr>
      <w:bookmarkStart w:id="19" w:name="_Toc21238_WPSOffice_Level2"/>
      <w:r>
        <w:rPr>
          <w:rFonts w:ascii="Times New Roman" w:hAnsi="Times New Roman" w:eastAsia="宋体"/>
          <w:b/>
          <w:szCs w:val="21"/>
          <w:highlight w:val="none"/>
        </w:rPr>
        <w:t>最高限价</w:t>
      </w:r>
      <w:r>
        <w:rPr>
          <w:rFonts w:ascii="Times New Roman" w:hAnsi="Times New Roman" w:eastAsia="宋体"/>
          <w:b/>
          <w:szCs w:val="21"/>
          <w:highlight w:val="none"/>
          <w:lang w:val="en-US"/>
        </w:rPr>
        <w:t>：</w:t>
      </w:r>
      <w:bookmarkEnd w:id="19"/>
      <w:r>
        <w:rPr>
          <w:rFonts w:hint="eastAsia" w:ascii="Times New Roman" w:hAnsi="Times New Roman" w:eastAsia="宋体"/>
          <w:szCs w:val="21"/>
          <w:highlight w:val="none"/>
          <w:u w:val="single"/>
          <w:lang w:val="en-US" w:eastAsia="zh-CN"/>
        </w:rPr>
        <w:t>7540.398万</w:t>
      </w:r>
      <w:r>
        <w:rPr>
          <w:rFonts w:hint="eastAsia" w:ascii="Times New Roman" w:hAnsi="Times New Roman" w:eastAsia="宋体"/>
          <w:szCs w:val="21"/>
          <w:highlight w:val="none"/>
          <w:u w:val="single"/>
          <w:lang w:val="en-US"/>
        </w:rPr>
        <w:t>元</w:t>
      </w:r>
    </w:p>
    <w:p>
      <w:pPr>
        <w:numPr>
          <w:ilvl w:val="1"/>
          <w:numId w:val="12"/>
        </w:numPr>
        <w:tabs>
          <w:tab w:val="left" w:pos="0"/>
        </w:tabs>
        <w:ind w:left="1021"/>
        <w:rPr>
          <w:rFonts w:ascii="Times New Roman" w:hAnsi="Times New Roman" w:eastAsia="宋体"/>
          <w:b/>
          <w:szCs w:val="21"/>
        </w:rPr>
      </w:pPr>
      <w:r>
        <w:rPr>
          <w:rFonts w:ascii="Times New Roman" w:hAnsi="Times New Roman" w:eastAsia="宋体"/>
          <w:b/>
          <w:szCs w:val="21"/>
        </w:rPr>
        <w:t>投标人应具备的特殊要求</w:t>
      </w:r>
      <w:r>
        <w:rPr>
          <w:rFonts w:hint="eastAsia" w:ascii="Times New Roman" w:hAnsi="Times New Roman" w:eastAsia="宋体"/>
          <w:b/>
          <w:szCs w:val="21"/>
        </w:rPr>
        <w:t>：</w:t>
      </w:r>
      <w:r>
        <w:rPr>
          <w:rFonts w:hint="eastAsia" w:ascii="Times New Roman" w:hAnsi="Times New Roman" w:eastAsia="宋体"/>
          <w:bCs/>
          <w:szCs w:val="21"/>
          <w:u w:val="single"/>
        </w:rPr>
        <w:t>无</w:t>
      </w:r>
    </w:p>
    <w:p>
      <w:pPr>
        <w:numPr>
          <w:ilvl w:val="1"/>
          <w:numId w:val="12"/>
        </w:numPr>
        <w:tabs>
          <w:tab w:val="left" w:pos="0"/>
        </w:tabs>
        <w:ind w:left="1021"/>
        <w:rPr>
          <w:rFonts w:ascii="Times New Roman" w:hAnsi="Times New Roman" w:eastAsia="宋体"/>
          <w:b/>
          <w:szCs w:val="21"/>
        </w:rPr>
      </w:pPr>
      <w:r>
        <w:rPr>
          <w:rFonts w:ascii="Times New Roman" w:hAnsi="Times New Roman" w:eastAsia="宋体"/>
          <w:b/>
          <w:szCs w:val="21"/>
        </w:rPr>
        <w:t>招标文件获取时间、地点和办法</w:t>
      </w:r>
    </w:p>
    <w:p>
      <w:pPr>
        <w:tabs>
          <w:tab w:val="left" w:pos="0"/>
        </w:tabs>
        <w:ind w:firstLine="420" w:firstLineChars="200"/>
        <w:jc w:val="both"/>
        <w:rPr>
          <w:rFonts w:ascii="Times New Roman" w:hAnsi="Times New Roman" w:eastAsia="宋体"/>
          <w:szCs w:val="21"/>
        </w:rPr>
      </w:pPr>
      <w:r>
        <w:rPr>
          <w:rFonts w:ascii="Times New Roman" w:hAnsi="Times New Roman" w:eastAsia="宋体"/>
          <w:szCs w:val="21"/>
        </w:rPr>
        <w:t>即日起至投标截止时间</w:t>
      </w:r>
      <w:r>
        <w:rPr>
          <w:rFonts w:ascii="宋体" w:hAnsi="宋体" w:eastAsia="宋体"/>
          <w:szCs w:val="21"/>
        </w:rPr>
        <w:t>，</w:t>
      </w:r>
      <w:r>
        <w:rPr>
          <w:rFonts w:ascii="Times New Roman" w:hAnsi="Times New Roman" w:eastAsia="宋体"/>
          <w:szCs w:val="21"/>
        </w:rPr>
        <w:t>登录中国政府采购网（</w:t>
      </w:r>
      <w:r>
        <w:rPr>
          <w:rFonts w:ascii="Times New Roman" w:hAnsi="Times New Roman" w:eastAsia="Times New Roman"/>
          <w:szCs w:val="21"/>
        </w:rPr>
        <w:t>www</w:t>
      </w:r>
      <w:r>
        <w:rPr>
          <w:rFonts w:ascii="Times New Roman" w:hAnsi="Times New Roman" w:eastAsia="宋体"/>
          <w:szCs w:val="21"/>
        </w:rPr>
        <w:t>.</w:t>
      </w:r>
      <w:r>
        <w:rPr>
          <w:rFonts w:ascii="Times New Roman" w:hAnsi="Times New Roman" w:eastAsia="Times New Roman"/>
          <w:szCs w:val="21"/>
        </w:rPr>
        <w:t>ccgp</w:t>
      </w:r>
      <w:r>
        <w:rPr>
          <w:rFonts w:ascii="Times New Roman" w:hAnsi="Times New Roman" w:eastAsia="宋体"/>
          <w:szCs w:val="21"/>
        </w:rPr>
        <w:t>.</w:t>
      </w:r>
      <w:r>
        <w:rPr>
          <w:rFonts w:ascii="Times New Roman" w:hAnsi="Times New Roman" w:eastAsia="Times New Roman"/>
          <w:szCs w:val="21"/>
        </w:rPr>
        <w:t>gov</w:t>
      </w:r>
      <w:r>
        <w:rPr>
          <w:rFonts w:ascii="Times New Roman" w:hAnsi="Times New Roman" w:eastAsia="宋体"/>
          <w:szCs w:val="21"/>
        </w:rPr>
        <w:t>.</w:t>
      </w:r>
      <w:r>
        <w:rPr>
          <w:rFonts w:ascii="Times New Roman" w:hAnsi="Times New Roman" w:eastAsia="Times New Roman"/>
          <w:szCs w:val="21"/>
        </w:rPr>
        <w:t>cn</w:t>
      </w:r>
      <w:r>
        <w:rPr>
          <w:rFonts w:ascii="Times New Roman" w:hAnsi="Times New Roman" w:eastAsia="宋体"/>
          <w:szCs w:val="21"/>
        </w:rPr>
        <w:t>）免费下载招标文件。</w:t>
      </w:r>
    </w:p>
    <w:p>
      <w:pPr>
        <w:numPr>
          <w:ilvl w:val="1"/>
          <w:numId w:val="12"/>
        </w:numPr>
        <w:tabs>
          <w:tab w:val="left" w:pos="0"/>
        </w:tabs>
        <w:ind w:left="1021"/>
        <w:rPr>
          <w:rFonts w:ascii="Times New Roman" w:hAnsi="Times New Roman" w:eastAsia="宋体"/>
          <w:b/>
          <w:szCs w:val="21"/>
        </w:rPr>
      </w:pPr>
      <w:r>
        <w:rPr>
          <w:rFonts w:hint="eastAsia" w:ascii="Times New Roman" w:hAnsi="Times New Roman" w:eastAsia="宋体"/>
          <w:b/>
          <w:szCs w:val="21"/>
        </w:rPr>
        <w:t>报名方式</w:t>
      </w:r>
    </w:p>
    <w:p>
      <w:pPr>
        <w:widowControl w:val="0"/>
        <w:tabs>
          <w:tab w:val="left" w:pos="0"/>
        </w:tabs>
        <w:kinsoku w:val="0"/>
        <w:overflowPunct w:val="0"/>
        <w:ind w:firstLine="420" w:firstLineChars="200"/>
        <w:jc w:val="both"/>
        <w:rPr>
          <w:rFonts w:ascii="Times New Roman" w:hAnsi="Times New Roman" w:eastAsia="宋体"/>
          <w:szCs w:val="21"/>
          <w:lang w:val="en-US"/>
        </w:rPr>
      </w:pPr>
      <w:r>
        <w:rPr>
          <w:rFonts w:hint="eastAsia" w:ascii="Times New Roman" w:hAnsi="Times New Roman" w:eastAsia="宋体"/>
          <w:szCs w:val="21"/>
          <w:lang w:val="en-US"/>
        </w:rPr>
        <w:t>投标人</w:t>
      </w:r>
      <w:r>
        <w:rPr>
          <w:rFonts w:hint="eastAsia" w:ascii="Times New Roman" w:hAnsi="Times New Roman" w:eastAsia="宋体"/>
          <w:szCs w:val="21"/>
        </w:rPr>
        <w:t>须在</w:t>
      </w:r>
      <w:r>
        <w:rPr>
          <w:rFonts w:hint="eastAsia" w:ascii="Times New Roman" w:hAnsi="Times New Roman" w:eastAsia="宋体"/>
          <w:szCs w:val="21"/>
          <w:highlight w:val="yellow"/>
        </w:rPr>
        <w:t>2024年</w:t>
      </w:r>
      <w:r>
        <w:rPr>
          <w:rFonts w:hint="eastAsia" w:ascii="Times New Roman" w:hAnsi="Times New Roman" w:eastAsia="宋体"/>
          <w:szCs w:val="21"/>
          <w:highlight w:val="yellow"/>
          <w:lang w:val="en-US"/>
        </w:rPr>
        <w:t>1</w:t>
      </w:r>
      <w:r>
        <w:rPr>
          <w:rFonts w:hint="eastAsia" w:ascii="Times New Roman" w:hAnsi="Times New Roman" w:eastAsia="宋体"/>
          <w:szCs w:val="21"/>
          <w:highlight w:val="yellow"/>
          <w:lang w:val="en-US" w:eastAsia="zh-CN"/>
        </w:rPr>
        <w:t>2</w:t>
      </w:r>
      <w:r>
        <w:rPr>
          <w:rFonts w:hint="eastAsia" w:ascii="Times New Roman" w:hAnsi="Times New Roman" w:eastAsia="宋体"/>
          <w:szCs w:val="21"/>
          <w:highlight w:val="yellow"/>
        </w:rPr>
        <w:t>月</w:t>
      </w:r>
      <w:r>
        <w:rPr>
          <w:rFonts w:hint="eastAsia" w:ascii="Times New Roman" w:hAnsi="Times New Roman" w:eastAsia="宋体"/>
          <w:szCs w:val="21"/>
          <w:highlight w:val="yellow"/>
          <w:lang w:val="en-US" w:eastAsia="zh-CN"/>
        </w:rPr>
        <w:t>4</w:t>
      </w:r>
      <w:r>
        <w:rPr>
          <w:rFonts w:hint="eastAsia" w:ascii="Times New Roman" w:hAnsi="Times New Roman" w:eastAsia="宋体"/>
          <w:szCs w:val="21"/>
          <w:highlight w:val="yellow"/>
        </w:rPr>
        <w:t>日17</w:t>
      </w:r>
      <w:r>
        <w:rPr>
          <w:rFonts w:hint="eastAsia" w:ascii="Times New Roman" w:hAnsi="Times New Roman" w:eastAsia="宋体"/>
          <w:szCs w:val="21"/>
          <w:highlight w:val="yellow"/>
          <w:lang w:val="en-US" w:eastAsia="zh-CN"/>
        </w:rPr>
        <w:t>时</w:t>
      </w:r>
      <w:r>
        <w:rPr>
          <w:rFonts w:hint="eastAsia" w:ascii="Times New Roman" w:hAnsi="Times New Roman" w:eastAsia="宋体"/>
          <w:szCs w:val="21"/>
          <w:highlight w:val="yellow"/>
        </w:rPr>
        <w:t>00</w:t>
      </w:r>
      <w:r>
        <w:rPr>
          <w:rFonts w:hint="eastAsia" w:ascii="Times New Roman" w:hAnsi="Times New Roman" w:eastAsia="宋体"/>
          <w:szCs w:val="21"/>
          <w:highlight w:val="yellow"/>
          <w:lang w:val="en-US" w:eastAsia="zh-CN"/>
        </w:rPr>
        <w:t>分</w:t>
      </w:r>
      <w:r>
        <w:rPr>
          <w:rFonts w:hint="eastAsia" w:ascii="Times New Roman" w:hAnsi="Times New Roman" w:eastAsia="宋体"/>
          <w:szCs w:val="21"/>
        </w:rPr>
        <w:t>前，在政府采购一体化云平台进行网上报名。（报名函格式详见</w:t>
      </w:r>
      <w:r>
        <w:rPr>
          <w:rFonts w:hint="eastAsia" w:ascii="Times New Roman" w:hAnsi="Times New Roman" w:eastAsia="宋体"/>
          <w:szCs w:val="21"/>
          <w:lang w:val="en-US"/>
        </w:rPr>
        <w:t>8.1）</w:t>
      </w:r>
    </w:p>
    <w:p>
      <w:pPr>
        <w:numPr>
          <w:ilvl w:val="1"/>
          <w:numId w:val="12"/>
        </w:numPr>
        <w:tabs>
          <w:tab w:val="left" w:pos="0"/>
        </w:tabs>
        <w:ind w:left="1021"/>
        <w:rPr>
          <w:rFonts w:ascii="Times New Roman" w:hAnsi="Times New Roman" w:eastAsia="宋体"/>
          <w:b/>
          <w:szCs w:val="21"/>
          <w:lang w:val="en-US"/>
        </w:rPr>
      </w:pPr>
      <w:r>
        <w:rPr>
          <w:rFonts w:ascii="Times New Roman" w:hAnsi="Times New Roman" w:eastAsia="宋体"/>
          <w:b/>
          <w:szCs w:val="21"/>
          <w:lang w:val="en-US"/>
        </w:rPr>
        <w:t>接受</w:t>
      </w:r>
      <w:r>
        <w:rPr>
          <w:rFonts w:hint="eastAsia" w:ascii="Times New Roman" w:hAnsi="Times New Roman" w:eastAsia="宋体"/>
          <w:b/>
          <w:szCs w:val="21"/>
          <w:lang w:val="en-US"/>
        </w:rPr>
        <w:t>投标</w:t>
      </w:r>
      <w:r>
        <w:rPr>
          <w:rFonts w:ascii="Times New Roman" w:hAnsi="Times New Roman" w:eastAsia="宋体"/>
          <w:b/>
          <w:szCs w:val="21"/>
          <w:lang w:val="en-US"/>
        </w:rPr>
        <w:t>文件时间、</w:t>
      </w:r>
      <w:r>
        <w:rPr>
          <w:rFonts w:hint="eastAsia" w:ascii="Times New Roman" w:hAnsi="Times New Roman" w:eastAsia="宋体"/>
          <w:b/>
          <w:szCs w:val="21"/>
          <w:lang w:val="en-US"/>
        </w:rPr>
        <w:t>投标</w:t>
      </w:r>
      <w:r>
        <w:rPr>
          <w:rFonts w:ascii="Times New Roman" w:hAnsi="Times New Roman" w:eastAsia="宋体"/>
          <w:b/>
          <w:szCs w:val="21"/>
          <w:lang w:val="en-US"/>
        </w:rPr>
        <w:t>文件</w:t>
      </w:r>
      <w:r>
        <w:rPr>
          <w:rFonts w:hint="eastAsia" w:ascii="Times New Roman" w:hAnsi="Times New Roman" w:eastAsia="宋体"/>
          <w:b/>
          <w:szCs w:val="21"/>
          <w:lang w:val="en-US"/>
        </w:rPr>
        <w:t>提交</w:t>
      </w:r>
      <w:r>
        <w:rPr>
          <w:rFonts w:ascii="Times New Roman" w:hAnsi="Times New Roman" w:eastAsia="宋体"/>
          <w:b/>
          <w:szCs w:val="21"/>
          <w:lang w:val="en-US"/>
        </w:rPr>
        <w:t>截止时间</w:t>
      </w:r>
      <w:r>
        <w:rPr>
          <w:rFonts w:hint="eastAsia" w:ascii="Times New Roman" w:hAnsi="Times New Roman" w:eastAsia="宋体"/>
          <w:b/>
          <w:szCs w:val="21"/>
          <w:lang w:val="en-US"/>
        </w:rPr>
        <w:t>及</w:t>
      </w:r>
      <w:r>
        <w:rPr>
          <w:rFonts w:ascii="Times New Roman" w:hAnsi="Times New Roman" w:eastAsia="宋体"/>
          <w:b/>
          <w:szCs w:val="21"/>
          <w:lang w:val="en-US"/>
        </w:rPr>
        <w:t>开启时间</w:t>
      </w:r>
    </w:p>
    <w:p>
      <w:pPr>
        <w:widowControl w:val="0"/>
        <w:tabs>
          <w:tab w:val="left" w:pos="0"/>
        </w:tabs>
        <w:kinsoku w:val="0"/>
        <w:overflowPunct w:val="0"/>
        <w:ind w:firstLine="420"/>
        <w:rPr>
          <w:rFonts w:ascii="Times New Roman" w:hAnsi="Times New Roman" w:eastAsia="宋体"/>
          <w:szCs w:val="21"/>
          <w:lang w:val="en-US"/>
        </w:rPr>
      </w:pPr>
      <w:r>
        <w:rPr>
          <w:rFonts w:ascii="Times New Roman" w:hAnsi="Times New Roman" w:eastAsia="宋体"/>
          <w:szCs w:val="21"/>
          <w:lang w:val="en-US"/>
        </w:rPr>
        <w:t>接受</w:t>
      </w:r>
      <w:r>
        <w:rPr>
          <w:rFonts w:hint="eastAsia" w:ascii="Times New Roman" w:hAnsi="Times New Roman" w:eastAsia="宋体"/>
          <w:szCs w:val="21"/>
          <w:lang w:val="en-US"/>
        </w:rPr>
        <w:t>投标文件</w:t>
      </w:r>
      <w:r>
        <w:rPr>
          <w:rFonts w:ascii="Times New Roman" w:hAnsi="Times New Roman" w:eastAsia="宋体"/>
          <w:szCs w:val="21"/>
          <w:lang w:val="en-US"/>
        </w:rPr>
        <w:t>时间：</w:t>
      </w:r>
      <w:r>
        <w:rPr>
          <w:rFonts w:hint="eastAsia" w:ascii="Times New Roman" w:hAnsi="Times New Roman" w:eastAsia="宋体"/>
          <w:szCs w:val="21"/>
          <w:lang w:val="en-US"/>
        </w:rPr>
        <w:t>即日起至</w:t>
      </w:r>
      <w:r>
        <w:rPr>
          <w:rFonts w:hint="eastAsia" w:ascii="Times New Roman" w:hAnsi="Times New Roman" w:eastAsia="宋体"/>
          <w:szCs w:val="21"/>
          <w:highlight w:val="yellow"/>
          <w:lang w:val="en-US"/>
        </w:rPr>
        <w:t>2024年1</w:t>
      </w:r>
      <w:r>
        <w:rPr>
          <w:rFonts w:hint="eastAsia" w:ascii="Times New Roman" w:hAnsi="Times New Roman" w:eastAsia="宋体"/>
          <w:szCs w:val="21"/>
          <w:highlight w:val="yellow"/>
          <w:lang w:val="en-US" w:eastAsia="zh-CN"/>
        </w:rPr>
        <w:t>2</w:t>
      </w:r>
      <w:r>
        <w:rPr>
          <w:rFonts w:ascii="Times New Roman" w:hAnsi="Times New Roman" w:eastAsia="宋体"/>
          <w:szCs w:val="21"/>
          <w:highlight w:val="yellow"/>
          <w:lang w:val="en-US"/>
        </w:rPr>
        <w:t>月</w:t>
      </w:r>
      <w:r>
        <w:rPr>
          <w:rFonts w:hint="eastAsia" w:ascii="Times New Roman" w:hAnsi="Times New Roman" w:eastAsia="宋体"/>
          <w:szCs w:val="21"/>
          <w:highlight w:val="yellow"/>
          <w:lang w:val="en-US" w:eastAsia="zh-CN"/>
        </w:rPr>
        <w:t>5</w:t>
      </w:r>
      <w:r>
        <w:rPr>
          <w:rFonts w:ascii="Times New Roman" w:hAnsi="Times New Roman" w:eastAsia="宋体"/>
          <w:szCs w:val="21"/>
          <w:highlight w:val="yellow"/>
          <w:lang w:val="en-US"/>
        </w:rPr>
        <w:t>日</w:t>
      </w:r>
      <w:r>
        <w:rPr>
          <w:rFonts w:hint="eastAsia" w:ascii="Times New Roman" w:hAnsi="Times New Roman" w:eastAsia="宋体"/>
          <w:szCs w:val="21"/>
          <w:highlight w:val="yellow"/>
          <w:lang w:val="en-US" w:eastAsia="zh-CN"/>
        </w:rPr>
        <w:t>11</w:t>
      </w:r>
      <w:r>
        <w:rPr>
          <w:rFonts w:hint="eastAsia" w:ascii="Times New Roman" w:hAnsi="Times New Roman" w:eastAsia="宋体"/>
          <w:szCs w:val="21"/>
          <w:highlight w:val="yellow"/>
          <w:lang w:val="en-US"/>
        </w:rPr>
        <w:t>时</w:t>
      </w:r>
      <w:r>
        <w:rPr>
          <w:rFonts w:hint="eastAsia" w:ascii="Times New Roman" w:hAnsi="Times New Roman" w:eastAsia="宋体"/>
          <w:szCs w:val="21"/>
          <w:highlight w:val="yellow"/>
          <w:lang w:val="en-US" w:eastAsia="zh-CN"/>
        </w:rPr>
        <w:t>0</w:t>
      </w:r>
      <w:r>
        <w:rPr>
          <w:rFonts w:hint="eastAsia" w:ascii="Times New Roman" w:hAnsi="Times New Roman" w:eastAsia="宋体"/>
          <w:szCs w:val="21"/>
          <w:highlight w:val="yellow"/>
          <w:lang w:val="en-US"/>
        </w:rPr>
        <w:t>0分</w:t>
      </w:r>
      <w:r>
        <w:rPr>
          <w:rFonts w:hint="eastAsia" w:ascii="Times New Roman" w:hAnsi="Times New Roman" w:eastAsia="宋体"/>
          <w:szCs w:val="21"/>
          <w:lang w:val="en-US"/>
        </w:rPr>
        <w:t>（北京时间）</w:t>
      </w:r>
      <w:r>
        <w:rPr>
          <w:rFonts w:ascii="Times New Roman" w:hAnsi="Times New Roman" w:eastAsia="宋体"/>
          <w:szCs w:val="21"/>
          <w:lang w:val="en-US"/>
        </w:rPr>
        <w:t>。</w:t>
      </w:r>
    </w:p>
    <w:p>
      <w:pPr>
        <w:widowControl w:val="0"/>
        <w:tabs>
          <w:tab w:val="left" w:pos="0"/>
        </w:tabs>
        <w:kinsoku w:val="0"/>
        <w:overflowPunct w:val="0"/>
        <w:ind w:firstLine="420"/>
        <w:rPr>
          <w:rFonts w:ascii="Times New Roman" w:hAnsi="Times New Roman" w:eastAsia="宋体"/>
          <w:szCs w:val="21"/>
          <w:lang w:val="en-US"/>
        </w:rPr>
      </w:pPr>
      <w:r>
        <w:rPr>
          <w:rFonts w:hint="eastAsia" w:ascii="Times New Roman" w:hAnsi="Times New Roman" w:eastAsia="宋体"/>
          <w:szCs w:val="21"/>
          <w:lang w:val="en-US"/>
        </w:rPr>
        <w:t>投标文件提交</w:t>
      </w:r>
      <w:r>
        <w:rPr>
          <w:rFonts w:ascii="Times New Roman" w:hAnsi="Times New Roman" w:eastAsia="宋体"/>
          <w:szCs w:val="21"/>
          <w:lang w:val="en-US"/>
        </w:rPr>
        <w:t>截止时间及</w:t>
      </w:r>
      <w:r>
        <w:rPr>
          <w:rFonts w:hint="eastAsia" w:ascii="Times New Roman" w:hAnsi="Times New Roman" w:eastAsia="宋体"/>
          <w:szCs w:val="21"/>
          <w:lang w:val="en-US"/>
        </w:rPr>
        <w:t>开启</w:t>
      </w:r>
      <w:r>
        <w:rPr>
          <w:rFonts w:ascii="Times New Roman" w:hAnsi="Times New Roman" w:eastAsia="宋体"/>
          <w:szCs w:val="21"/>
          <w:lang w:val="en-US"/>
        </w:rPr>
        <w:t>时间：</w:t>
      </w:r>
      <w:r>
        <w:rPr>
          <w:rFonts w:hint="eastAsia" w:ascii="Times New Roman" w:hAnsi="Times New Roman" w:eastAsia="宋体"/>
          <w:szCs w:val="21"/>
          <w:highlight w:val="yellow"/>
          <w:lang w:val="en-US"/>
        </w:rPr>
        <w:t>2024年</w:t>
      </w:r>
      <w:r>
        <w:rPr>
          <w:rFonts w:hint="eastAsia" w:ascii="Times New Roman" w:hAnsi="Times New Roman" w:eastAsia="宋体"/>
          <w:szCs w:val="21"/>
          <w:highlight w:val="yellow"/>
          <w:lang w:val="en-US" w:eastAsia="zh-CN"/>
        </w:rPr>
        <w:t>12</w:t>
      </w:r>
      <w:r>
        <w:rPr>
          <w:rFonts w:ascii="Times New Roman" w:hAnsi="Times New Roman" w:eastAsia="宋体"/>
          <w:szCs w:val="21"/>
          <w:highlight w:val="yellow"/>
          <w:lang w:val="en-US"/>
        </w:rPr>
        <w:t>月</w:t>
      </w:r>
      <w:r>
        <w:rPr>
          <w:rFonts w:hint="eastAsia" w:ascii="Times New Roman" w:hAnsi="Times New Roman" w:eastAsia="宋体"/>
          <w:szCs w:val="21"/>
          <w:highlight w:val="yellow"/>
          <w:lang w:val="en-US" w:eastAsia="zh-CN"/>
        </w:rPr>
        <w:t>5</w:t>
      </w:r>
      <w:r>
        <w:rPr>
          <w:rFonts w:ascii="Times New Roman" w:hAnsi="Times New Roman" w:eastAsia="宋体"/>
          <w:szCs w:val="21"/>
          <w:highlight w:val="yellow"/>
          <w:lang w:val="en-US"/>
        </w:rPr>
        <w:t>日</w:t>
      </w:r>
      <w:r>
        <w:rPr>
          <w:rFonts w:hint="eastAsia" w:ascii="Times New Roman" w:hAnsi="Times New Roman" w:eastAsia="宋体"/>
          <w:szCs w:val="21"/>
          <w:highlight w:val="yellow"/>
          <w:lang w:val="en-US" w:eastAsia="zh-CN"/>
        </w:rPr>
        <w:t>11</w:t>
      </w:r>
      <w:r>
        <w:rPr>
          <w:rFonts w:hint="eastAsia" w:ascii="Times New Roman" w:hAnsi="Times New Roman" w:eastAsia="宋体"/>
          <w:szCs w:val="21"/>
          <w:highlight w:val="yellow"/>
          <w:lang w:val="en-US"/>
        </w:rPr>
        <w:t>时00分</w:t>
      </w:r>
      <w:r>
        <w:rPr>
          <w:rFonts w:hint="eastAsia" w:ascii="Times New Roman" w:hAnsi="Times New Roman" w:eastAsia="宋体"/>
          <w:szCs w:val="21"/>
          <w:lang w:val="en-US"/>
        </w:rPr>
        <w:t>（北京时间）</w:t>
      </w:r>
      <w:r>
        <w:rPr>
          <w:rFonts w:ascii="Times New Roman" w:hAnsi="Times New Roman" w:eastAsia="宋体"/>
          <w:szCs w:val="21"/>
          <w:lang w:val="en-US"/>
        </w:rPr>
        <w:t>。</w:t>
      </w:r>
    </w:p>
    <w:p>
      <w:pPr>
        <w:widowControl w:val="0"/>
        <w:tabs>
          <w:tab w:val="left" w:pos="0"/>
        </w:tabs>
        <w:kinsoku w:val="0"/>
        <w:overflowPunct w:val="0"/>
        <w:ind w:firstLine="420"/>
        <w:rPr>
          <w:rFonts w:ascii="Times New Roman" w:hAnsi="Times New Roman" w:eastAsia="宋体"/>
          <w:szCs w:val="21"/>
          <w:lang w:val="en-US"/>
        </w:rPr>
      </w:pPr>
      <w:r>
        <w:rPr>
          <w:rFonts w:hint="eastAsia" w:ascii="Times New Roman" w:hAnsi="Times New Roman" w:eastAsia="宋体"/>
          <w:szCs w:val="21"/>
          <w:lang w:val="en-US"/>
        </w:rPr>
        <w:t>投标</w:t>
      </w:r>
      <w:r>
        <w:rPr>
          <w:rFonts w:ascii="Times New Roman" w:hAnsi="Times New Roman" w:eastAsia="宋体"/>
          <w:szCs w:val="21"/>
          <w:lang w:val="en-US"/>
        </w:rPr>
        <w:t>截止时间后提交的</w:t>
      </w:r>
      <w:r>
        <w:rPr>
          <w:rFonts w:hint="eastAsia" w:ascii="Times New Roman" w:hAnsi="Times New Roman" w:eastAsia="宋体"/>
          <w:szCs w:val="21"/>
          <w:lang w:val="en-US"/>
        </w:rPr>
        <w:t>投标</w:t>
      </w:r>
      <w:r>
        <w:rPr>
          <w:rFonts w:ascii="Times New Roman" w:hAnsi="Times New Roman" w:eastAsia="宋体"/>
          <w:szCs w:val="21"/>
          <w:lang w:val="en-US"/>
        </w:rPr>
        <w:t>文件将被拒收，在规定时间内所提交的文件不符合相关规定要求的也将被拒收。</w:t>
      </w:r>
    </w:p>
    <w:p>
      <w:pPr>
        <w:numPr>
          <w:ilvl w:val="1"/>
          <w:numId w:val="12"/>
        </w:numPr>
        <w:tabs>
          <w:tab w:val="left" w:pos="0"/>
        </w:tabs>
        <w:ind w:left="1021"/>
        <w:rPr>
          <w:rFonts w:ascii="Times New Roman" w:hAnsi="Times New Roman" w:eastAsia="宋体"/>
          <w:b/>
          <w:szCs w:val="21"/>
          <w:lang w:val="en-US"/>
        </w:rPr>
      </w:pPr>
      <w:r>
        <w:rPr>
          <w:rFonts w:hint="eastAsia" w:ascii="Times New Roman" w:hAnsi="Times New Roman" w:eastAsia="宋体"/>
          <w:b/>
          <w:szCs w:val="21"/>
          <w:lang w:val="en-US"/>
        </w:rPr>
        <w:t xml:space="preserve"> 投标文件提交及开标</w:t>
      </w:r>
    </w:p>
    <w:p>
      <w:pPr>
        <w:widowControl w:val="0"/>
        <w:tabs>
          <w:tab w:val="left" w:pos="0"/>
        </w:tabs>
        <w:kinsoku w:val="0"/>
        <w:overflowPunct w:val="0"/>
        <w:ind w:firstLine="420"/>
        <w:rPr>
          <w:rFonts w:ascii="Times New Roman" w:hAnsi="Times New Roman" w:eastAsia="宋体"/>
          <w:szCs w:val="21"/>
          <w:lang w:val="en-US"/>
        </w:rPr>
      </w:pPr>
      <w:r>
        <w:rPr>
          <w:rFonts w:hint="eastAsia" w:ascii="Times New Roman" w:hAnsi="Times New Roman" w:eastAsia="宋体"/>
          <w:szCs w:val="21"/>
          <w:lang w:val="en-US"/>
        </w:rPr>
        <w:t>本项目采用政府采购一体化云平台进行网上响应，请符合条件的投标人注册、报名，编制完成后加密上传投标文件等相关文件。除上述方式之外，不接受投标人以纸质文件或其他任何方式提交的投标文件。投标文件采用网上“不见面”方式开启。</w:t>
      </w:r>
    </w:p>
    <w:p>
      <w:pPr>
        <w:widowControl w:val="0"/>
        <w:tabs>
          <w:tab w:val="left" w:pos="0"/>
        </w:tabs>
        <w:kinsoku w:val="0"/>
        <w:overflowPunct w:val="0"/>
        <w:ind w:firstLine="420"/>
        <w:rPr>
          <w:rFonts w:ascii="Times New Roman" w:hAnsi="Times New Roman" w:eastAsia="宋体"/>
          <w:szCs w:val="21"/>
          <w:u w:val="none"/>
          <w:lang w:val="en-US"/>
        </w:rPr>
      </w:pPr>
      <w:r>
        <w:rPr>
          <w:rFonts w:ascii="Times New Roman" w:hAnsi="Times New Roman" w:eastAsia="宋体"/>
          <w:szCs w:val="21"/>
          <w:highlight w:val="yellow"/>
          <w:lang w:val="en-US"/>
        </w:rPr>
        <w:t>2024</w:t>
      </w:r>
      <w:r>
        <w:rPr>
          <w:rFonts w:ascii="Times New Roman" w:hAnsi="Times New Roman" w:eastAsia="宋体"/>
          <w:szCs w:val="21"/>
          <w:highlight w:val="yellow"/>
          <w:u w:val="none"/>
          <w:lang w:val="en-US"/>
        </w:rPr>
        <w:t>年</w:t>
      </w:r>
      <w:r>
        <w:rPr>
          <w:rFonts w:hint="eastAsia" w:ascii="Times New Roman" w:hAnsi="Times New Roman" w:eastAsia="宋体"/>
          <w:szCs w:val="21"/>
          <w:highlight w:val="yellow"/>
          <w:u w:val="none"/>
          <w:lang w:val="en-US"/>
        </w:rPr>
        <w:t>1</w:t>
      </w:r>
      <w:r>
        <w:rPr>
          <w:rFonts w:hint="eastAsia" w:ascii="Times New Roman" w:hAnsi="Times New Roman" w:eastAsia="宋体"/>
          <w:szCs w:val="21"/>
          <w:highlight w:val="yellow"/>
          <w:u w:val="none"/>
          <w:lang w:val="en-US" w:eastAsia="zh-CN"/>
        </w:rPr>
        <w:t>2</w:t>
      </w:r>
      <w:r>
        <w:rPr>
          <w:rFonts w:ascii="Times New Roman" w:hAnsi="Times New Roman" w:eastAsia="宋体"/>
          <w:szCs w:val="21"/>
          <w:highlight w:val="yellow"/>
          <w:u w:val="none"/>
        </w:rPr>
        <w:t>月</w:t>
      </w:r>
      <w:r>
        <w:rPr>
          <w:rFonts w:hint="eastAsia" w:ascii="Times New Roman" w:hAnsi="Times New Roman" w:eastAsia="宋体"/>
          <w:szCs w:val="21"/>
          <w:highlight w:val="yellow"/>
          <w:u w:val="none"/>
          <w:lang w:val="en-US" w:eastAsia="zh-CN"/>
        </w:rPr>
        <w:t>5</w:t>
      </w:r>
      <w:r>
        <w:rPr>
          <w:rFonts w:ascii="Times New Roman" w:hAnsi="Times New Roman" w:eastAsia="宋体"/>
          <w:szCs w:val="21"/>
          <w:highlight w:val="yellow"/>
          <w:u w:val="none"/>
        </w:rPr>
        <w:t>日</w:t>
      </w:r>
      <w:r>
        <w:rPr>
          <w:rFonts w:hint="eastAsia" w:ascii="Times New Roman" w:hAnsi="Times New Roman" w:eastAsia="宋体"/>
          <w:szCs w:val="21"/>
          <w:highlight w:val="yellow"/>
          <w:u w:val="none"/>
          <w:lang w:val="en-US" w:eastAsia="zh-CN"/>
        </w:rPr>
        <w:t>00时0</w:t>
      </w:r>
      <w:r>
        <w:rPr>
          <w:rFonts w:ascii="Times New Roman" w:hAnsi="Times New Roman" w:eastAsia="宋体"/>
          <w:szCs w:val="21"/>
          <w:highlight w:val="yellow"/>
          <w:u w:val="none"/>
          <w:lang w:val="en-US"/>
        </w:rPr>
        <w:t>0分到</w:t>
      </w:r>
      <w:r>
        <w:rPr>
          <w:rFonts w:hint="eastAsia" w:ascii="Times New Roman" w:hAnsi="Times New Roman" w:eastAsia="宋体"/>
          <w:szCs w:val="21"/>
          <w:highlight w:val="yellow"/>
          <w:u w:val="none"/>
          <w:lang w:val="en-US" w:eastAsia="zh-CN"/>
        </w:rPr>
        <w:t>11</w:t>
      </w:r>
      <w:r>
        <w:rPr>
          <w:rFonts w:ascii="Times New Roman" w:hAnsi="Times New Roman" w:eastAsia="宋体"/>
          <w:szCs w:val="21"/>
          <w:highlight w:val="yellow"/>
          <w:u w:val="none"/>
          <w:lang w:val="en-US"/>
        </w:rPr>
        <w:t>时</w:t>
      </w:r>
      <w:r>
        <w:rPr>
          <w:rFonts w:hint="eastAsia" w:ascii="Times New Roman" w:hAnsi="Times New Roman" w:eastAsia="宋体"/>
          <w:szCs w:val="21"/>
          <w:highlight w:val="yellow"/>
          <w:u w:val="none"/>
          <w:lang w:val="en-US" w:eastAsia="zh-CN"/>
        </w:rPr>
        <w:t>0</w:t>
      </w:r>
      <w:r>
        <w:rPr>
          <w:rFonts w:ascii="Times New Roman" w:hAnsi="Times New Roman" w:eastAsia="宋体"/>
          <w:szCs w:val="21"/>
          <w:highlight w:val="yellow"/>
          <w:u w:val="none"/>
          <w:lang w:val="en-US"/>
        </w:rPr>
        <w:t>0分</w:t>
      </w:r>
      <w:r>
        <w:rPr>
          <w:rFonts w:ascii="Times New Roman" w:hAnsi="Times New Roman" w:eastAsia="宋体"/>
          <w:szCs w:val="21"/>
          <w:u w:val="none"/>
          <w:lang w:val="en-US"/>
        </w:rPr>
        <w:t>，投标人登录政府采购一体化云平台办理签到；</w:t>
      </w:r>
    </w:p>
    <w:p>
      <w:pPr>
        <w:widowControl w:val="0"/>
        <w:tabs>
          <w:tab w:val="left" w:pos="0"/>
        </w:tabs>
        <w:kinsoku w:val="0"/>
        <w:overflowPunct w:val="0"/>
        <w:ind w:firstLine="420"/>
        <w:rPr>
          <w:rFonts w:ascii="Times New Roman" w:hAnsi="Times New Roman" w:eastAsia="宋体"/>
          <w:szCs w:val="21"/>
          <w:lang w:val="en-US"/>
        </w:rPr>
      </w:pPr>
      <w:r>
        <w:rPr>
          <w:rFonts w:ascii="Times New Roman" w:hAnsi="Times New Roman" w:eastAsia="宋体"/>
          <w:szCs w:val="21"/>
          <w:highlight w:val="yellow"/>
          <w:u w:val="none"/>
          <w:lang w:val="en-US"/>
        </w:rPr>
        <w:t>2024年</w:t>
      </w:r>
      <w:r>
        <w:rPr>
          <w:rFonts w:hint="eastAsia" w:ascii="Times New Roman" w:hAnsi="Times New Roman" w:eastAsia="宋体"/>
          <w:szCs w:val="21"/>
          <w:highlight w:val="yellow"/>
          <w:u w:val="none"/>
          <w:lang w:val="en-US"/>
        </w:rPr>
        <w:t>1</w:t>
      </w:r>
      <w:r>
        <w:rPr>
          <w:rFonts w:hint="eastAsia" w:ascii="Times New Roman" w:hAnsi="Times New Roman" w:eastAsia="宋体"/>
          <w:szCs w:val="21"/>
          <w:highlight w:val="yellow"/>
          <w:u w:val="none"/>
          <w:lang w:val="en-US" w:eastAsia="zh-CN"/>
        </w:rPr>
        <w:t>2</w:t>
      </w:r>
      <w:r>
        <w:rPr>
          <w:rFonts w:ascii="Times New Roman" w:hAnsi="Times New Roman" w:eastAsia="宋体"/>
          <w:szCs w:val="21"/>
          <w:highlight w:val="yellow"/>
          <w:u w:val="none"/>
        </w:rPr>
        <w:t>月</w:t>
      </w:r>
      <w:r>
        <w:rPr>
          <w:rFonts w:hint="eastAsia" w:ascii="Times New Roman" w:hAnsi="Times New Roman" w:eastAsia="宋体"/>
          <w:szCs w:val="21"/>
          <w:highlight w:val="yellow"/>
          <w:u w:val="none"/>
          <w:lang w:val="en-US" w:eastAsia="zh-CN"/>
        </w:rPr>
        <w:t>5</w:t>
      </w:r>
      <w:r>
        <w:rPr>
          <w:rFonts w:ascii="Times New Roman" w:hAnsi="Times New Roman" w:eastAsia="宋体"/>
          <w:szCs w:val="21"/>
          <w:highlight w:val="yellow"/>
          <w:u w:val="none"/>
        </w:rPr>
        <w:t>日</w:t>
      </w:r>
      <w:r>
        <w:rPr>
          <w:rFonts w:hint="eastAsia" w:ascii="Times New Roman" w:hAnsi="Times New Roman" w:eastAsia="宋体"/>
          <w:szCs w:val="21"/>
          <w:highlight w:val="yellow"/>
          <w:lang w:val="en-US" w:eastAsia="zh-CN"/>
        </w:rPr>
        <w:t>11</w:t>
      </w:r>
      <w:r>
        <w:rPr>
          <w:rFonts w:ascii="Times New Roman" w:hAnsi="Times New Roman" w:eastAsia="宋体"/>
          <w:szCs w:val="21"/>
          <w:highlight w:val="yellow"/>
          <w:lang w:val="en-US"/>
        </w:rPr>
        <w:t>时</w:t>
      </w:r>
      <w:r>
        <w:rPr>
          <w:rFonts w:hint="eastAsia" w:ascii="Times New Roman" w:hAnsi="Times New Roman" w:eastAsia="宋体"/>
          <w:szCs w:val="21"/>
          <w:highlight w:val="yellow"/>
          <w:lang w:val="en-US"/>
        </w:rPr>
        <w:t>0</w:t>
      </w:r>
      <w:r>
        <w:rPr>
          <w:rFonts w:ascii="Times New Roman" w:hAnsi="Times New Roman" w:eastAsia="宋体"/>
          <w:szCs w:val="21"/>
          <w:highlight w:val="yellow"/>
          <w:lang w:val="en-US"/>
        </w:rPr>
        <w:t>0分到</w:t>
      </w:r>
      <w:r>
        <w:rPr>
          <w:rFonts w:hint="eastAsia" w:ascii="Times New Roman" w:hAnsi="Times New Roman" w:eastAsia="宋体"/>
          <w:szCs w:val="21"/>
          <w:highlight w:val="yellow"/>
          <w:lang w:val="en-US" w:eastAsia="zh-CN"/>
        </w:rPr>
        <w:t>13</w:t>
      </w:r>
      <w:r>
        <w:rPr>
          <w:rFonts w:ascii="Times New Roman" w:hAnsi="Times New Roman" w:eastAsia="宋体"/>
          <w:szCs w:val="21"/>
          <w:highlight w:val="yellow"/>
          <w:lang w:val="en-US"/>
        </w:rPr>
        <w:t>时</w:t>
      </w:r>
      <w:r>
        <w:rPr>
          <w:rFonts w:hint="eastAsia" w:ascii="Times New Roman" w:hAnsi="Times New Roman" w:eastAsia="宋体"/>
          <w:szCs w:val="21"/>
          <w:highlight w:val="yellow"/>
          <w:lang w:val="en-US"/>
        </w:rPr>
        <w:t>0</w:t>
      </w:r>
      <w:r>
        <w:rPr>
          <w:rFonts w:ascii="Times New Roman" w:hAnsi="Times New Roman" w:eastAsia="宋体"/>
          <w:szCs w:val="21"/>
          <w:highlight w:val="yellow"/>
          <w:lang w:val="en-US"/>
        </w:rPr>
        <w:t>0分</w:t>
      </w:r>
      <w:r>
        <w:rPr>
          <w:rFonts w:ascii="Times New Roman" w:hAnsi="Times New Roman" w:eastAsia="宋体"/>
          <w:szCs w:val="21"/>
          <w:lang w:val="en-US"/>
        </w:rPr>
        <w:t>，投标人须登录政府采购一体化云平台解密投标文件。</w:t>
      </w:r>
    </w:p>
    <w:p>
      <w:pPr>
        <w:numPr>
          <w:ilvl w:val="1"/>
          <w:numId w:val="12"/>
        </w:numPr>
        <w:tabs>
          <w:tab w:val="left" w:pos="0"/>
        </w:tabs>
        <w:ind w:left="1021"/>
        <w:rPr>
          <w:rFonts w:ascii="Times New Roman" w:hAnsi="Times New Roman" w:eastAsia="宋体"/>
          <w:b/>
          <w:szCs w:val="21"/>
          <w:lang w:val="en-US"/>
        </w:rPr>
      </w:pPr>
      <w:r>
        <w:rPr>
          <w:rFonts w:hint="eastAsia" w:ascii="Times New Roman" w:hAnsi="Times New Roman" w:eastAsia="宋体"/>
          <w:b/>
          <w:szCs w:val="21"/>
          <w:lang w:val="en-US"/>
        </w:rPr>
        <w:t>投标注意事项</w:t>
      </w:r>
    </w:p>
    <w:p>
      <w:pPr>
        <w:pStyle w:val="249"/>
        <w:keepNext w:val="0"/>
        <w:keepLines w:val="0"/>
        <w:pageBreakBefore w:val="0"/>
        <w:widowControl w:val="0"/>
        <w:numPr>
          <w:ilvl w:val="0"/>
          <w:numId w:val="25"/>
        </w:numPr>
        <w:kinsoku w:val="0"/>
        <w:overflowPunct w:val="0"/>
        <w:topLinePunct w:val="0"/>
        <w:autoSpaceDE/>
        <w:autoSpaceDN/>
        <w:bidi w:val="0"/>
        <w:adjustRightInd/>
        <w:snapToGrid/>
        <w:jc w:val="left"/>
        <w:textAlignment w:val="auto"/>
        <w:rPr>
          <w:rFonts w:ascii="Times New Roman" w:hAnsi="Times New Roman"/>
        </w:rPr>
      </w:pPr>
      <w:r>
        <w:rPr>
          <w:rFonts w:hint="eastAsia" w:ascii="Times New Roman" w:hAnsi="Times New Roman"/>
          <w:lang w:val="en-US"/>
        </w:rPr>
        <w:t>投标人</w:t>
      </w:r>
      <w:r>
        <w:rPr>
          <w:rFonts w:hint="eastAsia" w:ascii="Times New Roman" w:hAnsi="Times New Roman"/>
        </w:rPr>
        <w:t>进行投</w:t>
      </w:r>
      <w:r>
        <w:rPr>
          <w:rFonts w:hint="eastAsia" w:ascii="Times New Roman" w:hAnsi="Times New Roman"/>
          <w:lang w:val="en-US"/>
        </w:rPr>
        <w:t>标</w:t>
      </w:r>
      <w:r>
        <w:rPr>
          <w:rFonts w:hint="eastAsia" w:ascii="Times New Roman" w:hAnsi="Times New Roman"/>
        </w:rPr>
        <w:t>，须提前办理CA数字证书和电子签章（CA数字证书办理联系方式：</w:t>
      </w:r>
      <w:r>
        <w:rPr>
          <w:rFonts w:ascii="Times New Roman" w:hAnsi="Times New Roman"/>
        </w:rPr>
        <w:t>021-33292991</w:t>
      </w:r>
      <w:r>
        <w:rPr>
          <w:rFonts w:hint="eastAsia" w:ascii="Times New Roman" w:hAnsi="Times New Roman"/>
        </w:rPr>
        <w:t>）；CA证书电子认证办法详见：</w:t>
      </w:r>
    </w:p>
    <w:p>
      <w:pPr>
        <w:pStyle w:val="249"/>
        <w:keepNext w:val="0"/>
        <w:keepLines w:val="0"/>
        <w:pageBreakBefore w:val="0"/>
        <w:widowControl w:val="0"/>
        <w:kinsoku w:val="0"/>
        <w:wordWrap w:val="0"/>
        <w:overflowPunct w:val="0"/>
        <w:topLinePunct w:val="0"/>
        <w:autoSpaceDE/>
        <w:autoSpaceDN/>
        <w:bidi w:val="0"/>
        <w:adjustRightInd/>
        <w:snapToGrid/>
        <w:ind w:firstLine="0" w:firstLineChars="0"/>
        <w:jc w:val="left"/>
        <w:textAlignment w:val="auto"/>
        <w:rPr>
          <w:rFonts w:ascii="Times New Roman" w:hAnsi="Times New Roman"/>
        </w:rPr>
      </w:pPr>
      <w:r>
        <w:fldChar w:fldCharType="begin"/>
      </w:r>
      <w:r>
        <w:instrText xml:space="preserve"> HYPERLINK "https://gpmart.pcpe.cn/helpFront/gotoHelpFrontList.action?articleId=1055" </w:instrText>
      </w:r>
      <w:r>
        <w:fldChar w:fldCharType="separate"/>
      </w:r>
      <w:r>
        <w:rPr>
          <w:rStyle w:val="127"/>
          <w:rFonts w:hint="eastAsia" w:ascii="Times New Roman" w:hAnsi="Times New Roman"/>
          <w:color w:val="auto"/>
        </w:rPr>
        <w:t>https：//gpmart.pcpe.cn/helpFront/gotoHelpFrontList.action?articleId=1055</w:t>
      </w:r>
      <w:r>
        <w:rPr>
          <w:rStyle w:val="127"/>
          <w:rFonts w:hint="eastAsia" w:ascii="Times New Roman" w:hAnsi="Times New Roman"/>
          <w:color w:val="auto"/>
        </w:rPr>
        <w:fldChar w:fldCharType="end"/>
      </w:r>
      <w:r>
        <w:rPr>
          <w:rStyle w:val="127"/>
          <w:rFonts w:hint="eastAsia" w:ascii="Times New Roman" w:hAnsi="Times New Roman"/>
          <w:color w:val="auto"/>
          <w:u w:val="none"/>
          <w:lang w:val="en-US"/>
        </w:rPr>
        <w:t>。</w:t>
      </w:r>
      <w:r>
        <w:rPr>
          <w:rFonts w:hint="eastAsia" w:ascii="Times New Roman" w:hAnsi="Times New Roman"/>
        </w:rPr>
        <w:t>已办理数字证书请确保证书还在有效期内，如已过期或即将过期，须联系政府采购一体化云平台技术支持更新。请各</w:t>
      </w:r>
      <w:r>
        <w:rPr>
          <w:rFonts w:hint="eastAsia" w:ascii="Times New Roman" w:hAnsi="Times New Roman"/>
          <w:lang w:val="en-US"/>
        </w:rPr>
        <w:t>投标人</w:t>
      </w:r>
      <w:r>
        <w:rPr>
          <w:rFonts w:hint="eastAsia" w:ascii="Times New Roman" w:hAnsi="Times New Roman"/>
        </w:rPr>
        <w:t>及时申请办理，充分考虑邮寄时间等因素，若因未及时办理导致无法投</w:t>
      </w:r>
      <w:r>
        <w:rPr>
          <w:rFonts w:hint="eastAsia" w:ascii="Times New Roman" w:hAnsi="Times New Roman"/>
          <w:lang w:val="en-US"/>
        </w:rPr>
        <w:t>标</w:t>
      </w:r>
      <w:r>
        <w:rPr>
          <w:rFonts w:hint="eastAsia" w:ascii="Times New Roman" w:hAnsi="Times New Roman"/>
        </w:rPr>
        <w:t>的，后果由</w:t>
      </w:r>
      <w:r>
        <w:rPr>
          <w:rFonts w:hint="eastAsia" w:ascii="Times New Roman" w:hAnsi="Times New Roman"/>
          <w:lang w:val="en-US"/>
        </w:rPr>
        <w:t>投标人</w:t>
      </w:r>
      <w:r>
        <w:rPr>
          <w:rFonts w:hint="eastAsia" w:ascii="Times New Roman" w:hAnsi="Times New Roman"/>
        </w:rPr>
        <w:t>自负。</w:t>
      </w:r>
    </w:p>
    <w:p>
      <w:pPr>
        <w:pStyle w:val="249"/>
        <w:widowControl w:val="0"/>
        <w:kinsoku w:val="0"/>
        <w:overflowPunct w:val="0"/>
        <w:rPr>
          <w:rFonts w:ascii="Times New Roman" w:hAnsi="Times New Roman"/>
          <w:lang w:val="en-US"/>
        </w:rPr>
      </w:pPr>
      <w:r>
        <w:rPr>
          <w:rFonts w:hint="eastAsia" w:ascii="Times New Roman" w:hAnsi="Times New Roman"/>
        </w:rPr>
        <w:t>（</w:t>
      </w:r>
      <w:r>
        <w:rPr>
          <w:rFonts w:hint="eastAsia" w:ascii="Times New Roman" w:hAnsi="Times New Roman"/>
          <w:lang w:val="en-US"/>
        </w:rPr>
        <w:t>2</w:t>
      </w:r>
      <w:r>
        <w:rPr>
          <w:rFonts w:hint="eastAsia" w:ascii="Times New Roman" w:hAnsi="Times New Roman"/>
        </w:rPr>
        <w:t>）</w:t>
      </w:r>
      <w:r>
        <w:rPr>
          <w:rFonts w:hint="eastAsia" w:ascii="Times New Roman" w:hAnsi="Times New Roman"/>
          <w:lang w:val="en-US"/>
        </w:rPr>
        <w:t>投标人</w:t>
      </w:r>
      <w:r>
        <w:rPr>
          <w:rFonts w:hint="eastAsia" w:ascii="Times New Roman" w:hAnsi="Times New Roman"/>
        </w:rPr>
        <w:t>在政府采购一体化云平台报名及上传</w:t>
      </w:r>
      <w:r>
        <w:rPr>
          <w:rFonts w:hint="eastAsia" w:ascii="Times New Roman" w:hAnsi="Times New Roman"/>
          <w:lang w:val="en-US"/>
        </w:rPr>
        <w:t>投标</w:t>
      </w:r>
      <w:r>
        <w:rPr>
          <w:rFonts w:hint="eastAsia" w:ascii="Times New Roman" w:hAnsi="Times New Roman"/>
        </w:rPr>
        <w:t>文件等相关文件方法详见</w:t>
      </w:r>
      <w:r>
        <w:rPr>
          <w:rFonts w:hint="eastAsia" w:ascii="Times New Roman" w:hAnsi="Times New Roman"/>
          <w:lang w:val="en-US"/>
        </w:rPr>
        <w:t>政府采购一体化云平台操作手册</w:t>
      </w:r>
      <w:r>
        <w:rPr>
          <w:rFonts w:hint="eastAsia" w:ascii="Times New Roman" w:hAnsi="Times New Roman"/>
        </w:rPr>
        <w:t>。政府采购一体化云平台网址：</w:t>
      </w:r>
      <w:r>
        <w:fldChar w:fldCharType="begin"/>
      </w:r>
      <w:r>
        <w:instrText xml:space="preserve"> HYPERLINK "https://gpztb.pcpe.cn/" </w:instrText>
      </w:r>
      <w:r>
        <w:fldChar w:fldCharType="separate"/>
      </w:r>
      <w:r>
        <w:rPr>
          <w:rStyle w:val="127"/>
          <w:rFonts w:hint="eastAsia" w:ascii="Times New Roman" w:hAnsi="Times New Roman"/>
          <w:color w:val="auto"/>
        </w:rPr>
        <w:t>https：//gpztb.pcpe.cn/</w:t>
      </w:r>
      <w:r>
        <w:rPr>
          <w:rStyle w:val="127"/>
          <w:rFonts w:hint="eastAsia" w:ascii="Times New Roman" w:hAnsi="Times New Roman"/>
          <w:color w:val="auto"/>
        </w:rPr>
        <w:fldChar w:fldCharType="end"/>
      </w:r>
      <w:r>
        <w:rPr>
          <w:rFonts w:hint="eastAsia" w:ascii="Times New Roman" w:hAnsi="Times New Roman"/>
        </w:rPr>
        <w:t>，</w:t>
      </w:r>
      <w:r>
        <w:rPr>
          <w:rFonts w:hint="eastAsia" w:ascii="Times New Roman" w:hAnsi="Times New Roman"/>
          <w:lang w:val="en-US"/>
        </w:rPr>
        <w:t>登录界面下载操作手册</w:t>
      </w:r>
    </w:p>
    <w:p>
      <w:pPr>
        <w:widowControl w:val="0"/>
        <w:tabs>
          <w:tab w:val="left" w:pos="0"/>
        </w:tabs>
        <w:kinsoku w:val="0"/>
        <w:overflowPunct w:val="0"/>
        <w:ind w:firstLine="420" w:firstLineChars="200"/>
        <w:jc w:val="both"/>
        <w:rPr>
          <w:rFonts w:ascii="Times New Roman" w:hAnsi="Times New Roman" w:eastAsia="宋体"/>
          <w:szCs w:val="21"/>
          <w:lang w:val="en-US"/>
        </w:rPr>
      </w:pPr>
      <w:r>
        <w:rPr>
          <w:rFonts w:hint="eastAsia" w:ascii="Times New Roman" w:hAnsi="Times New Roman" w:eastAsia="宋体"/>
          <w:szCs w:val="21"/>
          <w:lang w:val="en-US"/>
        </w:rPr>
        <w:t>（3）</w:t>
      </w:r>
      <w:r>
        <w:rPr>
          <w:rFonts w:ascii="Times New Roman" w:hAnsi="Times New Roman" w:eastAsia="宋体"/>
          <w:szCs w:val="21"/>
          <w:lang w:val="en-US"/>
        </w:rPr>
        <w:t>政府采购一体化云平台技术支持联系方式：021-33292991、021-22022032、021-22022008</w:t>
      </w:r>
    </w:p>
    <w:p>
      <w:pPr>
        <w:widowControl w:val="0"/>
        <w:tabs>
          <w:tab w:val="left" w:pos="0"/>
        </w:tabs>
        <w:kinsoku w:val="0"/>
        <w:overflowPunct w:val="0"/>
        <w:ind w:firstLine="420" w:firstLineChars="200"/>
        <w:rPr>
          <w:rFonts w:ascii="Times New Roman" w:hAnsi="Times New Roman" w:eastAsia="宋体"/>
          <w:szCs w:val="21"/>
          <w:lang w:val="en-US"/>
        </w:rPr>
      </w:pPr>
      <w:r>
        <w:rPr>
          <w:rFonts w:hint="eastAsia" w:ascii="Times New Roman" w:hAnsi="Times New Roman" w:eastAsia="宋体"/>
          <w:szCs w:val="21"/>
          <w:lang w:val="en-US"/>
        </w:rPr>
        <w:t>（4）</w:t>
      </w:r>
      <w:r>
        <w:rPr>
          <w:rFonts w:ascii="Times New Roman" w:hAnsi="Times New Roman" w:eastAsia="宋体"/>
          <w:szCs w:val="21"/>
        </w:rPr>
        <w:t>以上如有变更</w:t>
      </w:r>
      <w:r>
        <w:rPr>
          <w:rFonts w:ascii="Times New Roman" w:hAnsi="Times New Roman" w:eastAsia="宋体"/>
          <w:szCs w:val="21"/>
          <w:lang w:val="en-US"/>
        </w:rPr>
        <w:t>，</w:t>
      </w:r>
      <w:r>
        <w:rPr>
          <w:rFonts w:ascii="Times New Roman" w:hAnsi="Times New Roman" w:eastAsia="宋体"/>
          <w:szCs w:val="21"/>
        </w:rPr>
        <w:t>将在</w:t>
      </w:r>
      <w:r>
        <w:rPr>
          <w:rFonts w:hint="eastAsia" w:ascii="宋体" w:hAnsi="宋体" w:eastAsia="宋体" w:cs="宋体"/>
          <w:szCs w:val="21"/>
          <w:lang w:val="en-US"/>
        </w:rPr>
        <w:t>"</w:t>
      </w:r>
      <w:r>
        <w:rPr>
          <w:rFonts w:ascii="Times New Roman" w:hAnsi="Times New Roman" w:eastAsia="宋体"/>
          <w:szCs w:val="21"/>
        </w:rPr>
        <w:t>中国政府采购网</w:t>
      </w:r>
      <w:r>
        <w:rPr>
          <w:rFonts w:ascii="Times New Roman" w:hAnsi="Times New Roman" w:eastAsia="宋体"/>
          <w:szCs w:val="21"/>
          <w:lang w:val="en-US"/>
        </w:rPr>
        <w:t>（www.ccgp.gov.cn）</w:t>
      </w:r>
      <w:r>
        <w:rPr>
          <w:rFonts w:hint="eastAsia" w:ascii="宋体" w:hAnsi="宋体" w:eastAsia="宋体" w:cs="宋体"/>
          <w:szCs w:val="21"/>
          <w:lang w:val="en-US"/>
        </w:rPr>
        <w:t>"</w:t>
      </w:r>
      <w:r>
        <w:rPr>
          <w:rFonts w:ascii="Times New Roman" w:hAnsi="Times New Roman" w:eastAsia="宋体"/>
          <w:szCs w:val="21"/>
        </w:rPr>
        <w:t>等媒体上通知</w:t>
      </w:r>
      <w:r>
        <w:rPr>
          <w:rFonts w:ascii="Times New Roman" w:hAnsi="Times New Roman" w:eastAsia="宋体"/>
          <w:szCs w:val="21"/>
          <w:lang w:val="en-US"/>
        </w:rPr>
        <w:t>，</w:t>
      </w:r>
      <w:r>
        <w:rPr>
          <w:rFonts w:ascii="Times New Roman" w:hAnsi="Times New Roman" w:eastAsia="宋体"/>
          <w:szCs w:val="21"/>
        </w:rPr>
        <w:t>请各投标人关注</w:t>
      </w:r>
      <w:r>
        <w:rPr>
          <w:rFonts w:hint="eastAsia" w:ascii="Times New Roman" w:hAnsi="Times New Roman" w:eastAsia="宋体"/>
          <w:szCs w:val="21"/>
        </w:rPr>
        <w:t>。</w:t>
      </w:r>
    </w:p>
    <w:p>
      <w:pPr>
        <w:numPr>
          <w:ilvl w:val="1"/>
          <w:numId w:val="12"/>
        </w:numPr>
        <w:tabs>
          <w:tab w:val="left" w:pos="0"/>
        </w:tabs>
        <w:ind w:left="1021"/>
        <w:rPr>
          <w:rFonts w:ascii="Times New Roman" w:hAnsi="Times New Roman" w:eastAsia="宋体"/>
          <w:b/>
          <w:szCs w:val="21"/>
          <w:lang w:val="en-US"/>
        </w:rPr>
      </w:pPr>
      <w:r>
        <w:rPr>
          <w:rFonts w:ascii="Times New Roman" w:hAnsi="Times New Roman" w:eastAsia="宋体"/>
          <w:b/>
          <w:szCs w:val="21"/>
        </w:rPr>
        <w:t>本项目其余相关信息均在</w:t>
      </w:r>
      <w:r>
        <w:rPr>
          <w:rFonts w:hint="eastAsia" w:ascii="Times New Roman" w:hAnsi="Times New Roman" w:eastAsia="宋体"/>
          <w:b/>
          <w:szCs w:val="21"/>
          <w:lang w:val="en-US"/>
        </w:rPr>
        <w:t>“</w:t>
      </w:r>
      <w:r>
        <w:rPr>
          <w:rFonts w:ascii="Times New Roman" w:hAnsi="Times New Roman" w:eastAsia="宋体"/>
          <w:b/>
          <w:szCs w:val="21"/>
        </w:rPr>
        <w:t>中国政府采购网</w:t>
      </w:r>
      <w:r>
        <w:rPr>
          <w:rFonts w:ascii="Times New Roman" w:hAnsi="Times New Roman" w:eastAsia="宋体"/>
          <w:b/>
          <w:szCs w:val="21"/>
          <w:lang w:val="en-US"/>
        </w:rPr>
        <w:t>（</w:t>
      </w:r>
      <w:r>
        <w:rPr>
          <w:rFonts w:ascii="Times New Roman" w:hAnsi="Times New Roman" w:eastAsia="Times New Roman"/>
          <w:b/>
          <w:szCs w:val="21"/>
          <w:lang w:val="en-US"/>
        </w:rPr>
        <w:t>www</w:t>
      </w:r>
      <w:r>
        <w:rPr>
          <w:rFonts w:ascii="Times New Roman" w:hAnsi="Times New Roman" w:eastAsia="宋体"/>
          <w:b/>
          <w:szCs w:val="21"/>
          <w:lang w:val="en-US"/>
        </w:rPr>
        <w:t>.</w:t>
      </w:r>
      <w:r>
        <w:rPr>
          <w:rFonts w:ascii="Times New Roman" w:hAnsi="Times New Roman" w:eastAsia="Times New Roman"/>
          <w:b/>
          <w:szCs w:val="21"/>
          <w:lang w:val="en-US"/>
        </w:rPr>
        <w:t>ccgp</w:t>
      </w:r>
      <w:r>
        <w:rPr>
          <w:rFonts w:ascii="Times New Roman" w:hAnsi="Times New Roman" w:eastAsia="宋体"/>
          <w:b/>
          <w:szCs w:val="21"/>
          <w:lang w:val="en-US"/>
        </w:rPr>
        <w:t>.</w:t>
      </w:r>
      <w:r>
        <w:rPr>
          <w:rFonts w:ascii="Times New Roman" w:hAnsi="Times New Roman" w:eastAsia="Times New Roman"/>
          <w:b/>
          <w:szCs w:val="21"/>
          <w:lang w:val="en-US"/>
        </w:rPr>
        <w:t>gov</w:t>
      </w:r>
      <w:r>
        <w:rPr>
          <w:rFonts w:ascii="Times New Roman" w:hAnsi="Times New Roman" w:eastAsia="宋体"/>
          <w:b/>
          <w:szCs w:val="21"/>
          <w:lang w:val="en-US"/>
        </w:rPr>
        <w:t>.</w:t>
      </w:r>
      <w:r>
        <w:rPr>
          <w:rFonts w:ascii="Times New Roman" w:hAnsi="Times New Roman" w:eastAsia="Times New Roman"/>
          <w:b/>
          <w:szCs w:val="21"/>
          <w:lang w:val="en-US"/>
        </w:rPr>
        <w:t>cn</w:t>
      </w:r>
      <w:r>
        <w:rPr>
          <w:rFonts w:ascii="Times New Roman" w:hAnsi="Times New Roman" w:eastAsia="宋体"/>
          <w:b/>
          <w:szCs w:val="21"/>
          <w:lang w:val="en-US"/>
        </w:rPr>
        <w:t>）</w:t>
      </w:r>
      <w:r>
        <w:rPr>
          <w:rFonts w:hint="eastAsia" w:ascii="Times New Roman" w:hAnsi="Times New Roman" w:eastAsia="宋体"/>
          <w:b/>
          <w:szCs w:val="21"/>
          <w:lang w:val="en-US"/>
        </w:rPr>
        <w:t>”</w:t>
      </w:r>
      <w:r>
        <w:rPr>
          <w:rFonts w:ascii="Times New Roman" w:hAnsi="Times New Roman" w:eastAsia="宋体"/>
          <w:b/>
          <w:kern w:val="0"/>
          <w:szCs w:val="21"/>
        </w:rPr>
        <w:t>等媒体上</w:t>
      </w:r>
      <w:r>
        <w:rPr>
          <w:rFonts w:ascii="Times New Roman" w:hAnsi="Times New Roman" w:eastAsia="宋体"/>
          <w:b/>
          <w:szCs w:val="21"/>
        </w:rPr>
        <w:t>发布。</w:t>
      </w:r>
    </w:p>
    <w:p>
      <w:pPr>
        <w:numPr>
          <w:ilvl w:val="1"/>
          <w:numId w:val="12"/>
        </w:numPr>
        <w:tabs>
          <w:tab w:val="left" w:pos="0"/>
        </w:tabs>
        <w:ind w:left="1021"/>
        <w:rPr>
          <w:rFonts w:ascii="Times New Roman" w:hAnsi="Times New Roman" w:eastAsia="宋体"/>
          <w:b/>
          <w:szCs w:val="21"/>
        </w:rPr>
      </w:pPr>
      <w:r>
        <w:rPr>
          <w:rFonts w:ascii="Times New Roman" w:hAnsi="Times New Roman" w:eastAsia="宋体"/>
          <w:b/>
          <w:szCs w:val="21"/>
        </w:rPr>
        <w:t>联系方式</w:t>
      </w:r>
    </w:p>
    <w:p>
      <w:pPr>
        <w:tabs>
          <w:tab w:val="left" w:pos="0"/>
        </w:tabs>
        <w:ind w:firstLine="420" w:firstLineChars="200"/>
        <w:rPr>
          <w:rFonts w:ascii="Times New Roman" w:hAnsi="Times New Roman" w:eastAsia="宋体"/>
          <w:kern w:val="0"/>
          <w:szCs w:val="21"/>
          <w:highlight w:val="none"/>
        </w:rPr>
      </w:pPr>
      <w:r>
        <w:rPr>
          <w:rFonts w:hint="eastAsia" w:ascii="Times New Roman" w:hAnsi="Times New Roman" w:eastAsia="宋体"/>
          <w:kern w:val="0"/>
          <w:szCs w:val="21"/>
        </w:rPr>
        <w:t>采购人</w:t>
      </w:r>
      <w:r>
        <w:rPr>
          <w:rFonts w:hint="eastAsia" w:ascii="Times New Roman" w:hAnsi="Times New Roman" w:eastAsia="宋体"/>
          <w:kern w:val="0"/>
          <w:szCs w:val="21"/>
          <w:highlight w:val="none"/>
        </w:rPr>
        <w:t>名称：</w:t>
      </w:r>
      <w:r>
        <w:rPr>
          <w:rFonts w:hint="eastAsia" w:ascii="Times New Roman" w:hAnsi="Times New Roman" w:eastAsia="宋体"/>
          <w:kern w:val="0"/>
          <w:szCs w:val="21"/>
          <w:highlight w:val="none"/>
          <w:u w:val="single"/>
        </w:rPr>
        <w:t>见采购需求</w:t>
      </w:r>
    </w:p>
    <w:p>
      <w:pPr>
        <w:tabs>
          <w:tab w:val="left" w:pos="0"/>
        </w:tabs>
        <w:ind w:firstLine="420" w:firstLineChars="200"/>
        <w:rPr>
          <w:rFonts w:ascii="Times New Roman" w:hAnsi="Times New Roman" w:eastAsia="仿宋"/>
          <w:kern w:val="0"/>
          <w:szCs w:val="21"/>
          <w:highlight w:val="none"/>
          <w:lang w:val="en-US"/>
        </w:rPr>
      </w:pPr>
      <w:r>
        <w:rPr>
          <w:rFonts w:hint="eastAsia" w:ascii="Times New Roman" w:hAnsi="Times New Roman" w:eastAsia="宋体"/>
          <w:kern w:val="0"/>
          <w:szCs w:val="21"/>
          <w:highlight w:val="none"/>
        </w:rPr>
        <w:t>联系人：</w:t>
      </w:r>
      <w:r>
        <w:rPr>
          <w:rFonts w:hint="eastAsia" w:ascii="Times New Roman" w:hAnsi="Times New Roman" w:eastAsia="宋体"/>
          <w:kern w:val="0"/>
          <w:szCs w:val="21"/>
          <w:highlight w:val="none"/>
          <w:u w:val="single"/>
        </w:rPr>
        <w:t>见采购需求</w:t>
      </w:r>
    </w:p>
    <w:p>
      <w:pPr>
        <w:tabs>
          <w:tab w:val="left" w:pos="0"/>
        </w:tabs>
        <w:ind w:firstLine="420" w:firstLineChars="200"/>
        <w:rPr>
          <w:rFonts w:ascii="Times New Roman" w:hAnsi="Times New Roman" w:eastAsia="宋体"/>
          <w:color w:val="0000FF"/>
          <w:kern w:val="0"/>
          <w:szCs w:val="21"/>
          <w:highlight w:val="none"/>
          <w:lang w:val="en-US"/>
        </w:rPr>
      </w:pPr>
      <w:r>
        <w:rPr>
          <w:rFonts w:hint="eastAsia" w:ascii="Times New Roman" w:hAnsi="Times New Roman" w:eastAsia="宋体"/>
          <w:kern w:val="0"/>
          <w:szCs w:val="21"/>
          <w:highlight w:val="none"/>
        </w:rPr>
        <w:t>联系电话：</w:t>
      </w:r>
      <w:r>
        <w:rPr>
          <w:rFonts w:hint="eastAsia" w:ascii="Times New Roman" w:hAnsi="Times New Roman" w:eastAsia="宋体"/>
          <w:kern w:val="0"/>
          <w:szCs w:val="21"/>
          <w:highlight w:val="none"/>
          <w:u w:val="single"/>
        </w:rPr>
        <w:t>见采购需求</w:t>
      </w:r>
    </w:p>
    <w:p>
      <w:pPr>
        <w:tabs>
          <w:tab w:val="left" w:pos="0"/>
        </w:tabs>
        <w:ind w:firstLine="420" w:firstLineChars="200"/>
        <w:rPr>
          <w:highlight w:val="none"/>
          <w:lang w:val="en-US"/>
        </w:rPr>
      </w:pPr>
      <w:r>
        <w:rPr>
          <w:rFonts w:hint="eastAsia" w:ascii="Times New Roman" w:hAnsi="Times New Roman" w:eastAsia="宋体"/>
          <w:kern w:val="0"/>
          <w:szCs w:val="21"/>
          <w:highlight w:val="none"/>
        </w:rPr>
        <w:t>地址：</w:t>
      </w:r>
      <w:r>
        <w:rPr>
          <w:rFonts w:hint="eastAsia" w:ascii="Times New Roman" w:hAnsi="Times New Roman" w:eastAsia="宋体"/>
          <w:kern w:val="0"/>
          <w:szCs w:val="21"/>
          <w:highlight w:val="none"/>
          <w:u w:val="single"/>
        </w:rPr>
        <w:t>见采购需求</w:t>
      </w:r>
    </w:p>
    <w:p>
      <w:pPr>
        <w:pStyle w:val="31"/>
        <w:rPr>
          <w:color w:val="auto"/>
        </w:rPr>
      </w:pPr>
    </w:p>
    <w:p>
      <w:pPr>
        <w:tabs>
          <w:tab w:val="left" w:pos="0"/>
        </w:tabs>
        <w:ind w:firstLine="420" w:firstLineChars="200"/>
        <w:rPr>
          <w:rFonts w:ascii="Times New Roman" w:hAnsi="Times New Roman" w:eastAsia="宋体"/>
          <w:kern w:val="0"/>
          <w:szCs w:val="21"/>
          <w:u w:val="single"/>
        </w:rPr>
      </w:pPr>
      <w:r>
        <w:rPr>
          <w:rFonts w:ascii="Times New Roman" w:hAnsi="Times New Roman" w:eastAsia="宋体"/>
          <w:kern w:val="0"/>
          <w:szCs w:val="21"/>
        </w:rPr>
        <w:t>采购代理机构名称：</w:t>
      </w:r>
      <w:r>
        <w:rPr>
          <w:rFonts w:ascii="Times New Roman" w:hAnsi="Times New Roman" w:eastAsia="宋体"/>
          <w:kern w:val="0"/>
          <w:szCs w:val="21"/>
          <w:u w:val="single"/>
        </w:rPr>
        <w:t>公安部警用装备采购</w:t>
      </w:r>
      <w:r>
        <w:rPr>
          <w:rFonts w:hint="eastAsia" w:ascii="Times New Roman" w:hAnsi="Times New Roman" w:eastAsia="宋体"/>
          <w:kern w:val="0"/>
          <w:szCs w:val="21"/>
          <w:u w:val="single"/>
        </w:rPr>
        <w:t>中心</w:t>
      </w:r>
    </w:p>
    <w:p>
      <w:pPr>
        <w:tabs>
          <w:tab w:val="left" w:pos="0"/>
        </w:tabs>
        <w:ind w:firstLine="420" w:firstLineChars="200"/>
        <w:rPr>
          <w:rFonts w:ascii="Times New Roman" w:hAnsi="Times New Roman" w:eastAsia="宋体"/>
          <w:kern w:val="0"/>
          <w:szCs w:val="21"/>
          <w:u w:val="single"/>
          <w:lang w:val="en-US"/>
        </w:rPr>
      </w:pPr>
      <w:r>
        <w:rPr>
          <w:rFonts w:ascii="Times New Roman" w:hAnsi="Times New Roman" w:eastAsia="宋体"/>
          <w:kern w:val="0"/>
          <w:szCs w:val="21"/>
        </w:rPr>
        <w:t>项目负责人：</w:t>
      </w:r>
      <w:r>
        <w:rPr>
          <w:rFonts w:hint="eastAsia" w:ascii="Times New Roman" w:hAnsi="Times New Roman" w:eastAsia="宋体"/>
          <w:kern w:val="0"/>
          <w:szCs w:val="21"/>
          <w:u w:val="single"/>
        </w:rPr>
        <w:t>联系代表</w:t>
      </w:r>
    </w:p>
    <w:p>
      <w:pPr>
        <w:tabs>
          <w:tab w:val="left" w:pos="0"/>
        </w:tabs>
        <w:ind w:firstLine="420" w:firstLineChars="200"/>
        <w:rPr>
          <w:rFonts w:ascii="Times New Roman" w:hAnsi="Times New Roman" w:eastAsia="宋体"/>
          <w:kern w:val="0"/>
          <w:szCs w:val="21"/>
          <w:u w:val="single"/>
        </w:rPr>
      </w:pPr>
      <w:r>
        <w:rPr>
          <w:rFonts w:ascii="Times New Roman" w:hAnsi="Times New Roman" w:eastAsia="宋体"/>
          <w:kern w:val="0"/>
          <w:szCs w:val="21"/>
        </w:rPr>
        <w:t>联系电话：</w:t>
      </w:r>
      <w:r>
        <w:rPr>
          <w:rFonts w:hint="eastAsia" w:ascii="Times New Roman" w:hAnsi="Times New Roman" w:eastAsia="Times New Roman"/>
          <w:kern w:val="0"/>
          <w:szCs w:val="21"/>
          <w:u w:val="single"/>
        </w:rPr>
        <w:t>021</w:t>
      </w:r>
      <w:r>
        <w:rPr>
          <w:rFonts w:hint="eastAsia" w:ascii="Times New Roman" w:hAnsi="Times New Roman" w:eastAsia="宋体"/>
          <w:kern w:val="0"/>
          <w:szCs w:val="21"/>
          <w:u w:val="single"/>
        </w:rPr>
        <w:t>-</w:t>
      </w:r>
      <w:r>
        <w:rPr>
          <w:rFonts w:hint="eastAsia" w:ascii="Times New Roman" w:hAnsi="Times New Roman" w:eastAsia="Times New Roman"/>
          <w:kern w:val="0"/>
          <w:szCs w:val="21"/>
          <w:u w:val="single"/>
        </w:rPr>
        <w:t>33292999</w:t>
      </w:r>
    </w:p>
    <w:p>
      <w:pPr>
        <w:tabs>
          <w:tab w:val="left" w:pos="0"/>
        </w:tabs>
        <w:ind w:firstLine="420" w:firstLineChars="200"/>
        <w:rPr>
          <w:rFonts w:ascii="Times New Roman" w:hAnsi="Times New Roman" w:eastAsia="宋体"/>
          <w:kern w:val="0"/>
          <w:szCs w:val="21"/>
          <w:u w:val="single"/>
        </w:rPr>
      </w:pPr>
      <w:r>
        <w:rPr>
          <w:rFonts w:ascii="Times New Roman" w:hAnsi="Times New Roman" w:eastAsia="宋体"/>
          <w:kern w:val="0"/>
          <w:szCs w:val="21"/>
        </w:rPr>
        <w:t>地址：</w:t>
      </w:r>
      <w:r>
        <w:rPr>
          <w:rFonts w:ascii="Times New Roman" w:hAnsi="Times New Roman" w:eastAsia="宋体"/>
          <w:kern w:val="0"/>
          <w:szCs w:val="21"/>
          <w:u w:val="single"/>
        </w:rPr>
        <w:t>上海市闵行区浦江镇三达路</w:t>
      </w:r>
      <w:r>
        <w:rPr>
          <w:rFonts w:ascii="Times New Roman" w:hAnsi="Times New Roman" w:eastAsia="Times New Roman"/>
          <w:kern w:val="0"/>
          <w:szCs w:val="21"/>
          <w:u w:val="single"/>
        </w:rPr>
        <w:t>299</w:t>
      </w:r>
      <w:r>
        <w:rPr>
          <w:rFonts w:ascii="Times New Roman" w:hAnsi="Times New Roman" w:eastAsia="宋体"/>
          <w:kern w:val="0"/>
          <w:szCs w:val="21"/>
          <w:u w:val="single"/>
        </w:rPr>
        <w:t>号</w:t>
      </w:r>
    </w:p>
    <w:p>
      <w:pPr>
        <w:numPr>
          <w:ilvl w:val="1"/>
          <w:numId w:val="12"/>
        </w:numPr>
        <w:tabs>
          <w:tab w:val="left" w:pos="0"/>
        </w:tabs>
        <w:ind w:left="1021"/>
        <w:rPr>
          <w:rFonts w:ascii="Times New Roman" w:hAnsi="Times New Roman" w:eastAsia="宋体"/>
          <w:b/>
          <w:szCs w:val="21"/>
        </w:rPr>
      </w:pPr>
      <w:r>
        <w:rPr>
          <w:rFonts w:ascii="Times New Roman" w:hAnsi="Times New Roman" w:eastAsia="宋体"/>
          <w:b/>
          <w:szCs w:val="21"/>
        </w:rPr>
        <w:t>投标注意事项</w:t>
      </w:r>
    </w:p>
    <w:p>
      <w:pPr>
        <w:tabs>
          <w:tab w:val="left" w:pos="0"/>
        </w:tabs>
        <w:ind w:firstLine="420"/>
        <w:rPr>
          <w:rFonts w:ascii="Times New Roman" w:hAnsi="Times New Roman" w:eastAsia="宋体"/>
          <w:kern w:val="0"/>
          <w:szCs w:val="21"/>
        </w:rPr>
        <w:sectPr>
          <w:headerReference r:id="rId6" w:type="default"/>
          <w:footerReference r:id="rId7" w:type="default"/>
          <w:type w:val="continuous"/>
          <w:pgSz w:w="11907" w:h="16839"/>
          <w:pgMar w:top="1928" w:right="1531" w:bottom="1871" w:left="1531" w:header="1145" w:footer="709" w:gutter="0"/>
          <w:pgNumType w:start="1"/>
          <w:cols w:space="720" w:num="1"/>
          <w:docGrid w:linePitch="360" w:charSpace="0"/>
        </w:sectPr>
      </w:pPr>
      <w:r>
        <w:rPr>
          <w:rFonts w:ascii="Times New Roman" w:hAnsi="Times New Roman" w:eastAsia="宋体"/>
          <w:kern w:val="0"/>
          <w:szCs w:val="21"/>
        </w:rPr>
        <w:t>以上如有变更</w:t>
      </w:r>
      <w:r>
        <w:rPr>
          <w:rFonts w:ascii="宋体" w:hAnsi="宋体" w:eastAsia="宋体"/>
          <w:kern w:val="0"/>
          <w:szCs w:val="21"/>
        </w:rPr>
        <w:t>，</w:t>
      </w:r>
      <w:r>
        <w:rPr>
          <w:rFonts w:ascii="Times New Roman" w:hAnsi="Times New Roman" w:eastAsia="宋体"/>
          <w:kern w:val="0"/>
          <w:szCs w:val="21"/>
        </w:rPr>
        <w:t>将在</w:t>
      </w:r>
      <w:r>
        <w:rPr>
          <w:rFonts w:hint="eastAsia" w:ascii="Times New Roman" w:hAnsi="Times New Roman" w:eastAsia="宋体"/>
          <w:kern w:val="0"/>
          <w:szCs w:val="21"/>
        </w:rPr>
        <w:t>“</w:t>
      </w:r>
      <w:r>
        <w:rPr>
          <w:rFonts w:ascii="Times New Roman" w:hAnsi="Times New Roman" w:eastAsia="宋体"/>
          <w:kern w:val="0"/>
          <w:szCs w:val="21"/>
        </w:rPr>
        <w:t>中国政府采购网（</w:t>
      </w:r>
      <w:r>
        <w:rPr>
          <w:rFonts w:ascii="Times New Roman" w:hAnsi="Times New Roman" w:eastAsia="Times New Roman"/>
          <w:kern w:val="0"/>
          <w:szCs w:val="21"/>
        </w:rPr>
        <w:t>www</w:t>
      </w:r>
      <w:r>
        <w:rPr>
          <w:rFonts w:ascii="Times New Roman" w:hAnsi="Times New Roman" w:eastAsia="宋体"/>
          <w:kern w:val="0"/>
          <w:szCs w:val="21"/>
        </w:rPr>
        <w:t>.</w:t>
      </w:r>
      <w:r>
        <w:rPr>
          <w:rFonts w:ascii="Times New Roman" w:hAnsi="Times New Roman" w:eastAsia="Times New Roman"/>
          <w:kern w:val="0"/>
          <w:szCs w:val="21"/>
        </w:rPr>
        <w:t>ccgp</w:t>
      </w:r>
      <w:r>
        <w:rPr>
          <w:rFonts w:ascii="Times New Roman" w:hAnsi="Times New Roman" w:eastAsia="宋体"/>
          <w:kern w:val="0"/>
          <w:szCs w:val="21"/>
        </w:rPr>
        <w:t>.</w:t>
      </w:r>
      <w:r>
        <w:rPr>
          <w:rFonts w:ascii="Times New Roman" w:hAnsi="Times New Roman" w:eastAsia="Times New Roman"/>
          <w:kern w:val="0"/>
          <w:szCs w:val="21"/>
        </w:rPr>
        <w:t>gov</w:t>
      </w:r>
      <w:r>
        <w:rPr>
          <w:rFonts w:ascii="Times New Roman" w:hAnsi="Times New Roman" w:eastAsia="宋体"/>
          <w:kern w:val="0"/>
          <w:szCs w:val="21"/>
        </w:rPr>
        <w:t>.</w:t>
      </w:r>
      <w:r>
        <w:rPr>
          <w:rFonts w:ascii="Times New Roman" w:hAnsi="Times New Roman" w:eastAsia="Times New Roman"/>
          <w:kern w:val="0"/>
          <w:szCs w:val="21"/>
        </w:rPr>
        <w:t>cn</w:t>
      </w:r>
      <w:r>
        <w:rPr>
          <w:rFonts w:ascii="Times New Roman" w:hAnsi="Times New Roman" w:eastAsia="宋体"/>
          <w:kern w:val="0"/>
          <w:szCs w:val="21"/>
        </w:rPr>
        <w:t>）</w:t>
      </w:r>
      <w:r>
        <w:rPr>
          <w:rFonts w:hint="eastAsia" w:ascii="Times New Roman" w:hAnsi="Times New Roman" w:eastAsia="宋体"/>
          <w:kern w:val="0"/>
          <w:szCs w:val="21"/>
        </w:rPr>
        <w:t>”</w:t>
      </w:r>
      <w:r>
        <w:rPr>
          <w:rFonts w:ascii="Times New Roman" w:hAnsi="Times New Roman" w:eastAsia="宋体"/>
          <w:kern w:val="0"/>
          <w:szCs w:val="21"/>
        </w:rPr>
        <w:t>等媒体上通知</w:t>
      </w:r>
      <w:r>
        <w:rPr>
          <w:rFonts w:ascii="宋体" w:hAnsi="宋体" w:eastAsia="宋体"/>
          <w:kern w:val="0"/>
          <w:szCs w:val="21"/>
        </w:rPr>
        <w:t>，</w:t>
      </w:r>
      <w:r>
        <w:rPr>
          <w:rFonts w:ascii="Times New Roman" w:hAnsi="Times New Roman" w:eastAsia="宋体"/>
          <w:kern w:val="0"/>
          <w:szCs w:val="21"/>
        </w:rPr>
        <w:t>请各投标人关注。</w:t>
      </w:r>
    </w:p>
    <w:p>
      <w:pPr>
        <w:pStyle w:val="2"/>
        <w:rPr>
          <w:color w:val="auto"/>
        </w:rPr>
      </w:pPr>
      <w:bookmarkStart w:id="20" w:name="_Toc25225"/>
      <w:bookmarkStart w:id="21" w:name="_Toc13665"/>
      <w:bookmarkStart w:id="22" w:name="_Toc27659"/>
      <w:r>
        <w:rPr>
          <w:color w:val="auto"/>
        </w:rPr>
        <w:t>投标人须知前附表</w:t>
      </w:r>
      <w:bookmarkEnd w:id="10"/>
      <w:bookmarkEnd w:id="11"/>
      <w:bookmarkEnd w:id="12"/>
      <w:bookmarkEnd w:id="13"/>
      <w:bookmarkEnd w:id="20"/>
      <w:bookmarkEnd w:id="21"/>
      <w:bookmarkEnd w:id="22"/>
    </w:p>
    <w:tbl>
      <w:tblPr>
        <w:tblStyle w:val="81"/>
        <w:tblW w:w="96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5" w:type="dxa"/>
          <w:bottom w:w="0" w:type="dxa"/>
          <w:right w:w="108" w:type="dxa"/>
        </w:tblCellMar>
      </w:tblPr>
      <w:tblGrid>
        <w:gridCol w:w="729"/>
        <w:gridCol w:w="1146"/>
        <w:gridCol w:w="1936"/>
        <w:gridCol w:w="5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5" w:type="dxa"/>
            <w:bottom w:w="0" w:type="dxa"/>
            <w:right w:w="108" w:type="dxa"/>
          </w:tblCellMar>
        </w:tblPrEx>
        <w:trPr>
          <w:trHeight w:val="20" w:hRule="atLeast"/>
          <w:tblHeader/>
          <w:jc w:val="center"/>
        </w:trPr>
        <w:tc>
          <w:tcPr>
            <w:tcW w:w="729" w:type="dxa"/>
            <w:vAlign w:val="center"/>
          </w:tcPr>
          <w:p>
            <w:pPr>
              <w:pStyle w:val="249"/>
              <w:spacing w:line="320" w:lineRule="exact"/>
              <w:ind w:firstLine="0" w:firstLineChars="0"/>
              <w:jc w:val="center"/>
              <w:rPr>
                <w:rFonts w:ascii="Times New Roman" w:hAnsi="Times New Roman" w:eastAsia="黑体"/>
                <w:highlight w:val="none"/>
              </w:rPr>
            </w:pPr>
            <w:r>
              <w:rPr>
                <w:rFonts w:ascii="Times New Roman" w:hAnsi="Times New Roman" w:eastAsia="黑体"/>
                <w:highlight w:val="none"/>
              </w:rPr>
              <w:t>序号</w:t>
            </w:r>
          </w:p>
        </w:tc>
        <w:tc>
          <w:tcPr>
            <w:tcW w:w="1146" w:type="dxa"/>
            <w:vAlign w:val="center"/>
          </w:tcPr>
          <w:p>
            <w:pPr>
              <w:pStyle w:val="249"/>
              <w:spacing w:line="320" w:lineRule="exact"/>
              <w:ind w:firstLine="0" w:firstLineChars="0"/>
              <w:jc w:val="center"/>
              <w:rPr>
                <w:rFonts w:ascii="Times New Roman" w:hAnsi="Times New Roman" w:eastAsia="黑体"/>
                <w:highlight w:val="none"/>
              </w:rPr>
            </w:pPr>
            <w:r>
              <w:rPr>
                <w:rFonts w:ascii="Times New Roman" w:hAnsi="Times New Roman" w:eastAsia="黑体"/>
                <w:bCs/>
                <w:highlight w:val="none"/>
              </w:rPr>
              <w:t>对应须知条款号</w:t>
            </w:r>
          </w:p>
        </w:tc>
        <w:tc>
          <w:tcPr>
            <w:tcW w:w="1936" w:type="dxa"/>
            <w:vAlign w:val="center"/>
          </w:tcPr>
          <w:p>
            <w:pPr>
              <w:pStyle w:val="249"/>
              <w:spacing w:line="320" w:lineRule="exact"/>
              <w:ind w:firstLine="0" w:firstLineChars="0"/>
              <w:jc w:val="center"/>
              <w:rPr>
                <w:rFonts w:ascii="Times New Roman" w:hAnsi="Times New Roman" w:eastAsia="黑体"/>
                <w:highlight w:val="none"/>
              </w:rPr>
            </w:pPr>
            <w:r>
              <w:rPr>
                <w:rFonts w:ascii="Times New Roman" w:hAnsi="Times New Roman" w:eastAsia="黑体"/>
                <w:highlight w:val="none"/>
              </w:rPr>
              <w:t>内容</w:t>
            </w:r>
          </w:p>
        </w:tc>
        <w:tc>
          <w:tcPr>
            <w:tcW w:w="5823" w:type="dxa"/>
            <w:vAlign w:val="center"/>
          </w:tcPr>
          <w:p>
            <w:pPr>
              <w:pStyle w:val="249"/>
              <w:spacing w:line="320" w:lineRule="exact"/>
              <w:ind w:firstLine="0" w:firstLineChars="0"/>
              <w:jc w:val="center"/>
              <w:rPr>
                <w:rFonts w:ascii="Times New Roman" w:hAnsi="Times New Roman" w:eastAsia="黑体"/>
                <w:highlight w:val="none"/>
              </w:rPr>
            </w:pPr>
            <w:r>
              <w:rPr>
                <w:rFonts w:ascii="Times New Roman" w:hAnsi="Times New Roman" w:eastAsia="黑体"/>
                <w:highlight w:val="none"/>
              </w:rPr>
              <w:t>说明与要求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5" w:type="dxa"/>
            <w:bottom w:w="0" w:type="dxa"/>
            <w:right w:w="108" w:type="dxa"/>
          </w:tblCellMar>
        </w:tblPrEx>
        <w:trPr>
          <w:trHeight w:val="20" w:hRule="atLeast"/>
          <w:jc w:val="center"/>
        </w:trPr>
        <w:tc>
          <w:tcPr>
            <w:tcW w:w="729" w:type="dxa"/>
            <w:vAlign w:val="center"/>
          </w:tcPr>
          <w:p>
            <w:pPr>
              <w:pStyle w:val="249"/>
              <w:numPr>
                <w:ilvl w:val="0"/>
                <w:numId w:val="26"/>
              </w:numPr>
              <w:tabs>
                <w:tab w:val="left" w:pos="397"/>
              </w:tabs>
              <w:spacing w:line="320" w:lineRule="exact"/>
              <w:ind w:firstLineChars="0"/>
              <w:jc w:val="center"/>
              <w:rPr>
                <w:rFonts w:ascii="Times New Roman" w:hAnsi="Times New Roman"/>
                <w:bCs/>
                <w:highlight w:val="none"/>
              </w:rPr>
            </w:pPr>
          </w:p>
        </w:tc>
        <w:tc>
          <w:tcPr>
            <w:tcW w:w="1146" w:type="dxa"/>
            <w:vAlign w:val="center"/>
          </w:tcPr>
          <w:p>
            <w:pPr>
              <w:pStyle w:val="249"/>
              <w:spacing w:line="320" w:lineRule="exact"/>
              <w:ind w:firstLine="0" w:firstLineChars="0"/>
              <w:jc w:val="center"/>
              <w:rPr>
                <w:rFonts w:ascii="Times New Roman" w:hAnsi="Times New Roman"/>
                <w:highlight w:val="none"/>
              </w:rPr>
            </w:pPr>
          </w:p>
        </w:tc>
        <w:tc>
          <w:tcPr>
            <w:tcW w:w="1936" w:type="dxa"/>
            <w:vAlign w:val="center"/>
          </w:tcPr>
          <w:p>
            <w:pPr>
              <w:pStyle w:val="249"/>
              <w:spacing w:line="320" w:lineRule="exact"/>
              <w:ind w:firstLine="0" w:firstLineChars="0"/>
              <w:jc w:val="center"/>
              <w:rPr>
                <w:rFonts w:ascii="Times New Roman" w:hAnsi="Times New Roman"/>
                <w:highlight w:val="none"/>
              </w:rPr>
            </w:pPr>
            <w:r>
              <w:rPr>
                <w:rFonts w:ascii="Times New Roman" w:hAnsi="Times New Roman"/>
                <w:highlight w:val="none"/>
              </w:rPr>
              <w:t>采购人名称</w:t>
            </w:r>
          </w:p>
        </w:tc>
        <w:tc>
          <w:tcPr>
            <w:tcW w:w="5823" w:type="dxa"/>
            <w:vAlign w:val="center"/>
          </w:tcPr>
          <w:p>
            <w:pPr>
              <w:pStyle w:val="249"/>
              <w:ind w:firstLine="0" w:firstLineChars="0"/>
              <w:jc w:val="center"/>
              <w:rPr>
                <w:rFonts w:ascii="Times New Roman" w:hAnsi="Times New Roman"/>
                <w:highlight w:val="none"/>
                <w:u w:val="single"/>
                <w:lang w:val="en-US"/>
              </w:rPr>
            </w:pPr>
            <w:r>
              <w:rPr>
                <w:rFonts w:hint="eastAsia" w:ascii="Times New Roman" w:hAnsi="Times New Roman"/>
                <w:kern w:val="0"/>
                <w:highlight w:val="none"/>
                <w:u w:val="single"/>
              </w:rPr>
              <w:t>见采购需求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5" w:type="dxa"/>
            <w:bottom w:w="0" w:type="dxa"/>
            <w:right w:w="108" w:type="dxa"/>
          </w:tblCellMar>
        </w:tblPrEx>
        <w:trPr>
          <w:trHeight w:val="20" w:hRule="atLeast"/>
          <w:jc w:val="center"/>
        </w:trPr>
        <w:tc>
          <w:tcPr>
            <w:tcW w:w="729" w:type="dxa"/>
            <w:vAlign w:val="center"/>
          </w:tcPr>
          <w:p>
            <w:pPr>
              <w:pStyle w:val="249"/>
              <w:numPr>
                <w:ilvl w:val="0"/>
                <w:numId w:val="26"/>
              </w:numPr>
              <w:tabs>
                <w:tab w:val="left" w:pos="397"/>
              </w:tabs>
              <w:spacing w:line="320" w:lineRule="exact"/>
              <w:ind w:firstLineChars="0"/>
              <w:jc w:val="center"/>
              <w:rPr>
                <w:rFonts w:ascii="Times New Roman" w:hAnsi="Times New Roman"/>
                <w:bCs/>
                <w:highlight w:val="none"/>
              </w:rPr>
            </w:pPr>
          </w:p>
        </w:tc>
        <w:tc>
          <w:tcPr>
            <w:tcW w:w="1146" w:type="dxa"/>
            <w:vAlign w:val="center"/>
          </w:tcPr>
          <w:p>
            <w:pPr>
              <w:pStyle w:val="249"/>
              <w:spacing w:line="320" w:lineRule="exact"/>
              <w:ind w:firstLine="0" w:firstLineChars="0"/>
              <w:jc w:val="center"/>
              <w:rPr>
                <w:rFonts w:ascii="Times New Roman" w:hAnsi="Times New Roman"/>
                <w:highlight w:val="none"/>
              </w:rPr>
            </w:pPr>
          </w:p>
        </w:tc>
        <w:tc>
          <w:tcPr>
            <w:tcW w:w="1936" w:type="dxa"/>
            <w:vAlign w:val="center"/>
          </w:tcPr>
          <w:p>
            <w:pPr>
              <w:pStyle w:val="249"/>
              <w:spacing w:line="320" w:lineRule="exact"/>
              <w:ind w:firstLine="0" w:firstLineChars="0"/>
              <w:jc w:val="center"/>
              <w:rPr>
                <w:rFonts w:ascii="Times New Roman" w:hAnsi="Times New Roman"/>
                <w:highlight w:val="none"/>
              </w:rPr>
            </w:pPr>
            <w:r>
              <w:rPr>
                <w:rFonts w:ascii="Times New Roman" w:hAnsi="Times New Roman"/>
                <w:highlight w:val="none"/>
              </w:rPr>
              <w:t>项目预算</w:t>
            </w:r>
          </w:p>
        </w:tc>
        <w:tc>
          <w:tcPr>
            <w:tcW w:w="5823" w:type="dxa"/>
            <w:vAlign w:val="center"/>
          </w:tcPr>
          <w:p>
            <w:pPr>
              <w:pStyle w:val="249"/>
              <w:ind w:firstLine="0" w:firstLineChars="0"/>
              <w:jc w:val="left"/>
              <w:rPr>
                <w:rFonts w:ascii="Times New Roman" w:hAnsi="Times New Roman"/>
                <w:highlight w:val="none"/>
                <w:lang w:val="en-US"/>
              </w:rPr>
            </w:pPr>
            <w:r>
              <w:rPr>
                <w:rFonts w:ascii="Times New Roman" w:hAnsi="Times New Roman"/>
                <w:highlight w:val="none"/>
                <w:lang w:val="en-US"/>
              </w:rPr>
              <w:t>本项目预算为人民币</w:t>
            </w:r>
            <w:r>
              <w:rPr>
                <w:rFonts w:hint="eastAsia" w:ascii="Times New Roman" w:hAnsi="Times New Roman"/>
                <w:highlight w:val="none"/>
                <w:u w:val="single"/>
                <w:lang w:val="en-US"/>
              </w:rPr>
              <w:t>7</w:t>
            </w:r>
            <w:r>
              <w:rPr>
                <w:rFonts w:hint="eastAsia" w:ascii="Times New Roman" w:hAnsi="Times New Roman"/>
                <w:highlight w:val="none"/>
                <w:u w:val="single"/>
                <w:lang w:val="en-US" w:eastAsia="zh-CN"/>
              </w:rPr>
              <w:t>5</w:t>
            </w:r>
            <w:r>
              <w:rPr>
                <w:rFonts w:hint="eastAsia" w:ascii="Times New Roman" w:hAnsi="Times New Roman"/>
                <w:highlight w:val="none"/>
                <w:u w:val="single"/>
                <w:lang w:val="en-US"/>
              </w:rPr>
              <w:t>4</w:t>
            </w:r>
            <w:r>
              <w:rPr>
                <w:rFonts w:hint="eastAsia" w:ascii="Times New Roman" w:hAnsi="Times New Roman"/>
                <w:highlight w:val="none"/>
                <w:u w:val="single"/>
                <w:lang w:val="en-US" w:eastAsia="zh-CN"/>
              </w:rPr>
              <w:t>0</w:t>
            </w:r>
            <w:r>
              <w:rPr>
                <w:rFonts w:hint="eastAsia" w:ascii="Times New Roman" w:hAnsi="Times New Roman"/>
                <w:highlight w:val="none"/>
                <w:u w:val="single"/>
                <w:lang w:val="en-US"/>
              </w:rPr>
              <w:t>.3</w:t>
            </w:r>
            <w:r>
              <w:rPr>
                <w:rFonts w:hint="eastAsia" w:ascii="Times New Roman" w:hAnsi="Times New Roman"/>
                <w:highlight w:val="none"/>
                <w:u w:val="single"/>
                <w:lang w:val="en-US" w:eastAsia="zh-CN"/>
              </w:rPr>
              <w:t>9</w:t>
            </w:r>
            <w:r>
              <w:rPr>
                <w:rFonts w:hint="eastAsia" w:ascii="Times New Roman" w:hAnsi="Times New Roman"/>
                <w:highlight w:val="none"/>
                <w:u w:val="single"/>
                <w:lang w:val="en-US"/>
              </w:rPr>
              <w:t>8万元</w:t>
            </w:r>
            <w:r>
              <w:rPr>
                <w:rFonts w:ascii="Times New Roman" w:hAnsi="Times New Roman"/>
                <w:highlight w:val="none"/>
                <w:lang w:val="en-US"/>
              </w:rPr>
              <w:t>；</w:t>
            </w:r>
          </w:p>
          <w:p>
            <w:pPr>
              <w:pStyle w:val="249"/>
              <w:ind w:firstLine="0" w:firstLineChars="0"/>
              <w:jc w:val="left"/>
              <w:rPr>
                <w:rFonts w:ascii="Times New Roman" w:hAnsi="Times New Roman"/>
                <w:highlight w:val="none"/>
                <w:lang w:val="en-US"/>
              </w:rPr>
            </w:pPr>
            <w:r>
              <w:rPr>
                <w:rFonts w:hint="eastAsia" w:ascii="Times New Roman" w:hAnsi="Times New Roman"/>
                <w:highlight w:val="none"/>
              </w:rPr>
              <w:t>第</w:t>
            </w:r>
            <w:r>
              <w:rPr>
                <w:rFonts w:ascii="Times New Roman" w:hAnsi="Times New Roman"/>
                <w:highlight w:val="none"/>
                <w:lang w:val="en-US"/>
              </w:rPr>
              <w:t>1</w:t>
            </w:r>
            <w:r>
              <w:rPr>
                <w:rFonts w:hint="eastAsia" w:ascii="Times New Roman" w:hAnsi="Times New Roman"/>
                <w:highlight w:val="none"/>
              </w:rPr>
              <w:t>包预算金额</w:t>
            </w:r>
            <w:r>
              <w:rPr>
                <w:rFonts w:hint="eastAsia" w:ascii="Times New Roman" w:hAnsi="Times New Roman"/>
                <w:highlight w:val="none"/>
                <w:lang w:val="en-US"/>
              </w:rPr>
              <w:t>：</w:t>
            </w:r>
            <w:r>
              <w:rPr>
                <w:rFonts w:hint="eastAsia" w:ascii="Times New Roman" w:hAnsi="Times New Roman"/>
                <w:bCs/>
                <w:highlight w:val="none"/>
                <w:u w:val="single"/>
                <w:lang w:val="en-US" w:eastAsia="zh-CN"/>
              </w:rPr>
              <w:t>4949</w:t>
            </w:r>
            <w:r>
              <w:rPr>
                <w:rFonts w:ascii="Times New Roman" w:hAnsi="Times New Roman"/>
                <w:bCs/>
                <w:highlight w:val="none"/>
                <w:u w:val="single"/>
                <w:lang w:val="en-US"/>
              </w:rPr>
              <w:t>.</w:t>
            </w:r>
            <w:r>
              <w:rPr>
                <w:rFonts w:hint="eastAsia" w:ascii="Times New Roman" w:hAnsi="Times New Roman"/>
                <w:bCs/>
                <w:highlight w:val="none"/>
                <w:u w:val="single"/>
                <w:lang w:val="en-US" w:eastAsia="zh-CN"/>
              </w:rPr>
              <w:t>30</w:t>
            </w:r>
            <w:r>
              <w:rPr>
                <w:rFonts w:hint="eastAsia" w:ascii="Times New Roman" w:hAnsi="Times New Roman"/>
                <w:bCs/>
                <w:highlight w:val="none"/>
                <w:u w:val="single"/>
                <w:lang w:val="en-US"/>
              </w:rPr>
              <w:t>0万元</w:t>
            </w:r>
          </w:p>
          <w:p>
            <w:pPr>
              <w:pStyle w:val="249"/>
              <w:ind w:firstLine="0" w:firstLineChars="0"/>
              <w:jc w:val="left"/>
              <w:rPr>
                <w:rFonts w:ascii="Times New Roman" w:hAnsi="Times New Roman"/>
                <w:highlight w:val="none"/>
                <w:lang w:val="en-US"/>
              </w:rPr>
            </w:pPr>
            <w:r>
              <w:rPr>
                <w:rFonts w:hint="eastAsia" w:ascii="Times New Roman" w:hAnsi="Times New Roman"/>
                <w:highlight w:val="none"/>
              </w:rPr>
              <w:t>第</w:t>
            </w:r>
            <w:r>
              <w:rPr>
                <w:rFonts w:ascii="Times New Roman" w:hAnsi="Times New Roman"/>
                <w:highlight w:val="none"/>
                <w:lang w:val="en-US"/>
              </w:rPr>
              <w:t>2</w:t>
            </w:r>
            <w:r>
              <w:rPr>
                <w:rFonts w:hint="eastAsia" w:ascii="Times New Roman" w:hAnsi="Times New Roman"/>
                <w:highlight w:val="none"/>
              </w:rPr>
              <w:t>包预算金额</w:t>
            </w:r>
            <w:r>
              <w:rPr>
                <w:rFonts w:hint="eastAsia" w:ascii="Times New Roman" w:hAnsi="Times New Roman"/>
                <w:highlight w:val="none"/>
                <w:lang w:val="en-US"/>
              </w:rPr>
              <w:t>：</w:t>
            </w:r>
            <w:r>
              <w:rPr>
                <w:rFonts w:ascii="Times New Roman" w:hAnsi="Times New Roman"/>
                <w:bCs/>
                <w:highlight w:val="none"/>
                <w:u w:val="single"/>
                <w:lang w:val="en-US"/>
              </w:rPr>
              <w:t>7</w:t>
            </w:r>
            <w:r>
              <w:rPr>
                <w:rFonts w:hint="eastAsia" w:ascii="Times New Roman" w:hAnsi="Times New Roman"/>
                <w:bCs/>
                <w:highlight w:val="none"/>
                <w:u w:val="single"/>
                <w:lang w:val="en-US" w:eastAsia="zh-CN"/>
              </w:rPr>
              <w:t>30</w:t>
            </w:r>
            <w:r>
              <w:rPr>
                <w:rFonts w:ascii="Times New Roman" w:hAnsi="Times New Roman"/>
                <w:bCs/>
                <w:highlight w:val="none"/>
                <w:u w:val="single"/>
                <w:lang w:val="en-US"/>
              </w:rPr>
              <w:t>.</w:t>
            </w:r>
            <w:r>
              <w:rPr>
                <w:rFonts w:hint="eastAsia" w:ascii="Times New Roman" w:hAnsi="Times New Roman"/>
                <w:bCs/>
                <w:highlight w:val="none"/>
                <w:u w:val="single"/>
                <w:lang w:val="en-US" w:eastAsia="zh-CN"/>
              </w:rPr>
              <w:t>62</w:t>
            </w:r>
            <w:r>
              <w:rPr>
                <w:rFonts w:hint="eastAsia" w:ascii="Times New Roman" w:hAnsi="Times New Roman"/>
                <w:bCs/>
                <w:highlight w:val="none"/>
                <w:u w:val="single"/>
                <w:lang w:val="en-US"/>
              </w:rPr>
              <w:t>0万元</w:t>
            </w:r>
          </w:p>
          <w:p>
            <w:pPr>
              <w:pStyle w:val="249"/>
              <w:ind w:firstLine="0" w:firstLineChars="0"/>
              <w:jc w:val="left"/>
              <w:rPr>
                <w:rFonts w:ascii="Times New Roman" w:hAnsi="Times New Roman"/>
                <w:highlight w:val="none"/>
                <w:lang w:val="en-US"/>
              </w:rPr>
            </w:pPr>
            <w:r>
              <w:rPr>
                <w:rFonts w:hint="eastAsia" w:ascii="Times New Roman" w:hAnsi="Times New Roman"/>
                <w:highlight w:val="none"/>
              </w:rPr>
              <w:t>第</w:t>
            </w:r>
            <w:r>
              <w:rPr>
                <w:rFonts w:ascii="Times New Roman" w:hAnsi="Times New Roman"/>
                <w:highlight w:val="none"/>
                <w:lang w:val="en-US"/>
              </w:rPr>
              <w:t>3</w:t>
            </w:r>
            <w:r>
              <w:rPr>
                <w:rFonts w:hint="eastAsia" w:ascii="Times New Roman" w:hAnsi="Times New Roman"/>
                <w:highlight w:val="none"/>
              </w:rPr>
              <w:t>包预算金额</w:t>
            </w:r>
            <w:r>
              <w:rPr>
                <w:rFonts w:hint="eastAsia" w:ascii="Times New Roman" w:hAnsi="Times New Roman"/>
                <w:highlight w:val="none"/>
                <w:lang w:val="en-US"/>
              </w:rPr>
              <w:t>：</w:t>
            </w:r>
            <w:r>
              <w:rPr>
                <w:rFonts w:ascii="Times New Roman" w:hAnsi="Times New Roman"/>
                <w:highlight w:val="none"/>
                <w:u w:val="single"/>
                <w:lang w:val="en-US"/>
              </w:rPr>
              <w:t>4</w:t>
            </w:r>
            <w:r>
              <w:rPr>
                <w:rFonts w:hint="eastAsia" w:ascii="Times New Roman" w:hAnsi="Times New Roman"/>
                <w:highlight w:val="none"/>
                <w:u w:val="single"/>
                <w:lang w:val="en-US" w:eastAsia="zh-CN"/>
              </w:rPr>
              <w:t>52</w:t>
            </w:r>
            <w:r>
              <w:rPr>
                <w:rFonts w:ascii="Times New Roman" w:hAnsi="Times New Roman"/>
                <w:highlight w:val="none"/>
                <w:u w:val="single"/>
                <w:lang w:val="en-US"/>
              </w:rPr>
              <w:t>.</w:t>
            </w:r>
            <w:r>
              <w:rPr>
                <w:rFonts w:hint="eastAsia" w:ascii="Times New Roman" w:hAnsi="Times New Roman"/>
                <w:highlight w:val="none"/>
                <w:u w:val="single"/>
                <w:lang w:val="en-US" w:eastAsia="zh-CN"/>
              </w:rPr>
              <w:t>0</w:t>
            </w:r>
            <w:r>
              <w:rPr>
                <w:rFonts w:ascii="Times New Roman" w:hAnsi="Times New Roman"/>
                <w:highlight w:val="none"/>
                <w:u w:val="single"/>
                <w:lang w:val="en-US"/>
              </w:rPr>
              <w:t>4</w:t>
            </w:r>
            <w:r>
              <w:rPr>
                <w:rFonts w:hint="eastAsia" w:ascii="Times New Roman" w:hAnsi="Times New Roman"/>
                <w:highlight w:val="none"/>
                <w:u w:val="single"/>
                <w:lang w:val="en-US"/>
              </w:rPr>
              <w:t>0万元</w:t>
            </w:r>
          </w:p>
          <w:p>
            <w:pPr>
              <w:pStyle w:val="249"/>
              <w:ind w:firstLine="0" w:firstLineChars="0"/>
              <w:jc w:val="left"/>
              <w:rPr>
                <w:rFonts w:ascii="Times New Roman" w:hAnsi="Times New Roman"/>
                <w:highlight w:val="none"/>
                <w:lang w:val="en-US"/>
              </w:rPr>
            </w:pPr>
            <w:r>
              <w:rPr>
                <w:rFonts w:hint="eastAsia" w:ascii="Times New Roman" w:hAnsi="Times New Roman"/>
                <w:highlight w:val="none"/>
              </w:rPr>
              <w:t>第</w:t>
            </w:r>
            <w:r>
              <w:rPr>
                <w:rFonts w:ascii="Times New Roman" w:hAnsi="Times New Roman"/>
                <w:highlight w:val="none"/>
                <w:lang w:val="en-US"/>
              </w:rPr>
              <w:t>4</w:t>
            </w:r>
            <w:r>
              <w:rPr>
                <w:rFonts w:hint="eastAsia" w:ascii="Times New Roman" w:hAnsi="Times New Roman"/>
                <w:highlight w:val="none"/>
              </w:rPr>
              <w:t>包预算金额</w:t>
            </w:r>
            <w:r>
              <w:rPr>
                <w:rFonts w:hint="eastAsia" w:ascii="Times New Roman" w:hAnsi="Times New Roman"/>
                <w:highlight w:val="none"/>
                <w:lang w:val="en-US"/>
              </w:rPr>
              <w:t>：</w:t>
            </w:r>
            <w:r>
              <w:rPr>
                <w:rFonts w:ascii="Times New Roman" w:hAnsi="Times New Roman"/>
                <w:bCs/>
                <w:highlight w:val="none"/>
                <w:u w:val="single"/>
                <w:lang w:val="en-US"/>
              </w:rPr>
              <w:t>152.96</w:t>
            </w:r>
            <w:r>
              <w:rPr>
                <w:rFonts w:hint="eastAsia" w:ascii="Times New Roman" w:hAnsi="Times New Roman"/>
                <w:bCs/>
                <w:highlight w:val="none"/>
                <w:u w:val="single"/>
                <w:lang w:val="en-US"/>
              </w:rPr>
              <w:t>0万元</w:t>
            </w:r>
          </w:p>
          <w:p>
            <w:pPr>
              <w:pStyle w:val="249"/>
              <w:ind w:firstLine="0" w:firstLineChars="0"/>
              <w:rPr>
                <w:rFonts w:ascii="Times New Roman" w:hAnsi="Times New Roman"/>
                <w:highlight w:val="none"/>
                <w:lang w:val="en-US"/>
              </w:rPr>
            </w:pPr>
            <w:r>
              <w:rPr>
                <w:rFonts w:hint="eastAsia" w:ascii="Times New Roman" w:hAnsi="Times New Roman"/>
                <w:highlight w:val="none"/>
              </w:rPr>
              <w:t>第</w:t>
            </w:r>
            <w:r>
              <w:rPr>
                <w:rFonts w:ascii="Times New Roman" w:hAnsi="Times New Roman"/>
                <w:highlight w:val="none"/>
                <w:lang w:val="en-US"/>
              </w:rPr>
              <w:t>5</w:t>
            </w:r>
            <w:r>
              <w:rPr>
                <w:rFonts w:hint="eastAsia" w:ascii="Times New Roman" w:hAnsi="Times New Roman"/>
                <w:highlight w:val="none"/>
              </w:rPr>
              <w:t>包预算金额</w:t>
            </w:r>
            <w:r>
              <w:rPr>
                <w:rFonts w:hint="eastAsia" w:ascii="Times New Roman" w:hAnsi="Times New Roman"/>
                <w:highlight w:val="none"/>
                <w:lang w:val="en-US"/>
              </w:rPr>
              <w:t>：</w:t>
            </w:r>
            <w:r>
              <w:rPr>
                <w:rFonts w:ascii="Times New Roman" w:hAnsi="Times New Roman"/>
                <w:bCs/>
                <w:highlight w:val="none"/>
                <w:u w:val="single"/>
                <w:lang w:val="en-US"/>
              </w:rPr>
              <w:t>2</w:t>
            </w:r>
            <w:r>
              <w:rPr>
                <w:rFonts w:hint="eastAsia" w:ascii="Times New Roman" w:hAnsi="Times New Roman"/>
                <w:bCs/>
                <w:highlight w:val="none"/>
                <w:u w:val="single"/>
                <w:lang w:val="en-US" w:eastAsia="zh-CN"/>
              </w:rPr>
              <w:t>16</w:t>
            </w:r>
            <w:r>
              <w:rPr>
                <w:rFonts w:ascii="Times New Roman" w:hAnsi="Times New Roman"/>
                <w:bCs/>
                <w:highlight w:val="none"/>
                <w:u w:val="single"/>
                <w:lang w:val="en-US"/>
              </w:rPr>
              <w:t>.</w:t>
            </w:r>
            <w:r>
              <w:rPr>
                <w:rFonts w:hint="eastAsia" w:ascii="Times New Roman" w:hAnsi="Times New Roman"/>
                <w:bCs/>
                <w:highlight w:val="none"/>
                <w:u w:val="single"/>
                <w:lang w:val="en-US" w:eastAsia="zh-CN"/>
              </w:rPr>
              <w:t>23</w:t>
            </w:r>
            <w:r>
              <w:rPr>
                <w:rFonts w:ascii="Times New Roman" w:hAnsi="Times New Roman"/>
                <w:bCs/>
                <w:highlight w:val="none"/>
                <w:u w:val="single"/>
                <w:lang w:val="en-US"/>
              </w:rPr>
              <w:t>0</w:t>
            </w:r>
            <w:r>
              <w:rPr>
                <w:rFonts w:hint="eastAsia" w:ascii="Times New Roman" w:hAnsi="Times New Roman"/>
                <w:bCs/>
                <w:highlight w:val="none"/>
                <w:u w:val="single"/>
                <w:lang w:val="en-US"/>
              </w:rPr>
              <w:t>万元</w:t>
            </w:r>
          </w:p>
          <w:p>
            <w:pPr>
              <w:pStyle w:val="249"/>
              <w:ind w:firstLine="0" w:firstLineChars="0"/>
              <w:rPr>
                <w:rFonts w:ascii="Times New Roman" w:hAnsi="Times New Roman"/>
                <w:highlight w:val="none"/>
                <w:lang w:val="en-US"/>
              </w:rPr>
            </w:pPr>
            <w:r>
              <w:rPr>
                <w:rFonts w:hint="eastAsia" w:ascii="Times New Roman" w:hAnsi="Times New Roman"/>
                <w:highlight w:val="none"/>
              </w:rPr>
              <w:t>第</w:t>
            </w:r>
            <w:r>
              <w:rPr>
                <w:rFonts w:ascii="Times New Roman" w:hAnsi="Times New Roman"/>
                <w:highlight w:val="none"/>
                <w:lang w:val="en-US"/>
              </w:rPr>
              <w:t>6</w:t>
            </w:r>
            <w:r>
              <w:rPr>
                <w:rFonts w:hint="eastAsia" w:ascii="Times New Roman" w:hAnsi="Times New Roman"/>
                <w:highlight w:val="none"/>
              </w:rPr>
              <w:t>包预算金额</w:t>
            </w:r>
            <w:r>
              <w:rPr>
                <w:rFonts w:hint="eastAsia" w:ascii="Times New Roman" w:hAnsi="Times New Roman"/>
                <w:highlight w:val="none"/>
                <w:lang w:val="en-US"/>
              </w:rPr>
              <w:t>：</w:t>
            </w:r>
            <w:r>
              <w:rPr>
                <w:rFonts w:ascii="Times New Roman" w:hAnsi="Times New Roman"/>
                <w:bCs/>
                <w:highlight w:val="none"/>
                <w:u w:val="single"/>
                <w:lang w:val="en-US"/>
              </w:rPr>
              <w:t>143.888</w:t>
            </w:r>
            <w:r>
              <w:rPr>
                <w:rFonts w:hint="eastAsia" w:ascii="Times New Roman" w:hAnsi="Times New Roman"/>
                <w:bCs/>
                <w:highlight w:val="none"/>
                <w:u w:val="single"/>
                <w:lang w:val="en-US"/>
              </w:rPr>
              <w:t>万元</w:t>
            </w:r>
          </w:p>
          <w:p>
            <w:pPr>
              <w:pStyle w:val="249"/>
              <w:ind w:firstLine="0" w:firstLineChars="0"/>
              <w:rPr>
                <w:rFonts w:ascii="Times New Roman" w:hAnsi="Times New Roman"/>
                <w:highlight w:val="none"/>
                <w:lang w:val="en-US"/>
              </w:rPr>
            </w:pPr>
            <w:r>
              <w:rPr>
                <w:rFonts w:hint="eastAsia" w:ascii="Times New Roman" w:hAnsi="Times New Roman"/>
                <w:highlight w:val="none"/>
              </w:rPr>
              <w:t>第</w:t>
            </w:r>
            <w:r>
              <w:rPr>
                <w:rFonts w:ascii="Times New Roman" w:hAnsi="Times New Roman"/>
                <w:highlight w:val="none"/>
                <w:lang w:val="en-US"/>
              </w:rPr>
              <w:t>7</w:t>
            </w:r>
            <w:r>
              <w:rPr>
                <w:rFonts w:hint="eastAsia" w:ascii="Times New Roman" w:hAnsi="Times New Roman"/>
                <w:highlight w:val="none"/>
              </w:rPr>
              <w:t>包预算金额</w:t>
            </w:r>
            <w:r>
              <w:rPr>
                <w:rFonts w:hint="eastAsia" w:ascii="Times New Roman" w:hAnsi="Times New Roman"/>
                <w:highlight w:val="none"/>
                <w:lang w:val="en-US"/>
              </w:rPr>
              <w:t>：</w:t>
            </w:r>
            <w:r>
              <w:rPr>
                <w:rFonts w:hint="eastAsia" w:ascii="Times New Roman" w:hAnsi="Times New Roman"/>
                <w:bCs/>
                <w:highlight w:val="none"/>
                <w:u w:val="single"/>
                <w:lang w:val="en-US" w:eastAsia="zh-CN"/>
              </w:rPr>
              <w:t>95.360万</w:t>
            </w:r>
            <w:r>
              <w:rPr>
                <w:rFonts w:hint="eastAsia" w:ascii="Times New Roman" w:hAnsi="Times New Roman"/>
                <w:bCs/>
                <w:highlight w:val="none"/>
                <w:u w:val="single"/>
                <w:lang w:val="en-US"/>
              </w:rPr>
              <w:t>元</w:t>
            </w:r>
          </w:p>
          <w:p>
            <w:pPr>
              <w:pStyle w:val="249"/>
              <w:ind w:firstLine="0" w:firstLineChars="0"/>
              <w:rPr>
                <w:rFonts w:ascii="Times New Roman" w:hAnsi="Times New Roman"/>
                <w:highlight w:val="none"/>
                <w:lang w:val="en-US"/>
              </w:rPr>
            </w:pPr>
            <w:r>
              <w:rPr>
                <w:rFonts w:hint="eastAsia" w:ascii="Times New Roman" w:hAnsi="Times New Roman"/>
                <w:highlight w:val="none"/>
              </w:rPr>
              <w:t>第</w:t>
            </w:r>
            <w:r>
              <w:rPr>
                <w:rFonts w:ascii="Times New Roman" w:hAnsi="Times New Roman"/>
                <w:highlight w:val="none"/>
                <w:lang w:val="en-US"/>
              </w:rPr>
              <w:t>8</w:t>
            </w:r>
            <w:r>
              <w:rPr>
                <w:rFonts w:hint="eastAsia" w:ascii="Times New Roman" w:hAnsi="Times New Roman"/>
                <w:highlight w:val="none"/>
              </w:rPr>
              <w:t>包预算金额</w:t>
            </w:r>
            <w:r>
              <w:rPr>
                <w:rFonts w:hint="eastAsia" w:ascii="Times New Roman" w:hAnsi="Times New Roman"/>
                <w:highlight w:val="none"/>
                <w:lang w:val="en-US"/>
              </w:rPr>
              <w:t>：</w:t>
            </w:r>
            <w:r>
              <w:rPr>
                <w:rFonts w:ascii="Times New Roman" w:hAnsi="Times New Roman"/>
                <w:bCs/>
                <w:highlight w:val="none"/>
                <w:u w:val="single"/>
                <w:lang w:val="en-US"/>
              </w:rPr>
              <w:t>4</w:t>
            </w:r>
            <w:r>
              <w:rPr>
                <w:rFonts w:hint="eastAsia" w:ascii="Times New Roman" w:hAnsi="Times New Roman"/>
                <w:bCs/>
                <w:highlight w:val="none"/>
                <w:u w:val="single"/>
                <w:lang w:val="en-US" w:eastAsia="zh-CN"/>
              </w:rPr>
              <w:t>4</w:t>
            </w:r>
            <w:r>
              <w:rPr>
                <w:rFonts w:ascii="Times New Roman" w:hAnsi="Times New Roman"/>
                <w:bCs/>
                <w:highlight w:val="none"/>
                <w:u w:val="single"/>
                <w:lang w:val="en-US"/>
              </w:rPr>
              <w:t>0.000</w:t>
            </w:r>
            <w:r>
              <w:rPr>
                <w:rFonts w:hint="eastAsia" w:ascii="Times New Roman" w:hAnsi="Times New Roman"/>
                <w:bCs/>
                <w:highlight w:val="none"/>
                <w:u w:val="single"/>
                <w:lang w:val="en-US"/>
              </w:rPr>
              <w:t>万元</w:t>
            </w:r>
          </w:p>
          <w:p>
            <w:pPr>
              <w:pStyle w:val="249"/>
              <w:ind w:firstLine="0" w:firstLineChars="0"/>
              <w:rPr>
                <w:rFonts w:ascii="Times New Roman" w:hAnsi="Times New Roman"/>
                <w:highlight w:val="none"/>
                <w:lang w:val="en-US"/>
              </w:rPr>
            </w:pPr>
            <w:r>
              <w:rPr>
                <w:rFonts w:hint="eastAsia" w:ascii="Times New Roman" w:hAnsi="Times New Roman"/>
                <w:highlight w:val="none"/>
              </w:rPr>
              <w:t>第</w:t>
            </w:r>
            <w:r>
              <w:rPr>
                <w:rFonts w:ascii="Times New Roman" w:hAnsi="Times New Roman"/>
                <w:highlight w:val="none"/>
                <w:lang w:val="en-US"/>
              </w:rPr>
              <w:t>9</w:t>
            </w:r>
            <w:r>
              <w:rPr>
                <w:rFonts w:hint="eastAsia" w:ascii="Times New Roman" w:hAnsi="Times New Roman"/>
                <w:highlight w:val="none"/>
              </w:rPr>
              <w:t>包预算金额</w:t>
            </w:r>
            <w:r>
              <w:rPr>
                <w:rFonts w:hint="eastAsia" w:ascii="Times New Roman" w:hAnsi="Times New Roman"/>
                <w:highlight w:val="none"/>
                <w:lang w:val="en-US"/>
              </w:rPr>
              <w:t>：</w:t>
            </w:r>
            <w:r>
              <w:rPr>
                <w:rFonts w:ascii="Times New Roman" w:hAnsi="Times New Roman"/>
                <w:bCs/>
                <w:highlight w:val="none"/>
                <w:u w:val="single"/>
                <w:lang w:val="en-US"/>
              </w:rPr>
              <w:t>120.000</w:t>
            </w:r>
            <w:r>
              <w:rPr>
                <w:rFonts w:hint="eastAsia" w:ascii="Times New Roman" w:hAnsi="Times New Roman"/>
                <w:bCs/>
                <w:highlight w:val="none"/>
                <w:u w:val="single"/>
                <w:lang w:val="en-US"/>
              </w:rPr>
              <w:t>万元</w:t>
            </w:r>
          </w:p>
          <w:p>
            <w:pPr>
              <w:pStyle w:val="249"/>
              <w:ind w:firstLine="0" w:firstLineChars="0"/>
              <w:rPr>
                <w:rFonts w:ascii="Times New Roman" w:hAnsi="Times New Roman"/>
                <w:highlight w:val="none"/>
                <w:lang w:val="en-US"/>
              </w:rPr>
            </w:pPr>
            <w:r>
              <w:rPr>
                <w:rFonts w:hint="eastAsia" w:ascii="Times New Roman" w:hAnsi="Times New Roman"/>
                <w:highlight w:val="none"/>
              </w:rPr>
              <w:t>第</w:t>
            </w:r>
            <w:r>
              <w:rPr>
                <w:rFonts w:ascii="Times New Roman" w:hAnsi="Times New Roman"/>
                <w:highlight w:val="none"/>
                <w:lang w:val="en-US"/>
              </w:rPr>
              <w:t>10</w:t>
            </w:r>
            <w:r>
              <w:rPr>
                <w:rFonts w:hint="eastAsia" w:ascii="Times New Roman" w:hAnsi="Times New Roman"/>
                <w:highlight w:val="none"/>
              </w:rPr>
              <w:t>包预算金额</w:t>
            </w:r>
            <w:r>
              <w:rPr>
                <w:rFonts w:hint="eastAsia" w:ascii="Times New Roman" w:hAnsi="Times New Roman"/>
                <w:highlight w:val="none"/>
                <w:lang w:val="en-US"/>
              </w:rPr>
              <w:t>：</w:t>
            </w:r>
            <w:r>
              <w:rPr>
                <w:rFonts w:ascii="Times New Roman" w:hAnsi="Times New Roman"/>
                <w:bCs/>
                <w:highlight w:val="none"/>
                <w:u w:val="single"/>
                <w:lang w:val="en-US"/>
              </w:rPr>
              <w:t>120.000</w:t>
            </w:r>
            <w:r>
              <w:rPr>
                <w:rFonts w:hint="eastAsia" w:ascii="Times New Roman" w:hAnsi="Times New Roman"/>
                <w:bCs/>
                <w:highlight w:val="none"/>
                <w:u w:val="single"/>
                <w:lang w:val="en-US"/>
              </w:rPr>
              <w:t>万元</w:t>
            </w:r>
          </w:p>
          <w:p>
            <w:pPr>
              <w:pStyle w:val="249"/>
              <w:ind w:firstLine="0" w:firstLineChars="0"/>
              <w:jc w:val="left"/>
              <w:rPr>
                <w:rFonts w:ascii="Times New Roman" w:hAnsi="Times New Roman"/>
                <w:highlight w:val="none"/>
                <w:lang w:val="en-US"/>
              </w:rPr>
            </w:pPr>
            <w:r>
              <w:rPr>
                <w:rFonts w:hint="eastAsia" w:ascii="Times New Roman" w:hAnsi="Times New Roman"/>
                <w:highlight w:val="none"/>
              </w:rPr>
              <w:t>第</w:t>
            </w:r>
            <w:r>
              <w:rPr>
                <w:rFonts w:ascii="Times New Roman" w:hAnsi="Times New Roman"/>
                <w:highlight w:val="none"/>
              </w:rPr>
              <w:t>11</w:t>
            </w:r>
            <w:r>
              <w:rPr>
                <w:rFonts w:hint="eastAsia" w:ascii="Times New Roman" w:hAnsi="Times New Roman"/>
                <w:highlight w:val="none"/>
              </w:rPr>
              <w:t>包预算金额：</w:t>
            </w:r>
            <w:r>
              <w:rPr>
                <w:rFonts w:ascii="Times New Roman" w:hAnsi="Times New Roman"/>
                <w:bCs/>
                <w:highlight w:val="none"/>
                <w:u w:val="single"/>
                <w:lang w:val="en-US"/>
              </w:rPr>
              <w:t>120.000</w:t>
            </w:r>
            <w:r>
              <w:rPr>
                <w:rFonts w:hint="eastAsia" w:ascii="Times New Roman" w:hAnsi="Times New Roman"/>
                <w:bCs/>
                <w:highlight w:val="none"/>
                <w:u w:val="single"/>
                <w:lang w:val="en-US"/>
              </w:rPr>
              <w:t>万元</w:t>
            </w:r>
          </w:p>
          <w:p>
            <w:pPr>
              <w:pStyle w:val="249"/>
              <w:ind w:firstLine="0" w:firstLineChars="0"/>
              <w:jc w:val="left"/>
              <w:rPr>
                <w:rFonts w:ascii="Times New Roman" w:hAnsi="Times New Roman"/>
                <w:highlight w:val="none"/>
                <w:lang w:val="en-US"/>
              </w:rPr>
            </w:pPr>
            <w:r>
              <w:rPr>
                <w:rFonts w:ascii="Times New Roman" w:hAnsi="Times New Roman"/>
                <w:highlight w:val="none"/>
                <w:lang w:val="en-US"/>
              </w:rPr>
              <w:t>*投标人应有明确报价</w:t>
            </w:r>
            <w:r>
              <w:rPr>
                <w:highlight w:val="none"/>
                <w:lang w:val="en-US"/>
              </w:rPr>
              <w:t>，</w:t>
            </w:r>
            <w:r>
              <w:rPr>
                <w:rFonts w:ascii="Times New Roman" w:hAnsi="Times New Roman"/>
                <w:highlight w:val="none"/>
                <w:lang w:val="en-US"/>
              </w:rPr>
              <w:t>超过总预算或分包预算</w:t>
            </w:r>
            <w:r>
              <w:rPr>
                <w:highlight w:val="none"/>
                <w:lang w:val="en-US"/>
              </w:rPr>
              <w:t>，</w:t>
            </w:r>
            <w:r>
              <w:rPr>
                <w:rFonts w:ascii="Times New Roman" w:hAnsi="Times New Roman"/>
                <w:highlight w:val="none"/>
                <w:lang w:val="en-US"/>
              </w:rPr>
              <w:t>或者无投标报价的</w:t>
            </w:r>
            <w:r>
              <w:rPr>
                <w:highlight w:val="none"/>
                <w:lang w:val="en-US"/>
              </w:rPr>
              <w:t>，</w:t>
            </w:r>
            <w:r>
              <w:rPr>
                <w:rFonts w:ascii="Times New Roman" w:hAnsi="Times New Roman"/>
                <w:highlight w:val="none"/>
                <w:lang w:val="en-US"/>
              </w:rPr>
              <w:t>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5" w:type="dxa"/>
            <w:bottom w:w="0" w:type="dxa"/>
            <w:right w:w="108" w:type="dxa"/>
          </w:tblCellMar>
        </w:tblPrEx>
        <w:trPr>
          <w:trHeight w:val="20" w:hRule="atLeast"/>
          <w:jc w:val="center"/>
        </w:trPr>
        <w:tc>
          <w:tcPr>
            <w:tcW w:w="729" w:type="dxa"/>
            <w:vAlign w:val="center"/>
          </w:tcPr>
          <w:p>
            <w:pPr>
              <w:pStyle w:val="249"/>
              <w:numPr>
                <w:ilvl w:val="0"/>
                <w:numId w:val="26"/>
              </w:numPr>
              <w:tabs>
                <w:tab w:val="left" w:pos="397"/>
              </w:tabs>
              <w:spacing w:line="320" w:lineRule="exact"/>
              <w:ind w:firstLineChars="0"/>
              <w:jc w:val="center"/>
              <w:rPr>
                <w:rFonts w:ascii="Times New Roman" w:hAnsi="Times New Roman"/>
                <w:bCs/>
                <w:highlight w:val="none"/>
              </w:rPr>
            </w:pPr>
          </w:p>
        </w:tc>
        <w:tc>
          <w:tcPr>
            <w:tcW w:w="1146" w:type="dxa"/>
            <w:vAlign w:val="center"/>
          </w:tcPr>
          <w:p>
            <w:pPr>
              <w:pStyle w:val="249"/>
              <w:spacing w:line="320" w:lineRule="exact"/>
              <w:ind w:firstLine="0" w:firstLineChars="0"/>
              <w:jc w:val="center"/>
              <w:rPr>
                <w:rFonts w:ascii="Times New Roman" w:hAnsi="Times New Roman"/>
                <w:highlight w:val="none"/>
              </w:rPr>
            </w:pPr>
          </w:p>
        </w:tc>
        <w:tc>
          <w:tcPr>
            <w:tcW w:w="1936" w:type="dxa"/>
            <w:vAlign w:val="center"/>
          </w:tcPr>
          <w:p>
            <w:pPr>
              <w:pStyle w:val="249"/>
              <w:spacing w:line="320" w:lineRule="exact"/>
              <w:ind w:firstLine="0" w:firstLineChars="0"/>
              <w:jc w:val="center"/>
              <w:rPr>
                <w:rFonts w:ascii="Times New Roman" w:hAnsi="Times New Roman"/>
                <w:highlight w:val="none"/>
              </w:rPr>
            </w:pPr>
            <w:r>
              <w:rPr>
                <w:rFonts w:ascii="Times New Roman" w:hAnsi="Times New Roman"/>
                <w:highlight w:val="none"/>
              </w:rPr>
              <w:t>是否有最高限价</w:t>
            </w:r>
          </w:p>
        </w:tc>
        <w:tc>
          <w:tcPr>
            <w:tcW w:w="5823" w:type="dxa"/>
            <w:vAlign w:val="center"/>
          </w:tcPr>
          <w:p>
            <w:pPr>
              <w:pStyle w:val="249"/>
              <w:ind w:firstLine="0" w:firstLineChars="0"/>
              <w:jc w:val="left"/>
              <w:rPr>
                <w:rFonts w:ascii="Times New Roman" w:hAnsi="Times New Roman"/>
                <w:highlight w:val="none"/>
              </w:rPr>
            </w:pPr>
            <w:r>
              <w:rPr>
                <w:rFonts w:ascii="Times New Roman" w:hAnsi="Times New Roman"/>
                <w:highlight w:val="none"/>
                <w:lang w:val="en-US"/>
              </w:rPr>
              <w:t>本项目最高</w:t>
            </w:r>
            <w:r>
              <w:rPr>
                <w:rFonts w:ascii="Times New Roman" w:hAnsi="Times New Roman"/>
                <w:highlight w:val="none"/>
              </w:rPr>
              <w:t>限价为</w:t>
            </w:r>
            <w:r>
              <w:rPr>
                <w:rFonts w:hint="eastAsia" w:ascii="Times New Roman" w:hAnsi="Times New Roman"/>
                <w:highlight w:val="none"/>
                <w:u w:val="single"/>
                <w:lang w:val="en-US"/>
              </w:rPr>
              <w:t>7</w:t>
            </w:r>
            <w:r>
              <w:rPr>
                <w:rFonts w:hint="eastAsia" w:ascii="Times New Roman" w:hAnsi="Times New Roman"/>
                <w:highlight w:val="none"/>
                <w:u w:val="single"/>
                <w:lang w:val="en-US" w:eastAsia="zh-CN"/>
              </w:rPr>
              <w:t>5</w:t>
            </w:r>
            <w:r>
              <w:rPr>
                <w:rFonts w:hint="eastAsia" w:ascii="Times New Roman" w:hAnsi="Times New Roman"/>
                <w:highlight w:val="none"/>
                <w:u w:val="single"/>
                <w:lang w:val="en-US"/>
              </w:rPr>
              <w:t>4</w:t>
            </w:r>
            <w:r>
              <w:rPr>
                <w:rFonts w:hint="eastAsia" w:ascii="Times New Roman" w:hAnsi="Times New Roman"/>
                <w:highlight w:val="none"/>
                <w:u w:val="single"/>
                <w:lang w:val="en-US" w:eastAsia="zh-CN"/>
              </w:rPr>
              <w:t>0</w:t>
            </w:r>
            <w:r>
              <w:rPr>
                <w:rFonts w:hint="eastAsia" w:ascii="Times New Roman" w:hAnsi="Times New Roman"/>
                <w:highlight w:val="none"/>
                <w:u w:val="single"/>
                <w:lang w:val="en-US"/>
              </w:rPr>
              <w:t>.3</w:t>
            </w:r>
            <w:r>
              <w:rPr>
                <w:rFonts w:hint="eastAsia" w:ascii="Times New Roman" w:hAnsi="Times New Roman"/>
                <w:highlight w:val="none"/>
                <w:u w:val="single"/>
                <w:lang w:val="en-US" w:eastAsia="zh-CN"/>
              </w:rPr>
              <w:t>9</w:t>
            </w:r>
            <w:r>
              <w:rPr>
                <w:rFonts w:hint="eastAsia" w:ascii="Times New Roman" w:hAnsi="Times New Roman"/>
                <w:highlight w:val="none"/>
                <w:u w:val="single"/>
                <w:lang w:val="en-US"/>
              </w:rPr>
              <w:t>8万元</w:t>
            </w:r>
            <w:r>
              <w:rPr>
                <w:rFonts w:ascii="Times New Roman" w:hAnsi="Times New Roman"/>
                <w:highlight w:val="none"/>
              </w:rPr>
              <w:t>；</w:t>
            </w:r>
          </w:p>
          <w:p>
            <w:pPr>
              <w:pStyle w:val="249"/>
              <w:ind w:firstLine="0" w:firstLineChars="0"/>
              <w:jc w:val="left"/>
              <w:rPr>
                <w:rFonts w:ascii="Times New Roman" w:hAnsi="Times New Roman"/>
                <w:highlight w:val="none"/>
              </w:rPr>
            </w:pPr>
            <w:r>
              <w:rPr>
                <w:rFonts w:hint="eastAsia" w:ascii="Times New Roman" w:hAnsi="Times New Roman"/>
                <w:highlight w:val="none"/>
              </w:rPr>
              <w:t>第</w:t>
            </w:r>
            <w:r>
              <w:rPr>
                <w:rFonts w:ascii="Times New Roman" w:hAnsi="Times New Roman"/>
                <w:highlight w:val="none"/>
              </w:rPr>
              <w:t>1</w:t>
            </w:r>
            <w:r>
              <w:rPr>
                <w:rFonts w:hint="eastAsia" w:ascii="Times New Roman" w:hAnsi="Times New Roman"/>
                <w:highlight w:val="none"/>
              </w:rPr>
              <w:t>包最高限价：</w:t>
            </w:r>
            <w:r>
              <w:rPr>
                <w:rFonts w:hint="eastAsia" w:ascii="Times New Roman" w:hAnsi="Times New Roman"/>
                <w:bCs/>
                <w:highlight w:val="none"/>
                <w:u w:val="single"/>
                <w:lang w:val="en-US" w:eastAsia="zh-CN"/>
              </w:rPr>
              <w:t>4949</w:t>
            </w:r>
            <w:r>
              <w:rPr>
                <w:rFonts w:ascii="Times New Roman" w:hAnsi="Times New Roman"/>
                <w:bCs/>
                <w:highlight w:val="none"/>
                <w:u w:val="single"/>
                <w:lang w:val="en-US"/>
              </w:rPr>
              <w:t>.</w:t>
            </w:r>
            <w:r>
              <w:rPr>
                <w:rFonts w:hint="eastAsia" w:ascii="Times New Roman" w:hAnsi="Times New Roman"/>
                <w:bCs/>
                <w:highlight w:val="none"/>
                <w:u w:val="single"/>
                <w:lang w:val="en-US" w:eastAsia="zh-CN"/>
              </w:rPr>
              <w:t>30</w:t>
            </w:r>
            <w:r>
              <w:rPr>
                <w:rFonts w:hint="eastAsia" w:ascii="Times New Roman" w:hAnsi="Times New Roman"/>
                <w:bCs/>
                <w:highlight w:val="none"/>
                <w:u w:val="single"/>
                <w:lang w:val="en-US"/>
              </w:rPr>
              <w:t>0万元</w:t>
            </w:r>
          </w:p>
          <w:p>
            <w:pPr>
              <w:pStyle w:val="249"/>
              <w:ind w:firstLine="0" w:firstLineChars="0"/>
              <w:jc w:val="left"/>
              <w:rPr>
                <w:rFonts w:ascii="Times New Roman" w:hAnsi="Times New Roman"/>
                <w:highlight w:val="none"/>
              </w:rPr>
            </w:pPr>
            <w:r>
              <w:rPr>
                <w:rFonts w:hint="eastAsia" w:ascii="Times New Roman" w:hAnsi="Times New Roman"/>
                <w:highlight w:val="none"/>
              </w:rPr>
              <w:t>第</w:t>
            </w:r>
            <w:r>
              <w:rPr>
                <w:rFonts w:ascii="Times New Roman" w:hAnsi="Times New Roman"/>
                <w:highlight w:val="none"/>
              </w:rPr>
              <w:t>2</w:t>
            </w:r>
            <w:r>
              <w:rPr>
                <w:rFonts w:hint="eastAsia" w:ascii="Times New Roman" w:hAnsi="Times New Roman"/>
                <w:highlight w:val="none"/>
              </w:rPr>
              <w:t>包最高限价：</w:t>
            </w:r>
            <w:r>
              <w:rPr>
                <w:rFonts w:ascii="Times New Roman" w:hAnsi="Times New Roman"/>
                <w:bCs/>
                <w:highlight w:val="none"/>
                <w:u w:val="single"/>
                <w:lang w:val="en-US"/>
              </w:rPr>
              <w:t>7</w:t>
            </w:r>
            <w:r>
              <w:rPr>
                <w:rFonts w:hint="eastAsia" w:ascii="Times New Roman" w:hAnsi="Times New Roman"/>
                <w:bCs/>
                <w:highlight w:val="none"/>
                <w:u w:val="single"/>
                <w:lang w:val="en-US" w:eastAsia="zh-CN"/>
              </w:rPr>
              <w:t>30</w:t>
            </w:r>
            <w:r>
              <w:rPr>
                <w:rFonts w:ascii="Times New Roman" w:hAnsi="Times New Roman"/>
                <w:bCs/>
                <w:highlight w:val="none"/>
                <w:u w:val="single"/>
                <w:lang w:val="en-US"/>
              </w:rPr>
              <w:t>.</w:t>
            </w:r>
            <w:r>
              <w:rPr>
                <w:rFonts w:hint="eastAsia" w:ascii="Times New Roman" w:hAnsi="Times New Roman"/>
                <w:bCs/>
                <w:highlight w:val="none"/>
                <w:u w:val="single"/>
                <w:lang w:val="en-US" w:eastAsia="zh-CN"/>
              </w:rPr>
              <w:t>62</w:t>
            </w:r>
            <w:r>
              <w:rPr>
                <w:rFonts w:hint="eastAsia" w:ascii="Times New Roman" w:hAnsi="Times New Roman"/>
                <w:bCs/>
                <w:highlight w:val="none"/>
                <w:u w:val="single"/>
                <w:lang w:val="en-US"/>
              </w:rPr>
              <w:t>0万元</w:t>
            </w:r>
          </w:p>
          <w:p>
            <w:pPr>
              <w:pStyle w:val="249"/>
              <w:ind w:firstLine="0" w:firstLineChars="0"/>
              <w:jc w:val="left"/>
              <w:rPr>
                <w:rFonts w:ascii="Times New Roman" w:hAnsi="Times New Roman"/>
                <w:highlight w:val="none"/>
              </w:rPr>
            </w:pPr>
            <w:r>
              <w:rPr>
                <w:rFonts w:hint="eastAsia" w:ascii="Times New Roman" w:hAnsi="Times New Roman"/>
                <w:highlight w:val="none"/>
              </w:rPr>
              <w:t>第</w:t>
            </w:r>
            <w:r>
              <w:rPr>
                <w:rFonts w:ascii="Times New Roman" w:hAnsi="Times New Roman"/>
                <w:highlight w:val="none"/>
              </w:rPr>
              <w:t>3</w:t>
            </w:r>
            <w:r>
              <w:rPr>
                <w:rFonts w:hint="eastAsia" w:ascii="Times New Roman" w:hAnsi="Times New Roman"/>
                <w:highlight w:val="none"/>
              </w:rPr>
              <w:t>包最高限价：</w:t>
            </w:r>
            <w:r>
              <w:rPr>
                <w:rFonts w:ascii="Times New Roman" w:hAnsi="Times New Roman"/>
                <w:highlight w:val="none"/>
                <w:u w:val="single"/>
                <w:lang w:val="en-US"/>
              </w:rPr>
              <w:t>4</w:t>
            </w:r>
            <w:r>
              <w:rPr>
                <w:rFonts w:hint="eastAsia" w:ascii="Times New Roman" w:hAnsi="Times New Roman"/>
                <w:highlight w:val="none"/>
                <w:u w:val="single"/>
                <w:lang w:val="en-US" w:eastAsia="zh-CN"/>
              </w:rPr>
              <w:t>52</w:t>
            </w:r>
            <w:r>
              <w:rPr>
                <w:rFonts w:ascii="Times New Roman" w:hAnsi="Times New Roman"/>
                <w:highlight w:val="none"/>
                <w:u w:val="single"/>
                <w:lang w:val="en-US"/>
              </w:rPr>
              <w:t>.</w:t>
            </w:r>
            <w:r>
              <w:rPr>
                <w:rFonts w:hint="eastAsia" w:ascii="Times New Roman" w:hAnsi="Times New Roman"/>
                <w:highlight w:val="none"/>
                <w:u w:val="single"/>
                <w:lang w:val="en-US" w:eastAsia="zh-CN"/>
              </w:rPr>
              <w:t>0</w:t>
            </w:r>
            <w:r>
              <w:rPr>
                <w:rFonts w:ascii="Times New Roman" w:hAnsi="Times New Roman"/>
                <w:highlight w:val="none"/>
                <w:u w:val="single"/>
                <w:lang w:val="en-US"/>
              </w:rPr>
              <w:t>4</w:t>
            </w:r>
            <w:r>
              <w:rPr>
                <w:rFonts w:hint="eastAsia" w:ascii="Times New Roman" w:hAnsi="Times New Roman"/>
                <w:highlight w:val="none"/>
                <w:u w:val="single"/>
                <w:lang w:val="en-US"/>
              </w:rPr>
              <w:t>0万元</w:t>
            </w:r>
          </w:p>
          <w:p>
            <w:pPr>
              <w:pStyle w:val="249"/>
              <w:ind w:firstLine="0" w:firstLineChars="0"/>
              <w:jc w:val="left"/>
              <w:rPr>
                <w:rFonts w:ascii="Times New Roman" w:hAnsi="Times New Roman"/>
                <w:highlight w:val="none"/>
              </w:rPr>
            </w:pPr>
            <w:r>
              <w:rPr>
                <w:rFonts w:hint="eastAsia" w:ascii="Times New Roman" w:hAnsi="Times New Roman"/>
                <w:highlight w:val="none"/>
              </w:rPr>
              <w:t>第</w:t>
            </w:r>
            <w:r>
              <w:rPr>
                <w:rFonts w:ascii="Times New Roman" w:hAnsi="Times New Roman"/>
                <w:highlight w:val="none"/>
              </w:rPr>
              <w:t>4</w:t>
            </w:r>
            <w:r>
              <w:rPr>
                <w:rFonts w:hint="eastAsia" w:ascii="Times New Roman" w:hAnsi="Times New Roman"/>
                <w:highlight w:val="none"/>
              </w:rPr>
              <w:t>包最高限价：</w:t>
            </w:r>
            <w:r>
              <w:rPr>
                <w:rFonts w:ascii="Times New Roman" w:hAnsi="Times New Roman"/>
                <w:bCs/>
                <w:highlight w:val="none"/>
                <w:u w:val="single"/>
                <w:lang w:val="en-US"/>
              </w:rPr>
              <w:t>152.96</w:t>
            </w:r>
            <w:r>
              <w:rPr>
                <w:rFonts w:hint="eastAsia" w:ascii="Times New Roman" w:hAnsi="Times New Roman"/>
                <w:bCs/>
                <w:highlight w:val="none"/>
                <w:u w:val="single"/>
                <w:lang w:val="en-US"/>
              </w:rPr>
              <w:t>0万元</w:t>
            </w:r>
          </w:p>
          <w:p>
            <w:pPr>
              <w:pStyle w:val="249"/>
              <w:ind w:firstLine="0" w:firstLineChars="0"/>
              <w:rPr>
                <w:rFonts w:ascii="Times New Roman" w:hAnsi="Times New Roman"/>
                <w:highlight w:val="none"/>
              </w:rPr>
            </w:pPr>
            <w:r>
              <w:rPr>
                <w:rFonts w:hint="eastAsia" w:ascii="Times New Roman" w:hAnsi="Times New Roman"/>
                <w:highlight w:val="none"/>
              </w:rPr>
              <w:t>第</w:t>
            </w:r>
            <w:r>
              <w:rPr>
                <w:rFonts w:ascii="Times New Roman" w:hAnsi="Times New Roman"/>
                <w:highlight w:val="none"/>
              </w:rPr>
              <w:t>5</w:t>
            </w:r>
            <w:r>
              <w:rPr>
                <w:rFonts w:hint="eastAsia" w:ascii="Times New Roman" w:hAnsi="Times New Roman"/>
                <w:highlight w:val="none"/>
              </w:rPr>
              <w:t>包最高限价：</w:t>
            </w:r>
            <w:r>
              <w:rPr>
                <w:rFonts w:ascii="Times New Roman" w:hAnsi="Times New Roman"/>
                <w:bCs/>
                <w:highlight w:val="none"/>
                <w:u w:val="single"/>
                <w:lang w:val="en-US"/>
              </w:rPr>
              <w:t>2</w:t>
            </w:r>
            <w:r>
              <w:rPr>
                <w:rFonts w:hint="eastAsia" w:ascii="Times New Roman" w:hAnsi="Times New Roman"/>
                <w:bCs/>
                <w:highlight w:val="none"/>
                <w:u w:val="single"/>
                <w:lang w:val="en-US" w:eastAsia="zh-CN"/>
              </w:rPr>
              <w:t>16</w:t>
            </w:r>
            <w:r>
              <w:rPr>
                <w:rFonts w:ascii="Times New Roman" w:hAnsi="Times New Roman"/>
                <w:bCs/>
                <w:highlight w:val="none"/>
                <w:u w:val="single"/>
                <w:lang w:val="en-US"/>
              </w:rPr>
              <w:t>.</w:t>
            </w:r>
            <w:r>
              <w:rPr>
                <w:rFonts w:hint="eastAsia" w:ascii="Times New Roman" w:hAnsi="Times New Roman"/>
                <w:bCs/>
                <w:highlight w:val="none"/>
                <w:u w:val="single"/>
                <w:lang w:val="en-US" w:eastAsia="zh-CN"/>
              </w:rPr>
              <w:t>23</w:t>
            </w:r>
            <w:r>
              <w:rPr>
                <w:rFonts w:ascii="Times New Roman" w:hAnsi="Times New Roman"/>
                <w:bCs/>
                <w:highlight w:val="none"/>
                <w:u w:val="single"/>
                <w:lang w:val="en-US"/>
              </w:rPr>
              <w:t>0</w:t>
            </w:r>
            <w:r>
              <w:rPr>
                <w:rFonts w:hint="eastAsia" w:ascii="Times New Roman" w:hAnsi="Times New Roman"/>
                <w:bCs/>
                <w:highlight w:val="none"/>
                <w:u w:val="single"/>
                <w:lang w:val="en-US"/>
              </w:rPr>
              <w:t>万元</w:t>
            </w:r>
          </w:p>
          <w:p>
            <w:pPr>
              <w:pStyle w:val="249"/>
              <w:ind w:firstLine="0" w:firstLineChars="0"/>
              <w:rPr>
                <w:rFonts w:ascii="Times New Roman" w:hAnsi="Times New Roman"/>
                <w:highlight w:val="none"/>
              </w:rPr>
            </w:pPr>
            <w:r>
              <w:rPr>
                <w:rFonts w:hint="eastAsia" w:ascii="Times New Roman" w:hAnsi="Times New Roman"/>
                <w:highlight w:val="none"/>
              </w:rPr>
              <w:t>第</w:t>
            </w:r>
            <w:r>
              <w:rPr>
                <w:rFonts w:ascii="Times New Roman" w:hAnsi="Times New Roman"/>
                <w:highlight w:val="none"/>
              </w:rPr>
              <w:t>6</w:t>
            </w:r>
            <w:r>
              <w:rPr>
                <w:rFonts w:hint="eastAsia" w:ascii="Times New Roman" w:hAnsi="Times New Roman"/>
                <w:highlight w:val="none"/>
              </w:rPr>
              <w:t>包最高限价：</w:t>
            </w:r>
            <w:r>
              <w:rPr>
                <w:rFonts w:ascii="Times New Roman" w:hAnsi="Times New Roman"/>
                <w:bCs/>
                <w:highlight w:val="none"/>
                <w:u w:val="single"/>
                <w:lang w:val="en-US"/>
              </w:rPr>
              <w:t>143.888</w:t>
            </w:r>
            <w:r>
              <w:rPr>
                <w:rFonts w:hint="eastAsia" w:ascii="Times New Roman" w:hAnsi="Times New Roman"/>
                <w:bCs/>
                <w:highlight w:val="none"/>
                <w:u w:val="single"/>
                <w:lang w:val="en-US"/>
              </w:rPr>
              <w:t>万元</w:t>
            </w:r>
          </w:p>
          <w:p>
            <w:pPr>
              <w:pStyle w:val="249"/>
              <w:ind w:firstLine="0" w:firstLineChars="0"/>
              <w:rPr>
                <w:rFonts w:ascii="Times New Roman" w:hAnsi="Times New Roman"/>
                <w:highlight w:val="none"/>
              </w:rPr>
            </w:pPr>
            <w:r>
              <w:rPr>
                <w:rFonts w:hint="eastAsia" w:ascii="Times New Roman" w:hAnsi="Times New Roman"/>
                <w:highlight w:val="none"/>
              </w:rPr>
              <w:t>第</w:t>
            </w:r>
            <w:r>
              <w:rPr>
                <w:rFonts w:ascii="Times New Roman" w:hAnsi="Times New Roman"/>
                <w:highlight w:val="none"/>
              </w:rPr>
              <w:t>7</w:t>
            </w:r>
            <w:r>
              <w:rPr>
                <w:rFonts w:hint="eastAsia" w:ascii="Times New Roman" w:hAnsi="Times New Roman"/>
                <w:highlight w:val="none"/>
              </w:rPr>
              <w:t>包最高限价：</w:t>
            </w:r>
            <w:r>
              <w:rPr>
                <w:rFonts w:hint="eastAsia" w:ascii="Times New Roman" w:hAnsi="Times New Roman"/>
                <w:bCs/>
                <w:highlight w:val="none"/>
                <w:u w:val="single"/>
                <w:lang w:val="en-US" w:eastAsia="zh-CN"/>
              </w:rPr>
              <w:t>95.360万</w:t>
            </w:r>
            <w:r>
              <w:rPr>
                <w:rFonts w:hint="eastAsia" w:ascii="Times New Roman" w:hAnsi="Times New Roman"/>
                <w:bCs/>
                <w:highlight w:val="none"/>
                <w:u w:val="single"/>
                <w:lang w:val="en-US"/>
              </w:rPr>
              <w:t>元</w:t>
            </w:r>
          </w:p>
          <w:p>
            <w:pPr>
              <w:pStyle w:val="249"/>
              <w:ind w:firstLine="0" w:firstLineChars="0"/>
              <w:rPr>
                <w:rFonts w:ascii="Times New Roman" w:hAnsi="Times New Roman"/>
                <w:highlight w:val="none"/>
              </w:rPr>
            </w:pPr>
            <w:r>
              <w:rPr>
                <w:rFonts w:hint="eastAsia" w:ascii="Times New Roman" w:hAnsi="Times New Roman"/>
                <w:highlight w:val="none"/>
              </w:rPr>
              <w:t>第</w:t>
            </w:r>
            <w:r>
              <w:rPr>
                <w:rFonts w:ascii="Times New Roman" w:hAnsi="Times New Roman"/>
                <w:highlight w:val="none"/>
              </w:rPr>
              <w:t>8</w:t>
            </w:r>
            <w:r>
              <w:rPr>
                <w:rFonts w:hint="eastAsia" w:ascii="Times New Roman" w:hAnsi="Times New Roman"/>
                <w:highlight w:val="none"/>
              </w:rPr>
              <w:t>包最高限价：</w:t>
            </w:r>
            <w:r>
              <w:rPr>
                <w:rFonts w:ascii="Times New Roman" w:hAnsi="Times New Roman"/>
                <w:bCs/>
                <w:highlight w:val="none"/>
                <w:u w:val="single"/>
                <w:lang w:val="en-US"/>
              </w:rPr>
              <w:t>4</w:t>
            </w:r>
            <w:r>
              <w:rPr>
                <w:rFonts w:hint="eastAsia" w:ascii="Times New Roman" w:hAnsi="Times New Roman"/>
                <w:bCs/>
                <w:highlight w:val="none"/>
                <w:u w:val="single"/>
                <w:lang w:val="en-US" w:eastAsia="zh-CN"/>
              </w:rPr>
              <w:t>4</w:t>
            </w:r>
            <w:r>
              <w:rPr>
                <w:rFonts w:ascii="Times New Roman" w:hAnsi="Times New Roman"/>
                <w:bCs/>
                <w:highlight w:val="none"/>
                <w:u w:val="single"/>
                <w:lang w:val="en-US"/>
              </w:rPr>
              <w:t>0.000</w:t>
            </w:r>
            <w:r>
              <w:rPr>
                <w:rFonts w:hint="eastAsia" w:ascii="Times New Roman" w:hAnsi="Times New Roman"/>
                <w:bCs/>
                <w:highlight w:val="none"/>
                <w:u w:val="single"/>
                <w:lang w:val="en-US"/>
              </w:rPr>
              <w:t>万元</w:t>
            </w:r>
          </w:p>
          <w:p>
            <w:pPr>
              <w:pStyle w:val="249"/>
              <w:ind w:firstLine="0" w:firstLineChars="0"/>
              <w:rPr>
                <w:rFonts w:ascii="Times New Roman" w:hAnsi="Times New Roman"/>
                <w:highlight w:val="none"/>
              </w:rPr>
            </w:pPr>
            <w:r>
              <w:rPr>
                <w:rFonts w:hint="eastAsia" w:ascii="Times New Roman" w:hAnsi="Times New Roman"/>
                <w:highlight w:val="none"/>
              </w:rPr>
              <w:t>第</w:t>
            </w:r>
            <w:r>
              <w:rPr>
                <w:rFonts w:ascii="Times New Roman" w:hAnsi="Times New Roman"/>
                <w:highlight w:val="none"/>
              </w:rPr>
              <w:t>9</w:t>
            </w:r>
            <w:r>
              <w:rPr>
                <w:rFonts w:hint="eastAsia" w:ascii="Times New Roman" w:hAnsi="Times New Roman"/>
                <w:highlight w:val="none"/>
              </w:rPr>
              <w:t>包最高限价：</w:t>
            </w:r>
            <w:r>
              <w:rPr>
                <w:rFonts w:ascii="Times New Roman" w:hAnsi="Times New Roman"/>
                <w:bCs/>
                <w:highlight w:val="none"/>
                <w:u w:val="single"/>
                <w:lang w:val="en-US"/>
              </w:rPr>
              <w:t>120.000</w:t>
            </w:r>
            <w:r>
              <w:rPr>
                <w:rFonts w:hint="eastAsia" w:ascii="Times New Roman" w:hAnsi="Times New Roman"/>
                <w:bCs/>
                <w:highlight w:val="none"/>
                <w:u w:val="single"/>
                <w:lang w:val="en-US"/>
              </w:rPr>
              <w:t>万元</w:t>
            </w:r>
          </w:p>
          <w:p>
            <w:pPr>
              <w:pStyle w:val="249"/>
              <w:ind w:firstLine="0" w:firstLineChars="0"/>
              <w:rPr>
                <w:rFonts w:ascii="Times New Roman" w:hAnsi="Times New Roman"/>
                <w:highlight w:val="none"/>
              </w:rPr>
            </w:pPr>
            <w:r>
              <w:rPr>
                <w:rFonts w:hint="eastAsia" w:ascii="Times New Roman" w:hAnsi="Times New Roman"/>
                <w:highlight w:val="none"/>
              </w:rPr>
              <w:t>第</w:t>
            </w:r>
            <w:r>
              <w:rPr>
                <w:rFonts w:ascii="Times New Roman" w:hAnsi="Times New Roman"/>
                <w:highlight w:val="none"/>
              </w:rPr>
              <w:t>10</w:t>
            </w:r>
            <w:r>
              <w:rPr>
                <w:rFonts w:hint="eastAsia" w:ascii="Times New Roman" w:hAnsi="Times New Roman"/>
                <w:highlight w:val="none"/>
              </w:rPr>
              <w:t>包最高限价：</w:t>
            </w:r>
            <w:r>
              <w:rPr>
                <w:rFonts w:ascii="Times New Roman" w:hAnsi="Times New Roman"/>
                <w:bCs/>
                <w:highlight w:val="none"/>
                <w:u w:val="single"/>
                <w:lang w:val="en-US"/>
              </w:rPr>
              <w:t>120.000</w:t>
            </w:r>
            <w:r>
              <w:rPr>
                <w:rFonts w:hint="eastAsia" w:ascii="Times New Roman" w:hAnsi="Times New Roman"/>
                <w:bCs/>
                <w:highlight w:val="none"/>
                <w:u w:val="single"/>
                <w:lang w:val="en-US"/>
              </w:rPr>
              <w:t>万元</w:t>
            </w:r>
          </w:p>
          <w:p>
            <w:pPr>
              <w:pStyle w:val="249"/>
              <w:ind w:firstLine="0" w:firstLineChars="0"/>
              <w:rPr>
                <w:rFonts w:ascii="Times New Roman" w:hAnsi="Times New Roman"/>
                <w:highlight w:val="none"/>
              </w:rPr>
            </w:pPr>
            <w:r>
              <w:rPr>
                <w:rFonts w:hint="eastAsia" w:ascii="Times New Roman" w:hAnsi="Times New Roman"/>
                <w:highlight w:val="none"/>
              </w:rPr>
              <w:t>第</w:t>
            </w:r>
            <w:r>
              <w:rPr>
                <w:rFonts w:ascii="Times New Roman" w:hAnsi="Times New Roman"/>
                <w:highlight w:val="none"/>
              </w:rPr>
              <w:t>11</w:t>
            </w:r>
            <w:r>
              <w:rPr>
                <w:rFonts w:hint="eastAsia" w:ascii="Times New Roman" w:hAnsi="Times New Roman"/>
                <w:highlight w:val="none"/>
              </w:rPr>
              <w:t>包最高限价：</w:t>
            </w:r>
            <w:r>
              <w:rPr>
                <w:rFonts w:ascii="Times New Roman" w:hAnsi="Times New Roman"/>
                <w:bCs/>
                <w:highlight w:val="none"/>
                <w:u w:val="single"/>
                <w:lang w:val="en-US"/>
              </w:rPr>
              <w:t>120.000</w:t>
            </w:r>
            <w:r>
              <w:rPr>
                <w:rFonts w:hint="eastAsia" w:ascii="Times New Roman" w:hAnsi="Times New Roman"/>
                <w:bCs/>
                <w:highlight w:val="none"/>
                <w:u w:val="single"/>
                <w:lang w:val="en-US"/>
              </w:rPr>
              <w:t>万元</w:t>
            </w:r>
          </w:p>
          <w:p>
            <w:pPr>
              <w:pStyle w:val="249"/>
              <w:ind w:firstLine="0" w:firstLineChars="0"/>
              <w:jc w:val="left"/>
              <w:rPr>
                <w:rFonts w:ascii="Times New Roman" w:hAnsi="Times New Roman"/>
                <w:highlight w:val="none"/>
              </w:rPr>
            </w:pPr>
            <w:r>
              <w:rPr>
                <w:rFonts w:ascii="Times New Roman" w:hAnsi="Times New Roman"/>
                <w:highlight w:val="none"/>
              </w:rPr>
              <w:t>*投标人应有明确报价</w:t>
            </w:r>
            <w:r>
              <w:rPr>
                <w:highlight w:val="none"/>
              </w:rPr>
              <w:t>，</w:t>
            </w:r>
            <w:r>
              <w:rPr>
                <w:rFonts w:ascii="Times New Roman" w:hAnsi="Times New Roman"/>
                <w:highlight w:val="none"/>
              </w:rPr>
              <w:t>超过最高限价或分包最高限价</w:t>
            </w:r>
            <w:r>
              <w:rPr>
                <w:highlight w:val="none"/>
              </w:rPr>
              <w:t>，</w:t>
            </w:r>
            <w:r>
              <w:rPr>
                <w:rFonts w:ascii="Times New Roman" w:hAnsi="Times New Roman"/>
                <w:highlight w:val="none"/>
              </w:rPr>
              <w:t>或者无投标报价的</w:t>
            </w:r>
            <w:r>
              <w:rPr>
                <w:highlight w:val="none"/>
              </w:rPr>
              <w:t>，</w:t>
            </w:r>
            <w:r>
              <w:rPr>
                <w:rFonts w:ascii="Times New Roman" w:hAnsi="Times New Roman"/>
                <w:highlight w:val="none"/>
              </w:rPr>
              <w:t>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5" w:type="dxa"/>
            <w:bottom w:w="0" w:type="dxa"/>
            <w:right w:w="108" w:type="dxa"/>
          </w:tblCellMar>
        </w:tblPrEx>
        <w:trPr>
          <w:trHeight w:val="20" w:hRule="atLeast"/>
          <w:jc w:val="center"/>
        </w:trPr>
        <w:tc>
          <w:tcPr>
            <w:tcW w:w="729" w:type="dxa"/>
            <w:vAlign w:val="center"/>
          </w:tcPr>
          <w:p>
            <w:pPr>
              <w:pStyle w:val="249"/>
              <w:numPr>
                <w:ilvl w:val="0"/>
                <w:numId w:val="26"/>
              </w:numPr>
              <w:tabs>
                <w:tab w:val="left" w:pos="397"/>
              </w:tabs>
              <w:spacing w:line="320" w:lineRule="exact"/>
              <w:ind w:firstLineChars="0"/>
              <w:jc w:val="center"/>
              <w:rPr>
                <w:rFonts w:ascii="Times New Roman" w:hAnsi="Times New Roman"/>
                <w:bCs/>
                <w:highlight w:val="none"/>
              </w:rPr>
            </w:pPr>
          </w:p>
        </w:tc>
        <w:tc>
          <w:tcPr>
            <w:tcW w:w="1146" w:type="dxa"/>
            <w:vAlign w:val="center"/>
          </w:tcPr>
          <w:p>
            <w:pPr>
              <w:pStyle w:val="249"/>
              <w:spacing w:line="320" w:lineRule="exact"/>
              <w:ind w:firstLine="0" w:firstLineChars="0"/>
              <w:jc w:val="center"/>
              <w:rPr>
                <w:rFonts w:ascii="Times New Roman" w:hAnsi="Times New Roman"/>
                <w:highlight w:val="none"/>
                <w:lang w:val="en-US"/>
              </w:rPr>
            </w:pPr>
            <w:r>
              <w:rPr>
                <w:rFonts w:ascii="Times New Roman" w:hAnsi="Times New Roman" w:eastAsia="Times New Roman"/>
                <w:highlight w:val="none"/>
                <w:lang w:val="en-US"/>
              </w:rPr>
              <w:t>3</w:t>
            </w:r>
            <w:r>
              <w:rPr>
                <w:rFonts w:ascii="Times New Roman" w:hAnsi="Times New Roman"/>
                <w:highlight w:val="none"/>
                <w:lang w:val="en-US"/>
              </w:rPr>
              <w:t>.</w:t>
            </w:r>
            <w:r>
              <w:rPr>
                <w:rFonts w:ascii="Times New Roman" w:hAnsi="Times New Roman" w:eastAsia="Times New Roman"/>
                <w:highlight w:val="none"/>
                <w:lang w:val="en-US"/>
              </w:rPr>
              <w:t>1</w:t>
            </w:r>
            <w:r>
              <w:rPr>
                <w:rFonts w:ascii="Times New Roman" w:hAnsi="Times New Roman"/>
                <w:highlight w:val="none"/>
                <w:lang w:val="en-US"/>
              </w:rPr>
              <w:t>.</w:t>
            </w:r>
            <w:r>
              <w:rPr>
                <w:rFonts w:ascii="Times New Roman" w:hAnsi="Times New Roman" w:eastAsia="Times New Roman"/>
                <w:highlight w:val="none"/>
                <w:lang w:val="en-US"/>
              </w:rPr>
              <w:t>3</w:t>
            </w:r>
          </w:p>
        </w:tc>
        <w:tc>
          <w:tcPr>
            <w:tcW w:w="1936" w:type="dxa"/>
            <w:vAlign w:val="center"/>
          </w:tcPr>
          <w:p>
            <w:pPr>
              <w:pStyle w:val="249"/>
              <w:spacing w:line="320" w:lineRule="exact"/>
              <w:ind w:firstLine="0" w:firstLineChars="0"/>
              <w:jc w:val="center"/>
              <w:rPr>
                <w:rFonts w:ascii="Times New Roman" w:hAnsi="Times New Roman"/>
                <w:highlight w:val="none"/>
              </w:rPr>
            </w:pPr>
            <w:r>
              <w:rPr>
                <w:rFonts w:ascii="Times New Roman" w:hAnsi="Times New Roman"/>
                <w:highlight w:val="none"/>
              </w:rPr>
              <w:t>投标人应具备的特殊要求</w:t>
            </w:r>
          </w:p>
        </w:tc>
        <w:tc>
          <w:tcPr>
            <w:tcW w:w="5823" w:type="dxa"/>
            <w:vAlign w:val="center"/>
          </w:tcPr>
          <w:p>
            <w:pPr>
              <w:pStyle w:val="249"/>
              <w:ind w:firstLine="0" w:firstLineChars="0"/>
              <w:jc w:val="left"/>
              <w:rPr>
                <w:rFonts w:ascii="Times New Roman" w:hAnsi="Times New Roman"/>
                <w:highlight w:val="none"/>
                <w:lang w:val="en-US"/>
              </w:rPr>
            </w:pPr>
            <w:r>
              <w:rPr>
                <w:rFonts w:hint="eastAsia" w:ascii="Times New Roman" w:hAnsi="Times New Roman"/>
                <w:highlight w:val="none"/>
                <w:lang w:val="en-US"/>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5" w:type="dxa"/>
            <w:bottom w:w="0" w:type="dxa"/>
            <w:right w:w="108" w:type="dxa"/>
          </w:tblCellMar>
        </w:tblPrEx>
        <w:trPr>
          <w:trHeight w:val="20" w:hRule="atLeast"/>
          <w:jc w:val="center"/>
        </w:trPr>
        <w:tc>
          <w:tcPr>
            <w:tcW w:w="729" w:type="dxa"/>
            <w:vAlign w:val="center"/>
          </w:tcPr>
          <w:p>
            <w:pPr>
              <w:pStyle w:val="249"/>
              <w:numPr>
                <w:ilvl w:val="0"/>
                <w:numId w:val="26"/>
              </w:numPr>
              <w:tabs>
                <w:tab w:val="left" w:pos="397"/>
              </w:tabs>
              <w:spacing w:line="320" w:lineRule="exact"/>
              <w:ind w:firstLineChars="0"/>
              <w:jc w:val="center"/>
              <w:rPr>
                <w:rFonts w:ascii="Times New Roman" w:hAnsi="Times New Roman"/>
                <w:bCs/>
                <w:highlight w:val="none"/>
              </w:rPr>
            </w:pPr>
          </w:p>
        </w:tc>
        <w:tc>
          <w:tcPr>
            <w:tcW w:w="1146" w:type="dxa"/>
            <w:vAlign w:val="center"/>
          </w:tcPr>
          <w:p>
            <w:pPr>
              <w:pStyle w:val="249"/>
              <w:spacing w:line="320" w:lineRule="exact"/>
              <w:ind w:firstLine="0" w:firstLineChars="0"/>
              <w:jc w:val="center"/>
              <w:rPr>
                <w:rFonts w:ascii="Times New Roman" w:hAnsi="Times New Roman"/>
                <w:highlight w:val="none"/>
              </w:rPr>
            </w:pPr>
          </w:p>
        </w:tc>
        <w:tc>
          <w:tcPr>
            <w:tcW w:w="1936" w:type="dxa"/>
            <w:vAlign w:val="center"/>
          </w:tcPr>
          <w:p>
            <w:pPr>
              <w:pStyle w:val="249"/>
              <w:spacing w:line="320" w:lineRule="exact"/>
              <w:ind w:firstLine="0" w:firstLineChars="0"/>
              <w:jc w:val="center"/>
              <w:rPr>
                <w:rFonts w:ascii="Times New Roman" w:hAnsi="Times New Roman"/>
                <w:highlight w:val="none"/>
              </w:rPr>
            </w:pPr>
            <w:r>
              <w:rPr>
                <w:rFonts w:ascii="Times New Roman" w:hAnsi="Times New Roman"/>
                <w:highlight w:val="none"/>
              </w:rPr>
              <w:t>投标产品应具备的资质要求</w:t>
            </w:r>
          </w:p>
        </w:tc>
        <w:tc>
          <w:tcPr>
            <w:tcW w:w="5823" w:type="dxa"/>
            <w:vAlign w:val="center"/>
          </w:tcPr>
          <w:p>
            <w:pPr>
              <w:tabs>
                <w:tab w:val="left" w:pos="3460"/>
              </w:tabs>
              <w:rPr>
                <w:highlight w:val="none"/>
                <w:lang w:val="en-US"/>
              </w:rPr>
            </w:pPr>
            <w:r>
              <w:rPr>
                <w:rFonts w:hint="eastAsia" w:ascii="宋体" w:hAnsi="宋体" w:eastAsia="宋体" w:cs="宋体"/>
                <w:color w:val="000000" w:themeColor="text1"/>
                <w:szCs w:val="21"/>
                <w:highlight w:val="none"/>
                <w:lang w:val="en-US"/>
                <w14:textFill>
                  <w14:solidFill>
                    <w14:schemeClr w14:val="tx1"/>
                  </w14:solidFill>
                </w14:textFill>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5" w:type="dxa"/>
            <w:bottom w:w="0" w:type="dxa"/>
            <w:right w:w="108" w:type="dxa"/>
          </w:tblCellMar>
        </w:tblPrEx>
        <w:trPr>
          <w:trHeight w:val="20" w:hRule="atLeast"/>
          <w:jc w:val="center"/>
        </w:trPr>
        <w:tc>
          <w:tcPr>
            <w:tcW w:w="729" w:type="dxa"/>
            <w:vAlign w:val="center"/>
          </w:tcPr>
          <w:p>
            <w:pPr>
              <w:pStyle w:val="249"/>
              <w:numPr>
                <w:ilvl w:val="0"/>
                <w:numId w:val="26"/>
              </w:numPr>
              <w:tabs>
                <w:tab w:val="left" w:pos="397"/>
              </w:tabs>
              <w:spacing w:line="320" w:lineRule="exact"/>
              <w:ind w:firstLineChars="0"/>
              <w:jc w:val="center"/>
              <w:rPr>
                <w:rFonts w:ascii="Times New Roman" w:hAnsi="Times New Roman"/>
                <w:bCs/>
                <w:highlight w:val="none"/>
              </w:rPr>
            </w:pPr>
          </w:p>
        </w:tc>
        <w:tc>
          <w:tcPr>
            <w:tcW w:w="1146" w:type="dxa"/>
            <w:vAlign w:val="center"/>
          </w:tcPr>
          <w:p>
            <w:pPr>
              <w:pStyle w:val="249"/>
              <w:spacing w:line="320" w:lineRule="exact"/>
              <w:ind w:firstLine="0" w:firstLineChars="0"/>
              <w:jc w:val="center"/>
              <w:rPr>
                <w:rFonts w:ascii="Times New Roman" w:hAnsi="Times New Roman"/>
                <w:bCs/>
                <w:highlight w:val="none"/>
              </w:rPr>
            </w:pPr>
          </w:p>
        </w:tc>
        <w:tc>
          <w:tcPr>
            <w:tcW w:w="1936" w:type="dxa"/>
            <w:vAlign w:val="center"/>
          </w:tcPr>
          <w:p>
            <w:pPr>
              <w:pStyle w:val="249"/>
              <w:spacing w:line="320" w:lineRule="exact"/>
              <w:ind w:firstLine="0" w:firstLineChars="0"/>
              <w:jc w:val="center"/>
              <w:rPr>
                <w:rFonts w:ascii="Times New Roman" w:hAnsi="Times New Roman"/>
                <w:highlight w:val="none"/>
              </w:rPr>
            </w:pPr>
            <w:r>
              <w:rPr>
                <w:rFonts w:ascii="Times New Roman" w:hAnsi="Times New Roman"/>
                <w:highlight w:val="none"/>
              </w:rPr>
              <w:t>核心产品</w:t>
            </w:r>
          </w:p>
        </w:tc>
        <w:tc>
          <w:tcPr>
            <w:tcW w:w="5823" w:type="dxa"/>
            <w:vAlign w:val="center"/>
          </w:tcPr>
          <w:p>
            <w:pPr>
              <w:pStyle w:val="249"/>
              <w:ind w:firstLine="0" w:firstLineChars="0"/>
              <w:jc w:val="left"/>
              <w:rPr>
                <w:rFonts w:ascii="Times New Roman" w:hAnsi="Times New Roman"/>
                <w:highlight w:val="none"/>
              </w:rPr>
            </w:pPr>
            <w:r>
              <w:rPr>
                <w:rFonts w:hint="eastAsia" w:ascii="Times New Roman" w:hAnsi="Times New Roman"/>
                <w:highlight w:val="none"/>
              </w:rPr>
              <w:t>第</w:t>
            </w:r>
            <w:r>
              <w:rPr>
                <w:rFonts w:ascii="Times New Roman" w:hAnsi="Times New Roman"/>
                <w:highlight w:val="none"/>
              </w:rPr>
              <w:t>1</w:t>
            </w:r>
            <w:r>
              <w:rPr>
                <w:rFonts w:hint="eastAsia" w:ascii="Times New Roman" w:hAnsi="Times New Roman"/>
                <w:highlight w:val="none"/>
              </w:rPr>
              <w:t>包：</w:t>
            </w:r>
            <w:r>
              <w:rPr>
                <w:rFonts w:ascii="Times New Roman" w:hAnsi="Times New Roman"/>
                <w:color w:val="000000"/>
                <w:kern w:val="0"/>
                <w:highlight w:val="none"/>
                <w:lang w:val="en-US" w:bidi="ar"/>
              </w:rPr>
              <w:t>手机取证塔Ⅰ</w:t>
            </w:r>
          </w:p>
          <w:p>
            <w:pPr>
              <w:pStyle w:val="249"/>
              <w:ind w:firstLine="0" w:firstLineChars="0"/>
              <w:jc w:val="left"/>
              <w:rPr>
                <w:rFonts w:ascii="Times New Roman" w:hAnsi="Times New Roman"/>
                <w:highlight w:val="none"/>
              </w:rPr>
            </w:pPr>
            <w:r>
              <w:rPr>
                <w:rFonts w:hint="eastAsia" w:ascii="Times New Roman" w:hAnsi="Times New Roman"/>
                <w:highlight w:val="none"/>
              </w:rPr>
              <w:t>第</w:t>
            </w:r>
            <w:r>
              <w:rPr>
                <w:rFonts w:ascii="Times New Roman" w:hAnsi="Times New Roman"/>
                <w:highlight w:val="none"/>
              </w:rPr>
              <w:t>2</w:t>
            </w:r>
            <w:r>
              <w:rPr>
                <w:rFonts w:hint="eastAsia" w:ascii="Times New Roman" w:hAnsi="Times New Roman"/>
                <w:highlight w:val="none"/>
              </w:rPr>
              <w:t>包：</w:t>
            </w:r>
            <w:r>
              <w:rPr>
                <w:rFonts w:ascii="Times New Roman" w:hAnsi="Times New Roman"/>
                <w:color w:val="000000"/>
                <w:kern w:val="0"/>
                <w:highlight w:val="none"/>
                <w:lang w:val="en-US" w:bidi="ar"/>
              </w:rPr>
              <w:t>手机取证塔Ⅱ</w:t>
            </w:r>
            <w:r>
              <w:rPr>
                <w:rFonts w:ascii="Times New Roman" w:hAnsi="Times New Roman"/>
                <w:highlight w:val="none"/>
              </w:rPr>
              <w:t xml:space="preserve"> </w:t>
            </w:r>
          </w:p>
          <w:p>
            <w:pPr>
              <w:pStyle w:val="249"/>
              <w:ind w:firstLine="0" w:firstLineChars="0"/>
              <w:jc w:val="left"/>
              <w:rPr>
                <w:rFonts w:ascii="Times New Roman" w:hAnsi="Times New Roman"/>
                <w:highlight w:val="none"/>
              </w:rPr>
            </w:pPr>
            <w:r>
              <w:rPr>
                <w:rFonts w:hint="eastAsia" w:ascii="Times New Roman" w:hAnsi="Times New Roman"/>
                <w:highlight w:val="none"/>
              </w:rPr>
              <w:t>第</w:t>
            </w:r>
            <w:r>
              <w:rPr>
                <w:rFonts w:ascii="Times New Roman" w:hAnsi="Times New Roman"/>
                <w:highlight w:val="none"/>
              </w:rPr>
              <w:t>3</w:t>
            </w:r>
            <w:r>
              <w:rPr>
                <w:rFonts w:hint="eastAsia" w:ascii="Times New Roman" w:hAnsi="Times New Roman"/>
                <w:highlight w:val="none"/>
              </w:rPr>
              <w:t>包：</w:t>
            </w:r>
            <w:r>
              <w:rPr>
                <w:rFonts w:ascii="Times New Roman" w:hAnsi="Times New Roman"/>
                <w:color w:val="000000"/>
                <w:kern w:val="0"/>
                <w:highlight w:val="none"/>
                <w:lang w:val="en-US" w:bidi="ar"/>
              </w:rPr>
              <w:t>手机取证塔Ⅲ</w:t>
            </w:r>
            <w:r>
              <w:rPr>
                <w:rFonts w:ascii="Times New Roman" w:hAnsi="Times New Roman"/>
                <w:highlight w:val="none"/>
              </w:rPr>
              <w:t xml:space="preserve"> </w:t>
            </w:r>
          </w:p>
          <w:p>
            <w:pPr>
              <w:pStyle w:val="249"/>
              <w:ind w:firstLine="0" w:firstLineChars="0"/>
              <w:jc w:val="left"/>
              <w:rPr>
                <w:rFonts w:ascii="Times New Roman" w:hAnsi="Times New Roman"/>
                <w:highlight w:val="none"/>
              </w:rPr>
            </w:pPr>
            <w:r>
              <w:rPr>
                <w:rFonts w:hint="eastAsia" w:ascii="Times New Roman" w:hAnsi="Times New Roman"/>
                <w:highlight w:val="none"/>
              </w:rPr>
              <w:t>第</w:t>
            </w:r>
            <w:r>
              <w:rPr>
                <w:rFonts w:ascii="Times New Roman" w:hAnsi="Times New Roman"/>
                <w:highlight w:val="none"/>
              </w:rPr>
              <w:t>4</w:t>
            </w:r>
            <w:r>
              <w:rPr>
                <w:rFonts w:hint="eastAsia" w:ascii="Times New Roman" w:hAnsi="Times New Roman"/>
                <w:highlight w:val="none"/>
              </w:rPr>
              <w:t>包：</w:t>
            </w:r>
            <w:r>
              <w:rPr>
                <w:rFonts w:ascii="Times New Roman" w:hAnsi="Times New Roman"/>
                <w:color w:val="000000"/>
                <w:kern w:val="0"/>
                <w:highlight w:val="none"/>
                <w:lang w:val="en-US" w:bidi="ar"/>
              </w:rPr>
              <w:t>一体化电子取证工作站Ⅱ</w:t>
            </w:r>
            <w:r>
              <w:rPr>
                <w:rFonts w:ascii="Times New Roman" w:hAnsi="Times New Roman"/>
                <w:highlight w:val="none"/>
              </w:rPr>
              <w:t xml:space="preserve"> </w:t>
            </w:r>
          </w:p>
          <w:p>
            <w:pPr>
              <w:pStyle w:val="249"/>
              <w:ind w:firstLine="0" w:firstLineChars="0"/>
              <w:rPr>
                <w:rFonts w:ascii="Times New Roman" w:hAnsi="Times New Roman"/>
                <w:highlight w:val="none"/>
              </w:rPr>
            </w:pPr>
            <w:r>
              <w:rPr>
                <w:rFonts w:hint="eastAsia" w:ascii="Times New Roman" w:hAnsi="Times New Roman"/>
                <w:highlight w:val="none"/>
              </w:rPr>
              <w:t>第</w:t>
            </w:r>
            <w:r>
              <w:rPr>
                <w:rFonts w:ascii="Times New Roman" w:hAnsi="Times New Roman"/>
                <w:highlight w:val="none"/>
              </w:rPr>
              <w:t>5</w:t>
            </w:r>
            <w:r>
              <w:rPr>
                <w:rFonts w:hint="eastAsia" w:ascii="Times New Roman" w:hAnsi="Times New Roman"/>
                <w:highlight w:val="none"/>
              </w:rPr>
              <w:t>包：</w:t>
            </w:r>
            <w:r>
              <w:rPr>
                <w:rFonts w:ascii="Times New Roman" w:hAnsi="Times New Roman"/>
                <w:color w:val="000000"/>
                <w:kern w:val="0"/>
                <w:highlight w:val="none"/>
                <w:lang w:val="en-US" w:bidi="ar"/>
              </w:rPr>
              <w:t>手机取证塔Ⅴ</w:t>
            </w:r>
          </w:p>
          <w:p>
            <w:pPr>
              <w:pStyle w:val="249"/>
              <w:ind w:firstLine="0" w:firstLineChars="0"/>
              <w:rPr>
                <w:rFonts w:ascii="Times New Roman" w:hAnsi="Times New Roman"/>
                <w:highlight w:val="none"/>
              </w:rPr>
            </w:pPr>
            <w:r>
              <w:rPr>
                <w:rFonts w:hint="eastAsia" w:ascii="Times New Roman" w:hAnsi="Times New Roman"/>
                <w:highlight w:val="none"/>
              </w:rPr>
              <w:t>第</w:t>
            </w:r>
            <w:r>
              <w:rPr>
                <w:rFonts w:ascii="Times New Roman" w:hAnsi="Times New Roman"/>
                <w:highlight w:val="none"/>
              </w:rPr>
              <w:t>6</w:t>
            </w:r>
            <w:r>
              <w:rPr>
                <w:rFonts w:hint="eastAsia" w:ascii="Times New Roman" w:hAnsi="Times New Roman"/>
                <w:highlight w:val="none"/>
              </w:rPr>
              <w:t>包：</w:t>
            </w:r>
            <w:r>
              <w:rPr>
                <w:rFonts w:ascii="Times New Roman" w:hAnsi="Times New Roman"/>
                <w:color w:val="000000"/>
                <w:kern w:val="0"/>
                <w:highlight w:val="none"/>
                <w:lang w:val="en-US" w:bidi="ar"/>
              </w:rPr>
              <w:t>手机密码破解设备Ⅱ</w:t>
            </w:r>
            <w:r>
              <w:rPr>
                <w:rFonts w:ascii="Times New Roman" w:hAnsi="Times New Roman"/>
                <w:highlight w:val="none"/>
              </w:rPr>
              <w:t xml:space="preserve"> </w:t>
            </w:r>
          </w:p>
          <w:p>
            <w:pPr>
              <w:pStyle w:val="249"/>
              <w:ind w:firstLine="0" w:firstLineChars="0"/>
              <w:rPr>
                <w:rFonts w:ascii="Times New Roman" w:hAnsi="Times New Roman"/>
                <w:highlight w:val="none"/>
              </w:rPr>
            </w:pPr>
            <w:r>
              <w:rPr>
                <w:rFonts w:hint="eastAsia" w:ascii="Times New Roman" w:hAnsi="Times New Roman"/>
                <w:highlight w:val="none"/>
              </w:rPr>
              <w:t>第</w:t>
            </w:r>
            <w:r>
              <w:rPr>
                <w:rFonts w:ascii="Times New Roman" w:hAnsi="Times New Roman"/>
                <w:highlight w:val="none"/>
              </w:rPr>
              <w:t>7</w:t>
            </w:r>
            <w:r>
              <w:rPr>
                <w:rFonts w:hint="eastAsia" w:ascii="Times New Roman" w:hAnsi="Times New Roman"/>
                <w:highlight w:val="none"/>
              </w:rPr>
              <w:t>包：手机密码破解设备Ⅲ</w:t>
            </w:r>
          </w:p>
          <w:p>
            <w:pPr>
              <w:pStyle w:val="249"/>
              <w:ind w:firstLine="0" w:firstLineChars="0"/>
              <w:rPr>
                <w:rFonts w:ascii="Times New Roman" w:hAnsi="Times New Roman"/>
                <w:highlight w:val="none"/>
              </w:rPr>
            </w:pPr>
            <w:r>
              <w:rPr>
                <w:rFonts w:hint="eastAsia" w:ascii="Times New Roman" w:hAnsi="Times New Roman"/>
                <w:highlight w:val="none"/>
              </w:rPr>
              <w:t>第</w:t>
            </w:r>
            <w:r>
              <w:rPr>
                <w:rFonts w:ascii="Times New Roman" w:hAnsi="Times New Roman"/>
                <w:highlight w:val="none"/>
              </w:rPr>
              <w:t>8</w:t>
            </w:r>
            <w:r>
              <w:rPr>
                <w:rFonts w:hint="eastAsia" w:ascii="Times New Roman" w:hAnsi="Times New Roman"/>
                <w:highlight w:val="none"/>
              </w:rPr>
              <w:t>包：电子物证存储系统</w:t>
            </w:r>
            <w:r>
              <w:rPr>
                <w:rFonts w:ascii="Times New Roman" w:hAnsi="Times New Roman"/>
                <w:highlight w:val="none"/>
              </w:rPr>
              <w:t xml:space="preserve"> </w:t>
            </w:r>
          </w:p>
          <w:p>
            <w:pPr>
              <w:pStyle w:val="249"/>
              <w:ind w:firstLine="0" w:firstLineChars="0"/>
              <w:rPr>
                <w:rFonts w:hint="default" w:ascii="Times New Roman" w:hAnsi="Times New Roman" w:cs="Times New Roman"/>
                <w:highlight w:val="none"/>
              </w:rPr>
            </w:pPr>
            <w:r>
              <w:rPr>
                <w:rFonts w:hint="eastAsia" w:ascii="Times New Roman" w:hAnsi="Times New Roman"/>
                <w:highlight w:val="none"/>
              </w:rPr>
              <w:t>第</w:t>
            </w:r>
            <w:r>
              <w:rPr>
                <w:rFonts w:ascii="Times New Roman" w:hAnsi="Times New Roman"/>
                <w:highlight w:val="none"/>
              </w:rPr>
              <w:t>9</w:t>
            </w:r>
            <w:r>
              <w:rPr>
                <w:rFonts w:hint="eastAsia" w:ascii="Times New Roman" w:hAnsi="Times New Roman"/>
                <w:highlight w:val="none"/>
              </w:rPr>
              <w:t>包：</w:t>
            </w:r>
            <w:r>
              <w:rPr>
                <w:rFonts w:hint="default" w:ascii="Times New Roman" w:hAnsi="Times New Roman" w:cs="Times New Roman"/>
                <w:highlight w:val="none"/>
              </w:rPr>
              <w:t xml:space="preserve">声纹工作站Ⅰ </w:t>
            </w:r>
          </w:p>
          <w:p>
            <w:pPr>
              <w:pStyle w:val="249"/>
              <w:ind w:firstLine="0" w:firstLineChars="0"/>
              <w:rPr>
                <w:rFonts w:hint="default" w:ascii="Times New Roman" w:hAnsi="Times New Roman" w:cs="Times New Roman"/>
                <w:highlight w:val="none"/>
              </w:rPr>
            </w:pPr>
            <w:r>
              <w:rPr>
                <w:rFonts w:hint="default" w:ascii="Times New Roman" w:hAnsi="Times New Roman" w:cs="Times New Roman"/>
                <w:highlight w:val="none"/>
              </w:rPr>
              <w:t>第10包：声纹工作站Ⅱ</w:t>
            </w:r>
          </w:p>
          <w:p>
            <w:pPr>
              <w:pStyle w:val="249"/>
              <w:ind w:firstLine="0" w:firstLineChars="0"/>
              <w:rPr>
                <w:rFonts w:ascii="Times New Roman" w:hAnsi="Times New Roman"/>
                <w:highlight w:val="none"/>
              </w:rPr>
            </w:pPr>
            <w:r>
              <w:rPr>
                <w:rFonts w:hint="default" w:ascii="Times New Roman" w:hAnsi="Times New Roman" w:cs="Times New Roman"/>
                <w:highlight w:val="none"/>
              </w:rPr>
              <w:t>第11包：声纹工作站Ⅲ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5" w:type="dxa"/>
            <w:bottom w:w="0" w:type="dxa"/>
            <w:right w:w="108" w:type="dxa"/>
          </w:tblCellMar>
        </w:tblPrEx>
        <w:trPr>
          <w:trHeight w:val="20" w:hRule="atLeast"/>
          <w:jc w:val="center"/>
        </w:trPr>
        <w:tc>
          <w:tcPr>
            <w:tcW w:w="729" w:type="dxa"/>
            <w:vAlign w:val="center"/>
          </w:tcPr>
          <w:p>
            <w:pPr>
              <w:pStyle w:val="249"/>
              <w:numPr>
                <w:ilvl w:val="0"/>
                <w:numId w:val="26"/>
              </w:numPr>
              <w:tabs>
                <w:tab w:val="left" w:pos="397"/>
              </w:tabs>
              <w:spacing w:line="320" w:lineRule="exact"/>
              <w:ind w:firstLineChars="0"/>
              <w:jc w:val="center"/>
              <w:rPr>
                <w:rFonts w:ascii="Times New Roman" w:hAnsi="Times New Roman"/>
                <w:bCs/>
                <w:highlight w:val="none"/>
              </w:rPr>
            </w:pPr>
          </w:p>
        </w:tc>
        <w:tc>
          <w:tcPr>
            <w:tcW w:w="1146" w:type="dxa"/>
            <w:vAlign w:val="center"/>
          </w:tcPr>
          <w:p>
            <w:pPr>
              <w:pStyle w:val="249"/>
              <w:spacing w:line="320" w:lineRule="exact"/>
              <w:ind w:firstLine="0" w:firstLineChars="0"/>
              <w:jc w:val="center"/>
              <w:rPr>
                <w:rFonts w:ascii="Times New Roman" w:hAnsi="Times New Roman"/>
                <w:bCs/>
                <w:highlight w:val="none"/>
              </w:rPr>
            </w:pPr>
          </w:p>
        </w:tc>
        <w:tc>
          <w:tcPr>
            <w:tcW w:w="1936" w:type="dxa"/>
            <w:vAlign w:val="center"/>
          </w:tcPr>
          <w:p>
            <w:pPr>
              <w:pStyle w:val="249"/>
              <w:spacing w:line="320" w:lineRule="exact"/>
              <w:ind w:firstLine="0" w:firstLineChars="0"/>
              <w:jc w:val="center"/>
              <w:rPr>
                <w:rFonts w:ascii="Times New Roman" w:hAnsi="Times New Roman"/>
                <w:highlight w:val="none"/>
              </w:rPr>
            </w:pPr>
            <w:r>
              <w:rPr>
                <w:rFonts w:ascii="Times New Roman" w:hAnsi="Times New Roman"/>
                <w:highlight w:val="none"/>
              </w:rPr>
              <w:t>不同投标人提供同一品牌产品</w:t>
            </w:r>
            <w:r>
              <w:rPr>
                <w:highlight w:val="none"/>
              </w:rPr>
              <w:t>，</w:t>
            </w:r>
            <w:r>
              <w:rPr>
                <w:rFonts w:ascii="Times New Roman" w:hAnsi="Times New Roman"/>
                <w:highlight w:val="none"/>
              </w:rPr>
              <w:t>或者在非单一产品采购项目中提供的核心产品品牌相同时的处理规则</w:t>
            </w:r>
          </w:p>
        </w:tc>
        <w:tc>
          <w:tcPr>
            <w:tcW w:w="5823" w:type="dxa"/>
            <w:vAlign w:val="center"/>
          </w:tcPr>
          <w:p>
            <w:pPr>
              <w:pStyle w:val="249"/>
              <w:ind w:firstLine="0" w:firstLineChars="0"/>
              <w:jc w:val="left"/>
              <w:rPr>
                <w:rFonts w:ascii="Times New Roman" w:hAnsi="Times New Roman"/>
                <w:highlight w:val="none"/>
              </w:rPr>
            </w:pPr>
            <w:r>
              <w:rPr>
                <w:rFonts w:ascii="Times New Roman" w:hAnsi="Times New Roman"/>
                <w:highlight w:val="none"/>
                <w:lang w:val="en-US"/>
              </w:rPr>
              <w:t>该项目使用综合评分法</w:t>
            </w:r>
            <w:r>
              <w:rPr>
                <w:highlight w:val="none"/>
                <w:lang w:val="en-US"/>
              </w:rPr>
              <w:t>，</w:t>
            </w:r>
            <w:r>
              <w:rPr>
                <w:rFonts w:ascii="Times New Roman" w:hAnsi="Times New Roman"/>
                <w:highlight w:val="none"/>
                <w:lang w:val="en-US"/>
              </w:rPr>
              <w:t>提供相同品牌产品且通过资格审查、符合性审查的不同投标人参加同一合同项下投标的</w:t>
            </w:r>
            <w:r>
              <w:rPr>
                <w:highlight w:val="none"/>
                <w:lang w:val="en-US"/>
              </w:rPr>
              <w:t>，</w:t>
            </w:r>
            <w:r>
              <w:rPr>
                <w:rFonts w:ascii="Times New Roman" w:hAnsi="Times New Roman"/>
                <w:highlight w:val="none"/>
                <w:lang w:val="en-US"/>
              </w:rPr>
              <w:t>按一家投标人计算</w:t>
            </w:r>
            <w:r>
              <w:rPr>
                <w:highlight w:val="none"/>
                <w:lang w:val="en-US"/>
              </w:rPr>
              <w:t>，</w:t>
            </w:r>
            <w:r>
              <w:rPr>
                <w:rFonts w:ascii="Times New Roman" w:hAnsi="Times New Roman"/>
                <w:highlight w:val="none"/>
                <w:lang w:val="en-US"/>
              </w:rPr>
              <w:t>评审后得分最高的同品牌投标人获得中标供应商推荐资格</w:t>
            </w:r>
            <w:r>
              <w:rPr>
                <w:highlight w:val="none"/>
                <w:lang w:val="en-US"/>
              </w:rPr>
              <w:t>，</w:t>
            </w:r>
            <w:r>
              <w:rPr>
                <w:rFonts w:ascii="Times New Roman" w:hAnsi="Times New Roman"/>
                <w:highlight w:val="none"/>
                <w:lang w:val="en-US"/>
              </w:rPr>
              <w:t>评审得分相同的</w:t>
            </w:r>
            <w:r>
              <w:rPr>
                <w:highlight w:val="none"/>
                <w:lang w:val="en-US"/>
              </w:rPr>
              <w:t>，</w:t>
            </w:r>
            <w:r>
              <w:rPr>
                <w:rFonts w:ascii="Times New Roman" w:hAnsi="Times New Roman"/>
                <w:highlight w:val="none"/>
                <w:lang w:val="en-US"/>
              </w:rPr>
              <w:t>按照采取随机抽取方式确定</w:t>
            </w:r>
            <w:r>
              <w:rPr>
                <w:highlight w:val="none"/>
                <w:lang w:val="en-US"/>
              </w:rPr>
              <w:t>，</w:t>
            </w:r>
            <w:r>
              <w:rPr>
                <w:rFonts w:ascii="Times New Roman" w:hAnsi="Times New Roman"/>
                <w:highlight w:val="none"/>
                <w:lang w:val="en-US"/>
              </w:rPr>
              <w:t>其他同品牌投标人不作为中标候选供应商。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5" w:type="dxa"/>
            <w:bottom w:w="0" w:type="dxa"/>
            <w:right w:w="108" w:type="dxa"/>
          </w:tblCellMar>
        </w:tblPrEx>
        <w:trPr>
          <w:trHeight w:val="20" w:hRule="atLeast"/>
          <w:jc w:val="center"/>
        </w:trPr>
        <w:tc>
          <w:tcPr>
            <w:tcW w:w="729" w:type="dxa"/>
            <w:vAlign w:val="center"/>
          </w:tcPr>
          <w:p>
            <w:pPr>
              <w:pStyle w:val="249"/>
              <w:numPr>
                <w:ilvl w:val="0"/>
                <w:numId w:val="26"/>
              </w:numPr>
              <w:tabs>
                <w:tab w:val="left" w:pos="397"/>
              </w:tabs>
              <w:spacing w:line="320" w:lineRule="exact"/>
              <w:ind w:firstLineChars="0"/>
              <w:jc w:val="center"/>
              <w:rPr>
                <w:rFonts w:ascii="Times New Roman" w:hAnsi="Times New Roman"/>
                <w:bCs/>
                <w:highlight w:val="none"/>
              </w:rPr>
            </w:pPr>
          </w:p>
        </w:tc>
        <w:tc>
          <w:tcPr>
            <w:tcW w:w="1146" w:type="dxa"/>
            <w:vAlign w:val="center"/>
          </w:tcPr>
          <w:p>
            <w:pPr>
              <w:pStyle w:val="249"/>
              <w:spacing w:line="320" w:lineRule="exact"/>
              <w:ind w:firstLine="0" w:firstLineChars="0"/>
              <w:jc w:val="center"/>
              <w:rPr>
                <w:rFonts w:ascii="Times New Roman" w:hAnsi="Times New Roman"/>
                <w:bCs/>
                <w:highlight w:val="none"/>
              </w:rPr>
            </w:pPr>
          </w:p>
        </w:tc>
        <w:tc>
          <w:tcPr>
            <w:tcW w:w="1936" w:type="dxa"/>
            <w:vAlign w:val="center"/>
          </w:tcPr>
          <w:p>
            <w:pPr>
              <w:pStyle w:val="249"/>
              <w:spacing w:line="320" w:lineRule="exact"/>
              <w:ind w:firstLine="0" w:firstLineChars="0"/>
              <w:jc w:val="center"/>
              <w:rPr>
                <w:rFonts w:ascii="Times New Roman" w:hAnsi="Times New Roman"/>
                <w:highlight w:val="none"/>
              </w:rPr>
            </w:pPr>
            <w:r>
              <w:rPr>
                <w:rFonts w:hint="eastAsia" w:ascii="Times New Roman" w:hAnsi="Times New Roman"/>
                <w:highlight w:val="none"/>
              </w:rPr>
              <w:t>是否允许代理</w:t>
            </w:r>
          </w:p>
        </w:tc>
        <w:tc>
          <w:tcPr>
            <w:tcW w:w="5823" w:type="dxa"/>
            <w:vAlign w:val="center"/>
          </w:tcPr>
          <w:p>
            <w:pPr>
              <w:pStyle w:val="249"/>
              <w:ind w:firstLine="0" w:firstLineChars="0"/>
              <w:jc w:val="left"/>
              <w:rPr>
                <w:rFonts w:hint="default" w:ascii="Times New Roman" w:hAnsi="Times New Roman" w:eastAsia="宋体"/>
                <w:highlight w:val="none"/>
                <w:lang w:val="en-US" w:eastAsia="zh-CN"/>
              </w:rPr>
            </w:pPr>
            <w:r>
              <w:rPr>
                <w:rFonts w:hint="eastAsia" w:ascii="Times New Roman" w:hAnsi="Times New Roman"/>
                <w:highlight w:val="none"/>
                <w:lang w:val="en-US" w:eastAsia="zh-CN"/>
              </w:rPr>
              <w:t>除第5包不允许代理外，其余包允许代理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5" w:type="dxa"/>
            <w:bottom w:w="0" w:type="dxa"/>
            <w:right w:w="108" w:type="dxa"/>
          </w:tblCellMar>
        </w:tblPrEx>
        <w:trPr>
          <w:trHeight w:val="90" w:hRule="atLeast"/>
          <w:jc w:val="center"/>
        </w:trPr>
        <w:tc>
          <w:tcPr>
            <w:tcW w:w="729" w:type="dxa"/>
            <w:vAlign w:val="center"/>
          </w:tcPr>
          <w:p>
            <w:pPr>
              <w:pStyle w:val="249"/>
              <w:numPr>
                <w:ilvl w:val="0"/>
                <w:numId w:val="26"/>
              </w:numPr>
              <w:tabs>
                <w:tab w:val="left" w:pos="397"/>
              </w:tabs>
              <w:spacing w:line="320" w:lineRule="exact"/>
              <w:ind w:firstLineChars="0"/>
              <w:jc w:val="center"/>
              <w:rPr>
                <w:rFonts w:ascii="Times New Roman" w:hAnsi="Times New Roman"/>
                <w:bCs/>
                <w:highlight w:val="none"/>
              </w:rPr>
            </w:pPr>
          </w:p>
        </w:tc>
        <w:tc>
          <w:tcPr>
            <w:tcW w:w="1146" w:type="dxa"/>
            <w:vAlign w:val="center"/>
          </w:tcPr>
          <w:p>
            <w:pPr>
              <w:pStyle w:val="249"/>
              <w:spacing w:line="320" w:lineRule="exact"/>
              <w:ind w:firstLine="0" w:firstLineChars="0"/>
              <w:jc w:val="center"/>
              <w:rPr>
                <w:rFonts w:ascii="Times New Roman" w:hAnsi="Times New Roman"/>
                <w:bCs/>
                <w:highlight w:val="none"/>
              </w:rPr>
            </w:pPr>
          </w:p>
        </w:tc>
        <w:tc>
          <w:tcPr>
            <w:tcW w:w="1936" w:type="dxa"/>
            <w:vAlign w:val="center"/>
          </w:tcPr>
          <w:p>
            <w:pPr>
              <w:pStyle w:val="249"/>
              <w:ind w:firstLine="0" w:firstLineChars="0"/>
              <w:jc w:val="center"/>
              <w:rPr>
                <w:rFonts w:ascii="Times New Roman" w:hAnsi="Times New Roman"/>
                <w:highlight w:val="none"/>
              </w:rPr>
            </w:pPr>
            <w:r>
              <w:rPr>
                <w:rFonts w:hint="eastAsia" w:ascii="Times New Roman" w:hAnsi="Times New Roman"/>
                <w:highlight w:val="none"/>
              </w:rPr>
              <w:t>是否专门</w:t>
            </w:r>
          </w:p>
          <w:p>
            <w:pPr>
              <w:pStyle w:val="249"/>
              <w:spacing w:line="320" w:lineRule="exact"/>
              <w:ind w:firstLine="0" w:firstLineChars="0"/>
              <w:jc w:val="center"/>
              <w:rPr>
                <w:rFonts w:ascii="Times New Roman" w:hAnsi="Times New Roman"/>
                <w:highlight w:val="none"/>
              </w:rPr>
            </w:pPr>
            <w:r>
              <w:rPr>
                <w:rFonts w:hint="eastAsia" w:ascii="Times New Roman" w:hAnsi="Times New Roman"/>
                <w:highlight w:val="none"/>
              </w:rPr>
              <w:t>面向中小企业</w:t>
            </w:r>
          </w:p>
        </w:tc>
        <w:tc>
          <w:tcPr>
            <w:tcW w:w="5823" w:type="dxa"/>
            <w:vAlign w:val="center"/>
          </w:tcPr>
          <w:p>
            <w:pPr>
              <w:pStyle w:val="249"/>
              <w:ind w:firstLine="0" w:firstLineChars="0"/>
              <w:jc w:val="left"/>
              <w:rPr>
                <w:rFonts w:ascii="Times New Roman" w:hAnsi="Times New Roman"/>
                <w:highlight w:val="none"/>
                <w:lang w:val="en-US"/>
              </w:rPr>
            </w:pPr>
            <w:r>
              <w:rPr>
                <w:rFonts w:hint="eastAsia" w:ascii="Times New Roman" w:hAnsi="Times New Roman"/>
                <w:highlight w:val="none"/>
                <w:lang w:val="en-US"/>
              </w:rPr>
              <w:t>第</w:t>
            </w:r>
            <w:r>
              <w:rPr>
                <w:rFonts w:hint="eastAsia" w:ascii="Times New Roman" w:hAnsi="Times New Roman" w:eastAsia="宋体"/>
                <w:highlight w:val="none"/>
                <w:lang w:val="en-US" w:eastAsia="zh-CN"/>
              </w:rPr>
              <w:t>3、4、6、7、9、10、11</w:t>
            </w:r>
            <w:r>
              <w:rPr>
                <w:rFonts w:hint="eastAsia" w:ascii="Times New Roman" w:hAnsi="Times New Roman"/>
                <w:highlight w:val="none"/>
                <w:lang w:val="en-US"/>
              </w:rPr>
              <w:t>包专门面向中小企业，</w:t>
            </w:r>
            <w:r>
              <w:rPr>
                <w:rFonts w:hint="eastAsia" w:ascii="Times New Roman" w:hAnsi="Times New Roman"/>
                <w:highlight w:val="none"/>
                <w:lang w:val="en-US" w:eastAsia="zh-CN"/>
              </w:rPr>
              <w:t>第1、2、5、8包</w:t>
            </w:r>
            <w:r>
              <w:rPr>
                <w:rFonts w:hint="eastAsia" w:ascii="Times New Roman" w:hAnsi="Times New Roman"/>
                <w:highlight w:val="none"/>
                <w:lang w:val="en-US"/>
              </w:rPr>
              <w:t>不专门面向中小企业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729" w:type="dxa"/>
            <w:vAlign w:val="center"/>
          </w:tcPr>
          <w:p>
            <w:pPr>
              <w:pStyle w:val="249"/>
              <w:numPr>
                <w:ilvl w:val="0"/>
                <w:numId w:val="26"/>
              </w:numPr>
              <w:tabs>
                <w:tab w:val="left" w:pos="397"/>
              </w:tabs>
              <w:spacing w:line="320" w:lineRule="exact"/>
              <w:ind w:firstLineChars="0"/>
              <w:jc w:val="center"/>
              <w:rPr>
                <w:rFonts w:ascii="Times New Roman" w:hAnsi="Times New Roman"/>
                <w:bCs/>
                <w:highlight w:val="none"/>
              </w:rPr>
            </w:pPr>
          </w:p>
        </w:tc>
        <w:tc>
          <w:tcPr>
            <w:tcW w:w="1146" w:type="dxa"/>
            <w:vAlign w:val="center"/>
          </w:tcPr>
          <w:p>
            <w:pPr>
              <w:pStyle w:val="249"/>
              <w:spacing w:line="320" w:lineRule="exact"/>
              <w:ind w:firstLine="0" w:firstLineChars="0"/>
              <w:jc w:val="center"/>
              <w:rPr>
                <w:rFonts w:ascii="Times New Roman" w:hAnsi="Times New Roman"/>
                <w:highlight w:val="none"/>
              </w:rPr>
            </w:pPr>
            <w:r>
              <w:rPr>
                <w:rFonts w:ascii="Times New Roman" w:hAnsi="Times New Roman" w:eastAsia="Times New Roman"/>
                <w:highlight w:val="none"/>
                <w:lang w:val="en-US"/>
              </w:rPr>
              <w:t>3</w:t>
            </w:r>
            <w:r>
              <w:rPr>
                <w:rFonts w:ascii="Times New Roman" w:hAnsi="Times New Roman"/>
                <w:highlight w:val="none"/>
                <w:lang w:val="en-US"/>
              </w:rPr>
              <w:t>.</w:t>
            </w:r>
            <w:r>
              <w:rPr>
                <w:rFonts w:ascii="Times New Roman" w:hAnsi="Times New Roman" w:eastAsia="Times New Roman"/>
                <w:highlight w:val="none"/>
                <w:lang w:val="en-US"/>
              </w:rPr>
              <w:t>1</w:t>
            </w:r>
            <w:r>
              <w:rPr>
                <w:rFonts w:ascii="Times New Roman" w:hAnsi="Times New Roman"/>
                <w:highlight w:val="none"/>
                <w:lang w:val="en-US"/>
              </w:rPr>
              <w:t>.</w:t>
            </w:r>
            <w:r>
              <w:rPr>
                <w:rFonts w:ascii="Times New Roman" w:hAnsi="Times New Roman" w:eastAsia="Times New Roman"/>
                <w:highlight w:val="none"/>
              </w:rPr>
              <w:t>3</w:t>
            </w:r>
          </w:p>
        </w:tc>
        <w:tc>
          <w:tcPr>
            <w:tcW w:w="1936" w:type="dxa"/>
            <w:vAlign w:val="center"/>
          </w:tcPr>
          <w:p>
            <w:pPr>
              <w:pStyle w:val="249"/>
              <w:spacing w:line="320" w:lineRule="exact"/>
              <w:ind w:firstLine="0" w:firstLineChars="0"/>
              <w:jc w:val="center"/>
              <w:rPr>
                <w:rFonts w:ascii="Times New Roman" w:hAnsi="Times New Roman"/>
                <w:highlight w:val="none"/>
              </w:rPr>
            </w:pPr>
            <w:r>
              <w:rPr>
                <w:rFonts w:ascii="Times New Roman" w:hAnsi="Times New Roman"/>
                <w:highlight w:val="none"/>
              </w:rPr>
              <w:t>是否允许</w:t>
            </w:r>
          </w:p>
          <w:p>
            <w:pPr>
              <w:pStyle w:val="249"/>
              <w:spacing w:line="320" w:lineRule="exact"/>
              <w:ind w:firstLine="0" w:firstLineChars="0"/>
              <w:jc w:val="center"/>
              <w:rPr>
                <w:rFonts w:ascii="Times New Roman" w:hAnsi="Times New Roman"/>
                <w:highlight w:val="none"/>
              </w:rPr>
            </w:pPr>
            <w:r>
              <w:rPr>
                <w:rFonts w:ascii="Times New Roman" w:hAnsi="Times New Roman"/>
                <w:highlight w:val="none"/>
              </w:rPr>
              <w:t>联合体投标</w:t>
            </w:r>
          </w:p>
        </w:tc>
        <w:tc>
          <w:tcPr>
            <w:tcW w:w="5823" w:type="dxa"/>
            <w:vAlign w:val="center"/>
          </w:tcPr>
          <w:p>
            <w:pPr>
              <w:pStyle w:val="249"/>
              <w:ind w:firstLine="0" w:firstLineChars="0"/>
              <w:jc w:val="left"/>
              <w:rPr>
                <w:rFonts w:ascii="Times New Roman" w:hAnsi="Times New Roman"/>
                <w:highlight w:val="none"/>
                <w:lang w:val="en-US"/>
              </w:rPr>
            </w:pPr>
            <w:r>
              <w:rPr>
                <w:rFonts w:ascii="Times New Roman" w:hAnsi="Times New Roman"/>
                <w:highlight w:val="none"/>
                <w:lang w:val="en-US"/>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5" w:type="dxa"/>
            <w:bottom w:w="0" w:type="dxa"/>
            <w:right w:w="108" w:type="dxa"/>
          </w:tblCellMar>
        </w:tblPrEx>
        <w:trPr>
          <w:trHeight w:val="20" w:hRule="atLeast"/>
          <w:jc w:val="center"/>
        </w:trPr>
        <w:tc>
          <w:tcPr>
            <w:tcW w:w="729" w:type="dxa"/>
            <w:vAlign w:val="center"/>
          </w:tcPr>
          <w:p>
            <w:pPr>
              <w:pStyle w:val="249"/>
              <w:numPr>
                <w:ilvl w:val="0"/>
                <w:numId w:val="26"/>
              </w:numPr>
              <w:tabs>
                <w:tab w:val="left" w:pos="397"/>
              </w:tabs>
              <w:spacing w:line="320" w:lineRule="exact"/>
              <w:ind w:firstLineChars="0"/>
              <w:jc w:val="center"/>
              <w:rPr>
                <w:rFonts w:ascii="Times New Roman" w:hAnsi="Times New Roman"/>
                <w:bCs/>
                <w:highlight w:val="none"/>
              </w:rPr>
            </w:pPr>
          </w:p>
        </w:tc>
        <w:tc>
          <w:tcPr>
            <w:tcW w:w="1146" w:type="dxa"/>
            <w:vAlign w:val="center"/>
          </w:tcPr>
          <w:p>
            <w:pPr>
              <w:pStyle w:val="249"/>
              <w:spacing w:line="320" w:lineRule="exact"/>
              <w:ind w:firstLine="0" w:firstLineChars="0"/>
              <w:jc w:val="center"/>
              <w:rPr>
                <w:rFonts w:ascii="Times New Roman" w:hAnsi="Times New Roman"/>
                <w:highlight w:val="none"/>
                <w:lang w:val="en-US"/>
              </w:rPr>
            </w:pPr>
            <w:r>
              <w:rPr>
                <w:rFonts w:ascii="Times New Roman" w:hAnsi="Times New Roman" w:eastAsia="Times New Roman"/>
                <w:highlight w:val="none"/>
                <w:lang w:val="en-US"/>
              </w:rPr>
              <w:t>3</w:t>
            </w:r>
            <w:r>
              <w:rPr>
                <w:rFonts w:ascii="Times New Roman" w:hAnsi="Times New Roman"/>
                <w:highlight w:val="none"/>
                <w:lang w:val="en-US"/>
              </w:rPr>
              <w:t>.</w:t>
            </w:r>
            <w:r>
              <w:rPr>
                <w:rFonts w:ascii="Times New Roman" w:hAnsi="Times New Roman" w:eastAsia="Times New Roman"/>
                <w:highlight w:val="none"/>
                <w:lang w:val="en-US"/>
              </w:rPr>
              <w:t>1</w:t>
            </w:r>
            <w:r>
              <w:rPr>
                <w:rFonts w:ascii="Times New Roman" w:hAnsi="Times New Roman"/>
                <w:highlight w:val="none"/>
                <w:lang w:val="en-US"/>
              </w:rPr>
              <w:t>.</w:t>
            </w:r>
            <w:r>
              <w:rPr>
                <w:rFonts w:ascii="Times New Roman" w:hAnsi="Times New Roman" w:eastAsia="Times New Roman"/>
                <w:highlight w:val="none"/>
                <w:lang w:val="en-US"/>
              </w:rPr>
              <w:t>4</w:t>
            </w:r>
          </w:p>
        </w:tc>
        <w:tc>
          <w:tcPr>
            <w:tcW w:w="1936" w:type="dxa"/>
            <w:vAlign w:val="center"/>
          </w:tcPr>
          <w:p>
            <w:pPr>
              <w:pStyle w:val="249"/>
              <w:spacing w:line="320" w:lineRule="exact"/>
              <w:ind w:firstLine="0" w:firstLineChars="0"/>
              <w:jc w:val="center"/>
              <w:rPr>
                <w:rFonts w:ascii="Times New Roman" w:hAnsi="Times New Roman"/>
                <w:highlight w:val="none"/>
              </w:rPr>
            </w:pPr>
            <w:r>
              <w:rPr>
                <w:rFonts w:ascii="Times New Roman" w:hAnsi="Times New Roman"/>
                <w:highlight w:val="none"/>
              </w:rPr>
              <w:t>是否允许</w:t>
            </w:r>
          </w:p>
          <w:p>
            <w:pPr>
              <w:pStyle w:val="249"/>
              <w:spacing w:line="320" w:lineRule="exact"/>
              <w:ind w:firstLine="0" w:firstLineChars="0"/>
              <w:jc w:val="center"/>
              <w:rPr>
                <w:rFonts w:ascii="Times New Roman" w:hAnsi="Times New Roman"/>
                <w:highlight w:val="none"/>
              </w:rPr>
            </w:pPr>
            <w:r>
              <w:rPr>
                <w:rFonts w:ascii="Times New Roman" w:hAnsi="Times New Roman"/>
                <w:highlight w:val="none"/>
              </w:rPr>
              <w:t>进口产品投标</w:t>
            </w:r>
          </w:p>
        </w:tc>
        <w:tc>
          <w:tcPr>
            <w:tcW w:w="5823" w:type="dxa"/>
            <w:vAlign w:val="center"/>
          </w:tcPr>
          <w:p>
            <w:pPr>
              <w:pStyle w:val="249"/>
              <w:ind w:firstLine="0" w:firstLineChars="0"/>
              <w:jc w:val="left"/>
              <w:rPr>
                <w:rFonts w:ascii="Times New Roman" w:hAnsi="Times New Roman"/>
                <w:highlight w:val="none"/>
                <w:u w:val="single" w:color="585858"/>
                <w:lang w:val="en-US"/>
              </w:rPr>
            </w:pPr>
            <w:r>
              <w:rPr>
                <w:rFonts w:hint="eastAsia" w:ascii="Times New Roman" w:hAnsi="Times New Roman"/>
                <w:highlight w:val="none"/>
                <w:lang w:val="en-US"/>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5" w:type="dxa"/>
            <w:bottom w:w="0" w:type="dxa"/>
            <w:right w:w="108" w:type="dxa"/>
          </w:tblCellMar>
        </w:tblPrEx>
        <w:trPr>
          <w:trHeight w:val="20" w:hRule="atLeast"/>
          <w:jc w:val="center"/>
        </w:trPr>
        <w:tc>
          <w:tcPr>
            <w:tcW w:w="729" w:type="dxa"/>
            <w:vAlign w:val="center"/>
          </w:tcPr>
          <w:p>
            <w:pPr>
              <w:pStyle w:val="249"/>
              <w:numPr>
                <w:ilvl w:val="0"/>
                <w:numId w:val="26"/>
              </w:numPr>
              <w:tabs>
                <w:tab w:val="left" w:pos="397"/>
              </w:tabs>
              <w:spacing w:line="320" w:lineRule="exact"/>
              <w:ind w:firstLineChars="0"/>
              <w:jc w:val="center"/>
              <w:rPr>
                <w:rFonts w:ascii="Times New Roman" w:hAnsi="Times New Roman"/>
                <w:bCs/>
                <w:highlight w:val="none"/>
              </w:rPr>
            </w:pPr>
          </w:p>
        </w:tc>
        <w:tc>
          <w:tcPr>
            <w:tcW w:w="1146" w:type="dxa"/>
            <w:vAlign w:val="center"/>
          </w:tcPr>
          <w:p>
            <w:pPr>
              <w:pStyle w:val="249"/>
              <w:spacing w:line="320" w:lineRule="exact"/>
              <w:ind w:firstLine="0" w:firstLineChars="0"/>
              <w:jc w:val="center"/>
              <w:rPr>
                <w:rFonts w:ascii="Times New Roman" w:hAnsi="Times New Roman"/>
                <w:highlight w:val="none"/>
              </w:rPr>
            </w:pPr>
            <w:r>
              <w:rPr>
                <w:rFonts w:ascii="Times New Roman" w:hAnsi="Times New Roman" w:eastAsia="Times New Roman"/>
                <w:highlight w:val="none"/>
                <w:lang w:val="en-US"/>
              </w:rPr>
              <w:t>3</w:t>
            </w:r>
            <w:r>
              <w:rPr>
                <w:rFonts w:ascii="Times New Roman" w:hAnsi="Times New Roman"/>
                <w:highlight w:val="none"/>
                <w:lang w:val="en-US"/>
              </w:rPr>
              <w:t>.</w:t>
            </w:r>
            <w:r>
              <w:rPr>
                <w:rFonts w:ascii="Times New Roman" w:hAnsi="Times New Roman" w:eastAsia="Times New Roman"/>
                <w:highlight w:val="none"/>
                <w:lang w:val="en-US"/>
              </w:rPr>
              <w:t>3</w:t>
            </w:r>
            <w:r>
              <w:rPr>
                <w:rFonts w:ascii="Times New Roman" w:hAnsi="Times New Roman"/>
                <w:highlight w:val="none"/>
                <w:lang w:val="en-US"/>
              </w:rPr>
              <w:t>.</w:t>
            </w:r>
            <w:r>
              <w:rPr>
                <w:rFonts w:ascii="Times New Roman" w:hAnsi="Times New Roman" w:eastAsia="Times New Roman"/>
                <w:highlight w:val="none"/>
                <w:lang w:val="en-US"/>
              </w:rPr>
              <w:t>2</w:t>
            </w:r>
            <w:r>
              <w:rPr>
                <w:rFonts w:ascii="Times New Roman" w:hAnsi="Times New Roman"/>
                <w:highlight w:val="none"/>
                <w:lang w:val="en-US"/>
              </w:rPr>
              <w:t>.</w:t>
            </w:r>
            <w:r>
              <w:rPr>
                <w:rFonts w:ascii="Times New Roman" w:hAnsi="Times New Roman" w:eastAsia="Times New Roman"/>
                <w:highlight w:val="none"/>
                <w:lang w:val="en-US"/>
              </w:rPr>
              <w:t>1</w:t>
            </w:r>
          </w:p>
        </w:tc>
        <w:tc>
          <w:tcPr>
            <w:tcW w:w="1936" w:type="dxa"/>
            <w:vAlign w:val="center"/>
          </w:tcPr>
          <w:p>
            <w:pPr>
              <w:pStyle w:val="249"/>
              <w:spacing w:line="320" w:lineRule="exact"/>
              <w:ind w:firstLine="0" w:firstLineChars="0"/>
              <w:jc w:val="center"/>
              <w:rPr>
                <w:rFonts w:ascii="Times New Roman" w:hAnsi="Times New Roman"/>
                <w:highlight w:val="none"/>
              </w:rPr>
            </w:pPr>
            <w:r>
              <w:rPr>
                <w:rFonts w:ascii="Times New Roman" w:hAnsi="Times New Roman"/>
                <w:highlight w:val="none"/>
              </w:rPr>
              <w:t>投标人应提交的商务文件</w:t>
            </w:r>
          </w:p>
        </w:tc>
        <w:tc>
          <w:tcPr>
            <w:tcW w:w="5823" w:type="dxa"/>
            <w:vAlign w:val="center"/>
          </w:tcPr>
          <w:p>
            <w:pPr>
              <w:pStyle w:val="249"/>
              <w:ind w:firstLine="0" w:firstLineChars="0"/>
              <w:jc w:val="left"/>
              <w:rPr>
                <w:rFonts w:ascii="Times New Roman" w:hAnsi="Times New Roman"/>
                <w:highlight w:val="none"/>
              </w:rPr>
            </w:pPr>
            <w:r>
              <w:rPr>
                <w:rFonts w:ascii="Times New Roman" w:hAnsi="Times New Roman"/>
                <w:highlight w:val="none"/>
              </w:rPr>
              <w:t>（一）商务文件</w:t>
            </w:r>
          </w:p>
          <w:p>
            <w:pPr>
              <w:pStyle w:val="249"/>
              <w:numPr>
                <w:ilvl w:val="0"/>
                <w:numId w:val="27"/>
              </w:numPr>
              <w:ind w:firstLineChars="0"/>
              <w:jc w:val="left"/>
              <w:rPr>
                <w:rFonts w:ascii="Times New Roman" w:hAnsi="Times New Roman"/>
                <w:highlight w:val="none"/>
                <w:lang w:val="en-US"/>
              </w:rPr>
            </w:pPr>
            <w:r>
              <w:rPr>
                <w:rFonts w:ascii="Times New Roman" w:hAnsi="Times New Roman"/>
                <w:highlight w:val="none"/>
              </w:rPr>
              <w:t>*投标函；</w:t>
            </w:r>
          </w:p>
          <w:p>
            <w:pPr>
              <w:pStyle w:val="249"/>
              <w:numPr>
                <w:ilvl w:val="0"/>
                <w:numId w:val="27"/>
              </w:numPr>
              <w:ind w:firstLineChars="0"/>
              <w:jc w:val="left"/>
              <w:rPr>
                <w:rFonts w:ascii="Times New Roman" w:hAnsi="Times New Roman"/>
                <w:highlight w:val="none"/>
                <w:lang w:val="en-US"/>
              </w:rPr>
            </w:pPr>
            <w:r>
              <w:rPr>
                <w:rFonts w:ascii="Times New Roman" w:hAnsi="Times New Roman"/>
                <w:highlight w:val="none"/>
                <w:lang w:val="en-US"/>
              </w:rPr>
              <w:t>*法定代表人授权委托书（须同时提供法定代表人和被授权人的身份证复印件</w:t>
            </w:r>
            <w:r>
              <w:rPr>
                <w:highlight w:val="none"/>
                <w:lang w:val="en-US"/>
              </w:rPr>
              <w:t>，</w:t>
            </w:r>
            <w:r>
              <w:rPr>
                <w:rFonts w:ascii="Times New Roman" w:hAnsi="Times New Roman"/>
                <w:highlight w:val="none"/>
                <w:lang w:val="en-US"/>
              </w:rPr>
              <w:t>若法定代表人直接参与投标</w:t>
            </w:r>
            <w:r>
              <w:rPr>
                <w:highlight w:val="none"/>
                <w:lang w:val="en-US"/>
              </w:rPr>
              <w:t>，</w:t>
            </w:r>
            <w:r>
              <w:rPr>
                <w:rFonts w:ascii="Times New Roman" w:hAnsi="Times New Roman"/>
                <w:highlight w:val="none"/>
                <w:lang w:val="en-US"/>
              </w:rPr>
              <w:t>则仅须提供法定代表人的身份证复印件）；</w:t>
            </w:r>
            <w:r>
              <w:rPr>
                <w:rFonts w:hint="eastAsia" w:ascii="Times New Roman" w:hAnsi="Times New Roman"/>
                <w:highlight w:val="none"/>
                <w:lang w:val="en-US"/>
              </w:rPr>
              <w:t xml:space="preserve"> </w:t>
            </w:r>
          </w:p>
          <w:p>
            <w:pPr>
              <w:pStyle w:val="249"/>
              <w:numPr>
                <w:ilvl w:val="0"/>
                <w:numId w:val="27"/>
              </w:numPr>
              <w:ind w:firstLineChars="0"/>
              <w:jc w:val="left"/>
              <w:rPr>
                <w:rFonts w:ascii="Times New Roman" w:hAnsi="Times New Roman"/>
                <w:highlight w:val="none"/>
                <w:lang w:val="en-US"/>
              </w:rPr>
            </w:pPr>
            <w:r>
              <w:rPr>
                <w:rFonts w:ascii="Times New Roman" w:hAnsi="Times New Roman"/>
                <w:highlight w:val="none"/>
                <w:lang w:val="en-US"/>
              </w:rPr>
              <w:t>*投标人资质声明；</w:t>
            </w:r>
          </w:p>
          <w:p>
            <w:pPr>
              <w:pStyle w:val="249"/>
              <w:numPr>
                <w:ilvl w:val="0"/>
                <w:numId w:val="27"/>
              </w:numPr>
              <w:ind w:firstLineChars="0"/>
              <w:jc w:val="left"/>
              <w:rPr>
                <w:rFonts w:ascii="Times New Roman" w:hAnsi="Times New Roman"/>
                <w:highlight w:val="none"/>
                <w:lang w:val="en-US"/>
              </w:rPr>
            </w:pPr>
            <w:r>
              <w:rPr>
                <w:rFonts w:ascii="Times New Roman" w:hAnsi="Times New Roman"/>
                <w:highlight w:val="none"/>
                <w:lang w:val="en-US"/>
              </w:rPr>
              <w:t>*有效的企业法人营业执照/事业单位法人证书副本复印件</w:t>
            </w:r>
            <w:r>
              <w:rPr>
                <w:highlight w:val="none"/>
                <w:lang w:val="en-US"/>
              </w:rPr>
              <w:t>，</w:t>
            </w:r>
            <w:r>
              <w:rPr>
                <w:rFonts w:ascii="Times New Roman" w:hAnsi="Times New Roman"/>
                <w:highlight w:val="none"/>
                <w:lang w:val="en-US"/>
              </w:rPr>
              <w:t>并加盖投标人公章；</w:t>
            </w:r>
          </w:p>
          <w:p>
            <w:pPr>
              <w:pStyle w:val="249"/>
              <w:numPr>
                <w:ilvl w:val="0"/>
                <w:numId w:val="27"/>
              </w:numPr>
              <w:ind w:firstLineChars="0"/>
              <w:jc w:val="left"/>
              <w:rPr>
                <w:rFonts w:ascii="Times New Roman" w:hAnsi="Times New Roman"/>
                <w:highlight w:val="none"/>
                <w:lang w:val="en-US"/>
              </w:rPr>
            </w:pPr>
            <w:r>
              <w:rPr>
                <w:rFonts w:ascii="Times New Roman" w:hAnsi="Times New Roman"/>
                <w:highlight w:val="none"/>
                <w:lang w:val="en-US"/>
              </w:rPr>
              <w:t>*</w:t>
            </w:r>
            <w:r>
              <w:rPr>
                <w:rFonts w:hint="eastAsia" w:ascii="Times New Roman" w:hAnsi="Times New Roman"/>
                <w:highlight w:val="none"/>
                <w:lang w:val="en-US"/>
              </w:rPr>
              <w:t>投标人提供自2024年3月1日起至开标之日连续</w:t>
            </w:r>
            <w:r>
              <w:rPr>
                <w:rFonts w:hint="eastAsia" w:ascii="Times New Roman" w:hAnsi="Times New Roman" w:eastAsia="Times New Roman"/>
                <w:highlight w:val="none"/>
                <w:lang w:val="en-US"/>
              </w:rPr>
              <w:t>3</w:t>
            </w:r>
            <w:r>
              <w:rPr>
                <w:rFonts w:hint="eastAsia" w:ascii="Times New Roman" w:hAnsi="Times New Roman"/>
                <w:highlight w:val="none"/>
                <w:lang w:val="en-US"/>
              </w:rPr>
              <w:t>个月的清晰可辨的纳税证明材料并加盖投标人公章（如至开标之日成立不足三个月的新企业</w:t>
            </w:r>
            <w:r>
              <w:rPr>
                <w:rFonts w:hint="eastAsia"/>
                <w:highlight w:val="none"/>
                <w:lang w:val="en-US"/>
              </w:rPr>
              <w:t>，</w:t>
            </w:r>
            <w:r>
              <w:rPr>
                <w:rFonts w:hint="eastAsia" w:ascii="Times New Roman" w:hAnsi="Times New Roman"/>
                <w:highlight w:val="none"/>
                <w:lang w:val="en-US"/>
              </w:rPr>
              <w:t>应出具本企业将依法纳税的声明承诺函加盖投标人公章）</w:t>
            </w:r>
            <w:r>
              <w:rPr>
                <w:rFonts w:ascii="Times New Roman" w:hAnsi="Times New Roman"/>
                <w:highlight w:val="none"/>
                <w:lang w:val="en-US"/>
              </w:rPr>
              <w:t>；</w:t>
            </w:r>
          </w:p>
          <w:p>
            <w:pPr>
              <w:pStyle w:val="249"/>
              <w:numPr>
                <w:ilvl w:val="0"/>
                <w:numId w:val="27"/>
              </w:numPr>
              <w:ind w:firstLineChars="0"/>
              <w:jc w:val="left"/>
              <w:rPr>
                <w:rFonts w:ascii="Times New Roman" w:hAnsi="Times New Roman"/>
                <w:highlight w:val="none"/>
                <w:lang w:val="en-US"/>
              </w:rPr>
            </w:pPr>
            <w:r>
              <w:rPr>
                <w:rFonts w:ascii="Times New Roman" w:hAnsi="Times New Roman"/>
                <w:highlight w:val="none"/>
                <w:lang w:val="en-US"/>
              </w:rPr>
              <w:t>*</w:t>
            </w:r>
            <w:r>
              <w:rPr>
                <w:rFonts w:hint="eastAsia" w:ascii="Times New Roman" w:hAnsi="Times New Roman"/>
                <w:highlight w:val="none"/>
                <w:lang w:val="en-US"/>
              </w:rPr>
              <w:t>投标人提供自2024年3月1日起至开标之日连续</w:t>
            </w:r>
            <w:r>
              <w:rPr>
                <w:rFonts w:hint="eastAsia" w:ascii="Times New Roman" w:hAnsi="Times New Roman" w:eastAsia="Times New Roman"/>
                <w:highlight w:val="none"/>
                <w:lang w:val="en-US"/>
              </w:rPr>
              <w:t>3</w:t>
            </w:r>
            <w:r>
              <w:rPr>
                <w:rFonts w:hint="eastAsia" w:ascii="Times New Roman" w:hAnsi="Times New Roman"/>
                <w:highlight w:val="none"/>
                <w:lang w:val="en-US"/>
              </w:rPr>
              <w:t>个月的清晰可辨的社保缴费记录证明文件复印件加盖投标人公章（如至开标之日成立不足三个月的新企业</w:t>
            </w:r>
            <w:r>
              <w:rPr>
                <w:rFonts w:hint="eastAsia"/>
                <w:highlight w:val="none"/>
                <w:lang w:val="en-US"/>
              </w:rPr>
              <w:t>，</w:t>
            </w:r>
            <w:r>
              <w:rPr>
                <w:rFonts w:hint="eastAsia" w:ascii="Times New Roman" w:hAnsi="Times New Roman"/>
                <w:highlight w:val="none"/>
                <w:lang w:val="en-US"/>
              </w:rPr>
              <w:t>应出具本企业将依法缴纳社保的声明承诺函加盖投标人公章）</w:t>
            </w:r>
            <w:r>
              <w:rPr>
                <w:rFonts w:ascii="Times New Roman" w:hAnsi="Times New Roman"/>
                <w:highlight w:val="none"/>
                <w:lang w:val="en-US"/>
              </w:rPr>
              <w:t>；</w:t>
            </w:r>
          </w:p>
          <w:p>
            <w:pPr>
              <w:pStyle w:val="249"/>
              <w:numPr>
                <w:ilvl w:val="0"/>
                <w:numId w:val="27"/>
              </w:numPr>
              <w:ind w:firstLineChars="0"/>
              <w:jc w:val="left"/>
              <w:rPr>
                <w:rFonts w:ascii="Times New Roman" w:hAnsi="Times New Roman"/>
                <w:highlight w:val="none"/>
                <w:lang w:val="en-US"/>
              </w:rPr>
            </w:pPr>
            <w:r>
              <w:rPr>
                <w:rFonts w:hint="eastAsia" w:ascii="Times New Roman" w:hAnsi="Times New Roman"/>
                <w:highlight w:val="none"/>
                <w:lang w:val="en-US"/>
              </w:rPr>
              <w:t>*投标人提供会计师事务所出具的2023年的审计报告（审计报告、财务报表及附注）；开业不足一年的可出具其基本开户银行出具的资信证明</w:t>
            </w:r>
            <w:r>
              <w:rPr>
                <w:rFonts w:ascii="Times New Roman" w:hAnsi="Times New Roman"/>
                <w:highlight w:val="none"/>
                <w:lang w:val="en-US"/>
              </w:rPr>
              <w:t>。（上述资料须提供复印件加盖投标人公章）</w:t>
            </w:r>
          </w:p>
          <w:p>
            <w:pPr>
              <w:pStyle w:val="249"/>
              <w:numPr>
                <w:ilvl w:val="0"/>
                <w:numId w:val="27"/>
              </w:numPr>
              <w:ind w:firstLineChars="0"/>
              <w:jc w:val="left"/>
              <w:rPr>
                <w:rFonts w:ascii="Times New Roman" w:hAnsi="Times New Roman"/>
                <w:highlight w:val="none"/>
                <w:lang w:val="en-US"/>
              </w:rPr>
            </w:pPr>
            <w:r>
              <w:rPr>
                <w:rFonts w:hint="eastAsia" w:ascii="Times New Roman" w:hAnsi="Times New Roman"/>
                <w:highlight w:val="none"/>
                <w:lang w:val="en-US"/>
              </w:rPr>
              <w:t>*</w:t>
            </w:r>
            <w:r>
              <w:rPr>
                <w:rFonts w:hint="eastAsia" w:ascii="Times New Roman" w:hAnsi="Times New Roman"/>
                <w:highlight w:val="none"/>
                <w:lang w:val="en-US" w:eastAsia="zh-CN"/>
              </w:rPr>
              <w:t>中小企业文件</w:t>
            </w:r>
            <w:r>
              <w:rPr>
                <w:rFonts w:hint="eastAsia" w:ascii="Times New Roman" w:hAnsi="Times New Roman"/>
                <w:highlight w:val="none"/>
                <w:lang w:val="en-US"/>
              </w:rPr>
              <w:t>：</w:t>
            </w:r>
            <w:r>
              <w:rPr>
                <w:rFonts w:ascii="Times New Roman" w:hAnsi="Times New Roman"/>
                <w:highlight w:val="none"/>
              </w:rPr>
              <w:t>本项目</w:t>
            </w:r>
            <w:r>
              <w:rPr>
                <w:rFonts w:hint="eastAsia" w:ascii="Times New Roman" w:hAnsi="Times New Roman"/>
                <w:highlight w:val="none"/>
                <w:lang w:val="en-US"/>
              </w:rPr>
              <w:t>第</w:t>
            </w:r>
            <w:r>
              <w:rPr>
                <w:rFonts w:hint="eastAsia" w:ascii="Times New Roman" w:hAnsi="Times New Roman" w:eastAsia="宋体"/>
                <w:highlight w:val="none"/>
                <w:lang w:val="en-US" w:eastAsia="zh-CN"/>
              </w:rPr>
              <w:t>3、4、6、7、9、10、11</w:t>
            </w:r>
            <w:r>
              <w:rPr>
                <w:rFonts w:hint="eastAsia" w:ascii="Times New Roman" w:hAnsi="Times New Roman"/>
                <w:highlight w:val="none"/>
                <w:lang w:val="en-US"/>
              </w:rPr>
              <w:t>包专门面向中小企业</w:t>
            </w:r>
            <w:r>
              <w:rPr>
                <w:rFonts w:ascii="Times New Roman" w:hAnsi="Times New Roman"/>
                <w:highlight w:val="none"/>
              </w:rPr>
              <w:t>，</w:t>
            </w:r>
            <w:r>
              <w:rPr>
                <w:rFonts w:hint="eastAsia" w:ascii="Times New Roman" w:hAnsi="Times New Roman"/>
                <w:highlight w:val="none"/>
                <w:lang w:val="en-US"/>
              </w:rPr>
              <w:t>投标人须提供以下三项材料中的任一项①《中小企业声明函》（格式详见第7部分）；②由省级以上监狱管理局、戒毒管理局（含新疆生产建设兵团）出具的属于监狱企业证明文件；③《残疾人福利性单位声明函》（格式详见第7部分）</w:t>
            </w:r>
            <w:r>
              <w:rPr>
                <w:rFonts w:hint="eastAsia" w:ascii="Times New Roman" w:hAnsi="Times New Roman"/>
                <w:highlight w:val="none"/>
                <w:lang w:val="en-US" w:eastAsia="zh-CN"/>
              </w:rPr>
              <w:t>；</w:t>
            </w:r>
          </w:p>
          <w:p>
            <w:pPr>
              <w:pStyle w:val="249"/>
              <w:numPr>
                <w:ilvl w:val="0"/>
                <w:numId w:val="27"/>
              </w:numPr>
              <w:ind w:firstLineChars="0"/>
              <w:jc w:val="left"/>
              <w:rPr>
                <w:rFonts w:ascii="Times New Roman" w:hAnsi="Times New Roman"/>
                <w:highlight w:val="none"/>
                <w:lang w:val="en-US"/>
              </w:rPr>
            </w:pPr>
            <w:r>
              <w:rPr>
                <w:rFonts w:ascii="Times New Roman" w:hAnsi="Times New Roman"/>
                <w:highlight w:val="none"/>
                <w:lang w:val="en-US"/>
              </w:rPr>
              <w:t>*商务条款偏离表；</w:t>
            </w:r>
          </w:p>
          <w:p>
            <w:pPr>
              <w:pStyle w:val="249"/>
              <w:numPr>
                <w:ilvl w:val="0"/>
                <w:numId w:val="27"/>
              </w:numPr>
              <w:ind w:firstLineChars="0"/>
              <w:jc w:val="both"/>
              <w:rPr>
                <w:rFonts w:ascii="Times New Roman" w:hAnsi="Times New Roman"/>
                <w:highlight w:val="none"/>
                <w:lang w:val="en-US"/>
              </w:rPr>
            </w:pPr>
            <w:r>
              <w:rPr>
                <w:rFonts w:ascii="Times New Roman" w:hAnsi="Times New Roman"/>
                <w:highlight w:val="none"/>
                <w:lang w:val="en-US"/>
              </w:rPr>
              <w:t>提供有效的体系认证文件：</w:t>
            </w:r>
            <w:r>
              <w:rPr>
                <w:rFonts w:hint="eastAsia" w:ascii="Times New Roman" w:hAnsi="Times New Roman"/>
                <w:highlight w:val="none"/>
                <w:lang w:val="en-US"/>
              </w:rPr>
              <w:t>质量管理体系（ISO9001或GB/T19001或GJB9001）、环境管理体系（ISO14001或GB/T24001）、职业健康与安全管理体系（GB/T45001或ISO45001）</w:t>
            </w:r>
            <w:r>
              <w:rPr>
                <w:rFonts w:ascii="Times New Roman" w:hAnsi="Times New Roman"/>
                <w:highlight w:val="none"/>
                <w:lang w:val="en-US"/>
              </w:rPr>
              <w:t>（复印件加盖投标人公章）；</w:t>
            </w:r>
          </w:p>
          <w:p>
            <w:pPr>
              <w:pStyle w:val="249"/>
              <w:numPr>
                <w:ilvl w:val="0"/>
                <w:numId w:val="27"/>
              </w:numPr>
              <w:ind w:firstLineChars="0"/>
              <w:jc w:val="left"/>
              <w:rPr>
                <w:rFonts w:ascii="Times New Roman" w:hAnsi="Times New Roman"/>
                <w:highlight w:val="none"/>
                <w:lang w:val="en-US"/>
              </w:rPr>
            </w:pPr>
            <w:r>
              <w:rPr>
                <w:rFonts w:ascii="Times New Roman" w:hAnsi="Times New Roman"/>
                <w:highlight w:val="none"/>
              </w:rPr>
              <w:t>与评审相关的其他商务资料。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5" w:type="dxa"/>
            <w:bottom w:w="0" w:type="dxa"/>
            <w:right w:w="108" w:type="dxa"/>
          </w:tblCellMar>
        </w:tblPrEx>
        <w:trPr>
          <w:trHeight w:val="20" w:hRule="atLeast"/>
          <w:jc w:val="center"/>
        </w:trPr>
        <w:tc>
          <w:tcPr>
            <w:tcW w:w="729" w:type="dxa"/>
            <w:vAlign w:val="center"/>
          </w:tcPr>
          <w:p>
            <w:pPr>
              <w:pStyle w:val="249"/>
              <w:numPr>
                <w:ilvl w:val="0"/>
                <w:numId w:val="26"/>
              </w:numPr>
              <w:tabs>
                <w:tab w:val="left" w:pos="397"/>
              </w:tabs>
              <w:spacing w:line="320" w:lineRule="exact"/>
              <w:ind w:firstLineChars="0"/>
              <w:jc w:val="center"/>
              <w:rPr>
                <w:rFonts w:ascii="Times New Roman" w:hAnsi="Times New Roman"/>
                <w:bCs/>
                <w:highlight w:val="none"/>
              </w:rPr>
            </w:pPr>
          </w:p>
        </w:tc>
        <w:tc>
          <w:tcPr>
            <w:tcW w:w="1146" w:type="dxa"/>
            <w:vAlign w:val="center"/>
          </w:tcPr>
          <w:p>
            <w:pPr>
              <w:pStyle w:val="249"/>
              <w:spacing w:line="320" w:lineRule="exact"/>
              <w:ind w:firstLine="0" w:firstLineChars="0"/>
              <w:jc w:val="center"/>
              <w:rPr>
                <w:rFonts w:ascii="Times New Roman" w:hAnsi="Times New Roman"/>
                <w:bCs/>
                <w:highlight w:val="none"/>
                <w:lang w:val="en-US"/>
              </w:rPr>
            </w:pPr>
            <w:r>
              <w:rPr>
                <w:rFonts w:ascii="Times New Roman" w:hAnsi="Times New Roman" w:eastAsia="Times New Roman"/>
                <w:bCs/>
                <w:highlight w:val="none"/>
                <w:lang w:val="en-US"/>
              </w:rPr>
              <w:t>3</w:t>
            </w:r>
            <w:r>
              <w:rPr>
                <w:rFonts w:ascii="Times New Roman" w:hAnsi="Times New Roman"/>
                <w:bCs/>
                <w:highlight w:val="none"/>
                <w:lang w:val="en-US"/>
              </w:rPr>
              <w:t>.</w:t>
            </w:r>
            <w:r>
              <w:rPr>
                <w:rFonts w:ascii="Times New Roman" w:hAnsi="Times New Roman" w:eastAsia="Times New Roman"/>
                <w:bCs/>
                <w:highlight w:val="none"/>
                <w:lang w:val="en-US"/>
              </w:rPr>
              <w:t>3</w:t>
            </w:r>
            <w:r>
              <w:rPr>
                <w:rFonts w:ascii="Times New Roman" w:hAnsi="Times New Roman"/>
                <w:bCs/>
                <w:highlight w:val="none"/>
                <w:lang w:val="en-US"/>
              </w:rPr>
              <w:t>.</w:t>
            </w:r>
            <w:r>
              <w:rPr>
                <w:rFonts w:ascii="Times New Roman" w:hAnsi="Times New Roman" w:eastAsia="Times New Roman"/>
                <w:bCs/>
                <w:highlight w:val="none"/>
                <w:lang w:val="en-US"/>
              </w:rPr>
              <w:t>2</w:t>
            </w:r>
            <w:r>
              <w:rPr>
                <w:rFonts w:ascii="Times New Roman" w:hAnsi="Times New Roman"/>
                <w:bCs/>
                <w:highlight w:val="none"/>
                <w:lang w:val="en-US"/>
              </w:rPr>
              <w:t>.</w:t>
            </w:r>
            <w:r>
              <w:rPr>
                <w:rFonts w:ascii="Times New Roman" w:hAnsi="Times New Roman" w:eastAsia="Times New Roman"/>
                <w:bCs/>
                <w:highlight w:val="none"/>
                <w:lang w:val="en-US"/>
              </w:rPr>
              <w:t>1</w:t>
            </w:r>
          </w:p>
        </w:tc>
        <w:tc>
          <w:tcPr>
            <w:tcW w:w="1936" w:type="dxa"/>
            <w:vAlign w:val="center"/>
          </w:tcPr>
          <w:p>
            <w:pPr>
              <w:pStyle w:val="249"/>
              <w:spacing w:line="320" w:lineRule="exact"/>
              <w:ind w:firstLine="0" w:firstLineChars="0"/>
              <w:jc w:val="center"/>
              <w:rPr>
                <w:rFonts w:ascii="Times New Roman" w:hAnsi="Times New Roman"/>
                <w:highlight w:val="none"/>
              </w:rPr>
            </w:pPr>
            <w:r>
              <w:rPr>
                <w:rFonts w:ascii="Times New Roman" w:hAnsi="Times New Roman"/>
                <w:highlight w:val="none"/>
              </w:rPr>
              <w:t>投标人应提交的技术文件</w:t>
            </w:r>
          </w:p>
        </w:tc>
        <w:tc>
          <w:tcPr>
            <w:tcW w:w="5823" w:type="dxa"/>
            <w:vAlign w:val="center"/>
          </w:tcPr>
          <w:p>
            <w:pPr>
              <w:pStyle w:val="249"/>
              <w:numPr>
                <w:ilvl w:val="0"/>
                <w:numId w:val="28"/>
              </w:numPr>
              <w:ind w:firstLineChars="0"/>
              <w:jc w:val="left"/>
              <w:rPr>
                <w:rFonts w:ascii="Times New Roman" w:hAnsi="Times New Roman"/>
                <w:highlight w:val="none"/>
              </w:rPr>
            </w:pPr>
            <w:r>
              <w:rPr>
                <w:rFonts w:ascii="Times New Roman" w:hAnsi="Times New Roman"/>
                <w:highlight w:val="none"/>
              </w:rPr>
              <w:t>*开标一览表</w:t>
            </w:r>
            <w:r>
              <w:rPr>
                <w:rFonts w:hint="eastAsia" w:ascii="Times New Roman" w:hAnsi="Times New Roman"/>
                <w:highlight w:val="none"/>
              </w:rPr>
              <w:t>（分包填写）</w:t>
            </w:r>
            <w:r>
              <w:rPr>
                <w:rFonts w:ascii="Times New Roman" w:hAnsi="Times New Roman"/>
                <w:highlight w:val="none"/>
              </w:rPr>
              <w:t>；</w:t>
            </w:r>
          </w:p>
          <w:p>
            <w:pPr>
              <w:pStyle w:val="249"/>
              <w:numPr>
                <w:ilvl w:val="0"/>
                <w:numId w:val="28"/>
              </w:numPr>
              <w:ind w:firstLineChars="0"/>
              <w:jc w:val="left"/>
              <w:rPr>
                <w:rFonts w:ascii="Times New Roman" w:hAnsi="Times New Roman"/>
                <w:highlight w:val="none"/>
              </w:rPr>
            </w:pPr>
            <w:r>
              <w:rPr>
                <w:rFonts w:ascii="Times New Roman" w:hAnsi="Times New Roman"/>
                <w:highlight w:val="none"/>
              </w:rPr>
              <w:t>*投标货物技术规范偏离表</w:t>
            </w:r>
            <w:r>
              <w:rPr>
                <w:rFonts w:hint="eastAsia" w:ascii="Times New Roman" w:hAnsi="Times New Roman"/>
                <w:highlight w:val="none"/>
              </w:rPr>
              <w:t>（分包填写）</w:t>
            </w:r>
            <w:r>
              <w:rPr>
                <w:rFonts w:ascii="Times New Roman" w:hAnsi="Times New Roman"/>
                <w:highlight w:val="none"/>
              </w:rPr>
              <w:t>；</w:t>
            </w:r>
          </w:p>
          <w:p>
            <w:pPr>
              <w:pStyle w:val="249"/>
              <w:numPr>
                <w:ilvl w:val="0"/>
                <w:numId w:val="28"/>
              </w:numPr>
              <w:ind w:firstLineChars="0"/>
              <w:jc w:val="left"/>
              <w:rPr>
                <w:rFonts w:ascii="Times New Roman" w:hAnsi="Times New Roman"/>
                <w:highlight w:val="none"/>
              </w:rPr>
            </w:pPr>
            <w:r>
              <w:rPr>
                <w:rFonts w:ascii="Times New Roman" w:hAnsi="Times New Roman"/>
                <w:highlight w:val="none"/>
              </w:rPr>
              <w:t>*投标人服务项目偏离表</w:t>
            </w:r>
            <w:r>
              <w:rPr>
                <w:rFonts w:hint="eastAsia" w:ascii="Times New Roman" w:hAnsi="Times New Roman"/>
                <w:highlight w:val="none"/>
              </w:rPr>
              <w:t>（分包填写）</w:t>
            </w:r>
            <w:r>
              <w:rPr>
                <w:rFonts w:ascii="Times New Roman" w:hAnsi="Times New Roman"/>
                <w:highlight w:val="none"/>
              </w:rPr>
              <w:t>；</w:t>
            </w:r>
          </w:p>
          <w:p>
            <w:pPr>
              <w:pStyle w:val="249"/>
              <w:numPr>
                <w:ilvl w:val="0"/>
                <w:numId w:val="28"/>
              </w:numPr>
              <w:ind w:firstLineChars="0"/>
              <w:jc w:val="left"/>
              <w:rPr>
                <w:rFonts w:ascii="Times New Roman" w:hAnsi="Times New Roman"/>
                <w:highlight w:val="none"/>
              </w:rPr>
            </w:pPr>
            <w:r>
              <w:rPr>
                <w:rFonts w:hint="eastAsia" w:ascii="Times New Roman" w:hAnsi="Times New Roman"/>
                <w:highlight w:val="none"/>
              </w:rPr>
              <w:t>投标人按照第五部分的要求提供所投产品真实有效的合格检验报告</w:t>
            </w:r>
            <w:r>
              <w:rPr>
                <w:rFonts w:ascii="Times New Roman" w:hAnsi="Times New Roman"/>
                <w:highlight w:val="none"/>
              </w:rPr>
              <w:t>（复印件加盖投标人公章）</w:t>
            </w:r>
            <w:r>
              <w:rPr>
                <w:rFonts w:hint="eastAsia"/>
                <w:color w:val="000000"/>
                <w:highlight w:val="none"/>
              </w:rPr>
              <w:t>；</w:t>
            </w:r>
          </w:p>
          <w:p>
            <w:pPr>
              <w:pStyle w:val="249"/>
              <w:numPr>
                <w:ilvl w:val="0"/>
                <w:numId w:val="28"/>
              </w:numPr>
              <w:ind w:firstLineChars="0"/>
              <w:jc w:val="left"/>
              <w:rPr>
                <w:rFonts w:ascii="Times New Roman" w:hAnsi="Times New Roman"/>
                <w:highlight w:val="none"/>
              </w:rPr>
            </w:pPr>
            <w:r>
              <w:rPr>
                <w:rFonts w:hint="eastAsia" w:ascii="Times New Roman" w:hAnsi="Times New Roman"/>
                <w:highlight w:val="none"/>
                <w:lang w:val="en-US"/>
              </w:rPr>
              <w:t>按照采购需求中“服务要求”结合评分部分</w:t>
            </w:r>
            <w:r>
              <w:rPr>
                <w:rFonts w:hint="eastAsia"/>
                <w:highlight w:val="none"/>
                <w:lang w:val="en-US"/>
              </w:rPr>
              <w:t>，</w:t>
            </w:r>
            <w:r>
              <w:rPr>
                <w:rFonts w:hint="eastAsia" w:ascii="Times New Roman" w:hAnsi="Times New Roman"/>
                <w:highlight w:val="none"/>
                <w:lang w:val="en-US"/>
              </w:rPr>
              <w:t>提供详细的服务相关材料；</w:t>
            </w:r>
          </w:p>
          <w:p>
            <w:pPr>
              <w:pStyle w:val="249"/>
              <w:numPr>
                <w:ilvl w:val="0"/>
                <w:numId w:val="28"/>
              </w:numPr>
              <w:ind w:firstLineChars="0"/>
              <w:jc w:val="left"/>
              <w:rPr>
                <w:rFonts w:ascii="Times New Roman" w:hAnsi="Times New Roman"/>
                <w:highlight w:val="none"/>
              </w:rPr>
            </w:pPr>
            <w:r>
              <w:rPr>
                <w:rFonts w:ascii="Times New Roman" w:hAnsi="Times New Roman"/>
                <w:highlight w:val="none"/>
              </w:rPr>
              <w:t>自行编写的技术文件</w:t>
            </w:r>
            <w:r>
              <w:rPr>
                <w:rFonts w:hint="eastAsia" w:ascii="Times New Roman" w:hAnsi="Times New Roman"/>
                <w:highlight w:val="none"/>
              </w:rPr>
              <w:t>（</w:t>
            </w:r>
            <w:r>
              <w:rPr>
                <w:rFonts w:hint="eastAsia" w:ascii="Times New Roman" w:hAnsi="Times New Roman"/>
                <w:highlight w:val="none"/>
                <w:lang w:val="en-US"/>
              </w:rPr>
              <w:t>加盖投标人公章</w:t>
            </w:r>
            <w:r>
              <w:rPr>
                <w:rFonts w:hint="eastAsia" w:ascii="Times New Roman" w:hAnsi="Times New Roman"/>
                <w:highlight w:val="none"/>
              </w:rPr>
              <w:t>）</w:t>
            </w:r>
            <w:r>
              <w:rPr>
                <w:highlight w:val="none"/>
              </w:rPr>
              <w:t>，</w:t>
            </w:r>
            <w:r>
              <w:rPr>
                <w:rFonts w:ascii="Times New Roman" w:hAnsi="Times New Roman"/>
                <w:highlight w:val="none"/>
              </w:rPr>
              <w:t>包括但不限于以下内容：</w:t>
            </w:r>
          </w:p>
          <w:p>
            <w:pPr>
              <w:pStyle w:val="249"/>
              <w:ind w:firstLine="0" w:firstLineChars="0"/>
              <w:jc w:val="left"/>
              <w:rPr>
                <w:rFonts w:ascii="Times New Roman" w:hAnsi="Times New Roman"/>
                <w:highlight w:val="none"/>
              </w:rPr>
            </w:pPr>
            <w:r>
              <w:rPr>
                <w:rFonts w:hint="eastAsia" w:ascii="Times New Roman" w:hAnsi="Times New Roman"/>
                <w:highlight w:val="none"/>
              </w:rPr>
              <w:t>（</w:t>
            </w:r>
            <w:r>
              <w:rPr>
                <w:rFonts w:hint="eastAsia" w:ascii="Times New Roman" w:hAnsi="Times New Roman" w:eastAsia="Times New Roman"/>
                <w:highlight w:val="none"/>
              </w:rPr>
              <w:t>1</w:t>
            </w:r>
            <w:r>
              <w:rPr>
                <w:rFonts w:hint="eastAsia" w:ascii="Times New Roman" w:hAnsi="Times New Roman"/>
                <w:highlight w:val="none"/>
              </w:rPr>
              <w:t>）货物主要技术指标和运行性能的详细描述；</w:t>
            </w:r>
          </w:p>
          <w:p>
            <w:pPr>
              <w:pStyle w:val="249"/>
              <w:ind w:firstLine="0" w:firstLineChars="0"/>
              <w:jc w:val="left"/>
              <w:rPr>
                <w:rFonts w:ascii="Times New Roman" w:hAnsi="Times New Roman"/>
                <w:highlight w:val="none"/>
              </w:rPr>
            </w:pPr>
            <w:r>
              <w:rPr>
                <w:rFonts w:hint="eastAsia" w:ascii="Times New Roman" w:hAnsi="Times New Roman"/>
                <w:highlight w:val="none"/>
              </w:rPr>
              <w:t>（</w:t>
            </w:r>
            <w:r>
              <w:rPr>
                <w:rFonts w:hint="eastAsia" w:ascii="Times New Roman" w:hAnsi="Times New Roman" w:eastAsia="Times New Roman"/>
                <w:highlight w:val="none"/>
              </w:rPr>
              <w:t>2</w:t>
            </w:r>
            <w:r>
              <w:rPr>
                <w:rFonts w:hint="eastAsia" w:ascii="Times New Roman" w:hAnsi="Times New Roman"/>
                <w:highlight w:val="none"/>
              </w:rPr>
              <w:t>）关键部件明细表（包括品牌、制造厂家名称和国别）；</w:t>
            </w:r>
          </w:p>
          <w:p>
            <w:pPr>
              <w:pStyle w:val="249"/>
              <w:ind w:firstLine="0" w:firstLineChars="0"/>
              <w:jc w:val="left"/>
              <w:rPr>
                <w:rFonts w:ascii="Times New Roman" w:hAnsi="Times New Roman"/>
                <w:highlight w:val="none"/>
              </w:rPr>
            </w:pPr>
            <w:r>
              <w:rPr>
                <w:rFonts w:hint="eastAsia" w:ascii="Times New Roman" w:hAnsi="Times New Roman"/>
                <w:highlight w:val="none"/>
              </w:rPr>
              <w:t>（</w:t>
            </w:r>
            <w:r>
              <w:rPr>
                <w:rFonts w:hint="eastAsia" w:ascii="Times New Roman" w:hAnsi="Times New Roman" w:eastAsia="Times New Roman"/>
                <w:highlight w:val="none"/>
              </w:rPr>
              <w:t>3</w:t>
            </w:r>
            <w:r>
              <w:rPr>
                <w:rFonts w:hint="eastAsia" w:ascii="Times New Roman" w:hAnsi="Times New Roman"/>
                <w:highlight w:val="none"/>
              </w:rPr>
              <w:t>）货物安装验收标准；</w:t>
            </w:r>
          </w:p>
          <w:p>
            <w:pPr>
              <w:pStyle w:val="249"/>
              <w:numPr>
                <w:ilvl w:val="0"/>
                <w:numId w:val="28"/>
              </w:numPr>
              <w:ind w:firstLineChars="0"/>
              <w:jc w:val="left"/>
              <w:rPr>
                <w:rFonts w:ascii="Times New Roman" w:hAnsi="Times New Roman"/>
                <w:highlight w:val="none"/>
              </w:rPr>
            </w:pPr>
            <w:r>
              <w:rPr>
                <w:rFonts w:ascii="Times New Roman" w:hAnsi="Times New Roman"/>
                <w:highlight w:val="none"/>
              </w:rPr>
              <w:t>与评审相关的其他技术文件。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5" w:type="dxa"/>
            <w:bottom w:w="0" w:type="dxa"/>
            <w:right w:w="108" w:type="dxa"/>
          </w:tblCellMar>
        </w:tblPrEx>
        <w:trPr>
          <w:trHeight w:val="20" w:hRule="atLeast"/>
          <w:jc w:val="center"/>
        </w:trPr>
        <w:tc>
          <w:tcPr>
            <w:tcW w:w="729" w:type="dxa"/>
            <w:vAlign w:val="center"/>
          </w:tcPr>
          <w:p>
            <w:pPr>
              <w:pStyle w:val="249"/>
              <w:numPr>
                <w:ilvl w:val="0"/>
                <w:numId w:val="26"/>
              </w:numPr>
              <w:tabs>
                <w:tab w:val="left" w:pos="397"/>
              </w:tabs>
              <w:spacing w:line="320" w:lineRule="exact"/>
              <w:ind w:firstLineChars="0"/>
              <w:jc w:val="center"/>
              <w:rPr>
                <w:rFonts w:ascii="Times New Roman" w:hAnsi="Times New Roman"/>
                <w:bCs/>
                <w:highlight w:val="none"/>
              </w:rPr>
            </w:pPr>
          </w:p>
        </w:tc>
        <w:tc>
          <w:tcPr>
            <w:tcW w:w="1146" w:type="dxa"/>
            <w:vAlign w:val="center"/>
          </w:tcPr>
          <w:p>
            <w:pPr>
              <w:pStyle w:val="249"/>
              <w:spacing w:line="320" w:lineRule="exact"/>
              <w:ind w:firstLine="0" w:firstLineChars="0"/>
              <w:jc w:val="center"/>
              <w:rPr>
                <w:rFonts w:ascii="Times New Roman" w:hAnsi="Times New Roman"/>
                <w:bCs/>
                <w:highlight w:val="none"/>
              </w:rPr>
            </w:pPr>
          </w:p>
        </w:tc>
        <w:tc>
          <w:tcPr>
            <w:tcW w:w="1936" w:type="dxa"/>
            <w:vAlign w:val="center"/>
          </w:tcPr>
          <w:p>
            <w:pPr>
              <w:pStyle w:val="249"/>
              <w:spacing w:line="320" w:lineRule="exact"/>
              <w:ind w:firstLine="0" w:firstLineChars="0"/>
              <w:jc w:val="center"/>
              <w:rPr>
                <w:rFonts w:ascii="Times New Roman" w:hAnsi="Times New Roman"/>
                <w:highlight w:val="none"/>
              </w:rPr>
            </w:pPr>
            <w:r>
              <w:rPr>
                <w:rFonts w:ascii="Times New Roman" w:hAnsi="Times New Roman"/>
                <w:highlight w:val="none"/>
              </w:rPr>
              <w:t>是否允许投标人将项目非主体、非关键性工作交由他人完成</w:t>
            </w:r>
          </w:p>
        </w:tc>
        <w:tc>
          <w:tcPr>
            <w:tcW w:w="5823" w:type="dxa"/>
            <w:vAlign w:val="center"/>
          </w:tcPr>
          <w:p>
            <w:pPr>
              <w:pStyle w:val="249"/>
              <w:ind w:firstLine="0" w:firstLineChars="0"/>
              <w:jc w:val="left"/>
              <w:rPr>
                <w:rFonts w:ascii="Times New Roman" w:hAnsi="Times New Roman"/>
                <w:highlight w:val="none"/>
                <w:lang w:val="en-US"/>
              </w:rPr>
            </w:pPr>
            <w:r>
              <w:rPr>
                <w:rFonts w:ascii="Times New Roman" w:hAnsi="Times New Roman"/>
                <w:highlight w:val="none"/>
                <w:lang w:val="en-US"/>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5" w:type="dxa"/>
            <w:bottom w:w="0" w:type="dxa"/>
            <w:right w:w="108" w:type="dxa"/>
          </w:tblCellMar>
        </w:tblPrEx>
        <w:trPr>
          <w:trHeight w:val="20" w:hRule="atLeast"/>
          <w:jc w:val="center"/>
        </w:trPr>
        <w:tc>
          <w:tcPr>
            <w:tcW w:w="729" w:type="dxa"/>
            <w:vAlign w:val="center"/>
          </w:tcPr>
          <w:p>
            <w:pPr>
              <w:pStyle w:val="249"/>
              <w:numPr>
                <w:ilvl w:val="0"/>
                <w:numId w:val="26"/>
              </w:numPr>
              <w:tabs>
                <w:tab w:val="left" w:pos="397"/>
              </w:tabs>
              <w:spacing w:line="320" w:lineRule="exact"/>
              <w:ind w:firstLineChars="0"/>
              <w:jc w:val="center"/>
              <w:rPr>
                <w:rFonts w:ascii="Times New Roman" w:hAnsi="Times New Roman"/>
                <w:bCs/>
                <w:highlight w:val="none"/>
              </w:rPr>
            </w:pPr>
          </w:p>
        </w:tc>
        <w:tc>
          <w:tcPr>
            <w:tcW w:w="1146" w:type="dxa"/>
            <w:vAlign w:val="center"/>
          </w:tcPr>
          <w:p>
            <w:pPr>
              <w:pStyle w:val="249"/>
              <w:spacing w:line="320" w:lineRule="exact"/>
              <w:ind w:firstLine="0" w:firstLineChars="0"/>
              <w:jc w:val="center"/>
              <w:rPr>
                <w:rFonts w:ascii="Times New Roman" w:hAnsi="Times New Roman"/>
                <w:bCs/>
                <w:highlight w:val="none"/>
                <w:lang w:val="en-US"/>
              </w:rPr>
            </w:pPr>
            <w:r>
              <w:rPr>
                <w:rFonts w:ascii="Times New Roman" w:hAnsi="Times New Roman" w:eastAsia="Times New Roman"/>
                <w:bCs/>
                <w:highlight w:val="none"/>
                <w:lang w:val="en-US"/>
              </w:rPr>
              <w:t>3</w:t>
            </w:r>
            <w:r>
              <w:rPr>
                <w:rFonts w:ascii="Times New Roman" w:hAnsi="Times New Roman"/>
                <w:bCs/>
                <w:highlight w:val="none"/>
                <w:lang w:val="en-US"/>
              </w:rPr>
              <w:t>.</w:t>
            </w:r>
            <w:r>
              <w:rPr>
                <w:rFonts w:ascii="Times New Roman" w:hAnsi="Times New Roman" w:eastAsia="Times New Roman"/>
                <w:bCs/>
                <w:highlight w:val="none"/>
                <w:lang w:val="en-US"/>
              </w:rPr>
              <w:t>2</w:t>
            </w:r>
            <w:r>
              <w:rPr>
                <w:rFonts w:ascii="Times New Roman" w:hAnsi="Times New Roman"/>
                <w:bCs/>
                <w:highlight w:val="none"/>
                <w:lang w:val="en-US"/>
              </w:rPr>
              <w:t>.</w:t>
            </w:r>
            <w:r>
              <w:rPr>
                <w:rFonts w:ascii="Times New Roman" w:hAnsi="Times New Roman" w:eastAsia="Times New Roman"/>
                <w:bCs/>
                <w:highlight w:val="none"/>
                <w:lang w:val="en-US"/>
              </w:rPr>
              <w:t>2</w:t>
            </w:r>
          </w:p>
        </w:tc>
        <w:tc>
          <w:tcPr>
            <w:tcW w:w="1936" w:type="dxa"/>
            <w:vAlign w:val="center"/>
          </w:tcPr>
          <w:p>
            <w:pPr>
              <w:pStyle w:val="249"/>
              <w:spacing w:line="320" w:lineRule="exact"/>
              <w:ind w:firstLine="0" w:firstLineChars="0"/>
              <w:jc w:val="center"/>
              <w:rPr>
                <w:rFonts w:ascii="Times New Roman" w:hAnsi="Times New Roman"/>
                <w:highlight w:val="none"/>
              </w:rPr>
            </w:pPr>
            <w:r>
              <w:rPr>
                <w:rFonts w:ascii="Times New Roman" w:hAnsi="Times New Roman"/>
                <w:highlight w:val="none"/>
              </w:rPr>
              <w:t>是否组织</w:t>
            </w:r>
          </w:p>
          <w:p>
            <w:pPr>
              <w:pStyle w:val="249"/>
              <w:spacing w:line="320" w:lineRule="exact"/>
              <w:ind w:firstLine="0" w:firstLineChars="0"/>
              <w:jc w:val="center"/>
              <w:rPr>
                <w:rFonts w:ascii="Times New Roman" w:hAnsi="Times New Roman"/>
                <w:highlight w:val="none"/>
              </w:rPr>
            </w:pPr>
            <w:r>
              <w:rPr>
                <w:rFonts w:ascii="Times New Roman" w:hAnsi="Times New Roman"/>
                <w:highlight w:val="none"/>
              </w:rPr>
              <w:t>现场考察</w:t>
            </w:r>
          </w:p>
          <w:p>
            <w:pPr>
              <w:pStyle w:val="249"/>
              <w:spacing w:line="320" w:lineRule="exact"/>
              <w:ind w:firstLine="0" w:firstLineChars="0"/>
              <w:jc w:val="center"/>
              <w:rPr>
                <w:rFonts w:ascii="Times New Roman" w:hAnsi="Times New Roman"/>
                <w:highlight w:val="none"/>
              </w:rPr>
            </w:pPr>
            <w:r>
              <w:rPr>
                <w:rFonts w:ascii="Times New Roman" w:hAnsi="Times New Roman"/>
                <w:highlight w:val="none"/>
              </w:rPr>
              <w:t>（标前答疑会）</w:t>
            </w:r>
          </w:p>
        </w:tc>
        <w:tc>
          <w:tcPr>
            <w:tcW w:w="5823" w:type="dxa"/>
            <w:vAlign w:val="center"/>
          </w:tcPr>
          <w:p>
            <w:pPr>
              <w:pStyle w:val="249"/>
              <w:ind w:firstLine="0" w:firstLineChars="0"/>
              <w:jc w:val="left"/>
              <w:rPr>
                <w:rFonts w:ascii="Times New Roman" w:hAnsi="Times New Roman"/>
                <w:highlight w:val="none"/>
                <w:lang w:val="en-US"/>
              </w:rPr>
            </w:pPr>
            <w:r>
              <w:rPr>
                <w:rFonts w:hint="eastAsia" w:ascii="Times New Roman" w:hAnsi="Times New Roman"/>
                <w:highlight w:val="none"/>
                <w:lang w:val="en-US"/>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5" w:type="dxa"/>
            <w:bottom w:w="0" w:type="dxa"/>
            <w:right w:w="108" w:type="dxa"/>
          </w:tblCellMar>
        </w:tblPrEx>
        <w:trPr>
          <w:trHeight w:val="20" w:hRule="atLeast"/>
          <w:jc w:val="center"/>
        </w:trPr>
        <w:tc>
          <w:tcPr>
            <w:tcW w:w="729" w:type="dxa"/>
            <w:vAlign w:val="center"/>
          </w:tcPr>
          <w:p>
            <w:pPr>
              <w:pStyle w:val="249"/>
              <w:numPr>
                <w:ilvl w:val="0"/>
                <w:numId w:val="26"/>
              </w:numPr>
              <w:tabs>
                <w:tab w:val="left" w:pos="397"/>
              </w:tabs>
              <w:spacing w:line="320" w:lineRule="exact"/>
              <w:ind w:firstLineChars="0"/>
              <w:jc w:val="center"/>
              <w:rPr>
                <w:rFonts w:ascii="Times New Roman" w:hAnsi="Times New Roman"/>
                <w:bCs/>
                <w:highlight w:val="none"/>
              </w:rPr>
            </w:pPr>
          </w:p>
        </w:tc>
        <w:tc>
          <w:tcPr>
            <w:tcW w:w="1146" w:type="dxa"/>
            <w:vAlign w:val="center"/>
          </w:tcPr>
          <w:p>
            <w:pPr>
              <w:pStyle w:val="249"/>
              <w:spacing w:line="320" w:lineRule="exact"/>
              <w:ind w:firstLine="0" w:firstLineChars="0"/>
              <w:jc w:val="center"/>
              <w:rPr>
                <w:rFonts w:ascii="Times New Roman" w:hAnsi="Times New Roman"/>
                <w:bCs/>
                <w:highlight w:val="none"/>
                <w:lang w:val="en-US"/>
              </w:rPr>
            </w:pPr>
            <w:r>
              <w:rPr>
                <w:rFonts w:ascii="Times New Roman" w:hAnsi="Times New Roman" w:eastAsia="Times New Roman"/>
                <w:bCs/>
                <w:highlight w:val="none"/>
                <w:lang w:val="en-US"/>
              </w:rPr>
              <w:t>3</w:t>
            </w:r>
            <w:r>
              <w:rPr>
                <w:rFonts w:ascii="Times New Roman" w:hAnsi="Times New Roman"/>
                <w:bCs/>
                <w:highlight w:val="none"/>
                <w:lang w:val="en-US"/>
              </w:rPr>
              <w:t>.</w:t>
            </w:r>
            <w:r>
              <w:rPr>
                <w:rFonts w:ascii="Times New Roman" w:hAnsi="Times New Roman" w:eastAsia="Times New Roman"/>
                <w:bCs/>
                <w:highlight w:val="none"/>
                <w:lang w:val="en-US"/>
              </w:rPr>
              <w:t>3</w:t>
            </w:r>
            <w:r>
              <w:rPr>
                <w:rFonts w:ascii="Times New Roman" w:hAnsi="Times New Roman"/>
                <w:bCs/>
                <w:highlight w:val="none"/>
                <w:lang w:val="en-US"/>
              </w:rPr>
              <w:t>.</w:t>
            </w:r>
            <w:r>
              <w:rPr>
                <w:rFonts w:ascii="Times New Roman" w:hAnsi="Times New Roman" w:eastAsia="Times New Roman"/>
                <w:bCs/>
                <w:highlight w:val="none"/>
                <w:lang w:val="en-US"/>
              </w:rPr>
              <w:t>3</w:t>
            </w:r>
          </w:p>
        </w:tc>
        <w:tc>
          <w:tcPr>
            <w:tcW w:w="1936" w:type="dxa"/>
            <w:vAlign w:val="center"/>
          </w:tcPr>
          <w:p>
            <w:pPr>
              <w:pStyle w:val="249"/>
              <w:spacing w:line="320" w:lineRule="exact"/>
              <w:ind w:firstLine="0" w:firstLineChars="0"/>
              <w:jc w:val="center"/>
              <w:rPr>
                <w:rFonts w:ascii="Times New Roman" w:hAnsi="Times New Roman"/>
                <w:highlight w:val="none"/>
              </w:rPr>
            </w:pPr>
            <w:r>
              <w:rPr>
                <w:rFonts w:ascii="Times New Roman" w:hAnsi="Times New Roman"/>
                <w:highlight w:val="none"/>
              </w:rPr>
              <w:t>投标文件</w:t>
            </w:r>
          </w:p>
          <w:p>
            <w:pPr>
              <w:pStyle w:val="249"/>
              <w:spacing w:line="320" w:lineRule="exact"/>
              <w:ind w:firstLine="0" w:firstLineChars="0"/>
              <w:jc w:val="center"/>
              <w:rPr>
                <w:rFonts w:ascii="Times New Roman" w:hAnsi="Times New Roman"/>
                <w:highlight w:val="none"/>
              </w:rPr>
            </w:pPr>
            <w:r>
              <w:rPr>
                <w:rFonts w:ascii="Times New Roman" w:hAnsi="Times New Roman"/>
                <w:highlight w:val="none"/>
              </w:rPr>
              <w:t>有效期</w:t>
            </w:r>
          </w:p>
        </w:tc>
        <w:tc>
          <w:tcPr>
            <w:tcW w:w="5823" w:type="dxa"/>
            <w:vAlign w:val="center"/>
          </w:tcPr>
          <w:p>
            <w:pPr>
              <w:pStyle w:val="249"/>
              <w:ind w:firstLine="0" w:firstLineChars="0"/>
              <w:jc w:val="left"/>
              <w:rPr>
                <w:rFonts w:ascii="Times New Roman" w:hAnsi="Times New Roman"/>
                <w:highlight w:val="none"/>
              </w:rPr>
            </w:pPr>
            <w:r>
              <w:rPr>
                <w:rFonts w:ascii="Times New Roman" w:hAnsi="Times New Roman"/>
                <w:highlight w:val="none"/>
              </w:rPr>
              <w:t>*</w:t>
            </w:r>
            <w:r>
              <w:rPr>
                <w:rFonts w:ascii="Times New Roman" w:hAnsi="Times New Roman" w:eastAsia="Times New Roman"/>
                <w:highlight w:val="none"/>
                <w:u w:val="single"/>
              </w:rPr>
              <w:t>120</w:t>
            </w:r>
            <w:r>
              <w:rPr>
                <w:rFonts w:ascii="Times New Roman" w:hAnsi="Times New Roman"/>
                <w:highlight w:val="none"/>
              </w:rPr>
              <w:t>个日历日（投标有效期从提交投标文件的截止之日起算。有效期短于该规定期限的投标无效）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5" w:type="dxa"/>
            <w:bottom w:w="0" w:type="dxa"/>
            <w:right w:w="108" w:type="dxa"/>
          </w:tblCellMar>
        </w:tblPrEx>
        <w:trPr>
          <w:trHeight w:val="20" w:hRule="atLeast"/>
          <w:jc w:val="center"/>
        </w:trPr>
        <w:tc>
          <w:tcPr>
            <w:tcW w:w="729" w:type="dxa"/>
            <w:vAlign w:val="center"/>
          </w:tcPr>
          <w:p>
            <w:pPr>
              <w:pStyle w:val="249"/>
              <w:numPr>
                <w:ilvl w:val="0"/>
                <w:numId w:val="26"/>
              </w:numPr>
              <w:tabs>
                <w:tab w:val="left" w:pos="397"/>
              </w:tabs>
              <w:spacing w:line="320" w:lineRule="exact"/>
              <w:ind w:firstLineChars="0"/>
              <w:jc w:val="center"/>
              <w:rPr>
                <w:rFonts w:ascii="Times New Roman" w:hAnsi="Times New Roman"/>
                <w:bCs/>
                <w:highlight w:val="none"/>
              </w:rPr>
            </w:pPr>
          </w:p>
        </w:tc>
        <w:tc>
          <w:tcPr>
            <w:tcW w:w="1146" w:type="dxa"/>
            <w:vAlign w:val="center"/>
          </w:tcPr>
          <w:p>
            <w:pPr>
              <w:pStyle w:val="249"/>
              <w:spacing w:line="320" w:lineRule="exact"/>
              <w:ind w:firstLine="0" w:firstLineChars="0"/>
              <w:jc w:val="center"/>
              <w:rPr>
                <w:rFonts w:ascii="Times New Roman" w:hAnsi="Times New Roman"/>
                <w:bCs/>
                <w:highlight w:val="none"/>
              </w:rPr>
            </w:pPr>
          </w:p>
        </w:tc>
        <w:tc>
          <w:tcPr>
            <w:tcW w:w="1936" w:type="dxa"/>
            <w:vAlign w:val="center"/>
          </w:tcPr>
          <w:p>
            <w:pPr>
              <w:pStyle w:val="249"/>
              <w:spacing w:line="320" w:lineRule="exact"/>
              <w:ind w:firstLine="0" w:firstLineChars="0"/>
              <w:jc w:val="center"/>
              <w:rPr>
                <w:rFonts w:ascii="Times New Roman" w:hAnsi="Times New Roman"/>
                <w:highlight w:val="none"/>
              </w:rPr>
            </w:pPr>
            <w:r>
              <w:rPr>
                <w:rFonts w:ascii="Times New Roman" w:hAnsi="Times New Roman"/>
                <w:highlight w:val="none"/>
              </w:rPr>
              <w:t>报名方式</w:t>
            </w:r>
          </w:p>
        </w:tc>
        <w:tc>
          <w:tcPr>
            <w:tcW w:w="5823" w:type="dxa"/>
            <w:vAlign w:val="center"/>
          </w:tcPr>
          <w:p>
            <w:pPr>
              <w:widowControl w:val="0"/>
              <w:tabs>
                <w:tab w:val="left" w:pos="0"/>
              </w:tabs>
              <w:kinsoku w:val="0"/>
              <w:overflowPunct w:val="0"/>
              <w:jc w:val="both"/>
              <w:rPr>
                <w:rFonts w:ascii="Times New Roman" w:hAnsi="Times New Roman"/>
                <w:highlight w:val="none"/>
                <w:lang w:val="en-US"/>
              </w:rPr>
            </w:pPr>
            <w:r>
              <w:rPr>
                <w:rFonts w:hint="eastAsia" w:ascii="Times New Roman" w:hAnsi="Times New Roman" w:eastAsia="宋体"/>
                <w:szCs w:val="21"/>
                <w:highlight w:val="none"/>
                <w:lang w:val="en-US"/>
              </w:rPr>
              <w:t>投标人</w:t>
            </w:r>
            <w:r>
              <w:rPr>
                <w:rFonts w:hint="eastAsia" w:ascii="Times New Roman" w:hAnsi="Times New Roman" w:eastAsia="宋体"/>
                <w:szCs w:val="21"/>
                <w:highlight w:val="none"/>
              </w:rPr>
              <w:t>须在</w:t>
            </w:r>
            <w:r>
              <w:rPr>
                <w:rFonts w:hint="eastAsia" w:ascii="Times New Roman" w:hAnsi="Times New Roman" w:eastAsia="宋体"/>
                <w:szCs w:val="21"/>
                <w:highlight w:val="yellow"/>
              </w:rPr>
              <w:t>2024年</w:t>
            </w:r>
            <w:r>
              <w:rPr>
                <w:rFonts w:hint="eastAsia" w:ascii="Times New Roman" w:hAnsi="Times New Roman" w:eastAsia="宋体"/>
                <w:szCs w:val="21"/>
                <w:highlight w:val="yellow"/>
                <w:lang w:val="en-US"/>
              </w:rPr>
              <w:t>1</w:t>
            </w:r>
            <w:r>
              <w:rPr>
                <w:rFonts w:hint="eastAsia" w:ascii="Times New Roman" w:hAnsi="Times New Roman" w:eastAsia="宋体"/>
                <w:szCs w:val="21"/>
                <w:highlight w:val="yellow"/>
                <w:lang w:val="en-US" w:eastAsia="zh-CN"/>
              </w:rPr>
              <w:t>2</w:t>
            </w:r>
            <w:r>
              <w:rPr>
                <w:rFonts w:hint="eastAsia" w:ascii="Times New Roman" w:hAnsi="Times New Roman" w:eastAsia="宋体"/>
                <w:szCs w:val="21"/>
                <w:highlight w:val="yellow"/>
              </w:rPr>
              <w:t>月</w:t>
            </w:r>
            <w:r>
              <w:rPr>
                <w:rFonts w:hint="eastAsia" w:ascii="Times New Roman" w:hAnsi="Times New Roman" w:eastAsia="宋体"/>
                <w:szCs w:val="21"/>
                <w:highlight w:val="yellow"/>
                <w:lang w:val="en-US" w:eastAsia="zh-CN"/>
              </w:rPr>
              <w:t>4</w:t>
            </w:r>
            <w:r>
              <w:rPr>
                <w:rFonts w:hint="eastAsia" w:ascii="Times New Roman" w:hAnsi="Times New Roman" w:eastAsia="宋体"/>
                <w:szCs w:val="21"/>
                <w:highlight w:val="yellow"/>
              </w:rPr>
              <w:t>日17</w:t>
            </w:r>
            <w:r>
              <w:rPr>
                <w:rFonts w:hint="eastAsia" w:ascii="Times New Roman" w:hAnsi="Times New Roman" w:eastAsia="宋体"/>
                <w:szCs w:val="21"/>
                <w:highlight w:val="yellow"/>
                <w:lang w:val="en-US" w:eastAsia="zh-CN"/>
              </w:rPr>
              <w:t>:</w:t>
            </w:r>
            <w:r>
              <w:rPr>
                <w:rFonts w:hint="eastAsia" w:ascii="Times New Roman" w:hAnsi="Times New Roman" w:eastAsia="宋体"/>
                <w:szCs w:val="21"/>
                <w:highlight w:val="yellow"/>
              </w:rPr>
              <w:t>00</w:t>
            </w:r>
            <w:r>
              <w:rPr>
                <w:rFonts w:hint="eastAsia" w:ascii="Times New Roman" w:hAnsi="Times New Roman" w:eastAsia="宋体"/>
                <w:szCs w:val="21"/>
                <w:highlight w:val="none"/>
              </w:rPr>
              <w:t>前，在政府采购一体化云平台进行网上报名。（报名函格式详见</w:t>
            </w:r>
            <w:r>
              <w:rPr>
                <w:rFonts w:hint="eastAsia" w:ascii="Times New Roman" w:hAnsi="Times New Roman" w:eastAsia="宋体"/>
                <w:szCs w:val="21"/>
                <w:highlight w:val="none"/>
                <w:lang w:val="en-US"/>
              </w:rPr>
              <w:t>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5" w:type="dxa"/>
            <w:bottom w:w="0" w:type="dxa"/>
            <w:right w:w="108" w:type="dxa"/>
          </w:tblCellMar>
        </w:tblPrEx>
        <w:trPr>
          <w:trHeight w:val="20" w:hRule="atLeast"/>
          <w:jc w:val="center"/>
        </w:trPr>
        <w:tc>
          <w:tcPr>
            <w:tcW w:w="729" w:type="dxa"/>
            <w:vAlign w:val="center"/>
          </w:tcPr>
          <w:p>
            <w:pPr>
              <w:pStyle w:val="249"/>
              <w:numPr>
                <w:ilvl w:val="0"/>
                <w:numId w:val="26"/>
              </w:numPr>
              <w:tabs>
                <w:tab w:val="left" w:pos="397"/>
              </w:tabs>
              <w:spacing w:line="320" w:lineRule="exact"/>
              <w:ind w:firstLineChars="0"/>
              <w:jc w:val="center"/>
              <w:rPr>
                <w:rFonts w:ascii="Times New Roman" w:hAnsi="Times New Roman"/>
                <w:bCs/>
                <w:highlight w:val="none"/>
              </w:rPr>
            </w:pPr>
          </w:p>
        </w:tc>
        <w:tc>
          <w:tcPr>
            <w:tcW w:w="1146" w:type="dxa"/>
            <w:vAlign w:val="center"/>
          </w:tcPr>
          <w:p>
            <w:pPr>
              <w:pStyle w:val="249"/>
              <w:spacing w:line="320" w:lineRule="exact"/>
              <w:ind w:firstLine="0" w:firstLineChars="0"/>
              <w:jc w:val="center"/>
              <w:rPr>
                <w:rFonts w:ascii="Times New Roman" w:hAnsi="Times New Roman"/>
                <w:bCs/>
                <w:highlight w:val="none"/>
                <w:lang w:val="en-US"/>
              </w:rPr>
            </w:pPr>
            <w:r>
              <w:rPr>
                <w:rFonts w:ascii="Times New Roman" w:hAnsi="Times New Roman" w:eastAsia="Times New Roman"/>
                <w:bCs/>
                <w:highlight w:val="none"/>
                <w:lang w:val="en-US"/>
              </w:rPr>
              <w:t>3</w:t>
            </w:r>
            <w:r>
              <w:rPr>
                <w:rFonts w:ascii="Times New Roman" w:hAnsi="Times New Roman"/>
                <w:bCs/>
                <w:highlight w:val="none"/>
                <w:lang w:val="en-US"/>
              </w:rPr>
              <w:t>.</w:t>
            </w:r>
            <w:r>
              <w:rPr>
                <w:rFonts w:ascii="Times New Roman" w:hAnsi="Times New Roman" w:eastAsia="Times New Roman"/>
                <w:bCs/>
                <w:highlight w:val="none"/>
                <w:lang w:val="en-US"/>
              </w:rPr>
              <w:t>3</w:t>
            </w:r>
            <w:r>
              <w:rPr>
                <w:rFonts w:ascii="Times New Roman" w:hAnsi="Times New Roman"/>
                <w:bCs/>
                <w:highlight w:val="none"/>
                <w:lang w:val="en-US"/>
              </w:rPr>
              <w:t>.</w:t>
            </w:r>
            <w:r>
              <w:rPr>
                <w:rFonts w:ascii="Times New Roman" w:hAnsi="Times New Roman" w:eastAsia="Times New Roman"/>
                <w:bCs/>
                <w:highlight w:val="none"/>
                <w:lang w:val="en-US"/>
              </w:rPr>
              <w:t>2</w:t>
            </w:r>
            <w:r>
              <w:rPr>
                <w:rFonts w:ascii="Times New Roman" w:hAnsi="Times New Roman"/>
                <w:bCs/>
                <w:highlight w:val="none"/>
                <w:lang w:val="en-US"/>
              </w:rPr>
              <w:t>.</w:t>
            </w:r>
            <w:r>
              <w:rPr>
                <w:rFonts w:ascii="Times New Roman" w:hAnsi="Times New Roman" w:eastAsia="Times New Roman"/>
                <w:bCs/>
                <w:highlight w:val="none"/>
                <w:lang w:val="en-US"/>
              </w:rPr>
              <w:t>2</w:t>
            </w:r>
          </w:p>
        </w:tc>
        <w:tc>
          <w:tcPr>
            <w:tcW w:w="1936" w:type="dxa"/>
            <w:vAlign w:val="center"/>
          </w:tcPr>
          <w:p>
            <w:pPr>
              <w:pStyle w:val="249"/>
              <w:spacing w:line="320" w:lineRule="exact"/>
              <w:ind w:firstLine="0" w:firstLineChars="0"/>
              <w:jc w:val="center"/>
              <w:rPr>
                <w:rFonts w:ascii="Times New Roman" w:hAnsi="Times New Roman"/>
                <w:highlight w:val="none"/>
              </w:rPr>
            </w:pPr>
            <w:r>
              <w:rPr>
                <w:rFonts w:ascii="Times New Roman" w:hAnsi="Times New Roman"/>
                <w:highlight w:val="none"/>
              </w:rPr>
              <w:t>是否收取</w:t>
            </w:r>
          </w:p>
          <w:p>
            <w:pPr>
              <w:pStyle w:val="249"/>
              <w:spacing w:line="320" w:lineRule="exact"/>
              <w:ind w:firstLine="0" w:firstLineChars="0"/>
              <w:jc w:val="center"/>
              <w:rPr>
                <w:rFonts w:ascii="Times New Roman" w:hAnsi="Times New Roman"/>
                <w:highlight w:val="none"/>
              </w:rPr>
            </w:pPr>
            <w:r>
              <w:rPr>
                <w:rFonts w:ascii="Times New Roman" w:hAnsi="Times New Roman"/>
                <w:highlight w:val="none"/>
              </w:rPr>
              <w:t>投标保证金</w:t>
            </w:r>
          </w:p>
        </w:tc>
        <w:tc>
          <w:tcPr>
            <w:tcW w:w="5823" w:type="dxa"/>
            <w:vAlign w:val="center"/>
          </w:tcPr>
          <w:p>
            <w:pPr>
              <w:pStyle w:val="249"/>
              <w:ind w:firstLine="0" w:firstLineChars="0"/>
              <w:jc w:val="both"/>
              <w:rPr>
                <w:rFonts w:hint="eastAsia" w:ascii="Times New Roman" w:hAnsi="Times New Roman"/>
                <w:highlight w:val="yellow"/>
                <w:lang w:val="en-US" w:eastAsia="zh-CN"/>
              </w:rPr>
            </w:pPr>
            <w:r>
              <w:rPr>
                <w:rFonts w:hint="eastAsia" w:ascii="Times New Roman" w:hAnsi="Times New Roman"/>
                <w:highlight w:val="yellow"/>
                <w:lang w:val="en-US" w:eastAsia="zh-CN"/>
              </w:rPr>
              <w:t>是，分包收取，具体金额如下（若同时投报多个包，收取的投标保证金总和不超过80万元）：</w:t>
            </w:r>
          </w:p>
          <w:p>
            <w:pPr>
              <w:pStyle w:val="249"/>
              <w:ind w:firstLine="0" w:firstLineChars="0"/>
              <w:jc w:val="both"/>
              <w:rPr>
                <w:rFonts w:hint="eastAsia" w:ascii="Times New Roman" w:hAnsi="Times New Roman"/>
                <w:highlight w:val="yellow"/>
                <w:lang w:val="en-US" w:eastAsia="zh-CN"/>
              </w:rPr>
            </w:pPr>
            <w:r>
              <w:rPr>
                <w:rFonts w:hint="eastAsia" w:ascii="Times New Roman" w:hAnsi="Times New Roman"/>
                <w:highlight w:val="yellow"/>
              </w:rPr>
              <w:t>第</w:t>
            </w:r>
            <w:r>
              <w:rPr>
                <w:rFonts w:ascii="Times New Roman" w:hAnsi="Times New Roman"/>
                <w:highlight w:val="yellow"/>
                <w:lang w:val="en-US"/>
              </w:rPr>
              <w:t>1</w:t>
            </w:r>
            <w:r>
              <w:rPr>
                <w:rFonts w:hint="eastAsia" w:ascii="Times New Roman" w:hAnsi="Times New Roman"/>
                <w:highlight w:val="yellow"/>
              </w:rPr>
              <w:t>包</w:t>
            </w:r>
            <w:r>
              <w:rPr>
                <w:rFonts w:hint="eastAsia" w:ascii="Times New Roman" w:hAnsi="Times New Roman"/>
                <w:highlight w:val="yellow"/>
                <w:lang w:val="en-US" w:eastAsia="zh-CN"/>
              </w:rPr>
              <w:t>投标保证金</w:t>
            </w:r>
            <w:r>
              <w:rPr>
                <w:rFonts w:hint="eastAsia" w:ascii="Times New Roman" w:hAnsi="Times New Roman"/>
                <w:highlight w:val="yellow"/>
              </w:rPr>
              <w:t>金额</w:t>
            </w:r>
            <w:r>
              <w:rPr>
                <w:rFonts w:hint="eastAsia" w:ascii="Times New Roman" w:hAnsi="Times New Roman"/>
                <w:highlight w:val="yellow"/>
                <w:lang w:val="en-US"/>
              </w:rPr>
              <w:t>：</w:t>
            </w:r>
            <w:r>
              <w:rPr>
                <w:rFonts w:hint="eastAsia" w:ascii="Times New Roman" w:hAnsi="Times New Roman"/>
                <w:highlight w:val="yellow"/>
                <w:u w:val="single"/>
                <w:lang w:val="en-US" w:eastAsia="zh-CN"/>
              </w:rPr>
              <w:t>800000</w:t>
            </w:r>
            <w:r>
              <w:rPr>
                <w:rFonts w:hint="eastAsia" w:ascii="Times New Roman" w:hAnsi="Times New Roman"/>
                <w:highlight w:val="yellow"/>
                <w:lang w:val="en-US" w:eastAsia="zh-CN"/>
              </w:rPr>
              <w:t>元</w:t>
            </w:r>
          </w:p>
          <w:p>
            <w:pPr>
              <w:pStyle w:val="249"/>
              <w:ind w:firstLine="0" w:firstLineChars="0"/>
              <w:jc w:val="both"/>
              <w:rPr>
                <w:rFonts w:hint="eastAsia" w:ascii="Times New Roman" w:hAnsi="Times New Roman"/>
                <w:highlight w:val="yellow"/>
                <w:lang w:val="en-US" w:eastAsia="zh-CN"/>
              </w:rPr>
            </w:pPr>
            <w:r>
              <w:rPr>
                <w:rFonts w:hint="eastAsia" w:ascii="Times New Roman" w:hAnsi="Times New Roman"/>
                <w:highlight w:val="yellow"/>
              </w:rPr>
              <w:t>第</w:t>
            </w:r>
            <w:r>
              <w:rPr>
                <w:rFonts w:hint="eastAsia" w:ascii="Times New Roman" w:hAnsi="Times New Roman"/>
                <w:highlight w:val="yellow"/>
                <w:lang w:val="en-US" w:eastAsia="zh-CN"/>
              </w:rPr>
              <w:t>2</w:t>
            </w:r>
            <w:r>
              <w:rPr>
                <w:rFonts w:hint="eastAsia" w:ascii="Times New Roman" w:hAnsi="Times New Roman"/>
                <w:highlight w:val="yellow"/>
              </w:rPr>
              <w:t>包</w:t>
            </w:r>
            <w:r>
              <w:rPr>
                <w:rFonts w:hint="eastAsia" w:ascii="Times New Roman" w:hAnsi="Times New Roman"/>
                <w:highlight w:val="yellow"/>
                <w:lang w:val="en-US" w:eastAsia="zh-CN"/>
              </w:rPr>
              <w:t>投标保证金</w:t>
            </w:r>
            <w:r>
              <w:rPr>
                <w:rFonts w:hint="eastAsia" w:ascii="Times New Roman" w:hAnsi="Times New Roman"/>
                <w:highlight w:val="yellow"/>
              </w:rPr>
              <w:t>金额</w:t>
            </w:r>
            <w:r>
              <w:rPr>
                <w:rFonts w:hint="eastAsia" w:ascii="Times New Roman" w:hAnsi="Times New Roman"/>
                <w:highlight w:val="yellow"/>
                <w:lang w:val="en-US"/>
              </w:rPr>
              <w:t>：</w:t>
            </w:r>
            <w:r>
              <w:rPr>
                <w:rFonts w:hint="eastAsia" w:ascii="Times New Roman" w:hAnsi="Times New Roman"/>
                <w:highlight w:val="yellow"/>
                <w:u w:val="single"/>
                <w:lang w:val="en-US" w:eastAsia="zh-CN"/>
              </w:rPr>
              <w:t>146124</w:t>
            </w:r>
            <w:r>
              <w:rPr>
                <w:rFonts w:hint="eastAsia" w:ascii="Times New Roman" w:hAnsi="Times New Roman"/>
                <w:highlight w:val="yellow"/>
                <w:lang w:val="en-US" w:eastAsia="zh-CN"/>
              </w:rPr>
              <w:t>元</w:t>
            </w:r>
          </w:p>
          <w:p>
            <w:pPr>
              <w:pStyle w:val="249"/>
              <w:ind w:firstLine="0" w:firstLineChars="0"/>
              <w:jc w:val="both"/>
              <w:rPr>
                <w:rFonts w:ascii="Times New Roman" w:hAnsi="Times New Roman"/>
                <w:highlight w:val="yellow"/>
                <w:lang w:val="en-US"/>
              </w:rPr>
            </w:pPr>
            <w:r>
              <w:rPr>
                <w:rFonts w:hint="eastAsia" w:ascii="Times New Roman" w:hAnsi="Times New Roman"/>
                <w:highlight w:val="yellow"/>
              </w:rPr>
              <w:t>第</w:t>
            </w:r>
            <w:r>
              <w:rPr>
                <w:rFonts w:ascii="Times New Roman" w:hAnsi="Times New Roman"/>
                <w:highlight w:val="yellow"/>
                <w:lang w:val="en-US"/>
              </w:rPr>
              <w:t>3</w:t>
            </w:r>
            <w:r>
              <w:rPr>
                <w:rFonts w:hint="eastAsia" w:ascii="Times New Roman" w:hAnsi="Times New Roman"/>
                <w:highlight w:val="yellow"/>
              </w:rPr>
              <w:t>包</w:t>
            </w:r>
            <w:r>
              <w:rPr>
                <w:rFonts w:hint="eastAsia" w:ascii="Times New Roman" w:hAnsi="Times New Roman"/>
                <w:highlight w:val="yellow"/>
                <w:lang w:val="en-US" w:eastAsia="zh-CN"/>
              </w:rPr>
              <w:t>投标保证金</w:t>
            </w:r>
            <w:r>
              <w:rPr>
                <w:rFonts w:hint="eastAsia" w:ascii="Times New Roman" w:hAnsi="Times New Roman"/>
                <w:highlight w:val="yellow"/>
              </w:rPr>
              <w:t>金额</w:t>
            </w:r>
            <w:r>
              <w:rPr>
                <w:rFonts w:hint="eastAsia" w:ascii="Times New Roman" w:hAnsi="Times New Roman"/>
                <w:highlight w:val="yellow"/>
                <w:lang w:val="en-US"/>
              </w:rPr>
              <w:t>：</w:t>
            </w:r>
            <w:r>
              <w:rPr>
                <w:rFonts w:hint="eastAsia" w:ascii="Times New Roman" w:hAnsi="Times New Roman"/>
                <w:highlight w:val="yellow"/>
                <w:u w:val="single"/>
                <w:lang w:val="en-US" w:eastAsia="zh-CN"/>
              </w:rPr>
              <w:t>90408</w:t>
            </w:r>
            <w:r>
              <w:rPr>
                <w:rFonts w:hint="eastAsia" w:ascii="Times New Roman" w:hAnsi="Times New Roman"/>
                <w:highlight w:val="yellow"/>
                <w:lang w:val="en-US" w:eastAsia="zh-CN"/>
              </w:rPr>
              <w:t>元</w:t>
            </w:r>
          </w:p>
          <w:p>
            <w:pPr>
              <w:pStyle w:val="249"/>
              <w:ind w:firstLine="0" w:firstLineChars="0"/>
              <w:jc w:val="both"/>
              <w:rPr>
                <w:rFonts w:ascii="Times New Roman" w:hAnsi="Times New Roman"/>
                <w:highlight w:val="yellow"/>
                <w:lang w:val="en-US"/>
              </w:rPr>
            </w:pPr>
            <w:r>
              <w:rPr>
                <w:rFonts w:hint="eastAsia" w:ascii="Times New Roman" w:hAnsi="Times New Roman"/>
                <w:highlight w:val="yellow"/>
              </w:rPr>
              <w:t>第</w:t>
            </w:r>
            <w:r>
              <w:rPr>
                <w:rFonts w:ascii="Times New Roman" w:hAnsi="Times New Roman"/>
                <w:highlight w:val="yellow"/>
                <w:lang w:val="en-US"/>
              </w:rPr>
              <w:t>4</w:t>
            </w:r>
            <w:r>
              <w:rPr>
                <w:rFonts w:hint="eastAsia" w:ascii="Times New Roman" w:hAnsi="Times New Roman"/>
                <w:highlight w:val="yellow"/>
              </w:rPr>
              <w:t>包</w:t>
            </w:r>
            <w:r>
              <w:rPr>
                <w:rFonts w:hint="eastAsia" w:ascii="Times New Roman" w:hAnsi="Times New Roman"/>
                <w:highlight w:val="yellow"/>
                <w:lang w:val="en-US" w:eastAsia="zh-CN"/>
              </w:rPr>
              <w:t>投标保证金</w:t>
            </w:r>
            <w:r>
              <w:rPr>
                <w:rFonts w:hint="eastAsia" w:ascii="Times New Roman" w:hAnsi="Times New Roman"/>
                <w:highlight w:val="yellow"/>
              </w:rPr>
              <w:t>金额</w:t>
            </w:r>
            <w:r>
              <w:rPr>
                <w:rFonts w:hint="eastAsia" w:ascii="Times New Roman" w:hAnsi="Times New Roman"/>
                <w:highlight w:val="yellow"/>
                <w:lang w:val="en-US"/>
              </w:rPr>
              <w:t>：</w:t>
            </w:r>
            <w:r>
              <w:rPr>
                <w:rFonts w:hint="eastAsia" w:ascii="Times New Roman" w:hAnsi="Times New Roman"/>
                <w:highlight w:val="yellow"/>
                <w:u w:val="single"/>
                <w:lang w:val="en-US" w:eastAsia="zh-CN"/>
              </w:rPr>
              <w:t>30592</w:t>
            </w:r>
            <w:r>
              <w:rPr>
                <w:rFonts w:hint="eastAsia" w:ascii="Times New Roman" w:hAnsi="Times New Roman"/>
                <w:highlight w:val="yellow"/>
                <w:lang w:val="en-US" w:eastAsia="zh-CN"/>
              </w:rPr>
              <w:t>元</w:t>
            </w:r>
          </w:p>
          <w:p>
            <w:pPr>
              <w:pStyle w:val="249"/>
              <w:ind w:firstLine="0" w:firstLineChars="0"/>
              <w:jc w:val="both"/>
              <w:rPr>
                <w:rFonts w:ascii="Times New Roman" w:hAnsi="Times New Roman"/>
                <w:highlight w:val="yellow"/>
                <w:lang w:val="en-US"/>
              </w:rPr>
            </w:pPr>
            <w:r>
              <w:rPr>
                <w:rFonts w:hint="eastAsia" w:ascii="Times New Roman" w:hAnsi="Times New Roman"/>
                <w:highlight w:val="yellow"/>
              </w:rPr>
              <w:t>第</w:t>
            </w:r>
            <w:r>
              <w:rPr>
                <w:rFonts w:ascii="Times New Roman" w:hAnsi="Times New Roman"/>
                <w:highlight w:val="yellow"/>
                <w:lang w:val="en-US"/>
              </w:rPr>
              <w:t>5</w:t>
            </w:r>
            <w:r>
              <w:rPr>
                <w:rFonts w:hint="eastAsia" w:ascii="Times New Roman" w:hAnsi="Times New Roman"/>
                <w:highlight w:val="yellow"/>
              </w:rPr>
              <w:t>包</w:t>
            </w:r>
            <w:r>
              <w:rPr>
                <w:rFonts w:hint="eastAsia" w:ascii="Times New Roman" w:hAnsi="Times New Roman"/>
                <w:highlight w:val="yellow"/>
                <w:lang w:val="en-US" w:eastAsia="zh-CN"/>
              </w:rPr>
              <w:t>投标保证金</w:t>
            </w:r>
            <w:r>
              <w:rPr>
                <w:rFonts w:hint="eastAsia" w:ascii="Times New Roman" w:hAnsi="Times New Roman"/>
                <w:highlight w:val="yellow"/>
              </w:rPr>
              <w:t>金额</w:t>
            </w:r>
            <w:r>
              <w:rPr>
                <w:rFonts w:hint="eastAsia" w:ascii="Times New Roman" w:hAnsi="Times New Roman"/>
                <w:highlight w:val="yellow"/>
                <w:lang w:val="en-US"/>
              </w:rPr>
              <w:t>：</w:t>
            </w:r>
            <w:r>
              <w:rPr>
                <w:rFonts w:hint="eastAsia" w:ascii="Times New Roman" w:hAnsi="Times New Roman"/>
                <w:highlight w:val="yellow"/>
                <w:u w:val="single"/>
                <w:lang w:val="en-US" w:eastAsia="zh-CN"/>
              </w:rPr>
              <w:t>43246</w:t>
            </w:r>
            <w:r>
              <w:rPr>
                <w:rFonts w:hint="eastAsia" w:ascii="Times New Roman" w:hAnsi="Times New Roman"/>
                <w:highlight w:val="yellow"/>
                <w:lang w:val="en-US" w:eastAsia="zh-CN"/>
              </w:rPr>
              <w:t>元</w:t>
            </w:r>
          </w:p>
          <w:p>
            <w:pPr>
              <w:pStyle w:val="249"/>
              <w:ind w:firstLine="0" w:firstLineChars="0"/>
              <w:jc w:val="both"/>
              <w:rPr>
                <w:rFonts w:ascii="Times New Roman" w:hAnsi="Times New Roman"/>
                <w:highlight w:val="yellow"/>
                <w:lang w:val="en-US"/>
              </w:rPr>
            </w:pPr>
            <w:r>
              <w:rPr>
                <w:rFonts w:hint="eastAsia" w:ascii="Times New Roman" w:hAnsi="Times New Roman"/>
                <w:highlight w:val="yellow"/>
              </w:rPr>
              <w:t>第</w:t>
            </w:r>
            <w:r>
              <w:rPr>
                <w:rFonts w:ascii="Times New Roman" w:hAnsi="Times New Roman"/>
                <w:highlight w:val="yellow"/>
                <w:lang w:val="en-US"/>
              </w:rPr>
              <w:t>6</w:t>
            </w:r>
            <w:r>
              <w:rPr>
                <w:rFonts w:hint="eastAsia" w:ascii="Times New Roman" w:hAnsi="Times New Roman"/>
                <w:highlight w:val="yellow"/>
              </w:rPr>
              <w:t>包</w:t>
            </w:r>
            <w:r>
              <w:rPr>
                <w:rFonts w:hint="eastAsia" w:ascii="Times New Roman" w:hAnsi="Times New Roman"/>
                <w:highlight w:val="yellow"/>
                <w:lang w:val="en-US" w:eastAsia="zh-CN"/>
              </w:rPr>
              <w:t>投标保证金</w:t>
            </w:r>
            <w:r>
              <w:rPr>
                <w:rFonts w:hint="eastAsia" w:ascii="Times New Roman" w:hAnsi="Times New Roman"/>
                <w:highlight w:val="yellow"/>
              </w:rPr>
              <w:t>金额</w:t>
            </w:r>
            <w:r>
              <w:rPr>
                <w:rFonts w:hint="eastAsia" w:ascii="Times New Roman" w:hAnsi="Times New Roman"/>
                <w:highlight w:val="yellow"/>
                <w:lang w:val="en-US"/>
              </w:rPr>
              <w:t>：</w:t>
            </w:r>
            <w:r>
              <w:rPr>
                <w:rFonts w:hint="eastAsia" w:ascii="Times New Roman" w:hAnsi="Times New Roman"/>
                <w:highlight w:val="yellow"/>
                <w:u w:val="single"/>
                <w:lang w:val="en-US" w:eastAsia="zh-CN"/>
              </w:rPr>
              <w:t>28777</w:t>
            </w:r>
            <w:r>
              <w:rPr>
                <w:rFonts w:hint="eastAsia" w:ascii="Times New Roman" w:hAnsi="Times New Roman"/>
                <w:highlight w:val="yellow"/>
                <w:lang w:val="en-US" w:eastAsia="zh-CN"/>
              </w:rPr>
              <w:t>元</w:t>
            </w:r>
          </w:p>
          <w:p>
            <w:pPr>
              <w:pStyle w:val="249"/>
              <w:ind w:firstLine="0" w:firstLineChars="0"/>
              <w:jc w:val="both"/>
              <w:rPr>
                <w:rFonts w:ascii="Times New Roman" w:hAnsi="Times New Roman"/>
                <w:highlight w:val="yellow"/>
                <w:lang w:val="en-US"/>
              </w:rPr>
            </w:pPr>
            <w:r>
              <w:rPr>
                <w:rFonts w:hint="eastAsia" w:ascii="Times New Roman" w:hAnsi="Times New Roman"/>
                <w:highlight w:val="yellow"/>
              </w:rPr>
              <w:t>第</w:t>
            </w:r>
            <w:r>
              <w:rPr>
                <w:rFonts w:ascii="Times New Roman" w:hAnsi="Times New Roman"/>
                <w:highlight w:val="yellow"/>
                <w:lang w:val="en-US"/>
              </w:rPr>
              <w:t>7</w:t>
            </w:r>
            <w:r>
              <w:rPr>
                <w:rFonts w:hint="eastAsia" w:ascii="Times New Roman" w:hAnsi="Times New Roman"/>
                <w:highlight w:val="yellow"/>
              </w:rPr>
              <w:t>包</w:t>
            </w:r>
            <w:r>
              <w:rPr>
                <w:rFonts w:hint="eastAsia" w:ascii="Times New Roman" w:hAnsi="Times New Roman"/>
                <w:highlight w:val="yellow"/>
                <w:lang w:val="en-US" w:eastAsia="zh-CN"/>
              </w:rPr>
              <w:t>投标保证金</w:t>
            </w:r>
            <w:r>
              <w:rPr>
                <w:rFonts w:hint="eastAsia" w:ascii="Times New Roman" w:hAnsi="Times New Roman"/>
                <w:highlight w:val="yellow"/>
              </w:rPr>
              <w:t>金额</w:t>
            </w:r>
            <w:r>
              <w:rPr>
                <w:rFonts w:hint="eastAsia" w:ascii="Times New Roman" w:hAnsi="Times New Roman"/>
                <w:highlight w:val="yellow"/>
                <w:lang w:val="en-US"/>
              </w:rPr>
              <w:t>：</w:t>
            </w:r>
            <w:r>
              <w:rPr>
                <w:rFonts w:hint="eastAsia" w:ascii="Times New Roman" w:hAnsi="Times New Roman"/>
                <w:highlight w:val="yellow"/>
                <w:u w:val="single"/>
                <w:lang w:val="en-US" w:eastAsia="zh-CN"/>
              </w:rPr>
              <w:t>19072</w:t>
            </w:r>
            <w:r>
              <w:rPr>
                <w:rFonts w:hint="eastAsia" w:ascii="Times New Roman" w:hAnsi="Times New Roman"/>
                <w:highlight w:val="yellow"/>
                <w:lang w:val="en-US" w:eastAsia="zh-CN"/>
              </w:rPr>
              <w:t>元</w:t>
            </w:r>
          </w:p>
          <w:p>
            <w:pPr>
              <w:pStyle w:val="249"/>
              <w:ind w:firstLine="0" w:firstLineChars="0"/>
              <w:jc w:val="both"/>
              <w:rPr>
                <w:rFonts w:ascii="Times New Roman" w:hAnsi="Times New Roman"/>
                <w:highlight w:val="yellow"/>
                <w:lang w:val="en-US"/>
              </w:rPr>
            </w:pPr>
            <w:r>
              <w:rPr>
                <w:rFonts w:hint="eastAsia" w:ascii="Times New Roman" w:hAnsi="Times New Roman"/>
                <w:highlight w:val="yellow"/>
              </w:rPr>
              <w:t>第</w:t>
            </w:r>
            <w:r>
              <w:rPr>
                <w:rFonts w:ascii="Times New Roman" w:hAnsi="Times New Roman"/>
                <w:highlight w:val="yellow"/>
                <w:lang w:val="en-US"/>
              </w:rPr>
              <w:t>8</w:t>
            </w:r>
            <w:r>
              <w:rPr>
                <w:rFonts w:hint="eastAsia" w:ascii="Times New Roman" w:hAnsi="Times New Roman"/>
                <w:highlight w:val="yellow"/>
              </w:rPr>
              <w:t>包</w:t>
            </w:r>
            <w:r>
              <w:rPr>
                <w:rFonts w:hint="eastAsia" w:ascii="Times New Roman" w:hAnsi="Times New Roman"/>
                <w:highlight w:val="yellow"/>
                <w:lang w:val="en-US" w:eastAsia="zh-CN"/>
              </w:rPr>
              <w:t>投标保证金</w:t>
            </w:r>
            <w:r>
              <w:rPr>
                <w:rFonts w:hint="eastAsia" w:ascii="Times New Roman" w:hAnsi="Times New Roman"/>
                <w:highlight w:val="yellow"/>
              </w:rPr>
              <w:t>金额</w:t>
            </w:r>
            <w:r>
              <w:rPr>
                <w:rFonts w:hint="eastAsia" w:ascii="Times New Roman" w:hAnsi="Times New Roman"/>
                <w:highlight w:val="yellow"/>
                <w:lang w:val="en-US"/>
              </w:rPr>
              <w:t>：</w:t>
            </w:r>
            <w:r>
              <w:rPr>
                <w:rFonts w:hint="eastAsia" w:ascii="Times New Roman" w:hAnsi="Times New Roman"/>
                <w:highlight w:val="yellow"/>
                <w:u w:val="single"/>
                <w:lang w:val="en-US" w:eastAsia="zh-CN"/>
              </w:rPr>
              <w:t>88000</w:t>
            </w:r>
            <w:r>
              <w:rPr>
                <w:rFonts w:hint="eastAsia" w:ascii="Times New Roman" w:hAnsi="Times New Roman"/>
                <w:highlight w:val="yellow"/>
                <w:lang w:val="en-US" w:eastAsia="zh-CN"/>
              </w:rPr>
              <w:t>元</w:t>
            </w:r>
          </w:p>
          <w:p>
            <w:pPr>
              <w:pStyle w:val="249"/>
              <w:ind w:firstLine="0" w:firstLineChars="0"/>
              <w:jc w:val="both"/>
              <w:rPr>
                <w:rFonts w:ascii="Times New Roman" w:hAnsi="Times New Roman"/>
                <w:highlight w:val="yellow"/>
                <w:lang w:val="en-US"/>
              </w:rPr>
            </w:pPr>
            <w:r>
              <w:rPr>
                <w:rFonts w:hint="eastAsia" w:ascii="Times New Roman" w:hAnsi="Times New Roman"/>
                <w:highlight w:val="yellow"/>
              </w:rPr>
              <w:t>第</w:t>
            </w:r>
            <w:r>
              <w:rPr>
                <w:rFonts w:ascii="Times New Roman" w:hAnsi="Times New Roman"/>
                <w:highlight w:val="yellow"/>
                <w:lang w:val="en-US"/>
              </w:rPr>
              <w:t>9</w:t>
            </w:r>
            <w:r>
              <w:rPr>
                <w:rFonts w:hint="eastAsia" w:ascii="Times New Roman" w:hAnsi="Times New Roman"/>
                <w:highlight w:val="yellow"/>
              </w:rPr>
              <w:t>包</w:t>
            </w:r>
            <w:r>
              <w:rPr>
                <w:rFonts w:hint="eastAsia" w:ascii="Times New Roman" w:hAnsi="Times New Roman"/>
                <w:highlight w:val="yellow"/>
                <w:lang w:val="en-US" w:eastAsia="zh-CN"/>
              </w:rPr>
              <w:t>投标保证金</w:t>
            </w:r>
            <w:r>
              <w:rPr>
                <w:rFonts w:hint="eastAsia" w:ascii="Times New Roman" w:hAnsi="Times New Roman"/>
                <w:highlight w:val="yellow"/>
              </w:rPr>
              <w:t>金额</w:t>
            </w:r>
            <w:r>
              <w:rPr>
                <w:rFonts w:hint="eastAsia" w:ascii="Times New Roman" w:hAnsi="Times New Roman"/>
                <w:highlight w:val="yellow"/>
                <w:lang w:val="en-US"/>
              </w:rPr>
              <w:t>：</w:t>
            </w:r>
            <w:r>
              <w:rPr>
                <w:rFonts w:hint="eastAsia" w:ascii="Times New Roman" w:hAnsi="Times New Roman"/>
                <w:highlight w:val="yellow"/>
                <w:u w:val="single"/>
                <w:lang w:val="en-US" w:eastAsia="zh-CN"/>
              </w:rPr>
              <w:t>24000</w:t>
            </w:r>
            <w:r>
              <w:rPr>
                <w:rFonts w:hint="eastAsia" w:ascii="Times New Roman" w:hAnsi="Times New Roman"/>
                <w:highlight w:val="yellow"/>
                <w:lang w:val="en-US" w:eastAsia="zh-CN"/>
              </w:rPr>
              <w:t>元</w:t>
            </w:r>
          </w:p>
          <w:p>
            <w:pPr>
              <w:pStyle w:val="249"/>
              <w:ind w:firstLine="0" w:firstLineChars="0"/>
              <w:jc w:val="both"/>
              <w:rPr>
                <w:rFonts w:ascii="Times New Roman" w:hAnsi="Times New Roman"/>
                <w:highlight w:val="yellow"/>
                <w:lang w:val="en-US"/>
              </w:rPr>
            </w:pPr>
            <w:r>
              <w:rPr>
                <w:rFonts w:hint="eastAsia" w:ascii="Times New Roman" w:hAnsi="Times New Roman"/>
                <w:highlight w:val="yellow"/>
              </w:rPr>
              <w:t>第</w:t>
            </w:r>
            <w:r>
              <w:rPr>
                <w:rFonts w:ascii="Times New Roman" w:hAnsi="Times New Roman"/>
                <w:highlight w:val="yellow"/>
                <w:lang w:val="en-US"/>
              </w:rPr>
              <w:t>10</w:t>
            </w:r>
            <w:r>
              <w:rPr>
                <w:rFonts w:hint="eastAsia" w:ascii="Times New Roman" w:hAnsi="Times New Roman"/>
                <w:highlight w:val="yellow"/>
              </w:rPr>
              <w:t>包</w:t>
            </w:r>
            <w:r>
              <w:rPr>
                <w:rFonts w:hint="eastAsia" w:ascii="Times New Roman" w:hAnsi="Times New Roman"/>
                <w:highlight w:val="yellow"/>
                <w:lang w:val="en-US" w:eastAsia="zh-CN"/>
              </w:rPr>
              <w:t>投标保证金</w:t>
            </w:r>
            <w:r>
              <w:rPr>
                <w:rFonts w:hint="eastAsia" w:ascii="Times New Roman" w:hAnsi="Times New Roman"/>
                <w:highlight w:val="yellow"/>
              </w:rPr>
              <w:t>金额</w:t>
            </w:r>
            <w:r>
              <w:rPr>
                <w:rFonts w:hint="eastAsia" w:ascii="Times New Roman" w:hAnsi="Times New Roman"/>
                <w:highlight w:val="yellow"/>
                <w:lang w:val="en-US"/>
              </w:rPr>
              <w:t>：</w:t>
            </w:r>
            <w:r>
              <w:rPr>
                <w:rFonts w:hint="eastAsia" w:ascii="Times New Roman" w:hAnsi="Times New Roman"/>
                <w:highlight w:val="yellow"/>
                <w:u w:val="single"/>
                <w:lang w:val="en-US" w:eastAsia="zh-CN"/>
              </w:rPr>
              <w:t>24000</w:t>
            </w:r>
            <w:r>
              <w:rPr>
                <w:rFonts w:hint="eastAsia" w:ascii="Times New Roman" w:hAnsi="Times New Roman"/>
                <w:highlight w:val="yellow"/>
                <w:lang w:val="en-US" w:eastAsia="zh-CN"/>
              </w:rPr>
              <w:t>元</w:t>
            </w:r>
          </w:p>
          <w:p>
            <w:pPr>
              <w:pStyle w:val="249"/>
              <w:ind w:firstLine="0" w:firstLineChars="0"/>
              <w:jc w:val="both"/>
              <w:rPr>
                <w:rFonts w:hint="eastAsia" w:ascii="Times New Roman" w:hAnsi="Times New Roman"/>
                <w:highlight w:val="yellow"/>
                <w:lang w:val="en-US" w:eastAsia="zh-CN"/>
              </w:rPr>
            </w:pPr>
            <w:r>
              <w:rPr>
                <w:rFonts w:hint="eastAsia" w:ascii="Times New Roman" w:hAnsi="Times New Roman"/>
                <w:highlight w:val="yellow"/>
              </w:rPr>
              <w:t>第</w:t>
            </w:r>
            <w:r>
              <w:rPr>
                <w:rFonts w:ascii="Times New Roman" w:hAnsi="Times New Roman"/>
                <w:highlight w:val="yellow"/>
              </w:rPr>
              <w:t>11</w:t>
            </w:r>
            <w:r>
              <w:rPr>
                <w:rFonts w:hint="eastAsia" w:ascii="Times New Roman" w:hAnsi="Times New Roman"/>
                <w:highlight w:val="yellow"/>
              </w:rPr>
              <w:t>包</w:t>
            </w:r>
            <w:r>
              <w:rPr>
                <w:rFonts w:hint="eastAsia" w:ascii="Times New Roman" w:hAnsi="Times New Roman"/>
                <w:highlight w:val="yellow"/>
                <w:lang w:val="en-US" w:eastAsia="zh-CN"/>
              </w:rPr>
              <w:t>投标保证金</w:t>
            </w:r>
            <w:r>
              <w:rPr>
                <w:rFonts w:hint="eastAsia" w:ascii="Times New Roman" w:hAnsi="Times New Roman"/>
                <w:highlight w:val="yellow"/>
              </w:rPr>
              <w:t>金额：</w:t>
            </w:r>
            <w:r>
              <w:rPr>
                <w:rFonts w:hint="eastAsia" w:ascii="Times New Roman" w:hAnsi="Times New Roman"/>
                <w:highlight w:val="yellow"/>
                <w:u w:val="single"/>
                <w:lang w:val="en-US" w:eastAsia="zh-CN"/>
              </w:rPr>
              <w:t>24000</w:t>
            </w:r>
            <w:r>
              <w:rPr>
                <w:rFonts w:hint="eastAsia" w:ascii="Times New Roman" w:hAnsi="Times New Roman"/>
                <w:highlight w:val="yellow"/>
                <w:lang w:val="en-US" w:eastAsia="zh-CN"/>
              </w:rPr>
              <w:t>元</w:t>
            </w:r>
          </w:p>
          <w:p>
            <w:pPr>
              <w:pStyle w:val="249"/>
              <w:ind w:firstLine="0" w:firstLineChars="0"/>
              <w:jc w:val="both"/>
              <w:rPr>
                <w:rFonts w:hint="eastAsia" w:ascii="Times New Roman" w:hAnsi="Times New Roman"/>
                <w:highlight w:val="yellow"/>
                <w:lang w:val="en-US" w:eastAsia="zh-CN"/>
              </w:rPr>
            </w:pPr>
            <w:r>
              <w:rPr>
                <w:rFonts w:hint="eastAsia" w:ascii="Times New Roman" w:hAnsi="Times New Roman"/>
                <w:highlight w:val="yellow"/>
                <w:lang w:val="en-US" w:eastAsia="zh-CN"/>
              </w:rPr>
              <w:t>投标保证金必须在投标截止时间之前提交，投标人未按照招标文件要求提交投标保证金的，投标无效。不予退还投标保证金的情形详见投标人须知对应条款。缴纳方式详见投标人须知。</w:t>
            </w:r>
          </w:p>
          <w:p>
            <w:pPr>
              <w:pStyle w:val="249"/>
              <w:ind w:firstLine="0" w:firstLineChars="0"/>
              <w:jc w:val="both"/>
              <w:rPr>
                <w:rFonts w:hint="eastAsia" w:ascii="Times New Roman" w:hAnsi="Times New Roman"/>
                <w:highlight w:val="yellow"/>
                <w:lang w:val="en-US" w:eastAsia="zh-CN"/>
              </w:rPr>
            </w:pPr>
            <w:r>
              <w:rPr>
                <w:rFonts w:hint="eastAsia" w:ascii="Times New Roman" w:hAnsi="Times New Roman"/>
                <w:highlight w:val="yellow"/>
                <w:lang w:val="en-US" w:eastAsia="zh-CN"/>
              </w:rPr>
              <w:t>投标保证金以银行转账形式提交的，须在汇款单上注明采购项目编号及投标包号，并在投标截止前汇款至下述账号：</w:t>
            </w:r>
          </w:p>
          <w:p>
            <w:pPr>
              <w:pStyle w:val="249"/>
              <w:ind w:firstLine="0" w:firstLineChars="0"/>
              <w:jc w:val="both"/>
              <w:rPr>
                <w:rFonts w:hint="eastAsia" w:ascii="Times New Roman" w:hAnsi="Times New Roman"/>
                <w:b/>
                <w:bCs/>
                <w:highlight w:val="yellow"/>
                <w:lang w:val="en-US" w:eastAsia="zh-CN"/>
              </w:rPr>
            </w:pPr>
            <w:r>
              <w:rPr>
                <w:rFonts w:hint="eastAsia" w:ascii="Times New Roman" w:hAnsi="Times New Roman"/>
                <w:b/>
                <w:bCs/>
                <w:highlight w:val="yellow"/>
                <w:lang w:val="en-US" w:eastAsia="zh-CN"/>
              </w:rPr>
              <w:t>开户名称：公安部警用装备采购中心投标保证金</w:t>
            </w:r>
          </w:p>
          <w:p>
            <w:pPr>
              <w:pStyle w:val="249"/>
              <w:ind w:firstLine="0" w:firstLineChars="0"/>
              <w:jc w:val="both"/>
              <w:rPr>
                <w:rFonts w:hint="eastAsia" w:ascii="Times New Roman" w:hAnsi="Times New Roman"/>
                <w:b/>
                <w:bCs/>
                <w:highlight w:val="yellow"/>
                <w:lang w:val="en-US" w:eastAsia="zh-CN"/>
              </w:rPr>
            </w:pPr>
            <w:r>
              <w:rPr>
                <w:rFonts w:hint="eastAsia" w:ascii="Times New Roman" w:hAnsi="Times New Roman"/>
                <w:b/>
                <w:bCs/>
                <w:highlight w:val="yellow"/>
                <w:lang w:val="en-US" w:eastAsia="zh-CN"/>
              </w:rPr>
              <w:t>开户行：农行上海市分行营业部</w:t>
            </w:r>
          </w:p>
          <w:p>
            <w:pPr>
              <w:pStyle w:val="249"/>
              <w:ind w:firstLine="0" w:firstLineChars="0"/>
              <w:jc w:val="both"/>
              <w:rPr>
                <w:rFonts w:hint="eastAsia" w:ascii="Times New Roman" w:hAnsi="Times New Roman"/>
                <w:b/>
                <w:bCs/>
                <w:highlight w:val="yellow"/>
                <w:lang w:val="en-US" w:eastAsia="zh-CN"/>
              </w:rPr>
            </w:pPr>
            <w:r>
              <w:rPr>
                <w:rFonts w:hint="eastAsia" w:ascii="Times New Roman" w:hAnsi="Times New Roman"/>
                <w:b/>
                <w:bCs/>
                <w:highlight w:val="yellow"/>
                <w:lang w:val="en-US" w:eastAsia="zh-CN"/>
              </w:rPr>
              <w:t>银行帐号：033322000400415730000000001</w:t>
            </w:r>
          </w:p>
          <w:p>
            <w:pPr>
              <w:pStyle w:val="249"/>
              <w:ind w:firstLine="0" w:firstLineChars="0"/>
              <w:jc w:val="both"/>
              <w:rPr>
                <w:rFonts w:hint="eastAsia" w:ascii="Times New Roman" w:hAnsi="Times New Roman"/>
                <w:highlight w:val="yellow"/>
                <w:lang w:val="en-US" w:eastAsia="zh-CN"/>
              </w:rPr>
            </w:pPr>
            <w:r>
              <w:rPr>
                <w:rFonts w:hint="eastAsia" w:ascii="Times New Roman" w:hAnsi="Times New Roman"/>
                <w:highlight w:val="yellow"/>
                <w:lang w:val="en-US" w:eastAsia="zh-CN"/>
              </w:rPr>
              <w:t>投标保证金以支票、汇票、本票或者保函形式提交的，在投标截止前邮寄至下述地址：</w:t>
            </w:r>
          </w:p>
          <w:p>
            <w:pPr>
              <w:pStyle w:val="249"/>
              <w:ind w:firstLine="0" w:firstLineChars="0"/>
              <w:jc w:val="both"/>
              <w:rPr>
                <w:rFonts w:hint="eastAsia" w:ascii="Times New Roman" w:hAnsi="Times New Roman"/>
                <w:b/>
                <w:bCs/>
                <w:highlight w:val="yellow"/>
                <w:lang w:val="en-US" w:eastAsia="zh-CN"/>
              </w:rPr>
            </w:pPr>
            <w:r>
              <w:rPr>
                <w:rFonts w:hint="eastAsia" w:ascii="Times New Roman" w:hAnsi="Times New Roman"/>
                <w:b/>
                <w:bCs/>
                <w:highlight w:val="yellow"/>
                <w:lang w:val="en-US" w:eastAsia="zh-CN"/>
              </w:rPr>
              <w:t>邮寄地址：上海市闵行区浦江镇三达路299号</w:t>
            </w:r>
          </w:p>
          <w:p>
            <w:pPr>
              <w:pStyle w:val="249"/>
              <w:ind w:firstLine="0" w:firstLineChars="0"/>
              <w:jc w:val="both"/>
              <w:rPr>
                <w:rFonts w:hint="eastAsia" w:ascii="Times New Roman" w:hAnsi="Times New Roman"/>
                <w:b/>
                <w:bCs/>
                <w:highlight w:val="yellow"/>
                <w:lang w:val="en-US" w:eastAsia="zh-CN"/>
              </w:rPr>
            </w:pPr>
            <w:r>
              <w:rPr>
                <w:rFonts w:hint="eastAsia" w:ascii="Times New Roman" w:hAnsi="Times New Roman"/>
                <w:b/>
                <w:bCs/>
                <w:highlight w:val="yellow"/>
                <w:lang w:val="en-US" w:eastAsia="zh-CN"/>
              </w:rPr>
              <w:t>联系人：石警官</w:t>
            </w:r>
            <w:bookmarkStart w:id="392" w:name="_GoBack"/>
            <w:bookmarkEnd w:id="392"/>
          </w:p>
          <w:p>
            <w:pPr>
              <w:pStyle w:val="249"/>
              <w:ind w:firstLine="0" w:firstLineChars="0"/>
              <w:jc w:val="both"/>
              <w:rPr>
                <w:rFonts w:hint="eastAsia" w:ascii="Times New Roman" w:hAnsi="Times New Roman"/>
                <w:b/>
                <w:bCs/>
                <w:highlight w:val="yellow"/>
                <w:lang w:val="en-US" w:eastAsia="zh-CN"/>
              </w:rPr>
            </w:pPr>
            <w:r>
              <w:rPr>
                <w:rFonts w:hint="eastAsia" w:ascii="Times New Roman" w:hAnsi="Times New Roman"/>
                <w:b/>
                <w:bCs/>
                <w:highlight w:val="yellow"/>
                <w:lang w:val="en-US" w:eastAsia="zh-CN"/>
              </w:rPr>
              <w:t>联系电话：021-22022024</w:t>
            </w:r>
          </w:p>
          <w:p>
            <w:pPr>
              <w:pStyle w:val="249"/>
              <w:ind w:firstLine="0" w:firstLineChars="0"/>
              <w:jc w:val="both"/>
              <w:rPr>
                <w:rFonts w:hint="eastAsia" w:ascii="Times New Roman" w:hAnsi="Times New Roman"/>
                <w:highlight w:val="yellow"/>
                <w:lang w:val="en-US" w:eastAsia="zh-CN"/>
              </w:rPr>
            </w:pPr>
            <w:r>
              <w:rPr>
                <w:rFonts w:hint="eastAsia" w:ascii="Times New Roman" w:hAnsi="Times New Roman"/>
                <w:highlight w:val="yellow"/>
                <w:lang w:val="en-US" w:eastAsia="zh-CN"/>
              </w:rPr>
              <w:t>投标人须在投标函（详见第七部分7.2）中明确投标保证金退还账户信息（开户名称、开户行、银行账号）或地址信息（邮寄地址、联系人、联系电话）。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5" w:type="dxa"/>
            <w:bottom w:w="0" w:type="dxa"/>
            <w:right w:w="108" w:type="dxa"/>
          </w:tblCellMar>
        </w:tblPrEx>
        <w:trPr>
          <w:trHeight w:val="20" w:hRule="atLeast"/>
          <w:jc w:val="center"/>
        </w:trPr>
        <w:tc>
          <w:tcPr>
            <w:tcW w:w="729" w:type="dxa"/>
            <w:vAlign w:val="center"/>
          </w:tcPr>
          <w:p>
            <w:pPr>
              <w:pStyle w:val="249"/>
              <w:numPr>
                <w:ilvl w:val="0"/>
                <w:numId w:val="26"/>
              </w:numPr>
              <w:tabs>
                <w:tab w:val="left" w:pos="397"/>
              </w:tabs>
              <w:spacing w:line="320" w:lineRule="exact"/>
              <w:ind w:firstLineChars="0"/>
              <w:jc w:val="center"/>
              <w:rPr>
                <w:rFonts w:ascii="Times New Roman" w:hAnsi="Times New Roman"/>
                <w:bCs/>
                <w:highlight w:val="none"/>
              </w:rPr>
            </w:pPr>
          </w:p>
        </w:tc>
        <w:tc>
          <w:tcPr>
            <w:tcW w:w="1146" w:type="dxa"/>
            <w:vAlign w:val="center"/>
          </w:tcPr>
          <w:p>
            <w:pPr>
              <w:pStyle w:val="249"/>
              <w:spacing w:line="320" w:lineRule="exact"/>
              <w:ind w:firstLine="0" w:firstLineChars="0"/>
              <w:jc w:val="center"/>
              <w:rPr>
                <w:rFonts w:ascii="Times New Roman" w:hAnsi="Times New Roman"/>
                <w:bCs/>
                <w:highlight w:val="none"/>
                <w:lang w:val="en-US"/>
              </w:rPr>
            </w:pPr>
            <w:r>
              <w:rPr>
                <w:rFonts w:ascii="Times New Roman" w:hAnsi="Times New Roman" w:eastAsia="Times New Roman"/>
                <w:bCs/>
                <w:highlight w:val="none"/>
                <w:lang w:val="en-US"/>
              </w:rPr>
              <w:t>3</w:t>
            </w:r>
            <w:r>
              <w:rPr>
                <w:rFonts w:ascii="Times New Roman" w:hAnsi="Times New Roman"/>
                <w:bCs/>
                <w:highlight w:val="none"/>
                <w:lang w:val="en-US"/>
              </w:rPr>
              <w:t>.</w:t>
            </w:r>
            <w:r>
              <w:rPr>
                <w:rFonts w:ascii="Times New Roman" w:hAnsi="Times New Roman" w:eastAsia="Times New Roman"/>
                <w:bCs/>
                <w:highlight w:val="none"/>
                <w:lang w:val="en-US"/>
              </w:rPr>
              <w:t>3</w:t>
            </w:r>
            <w:r>
              <w:rPr>
                <w:rFonts w:ascii="Times New Roman" w:hAnsi="Times New Roman"/>
                <w:bCs/>
                <w:highlight w:val="none"/>
                <w:lang w:val="en-US"/>
              </w:rPr>
              <w:t>.</w:t>
            </w:r>
            <w:r>
              <w:rPr>
                <w:rFonts w:ascii="Times New Roman" w:hAnsi="Times New Roman" w:eastAsia="Times New Roman"/>
                <w:bCs/>
                <w:highlight w:val="none"/>
                <w:lang w:val="en-US"/>
              </w:rPr>
              <w:t>2</w:t>
            </w:r>
            <w:r>
              <w:rPr>
                <w:rFonts w:ascii="Times New Roman" w:hAnsi="Times New Roman"/>
                <w:bCs/>
                <w:highlight w:val="none"/>
                <w:lang w:val="en-US"/>
              </w:rPr>
              <w:t>.</w:t>
            </w:r>
            <w:r>
              <w:rPr>
                <w:rFonts w:ascii="Times New Roman" w:hAnsi="Times New Roman" w:eastAsia="Times New Roman"/>
                <w:bCs/>
                <w:highlight w:val="none"/>
                <w:lang w:val="en-US"/>
              </w:rPr>
              <w:t>3</w:t>
            </w:r>
          </w:p>
        </w:tc>
        <w:tc>
          <w:tcPr>
            <w:tcW w:w="1936" w:type="dxa"/>
            <w:vAlign w:val="center"/>
          </w:tcPr>
          <w:p>
            <w:pPr>
              <w:pStyle w:val="249"/>
              <w:spacing w:line="320" w:lineRule="exact"/>
              <w:ind w:firstLine="0" w:firstLineChars="0"/>
              <w:jc w:val="center"/>
              <w:rPr>
                <w:rFonts w:ascii="Times New Roman" w:hAnsi="Times New Roman"/>
                <w:highlight w:val="none"/>
              </w:rPr>
            </w:pPr>
            <w:r>
              <w:rPr>
                <w:rFonts w:ascii="Times New Roman" w:hAnsi="Times New Roman"/>
                <w:highlight w:val="none"/>
              </w:rPr>
              <w:t>是否收取</w:t>
            </w:r>
          </w:p>
          <w:p>
            <w:pPr>
              <w:pStyle w:val="249"/>
              <w:spacing w:line="320" w:lineRule="exact"/>
              <w:ind w:firstLine="0" w:firstLineChars="0"/>
              <w:jc w:val="center"/>
              <w:rPr>
                <w:rFonts w:ascii="Times New Roman" w:hAnsi="Times New Roman"/>
                <w:highlight w:val="none"/>
              </w:rPr>
            </w:pPr>
            <w:r>
              <w:rPr>
                <w:rFonts w:ascii="Times New Roman" w:hAnsi="Times New Roman"/>
                <w:highlight w:val="none"/>
              </w:rPr>
              <w:t>履约保证金</w:t>
            </w:r>
          </w:p>
        </w:tc>
        <w:tc>
          <w:tcPr>
            <w:tcW w:w="5823" w:type="dxa"/>
            <w:vAlign w:val="center"/>
          </w:tcPr>
          <w:p>
            <w:pPr>
              <w:pStyle w:val="249"/>
              <w:ind w:firstLine="0" w:firstLineChars="0"/>
              <w:rPr>
                <w:rFonts w:ascii="Times New Roman" w:hAnsi="Times New Roman" w:eastAsiaTheme="majorEastAsia"/>
                <w:kern w:val="0"/>
                <w:highlight w:val="none"/>
                <w:lang w:val="en-US"/>
              </w:rPr>
            </w:pPr>
            <w:r>
              <w:rPr>
                <w:rFonts w:hint="eastAsia" w:ascii="Times New Roman" w:hAnsi="Times New Roman" w:eastAsiaTheme="majorEastAsia"/>
                <w:kern w:val="0"/>
                <w:highlight w:val="none"/>
                <w:lang w:val="en-US"/>
              </w:rPr>
              <w:t>除</w:t>
            </w:r>
            <w:r>
              <w:rPr>
                <w:rFonts w:hint="eastAsia" w:ascii="Times New Roman" w:hAnsi="Times New Roman" w:eastAsiaTheme="majorEastAsia"/>
                <w:kern w:val="0"/>
                <w:highlight w:val="none"/>
                <w:lang w:val="en-US" w:eastAsia="zh-CN"/>
              </w:rPr>
              <w:t>江门海关缉私局、</w:t>
            </w:r>
            <w:r>
              <w:rPr>
                <w:rFonts w:ascii="Times New Roman" w:hAnsi="Times New Roman" w:eastAsiaTheme="majorEastAsia"/>
                <w:kern w:val="0"/>
                <w:highlight w:val="none"/>
                <w:lang w:val="en-US"/>
              </w:rPr>
              <w:t>海口海关</w:t>
            </w:r>
            <w:r>
              <w:rPr>
                <w:rFonts w:hint="eastAsia" w:ascii="Times New Roman" w:hAnsi="Times New Roman" w:eastAsiaTheme="majorEastAsia"/>
                <w:kern w:val="0"/>
                <w:highlight w:val="none"/>
                <w:lang w:val="en-US" w:eastAsia="zh-CN"/>
              </w:rPr>
              <w:t>、昆明海关、青岛海关缉私局、湛江海关缉私局</w:t>
            </w:r>
            <w:r>
              <w:rPr>
                <w:rFonts w:hint="eastAsia" w:ascii="Times New Roman" w:hAnsi="Times New Roman" w:eastAsiaTheme="majorEastAsia"/>
                <w:kern w:val="0"/>
                <w:highlight w:val="none"/>
                <w:lang w:val="en-US"/>
              </w:rPr>
              <w:t>，其余均不收取履约保证金。</w:t>
            </w:r>
          </w:p>
          <w:p>
            <w:pPr>
              <w:pStyle w:val="249"/>
              <w:ind w:firstLine="0" w:firstLineChars="0"/>
              <w:rPr>
                <w:rFonts w:hint="eastAsia" w:ascii="Times New Roman" w:hAnsi="Times New Roman" w:eastAsiaTheme="majorEastAsia"/>
                <w:kern w:val="0"/>
                <w:highlight w:val="none"/>
                <w:lang w:val="en-US" w:eastAsia="zh-CN"/>
              </w:rPr>
            </w:pPr>
            <w:r>
              <w:rPr>
                <w:rFonts w:hint="eastAsia" w:ascii="Times New Roman" w:hAnsi="Times New Roman" w:eastAsiaTheme="majorEastAsia"/>
                <w:kern w:val="0"/>
                <w:highlight w:val="none"/>
                <w:lang w:val="en-US" w:eastAsia="zh-CN"/>
              </w:rPr>
              <w:t>江门海关缉私局、青岛海关缉私局、湛江海关缉私局履约保证金收取方式：</w:t>
            </w:r>
            <w:r>
              <w:rPr>
                <w:rFonts w:hint="eastAsia" w:ascii="Times New Roman" w:hAnsi="Times New Roman" w:eastAsiaTheme="majorEastAsia"/>
                <w:kern w:val="0"/>
                <w:highlight w:val="none"/>
                <w:lang w:val="en-US"/>
              </w:rPr>
              <w:t>合同签订后10个工作日内，中标供应商</w:t>
            </w:r>
            <w:r>
              <w:rPr>
                <w:rFonts w:hint="eastAsia" w:ascii="Times New Roman" w:hAnsi="Times New Roman" w:eastAsiaTheme="majorEastAsia"/>
                <w:kern w:val="0"/>
                <w:highlight w:val="none"/>
                <w:lang w:val="en-US" w:eastAsia="zh-CN"/>
              </w:rPr>
              <w:t>需</w:t>
            </w:r>
            <w:r>
              <w:rPr>
                <w:rFonts w:hint="eastAsia" w:ascii="Times New Roman" w:hAnsi="Times New Roman" w:eastAsiaTheme="majorEastAsia"/>
                <w:kern w:val="0"/>
                <w:highlight w:val="none"/>
                <w:lang w:val="en-US"/>
              </w:rPr>
              <w:t>向采购人支付合同金额的</w:t>
            </w:r>
            <w:r>
              <w:rPr>
                <w:rFonts w:ascii="Times New Roman" w:hAnsi="Times New Roman" w:eastAsiaTheme="majorEastAsia"/>
                <w:kern w:val="0"/>
                <w:highlight w:val="none"/>
                <w:lang w:val="en-US"/>
              </w:rPr>
              <w:t>5</w:t>
            </w:r>
            <w:r>
              <w:rPr>
                <w:rFonts w:hint="eastAsia" w:ascii="Times New Roman" w:hAnsi="Times New Roman" w:eastAsiaTheme="majorEastAsia"/>
                <w:kern w:val="0"/>
                <w:highlight w:val="none"/>
                <w:lang w:val="en-US"/>
              </w:rPr>
              <w:t>%作为履约保证金</w:t>
            </w:r>
            <w:r>
              <w:rPr>
                <w:rFonts w:hint="eastAsia" w:ascii="Times New Roman" w:hAnsi="Times New Roman" w:eastAsiaTheme="majorEastAsia"/>
                <w:kern w:val="0"/>
                <w:highlight w:val="none"/>
                <w:lang w:val="en-US" w:eastAsia="zh-CN"/>
              </w:rPr>
              <w:t>，</w:t>
            </w:r>
            <w:r>
              <w:rPr>
                <w:rFonts w:hint="eastAsia" w:ascii="Times New Roman" w:hAnsi="Times New Roman" w:eastAsiaTheme="majorEastAsia"/>
                <w:kern w:val="0"/>
                <w:highlight w:val="none"/>
                <w:lang w:val="en-US"/>
              </w:rPr>
              <w:t>在最终验收合格后的10个工作日内无息退还履约保证金</w:t>
            </w:r>
            <w:r>
              <w:rPr>
                <w:rFonts w:hint="eastAsia" w:ascii="Times New Roman" w:hAnsi="Times New Roman" w:eastAsiaTheme="majorEastAsia"/>
                <w:kern w:val="0"/>
                <w:highlight w:val="none"/>
                <w:lang w:val="en-US" w:eastAsia="zh-CN"/>
              </w:rPr>
              <w:t>。</w:t>
            </w:r>
          </w:p>
          <w:p>
            <w:pPr>
              <w:pStyle w:val="249"/>
              <w:ind w:firstLine="0" w:firstLineChars="0"/>
              <w:rPr>
                <w:rFonts w:hint="eastAsia" w:ascii="Times New Roman" w:hAnsi="Times New Roman" w:eastAsiaTheme="majorEastAsia"/>
                <w:kern w:val="0"/>
                <w:highlight w:val="none"/>
                <w:lang w:val="en-US" w:eastAsia="zh-CN"/>
              </w:rPr>
            </w:pPr>
            <w:r>
              <w:rPr>
                <w:rFonts w:ascii="Times New Roman" w:hAnsi="Times New Roman" w:eastAsiaTheme="majorEastAsia"/>
                <w:kern w:val="0"/>
                <w:highlight w:val="none"/>
                <w:lang w:val="en-US"/>
              </w:rPr>
              <w:t>海口海关</w:t>
            </w:r>
            <w:r>
              <w:rPr>
                <w:rFonts w:hint="eastAsia" w:ascii="Times New Roman" w:hAnsi="Times New Roman" w:eastAsiaTheme="majorEastAsia"/>
                <w:kern w:val="0"/>
                <w:highlight w:val="none"/>
                <w:lang w:val="en-US"/>
              </w:rPr>
              <w:t>履约保证金收取方式：合同签订后</w:t>
            </w:r>
            <w:r>
              <w:rPr>
                <w:rFonts w:hint="eastAsia" w:ascii="Times New Roman" w:hAnsi="Times New Roman" w:eastAsiaTheme="majorEastAsia"/>
                <w:kern w:val="0"/>
                <w:highlight w:val="none"/>
                <w:lang w:val="en-US" w:eastAsia="zh-CN"/>
              </w:rPr>
              <w:t>10</w:t>
            </w:r>
            <w:r>
              <w:rPr>
                <w:rFonts w:hint="eastAsia" w:ascii="Times New Roman" w:hAnsi="Times New Roman" w:eastAsiaTheme="majorEastAsia"/>
                <w:kern w:val="0"/>
                <w:highlight w:val="none"/>
                <w:lang w:val="en-US"/>
              </w:rPr>
              <w:t>个工作日内，中标供应商需向采购人支付合同金额的</w:t>
            </w:r>
            <w:r>
              <w:rPr>
                <w:rFonts w:ascii="Times New Roman" w:hAnsi="Times New Roman" w:eastAsiaTheme="majorEastAsia"/>
                <w:kern w:val="0"/>
                <w:highlight w:val="none"/>
                <w:lang w:val="en-US"/>
              </w:rPr>
              <w:t>5</w:t>
            </w:r>
            <w:r>
              <w:rPr>
                <w:rFonts w:hint="eastAsia" w:ascii="Times New Roman" w:hAnsi="Times New Roman" w:eastAsiaTheme="majorEastAsia"/>
                <w:kern w:val="0"/>
                <w:highlight w:val="none"/>
                <w:lang w:val="en-US"/>
              </w:rPr>
              <w:t>%作为履约保证金</w:t>
            </w:r>
            <w:r>
              <w:rPr>
                <w:rFonts w:hint="eastAsia" w:ascii="Times New Roman" w:hAnsi="Times New Roman" w:eastAsiaTheme="majorEastAsia"/>
                <w:kern w:val="0"/>
                <w:highlight w:val="none"/>
                <w:lang w:val="en-US" w:eastAsia="zh-CN"/>
              </w:rPr>
              <w:t>，</w:t>
            </w:r>
            <w:r>
              <w:rPr>
                <w:rFonts w:hint="eastAsia" w:ascii="Times New Roman" w:hAnsi="Times New Roman" w:eastAsiaTheme="majorEastAsia"/>
                <w:kern w:val="0"/>
                <w:highlight w:val="none"/>
                <w:lang w:val="en-US"/>
              </w:rPr>
              <w:t>在最终验收合格后的</w:t>
            </w:r>
            <w:r>
              <w:rPr>
                <w:rFonts w:hint="eastAsia" w:ascii="Times New Roman" w:hAnsi="Times New Roman" w:eastAsiaTheme="majorEastAsia"/>
                <w:kern w:val="0"/>
                <w:highlight w:val="none"/>
                <w:lang w:val="en-US" w:eastAsia="zh-CN"/>
              </w:rPr>
              <w:t>2</w:t>
            </w:r>
            <w:r>
              <w:rPr>
                <w:rFonts w:hint="eastAsia" w:ascii="Times New Roman" w:hAnsi="Times New Roman" w:eastAsiaTheme="majorEastAsia"/>
                <w:kern w:val="0"/>
                <w:highlight w:val="none"/>
                <w:lang w:val="en-US"/>
              </w:rPr>
              <w:t>0个工作日内无息退还履约保证金</w:t>
            </w:r>
            <w:r>
              <w:rPr>
                <w:rFonts w:hint="eastAsia" w:ascii="Times New Roman" w:hAnsi="Times New Roman" w:eastAsiaTheme="majorEastAsia"/>
                <w:kern w:val="0"/>
                <w:highlight w:val="none"/>
                <w:lang w:val="en-US" w:eastAsia="zh-CN"/>
              </w:rPr>
              <w:t>。</w:t>
            </w:r>
          </w:p>
          <w:p>
            <w:pPr>
              <w:pStyle w:val="249"/>
              <w:ind w:firstLine="0" w:firstLineChars="0"/>
              <w:rPr>
                <w:rFonts w:hint="default" w:ascii="Times New Roman" w:hAnsi="Times New Roman" w:eastAsiaTheme="majorEastAsia"/>
                <w:kern w:val="0"/>
                <w:highlight w:val="none"/>
                <w:lang w:val="en-US" w:eastAsia="zh-CN"/>
              </w:rPr>
            </w:pPr>
            <w:r>
              <w:rPr>
                <w:rFonts w:ascii="Times New Roman" w:hAnsi="Times New Roman" w:eastAsia="宋体"/>
                <w:kern w:val="0"/>
                <w:highlight w:val="none"/>
                <w:lang w:val="en-US" w:eastAsia="zh-CN"/>
              </w:rPr>
              <w:t>昆明海关</w:t>
            </w:r>
            <w:r>
              <w:rPr>
                <w:rFonts w:hint="eastAsia" w:ascii="Times New Roman" w:hAnsi="Times New Roman" w:eastAsia="宋体"/>
                <w:kern w:val="0"/>
                <w:highlight w:val="none"/>
                <w:lang w:val="en-US"/>
              </w:rPr>
              <w:t>履约</w:t>
            </w:r>
            <w:r>
              <w:rPr>
                <w:rFonts w:ascii="Times New Roman" w:hAnsi="Times New Roman" w:eastAsia="宋体"/>
                <w:kern w:val="0"/>
                <w:highlight w:val="none"/>
                <w:lang w:val="en-US" w:eastAsia="zh-CN"/>
              </w:rPr>
              <w:t>保证金收取方式：</w:t>
            </w:r>
            <w:r>
              <w:rPr>
                <w:rFonts w:hint="eastAsia" w:ascii="Times New Roman" w:hAnsi="Times New Roman"/>
                <w:color w:val="000000"/>
                <w:highlight w:val="none"/>
                <w:lang w:val="en-US"/>
              </w:rPr>
              <w:t>合同签订后10个工作日内，中标供应商须</w:t>
            </w:r>
            <w:r>
              <w:rPr>
                <w:rFonts w:hint="eastAsia" w:ascii="Times New Roman" w:hAnsi="Times New Roman"/>
                <w:color w:val="000000"/>
                <w:highlight w:val="none"/>
                <w:lang w:val="en-US" w:eastAsia="zh-CN"/>
              </w:rPr>
              <w:t>开具合同金额10%的履约保函，</w:t>
            </w:r>
            <w:r>
              <w:rPr>
                <w:rFonts w:hint="eastAsia" w:ascii="Times New Roman" w:hAnsi="Times New Roman"/>
                <w:color w:val="000000"/>
                <w:highlight w:val="none"/>
                <w:lang w:val="en-US"/>
              </w:rPr>
              <w:t>履约担保有效期</w:t>
            </w:r>
            <w:r>
              <w:rPr>
                <w:rFonts w:hint="eastAsia" w:ascii="Times New Roman" w:hAnsi="Times New Roman"/>
                <w:color w:val="000000"/>
                <w:highlight w:val="none"/>
                <w:lang w:val="en-US" w:eastAsia="zh-CN"/>
              </w:rPr>
              <w:t>自保函生效至项目验收通过2年终止</w:t>
            </w:r>
            <w:r>
              <w:rPr>
                <w:rFonts w:hint="eastAsia" w:ascii="Times New Roman" w:hAnsi="Times New Roman"/>
                <w:color w:val="000000"/>
                <w:highlight w:val="none"/>
                <w:lang w:val="en-US"/>
              </w:rPr>
              <w:t>（</w:t>
            </w:r>
            <w:r>
              <w:rPr>
                <w:rFonts w:hint="eastAsia" w:ascii="Times New Roman" w:hAnsi="Times New Roman"/>
                <w:color w:val="000000"/>
                <w:highlight w:val="none"/>
                <w:lang w:val="en-US" w:eastAsia="zh-CN"/>
              </w:rPr>
              <w:t>期间</w:t>
            </w:r>
            <w:r>
              <w:rPr>
                <w:rFonts w:hint="eastAsia" w:ascii="Times New Roman" w:hAnsi="Times New Roman"/>
                <w:color w:val="000000"/>
                <w:highlight w:val="none"/>
                <w:lang w:val="en-US"/>
              </w:rPr>
              <w:t>不计利息）。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5" w:type="dxa"/>
            <w:bottom w:w="0" w:type="dxa"/>
            <w:right w:w="108" w:type="dxa"/>
          </w:tblCellMar>
        </w:tblPrEx>
        <w:trPr>
          <w:trHeight w:val="20" w:hRule="atLeast"/>
          <w:jc w:val="center"/>
        </w:trPr>
        <w:tc>
          <w:tcPr>
            <w:tcW w:w="729" w:type="dxa"/>
            <w:vAlign w:val="center"/>
          </w:tcPr>
          <w:p>
            <w:pPr>
              <w:pStyle w:val="249"/>
              <w:numPr>
                <w:ilvl w:val="0"/>
                <w:numId w:val="26"/>
              </w:numPr>
              <w:tabs>
                <w:tab w:val="left" w:pos="397"/>
              </w:tabs>
              <w:spacing w:line="320" w:lineRule="exact"/>
              <w:ind w:firstLineChars="0"/>
              <w:jc w:val="center"/>
              <w:rPr>
                <w:rFonts w:ascii="Times New Roman" w:hAnsi="Times New Roman"/>
                <w:bCs/>
                <w:highlight w:val="none"/>
              </w:rPr>
            </w:pPr>
          </w:p>
        </w:tc>
        <w:tc>
          <w:tcPr>
            <w:tcW w:w="1146" w:type="dxa"/>
            <w:vAlign w:val="center"/>
          </w:tcPr>
          <w:p>
            <w:pPr>
              <w:pStyle w:val="249"/>
              <w:spacing w:line="320" w:lineRule="exact"/>
              <w:ind w:firstLine="0" w:firstLineChars="0"/>
              <w:jc w:val="center"/>
              <w:rPr>
                <w:rFonts w:ascii="Times New Roman" w:hAnsi="Times New Roman"/>
                <w:bCs/>
                <w:highlight w:val="none"/>
              </w:rPr>
            </w:pPr>
            <w:r>
              <w:rPr>
                <w:rFonts w:ascii="Times New Roman" w:hAnsi="Times New Roman" w:eastAsia="Times New Roman"/>
                <w:bCs/>
                <w:highlight w:val="none"/>
                <w:lang w:val="en-US"/>
              </w:rPr>
              <w:t>3</w:t>
            </w:r>
            <w:r>
              <w:rPr>
                <w:rFonts w:ascii="Times New Roman" w:hAnsi="Times New Roman"/>
                <w:bCs/>
                <w:highlight w:val="none"/>
                <w:lang w:val="en-US"/>
              </w:rPr>
              <w:t>.</w:t>
            </w:r>
            <w:r>
              <w:rPr>
                <w:rFonts w:ascii="Times New Roman" w:hAnsi="Times New Roman" w:eastAsia="Times New Roman"/>
                <w:bCs/>
                <w:highlight w:val="none"/>
                <w:lang w:val="en-US"/>
              </w:rPr>
              <w:t>3</w:t>
            </w:r>
            <w:r>
              <w:rPr>
                <w:rFonts w:ascii="Times New Roman" w:hAnsi="Times New Roman"/>
                <w:bCs/>
                <w:highlight w:val="none"/>
                <w:lang w:val="en-US"/>
              </w:rPr>
              <w:t>.</w:t>
            </w:r>
            <w:r>
              <w:rPr>
                <w:rFonts w:ascii="Times New Roman" w:hAnsi="Times New Roman" w:eastAsia="Times New Roman"/>
                <w:bCs/>
                <w:highlight w:val="none"/>
                <w:lang w:val="en-US"/>
              </w:rPr>
              <w:t>2</w:t>
            </w:r>
            <w:r>
              <w:rPr>
                <w:rFonts w:ascii="Times New Roman" w:hAnsi="Times New Roman"/>
                <w:bCs/>
                <w:highlight w:val="none"/>
                <w:lang w:val="en-US"/>
              </w:rPr>
              <w:t>.</w:t>
            </w:r>
            <w:r>
              <w:rPr>
                <w:rFonts w:ascii="Times New Roman" w:hAnsi="Times New Roman" w:eastAsia="Times New Roman"/>
                <w:bCs/>
                <w:highlight w:val="none"/>
                <w:lang w:val="en-US"/>
              </w:rPr>
              <w:t>3</w:t>
            </w:r>
          </w:p>
        </w:tc>
        <w:tc>
          <w:tcPr>
            <w:tcW w:w="1936" w:type="dxa"/>
            <w:vAlign w:val="center"/>
          </w:tcPr>
          <w:p>
            <w:pPr>
              <w:pStyle w:val="249"/>
              <w:spacing w:line="320" w:lineRule="exact"/>
              <w:ind w:firstLine="0" w:firstLineChars="0"/>
              <w:jc w:val="center"/>
              <w:rPr>
                <w:rFonts w:ascii="Times New Roman" w:hAnsi="Times New Roman"/>
                <w:highlight w:val="none"/>
                <w:lang w:val="en-US"/>
              </w:rPr>
            </w:pPr>
            <w:r>
              <w:rPr>
                <w:rFonts w:ascii="Times New Roman" w:hAnsi="Times New Roman"/>
                <w:highlight w:val="none"/>
              </w:rPr>
              <w:t>是否允许履约担保</w:t>
            </w:r>
          </w:p>
        </w:tc>
        <w:tc>
          <w:tcPr>
            <w:tcW w:w="5823" w:type="dxa"/>
            <w:vAlign w:val="center"/>
          </w:tcPr>
          <w:p>
            <w:pPr>
              <w:pStyle w:val="249"/>
              <w:ind w:firstLine="0" w:firstLineChars="0"/>
              <w:jc w:val="left"/>
              <w:rPr>
                <w:rFonts w:hint="eastAsia" w:ascii="Times New Roman" w:hAnsi="Times New Roman" w:eastAsia="宋体"/>
                <w:highlight w:val="none"/>
                <w:lang w:eastAsia="zh-CN"/>
              </w:rPr>
            </w:pPr>
            <w:r>
              <w:rPr>
                <w:rFonts w:hint="eastAsia" w:ascii="Times New Roman" w:hAnsi="Times New Roman" w:eastAsiaTheme="majorEastAsia"/>
                <w:kern w:val="0"/>
                <w:highlight w:val="none"/>
                <w:lang w:val="en-US" w:eastAsia="zh-CN"/>
              </w:rPr>
              <w:t>江门海关缉私局、</w:t>
            </w:r>
            <w:r>
              <w:rPr>
                <w:rFonts w:ascii="Times New Roman" w:hAnsi="Times New Roman" w:eastAsiaTheme="majorEastAsia"/>
                <w:kern w:val="0"/>
                <w:highlight w:val="none"/>
                <w:lang w:val="en-US"/>
              </w:rPr>
              <w:t>海口海关</w:t>
            </w:r>
            <w:r>
              <w:rPr>
                <w:rFonts w:hint="eastAsia" w:ascii="Times New Roman" w:hAnsi="Times New Roman" w:eastAsiaTheme="majorEastAsia"/>
                <w:kern w:val="0"/>
                <w:highlight w:val="none"/>
                <w:lang w:val="en-US" w:eastAsia="zh-CN"/>
              </w:rPr>
              <w:t>、昆明海关、青岛海关缉私局、湛江海关缉私局允许履约担保</w:t>
            </w:r>
            <w:r>
              <w:rPr>
                <w:rFonts w:hint="eastAsia" w:ascii="Times New Roman" w:hAnsi="Times New Roman"/>
                <w:color w:val="000000"/>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5" w:type="dxa"/>
            <w:bottom w:w="0" w:type="dxa"/>
            <w:right w:w="108" w:type="dxa"/>
          </w:tblCellMar>
        </w:tblPrEx>
        <w:trPr>
          <w:trHeight w:val="20" w:hRule="atLeast"/>
          <w:jc w:val="center"/>
        </w:trPr>
        <w:tc>
          <w:tcPr>
            <w:tcW w:w="729" w:type="dxa"/>
            <w:vAlign w:val="center"/>
          </w:tcPr>
          <w:p>
            <w:pPr>
              <w:pStyle w:val="249"/>
              <w:numPr>
                <w:ilvl w:val="0"/>
                <w:numId w:val="26"/>
              </w:numPr>
              <w:tabs>
                <w:tab w:val="left" w:pos="397"/>
              </w:tabs>
              <w:spacing w:line="320" w:lineRule="exact"/>
              <w:ind w:firstLineChars="0"/>
              <w:jc w:val="center"/>
              <w:rPr>
                <w:rFonts w:ascii="Times New Roman" w:hAnsi="Times New Roman"/>
                <w:bCs/>
                <w:highlight w:val="none"/>
              </w:rPr>
            </w:pPr>
          </w:p>
        </w:tc>
        <w:tc>
          <w:tcPr>
            <w:tcW w:w="1146" w:type="dxa"/>
            <w:vAlign w:val="center"/>
          </w:tcPr>
          <w:p>
            <w:pPr>
              <w:pStyle w:val="249"/>
              <w:spacing w:line="320" w:lineRule="exact"/>
              <w:ind w:firstLine="0" w:firstLineChars="0"/>
              <w:jc w:val="center"/>
              <w:rPr>
                <w:rFonts w:ascii="Times New Roman" w:hAnsi="Times New Roman"/>
                <w:bCs/>
                <w:highlight w:val="none"/>
              </w:rPr>
            </w:pPr>
          </w:p>
        </w:tc>
        <w:tc>
          <w:tcPr>
            <w:tcW w:w="1936" w:type="dxa"/>
            <w:vAlign w:val="center"/>
          </w:tcPr>
          <w:p>
            <w:pPr>
              <w:pStyle w:val="249"/>
              <w:spacing w:line="320" w:lineRule="exact"/>
              <w:ind w:firstLine="0" w:firstLineChars="0"/>
              <w:jc w:val="center"/>
              <w:rPr>
                <w:rFonts w:ascii="Times New Roman" w:hAnsi="Times New Roman"/>
                <w:highlight w:val="none"/>
              </w:rPr>
            </w:pPr>
            <w:r>
              <w:rPr>
                <w:rFonts w:ascii="Times New Roman" w:hAnsi="Times New Roman"/>
                <w:highlight w:val="none"/>
              </w:rPr>
              <w:t>中小企业</w:t>
            </w:r>
          </w:p>
          <w:p>
            <w:pPr>
              <w:pStyle w:val="249"/>
              <w:spacing w:line="320" w:lineRule="exact"/>
              <w:ind w:firstLine="0" w:firstLineChars="0"/>
              <w:jc w:val="center"/>
              <w:rPr>
                <w:rFonts w:ascii="Times New Roman" w:hAnsi="Times New Roman"/>
                <w:highlight w:val="none"/>
              </w:rPr>
            </w:pPr>
            <w:r>
              <w:rPr>
                <w:rFonts w:ascii="Times New Roman" w:hAnsi="Times New Roman"/>
                <w:highlight w:val="none"/>
              </w:rPr>
              <w:t>有关政策</w:t>
            </w:r>
          </w:p>
        </w:tc>
        <w:tc>
          <w:tcPr>
            <w:tcW w:w="5823" w:type="dxa"/>
            <w:vAlign w:val="center"/>
          </w:tcPr>
          <w:p>
            <w:pPr>
              <w:pStyle w:val="249"/>
              <w:widowControl w:val="0"/>
              <w:numPr>
                <w:ilvl w:val="0"/>
                <w:numId w:val="29"/>
              </w:numPr>
              <w:adjustRightInd w:val="0"/>
              <w:snapToGrid w:val="0"/>
              <w:ind w:firstLineChars="0"/>
              <w:rPr>
                <w:rFonts w:ascii="Times New Roman" w:hAnsi="Times New Roman"/>
                <w:highlight w:val="none"/>
                <w:lang w:val="en-US"/>
              </w:rPr>
            </w:pPr>
            <w:r>
              <w:rPr>
                <w:rFonts w:hint="eastAsia" w:cs="宋体"/>
                <w:highlight w:val="none"/>
                <w:lang w:val="en-US"/>
              </w:rPr>
              <w:t>根据工业和信息化部、国家统计局、国家发展和改革委员会、财政部《关于印发中小企业划型标准规定的通知》（工信部联企业〔</w:t>
            </w:r>
            <w:r>
              <w:rPr>
                <w:rFonts w:hint="eastAsia" w:ascii="Times New Roman" w:hAnsi="Times New Roman" w:eastAsia="Times New Roman"/>
                <w:highlight w:val="none"/>
                <w:lang w:val="en-US"/>
              </w:rPr>
              <w:t>2011</w:t>
            </w:r>
            <w:r>
              <w:rPr>
                <w:rFonts w:hint="eastAsia" w:ascii="Times New Roman" w:hAnsi="Times New Roman" w:cs="宋体"/>
                <w:highlight w:val="none"/>
                <w:lang w:val="en-US"/>
              </w:rPr>
              <w:t>〕</w:t>
            </w:r>
            <w:r>
              <w:rPr>
                <w:rFonts w:hint="eastAsia" w:ascii="Times New Roman" w:hAnsi="Times New Roman" w:eastAsia="Times New Roman"/>
                <w:highlight w:val="none"/>
                <w:lang w:val="en-US"/>
              </w:rPr>
              <w:t xml:space="preserve">300 </w:t>
            </w:r>
            <w:r>
              <w:rPr>
                <w:rFonts w:hint="eastAsia" w:ascii="Times New Roman" w:hAnsi="Times New Roman" w:cs="宋体"/>
                <w:highlight w:val="none"/>
                <w:lang w:val="en-US"/>
              </w:rPr>
              <w:t>号），</w:t>
            </w:r>
            <w:r>
              <w:rPr>
                <w:rFonts w:hint="eastAsia" w:cs="宋体"/>
                <w:highlight w:val="none"/>
                <w:lang w:val="en-US"/>
              </w:rPr>
              <w:t>按照本次采购标的所属行业的划型标准，符合条件的中小企业应按照招标文件格式要求提供中小企业证明材料</w:t>
            </w:r>
            <w:r>
              <w:rPr>
                <w:rFonts w:hint="eastAsia" w:ascii="Times New Roman" w:hAnsi="Times New Roman"/>
                <w:highlight w:val="none"/>
                <w:lang w:val="en-US"/>
              </w:rPr>
              <w:t>（详见招标文件第七部分）</w:t>
            </w:r>
            <w:r>
              <w:rPr>
                <w:rFonts w:ascii="Times New Roman" w:hAnsi="Times New Roman"/>
                <w:highlight w:val="none"/>
                <w:lang w:val="en-US"/>
              </w:rPr>
              <w:t>。（</w:t>
            </w:r>
            <w:r>
              <w:rPr>
                <w:rFonts w:ascii="Times New Roman" w:hAnsi="Times New Roman"/>
                <w:highlight w:val="none"/>
              </w:rPr>
              <w:t>本项目</w:t>
            </w:r>
            <w:r>
              <w:rPr>
                <w:rFonts w:hint="eastAsia" w:ascii="Times New Roman" w:hAnsi="Times New Roman"/>
                <w:highlight w:val="none"/>
                <w:lang w:val="en-US"/>
              </w:rPr>
              <w:t>第</w:t>
            </w:r>
            <w:r>
              <w:rPr>
                <w:rFonts w:hint="eastAsia" w:ascii="Times New Roman" w:hAnsi="Times New Roman" w:eastAsia="宋体"/>
                <w:highlight w:val="none"/>
                <w:lang w:val="en-US" w:eastAsia="zh-CN"/>
              </w:rPr>
              <w:t>3、4、6、7、9、10、11</w:t>
            </w:r>
            <w:r>
              <w:rPr>
                <w:rFonts w:hint="eastAsia" w:ascii="Times New Roman" w:hAnsi="Times New Roman"/>
                <w:highlight w:val="none"/>
                <w:lang w:val="en-US"/>
              </w:rPr>
              <w:t>包专门面向中小企业</w:t>
            </w:r>
            <w:r>
              <w:rPr>
                <w:rFonts w:ascii="Times New Roman" w:hAnsi="Times New Roman"/>
                <w:highlight w:val="none"/>
                <w:lang w:val="en-US"/>
              </w:rPr>
              <w:t>，不做价格扣除）</w:t>
            </w:r>
          </w:p>
          <w:p>
            <w:pPr>
              <w:pStyle w:val="249"/>
              <w:widowControl w:val="0"/>
              <w:numPr>
                <w:ilvl w:val="0"/>
                <w:numId w:val="29"/>
              </w:numPr>
              <w:adjustRightInd w:val="0"/>
              <w:snapToGrid w:val="0"/>
              <w:ind w:firstLineChars="0"/>
              <w:rPr>
                <w:rFonts w:ascii="Times New Roman" w:hAnsi="Times New Roman"/>
                <w:highlight w:val="none"/>
                <w:lang w:val="en-US"/>
              </w:rPr>
            </w:pPr>
            <w:r>
              <w:rPr>
                <w:rFonts w:ascii="Times New Roman" w:hAnsi="Times New Roman"/>
                <w:highlight w:val="none"/>
                <w:lang w:val="en-US"/>
              </w:rPr>
              <w:t>根据财政部和工业和信息化部发布的关于印发《政府采购促进中小企业发展管理办法》（财库〔2020〕46号）</w:t>
            </w:r>
            <w:r>
              <w:rPr>
                <w:rFonts w:hint="eastAsia" w:ascii="Times New Roman" w:hAnsi="Times New Roman"/>
                <w:highlight w:val="none"/>
                <w:lang w:val="en-US"/>
              </w:rPr>
              <w:t>和</w:t>
            </w:r>
            <w:r>
              <w:rPr>
                <w:rFonts w:ascii="Times New Roman" w:hAnsi="Times New Roman"/>
                <w:highlight w:val="none"/>
                <w:lang w:val="en-US"/>
              </w:rPr>
              <w:t>《</w:t>
            </w:r>
            <w:r>
              <w:rPr>
                <w:rFonts w:hint="eastAsia" w:ascii="Times New Roman" w:hAnsi="Times New Roman"/>
                <w:highlight w:val="none"/>
                <w:lang w:val="en-US"/>
              </w:rPr>
              <w:t>关于</w:t>
            </w:r>
            <w:r>
              <w:rPr>
                <w:rFonts w:ascii="Times New Roman" w:hAnsi="Times New Roman"/>
                <w:highlight w:val="none"/>
                <w:lang w:val="en-US"/>
              </w:rPr>
              <w:t>进一步加大政府采购支持中小企业</w:t>
            </w:r>
            <w:r>
              <w:rPr>
                <w:rFonts w:hint="eastAsia" w:ascii="Times New Roman" w:hAnsi="Times New Roman"/>
                <w:highlight w:val="none"/>
                <w:lang w:val="en-US"/>
              </w:rPr>
              <w:t>力度</w:t>
            </w:r>
            <w:r>
              <w:rPr>
                <w:rFonts w:ascii="Times New Roman" w:hAnsi="Times New Roman"/>
                <w:highlight w:val="none"/>
                <w:lang w:val="en-US"/>
              </w:rPr>
              <w:t>的通知》（财库〔202</w:t>
            </w:r>
            <w:r>
              <w:rPr>
                <w:rFonts w:hint="eastAsia" w:ascii="Times New Roman" w:hAnsi="Times New Roman"/>
                <w:highlight w:val="none"/>
                <w:lang w:val="en-US"/>
              </w:rPr>
              <w:t>2</w:t>
            </w:r>
            <w:r>
              <w:rPr>
                <w:rFonts w:ascii="Times New Roman" w:hAnsi="Times New Roman"/>
                <w:highlight w:val="none"/>
                <w:lang w:val="en-US"/>
              </w:rPr>
              <w:t>〕</w:t>
            </w:r>
            <w:r>
              <w:rPr>
                <w:rFonts w:hint="eastAsia" w:ascii="Times New Roman" w:hAnsi="Times New Roman"/>
                <w:highlight w:val="none"/>
                <w:lang w:val="en-US"/>
              </w:rPr>
              <w:t>19</w:t>
            </w:r>
            <w:r>
              <w:rPr>
                <w:rFonts w:ascii="Times New Roman" w:hAnsi="Times New Roman"/>
                <w:highlight w:val="none"/>
                <w:lang w:val="en-US"/>
              </w:rPr>
              <w:t>号）</w:t>
            </w:r>
            <w:r>
              <w:rPr>
                <w:rFonts w:hint="eastAsia" w:ascii="Times New Roman" w:hAnsi="Times New Roman"/>
                <w:highlight w:val="none"/>
                <w:lang w:val="en-US"/>
              </w:rPr>
              <w:t>的</w:t>
            </w:r>
            <w:r>
              <w:rPr>
                <w:rFonts w:ascii="Times New Roman" w:hAnsi="Times New Roman"/>
                <w:highlight w:val="none"/>
                <w:lang w:val="en-US"/>
              </w:rPr>
              <w:t>规定，对小型和微型企业产品的投标价格给予10%的扣除，用扣除后的价格参加评审。</w:t>
            </w:r>
          </w:p>
          <w:p>
            <w:pPr>
              <w:pStyle w:val="249"/>
              <w:widowControl w:val="0"/>
              <w:numPr>
                <w:ilvl w:val="0"/>
                <w:numId w:val="29"/>
              </w:numPr>
              <w:adjustRightInd w:val="0"/>
              <w:snapToGrid w:val="0"/>
              <w:ind w:firstLineChars="0"/>
              <w:rPr>
                <w:rFonts w:ascii="Times New Roman" w:hAnsi="Times New Roman"/>
                <w:highlight w:val="none"/>
                <w:lang w:val="en-US"/>
              </w:rPr>
            </w:pPr>
            <w:r>
              <w:rPr>
                <w:rFonts w:ascii="Times New Roman" w:hAnsi="Times New Roman"/>
                <w:highlight w:val="none"/>
                <w:lang w:val="en-US"/>
              </w:rPr>
              <w:t>根据财政部和工业和信息化部发布的关于印发《政府采购促进中小企业发展管理办法》（财库〔2020〕46号）</w:t>
            </w:r>
            <w:r>
              <w:rPr>
                <w:rFonts w:hint="eastAsia" w:ascii="Times New Roman" w:hAnsi="Times New Roman"/>
                <w:highlight w:val="none"/>
                <w:lang w:val="en-US"/>
              </w:rPr>
              <w:t>和</w:t>
            </w:r>
            <w:r>
              <w:rPr>
                <w:rFonts w:ascii="Times New Roman" w:hAnsi="Times New Roman"/>
                <w:highlight w:val="none"/>
                <w:lang w:val="en-US"/>
              </w:rPr>
              <w:t>《</w:t>
            </w:r>
            <w:r>
              <w:rPr>
                <w:rFonts w:hint="eastAsia" w:ascii="Times New Roman" w:hAnsi="Times New Roman"/>
                <w:highlight w:val="none"/>
                <w:lang w:val="en-US"/>
              </w:rPr>
              <w:t>关于</w:t>
            </w:r>
            <w:r>
              <w:rPr>
                <w:rFonts w:ascii="Times New Roman" w:hAnsi="Times New Roman"/>
                <w:highlight w:val="none"/>
                <w:lang w:val="en-US"/>
              </w:rPr>
              <w:t>进一步加大政府采购支持中小企业</w:t>
            </w:r>
            <w:r>
              <w:rPr>
                <w:rFonts w:hint="eastAsia" w:ascii="Times New Roman" w:hAnsi="Times New Roman"/>
                <w:highlight w:val="none"/>
                <w:lang w:val="en-US"/>
              </w:rPr>
              <w:t>力度</w:t>
            </w:r>
            <w:r>
              <w:rPr>
                <w:rFonts w:ascii="Times New Roman" w:hAnsi="Times New Roman"/>
                <w:highlight w:val="none"/>
                <w:lang w:val="en-US"/>
              </w:rPr>
              <w:t>的通知》（财库〔202</w:t>
            </w:r>
            <w:r>
              <w:rPr>
                <w:rFonts w:hint="eastAsia" w:ascii="Times New Roman" w:hAnsi="Times New Roman"/>
                <w:highlight w:val="none"/>
                <w:lang w:val="en-US"/>
              </w:rPr>
              <w:t>2</w:t>
            </w:r>
            <w:r>
              <w:rPr>
                <w:rFonts w:ascii="Times New Roman" w:hAnsi="Times New Roman"/>
                <w:highlight w:val="none"/>
                <w:lang w:val="en-US"/>
              </w:rPr>
              <w:t>〕</w:t>
            </w:r>
            <w:r>
              <w:rPr>
                <w:rFonts w:hint="eastAsia" w:ascii="Times New Roman" w:hAnsi="Times New Roman"/>
                <w:highlight w:val="none"/>
                <w:lang w:val="en-US"/>
              </w:rPr>
              <w:t>19</w:t>
            </w:r>
            <w:r>
              <w:rPr>
                <w:rFonts w:ascii="Times New Roman" w:hAnsi="Times New Roman"/>
                <w:highlight w:val="none"/>
                <w:lang w:val="en-US"/>
              </w:rPr>
              <w:t>号）规定，以联合体形式参加政府采购活动，联合体各方均为中小企业的，联合体视同中小企业。其中，联合体各方均为小微企业的，联合体视同小微企业。对允许大中型企业与小微企业组成联合体或者允许大中型企业向一家或者多家小微企业分包的采购项目，对于联合协议或者分包意向协议约定小微企业的合同份额占到合同总金额30%以上的，对联合体或者大中型企业的报价给予4%的扣除，用扣除后的价格参加评审。</w:t>
            </w:r>
          </w:p>
          <w:p>
            <w:pPr>
              <w:pStyle w:val="249"/>
              <w:widowControl w:val="0"/>
              <w:numPr>
                <w:ilvl w:val="0"/>
                <w:numId w:val="29"/>
              </w:numPr>
              <w:adjustRightInd w:val="0"/>
              <w:snapToGrid w:val="0"/>
              <w:ind w:firstLineChars="0"/>
              <w:rPr>
                <w:rFonts w:ascii="Times New Roman" w:hAnsi="Times New Roman"/>
                <w:highlight w:val="none"/>
                <w:lang w:val="en-US"/>
              </w:rPr>
            </w:pPr>
            <w:r>
              <w:rPr>
                <w:rFonts w:ascii="Times New Roman" w:hAnsi="Times New Roman"/>
                <w:highlight w:val="none"/>
                <w:lang w:val="en-US"/>
              </w:rPr>
              <w:t>提供由省级以上监狱管理局、戒毒管理局（含新疆生产建设兵团）出具的属于监狱企业证明文件的，视同为小型和微型企业给予10%的扣除，用扣除后的价格参与评审。</w:t>
            </w:r>
          </w:p>
          <w:p>
            <w:pPr>
              <w:pStyle w:val="249"/>
              <w:widowControl w:val="0"/>
              <w:numPr>
                <w:ilvl w:val="0"/>
                <w:numId w:val="29"/>
              </w:numPr>
              <w:adjustRightInd w:val="0"/>
              <w:snapToGrid w:val="0"/>
              <w:ind w:firstLineChars="0"/>
              <w:rPr>
                <w:rFonts w:ascii="Times New Roman" w:hAnsi="Times New Roman"/>
                <w:b/>
                <w:highlight w:val="none"/>
              </w:rPr>
            </w:pPr>
            <w:r>
              <w:rPr>
                <w:rFonts w:ascii="Times New Roman" w:hAnsi="Times New Roman"/>
                <w:highlight w:val="none"/>
                <w:lang w:val="en-US"/>
              </w:rPr>
              <w:t>符合享受政府采购支持政策的残疾人福利性单位条件且提供《残疾人福利性单位声明函》的，视同为小型和微型企业给予10%的扣除，用扣除后的价格参与评审</w:t>
            </w:r>
            <w:r>
              <w:rPr>
                <w:rFonts w:hint="eastAsia" w:ascii="Times New Roman" w:hAnsi="Times New Roman"/>
                <w:highlight w:val="none"/>
                <w:lang w:val="en-US"/>
              </w:rPr>
              <w:t>。</w:t>
            </w:r>
          </w:p>
          <w:p>
            <w:pPr>
              <w:pStyle w:val="249"/>
              <w:widowControl w:val="0"/>
              <w:numPr>
                <w:ilvl w:val="0"/>
                <w:numId w:val="29"/>
              </w:numPr>
              <w:adjustRightInd w:val="0"/>
              <w:snapToGrid w:val="0"/>
              <w:ind w:firstLineChars="0"/>
              <w:rPr>
                <w:rFonts w:ascii="Times New Roman" w:hAnsi="Times New Roman"/>
                <w:b/>
                <w:highlight w:val="none"/>
              </w:rPr>
            </w:pPr>
            <w:r>
              <w:rPr>
                <w:rFonts w:ascii="Times New Roman" w:hAnsi="Times New Roman"/>
                <w:highlight w:val="none"/>
                <w:lang w:val="en-US"/>
              </w:rPr>
              <w:t>本项目标的所属行业为：工业。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5" w:type="dxa"/>
            <w:bottom w:w="0" w:type="dxa"/>
            <w:right w:w="108" w:type="dxa"/>
          </w:tblCellMar>
        </w:tblPrEx>
        <w:trPr>
          <w:trHeight w:val="20" w:hRule="atLeast"/>
          <w:jc w:val="center"/>
        </w:trPr>
        <w:tc>
          <w:tcPr>
            <w:tcW w:w="729" w:type="dxa"/>
            <w:vAlign w:val="center"/>
          </w:tcPr>
          <w:p>
            <w:pPr>
              <w:pStyle w:val="249"/>
              <w:numPr>
                <w:ilvl w:val="0"/>
                <w:numId w:val="26"/>
              </w:numPr>
              <w:tabs>
                <w:tab w:val="left" w:pos="397"/>
              </w:tabs>
              <w:spacing w:line="320" w:lineRule="exact"/>
              <w:ind w:firstLineChars="0"/>
              <w:jc w:val="center"/>
              <w:rPr>
                <w:rFonts w:ascii="Times New Roman" w:hAnsi="Times New Roman"/>
                <w:bCs/>
                <w:highlight w:val="none"/>
              </w:rPr>
            </w:pPr>
          </w:p>
        </w:tc>
        <w:tc>
          <w:tcPr>
            <w:tcW w:w="1146" w:type="dxa"/>
            <w:vAlign w:val="center"/>
          </w:tcPr>
          <w:p>
            <w:pPr>
              <w:pStyle w:val="249"/>
              <w:spacing w:line="320" w:lineRule="exact"/>
              <w:ind w:firstLine="0" w:firstLineChars="0"/>
              <w:jc w:val="center"/>
              <w:rPr>
                <w:rFonts w:ascii="Times New Roman" w:hAnsi="Times New Roman"/>
                <w:bCs/>
                <w:highlight w:val="none"/>
              </w:rPr>
            </w:pPr>
          </w:p>
        </w:tc>
        <w:tc>
          <w:tcPr>
            <w:tcW w:w="1936" w:type="dxa"/>
            <w:vAlign w:val="center"/>
          </w:tcPr>
          <w:p>
            <w:pPr>
              <w:pStyle w:val="249"/>
              <w:spacing w:line="320" w:lineRule="exact"/>
              <w:ind w:firstLine="0" w:firstLineChars="0"/>
              <w:jc w:val="center"/>
              <w:rPr>
                <w:rFonts w:ascii="Times New Roman" w:hAnsi="Times New Roman"/>
                <w:highlight w:val="none"/>
              </w:rPr>
            </w:pPr>
            <w:r>
              <w:rPr>
                <w:rFonts w:ascii="Times New Roman" w:hAnsi="Times New Roman"/>
                <w:highlight w:val="none"/>
              </w:rPr>
              <w:t>节能环保要求</w:t>
            </w:r>
          </w:p>
        </w:tc>
        <w:tc>
          <w:tcPr>
            <w:tcW w:w="5823" w:type="dxa"/>
            <w:vAlign w:val="center"/>
          </w:tcPr>
          <w:p>
            <w:pPr>
              <w:pStyle w:val="249"/>
              <w:ind w:firstLine="0" w:firstLineChars="0"/>
              <w:jc w:val="left"/>
              <w:rPr>
                <w:rFonts w:ascii="Times New Roman" w:hAnsi="Times New Roman"/>
                <w:highlight w:val="none"/>
              </w:rPr>
            </w:pPr>
            <w:r>
              <w:rPr>
                <w:rFonts w:ascii="Times New Roman" w:hAnsi="Times New Roman"/>
                <w:highlight w:val="none"/>
                <w:lang w:val="en-US"/>
              </w:rPr>
              <w:t>严格执行《财政部 发展改革委 生态环境部 市场监管总局关于调整优化节能产品、环境标志产品政府采购执行机制的通知》（财库〔</w:t>
            </w:r>
            <w:r>
              <w:rPr>
                <w:rFonts w:ascii="Times New Roman" w:hAnsi="Times New Roman" w:eastAsia="Times New Roman"/>
                <w:highlight w:val="none"/>
                <w:lang w:val="en-US"/>
              </w:rPr>
              <w:t>2019</w:t>
            </w:r>
            <w:r>
              <w:rPr>
                <w:rFonts w:ascii="Times New Roman" w:hAnsi="Times New Roman"/>
                <w:highlight w:val="none"/>
                <w:lang w:val="en-US"/>
              </w:rPr>
              <w:t>〕</w:t>
            </w:r>
            <w:r>
              <w:rPr>
                <w:rFonts w:ascii="Times New Roman" w:hAnsi="Times New Roman" w:eastAsia="Times New Roman"/>
                <w:highlight w:val="none"/>
                <w:lang w:val="en-US"/>
              </w:rPr>
              <w:t>9</w:t>
            </w:r>
            <w:r>
              <w:rPr>
                <w:rFonts w:ascii="Times New Roman" w:hAnsi="Times New Roman"/>
                <w:highlight w:val="none"/>
                <w:lang w:val="en-US"/>
              </w:rPr>
              <w:t>号）、关于印发节能产品政府采购品目清单的通知（财库〔</w:t>
            </w:r>
            <w:r>
              <w:rPr>
                <w:rFonts w:ascii="Times New Roman" w:hAnsi="Times New Roman" w:eastAsia="Times New Roman"/>
                <w:highlight w:val="none"/>
                <w:lang w:val="en-US"/>
              </w:rPr>
              <w:t>2019</w:t>
            </w:r>
            <w:r>
              <w:rPr>
                <w:rFonts w:ascii="Times New Roman" w:hAnsi="Times New Roman"/>
                <w:highlight w:val="none"/>
                <w:lang w:val="en-US"/>
              </w:rPr>
              <w:t>〕</w:t>
            </w:r>
            <w:r>
              <w:rPr>
                <w:rFonts w:ascii="Times New Roman" w:hAnsi="Times New Roman" w:eastAsia="Times New Roman"/>
                <w:highlight w:val="none"/>
                <w:lang w:val="en-US"/>
              </w:rPr>
              <w:t>19</w:t>
            </w:r>
            <w:r>
              <w:rPr>
                <w:rFonts w:ascii="Times New Roman" w:hAnsi="Times New Roman"/>
                <w:highlight w:val="none"/>
                <w:lang w:val="en-US"/>
              </w:rPr>
              <w:t>号）、关于印发环境标志产品政府采购品目清单的通知（财库〔</w:t>
            </w:r>
            <w:r>
              <w:rPr>
                <w:rFonts w:ascii="Times New Roman" w:hAnsi="Times New Roman" w:eastAsia="Times New Roman"/>
                <w:highlight w:val="none"/>
                <w:lang w:val="en-US"/>
              </w:rPr>
              <w:t>2019</w:t>
            </w:r>
            <w:r>
              <w:rPr>
                <w:rFonts w:ascii="Times New Roman" w:hAnsi="Times New Roman"/>
                <w:highlight w:val="none"/>
                <w:lang w:val="en-US"/>
              </w:rPr>
              <w:t>〕</w:t>
            </w:r>
            <w:r>
              <w:rPr>
                <w:rFonts w:ascii="Times New Roman" w:hAnsi="Times New Roman" w:eastAsia="Times New Roman"/>
                <w:highlight w:val="none"/>
                <w:lang w:val="en-US"/>
              </w:rPr>
              <w:t>18</w:t>
            </w:r>
            <w:r>
              <w:rPr>
                <w:rFonts w:ascii="Times New Roman" w:hAnsi="Times New Roman"/>
                <w:highlight w:val="none"/>
                <w:lang w:val="en-US"/>
              </w:rPr>
              <w:t>号）、市场监管总局关于发布参与实施政府采购节能产品、环境标志产品认证机构名录的公告（</w:t>
            </w:r>
            <w:r>
              <w:rPr>
                <w:rFonts w:ascii="Times New Roman" w:hAnsi="Times New Roman" w:eastAsia="Times New Roman"/>
                <w:highlight w:val="none"/>
                <w:lang w:val="en-US"/>
              </w:rPr>
              <w:t>2019</w:t>
            </w:r>
            <w:r>
              <w:rPr>
                <w:rFonts w:ascii="Times New Roman" w:hAnsi="Times New Roman"/>
                <w:highlight w:val="none"/>
                <w:lang w:val="en-US"/>
              </w:rPr>
              <w:t>年第</w:t>
            </w:r>
            <w:r>
              <w:rPr>
                <w:rFonts w:ascii="Times New Roman" w:hAnsi="Times New Roman" w:eastAsia="Times New Roman"/>
                <w:highlight w:val="none"/>
                <w:lang w:val="en-US"/>
              </w:rPr>
              <w:t>16</w:t>
            </w:r>
            <w:r>
              <w:rPr>
                <w:rFonts w:ascii="Times New Roman" w:hAnsi="Times New Roman"/>
                <w:highlight w:val="none"/>
                <w:lang w:val="en-US"/>
              </w:rPr>
              <w:t>号），本次投标产品类别</w:t>
            </w:r>
            <w:r>
              <w:rPr>
                <w:rFonts w:ascii="Times New Roman" w:hAnsi="Times New Roman"/>
                <w:bCs/>
                <w:highlight w:val="none"/>
                <w:lang w:val="en-US"/>
              </w:rPr>
              <w:t>如为</w:t>
            </w:r>
            <w:r>
              <w:rPr>
                <w:rFonts w:ascii="Times New Roman" w:hAnsi="Times New Roman"/>
                <w:highlight w:val="none"/>
                <w:lang w:val="en-US"/>
              </w:rPr>
              <w:t>政府强制采购产品类别的</w:t>
            </w:r>
            <w:r>
              <w:rPr>
                <w:highlight w:val="none"/>
                <w:lang w:val="en-US"/>
              </w:rPr>
              <w:t>，</w:t>
            </w:r>
            <w:r>
              <w:rPr>
                <w:rFonts w:ascii="Times New Roman" w:hAnsi="Times New Roman"/>
                <w:highlight w:val="none"/>
                <w:lang w:val="en-US"/>
              </w:rPr>
              <w:t>须按照要求提供依据国家确定的认证机构出具的、处于有效期之内的节能产品或环境标志产品认证证书</w:t>
            </w:r>
            <w:r>
              <w:rPr>
                <w:highlight w:val="none"/>
                <w:lang w:val="en-US"/>
              </w:rPr>
              <w:t>，</w:t>
            </w:r>
            <w:r>
              <w:rPr>
                <w:rFonts w:ascii="Times New Roman" w:hAnsi="Times New Roman"/>
                <w:highlight w:val="none"/>
                <w:lang w:val="en-US"/>
              </w:rPr>
              <w:t>否则投标无效；</w:t>
            </w:r>
            <w:r>
              <w:rPr>
                <w:rFonts w:ascii="Times New Roman" w:hAnsi="Times New Roman"/>
                <w:bCs/>
                <w:highlight w:val="none"/>
                <w:lang w:val="en-US"/>
              </w:rPr>
              <w:t>如为</w:t>
            </w:r>
            <w:r>
              <w:rPr>
                <w:rFonts w:ascii="Times New Roman" w:hAnsi="Times New Roman"/>
                <w:highlight w:val="none"/>
                <w:lang w:val="en-US"/>
              </w:rPr>
              <w:t>政府优先采购产品类别的</w:t>
            </w:r>
            <w:r>
              <w:rPr>
                <w:highlight w:val="none"/>
                <w:lang w:val="en-US"/>
              </w:rPr>
              <w:t>，</w:t>
            </w:r>
            <w:r>
              <w:rPr>
                <w:rFonts w:ascii="Times New Roman" w:hAnsi="Times New Roman"/>
                <w:highlight w:val="none"/>
                <w:lang w:val="en-US"/>
              </w:rPr>
              <w:t>须按照要求提供依据国家确定的认证机构出具的、处于有效期之内的节能产品或环境标志产品认证证书</w:t>
            </w:r>
            <w:r>
              <w:rPr>
                <w:highlight w:val="none"/>
                <w:lang w:val="en-US"/>
              </w:rPr>
              <w:t>，</w:t>
            </w:r>
            <w:r>
              <w:rPr>
                <w:rFonts w:ascii="Times New Roman" w:hAnsi="Times New Roman"/>
                <w:highlight w:val="none"/>
                <w:lang w:val="en-US"/>
              </w:rPr>
              <w:t>否则不予认定。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5" w:type="dxa"/>
            <w:bottom w:w="0" w:type="dxa"/>
            <w:right w:w="108" w:type="dxa"/>
          </w:tblCellMar>
        </w:tblPrEx>
        <w:trPr>
          <w:trHeight w:val="20" w:hRule="atLeast"/>
          <w:jc w:val="center"/>
        </w:trPr>
        <w:tc>
          <w:tcPr>
            <w:tcW w:w="729" w:type="dxa"/>
            <w:vAlign w:val="center"/>
          </w:tcPr>
          <w:p>
            <w:pPr>
              <w:pStyle w:val="249"/>
              <w:numPr>
                <w:ilvl w:val="0"/>
                <w:numId w:val="26"/>
              </w:numPr>
              <w:tabs>
                <w:tab w:val="left" w:pos="397"/>
              </w:tabs>
              <w:spacing w:line="320" w:lineRule="exact"/>
              <w:ind w:firstLineChars="0"/>
              <w:jc w:val="center"/>
              <w:rPr>
                <w:rFonts w:ascii="Times New Roman" w:hAnsi="Times New Roman"/>
                <w:bCs/>
                <w:highlight w:val="none"/>
              </w:rPr>
            </w:pPr>
          </w:p>
        </w:tc>
        <w:tc>
          <w:tcPr>
            <w:tcW w:w="1146" w:type="dxa"/>
            <w:vAlign w:val="center"/>
          </w:tcPr>
          <w:p>
            <w:pPr>
              <w:pStyle w:val="249"/>
              <w:spacing w:line="320" w:lineRule="exact"/>
              <w:ind w:firstLine="0" w:firstLineChars="0"/>
              <w:jc w:val="center"/>
              <w:rPr>
                <w:rFonts w:ascii="Times New Roman" w:hAnsi="Times New Roman"/>
                <w:bCs/>
                <w:highlight w:val="none"/>
              </w:rPr>
            </w:pPr>
          </w:p>
        </w:tc>
        <w:tc>
          <w:tcPr>
            <w:tcW w:w="1936" w:type="dxa"/>
            <w:vAlign w:val="center"/>
          </w:tcPr>
          <w:p>
            <w:pPr>
              <w:pStyle w:val="249"/>
              <w:spacing w:line="320" w:lineRule="exact"/>
              <w:ind w:firstLine="0" w:firstLineChars="0"/>
              <w:jc w:val="center"/>
              <w:rPr>
                <w:rFonts w:ascii="Times New Roman" w:hAnsi="Times New Roman"/>
                <w:highlight w:val="none"/>
              </w:rPr>
            </w:pPr>
            <w:r>
              <w:rPr>
                <w:rFonts w:hint="eastAsia" w:ascii="Times New Roman" w:hAnsi="Times New Roman"/>
                <w:highlight w:val="none"/>
              </w:rPr>
              <w:t>网络安全</w:t>
            </w:r>
            <w:r>
              <w:rPr>
                <w:rFonts w:ascii="Times New Roman" w:hAnsi="Times New Roman"/>
                <w:highlight w:val="none"/>
              </w:rPr>
              <w:t>要求</w:t>
            </w:r>
          </w:p>
        </w:tc>
        <w:tc>
          <w:tcPr>
            <w:tcW w:w="5823" w:type="dxa"/>
            <w:vAlign w:val="center"/>
          </w:tcPr>
          <w:p>
            <w:pPr>
              <w:pStyle w:val="249"/>
              <w:ind w:firstLine="0" w:firstLineChars="0"/>
              <w:jc w:val="left"/>
              <w:rPr>
                <w:rFonts w:ascii="Times New Roman" w:hAnsi="Times New Roman"/>
                <w:highlight w:val="none"/>
              </w:rPr>
            </w:pPr>
            <w:r>
              <w:rPr>
                <w:rFonts w:hint="eastAsia" w:ascii="Times New Roman" w:hAnsi="Times New Roman"/>
                <w:highlight w:val="none"/>
                <w:lang w:val="en-US"/>
              </w:rPr>
              <w:t>本项目中如涉及网络关键设备或网络安全专用产品的，应严格执行国家互联网信息办公室、工业和信息化部、公安部和国家认证认可监督管理委员会联合发布的2023年第2号关于调整《网络关键设备和网络安全专用产品目录》的公告相关文件要求，所投标设备或产品至少符合以下条件之一：一是已由具备资格的机构安全认证合格或安全检测符合要求；二是已获得《计算机信息系统安全专用产品销售许可证》，且在有效期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5" w:type="dxa"/>
            <w:bottom w:w="0" w:type="dxa"/>
            <w:right w:w="108" w:type="dxa"/>
          </w:tblCellMar>
        </w:tblPrEx>
        <w:trPr>
          <w:trHeight w:val="20" w:hRule="atLeast"/>
          <w:jc w:val="center"/>
        </w:trPr>
        <w:tc>
          <w:tcPr>
            <w:tcW w:w="729" w:type="dxa"/>
            <w:vAlign w:val="center"/>
          </w:tcPr>
          <w:p>
            <w:pPr>
              <w:pStyle w:val="249"/>
              <w:numPr>
                <w:ilvl w:val="0"/>
                <w:numId w:val="26"/>
              </w:numPr>
              <w:tabs>
                <w:tab w:val="left" w:pos="397"/>
              </w:tabs>
              <w:spacing w:line="320" w:lineRule="exact"/>
              <w:ind w:firstLineChars="0"/>
              <w:jc w:val="center"/>
              <w:rPr>
                <w:rFonts w:ascii="Times New Roman" w:hAnsi="Times New Roman"/>
                <w:bCs/>
                <w:highlight w:val="none"/>
              </w:rPr>
            </w:pPr>
          </w:p>
        </w:tc>
        <w:tc>
          <w:tcPr>
            <w:tcW w:w="1146" w:type="dxa"/>
            <w:vAlign w:val="center"/>
          </w:tcPr>
          <w:p>
            <w:pPr>
              <w:pStyle w:val="249"/>
              <w:spacing w:line="320" w:lineRule="exact"/>
              <w:ind w:firstLine="0" w:firstLineChars="0"/>
              <w:jc w:val="center"/>
              <w:rPr>
                <w:rFonts w:ascii="Times New Roman" w:hAnsi="Times New Roman"/>
                <w:bCs/>
                <w:highlight w:val="none"/>
              </w:rPr>
            </w:pPr>
          </w:p>
        </w:tc>
        <w:tc>
          <w:tcPr>
            <w:tcW w:w="1936" w:type="dxa"/>
            <w:vAlign w:val="center"/>
          </w:tcPr>
          <w:p>
            <w:pPr>
              <w:pStyle w:val="249"/>
              <w:spacing w:line="320" w:lineRule="exact"/>
              <w:ind w:firstLine="0" w:firstLineChars="0"/>
              <w:jc w:val="center"/>
              <w:rPr>
                <w:rFonts w:ascii="Times New Roman" w:hAnsi="Times New Roman"/>
                <w:highlight w:val="none"/>
              </w:rPr>
            </w:pPr>
            <w:r>
              <w:rPr>
                <w:rFonts w:hint="eastAsia" w:ascii="Times New Roman" w:hAnsi="Times New Roman"/>
                <w:highlight w:val="none"/>
                <w:lang w:val="en-US"/>
              </w:rPr>
              <w:t>进网许可</w:t>
            </w:r>
          </w:p>
        </w:tc>
        <w:tc>
          <w:tcPr>
            <w:tcW w:w="5823" w:type="dxa"/>
            <w:vAlign w:val="center"/>
          </w:tcPr>
          <w:p>
            <w:pPr>
              <w:pStyle w:val="249"/>
              <w:ind w:firstLine="0" w:firstLineChars="0"/>
              <w:rPr>
                <w:rFonts w:ascii="Times New Roman" w:hAnsi="Times New Roman"/>
                <w:highlight w:val="none"/>
                <w:lang w:val="en-US"/>
              </w:rPr>
            </w:pPr>
            <w:r>
              <w:rPr>
                <w:rFonts w:hint="eastAsia" w:ascii="Times New Roman" w:hAnsi="Times New Roman"/>
                <w:highlight w:val="none"/>
                <w:lang w:val="en-US"/>
              </w:rPr>
              <w:t>若投标产品属于工业和信息化部要求的实行进网许可制度的电信设备，则必须承诺投标产品获得工业和信息化部颁发的进网许可证（含进网试用批文）。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5" w:type="dxa"/>
            <w:bottom w:w="0" w:type="dxa"/>
            <w:right w:w="108" w:type="dxa"/>
          </w:tblCellMar>
        </w:tblPrEx>
        <w:trPr>
          <w:trHeight w:val="20" w:hRule="atLeast"/>
          <w:jc w:val="center"/>
        </w:trPr>
        <w:tc>
          <w:tcPr>
            <w:tcW w:w="729" w:type="dxa"/>
            <w:vAlign w:val="center"/>
          </w:tcPr>
          <w:p>
            <w:pPr>
              <w:pStyle w:val="249"/>
              <w:numPr>
                <w:ilvl w:val="0"/>
                <w:numId w:val="26"/>
              </w:numPr>
              <w:tabs>
                <w:tab w:val="left" w:pos="397"/>
              </w:tabs>
              <w:spacing w:line="320" w:lineRule="exact"/>
              <w:ind w:firstLineChars="0"/>
              <w:jc w:val="center"/>
              <w:rPr>
                <w:rFonts w:ascii="Times New Roman" w:hAnsi="Times New Roman"/>
                <w:bCs/>
                <w:highlight w:val="none"/>
              </w:rPr>
            </w:pPr>
          </w:p>
        </w:tc>
        <w:tc>
          <w:tcPr>
            <w:tcW w:w="1146" w:type="dxa"/>
            <w:vAlign w:val="center"/>
          </w:tcPr>
          <w:p>
            <w:pPr>
              <w:pStyle w:val="249"/>
              <w:spacing w:line="320" w:lineRule="exact"/>
              <w:ind w:firstLine="0" w:firstLineChars="0"/>
              <w:jc w:val="center"/>
              <w:rPr>
                <w:rFonts w:ascii="Times New Roman" w:hAnsi="Times New Roman"/>
                <w:bCs/>
                <w:highlight w:val="none"/>
              </w:rPr>
            </w:pPr>
          </w:p>
        </w:tc>
        <w:tc>
          <w:tcPr>
            <w:tcW w:w="1936" w:type="dxa"/>
            <w:vAlign w:val="center"/>
          </w:tcPr>
          <w:p>
            <w:pPr>
              <w:pStyle w:val="249"/>
              <w:spacing w:line="320" w:lineRule="exact"/>
              <w:ind w:firstLine="0" w:firstLineChars="0"/>
              <w:jc w:val="center"/>
              <w:rPr>
                <w:rFonts w:ascii="Times New Roman" w:hAnsi="Times New Roman"/>
                <w:highlight w:val="none"/>
                <w:lang w:val="en-US"/>
              </w:rPr>
            </w:pPr>
            <w:r>
              <w:rPr>
                <w:rFonts w:hint="eastAsia" w:ascii="Times New Roman" w:hAnsi="Times New Roman"/>
                <w:highlight w:val="none"/>
                <w:lang w:val="en-US"/>
              </w:rPr>
              <w:t>3C认证</w:t>
            </w:r>
          </w:p>
        </w:tc>
        <w:tc>
          <w:tcPr>
            <w:tcW w:w="5823" w:type="dxa"/>
            <w:vAlign w:val="center"/>
          </w:tcPr>
          <w:p>
            <w:pPr>
              <w:pStyle w:val="249"/>
              <w:ind w:firstLine="0" w:firstLineChars="0"/>
              <w:rPr>
                <w:rFonts w:ascii="Times New Roman" w:hAnsi="Times New Roman"/>
                <w:highlight w:val="none"/>
                <w:lang w:val="en-US"/>
              </w:rPr>
            </w:pPr>
            <w:r>
              <w:rPr>
                <w:rFonts w:hint="eastAsia" w:ascii="Times New Roman" w:hAnsi="Times New Roman"/>
                <w:highlight w:val="none"/>
                <w:lang w:val="en-US"/>
              </w:rPr>
              <w:t>若投标产品属于“中国强制性产品认证”（3C认证）范围（包括电线电缆、家用和类似用途设备、音视频设备、信息技术设备、照明电器、电信终端设备、防盗报警产品、安防实体防护产品等类别，详见http://www.cnca.gov.cn），则必须承诺投标产品符合3C认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5" w:type="dxa"/>
            <w:bottom w:w="0" w:type="dxa"/>
            <w:right w:w="108" w:type="dxa"/>
          </w:tblCellMar>
        </w:tblPrEx>
        <w:trPr>
          <w:trHeight w:val="20" w:hRule="atLeast"/>
          <w:jc w:val="center"/>
        </w:trPr>
        <w:tc>
          <w:tcPr>
            <w:tcW w:w="729" w:type="dxa"/>
            <w:vAlign w:val="center"/>
          </w:tcPr>
          <w:p>
            <w:pPr>
              <w:pStyle w:val="249"/>
              <w:numPr>
                <w:ilvl w:val="0"/>
                <w:numId w:val="26"/>
              </w:numPr>
              <w:tabs>
                <w:tab w:val="left" w:pos="397"/>
              </w:tabs>
              <w:spacing w:line="320" w:lineRule="exact"/>
              <w:ind w:firstLineChars="0"/>
              <w:jc w:val="center"/>
              <w:rPr>
                <w:rFonts w:ascii="Times New Roman" w:hAnsi="Times New Roman"/>
                <w:bCs/>
                <w:highlight w:val="none"/>
                <w:lang w:val="en-US"/>
              </w:rPr>
            </w:pPr>
          </w:p>
        </w:tc>
        <w:tc>
          <w:tcPr>
            <w:tcW w:w="1146" w:type="dxa"/>
            <w:vAlign w:val="center"/>
          </w:tcPr>
          <w:p>
            <w:pPr>
              <w:pStyle w:val="249"/>
              <w:spacing w:line="320" w:lineRule="exact"/>
              <w:ind w:firstLine="0" w:firstLineChars="0"/>
              <w:jc w:val="center"/>
              <w:rPr>
                <w:rFonts w:ascii="Times New Roman" w:hAnsi="Times New Roman"/>
                <w:highlight w:val="none"/>
                <w:lang w:val="en-US"/>
              </w:rPr>
            </w:pPr>
          </w:p>
        </w:tc>
        <w:tc>
          <w:tcPr>
            <w:tcW w:w="1936" w:type="dxa"/>
            <w:vAlign w:val="center"/>
          </w:tcPr>
          <w:p>
            <w:pPr>
              <w:pStyle w:val="249"/>
              <w:spacing w:line="320" w:lineRule="exact"/>
              <w:ind w:firstLine="0" w:firstLineChars="0"/>
              <w:jc w:val="center"/>
              <w:rPr>
                <w:rFonts w:ascii="Times New Roman" w:hAnsi="Times New Roman"/>
                <w:highlight w:val="none"/>
              </w:rPr>
            </w:pPr>
            <w:r>
              <w:rPr>
                <w:rFonts w:ascii="Times New Roman" w:hAnsi="Times New Roman"/>
                <w:highlight w:val="none"/>
              </w:rPr>
              <w:t>信用记录查询</w:t>
            </w:r>
          </w:p>
        </w:tc>
        <w:tc>
          <w:tcPr>
            <w:tcW w:w="5823" w:type="dxa"/>
            <w:vAlign w:val="center"/>
          </w:tcPr>
          <w:p>
            <w:pPr>
              <w:pStyle w:val="249"/>
              <w:ind w:firstLine="0" w:firstLineChars="0"/>
              <w:jc w:val="left"/>
              <w:rPr>
                <w:rFonts w:ascii="Times New Roman" w:hAnsi="Times New Roman"/>
                <w:highlight w:val="none"/>
                <w:lang w:val="en-US"/>
              </w:rPr>
            </w:pPr>
            <w:r>
              <w:rPr>
                <w:rFonts w:ascii="Times New Roman" w:hAnsi="Times New Roman"/>
                <w:highlight w:val="none"/>
                <w:lang w:val="en-US"/>
              </w:rPr>
              <w:t>*</w:t>
            </w:r>
            <w:r>
              <w:rPr>
                <w:rFonts w:ascii="Times New Roman" w:hAnsi="Times New Roman"/>
                <w:highlight w:val="none"/>
              </w:rPr>
              <w:t>资格审查时</w:t>
            </w:r>
            <w:r>
              <w:rPr>
                <w:highlight w:val="none"/>
                <w:lang w:val="en-US"/>
              </w:rPr>
              <w:t>，</w:t>
            </w:r>
            <w:r>
              <w:rPr>
                <w:rFonts w:ascii="Times New Roman" w:hAnsi="Times New Roman"/>
                <w:highlight w:val="none"/>
              </w:rPr>
              <w:t>通过</w:t>
            </w:r>
            <w:r>
              <w:rPr>
                <w:highlight w:val="none"/>
                <w:lang w:val="en-US"/>
              </w:rPr>
              <w:t>“</w:t>
            </w:r>
            <w:r>
              <w:rPr>
                <w:rFonts w:ascii="Times New Roman" w:hAnsi="Times New Roman"/>
                <w:highlight w:val="none"/>
              </w:rPr>
              <w:t>信用中国</w:t>
            </w:r>
            <w:r>
              <w:rPr>
                <w:highlight w:val="none"/>
                <w:lang w:val="en-US"/>
              </w:rPr>
              <w:t>”</w:t>
            </w:r>
            <w:r>
              <w:rPr>
                <w:rFonts w:ascii="Times New Roman" w:hAnsi="Times New Roman"/>
                <w:highlight w:val="none"/>
              </w:rPr>
              <w:t>网站</w:t>
            </w:r>
            <w:r>
              <w:rPr>
                <w:rFonts w:ascii="Times New Roman" w:hAnsi="Times New Roman"/>
                <w:highlight w:val="none"/>
                <w:lang w:val="en-US"/>
              </w:rPr>
              <w:t>(</w:t>
            </w:r>
            <w:r>
              <w:rPr>
                <w:rFonts w:ascii="Times New Roman" w:hAnsi="Times New Roman" w:eastAsia="Times New Roman"/>
                <w:highlight w:val="none"/>
                <w:lang w:val="en-US"/>
              </w:rPr>
              <w:t>www</w:t>
            </w:r>
            <w:r>
              <w:rPr>
                <w:rFonts w:ascii="Times New Roman" w:hAnsi="Times New Roman"/>
                <w:highlight w:val="none"/>
                <w:lang w:val="en-US"/>
              </w:rPr>
              <w:t>.</w:t>
            </w:r>
            <w:r>
              <w:rPr>
                <w:rFonts w:ascii="Times New Roman" w:hAnsi="Times New Roman" w:eastAsia="Times New Roman"/>
                <w:highlight w:val="none"/>
                <w:lang w:val="en-US"/>
              </w:rPr>
              <w:t>creditchina</w:t>
            </w:r>
            <w:r>
              <w:rPr>
                <w:rFonts w:ascii="Times New Roman" w:hAnsi="Times New Roman"/>
                <w:highlight w:val="none"/>
                <w:lang w:val="en-US"/>
              </w:rPr>
              <w:t>.</w:t>
            </w:r>
            <w:r>
              <w:rPr>
                <w:rFonts w:ascii="Times New Roman" w:hAnsi="Times New Roman" w:eastAsia="Times New Roman"/>
                <w:highlight w:val="none"/>
                <w:lang w:val="en-US"/>
              </w:rPr>
              <w:t>gov</w:t>
            </w:r>
            <w:r>
              <w:rPr>
                <w:rFonts w:ascii="Times New Roman" w:hAnsi="Times New Roman"/>
                <w:highlight w:val="none"/>
                <w:lang w:val="en-US"/>
              </w:rPr>
              <w:t>.</w:t>
            </w:r>
            <w:r>
              <w:rPr>
                <w:rFonts w:ascii="Times New Roman" w:hAnsi="Times New Roman" w:eastAsia="Times New Roman"/>
                <w:highlight w:val="none"/>
                <w:lang w:val="en-US"/>
              </w:rPr>
              <w:t>cn</w:t>
            </w:r>
            <w:r>
              <w:rPr>
                <w:rFonts w:ascii="Times New Roman" w:hAnsi="Times New Roman"/>
                <w:highlight w:val="none"/>
                <w:lang w:val="en-US"/>
              </w:rPr>
              <w:t>)</w:t>
            </w:r>
            <w:r>
              <w:rPr>
                <w:rFonts w:ascii="Times New Roman" w:hAnsi="Times New Roman"/>
                <w:highlight w:val="none"/>
              </w:rPr>
              <w:t>、中国政府采购网</w:t>
            </w:r>
            <w:r>
              <w:rPr>
                <w:rFonts w:ascii="Times New Roman" w:hAnsi="Times New Roman"/>
                <w:highlight w:val="none"/>
                <w:lang w:val="en-US"/>
              </w:rPr>
              <w:t>(</w:t>
            </w:r>
            <w:r>
              <w:rPr>
                <w:rFonts w:ascii="Times New Roman" w:hAnsi="Times New Roman" w:eastAsia="Times New Roman"/>
                <w:highlight w:val="none"/>
                <w:lang w:val="en-US"/>
              </w:rPr>
              <w:t>www</w:t>
            </w:r>
            <w:r>
              <w:rPr>
                <w:rFonts w:ascii="Times New Roman" w:hAnsi="Times New Roman"/>
                <w:highlight w:val="none"/>
                <w:lang w:val="en-US"/>
              </w:rPr>
              <w:t>.</w:t>
            </w:r>
            <w:r>
              <w:rPr>
                <w:rFonts w:ascii="Times New Roman" w:hAnsi="Times New Roman" w:eastAsia="Times New Roman"/>
                <w:highlight w:val="none"/>
                <w:lang w:val="en-US"/>
              </w:rPr>
              <w:t>ccgp</w:t>
            </w:r>
            <w:r>
              <w:rPr>
                <w:rFonts w:ascii="Times New Roman" w:hAnsi="Times New Roman"/>
                <w:highlight w:val="none"/>
                <w:lang w:val="en-US"/>
              </w:rPr>
              <w:t>.</w:t>
            </w:r>
            <w:r>
              <w:rPr>
                <w:rFonts w:ascii="Times New Roman" w:hAnsi="Times New Roman" w:eastAsia="Times New Roman"/>
                <w:highlight w:val="none"/>
                <w:lang w:val="en-US"/>
              </w:rPr>
              <w:t>gov</w:t>
            </w:r>
            <w:r>
              <w:rPr>
                <w:rFonts w:ascii="Times New Roman" w:hAnsi="Times New Roman"/>
                <w:highlight w:val="none"/>
                <w:lang w:val="en-US"/>
              </w:rPr>
              <w:t>.</w:t>
            </w:r>
            <w:r>
              <w:rPr>
                <w:rFonts w:ascii="Times New Roman" w:hAnsi="Times New Roman" w:eastAsia="Times New Roman"/>
                <w:highlight w:val="none"/>
                <w:lang w:val="en-US"/>
              </w:rPr>
              <w:t>cn</w:t>
            </w:r>
            <w:r>
              <w:rPr>
                <w:rFonts w:ascii="Times New Roman" w:hAnsi="Times New Roman"/>
                <w:highlight w:val="none"/>
                <w:lang w:val="en-US"/>
              </w:rPr>
              <w:t>)</w:t>
            </w:r>
            <w:r>
              <w:rPr>
                <w:rFonts w:ascii="Times New Roman" w:hAnsi="Times New Roman"/>
                <w:highlight w:val="none"/>
              </w:rPr>
              <w:t>渠道查询投标人信用记录</w:t>
            </w:r>
            <w:r>
              <w:rPr>
                <w:highlight w:val="none"/>
                <w:lang w:val="en-US"/>
              </w:rPr>
              <w:t>，</w:t>
            </w:r>
            <w:r>
              <w:rPr>
                <w:rFonts w:ascii="Times New Roman" w:hAnsi="Times New Roman"/>
                <w:highlight w:val="none"/>
              </w:rPr>
              <w:t>经查询</w:t>
            </w:r>
            <w:r>
              <w:rPr>
                <w:rFonts w:hint="eastAsia" w:ascii="Times New Roman" w:hAnsi="Times New Roman"/>
                <w:highlight w:val="none"/>
                <w:lang w:val="en-US"/>
              </w:rPr>
              <w:t>如存在</w:t>
            </w:r>
            <w:r>
              <w:rPr>
                <w:rFonts w:ascii="Times New Roman" w:hAnsi="Times New Roman"/>
                <w:highlight w:val="none"/>
              </w:rPr>
              <w:t>严重违法失信行为</w:t>
            </w:r>
            <w:r>
              <w:rPr>
                <w:rFonts w:hint="eastAsia" w:ascii="Times New Roman" w:hAnsi="Times New Roman"/>
                <w:highlight w:val="none"/>
              </w:rPr>
              <w:t>的</w:t>
            </w:r>
            <w:r>
              <w:rPr>
                <w:highlight w:val="none"/>
                <w:lang w:val="en-US"/>
              </w:rPr>
              <w:t>，</w:t>
            </w:r>
            <w:r>
              <w:rPr>
                <w:rFonts w:ascii="Times New Roman" w:hAnsi="Times New Roman"/>
                <w:highlight w:val="none"/>
              </w:rPr>
              <w:t>其投标无效</w:t>
            </w:r>
            <w:r>
              <w:rPr>
                <w:highlight w:val="none"/>
                <w:lang w:val="en-US"/>
              </w:rPr>
              <w:t>，</w:t>
            </w:r>
            <w:r>
              <w:rPr>
                <w:rFonts w:ascii="Times New Roman" w:hAnsi="Times New Roman"/>
                <w:highlight w:val="none"/>
              </w:rPr>
              <w:t>无效投标人的信用记录查询结果截图将作为资格审查材料的组成部分。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5" w:type="dxa"/>
            <w:bottom w:w="0" w:type="dxa"/>
            <w:right w:w="108" w:type="dxa"/>
          </w:tblCellMar>
        </w:tblPrEx>
        <w:trPr>
          <w:trHeight w:val="20" w:hRule="atLeast"/>
          <w:jc w:val="center"/>
        </w:trPr>
        <w:tc>
          <w:tcPr>
            <w:tcW w:w="729" w:type="dxa"/>
            <w:vAlign w:val="center"/>
          </w:tcPr>
          <w:p>
            <w:pPr>
              <w:pStyle w:val="249"/>
              <w:numPr>
                <w:ilvl w:val="0"/>
                <w:numId w:val="26"/>
              </w:numPr>
              <w:tabs>
                <w:tab w:val="left" w:pos="397"/>
              </w:tabs>
              <w:spacing w:line="320" w:lineRule="exact"/>
              <w:ind w:firstLineChars="0"/>
              <w:jc w:val="center"/>
              <w:rPr>
                <w:rFonts w:ascii="Times New Roman" w:hAnsi="Times New Roman"/>
                <w:bCs/>
                <w:highlight w:val="none"/>
                <w:lang w:val="en-US"/>
              </w:rPr>
            </w:pPr>
          </w:p>
        </w:tc>
        <w:tc>
          <w:tcPr>
            <w:tcW w:w="1146" w:type="dxa"/>
            <w:vAlign w:val="center"/>
          </w:tcPr>
          <w:p>
            <w:pPr>
              <w:pStyle w:val="249"/>
              <w:spacing w:line="320" w:lineRule="exact"/>
              <w:ind w:firstLine="0" w:firstLineChars="0"/>
              <w:jc w:val="center"/>
              <w:rPr>
                <w:rFonts w:ascii="Times New Roman" w:hAnsi="Times New Roman"/>
                <w:highlight w:val="none"/>
                <w:lang w:val="en-US"/>
              </w:rPr>
            </w:pPr>
          </w:p>
        </w:tc>
        <w:tc>
          <w:tcPr>
            <w:tcW w:w="1936" w:type="dxa"/>
            <w:vAlign w:val="center"/>
          </w:tcPr>
          <w:p>
            <w:pPr>
              <w:pStyle w:val="249"/>
              <w:spacing w:line="320" w:lineRule="exact"/>
              <w:ind w:firstLine="0" w:firstLineChars="0"/>
              <w:jc w:val="center"/>
              <w:rPr>
                <w:rFonts w:ascii="Times New Roman" w:hAnsi="Times New Roman"/>
                <w:highlight w:val="none"/>
              </w:rPr>
            </w:pPr>
            <w:r>
              <w:rPr>
                <w:rFonts w:ascii="Times New Roman" w:hAnsi="Times New Roman"/>
                <w:highlight w:val="none"/>
              </w:rPr>
              <w:t>投标人的资格要求和应提交的资格审查材料</w:t>
            </w:r>
          </w:p>
        </w:tc>
        <w:tc>
          <w:tcPr>
            <w:tcW w:w="5823" w:type="dxa"/>
            <w:vAlign w:val="center"/>
          </w:tcPr>
          <w:p>
            <w:pPr>
              <w:pStyle w:val="249"/>
              <w:ind w:firstLine="0" w:firstLineChars="0"/>
              <w:jc w:val="left"/>
              <w:rPr>
                <w:rFonts w:ascii="Times New Roman" w:hAnsi="Times New Roman"/>
                <w:highlight w:val="none"/>
              </w:rPr>
            </w:pPr>
            <w:r>
              <w:rPr>
                <w:rFonts w:ascii="Times New Roman" w:hAnsi="Times New Roman" w:eastAsia="Times New Roman"/>
                <w:highlight w:val="none"/>
              </w:rPr>
              <w:t>1</w:t>
            </w:r>
            <w:r>
              <w:rPr>
                <w:rFonts w:ascii="Times New Roman" w:hAnsi="Times New Roman"/>
                <w:highlight w:val="none"/>
              </w:rPr>
              <w:t>.*符合《中华人民共和国政府采购法》第二十二条规定的条件</w:t>
            </w:r>
            <w:r>
              <w:rPr>
                <w:highlight w:val="none"/>
              </w:rPr>
              <w:t>，</w:t>
            </w:r>
            <w:r>
              <w:rPr>
                <w:rFonts w:ascii="Times New Roman" w:hAnsi="Times New Roman"/>
                <w:highlight w:val="none"/>
              </w:rPr>
              <w:t>并提供相应的承诺函</w:t>
            </w:r>
            <w:r>
              <w:rPr>
                <w:rFonts w:hint="eastAsia" w:ascii="Times New Roman" w:hAnsi="Times New Roman"/>
                <w:highlight w:val="none"/>
              </w:rPr>
              <w:t>（</w:t>
            </w:r>
            <w:r>
              <w:rPr>
                <w:rFonts w:hint="eastAsia" w:ascii="Times New Roman" w:hAnsi="Times New Roman"/>
                <w:highlight w:val="none"/>
                <w:lang w:val="en-US"/>
              </w:rPr>
              <w:t>详见第七部分</w:t>
            </w:r>
            <w:r>
              <w:rPr>
                <w:rFonts w:hint="eastAsia" w:ascii="Times New Roman" w:hAnsi="Times New Roman"/>
                <w:highlight w:val="none"/>
              </w:rPr>
              <w:t>）；</w:t>
            </w:r>
          </w:p>
          <w:p>
            <w:pPr>
              <w:pStyle w:val="249"/>
              <w:ind w:right="-3" w:firstLine="0" w:firstLineChars="0"/>
              <w:jc w:val="left"/>
              <w:rPr>
                <w:rFonts w:ascii="Times New Roman" w:hAnsi="Times New Roman"/>
                <w:highlight w:val="none"/>
                <w:lang w:val="en-US"/>
              </w:rPr>
            </w:pPr>
            <w:r>
              <w:rPr>
                <w:rFonts w:hint="eastAsia" w:ascii="Times New Roman" w:hAnsi="Times New Roman" w:eastAsia="Times New Roman"/>
                <w:highlight w:val="none"/>
                <w:lang w:val="en-US"/>
              </w:rPr>
              <w:t>2</w:t>
            </w:r>
            <w:r>
              <w:rPr>
                <w:rFonts w:hint="eastAsia" w:ascii="Times New Roman" w:hAnsi="Times New Roman"/>
                <w:highlight w:val="none"/>
                <w:lang w:val="en-US"/>
              </w:rPr>
              <w:t>.</w:t>
            </w:r>
            <w:r>
              <w:rPr>
                <w:rFonts w:ascii="Times New Roman" w:hAnsi="Times New Roman"/>
                <w:highlight w:val="none"/>
                <w:lang w:val="en-US"/>
              </w:rPr>
              <w:t>*有效的企业法人营业执照/事业单位法人证书副本复印件</w:t>
            </w:r>
            <w:r>
              <w:rPr>
                <w:highlight w:val="none"/>
                <w:lang w:val="en-US"/>
              </w:rPr>
              <w:t>，</w:t>
            </w:r>
            <w:r>
              <w:rPr>
                <w:rFonts w:ascii="Times New Roman" w:hAnsi="Times New Roman"/>
                <w:highlight w:val="none"/>
                <w:lang w:val="en-US"/>
              </w:rPr>
              <w:t>并加盖投标人公章；</w:t>
            </w:r>
          </w:p>
          <w:p>
            <w:pPr>
              <w:pStyle w:val="249"/>
              <w:ind w:firstLine="0" w:firstLineChars="0"/>
              <w:jc w:val="left"/>
              <w:rPr>
                <w:rFonts w:ascii="Times New Roman" w:hAnsi="Times New Roman"/>
                <w:highlight w:val="none"/>
                <w:lang w:val="en-US"/>
              </w:rPr>
            </w:pPr>
            <w:r>
              <w:rPr>
                <w:rFonts w:ascii="Times New Roman" w:hAnsi="Times New Roman" w:eastAsia="Times New Roman"/>
                <w:highlight w:val="none"/>
                <w:lang w:val="en-US"/>
              </w:rPr>
              <w:t>3</w:t>
            </w:r>
            <w:r>
              <w:rPr>
                <w:rFonts w:ascii="Times New Roman" w:hAnsi="Times New Roman"/>
                <w:highlight w:val="none"/>
                <w:lang w:val="en-US"/>
              </w:rPr>
              <w:t>.*</w:t>
            </w:r>
            <w:r>
              <w:rPr>
                <w:rFonts w:hint="eastAsia" w:ascii="Times New Roman" w:hAnsi="Times New Roman"/>
                <w:highlight w:val="none"/>
                <w:lang w:val="en-US"/>
              </w:rPr>
              <w:t>投标人提供自2024年3月1日起至开标之日连续</w:t>
            </w:r>
            <w:r>
              <w:rPr>
                <w:rFonts w:hint="eastAsia" w:ascii="Times New Roman" w:hAnsi="Times New Roman" w:eastAsia="Times New Roman"/>
                <w:highlight w:val="none"/>
                <w:lang w:val="en-US"/>
              </w:rPr>
              <w:t>3</w:t>
            </w:r>
            <w:r>
              <w:rPr>
                <w:rFonts w:hint="eastAsia" w:ascii="Times New Roman" w:hAnsi="Times New Roman"/>
                <w:highlight w:val="none"/>
                <w:lang w:val="en-US"/>
              </w:rPr>
              <w:t>个月的清晰可辨的纳税证明材料并加盖投标人公章（如至开标之日成立不足三个月的新企业</w:t>
            </w:r>
            <w:r>
              <w:rPr>
                <w:rFonts w:hint="eastAsia"/>
                <w:highlight w:val="none"/>
                <w:lang w:val="en-US"/>
              </w:rPr>
              <w:t>，</w:t>
            </w:r>
            <w:r>
              <w:rPr>
                <w:rFonts w:hint="eastAsia" w:ascii="Times New Roman" w:hAnsi="Times New Roman"/>
                <w:highlight w:val="none"/>
                <w:lang w:val="en-US"/>
              </w:rPr>
              <w:t>应出具本企业将依法纳税的声明承诺函加盖投标人公章）</w:t>
            </w:r>
            <w:r>
              <w:rPr>
                <w:rFonts w:ascii="Times New Roman" w:hAnsi="Times New Roman"/>
                <w:highlight w:val="none"/>
                <w:lang w:val="en-US"/>
              </w:rPr>
              <w:t>；</w:t>
            </w:r>
          </w:p>
          <w:p>
            <w:pPr>
              <w:pStyle w:val="249"/>
              <w:ind w:firstLine="0" w:firstLineChars="0"/>
              <w:jc w:val="left"/>
              <w:rPr>
                <w:rFonts w:ascii="Times New Roman" w:hAnsi="Times New Roman"/>
                <w:highlight w:val="none"/>
                <w:lang w:val="en-US"/>
              </w:rPr>
            </w:pPr>
            <w:r>
              <w:rPr>
                <w:rFonts w:ascii="Times New Roman" w:hAnsi="Times New Roman" w:eastAsia="Times New Roman"/>
                <w:highlight w:val="none"/>
                <w:lang w:val="en-US"/>
              </w:rPr>
              <w:t>4</w:t>
            </w:r>
            <w:r>
              <w:rPr>
                <w:rFonts w:ascii="Times New Roman" w:hAnsi="Times New Roman"/>
                <w:highlight w:val="none"/>
                <w:lang w:val="en-US"/>
              </w:rPr>
              <w:t>.*</w:t>
            </w:r>
            <w:r>
              <w:rPr>
                <w:rFonts w:hint="eastAsia" w:ascii="Times New Roman" w:hAnsi="Times New Roman"/>
                <w:highlight w:val="none"/>
                <w:lang w:val="en-US"/>
              </w:rPr>
              <w:t>投标人提供自2024年3月1日起至开标之日连续</w:t>
            </w:r>
            <w:r>
              <w:rPr>
                <w:rFonts w:hint="eastAsia" w:ascii="Times New Roman" w:hAnsi="Times New Roman" w:eastAsia="Times New Roman"/>
                <w:highlight w:val="none"/>
                <w:lang w:val="en-US"/>
              </w:rPr>
              <w:t>3</w:t>
            </w:r>
            <w:r>
              <w:rPr>
                <w:rFonts w:hint="eastAsia" w:ascii="Times New Roman" w:hAnsi="Times New Roman"/>
                <w:highlight w:val="none"/>
                <w:lang w:val="en-US"/>
              </w:rPr>
              <w:t>个月的清晰可辨的社保缴费记录证明文件复印件加盖投标人公章（如至开标之日成立不足三个月的新企业</w:t>
            </w:r>
            <w:r>
              <w:rPr>
                <w:rFonts w:hint="eastAsia"/>
                <w:highlight w:val="none"/>
                <w:lang w:val="en-US"/>
              </w:rPr>
              <w:t>，</w:t>
            </w:r>
            <w:r>
              <w:rPr>
                <w:rFonts w:hint="eastAsia" w:ascii="Times New Roman" w:hAnsi="Times New Roman"/>
                <w:highlight w:val="none"/>
                <w:lang w:val="en-US"/>
              </w:rPr>
              <w:t>应出具本企业将依法缴纳社保的声明承诺函加盖投标人公章）</w:t>
            </w:r>
            <w:r>
              <w:rPr>
                <w:rFonts w:ascii="Times New Roman" w:hAnsi="Times New Roman"/>
                <w:highlight w:val="none"/>
                <w:lang w:val="en-US"/>
              </w:rPr>
              <w:t>；</w:t>
            </w:r>
          </w:p>
          <w:p>
            <w:pPr>
              <w:pStyle w:val="249"/>
              <w:ind w:firstLine="0" w:firstLineChars="0"/>
              <w:jc w:val="left"/>
              <w:rPr>
                <w:rFonts w:ascii="Times New Roman" w:hAnsi="Times New Roman"/>
                <w:highlight w:val="none"/>
                <w:lang w:val="en-US"/>
              </w:rPr>
            </w:pPr>
            <w:r>
              <w:rPr>
                <w:rFonts w:ascii="Times New Roman" w:hAnsi="Times New Roman" w:eastAsia="Times New Roman"/>
                <w:highlight w:val="none"/>
                <w:lang w:val="en-US"/>
              </w:rPr>
              <w:t>5</w:t>
            </w:r>
            <w:r>
              <w:rPr>
                <w:rFonts w:ascii="Times New Roman" w:hAnsi="Times New Roman"/>
                <w:highlight w:val="none"/>
                <w:lang w:val="en-US"/>
              </w:rPr>
              <w:t>.</w:t>
            </w:r>
            <w:r>
              <w:rPr>
                <w:rFonts w:hint="eastAsia" w:ascii="Times New Roman" w:hAnsi="Times New Roman"/>
                <w:highlight w:val="none"/>
                <w:lang w:val="en-US"/>
              </w:rPr>
              <w:t>*投标人提供会计师事务所出具的2023年的审计报告（审计报告、财务报表及附注）；开业不足一年的可出具其基本开户银行出具的资信证明；</w:t>
            </w:r>
            <w:r>
              <w:rPr>
                <w:rFonts w:ascii="Times New Roman" w:hAnsi="Times New Roman"/>
                <w:highlight w:val="none"/>
                <w:lang w:val="en-US"/>
              </w:rPr>
              <w:t>（上述资料须提供复印件加盖投标人公章）</w:t>
            </w:r>
          </w:p>
          <w:p>
            <w:pPr>
              <w:pStyle w:val="249"/>
              <w:ind w:firstLine="0" w:firstLineChars="0"/>
              <w:jc w:val="left"/>
              <w:rPr>
                <w:rFonts w:hint="eastAsia" w:ascii="Times New Roman" w:hAnsi="Times New Roman" w:eastAsia="宋体"/>
                <w:highlight w:val="none"/>
                <w:lang w:val="en-US" w:eastAsia="zh-CN"/>
              </w:rPr>
            </w:pPr>
            <w:r>
              <w:rPr>
                <w:rFonts w:hint="eastAsia" w:ascii="Times New Roman" w:hAnsi="Times New Roman"/>
                <w:highlight w:val="none"/>
                <w:lang w:val="en-US"/>
              </w:rPr>
              <w:t>6. *</w:t>
            </w:r>
            <w:r>
              <w:rPr>
                <w:rFonts w:hint="eastAsia" w:ascii="Times New Roman" w:hAnsi="Times New Roman"/>
                <w:highlight w:val="none"/>
                <w:lang w:val="en-US" w:eastAsia="zh-CN"/>
              </w:rPr>
              <w:t>中小企业文件</w:t>
            </w:r>
            <w:r>
              <w:rPr>
                <w:rFonts w:hint="eastAsia" w:ascii="Times New Roman" w:hAnsi="Times New Roman"/>
                <w:highlight w:val="none"/>
                <w:lang w:val="en-US"/>
              </w:rPr>
              <w:t>：</w:t>
            </w:r>
            <w:r>
              <w:rPr>
                <w:rFonts w:ascii="Times New Roman" w:hAnsi="Times New Roman"/>
                <w:highlight w:val="none"/>
              </w:rPr>
              <w:t>本项目</w:t>
            </w:r>
            <w:r>
              <w:rPr>
                <w:rFonts w:hint="eastAsia" w:ascii="Times New Roman" w:hAnsi="Times New Roman"/>
                <w:highlight w:val="none"/>
                <w:lang w:val="en-US"/>
              </w:rPr>
              <w:t>第</w:t>
            </w:r>
            <w:r>
              <w:rPr>
                <w:rFonts w:hint="eastAsia" w:ascii="Times New Roman" w:hAnsi="Times New Roman" w:eastAsia="宋体"/>
                <w:highlight w:val="none"/>
                <w:lang w:val="en-US" w:eastAsia="zh-CN"/>
              </w:rPr>
              <w:t>3、4、6、7、9、10、11</w:t>
            </w:r>
            <w:r>
              <w:rPr>
                <w:rFonts w:hint="eastAsia" w:ascii="Times New Roman" w:hAnsi="Times New Roman"/>
                <w:highlight w:val="none"/>
                <w:lang w:val="en-US"/>
              </w:rPr>
              <w:t>包专门面向中小企业</w:t>
            </w:r>
            <w:r>
              <w:rPr>
                <w:rFonts w:ascii="Times New Roman" w:hAnsi="Times New Roman"/>
                <w:highlight w:val="none"/>
              </w:rPr>
              <w:t>，</w:t>
            </w:r>
            <w:r>
              <w:rPr>
                <w:rFonts w:hint="eastAsia" w:ascii="Times New Roman" w:hAnsi="Times New Roman"/>
                <w:highlight w:val="none"/>
                <w:lang w:val="en-US"/>
              </w:rPr>
              <w:t>投标人须提供以下三项材料中的任一项①《中小企业声明函》（格式详见第7部分）；②由省级以上监狱管理局、戒毒管理局（含新疆生产建设兵团）出具的属于监狱企业证明文件；③《残疾人福利性单位声明函》（格式详见第7部分）</w:t>
            </w:r>
            <w:r>
              <w:rPr>
                <w:rFonts w:hint="eastAsia" w:ascii="Times New Roman" w:hAnsi="Times New Roman"/>
                <w:highlight w:val="none"/>
                <w:lang w:val="en-US" w:eastAsia="zh-CN"/>
              </w:rPr>
              <w:t>；</w:t>
            </w:r>
          </w:p>
          <w:p>
            <w:pPr>
              <w:pStyle w:val="249"/>
              <w:ind w:firstLine="0" w:firstLineChars="0"/>
              <w:jc w:val="left"/>
              <w:rPr>
                <w:rFonts w:ascii="Times New Roman" w:hAnsi="Times New Roman"/>
                <w:highlight w:val="none"/>
                <w:lang w:val="en-US"/>
              </w:rPr>
            </w:pPr>
            <w:r>
              <w:rPr>
                <w:rFonts w:hint="eastAsia" w:ascii="Times New Roman" w:hAnsi="Times New Roman"/>
                <w:highlight w:val="none"/>
                <w:lang w:val="en-US" w:eastAsia="zh-CN"/>
              </w:rPr>
              <w:t>7.</w:t>
            </w:r>
            <w:r>
              <w:rPr>
                <w:rFonts w:hint="eastAsia" w:ascii="Times New Roman" w:hAnsi="Times New Roman"/>
                <w:highlight w:val="none"/>
                <w:lang w:val="en-US"/>
              </w:rPr>
              <w:t>投标人按照第五部分的要求提供所投产品真实有效的合格检验报告</w:t>
            </w:r>
            <w:r>
              <w:rPr>
                <w:rFonts w:ascii="Times New Roman" w:hAnsi="Times New Roman"/>
                <w:highlight w:val="none"/>
                <w:lang w:val="en-US"/>
              </w:rPr>
              <w:t>（复印件加盖投标人公章）</w:t>
            </w:r>
            <w:r>
              <w:rPr>
                <w:rFonts w:hint="eastAsia" w:ascii="Times New Roman" w:hAnsi="Times New Roman"/>
                <w:highlight w:val="none"/>
                <w:lang w:val="en-US"/>
              </w:rPr>
              <w:t>；</w:t>
            </w:r>
          </w:p>
          <w:p>
            <w:pPr>
              <w:pStyle w:val="249"/>
              <w:ind w:firstLine="0" w:firstLineChars="0"/>
              <w:jc w:val="both"/>
              <w:rPr>
                <w:rFonts w:ascii="Times New Roman" w:hAnsi="Times New Roman"/>
                <w:highlight w:val="none"/>
                <w:lang w:val="en-US"/>
              </w:rPr>
            </w:pPr>
            <w:r>
              <w:rPr>
                <w:rFonts w:hint="eastAsia" w:ascii="Times New Roman" w:hAnsi="Times New Roman"/>
                <w:highlight w:val="none"/>
                <w:lang w:val="en-US" w:eastAsia="zh-CN"/>
              </w:rPr>
              <w:t>8.</w:t>
            </w:r>
            <w:r>
              <w:rPr>
                <w:rFonts w:ascii="Times New Roman" w:hAnsi="Times New Roman"/>
                <w:highlight w:val="none"/>
                <w:lang w:val="en-US"/>
              </w:rPr>
              <w:t>提供有效的体系认证文件：</w:t>
            </w:r>
            <w:r>
              <w:rPr>
                <w:rFonts w:hint="eastAsia" w:ascii="Times New Roman" w:hAnsi="Times New Roman"/>
                <w:highlight w:val="none"/>
                <w:lang w:val="en-US"/>
              </w:rPr>
              <w:t>质量管理体系（ISO9001或GB/T19001或GJB9001）、环境管理体系（ISO14001或GB/T24001）、职业健康与安全管理体系（GB/T45001或ISO45001）</w:t>
            </w:r>
            <w:r>
              <w:rPr>
                <w:rFonts w:ascii="Times New Roman" w:hAnsi="Times New Roman"/>
                <w:highlight w:val="none"/>
                <w:lang w:val="en-US"/>
              </w:rPr>
              <w:t>（复印件加盖投标人公章）</w:t>
            </w:r>
            <w:r>
              <w:rPr>
                <w:rFonts w:hint="eastAsia" w:ascii="Times New Roman" w:hAnsi="Times New Roman"/>
                <w:highlight w:val="none"/>
                <w:lang w:val="en-US"/>
              </w:rPr>
              <w:t>。</w:t>
            </w:r>
          </w:p>
          <w:p>
            <w:pPr>
              <w:pStyle w:val="249"/>
              <w:ind w:firstLine="0" w:firstLineChars="0"/>
              <w:jc w:val="left"/>
              <w:rPr>
                <w:rFonts w:ascii="Times New Roman" w:hAnsi="Times New Roman"/>
                <w:highlight w:val="none"/>
                <w:lang w:val="en-US"/>
              </w:rPr>
            </w:pPr>
            <w:r>
              <w:rPr>
                <w:rFonts w:hint="eastAsia" w:ascii="Times New Roman" w:hAnsi="Times New Roman"/>
                <w:color w:val="000000"/>
                <w:highlight w:val="none"/>
                <w:lang w:val="en-US"/>
              </w:rPr>
              <w:t xml:space="preserve"> </w:t>
            </w:r>
            <w:r>
              <w:rPr>
                <w:rFonts w:hint="eastAsia" w:ascii="Times New Roman" w:hAnsi="Times New Roman"/>
                <w:highlight w:val="none"/>
              </w:rPr>
              <w:t>上述“</w:t>
            </w:r>
            <w:r>
              <w:rPr>
                <w:rFonts w:ascii="Times New Roman" w:hAnsi="Times New Roman"/>
                <w:highlight w:val="none"/>
              </w:rPr>
              <w:t>*</w:t>
            </w:r>
            <w:r>
              <w:rPr>
                <w:rFonts w:hint="eastAsia" w:ascii="Times New Roman" w:hAnsi="Times New Roman"/>
                <w:highlight w:val="none"/>
              </w:rPr>
              <w:t>”</w:t>
            </w:r>
            <w:r>
              <w:rPr>
                <w:rFonts w:ascii="Times New Roman" w:hAnsi="Times New Roman"/>
                <w:highlight w:val="none"/>
              </w:rPr>
              <w:t>项目若有缺失</w:t>
            </w:r>
            <w:r>
              <w:rPr>
                <w:rFonts w:hint="eastAsia" w:ascii="Times New Roman" w:hAnsi="Times New Roman"/>
                <w:highlight w:val="none"/>
              </w:rPr>
              <w:t>、</w:t>
            </w:r>
            <w:r>
              <w:rPr>
                <w:rFonts w:ascii="Times New Roman" w:hAnsi="Times New Roman"/>
                <w:highlight w:val="none"/>
              </w:rPr>
              <w:t>虚假或无效</w:t>
            </w:r>
            <w:r>
              <w:rPr>
                <w:highlight w:val="none"/>
              </w:rPr>
              <w:t>，</w:t>
            </w:r>
            <w:r>
              <w:rPr>
                <w:rFonts w:ascii="Times New Roman" w:hAnsi="Times New Roman"/>
                <w:highlight w:val="none"/>
              </w:rPr>
              <w:t>投标将被</w:t>
            </w:r>
            <w:r>
              <w:rPr>
                <w:rFonts w:ascii="Times New Roman" w:hAnsi="Times New Roman"/>
                <w:b/>
                <w:bCs/>
                <w:highlight w:val="none"/>
              </w:rPr>
              <w:t>拒绝或投标无效</w:t>
            </w:r>
            <w:r>
              <w:rPr>
                <w:rFonts w:ascii="Times New Roman" w:hAnsi="Times New Roman"/>
                <w:highlight w:val="none"/>
              </w:rPr>
              <w:t>且不允许在开标后补正</w:t>
            </w:r>
            <w:r>
              <w:rPr>
                <w:rFonts w:hint="eastAsia" w:ascii="Times New Roman" w:hAnsi="Times New Roman"/>
                <w:highlight w:val="none"/>
              </w:rPr>
              <w:t>；</w:t>
            </w:r>
            <w:r>
              <w:rPr>
                <w:rFonts w:ascii="Times New Roman" w:hAnsi="Times New Roman"/>
                <w:highlight w:val="none"/>
              </w:rPr>
              <w:t>投标人</w:t>
            </w:r>
            <w:r>
              <w:rPr>
                <w:rFonts w:hint="eastAsia" w:ascii="Times New Roman" w:hAnsi="Times New Roman"/>
                <w:highlight w:val="none"/>
              </w:rPr>
              <w:t>将上述</w:t>
            </w:r>
            <w:r>
              <w:rPr>
                <w:rFonts w:ascii="Times New Roman" w:hAnsi="Times New Roman"/>
                <w:highlight w:val="none"/>
              </w:rPr>
              <w:t>资料</w:t>
            </w:r>
            <w:r>
              <w:rPr>
                <w:rFonts w:hint="eastAsia" w:ascii="Times New Roman" w:hAnsi="Times New Roman"/>
                <w:highlight w:val="none"/>
              </w:rPr>
              <w:t>签字</w:t>
            </w:r>
            <w:r>
              <w:rPr>
                <w:rFonts w:ascii="Times New Roman" w:hAnsi="Times New Roman"/>
                <w:highlight w:val="none"/>
              </w:rPr>
              <w:t>盖章后</w:t>
            </w:r>
            <w:r>
              <w:rPr>
                <w:rFonts w:hint="eastAsia"/>
                <w:highlight w:val="none"/>
              </w:rPr>
              <w:t>上传</w:t>
            </w:r>
            <w:r>
              <w:rPr>
                <w:rFonts w:hint="eastAsia" w:ascii="Times New Roman" w:hAnsi="Times New Roman"/>
                <w:highlight w:val="none"/>
              </w:rPr>
              <w:t>，投标文件</w:t>
            </w:r>
            <w:r>
              <w:rPr>
                <w:rFonts w:ascii="Times New Roman" w:hAnsi="Times New Roman"/>
                <w:highlight w:val="none"/>
              </w:rPr>
              <w:t>中仍需提供上述文件。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5" w:type="dxa"/>
            <w:bottom w:w="0" w:type="dxa"/>
            <w:right w:w="108" w:type="dxa"/>
          </w:tblCellMar>
        </w:tblPrEx>
        <w:trPr>
          <w:trHeight w:val="20" w:hRule="atLeast"/>
          <w:jc w:val="center"/>
        </w:trPr>
        <w:tc>
          <w:tcPr>
            <w:tcW w:w="729" w:type="dxa"/>
            <w:vAlign w:val="center"/>
          </w:tcPr>
          <w:p>
            <w:pPr>
              <w:pStyle w:val="249"/>
              <w:numPr>
                <w:ilvl w:val="0"/>
                <w:numId w:val="26"/>
              </w:numPr>
              <w:tabs>
                <w:tab w:val="left" w:pos="397"/>
              </w:tabs>
              <w:spacing w:line="320" w:lineRule="exact"/>
              <w:ind w:firstLineChars="0"/>
              <w:jc w:val="center"/>
              <w:rPr>
                <w:rFonts w:ascii="Times New Roman" w:hAnsi="Times New Roman"/>
                <w:bCs/>
                <w:highlight w:val="none"/>
              </w:rPr>
            </w:pPr>
          </w:p>
        </w:tc>
        <w:tc>
          <w:tcPr>
            <w:tcW w:w="1146" w:type="dxa"/>
            <w:vAlign w:val="center"/>
          </w:tcPr>
          <w:p>
            <w:pPr>
              <w:pStyle w:val="249"/>
              <w:spacing w:line="320" w:lineRule="exact"/>
              <w:ind w:firstLine="0" w:firstLineChars="0"/>
              <w:jc w:val="center"/>
              <w:rPr>
                <w:rFonts w:ascii="Times New Roman" w:hAnsi="Times New Roman"/>
                <w:bCs/>
                <w:highlight w:val="none"/>
              </w:rPr>
            </w:pPr>
          </w:p>
        </w:tc>
        <w:tc>
          <w:tcPr>
            <w:tcW w:w="1936" w:type="dxa"/>
            <w:vAlign w:val="center"/>
          </w:tcPr>
          <w:p>
            <w:pPr>
              <w:pStyle w:val="249"/>
              <w:spacing w:line="320" w:lineRule="exact"/>
              <w:ind w:firstLine="0" w:firstLineChars="0"/>
              <w:jc w:val="center"/>
              <w:rPr>
                <w:rFonts w:ascii="Times New Roman" w:hAnsi="Times New Roman"/>
                <w:highlight w:val="none"/>
                <w:lang w:val="en-US"/>
              </w:rPr>
            </w:pPr>
            <w:r>
              <w:rPr>
                <w:rFonts w:ascii="Times New Roman" w:hAnsi="Times New Roman"/>
                <w:highlight w:val="none"/>
              </w:rPr>
              <w:t>采购资金的</w:t>
            </w:r>
            <w:r>
              <w:rPr>
                <w:rFonts w:hint="eastAsia" w:ascii="Times New Roman" w:hAnsi="Times New Roman"/>
                <w:highlight w:val="none"/>
                <w:lang w:val="en-US"/>
              </w:rPr>
              <w:t>支付</w:t>
            </w:r>
          </w:p>
          <w:p>
            <w:pPr>
              <w:pStyle w:val="249"/>
              <w:spacing w:line="320" w:lineRule="exact"/>
              <w:ind w:firstLine="0" w:firstLineChars="0"/>
              <w:jc w:val="center"/>
              <w:rPr>
                <w:rFonts w:ascii="Times New Roman" w:hAnsi="Times New Roman"/>
                <w:highlight w:val="none"/>
              </w:rPr>
            </w:pPr>
            <w:r>
              <w:rPr>
                <w:rFonts w:ascii="Times New Roman" w:hAnsi="Times New Roman"/>
                <w:highlight w:val="none"/>
              </w:rPr>
              <w:t>方式、时间、条件</w:t>
            </w:r>
          </w:p>
        </w:tc>
        <w:tc>
          <w:tcPr>
            <w:tcW w:w="5823" w:type="dxa"/>
            <w:vAlign w:val="center"/>
          </w:tcPr>
          <w:p>
            <w:pPr>
              <w:pStyle w:val="249"/>
              <w:spacing w:line="320" w:lineRule="exact"/>
              <w:jc w:val="left"/>
              <w:rPr>
                <w:rFonts w:hint="eastAsia" w:cs="宋体"/>
                <w:highlight w:val="none"/>
                <w:lang w:val="en-US" w:eastAsia="zh-CN"/>
              </w:rPr>
            </w:pPr>
            <w:r>
              <w:rPr>
                <w:rFonts w:hint="eastAsia" w:ascii="Times New Roman" w:hAnsi="Times New Roman"/>
                <w:highlight w:val="none"/>
                <w:lang w:val="en-US" w:eastAsia="zh-CN"/>
              </w:rPr>
              <w:t>汕头海关缉私局、深圳海关缉私局、湛江海关缉私局、广州海关缉私局、拱北海关缉私局、南宁海关缉私局、黄埔海关缉私局、青岛海关缉私局：</w:t>
            </w:r>
            <w:r>
              <w:rPr>
                <w:rFonts w:hint="eastAsia" w:ascii="Times New Roman" w:hAnsi="Times New Roman"/>
                <w:highlight w:val="none"/>
              </w:rPr>
              <w:t>合同签订后15</w:t>
            </w:r>
            <w:r>
              <w:rPr>
                <w:rFonts w:hint="eastAsia" w:ascii="Times New Roman" w:hAnsi="Times New Roman"/>
                <w:highlight w:val="none"/>
                <w:lang w:val="en-US"/>
              </w:rPr>
              <w:t>个日历日</w:t>
            </w:r>
            <w:r>
              <w:rPr>
                <w:rFonts w:hint="eastAsia" w:ascii="Times New Roman" w:hAnsi="Times New Roman"/>
                <w:highlight w:val="none"/>
              </w:rPr>
              <w:t>内，以银行转账方式支付合同金额的</w:t>
            </w:r>
            <w:r>
              <w:rPr>
                <w:rFonts w:ascii="Times New Roman" w:hAnsi="Times New Roman"/>
                <w:highlight w:val="none"/>
              </w:rPr>
              <w:t>50</w:t>
            </w:r>
            <w:r>
              <w:rPr>
                <w:rFonts w:hint="eastAsia" w:ascii="Times New Roman" w:hAnsi="Times New Roman"/>
                <w:highlight w:val="none"/>
              </w:rPr>
              <w:t>%；</w:t>
            </w:r>
            <w:r>
              <w:rPr>
                <w:rFonts w:hint="eastAsia" w:ascii="Times New Roman" w:hAnsi="Times New Roman"/>
                <w:highlight w:val="none"/>
                <w:lang w:val="en-US"/>
              </w:rPr>
              <w:t>货物送达且完成</w:t>
            </w:r>
            <w:r>
              <w:rPr>
                <w:rFonts w:hint="eastAsia" w:ascii="Times New Roman" w:hAnsi="Times New Roman"/>
                <w:highlight w:val="none"/>
              </w:rPr>
              <w:t>安装调试验收</w:t>
            </w:r>
            <w:r>
              <w:rPr>
                <w:rFonts w:hint="eastAsia" w:ascii="Times New Roman" w:hAnsi="Times New Roman"/>
                <w:highlight w:val="none"/>
                <w:lang w:val="en-US"/>
              </w:rPr>
              <w:t>后</w:t>
            </w:r>
            <w:r>
              <w:rPr>
                <w:rFonts w:hint="eastAsia" w:ascii="Times New Roman" w:hAnsi="Times New Roman"/>
                <w:highlight w:val="none"/>
              </w:rPr>
              <w:t>15</w:t>
            </w:r>
            <w:r>
              <w:rPr>
                <w:rFonts w:hint="eastAsia" w:ascii="Times New Roman" w:hAnsi="Times New Roman"/>
                <w:highlight w:val="none"/>
                <w:lang w:val="en-US"/>
              </w:rPr>
              <w:t>个日历日</w:t>
            </w:r>
            <w:r>
              <w:rPr>
                <w:rFonts w:hint="eastAsia" w:ascii="Times New Roman" w:hAnsi="Times New Roman"/>
                <w:highlight w:val="none"/>
              </w:rPr>
              <w:t>内</w:t>
            </w:r>
            <w:r>
              <w:rPr>
                <w:rFonts w:hint="eastAsia" w:ascii="Times New Roman" w:hAnsi="Times New Roman"/>
                <w:highlight w:val="none"/>
                <w:lang w:val="en-US"/>
              </w:rPr>
              <w:t>，</w:t>
            </w:r>
            <w:r>
              <w:rPr>
                <w:rFonts w:hint="eastAsia" w:ascii="Times New Roman" w:hAnsi="Times New Roman"/>
                <w:highlight w:val="none"/>
              </w:rPr>
              <w:t>以银行转账方式支付至合同金额的</w:t>
            </w:r>
            <w:r>
              <w:rPr>
                <w:rFonts w:ascii="Times New Roman" w:hAnsi="Times New Roman"/>
                <w:highlight w:val="none"/>
              </w:rPr>
              <w:t>100</w:t>
            </w:r>
            <w:r>
              <w:rPr>
                <w:rFonts w:hint="eastAsia" w:ascii="Times New Roman" w:hAnsi="Times New Roman"/>
                <w:highlight w:val="none"/>
              </w:rPr>
              <w:t>%</w:t>
            </w:r>
            <w:r>
              <w:rPr>
                <w:rFonts w:hint="eastAsia" w:cs="宋体"/>
                <w:highlight w:val="none"/>
                <w:lang w:val="en-US" w:eastAsia="zh-CN"/>
              </w:rPr>
              <w:t>。</w:t>
            </w:r>
          </w:p>
          <w:p>
            <w:pPr>
              <w:pStyle w:val="249"/>
              <w:spacing w:line="320" w:lineRule="exact"/>
              <w:jc w:val="left"/>
              <w:rPr>
                <w:rFonts w:hint="eastAsia" w:eastAsia="宋体" w:cs="宋体"/>
                <w:highlight w:val="none"/>
                <w:lang w:val="en-US" w:eastAsia="zh-CN"/>
              </w:rPr>
            </w:pPr>
            <w:r>
              <w:rPr>
                <w:rFonts w:hint="eastAsia" w:cs="宋体"/>
                <w:highlight w:val="none"/>
                <w:lang w:val="en-US" w:eastAsia="zh-CN"/>
              </w:rPr>
              <w:t>天津海关缉私局、宁波海关缉私局、杭州海关、江门海关缉私局、南京海关缉私局、北京海关缉私局、</w:t>
            </w:r>
            <w:r>
              <w:rPr>
                <w:rFonts w:hint="eastAsia" w:ascii="Times New Roman" w:hAnsi="Times New Roman"/>
                <w:highlight w:val="none"/>
                <w:lang w:val="en-US" w:eastAsia="zh-CN"/>
              </w:rPr>
              <w:t>上海海关缉私局</w:t>
            </w:r>
            <w:r>
              <w:rPr>
                <w:rFonts w:hint="eastAsia" w:cs="宋体"/>
                <w:highlight w:val="none"/>
                <w:lang w:val="en-US" w:eastAsia="zh-CN"/>
              </w:rPr>
              <w:t>：</w:t>
            </w:r>
            <w:r>
              <w:rPr>
                <w:rFonts w:hint="eastAsia" w:ascii="Times New Roman" w:hAnsi="Times New Roman"/>
                <w:highlight w:val="none"/>
                <w:lang w:val="en-US"/>
              </w:rPr>
              <w:t>货物送达且完成</w:t>
            </w:r>
            <w:r>
              <w:rPr>
                <w:rFonts w:hint="eastAsia" w:ascii="Times New Roman" w:hAnsi="Times New Roman"/>
                <w:highlight w:val="none"/>
              </w:rPr>
              <w:t>安装调试验收</w:t>
            </w:r>
            <w:r>
              <w:rPr>
                <w:rFonts w:hint="eastAsia" w:ascii="Times New Roman" w:hAnsi="Times New Roman"/>
                <w:highlight w:val="none"/>
                <w:lang w:val="en-US"/>
              </w:rPr>
              <w:t>后</w:t>
            </w:r>
            <w:r>
              <w:rPr>
                <w:rFonts w:hint="eastAsia" w:ascii="Times New Roman" w:hAnsi="Times New Roman"/>
                <w:highlight w:val="none"/>
              </w:rPr>
              <w:t>15</w:t>
            </w:r>
            <w:r>
              <w:rPr>
                <w:rFonts w:hint="eastAsia" w:ascii="Times New Roman" w:hAnsi="Times New Roman"/>
                <w:highlight w:val="none"/>
                <w:lang w:val="en-US"/>
              </w:rPr>
              <w:t>个日历日</w:t>
            </w:r>
            <w:r>
              <w:rPr>
                <w:rFonts w:hint="eastAsia" w:ascii="Times New Roman" w:hAnsi="Times New Roman"/>
                <w:highlight w:val="none"/>
              </w:rPr>
              <w:t>内</w:t>
            </w:r>
            <w:r>
              <w:rPr>
                <w:rFonts w:hint="eastAsia" w:ascii="Times New Roman" w:hAnsi="Times New Roman"/>
                <w:highlight w:val="none"/>
                <w:lang w:val="en-US"/>
              </w:rPr>
              <w:t>，</w:t>
            </w:r>
            <w:r>
              <w:rPr>
                <w:rFonts w:hint="eastAsia" w:ascii="Times New Roman" w:hAnsi="Times New Roman"/>
                <w:highlight w:val="none"/>
              </w:rPr>
              <w:t>以银行转账方式支付合同金额的</w:t>
            </w:r>
            <w:r>
              <w:rPr>
                <w:rFonts w:ascii="Times New Roman" w:hAnsi="Times New Roman"/>
                <w:highlight w:val="none"/>
              </w:rPr>
              <w:t>100</w:t>
            </w:r>
            <w:r>
              <w:rPr>
                <w:rFonts w:hint="eastAsia" w:ascii="Times New Roman" w:hAnsi="Times New Roman"/>
                <w:highlight w:val="none"/>
              </w:rPr>
              <w:t>%</w:t>
            </w:r>
            <w:r>
              <w:rPr>
                <w:rFonts w:hint="eastAsia" w:ascii="Times New Roman" w:hAnsi="Times New Roman"/>
                <w:highlight w:val="none"/>
                <w:lang w:eastAsia="zh-CN"/>
              </w:rPr>
              <w:t>。</w:t>
            </w:r>
          </w:p>
          <w:p>
            <w:pPr>
              <w:pStyle w:val="249"/>
              <w:spacing w:line="320" w:lineRule="exact"/>
              <w:jc w:val="both"/>
              <w:rPr>
                <w:rFonts w:hint="eastAsia" w:ascii="Times New Roman" w:hAnsi="Times New Roman"/>
                <w:highlight w:val="none"/>
                <w:lang w:val="en-US" w:eastAsia="zh-CN"/>
              </w:rPr>
            </w:pPr>
            <w:r>
              <w:rPr>
                <w:rFonts w:hint="eastAsia" w:ascii="Times New Roman" w:hAnsi="Times New Roman"/>
                <w:highlight w:val="none"/>
                <w:lang w:val="en-US" w:eastAsia="zh-CN"/>
              </w:rPr>
              <w:t>昆明海关：与中标供应商签订合同并且中标供应商提交中标通知书、发票（原件）、合同金额50%的预付款保函（原件）后15个日历日内（财政审批时间不计算入付款时限），以银行</w:t>
            </w:r>
            <w:r>
              <w:rPr>
                <w:rFonts w:hint="eastAsia" w:ascii="Times New Roman" w:hAnsi="Times New Roman"/>
                <w:highlight w:val="none"/>
              </w:rPr>
              <w:t>转账方式</w:t>
            </w:r>
            <w:r>
              <w:rPr>
                <w:rFonts w:hint="eastAsia" w:ascii="Times New Roman" w:hAnsi="Times New Roman"/>
                <w:highlight w:val="none"/>
                <w:lang w:val="en-US" w:eastAsia="zh-CN"/>
              </w:rPr>
              <w:t>支付合同金额的100%，</w:t>
            </w:r>
            <w:r>
              <w:rPr>
                <w:rFonts w:ascii="Times New Roman" w:hAnsi="Times New Roman"/>
                <w:highlight w:val="none"/>
                <w:lang w:val="en-US" w:eastAsia="zh-CN"/>
              </w:rPr>
              <w:t>保函有</w:t>
            </w:r>
            <w:r>
              <w:rPr>
                <w:rFonts w:hint="eastAsia" w:ascii="Times New Roman" w:hAnsi="Times New Roman"/>
                <w:color w:val="000000"/>
                <w:highlight w:val="none"/>
                <w:lang w:val="en-US"/>
              </w:rPr>
              <w:t>效期</w:t>
            </w:r>
            <w:r>
              <w:rPr>
                <w:rFonts w:hint="eastAsia" w:ascii="Times New Roman" w:hAnsi="Times New Roman"/>
                <w:color w:val="000000"/>
                <w:highlight w:val="none"/>
                <w:lang w:val="en-US" w:eastAsia="zh-CN"/>
              </w:rPr>
              <w:t>自保函生效至项目验收通过</w:t>
            </w:r>
            <w:r>
              <w:rPr>
                <w:rFonts w:ascii="Times New Roman" w:hAnsi="Times New Roman"/>
                <w:color w:val="000000"/>
                <w:highlight w:val="none"/>
                <w:lang w:val="en-US" w:eastAsia="zh-CN"/>
              </w:rPr>
              <w:t>后</w:t>
            </w:r>
            <w:r>
              <w:rPr>
                <w:rFonts w:ascii="Times New Roman" w:hAnsi="Times New Roman"/>
                <w:color w:val="000000"/>
                <w:highlight w:val="none"/>
                <w:lang w:val="en-US"/>
              </w:rPr>
              <w:t>1个月后自动退还</w:t>
            </w:r>
            <w:r>
              <w:rPr>
                <w:rFonts w:hint="eastAsia" w:ascii="Times New Roman" w:hAnsi="Times New Roman"/>
                <w:color w:val="000000"/>
                <w:highlight w:val="none"/>
                <w:lang w:val="en-US"/>
              </w:rPr>
              <w:t>（</w:t>
            </w:r>
            <w:r>
              <w:rPr>
                <w:rFonts w:hint="eastAsia" w:ascii="Times New Roman" w:hAnsi="Times New Roman"/>
                <w:color w:val="000000"/>
                <w:highlight w:val="none"/>
                <w:lang w:val="en-US" w:eastAsia="zh-CN"/>
              </w:rPr>
              <w:t>期间</w:t>
            </w:r>
            <w:r>
              <w:rPr>
                <w:rFonts w:hint="eastAsia" w:ascii="Times New Roman" w:hAnsi="Times New Roman"/>
                <w:color w:val="000000"/>
                <w:highlight w:val="none"/>
                <w:lang w:val="en-US"/>
              </w:rPr>
              <w:t>不计利息）</w:t>
            </w:r>
            <w:r>
              <w:rPr>
                <w:rFonts w:ascii="Times New Roman" w:hAnsi="Times New Roman"/>
                <w:color w:val="000000"/>
                <w:highlight w:val="none"/>
                <w:lang w:val="en-US"/>
              </w:rPr>
              <w:t>。</w:t>
            </w:r>
          </w:p>
          <w:p>
            <w:pPr>
              <w:pStyle w:val="249"/>
              <w:spacing w:line="320" w:lineRule="exact"/>
              <w:jc w:val="left"/>
              <w:rPr>
                <w:rFonts w:hint="default" w:cs="宋体"/>
                <w:highlight w:val="none"/>
                <w:lang w:val="en-US" w:eastAsia="zh-CN"/>
              </w:rPr>
            </w:pPr>
            <w:r>
              <w:rPr>
                <w:rFonts w:hint="default" w:ascii="Times New Roman" w:hAnsi="Times New Roman" w:cs="Times New Roman"/>
                <w:highlight w:val="none"/>
                <w:lang w:val="en-US" w:eastAsia="zh-CN"/>
              </w:rPr>
              <w:t>海口海关：收到履约保证金后10个工作日内，以银行转账方式支付合同金额的50%，货物送达且完成安装调试验收后15个工作日内，以银行转账方式支付至合同的100%。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5" w:type="dxa"/>
            <w:bottom w:w="0" w:type="dxa"/>
            <w:right w:w="108" w:type="dxa"/>
          </w:tblCellMar>
        </w:tblPrEx>
        <w:trPr>
          <w:trHeight w:val="20" w:hRule="atLeast"/>
          <w:jc w:val="center"/>
        </w:trPr>
        <w:tc>
          <w:tcPr>
            <w:tcW w:w="729" w:type="dxa"/>
            <w:vAlign w:val="center"/>
          </w:tcPr>
          <w:p>
            <w:pPr>
              <w:pStyle w:val="249"/>
              <w:numPr>
                <w:ilvl w:val="0"/>
                <w:numId w:val="26"/>
              </w:numPr>
              <w:tabs>
                <w:tab w:val="left" w:pos="397"/>
              </w:tabs>
              <w:spacing w:line="320" w:lineRule="exact"/>
              <w:ind w:firstLineChars="0"/>
              <w:jc w:val="center"/>
              <w:rPr>
                <w:rFonts w:ascii="Times New Roman" w:hAnsi="Times New Roman"/>
                <w:bCs/>
                <w:highlight w:val="none"/>
              </w:rPr>
            </w:pPr>
          </w:p>
        </w:tc>
        <w:tc>
          <w:tcPr>
            <w:tcW w:w="1146" w:type="dxa"/>
            <w:vAlign w:val="center"/>
          </w:tcPr>
          <w:p>
            <w:pPr>
              <w:pStyle w:val="249"/>
              <w:spacing w:line="320" w:lineRule="exact"/>
              <w:ind w:firstLine="0" w:firstLineChars="0"/>
              <w:jc w:val="center"/>
              <w:rPr>
                <w:rFonts w:ascii="Times New Roman" w:hAnsi="Times New Roman"/>
                <w:highlight w:val="none"/>
              </w:rPr>
            </w:pPr>
          </w:p>
        </w:tc>
        <w:tc>
          <w:tcPr>
            <w:tcW w:w="1936" w:type="dxa"/>
            <w:vAlign w:val="center"/>
          </w:tcPr>
          <w:p>
            <w:pPr>
              <w:pStyle w:val="249"/>
              <w:spacing w:line="320" w:lineRule="exact"/>
              <w:ind w:firstLine="0" w:firstLineChars="0"/>
              <w:jc w:val="center"/>
              <w:rPr>
                <w:rFonts w:ascii="Times New Roman" w:hAnsi="Times New Roman"/>
                <w:highlight w:val="none"/>
              </w:rPr>
            </w:pPr>
            <w:r>
              <w:rPr>
                <w:rFonts w:ascii="Times New Roman" w:hAnsi="Times New Roman"/>
                <w:highlight w:val="none"/>
              </w:rPr>
              <w:t>其他</w:t>
            </w:r>
          </w:p>
        </w:tc>
        <w:tc>
          <w:tcPr>
            <w:tcW w:w="5823" w:type="dxa"/>
            <w:vAlign w:val="center"/>
          </w:tcPr>
          <w:p>
            <w:pPr>
              <w:pStyle w:val="249"/>
              <w:ind w:firstLineChars="0"/>
              <w:rPr>
                <w:rFonts w:ascii="Times New Roman" w:hAnsi="Times New Roman"/>
                <w:highlight w:val="none"/>
                <w:lang w:val="en-US"/>
              </w:rPr>
            </w:pPr>
            <w:r>
              <w:rPr>
                <w:rFonts w:hint="eastAsia" w:ascii="Times New Roman" w:hAnsi="Times New Roman"/>
                <w:highlight w:val="none"/>
                <w:lang w:val="en-US"/>
              </w:rPr>
              <w:t>本项目由北京海关缉私局、拱北海关缉私局、广州海关缉私局、海口海关、杭州海关、黄埔海关缉私局、江门海关缉私局、昆明海关、南京海关缉私局、南宁海关缉私局、宁波海关缉私局、青岛海关缉私局、汕头海关缉私局、上海海关缉私局、深圳海关缉私局、天津海关缉私局、湛江海关缉私局分别与相应中标供应商签订政府采购合同。</w:t>
            </w:r>
          </w:p>
          <w:p>
            <w:pPr>
              <w:pStyle w:val="249"/>
              <w:numPr>
                <w:ilvl w:val="0"/>
                <w:numId w:val="30"/>
              </w:numPr>
              <w:ind w:firstLine="0" w:firstLineChars="0"/>
              <w:jc w:val="left"/>
              <w:rPr>
                <w:rFonts w:ascii="Times New Roman" w:hAnsi="Times New Roman"/>
                <w:highlight w:val="none"/>
                <w:lang w:val="en-US"/>
              </w:rPr>
            </w:pPr>
            <w:r>
              <w:rPr>
                <w:rFonts w:ascii="Times New Roman" w:hAnsi="Times New Roman"/>
                <w:highlight w:val="none"/>
                <w:lang w:val="en-US"/>
              </w:rPr>
              <w:t>采购人不接受供应商恶意低价竞争。根据财政部令第</w:t>
            </w:r>
            <w:r>
              <w:rPr>
                <w:rFonts w:ascii="Times New Roman" w:hAnsi="Times New Roman" w:eastAsia="Times New Roman"/>
                <w:highlight w:val="none"/>
                <w:lang w:val="en-US"/>
              </w:rPr>
              <w:t>87</w:t>
            </w:r>
            <w:r>
              <w:rPr>
                <w:rFonts w:ascii="Times New Roman" w:hAnsi="Times New Roman"/>
                <w:highlight w:val="none"/>
                <w:lang w:val="en-US"/>
              </w:rPr>
              <w:t>号第六十条：</w:t>
            </w:r>
            <w:r>
              <w:rPr>
                <w:rFonts w:hint="eastAsia" w:cs="宋体"/>
                <w:highlight w:val="none"/>
                <w:lang w:val="en-US"/>
              </w:rPr>
              <w:t>“</w:t>
            </w:r>
            <w:r>
              <w:rPr>
                <w:rFonts w:ascii="Times New Roman" w:hAnsi="Times New Roman"/>
                <w:highlight w:val="none"/>
                <w:lang w:val="en-US"/>
              </w:rPr>
              <w:t>评标委员会认为投标人的报价明显低于其他通过符合性审查投标人的报价</w:t>
            </w:r>
            <w:r>
              <w:rPr>
                <w:highlight w:val="none"/>
                <w:lang w:val="en-US"/>
              </w:rPr>
              <w:t>，</w:t>
            </w:r>
            <w:r>
              <w:rPr>
                <w:rFonts w:ascii="Times New Roman" w:hAnsi="Times New Roman"/>
                <w:highlight w:val="none"/>
                <w:lang w:val="en-US"/>
              </w:rPr>
              <w:t>有可能影响产品质量或者不能诚信履约的</w:t>
            </w:r>
            <w:r>
              <w:rPr>
                <w:highlight w:val="none"/>
                <w:lang w:val="en-US"/>
              </w:rPr>
              <w:t>，</w:t>
            </w:r>
            <w:r>
              <w:rPr>
                <w:rFonts w:ascii="Times New Roman" w:hAnsi="Times New Roman"/>
                <w:highlight w:val="none"/>
                <w:lang w:val="en-US"/>
              </w:rPr>
              <w:t>应当要求其在评标现场合理时间内提供书面说明</w:t>
            </w:r>
            <w:r>
              <w:rPr>
                <w:highlight w:val="none"/>
                <w:lang w:val="en-US"/>
              </w:rPr>
              <w:t>，</w:t>
            </w:r>
            <w:r>
              <w:rPr>
                <w:rFonts w:ascii="Times New Roman" w:hAnsi="Times New Roman"/>
                <w:highlight w:val="none"/>
                <w:lang w:val="en-US"/>
              </w:rPr>
              <w:t>必要时提交相关证明材料；投标人不能证明其报价合理性的</w:t>
            </w:r>
            <w:r>
              <w:rPr>
                <w:highlight w:val="none"/>
                <w:lang w:val="en-US"/>
              </w:rPr>
              <w:t>，</w:t>
            </w:r>
            <w:r>
              <w:rPr>
                <w:rFonts w:ascii="Times New Roman" w:hAnsi="Times New Roman"/>
                <w:highlight w:val="none"/>
                <w:lang w:val="en-US"/>
              </w:rPr>
              <w:t>评标委员会应当将其作为无效投标处理。</w:t>
            </w:r>
            <w:r>
              <w:rPr>
                <w:rFonts w:hint="eastAsia" w:cs="宋体"/>
                <w:highlight w:val="none"/>
                <w:lang w:val="en-US"/>
              </w:rPr>
              <w:t>”</w:t>
            </w:r>
          </w:p>
          <w:p>
            <w:pPr>
              <w:pStyle w:val="249"/>
              <w:numPr>
                <w:ilvl w:val="0"/>
                <w:numId w:val="30"/>
              </w:numPr>
              <w:ind w:firstLine="0" w:firstLineChars="0"/>
              <w:jc w:val="left"/>
              <w:rPr>
                <w:rFonts w:ascii="Times New Roman" w:hAnsi="Times New Roman"/>
                <w:highlight w:val="none"/>
                <w:lang w:val="en-US"/>
              </w:rPr>
            </w:pPr>
            <w:r>
              <w:rPr>
                <w:rFonts w:hint="eastAsia" w:ascii="Times New Roman" w:hAnsi="Times New Roman"/>
                <w:highlight w:val="none"/>
                <w:lang w:val="en-US"/>
              </w:rPr>
              <w:t>采购人提出的所有要求以投标人实际响应为准。</w:t>
            </w:r>
          </w:p>
          <w:p>
            <w:pPr>
              <w:pStyle w:val="249"/>
              <w:numPr>
                <w:ilvl w:val="0"/>
                <w:numId w:val="30"/>
              </w:numPr>
              <w:ind w:firstLine="0" w:firstLineChars="0"/>
              <w:jc w:val="left"/>
              <w:rPr>
                <w:rFonts w:ascii="Times New Roman" w:hAnsi="Times New Roman"/>
                <w:highlight w:val="none"/>
                <w:lang w:val="en-US"/>
              </w:rPr>
            </w:pPr>
            <w:r>
              <w:rPr>
                <w:rFonts w:hint="eastAsia" w:ascii="Times New Roman" w:hAnsi="Times New Roman"/>
                <w:b/>
                <w:highlight w:val="none"/>
                <w:lang w:val="en-US"/>
              </w:rPr>
              <w:t>投标文件中若有虚假材料，将按照政府采购相关规定予以处罚。</w:t>
            </w:r>
          </w:p>
        </w:tc>
      </w:tr>
    </w:tbl>
    <w:p>
      <w:pPr>
        <w:pStyle w:val="249"/>
        <w:spacing w:line="320" w:lineRule="exact"/>
        <w:ind w:firstLine="0" w:firstLineChars="0"/>
        <w:rPr>
          <w:rFonts w:ascii="Times New Roman" w:hAnsi="Times New Roman"/>
        </w:rPr>
      </w:pPr>
      <w:r>
        <w:rPr>
          <w:rFonts w:ascii="Times New Roman" w:hAnsi="Times New Roman"/>
        </w:rPr>
        <w:t>注：</w:t>
      </w:r>
      <w:r>
        <w:rPr>
          <w:rFonts w:ascii="Times New Roman" w:hAnsi="Times New Roman" w:eastAsia="Times New Roman"/>
        </w:rPr>
        <w:t>1</w:t>
      </w:r>
      <w:r>
        <w:rPr>
          <w:rFonts w:ascii="Times New Roman" w:hAnsi="Times New Roman"/>
        </w:rPr>
        <w:t>. 上表中加</w:t>
      </w:r>
      <w:r>
        <w:rPr>
          <w:rFonts w:hint="eastAsia" w:ascii="Times New Roman" w:hAnsi="Times New Roman"/>
        </w:rPr>
        <w:t>“*”</w:t>
      </w:r>
      <w:r>
        <w:rPr>
          <w:rFonts w:ascii="Times New Roman" w:hAnsi="Times New Roman"/>
        </w:rPr>
        <w:t>项目若有缺失或无效</w:t>
      </w:r>
      <w:r>
        <w:t>，</w:t>
      </w:r>
      <w:r>
        <w:rPr>
          <w:rFonts w:ascii="Times New Roman" w:hAnsi="Times New Roman"/>
        </w:rPr>
        <w:t>投标将被</w:t>
      </w:r>
      <w:r>
        <w:rPr>
          <w:rFonts w:ascii="Times New Roman" w:hAnsi="Times New Roman"/>
          <w:b/>
          <w:bCs/>
        </w:rPr>
        <w:t>拒绝或投标无效</w:t>
      </w:r>
      <w:r>
        <w:rPr>
          <w:rFonts w:ascii="Times New Roman" w:hAnsi="Times New Roman"/>
        </w:rPr>
        <w:t>且不允许在开标后补正；</w:t>
      </w:r>
    </w:p>
    <w:p>
      <w:pPr>
        <w:pStyle w:val="249"/>
        <w:spacing w:line="320" w:lineRule="exact"/>
        <w:rPr>
          <w:rFonts w:ascii="Times New Roman" w:hAnsi="Times New Roman"/>
        </w:rPr>
      </w:pPr>
      <w:r>
        <w:rPr>
          <w:rFonts w:ascii="Times New Roman" w:hAnsi="Times New Roman" w:eastAsia="Times New Roman"/>
        </w:rPr>
        <w:t>2</w:t>
      </w:r>
      <w:r>
        <w:rPr>
          <w:rFonts w:ascii="Times New Roman" w:hAnsi="Times New Roman"/>
        </w:rPr>
        <w:t xml:space="preserve">. </w:t>
      </w:r>
      <w:r>
        <w:rPr>
          <w:rFonts w:ascii="Times New Roman" w:hAnsi="Times New Roman"/>
          <w:b/>
          <w:bCs/>
        </w:rPr>
        <w:t>投标人须知前附表</w:t>
      </w:r>
      <w:r>
        <w:rPr>
          <w:rFonts w:ascii="Times New Roman" w:hAnsi="Times New Roman"/>
        </w:rPr>
        <w:t>内容如与招标文件其他部分不一致</w:t>
      </w:r>
      <w:r>
        <w:t>，</w:t>
      </w:r>
      <w:r>
        <w:rPr>
          <w:rFonts w:ascii="Times New Roman" w:hAnsi="Times New Roman"/>
        </w:rPr>
        <w:t>以</w:t>
      </w:r>
      <w:r>
        <w:rPr>
          <w:rFonts w:ascii="Times New Roman" w:hAnsi="Times New Roman"/>
          <w:b/>
          <w:bCs/>
        </w:rPr>
        <w:t>投标人须知前附表</w:t>
      </w:r>
      <w:r>
        <w:rPr>
          <w:rFonts w:ascii="Times New Roman" w:hAnsi="Times New Roman"/>
        </w:rPr>
        <w:t>为准。</w:t>
      </w:r>
      <w:bookmarkEnd w:id="14"/>
    </w:p>
    <w:p>
      <w:pPr>
        <w:pStyle w:val="249"/>
        <w:spacing w:line="320" w:lineRule="exact"/>
        <w:sectPr>
          <w:headerReference r:id="rId8" w:type="default"/>
          <w:footerReference r:id="rId9" w:type="default"/>
          <w:type w:val="continuous"/>
          <w:pgSz w:w="11907" w:h="16839"/>
          <w:pgMar w:top="1928" w:right="1531" w:bottom="1871" w:left="1531" w:header="1145" w:footer="709" w:gutter="0"/>
          <w:cols w:space="720" w:num="1"/>
          <w:docGrid w:linePitch="360" w:charSpace="0"/>
        </w:sectPr>
      </w:pPr>
      <w:r>
        <w:rPr>
          <w:rFonts w:hint="eastAsia" w:ascii="Times New Roman" w:hAnsi="Times New Roman" w:eastAsia="Times New Roman"/>
          <w:lang w:val="en-US"/>
        </w:rPr>
        <w:t>3</w:t>
      </w:r>
      <w:r>
        <w:rPr>
          <w:rFonts w:hint="eastAsia" w:ascii="Times New Roman" w:hAnsi="Times New Roman"/>
        </w:rPr>
        <w:t xml:space="preserve">. </w:t>
      </w:r>
      <w:r>
        <w:rPr>
          <w:rFonts w:hint="eastAsia" w:ascii="Times New Roman" w:hAnsi="Times New Roman"/>
          <w:b/>
          <w:bCs/>
        </w:rPr>
        <w:t>投标人必须保证投标文件所提供的全部资料真实可靠</w:t>
      </w:r>
      <w:r>
        <w:rPr>
          <w:rFonts w:hint="eastAsia"/>
          <w:b/>
          <w:bCs/>
        </w:rPr>
        <w:t>，</w:t>
      </w:r>
      <w:r>
        <w:rPr>
          <w:rFonts w:hint="eastAsia" w:ascii="Times New Roman" w:hAnsi="Times New Roman"/>
          <w:b/>
          <w:bCs/>
        </w:rPr>
        <w:t>并接受评标委员会对其中任何资料进一步原件审查的要求。</w:t>
      </w:r>
      <w:bookmarkStart w:id="23" w:name="_Toc13528"/>
      <w:bookmarkStart w:id="24" w:name="_Toc10192"/>
      <w:bookmarkStart w:id="25" w:name="_Toc8668"/>
      <w:bookmarkStart w:id="26" w:name="_Toc27521"/>
      <w:bookmarkStart w:id="27" w:name="_Toc16531332"/>
      <w:bookmarkStart w:id="28" w:name="_Toc12368"/>
      <w:bookmarkStart w:id="29" w:name="_Toc48309450"/>
      <w:bookmarkStart w:id="30" w:name="_Toc16531106"/>
    </w:p>
    <w:bookmarkEnd w:id="23"/>
    <w:bookmarkEnd w:id="24"/>
    <w:bookmarkEnd w:id="25"/>
    <w:bookmarkEnd w:id="26"/>
    <w:bookmarkEnd w:id="27"/>
    <w:bookmarkEnd w:id="28"/>
    <w:bookmarkEnd w:id="29"/>
    <w:bookmarkEnd w:id="30"/>
    <w:p>
      <w:pPr>
        <w:pStyle w:val="2"/>
        <w:rPr>
          <w:color w:val="auto"/>
        </w:rPr>
      </w:pPr>
      <w:bookmarkStart w:id="31" w:name="_Toc25767"/>
      <w:bookmarkStart w:id="32" w:name="_Toc5619"/>
      <w:bookmarkStart w:id="33" w:name="_Toc28124"/>
      <w:bookmarkStart w:id="34" w:name="_Toc25775"/>
      <w:bookmarkStart w:id="35" w:name="_Toc31928"/>
      <w:bookmarkStart w:id="36" w:name="_Toc19347"/>
      <w:bookmarkStart w:id="37" w:name="_Toc26892"/>
      <w:bookmarkStart w:id="38" w:name="_Toc16531373"/>
      <w:bookmarkStart w:id="39" w:name="_Toc6116"/>
      <w:bookmarkStart w:id="40" w:name="_Toc16531147"/>
      <w:bookmarkStart w:id="41" w:name="_Toc16838"/>
      <w:bookmarkStart w:id="42" w:name="_Toc3388"/>
      <w:r>
        <w:rPr>
          <w:color w:val="auto"/>
        </w:rPr>
        <w:t>投标人须知</w:t>
      </w:r>
      <w:bookmarkEnd w:id="31"/>
      <w:bookmarkEnd w:id="32"/>
      <w:bookmarkEnd w:id="33"/>
    </w:p>
    <w:p>
      <w:pPr>
        <w:widowControl w:val="0"/>
        <w:numPr>
          <w:ilvl w:val="1"/>
          <w:numId w:val="11"/>
        </w:numPr>
        <w:tabs>
          <w:tab w:val="left" w:pos="0"/>
        </w:tabs>
        <w:snapToGrid w:val="0"/>
        <w:spacing w:before="120" w:beforeLines="50" w:after="120" w:line="360" w:lineRule="auto"/>
        <w:ind w:left="0" w:firstLine="0"/>
        <w:outlineLvl w:val="1"/>
        <w:rPr>
          <w:rFonts w:ascii="Times New Roman" w:hAnsi="Times New Roman" w:eastAsia="黑体"/>
          <w:sz w:val="32"/>
          <w:szCs w:val="21"/>
        </w:rPr>
      </w:pPr>
      <w:bookmarkStart w:id="43" w:name="_Toc29469"/>
      <w:bookmarkStart w:id="44" w:name="_Toc28116"/>
      <w:bookmarkStart w:id="45" w:name="_Toc372"/>
      <w:r>
        <w:rPr>
          <w:rFonts w:ascii="Times New Roman" w:hAnsi="Times New Roman" w:eastAsia="黑体"/>
          <w:sz w:val="32"/>
          <w:szCs w:val="21"/>
        </w:rPr>
        <w:t>总则</w:t>
      </w:r>
      <w:bookmarkEnd w:id="43"/>
      <w:bookmarkEnd w:id="44"/>
      <w:bookmarkEnd w:id="45"/>
    </w:p>
    <w:p>
      <w:pPr>
        <w:widowControl w:val="0"/>
        <w:numPr>
          <w:ilvl w:val="2"/>
          <w:numId w:val="11"/>
        </w:numPr>
        <w:tabs>
          <w:tab w:val="left" w:pos="0"/>
        </w:tabs>
        <w:spacing w:before="120" w:beforeLines="50" w:line="360" w:lineRule="auto"/>
        <w:jc w:val="both"/>
        <w:outlineLvl w:val="2"/>
        <w:rPr>
          <w:rFonts w:ascii="Times New Roman" w:hAnsi="Times New Roman" w:eastAsia="黑体"/>
          <w:bCs/>
          <w:sz w:val="24"/>
          <w:szCs w:val="24"/>
        </w:rPr>
      </w:pPr>
      <w:r>
        <w:rPr>
          <w:rFonts w:ascii="Times New Roman" w:hAnsi="Times New Roman" w:eastAsia="黑体"/>
          <w:bCs/>
          <w:sz w:val="24"/>
          <w:szCs w:val="24"/>
        </w:rPr>
        <w:t>基本要求</w:t>
      </w:r>
    </w:p>
    <w:p>
      <w:pPr>
        <w:widowControl w:val="0"/>
        <w:numPr>
          <w:ilvl w:val="3"/>
          <w:numId w:val="11"/>
        </w:numPr>
        <w:tabs>
          <w:tab w:val="left" w:pos="360"/>
        </w:tabs>
        <w:outlineLvl w:val="3"/>
        <w:rPr>
          <w:rFonts w:ascii="Times New Roman" w:hAnsi="Times New Roman" w:eastAsia="宋体"/>
          <w:bCs/>
          <w:iCs/>
        </w:rPr>
      </w:pPr>
      <w:r>
        <w:rPr>
          <w:rFonts w:ascii="Times New Roman" w:hAnsi="Times New Roman" w:eastAsia="宋体"/>
          <w:bCs/>
          <w:iCs/>
        </w:rPr>
        <w:t>本招标文件适用于本文件第五部分中所述货物及相关服务的招标投标。</w:t>
      </w:r>
    </w:p>
    <w:p>
      <w:pPr>
        <w:widowControl w:val="0"/>
        <w:numPr>
          <w:ilvl w:val="3"/>
          <w:numId w:val="11"/>
        </w:numPr>
        <w:tabs>
          <w:tab w:val="left" w:pos="360"/>
        </w:tabs>
        <w:outlineLvl w:val="3"/>
        <w:rPr>
          <w:rFonts w:ascii="Times New Roman" w:hAnsi="Times New Roman" w:eastAsia="宋体"/>
          <w:bCs/>
          <w:iCs/>
        </w:rPr>
      </w:pPr>
      <w:r>
        <w:rPr>
          <w:rFonts w:ascii="Times New Roman" w:hAnsi="Times New Roman" w:eastAsia="宋体"/>
          <w:bCs/>
          <w:iCs/>
        </w:rPr>
        <w:t>投标人若存在任何理解上无法确定之处，均应当按照招标文件所规定的澄清等程序提出，否则，可能导致的任何不利后果均应当由投标人自行承担。</w:t>
      </w:r>
    </w:p>
    <w:p>
      <w:pPr>
        <w:widowControl w:val="0"/>
        <w:numPr>
          <w:ilvl w:val="2"/>
          <w:numId w:val="11"/>
        </w:numPr>
        <w:tabs>
          <w:tab w:val="left" w:pos="0"/>
        </w:tabs>
        <w:spacing w:before="120" w:beforeLines="50" w:line="360" w:lineRule="auto"/>
        <w:jc w:val="both"/>
        <w:outlineLvl w:val="2"/>
        <w:rPr>
          <w:rFonts w:ascii="Times New Roman" w:hAnsi="Times New Roman" w:eastAsia="黑体"/>
          <w:bCs/>
          <w:sz w:val="24"/>
          <w:szCs w:val="24"/>
        </w:rPr>
      </w:pPr>
      <w:r>
        <w:rPr>
          <w:rFonts w:ascii="Times New Roman" w:hAnsi="Times New Roman" w:eastAsia="黑体"/>
          <w:bCs/>
          <w:sz w:val="24"/>
          <w:szCs w:val="24"/>
        </w:rPr>
        <w:t>定义</w:t>
      </w:r>
    </w:p>
    <w:p>
      <w:pPr>
        <w:widowControl w:val="0"/>
        <w:numPr>
          <w:ilvl w:val="3"/>
          <w:numId w:val="11"/>
        </w:numPr>
        <w:tabs>
          <w:tab w:val="left" w:pos="360"/>
        </w:tabs>
        <w:outlineLvl w:val="3"/>
        <w:rPr>
          <w:rFonts w:ascii="Times New Roman" w:hAnsi="Times New Roman" w:eastAsia="宋体"/>
          <w:bCs/>
          <w:iCs/>
        </w:rPr>
      </w:pPr>
      <w:r>
        <w:rPr>
          <w:rFonts w:ascii="Times New Roman" w:hAnsi="Times New Roman" w:eastAsia="宋体"/>
          <w:bCs/>
          <w:iCs/>
        </w:rPr>
        <w:t>“采购人”指本项目的具体采购单位，名称详见投标人须知前附表第1条。</w:t>
      </w:r>
    </w:p>
    <w:p>
      <w:pPr>
        <w:widowControl w:val="0"/>
        <w:numPr>
          <w:ilvl w:val="3"/>
          <w:numId w:val="11"/>
        </w:numPr>
        <w:tabs>
          <w:tab w:val="left" w:pos="360"/>
        </w:tabs>
        <w:outlineLvl w:val="3"/>
        <w:rPr>
          <w:rFonts w:ascii="Times New Roman" w:hAnsi="Times New Roman" w:eastAsia="宋体"/>
          <w:bCs/>
          <w:iCs/>
        </w:rPr>
      </w:pPr>
      <w:r>
        <w:rPr>
          <w:rFonts w:ascii="Times New Roman" w:hAnsi="Times New Roman" w:eastAsia="宋体"/>
          <w:bCs/>
          <w:iCs/>
        </w:rPr>
        <w:t>“招标货物”指本招标文件中第五部分所述所有货物及实现货物功能价值所必须的配套技术和服务。</w:t>
      </w:r>
    </w:p>
    <w:p>
      <w:pPr>
        <w:widowControl w:val="0"/>
        <w:numPr>
          <w:ilvl w:val="3"/>
          <w:numId w:val="11"/>
        </w:numPr>
        <w:tabs>
          <w:tab w:val="left" w:pos="360"/>
        </w:tabs>
        <w:outlineLvl w:val="3"/>
        <w:rPr>
          <w:rFonts w:ascii="Times New Roman" w:hAnsi="Times New Roman" w:eastAsia="宋体"/>
          <w:bCs/>
          <w:iCs/>
        </w:rPr>
      </w:pPr>
      <w:r>
        <w:rPr>
          <w:rFonts w:ascii="Times New Roman" w:hAnsi="Times New Roman" w:eastAsia="宋体"/>
          <w:bCs/>
          <w:iCs/>
        </w:rPr>
        <w:t>“服务”指本招标文件第五部分所述投标人应该履行的承诺和义务。</w:t>
      </w:r>
    </w:p>
    <w:p>
      <w:pPr>
        <w:widowControl w:val="0"/>
        <w:numPr>
          <w:ilvl w:val="3"/>
          <w:numId w:val="11"/>
        </w:numPr>
        <w:tabs>
          <w:tab w:val="left" w:pos="360"/>
        </w:tabs>
        <w:outlineLvl w:val="3"/>
        <w:rPr>
          <w:rFonts w:ascii="Times New Roman" w:hAnsi="Times New Roman" w:eastAsia="宋体"/>
          <w:bCs/>
          <w:iCs/>
        </w:rPr>
      </w:pPr>
      <w:r>
        <w:rPr>
          <w:rFonts w:ascii="Times New Roman" w:hAnsi="Times New Roman" w:eastAsia="宋体"/>
          <w:bCs/>
          <w:iCs/>
        </w:rPr>
        <w:t>“投标人”指符合本招标文件规定并参加投标的供应商。</w:t>
      </w:r>
    </w:p>
    <w:p>
      <w:pPr>
        <w:widowControl w:val="0"/>
        <w:numPr>
          <w:ilvl w:val="3"/>
          <w:numId w:val="11"/>
        </w:numPr>
        <w:tabs>
          <w:tab w:val="left" w:pos="360"/>
        </w:tabs>
        <w:outlineLvl w:val="3"/>
        <w:rPr>
          <w:rFonts w:ascii="Times New Roman" w:hAnsi="Times New Roman" w:eastAsia="宋体"/>
          <w:bCs/>
          <w:iCs/>
        </w:rPr>
      </w:pPr>
      <w:r>
        <w:rPr>
          <w:rFonts w:ascii="Times New Roman" w:hAnsi="Times New Roman" w:eastAsia="宋体"/>
          <w:bCs/>
          <w:iCs/>
        </w:rPr>
        <w:t>“潜在投标人”指符合本招标文件各项规定的合格供应商。</w:t>
      </w:r>
    </w:p>
    <w:p>
      <w:pPr>
        <w:widowControl w:val="0"/>
        <w:numPr>
          <w:ilvl w:val="3"/>
          <w:numId w:val="11"/>
        </w:numPr>
        <w:tabs>
          <w:tab w:val="left" w:pos="360"/>
        </w:tabs>
        <w:outlineLvl w:val="3"/>
        <w:rPr>
          <w:rFonts w:ascii="Times New Roman" w:hAnsi="Times New Roman" w:eastAsia="宋体"/>
          <w:bCs/>
          <w:iCs/>
        </w:rPr>
      </w:pPr>
      <w:r>
        <w:rPr>
          <w:rFonts w:ascii="Times New Roman" w:hAnsi="Times New Roman" w:eastAsia="宋体"/>
          <w:bCs/>
          <w:iCs/>
        </w:rPr>
        <w:t>本招标文件规定按日计算期间的，开始当天不计入，从次日开始计算。期限的最后一日是国家法定节假日的，顺延到节假日后的次日为期限的最后一日。</w:t>
      </w:r>
    </w:p>
    <w:p>
      <w:pPr>
        <w:widowControl w:val="0"/>
        <w:numPr>
          <w:ilvl w:val="2"/>
          <w:numId w:val="11"/>
        </w:numPr>
        <w:tabs>
          <w:tab w:val="left" w:pos="0"/>
        </w:tabs>
        <w:spacing w:before="120" w:beforeLines="50" w:line="360" w:lineRule="auto"/>
        <w:jc w:val="both"/>
        <w:outlineLvl w:val="2"/>
        <w:rPr>
          <w:rFonts w:ascii="Times New Roman" w:hAnsi="Times New Roman" w:eastAsia="黑体"/>
          <w:bCs/>
          <w:sz w:val="24"/>
          <w:szCs w:val="24"/>
        </w:rPr>
      </w:pPr>
      <w:r>
        <w:rPr>
          <w:rFonts w:ascii="Times New Roman" w:hAnsi="Times New Roman" w:eastAsia="黑体"/>
          <w:bCs/>
          <w:sz w:val="24"/>
          <w:szCs w:val="24"/>
        </w:rPr>
        <w:t>合格投标人的条件</w:t>
      </w:r>
    </w:p>
    <w:p>
      <w:pPr>
        <w:widowControl w:val="0"/>
        <w:numPr>
          <w:ilvl w:val="3"/>
          <w:numId w:val="11"/>
        </w:numPr>
        <w:tabs>
          <w:tab w:val="left" w:pos="360"/>
        </w:tabs>
        <w:outlineLvl w:val="3"/>
        <w:rPr>
          <w:rFonts w:ascii="Times New Roman" w:hAnsi="Times New Roman" w:eastAsia="宋体"/>
          <w:bCs/>
          <w:iCs/>
        </w:rPr>
      </w:pPr>
      <w:r>
        <w:rPr>
          <w:rFonts w:ascii="Times New Roman" w:hAnsi="Times New Roman" w:eastAsia="宋体"/>
          <w:bCs/>
          <w:iCs/>
        </w:rPr>
        <w:t>具有本项目实施能力，符合、承认并承诺履行本招标文件各项规定的国内供应商均可参加投标。</w:t>
      </w:r>
    </w:p>
    <w:p>
      <w:pPr>
        <w:widowControl w:val="0"/>
        <w:numPr>
          <w:ilvl w:val="3"/>
          <w:numId w:val="11"/>
        </w:numPr>
        <w:tabs>
          <w:tab w:val="left" w:pos="360"/>
        </w:tabs>
        <w:outlineLvl w:val="3"/>
        <w:rPr>
          <w:rFonts w:ascii="Times New Roman" w:hAnsi="Times New Roman" w:eastAsia="宋体"/>
          <w:bCs/>
          <w:iCs/>
        </w:rPr>
      </w:pPr>
      <w:r>
        <w:rPr>
          <w:rFonts w:ascii="Times New Roman" w:hAnsi="Times New Roman" w:eastAsia="宋体"/>
          <w:bCs/>
          <w:iCs/>
        </w:rPr>
        <w:t>投标人应符合《中华人民共和国政府采购法》规定的条件：</w:t>
      </w:r>
    </w:p>
    <w:p>
      <w:pPr>
        <w:widowControl w:val="0"/>
        <w:numPr>
          <w:ilvl w:val="3"/>
          <w:numId w:val="11"/>
        </w:numPr>
        <w:tabs>
          <w:tab w:val="left" w:pos="360"/>
        </w:tabs>
        <w:outlineLvl w:val="3"/>
        <w:rPr>
          <w:rFonts w:ascii="Times New Roman" w:hAnsi="Times New Roman" w:eastAsia="宋体"/>
          <w:bCs/>
          <w:iCs/>
        </w:rPr>
      </w:pPr>
      <w:r>
        <w:rPr>
          <w:rFonts w:ascii="Times New Roman" w:hAnsi="Times New Roman" w:eastAsia="宋体"/>
          <w:bCs/>
          <w:iCs/>
        </w:rPr>
        <w:t>单位负责人为同一人或者存在直接控股、管理关系的不同供应商，不得参加同一合同项下的政府采购活动。</w:t>
      </w:r>
    </w:p>
    <w:p>
      <w:pPr>
        <w:widowControl w:val="0"/>
        <w:numPr>
          <w:ilvl w:val="3"/>
          <w:numId w:val="11"/>
        </w:numPr>
        <w:tabs>
          <w:tab w:val="left" w:pos="360"/>
        </w:tabs>
        <w:outlineLvl w:val="3"/>
        <w:rPr>
          <w:rFonts w:ascii="Times New Roman" w:hAnsi="Times New Roman" w:eastAsia="宋体"/>
          <w:bCs/>
          <w:iCs/>
        </w:rPr>
      </w:pPr>
      <w:r>
        <w:rPr>
          <w:rFonts w:ascii="Times New Roman" w:hAnsi="Times New Roman" w:eastAsia="宋体"/>
          <w:bCs/>
          <w:iCs/>
        </w:rPr>
        <w:t>为本项目提供整体设计、规范编制或者项目管理、监理、检测等服务的供应商，不得再参加本项目的其他采购活动。</w:t>
      </w:r>
    </w:p>
    <w:p>
      <w:pPr>
        <w:widowControl w:val="0"/>
        <w:numPr>
          <w:ilvl w:val="3"/>
          <w:numId w:val="11"/>
        </w:numPr>
        <w:tabs>
          <w:tab w:val="left" w:pos="360"/>
        </w:tabs>
        <w:outlineLvl w:val="3"/>
        <w:rPr>
          <w:rFonts w:ascii="Times New Roman" w:hAnsi="Times New Roman" w:eastAsia="宋体"/>
          <w:bCs/>
          <w:iCs/>
        </w:rPr>
      </w:pPr>
      <w:r>
        <w:rPr>
          <w:rFonts w:ascii="Times New Roman" w:hAnsi="Times New Roman" w:eastAsia="宋体"/>
          <w:bCs/>
          <w:iCs/>
        </w:rPr>
        <w:t>本次招标</w:t>
      </w:r>
      <w:r>
        <w:rPr>
          <w:rFonts w:hint="eastAsia" w:ascii="Times New Roman" w:hAnsi="Times New Roman" w:eastAsia="宋体"/>
          <w:bCs/>
          <w:iCs/>
        </w:rPr>
        <w:t>是否</w:t>
      </w:r>
      <w:r>
        <w:rPr>
          <w:rFonts w:ascii="Times New Roman" w:hAnsi="Times New Roman" w:eastAsia="宋体"/>
          <w:bCs/>
          <w:iCs/>
        </w:rPr>
        <w:t>允许两个（含）以上投标人组成一个联合体以一个投标人身份共同投标</w:t>
      </w:r>
      <w:r>
        <w:rPr>
          <w:rFonts w:hint="eastAsia" w:ascii="Times New Roman" w:hAnsi="Times New Roman" w:eastAsia="宋体"/>
          <w:bCs/>
          <w:iCs/>
        </w:rPr>
        <w:t>，</w:t>
      </w:r>
      <w:r>
        <w:rPr>
          <w:rFonts w:ascii="Times New Roman" w:hAnsi="Times New Roman" w:eastAsia="宋体"/>
          <w:bCs/>
          <w:iCs/>
        </w:rPr>
        <w:t>详见投标人须知前附表</w:t>
      </w:r>
      <w:r>
        <w:rPr>
          <w:rFonts w:hint="eastAsia" w:ascii="Times New Roman" w:hAnsi="Times New Roman" w:eastAsia="宋体"/>
          <w:bCs/>
          <w:iCs/>
        </w:rPr>
        <w:t>要求。如果允许</w:t>
      </w:r>
      <w:r>
        <w:rPr>
          <w:rFonts w:ascii="Times New Roman" w:hAnsi="Times New Roman" w:eastAsia="宋体"/>
          <w:bCs/>
          <w:iCs/>
        </w:rPr>
        <w:t>联合体投标</w:t>
      </w:r>
      <w:r>
        <w:rPr>
          <w:rFonts w:hint="eastAsia" w:ascii="Times New Roman" w:hAnsi="Times New Roman" w:eastAsia="宋体"/>
          <w:bCs/>
          <w:iCs/>
        </w:rPr>
        <w:t>，</w:t>
      </w:r>
      <w:r>
        <w:rPr>
          <w:rFonts w:ascii="Times New Roman" w:hAnsi="Times New Roman" w:eastAsia="宋体"/>
          <w:bCs/>
          <w:iCs/>
        </w:rPr>
        <w:t>联合体各方应符合下列要求：</w:t>
      </w:r>
    </w:p>
    <w:p>
      <w:pPr>
        <w:widowControl w:val="0"/>
        <w:numPr>
          <w:ilvl w:val="4"/>
          <w:numId w:val="11"/>
        </w:numPr>
        <w:ind w:left="850" w:hanging="850"/>
        <w:outlineLvl w:val="4"/>
        <w:rPr>
          <w:rFonts w:ascii="Times New Roman" w:hAnsi="Times New Roman" w:eastAsia="宋体"/>
          <w:bCs/>
          <w:szCs w:val="28"/>
        </w:rPr>
      </w:pPr>
      <w:r>
        <w:rPr>
          <w:rFonts w:ascii="Times New Roman" w:hAnsi="Times New Roman" w:eastAsia="宋体"/>
          <w:bCs/>
          <w:szCs w:val="28"/>
        </w:rPr>
        <w:t>以联合体形式参加投标的，联合体各方均应当符合政府采购法第二十二条规定的条件，并按照投标人须知前附表要求提交相关文件。采购人根据采购项目的特殊要求规定投标人特定条件的，联合体各方中至少应当有一方符合采购人规定的特定条件。</w:t>
      </w:r>
    </w:p>
    <w:p>
      <w:pPr>
        <w:widowControl w:val="0"/>
        <w:numPr>
          <w:ilvl w:val="4"/>
          <w:numId w:val="11"/>
        </w:numPr>
        <w:ind w:left="850" w:hanging="850"/>
        <w:outlineLvl w:val="4"/>
        <w:rPr>
          <w:rFonts w:ascii="Times New Roman" w:hAnsi="Times New Roman" w:eastAsia="宋体"/>
          <w:bCs/>
          <w:szCs w:val="28"/>
        </w:rPr>
      </w:pPr>
      <w:r>
        <w:rPr>
          <w:rFonts w:ascii="Times New Roman" w:hAnsi="Times New Roman" w:eastAsia="宋体"/>
          <w:bCs/>
          <w:szCs w:val="28"/>
        </w:rPr>
        <w:t>联合体中有同类资质的供应商按照联合体分工承担相同工作的，应当按照资质等级较低的供应商确定资质等级。</w:t>
      </w:r>
    </w:p>
    <w:p>
      <w:pPr>
        <w:widowControl w:val="0"/>
        <w:numPr>
          <w:ilvl w:val="4"/>
          <w:numId w:val="11"/>
        </w:numPr>
        <w:ind w:left="850" w:hanging="850"/>
        <w:outlineLvl w:val="4"/>
        <w:rPr>
          <w:rFonts w:ascii="Times New Roman" w:hAnsi="Times New Roman" w:eastAsia="宋体"/>
          <w:bCs/>
          <w:szCs w:val="28"/>
        </w:rPr>
      </w:pPr>
      <w:r>
        <w:rPr>
          <w:rFonts w:ascii="Times New Roman" w:hAnsi="Times New Roman" w:eastAsia="宋体"/>
          <w:bCs/>
          <w:szCs w:val="28"/>
        </w:rPr>
        <w:t>以联合体形式参加政府采购活动的，联合体各方不得再单独参加或者与其他供应商另外组成联合体参加同一合同项下的政府采购活动。若该等情形被发现，其单独的投标和与此有关的联合体的投标均将被拒绝。</w:t>
      </w:r>
    </w:p>
    <w:p>
      <w:pPr>
        <w:widowControl w:val="0"/>
        <w:numPr>
          <w:ilvl w:val="4"/>
          <w:numId w:val="11"/>
        </w:numPr>
        <w:ind w:left="850" w:hanging="850"/>
        <w:outlineLvl w:val="4"/>
        <w:rPr>
          <w:rFonts w:ascii="Times New Roman" w:hAnsi="Times New Roman" w:eastAsia="宋体"/>
          <w:bCs/>
          <w:szCs w:val="28"/>
        </w:rPr>
      </w:pPr>
      <w:r>
        <w:rPr>
          <w:rFonts w:ascii="Times New Roman" w:hAnsi="Times New Roman" w:eastAsia="宋体"/>
          <w:bCs/>
          <w:szCs w:val="28"/>
        </w:rPr>
        <w:t>联合体必须确定其中一方为投标的全权代表参加投标活动，并承担投标及履约活动中的全部责任与义务，且联合体各方无论是否实际参加、发生的情形怎样，一旦该联合体实际开始投标，联合体各方均应当就本次采购所引起或相关的任何或所有事项、义务、责任、损失等承担连带责任。</w:t>
      </w:r>
    </w:p>
    <w:p>
      <w:pPr>
        <w:widowControl w:val="0"/>
        <w:numPr>
          <w:ilvl w:val="3"/>
          <w:numId w:val="11"/>
        </w:numPr>
        <w:tabs>
          <w:tab w:val="left" w:pos="360"/>
        </w:tabs>
        <w:outlineLvl w:val="3"/>
        <w:rPr>
          <w:rFonts w:ascii="Times New Roman" w:hAnsi="Times New Roman" w:eastAsia="宋体"/>
          <w:bCs/>
          <w:iCs/>
        </w:rPr>
      </w:pPr>
      <w:r>
        <w:rPr>
          <w:rFonts w:ascii="Times New Roman" w:hAnsi="Times New Roman" w:eastAsia="宋体"/>
          <w:bCs/>
          <w:iCs/>
        </w:rPr>
        <w:t>联合体中标后，合同应由各成员的合法授权代表签字并加盖各成员公章，以便对联合体成员作为整体和他们各自作为独立体均具有法律约束力，但若该等签字或公章不齐全或缺乏，该联合体的全权代表方的签署或类似的意思表示具有代表该联合体的签署或意思表示的法律效力，并且据此各成员为履行合同应向警采中心与采购人承担连带责任。</w:t>
      </w:r>
    </w:p>
    <w:p>
      <w:pPr>
        <w:widowControl w:val="0"/>
        <w:numPr>
          <w:ilvl w:val="3"/>
          <w:numId w:val="11"/>
        </w:numPr>
        <w:tabs>
          <w:tab w:val="left" w:pos="360"/>
        </w:tabs>
        <w:outlineLvl w:val="3"/>
        <w:rPr>
          <w:rFonts w:ascii="Times New Roman" w:hAnsi="Times New Roman" w:eastAsia="宋体"/>
          <w:bCs/>
          <w:iCs/>
        </w:rPr>
      </w:pPr>
      <w:r>
        <w:rPr>
          <w:rFonts w:ascii="Times New Roman" w:hAnsi="Times New Roman" w:eastAsia="宋体"/>
          <w:bCs/>
          <w:iCs/>
        </w:rPr>
        <w:t>投标人应按照招标公告规定的方式获取招标文件。</w:t>
      </w:r>
    </w:p>
    <w:p>
      <w:pPr>
        <w:widowControl w:val="0"/>
        <w:numPr>
          <w:ilvl w:val="2"/>
          <w:numId w:val="11"/>
        </w:numPr>
        <w:tabs>
          <w:tab w:val="left" w:pos="0"/>
        </w:tabs>
        <w:spacing w:before="120" w:beforeLines="50" w:line="360" w:lineRule="auto"/>
        <w:jc w:val="both"/>
        <w:outlineLvl w:val="2"/>
        <w:rPr>
          <w:rFonts w:ascii="Times New Roman" w:hAnsi="Times New Roman" w:eastAsia="黑体"/>
          <w:bCs/>
          <w:sz w:val="24"/>
          <w:szCs w:val="24"/>
        </w:rPr>
      </w:pPr>
      <w:r>
        <w:rPr>
          <w:rFonts w:ascii="Times New Roman" w:hAnsi="Times New Roman" w:eastAsia="黑体"/>
          <w:bCs/>
          <w:sz w:val="24"/>
          <w:szCs w:val="24"/>
        </w:rPr>
        <w:t>进口产品规定</w:t>
      </w:r>
    </w:p>
    <w:p>
      <w:pPr>
        <w:widowControl w:val="0"/>
        <w:numPr>
          <w:ilvl w:val="3"/>
          <w:numId w:val="11"/>
        </w:numPr>
        <w:tabs>
          <w:tab w:val="left" w:pos="360"/>
        </w:tabs>
        <w:outlineLvl w:val="3"/>
        <w:rPr>
          <w:rFonts w:ascii="Times New Roman" w:hAnsi="Times New Roman" w:eastAsia="宋体"/>
          <w:bCs/>
          <w:iCs/>
        </w:rPr>
      </w:pPr>
      <w:r>
        <w:rPr>
          <w:rFonts w:ascii="Times New Roman" w:hAnsi="Times New Roman" w:eastAsia="宋体"/>
          <w:bCs/>
          <w:iCs/>
        </w:rPr>
        <w:t>如采购涉及进口产品，应当遵守《政府采购进口产品管理办法》（财库〔2007〕119号）、《财政部办公厅关于政府采购进口产品管理有关问题的通知》（财办库〔2008〕248号）的相关规定。</w:t>
      </w:r>
    </w:p>
    <w:p>
      <w:pPr>
        <w:widowControl w:val="0"/>
        <w:numPr>
          <w:ilvl w:val="2"/>
          <w:numId w:val="11"/>
        </w:numPr>
        <w:tabs>
          <w:tab w:val="left" w:pos="0"/>
        </w:tabs>
        <w:spacing w:before="120" w:beforeLines="50" w:line="360" w:lineRule="auto"/>
        <w:jc w:val="both"/>
        <w:outlineLvl w:val="2"/>
        <w:rPr>
          <w:rFonts w:ascii="Times New Roman" w:hAnsi="Times New Roman" w:eastAsia="黑体"/>
          <w:bCs/>
          <w:sz w:val="24"/>
          <w:szCs w:val="24"/>
        </w:rPr>
      </w:pPr>
      <w:r>
        <w:rPr>
          <w:rFonts w:ascii="Times New Roman" w:hAnsi="Times New Roman" w:eastAsia="黑体"/>
          <w:bCs/>
          <w:sz w:val="24"/>
          <w:szCs w:val="24"/>
        </w:rPr>
        <w:t>分包、转包</w:t>
      </w:r>
    </w:p>
    <w:p>
      <w:pPr>
        <w:widowControl w:val="0"/>
        <w:numPr>
          <w:ilvl w:val="3"/>
          <w:numId w:val="11"/>
        </w:numPr>
        <w:tabs>
          <w:tab w:val="left" w:pos="360"/>
        </w:tabs>
        <w:outlineLvl w:val="3"/>
        <w:rPr>
          <w:rFonts w:ascii="Times New Roman" w:hAnsi="Times New Roman" w:eastAsia="宋体"/>
          <w:bCs/>
          <w:iCs/>
        </w:rPr>
      </w:pPr>
      <w:r>
        <w:rPr>
          <w:rFonts w:ascii="Times New Roman" w:hAnsi="Times New Roman" w:eastAsia="宋体"/>
          <w:bCs/>
          <w:iCs/>
        </w:rPr>
        <w:t>本项目</w:t>
      </w:r>
      <w:r>
        <w:rPr>
          <w:rFonts w:hint="eastAsia" w:ascii="Times New Roman" w:hAnsi="Times New Roman" w:eastAsia="宋体"/>
          <w:bCs/>
          <w:iCs/>
        </w:rPr>
        <w:t>是否允许</w:t>
      </w:r>
      <w:r>
        <w:rPr>
          <w:rFonts w:ascii="Times New Roman" w:hAnsi="Times New Roman" w:eastAsia="宋体"/>
          <w:bCs/>
          <w:iCs/>
        </w:rPr>
        <w:t>投标人将项目的非主体、非关键性工作交由他人完成</w:t>
      </w:r>
      <w:r>
        <w:rPr>
          <w:rFonts w:hint="eastAsia" w:ascii="Times New Roman" w:hAnsi="Times New Roman" w:eastAsia="宋体"/>
          <w:bCs/>
          <w:iCs/>
        </w:rPr>
        <w:t>，</w:t>
      </w:r>
      <w:r>
        <w:rPr>
          <w:rFonts w:ascii="Times New Roman" w:hAnsi="Times New Roman" w:eastAsia="宋体"/>
          <w:bCs/>
          <w:iCs/>
        </w:rPr>
        <w:t>详见前附表</w:t>
      </w:r>
      <w:r>
        <w:rPr>
          <w:rFonts w:hint="eastAsia" w:ascii="Times New Roman" w:hAnsi="Times New Roman" w:eastAsia="宋体"/>
          <w:bCs/>
          <w:iCs/>
        </w:rPr>
        <w:t>要求。如果允许，</w:t>
      </w:r>
      <w:r>
        <w:rPr>
          <w:rFonts w:ascii="Times New Roman" w:hAnsi="Times New Roman" w:eastAsia="宋体"/>
          <w:bCs/>
          <w:iCs/>
        </w:rPr>
        <w:t>投标人</w:t>
      </w:r>
      <w:r>
        <w:rPr>
          <w:rFonts w:hint="eastAsia" w:ascii="Times New Roman" w:hAnsi="Times New Roman" w:eastAsia="宋体"/>
          <w:bCs/>
          <w:iCs/>
        </w:rPr>
        <w:t>须</w:t>
      </w:r>
      <w:r>
        <w:rPr>
          <w:rFonts w:ascii="Times New Roman" w:hAnsi="Times New Roman" w:eastAsia="宋体"/>
          <w:bCs/>
          <w:iCs/>
        </w:rPr>
        <w:t>根据采购项目的实际情况</w:t>
      </w:r>
      <w:r>
        <w:rPr>
          <w:rFonts w:hint="eastAsia" w:ascii="Times New Roman" w:hAnsi="Times New Roman" w:eastAsia="宋体"/>
          <w:bCs/>
          <w:iCs/>
        </w:rPr>
        <w:t>，</w:t>
      </w:r>
      <w:r>
        <w:rPr>
          <w:rFonts w:ascii="Times New Roman" w:hAnsi="Times New Roman" w:eastAsia="宋体"/>
          <w:bCs/>
          <w:iCs/>
        </w:rPr>
        <w:t>拟在中标后将中标项目的非主体、非关键性工作交由他人完成的，应当在投标文件中载明。不符合招标文件中有关分包、转包规定的，其投标将被拒绝。</w:t>
      </w:r>
    </w:p>
    <w:p>
      <w:pPr>
        <w:widowControl w:val="0"/>
        <w:numPr>
          <w:ilvl w:val="2"/>
          <w:numId w:val="11"/>
        </w:numPr>
        <w:tabs>
          <w:tab w:val="left" w:pos="0"/>
        </w:tabs>
        <w:spacing w:before="120" w:beforeLines="50" w:line="360" w:lineRule="auto"/>
        <w:jc w:val="both"/>
        <w:outlineLvl w:val="2"/>
        <w:rPr>
          <w:rFonts w:ascii="Times New Roman" w:hAnsi="Times New Roman" w:eastAsia="黑体"/>
          <w:bCs/>
          <w:sz w:val="24"/>
          <w:szCs w:val="24"/>
        </w:rPr>
      </w:pPr>
      <w:r>
        <w:rPr>
          <w:rFonts w:ascii="Times New Roman" w:hAnsi="Times New Roman" w:eastAsia="黑体"/>
          <w:bCs/>
          <w:sz w:val="24"/>
          <w:szCs w:val="24"/>
        </w:rPr>
        <w:t>投标费用</w:t>
      </w:r>
    </w:p>
    <w:p>
      <w:pPr>
        <w:widowControl w:val="0"/>
        <w:numPr>
          <w:ilvl w:val="3"/>
          <w:numId w:val="11"/>
        </w:numPr>
        <w:tabs>
          <w:tab w:val="left" w:pos="360"/>
        </w:tabs>
        <w:outlineLvl w:val="3"/>
        <w:rPr>
          <w:rFonts w:ascii="Times New Roman" w:hAnsi="Times New Roman" w:eastAsia="宋体"/>
          <w:bCs/>
          <w:iCs/>
        </w:rPr>
      </w:pPr>
      <w:r>
        <w:rPr>
          <w:rFonts w:ascii="Times New Roman" w:hAnsi="Times New Roman" w:eastAsia="宋体"/>
          <w:bCs/>
          <w:iCs/>
        </w:rPr>
        <w:t>投标人应承担所有与准备和参加投标有关的费用，采购人和警采中心在任何情况下均无义务和责任承担这些费用。</w:t>
      </w:r>
    </w:p>
    <w:p>
      <w:pPr>
        <w:widowControl w:val="0"/>
        <w:numPr>
          <w:ilvl w:val="2"/>
          <w:numId w:val="11"/>
        </w:numPr>
        <w:tabs>
          <w:tab w:val="left" w:pos="0"/>
        </w:tabs>
        <w:spacing w:before="120" w:beforeLines="50" w:line="360" w:lineRule="auto"/>
        <w:jc w:val="both"/>
        <w:outlineLvl w:val="2"/>
        <w:rPr>
          <w:rFonts w:ascii="Times New Roman" w:hAnsi="Times New Roman" w:eastAsia="黑体"/>
          <w:bCs/>
          <w:sz w:val="24"/>
          <w:szCs w:val="24"/>
        </w:rPr>
      </w:pPr>
      <w:r>
        <w:rPr>
          <w:rFonts w:ascii="Times New Roman" w:hAnsi="Times New Roman" w:eastAsia="黑体"/>
          <w:bCs/>
          <w:sz w:val="24"/>
          <w:szCs w:val="24"/>
        </w:rPr>
        <w:t>通知</w:t>
      </w:r>
    </w:p>
    <w:p>
      <w:pPr>
        <w:widowControl w:val="0"/>
        <w:numPr>
          <w:ilvl w:val="3"/>
          <w:numId w:val="11"/>
        </w:numPr>
        <w:tabs>
          <w:tab w:val="left" w:pos="360"/>
        </w:tabs>
        <w:outlineLvl w:val="3"/>
        <w:rPr>
          <w:rFonts w:ascii="Times New Roman" w:hAnsi="Times New Roman" w:eastAsia="宋体"/>
          <w:bCs/>
          <w:iCs/>
        </w:rPr>
      </w:pPr>
      <w:r>
        <w:rPr>
          <w:rFonts w:ascii="Times New Roman" w:hAnsi="Times New Roman" w:eastAsia="宋体"/>
          <w:bCs/>
          <w:iCs/>
        </w:rPr>
        <w:t>对与本项目有关的通知，采购人或警采中心将以书面</w:t>
      </w:r>
      <w:r>
        <w:rPr>
          <w:rFonts w:hint="eastAsia" w:ascii="Times New Roman" w:hAnsi="Times New Roman" w:eastAsia="宋体"/>
          <w:bCs/>
          <w:iCs/>
        </w:rPr>
        <w:t>形式</w:t>
      </w:r>
      <w:r>
        <w:rPr>
          <w:rFonts w:ascii="Times New Roman" w:hAnsi="Times New Roman" w:eastAsia="宋体"/>
          <w:bCs/>
          <w:iCs/>
        </w:rPr>
        <w:t>（包括信函、</w:t>
      </w:r>
      <w:r>
        <w:rPr>
          <w:rFonts w:hint="eastAsia" w:ascii="Times New Roman" w:hAnsi="Times New Roman" w:eastAsia="宋体"/>
          <w:bCs/>
          <w:iCs/>
        </w:rPr>
        <w:t>邮件</w:t>
      </w:r>
      <w:r>
        <w:rPr>
          <w:rFonts w:ascii="Times New Roman" w:hAnsi="Times New Roman" w:eastAsia="宋体"/>
          <w:bCs/>
          <w:iCs/>
        </w:rPr>
        <w:t>等，下同）或在本次招标公告刊登的媒体上发布公告的一种或多种形式发出。</w:t>
      </w:r>
    </w:p>
    <w:p>
      <w:pPr>
        <w:widowControl w:val="0"/>
        <w:numPr>
          <w:ilvl w:val="1"/>
          <w:numId w:val="11"/>
        </w:numPr>
        <w:tabs>
          <w:tab w:val="left" w:pos="0"/>
        </w:tabs>
        <w:snapToGrid w:val="0"/>
        <w:spacing w:before="120" w:beforeLines="50" w:after="120" w:line="360" w:lineRule="auto"/>
        <w:ind w:left="0" w:firstLine="0"/>
        <w:outlineLvl w:val="1"/>
        <w:rPr>
          <w:rFonts w:ascii="Times New Roman" w:hAnsi="Times New Roman" w:eastAsia="黑体"/>
          <w:sz w:val="32"/>
          <w:szCs w:val="21"/>
        </w:rPr>
      </w:pPr>
      <w:bookmarkStart w:id="46" w:name="_Toc24305"/>
      <w:bookmarkStart w:id="47" w:name="_Toc25379"/>
      <w:bookmarkStart w:id="48" w:name="_Toc3474"/>
      <w:r>
        <w:rPr>
          <w:rFonts w:ascii="Times New Roman" w:hAnsi="Times New Roman" w:eastAsia="黑体"/>
          <w:sz w:val="32"/>
          <w:szCs w:val="21"/>
        </w:rPr>
        <w:t>招标文件</w:t>
      </w:r>
      <w:bookmarkEnd w:id="46"/>
      <w:bookmarkEnd w:id="47"/>
      <w:bookmarkEnd w:id="48"/>
    </w:p>
    <w:p>
      <w:pPr>
        <w:widowControl w:val="0"/>
        <w:numPr>
          <w:ilvl w:val="2"/>
          <w:numId w:val="11"/>
        </w:numPr>
        <w:tabs>
          <w:tab w:val="left" w:pos="0"/>
        </w:tabs>
        <w:spacing w:before="120" w:beforeLines="50" w:line="360" w:lineRule="auto"/>
        <w:jc w:val="both"/>
        <w:outlineLvl w:val="2"/>
        <w:rPr>
          <w:rFonts w:ascii="Times New Roman" w:hAnsi="Times New Roman" w:eastAsia="黑体"/>
          <w:bCs/>
          <w:sz w:val="24"/>
          <w:szCs w:val="24"/>
        </w:rPr>
      </w:pPr>
      <w:r>
        <w:rPr>
          <w:rFonts w:ascii="Times New Roman" w:hAnsi="Times New Roman" w:eastAsia="黑体"/>
          <w:bCs/>
          <w:sz w:val="24"/>
          <w:szCs w:val="24"/>
        </w:rPr>
        <w:t>招标文件包括下述内容</w:t>
      </w:r>
    </w:p>
    <w:p>
      <w:pPr>
        <w:widowControl w:val="0"/>
        <w:ind w:left="420" w:firstLine="420"/>
        <w:rPr>
          <w:rFonts w:ascii="Times New Roman" w:hAnsi="Times New Roman" w:eastAsia="宋体"/>
        </w:rPr>
      </w:pPr>
      <w:r>
        <w:rPr>
          <w:rFonts w:ascii="Times New Roman" w:hAnsi="Times New Roman" w:eastAsia="宋体"/>
        </w:rPr>
        <w:t>第一部分 投标邀请</w:t>
      </w:r>
    </w:p>
    <w:p>
      <w:pPr>
        <w:widowControl w:val="0"/>
        <w:ind w:left="420" w:firstLine="420"/>
        <w:rPr>
          <w:rFonts w:ascii="Times New Roman" w:hAnsi="Times New Roman" w:eastAsia="宋体"/>
        </w:rPr>
      </w:pPr>
      <w:r>
        <w:rPr>
          <w:rFonts w:ascii="Times New Roman" w:hAnsi="Times New Roman" w:eastAsia="宋体"/>
        </w:rPr>
        <w:t>第二部分 投标人须知前附表</w:t>
      </w:r>
    </w:p>
    <w:p>
      <w:pPr>
        <w:widowControl w:val="0"/>
        <w:ind w:left="420" w:firstLine="420"/>
        <w:rPr>
          <w:rFonts w:ascii="Times New Roman" w:hAnsi="Times New Roman" w:eastAsia="宋体"/>
        </w:rPr>
      </w:pPr>
      <w:r>
        <w:rPr>
          <w:rFonts w:ascii="Times New Roman" w:hAnsi="Times New Roman" w:eastAsia="宋体"/>
        </w:rPr>
        <w:t>第三部分 投标人须知</w:t>
      </w:r>
    </w:p>
    <w:p>
      <w:pPr>
        <w:widowControl w:val="0"/>
        <w:ind w:left="420" w:firstLine="420"/>
        <w:rPr>
          <w:rFonts w:ascii="Times New Roman" w:hAnsi="Times New Roman" w:eastAsia="宋体"/>
        </w:rPr>
      </w:pPr>
      <w:r>
        <w:rPr>
          <w:rFonts w:ascii="Times New Roman" w:hAnsi="Times New Roman" w:eastAsia="宋体"/>
        </w:rPr>
        <w:t xml:space="preserve">第四部分 </w:t>
      </w:r>
      <w:r>
        <w:rPr>
          <w:rFonts w:hint="eastAsia" w:ascii="Times New Roman" w:hAnsi="Times New Roman" w:eastAsia="宋体"/>
        </w:rPr>
        <w:t>评分办</w:t>
      </w:r>
      <w:r>
        <w:rPr>
          <w:rFonts w:ascii="Times New Roman" w:hAnsi="Times New Roman" w:eastAsia="宋体"/>
        </w:rPr>
        <w:t>法和</w:t>
      </w:r>
      <w:r>
        <w:rPr>
          <w:rFonts w:hint="eastAsia" w:ascii="Times New Roman" w:hAnsi="Times New Roman" w:eastAsia="宋体"/>
        </w:rPr>
        <w:t>评审</w:t>
      </w:r>
      <w:r>
        <w:rPr>
          <w:rFonts w:ascii="Times New Roman" w:hAnsi="Times New Roman" w:eastAsia="宋体"/>
        </w:rPr>
        <w:t>标准</w:t>
      </w:r>
    </w:p>
    <w:p>
      <w:pPr>
        <w:widowControl w:val="0"/>
        <w:ind w:left="420" w:firstLine="420"/>
        <w:rPr>
          <w:rFonts w:ascii="Times New Roman" w:hAnsi="Times New Roman" w:eastAsia="宋体"/>
        </w:rPr>
      </w:pPr>
      <w:r>
        <w:rPr>
          <w:rFonts w:ascii="Times New Roman" w:hAnsi="Times New Roman" w:eastAsia="宋体"/>
        </w:rPr>
        <w:t>第五部分 采购需求</w:t>
      </w:r>
    </w:p>
    <w:p>
      <w:pPr>
        <w:widowControl w:val="0"/>
        <w:ind w:left="420" w:firstLine="420"/>
        <w:rPr>
          <w:rFonts w:ascii="Times New Roman" w:hAnsi="Times New Roman" w:eastAsia="宋体"/>
        </w:rPr>
      </w:pPr>
      <w:r>
        <w:rPr>
          <w:rFonts w:ascii="Times New Roman" w:hAnsi="Times New Roman" w:eastAsia="宋体"/>
        </w:rPr>
        <w:t>第六部分 合同（参考文本）</w:t>
      </w:r>
    </w:p>
    <w:p>
      <w:pPr>
        <w:widowControl w:val="0"/>
        <w:ind w:left="420" w:firstLine="420"/>
        <w:rPr>
          <w:rFonts w:ascii="Times New Roman" w:hAnsi="Times New Roman" w:eastAsia="宋体"/>
        </w:rPr>
      </w:pPr>
      <w:r>
        <w:rPr>
          <w:rFonts w:ascii="Times New Roman" w:hAnsi="Times New Roman" w:eastAsia="宋体"/>
        </w:rPr>
        <w:t>第七部分 投标材料格式</w:t>
      </w:r>
    </w:p>
    <w:p>
      <w:pPr>
        <w:widowControl w:val="0"/>
        <w:ind w:left="420" w:firstLine="420"/>
        <w:rPr>
          <w:rFonts w:ascii="Times New Roman" w:hAnsi="Times New Roman" w:eastAsia="宋体"/>
        </w:rPr>
      </w:pPr>
      <w:r>
        <w:rPr>
          <w:rFonts w:ascii="Times New Roman" w:hAnsi="Times New Roman" w:eastAsia="宋体"/>
        </w:rPr>
        <w:t>第八部分 附件</w:t>
      </w:r>
    </w:p>
    <w:p>
      <w:pPr>
        <w:widowControl w:val="0"/>
        <w:numPr>
          <w:ilvl w:val="2"/>
          <w:numId w:val="11"/>
        </w:numPr>
        <w:tabs>
          <w:tab w:val="left" w:pos="0"/>
        </w:tabs>
        <w:spacing w:before="120" w:beforeLines="50" w:line="360" w:lineRule="auto"/>
        <w:jc w:val="both"/>
        <w:outlineLvl w:val="2"/>
        <w:rPr>
          <w:rFonts w:ascii="Times New Roman" w:hAnsi="Times New Roman" w:eastAsia="黑体"/>
          <w:bCs/>
          <w:sz w:val="24"/>
          <w:szCs w:val="24"/>
        </w:rPr>
      </w:pPr>
      <w:r>
        <w:rPr>
          <w:rFonts w:ascii="Times New Roman" w:hAnsi="Times New Roman" w:eastAsia="黑体"/>
          <w:bCs/>
          <w:sz w:val="24"/>
          <w:szCs w:val="24"/>
        </w:rPr>
        <w:t>投标前招标文件的澄清和修改</w:t>
      </w:r>
    </w:p>
    <w:p>
      <w:pPr>
        <w:widowControl w:val="0"/>
        <w:numPr>
          <w:ilvl w:val="3"/>
          <w:numId w:val="11"/>
        </w:numPr>
        <w:tabs>
          <w:tab w:val="left" w:pos="360"/>
        </w:tabs>
        <w:outlineLvl w:val="3"/>
        <w:rPr>
          <w:rFonts w:ascii="Times New Roman" w:hAnsi="Times New Roman" w:eastAsia="宋体"/>
          <w:bCs/>
          <w:iCs/>
        </w:rPr>
      </w:pPr>
      <w:r>
        <w:rPr>
          <w:rFonts w:ascii="Times New Roman" w:hAnsi="Times New Roman" w:eastAsia="宋体"/>
          <w:bCs/>
          <w:iCs/>
        </w:rPr>
        <w:t>任何已获得招标文件的潜在投标人，均可要求对招标文件进行澄清或修改，通过第一部分投标邀请中的联系方式以书面形式送达警采中心。</w:t>
      </w:r>
    </w:p>
    <w:p>
      <w:pPr>
        <w:widowControl w:val="0"/>
        <w:numPr>
          <w:ilvl w:val="3"/>
          <w:numId w:val="11"/>
        </w:numPr>
        <w:tabs>
          <w:tab w:val="left" w:pos="360"/>
        </w:tabs>
        <w:outlineLvl w:val="3"/>
        <w:rPr>
          <w:rFonts w:ascii="Times New Roman" w:hAnsi="Times New Roman" w:eastAsia="宋体"/>
          <w:bCs/>
          <w:iCs/>
        </w:rPr>
      </w:pPr>
      <w:r>
        <w:rPr>
          <w:rFonts w:ascii="Times New Roman" w:hAnsi="Times New Roman" w:eastAsia="宋体"/>
          <w:bCs/>
          <w:iCs/>
        </w:rPr>
        <w:t>按照责权利相一致原则，招标文件的主要商务、技术指标的提出方负责解释投标人提出的相关澄清、修改要求，并应当视情况作出澄清或修改的决定。</w:t>
      </w:r>
    </w:p>
    <w:p>
      <w:pPr>
        <w:widowControl w:val="0"/>
        <w:numPr>
          <w:ilvl w:val="3"/>
          <w:numId w:val="11"/>
        </w:numPr>
        <w:tabs>
          <w:tab w:val="left" w:pos="360"/>
        </w:tabs>
        <w:outlineLvl w:val="3"/>
        <w:rPr>
          <w:rFonts w:ascii="Times New Roman" w:hAnsi="Times New Roman" w:eastAsia="宋体"/>
          <w:bCs/>
          <w:iCs/>
        </w:rPr>
      </w:pPr>
      <w:r>
        <w:rPr>
          <w:rFonts w:ascii="Times New Roman" w:hAnsi="Times New Roman" w:eastAsia="宋体"/>
          <w:bCs/>
          <w:iCs/>
        </w:rPr>
        <w:t>警采中心对澄清、修改要求的处理：警采中心根据项目实际对澄清、修改要求</w:t>
      </w:r>
      <w:r>
        <w:rPr>
          <w:rFonts w:hint="eastAsia" w:ascii="Times New Roman" w:hAnsi="Times New Roman" w:eastAsia="宋体"/>
          <w:bCs/>
          <w:iCs/>
        </w:rPr>
        <w:t>进行</w:t>
      </w:r>
      <w:r>
        <w:rPr>
          <w:rFonts w:ascii="Times New Roman" w:hAnsi="Times New Roman" w:eastAsia="宋体"/>
          <w:bCs/>
          <w:iCs/>
        </w:rPr>
        <w:t>处理，</w:t>
      </w:r>
      <w:r>
        <w:rPr>
          <w:rFonts w:hint="eastAsia" w:ascii="Times New Roman" w:hAnsi="Times New Roman" w:eastAsia="宋体"/>
          <w:bCs/>
          <w:iCs/>
        </w:rPr>
        <w:t>并通过</w:t>
      </w:r>
      <w:r>
        <w:rPr>
          <w:rFonts w:ascii="Times New Roman" w:hAnsi="Times New Roman" w:eastAsia="宋体"/>
          <w:bCs/>
          <w:iCs/>
        </w:rPr>
        <w:t>邮寄</w:t>
      </w:r>
      <w:r>
        <w:rPr>
          <w:rFonts w:hint="eastAsia" w:ascii="Times New Roman" w:hAnsi="Times New Roman" w:eastAsia="宋体"/>
          <w:bCs/>
          <w:iCs/>
        </w:rPr>
        <w:t>、</w:t>
      </w:r>
      <w:r>
        <w:rPr>
          <w:rFonts w:ascii="Times New Roman" w:hAnsi="Times New Roman" w:eastAsia="宋体"/>
          <w:bCs/>
          <w:iCs/>
        </w:rPr>
        <w:t>电子邮件、网站披露等其中至少一种方式，统一向全体，或分别或向每一位</w:t>
      </w:r>
      <w:r>
        <w:rPr>
          <w:rFonts w:hint="eastAsia" w:ascii="Times New Roman" w:hAnsi="Times New Roman" w:eastAsia="宋体"/>
          <w:bCs/>
          <w:iCs/>
        </w:rPr>
        <w:t>（</w:t>
      </w:r>
      <w:r>
        <w:rPr>
          <w:rFonts w:ascii="Times New Roman" w:hAnsi="Times New Roman" w:eastAsia="宋体"/>
          <w:bCs/>
          <w:iCs/>
        </w:rPr>
        <w:t>但不可以只向其中一部分</w:t>
      </w:r>
      <w:r>
        <w:rPr>
          <w:rFonts w:hint="eastAsia" w:ascii="Times New Roman" w:hAnsi="Times New Roman" w:eastAsia="宋体"/>
          <w:bCs/>
          <w:iCs/>
        </w:rPr>
        <w:t>）</w:t>
      </w:r>
      <w:r>
        <w:rPr>
          <w:rFonts w:ascii="Times New Roman" w:hAnsi="Times New Roman" w:eastAsia="宋体"/>
          <w:bCs/>
          <w:iCs/>
        </w:rPr>
        <w:t>潜在投标人发出澄清、修改或进行其它答复的</w:t>
      </w:r>
      <w:r>
        <w:rPr>
          <w:rFonts w:hint="eastAsia" w:ascii="Times New Roman" w:hAnsi="Times New Roman" w:eastAsia="宋体"/>
          <w:bCs/>
          <w:iCs/>
        </w:rPr>
        <w:t>内容</w:t>
      </w:r>
      <w:r>
        <w:rPr>
          <w:rFonts w:ascii="Times New Roman" w:hAnsi="Times New Roman" w:eastAsia="宋体"/>
          <w:bCs/>
          <w:iCs/>
        </w:rPr>
        <w:t>。</w:t>
      </w:r>
    </w:p>
    <w:p>
      <w:pPr>
        <w:widowControl w:val="0"/>
        <w:numPr>
          <w:ilvl w:val="3"/>
          <w:numId w:val="11"/>
        </w:numPr>
        <w:tabs>
          <w:tab w:val="left" w:pos="360"/>
        </w:tabs>
        <w:outlineLvl w:val="3"/>
        <w:rPr>
          <w:rFonts w:ascii="Times New Roman" w:hAnsi="Times New Roman" w:eastAsia="宋体"/>
          <w:bCs/>
          <w:iCs/>
        </w:rPr>
      </w:pPr>
      <w:r>
        <w:rPr>
          <w:rFonts w:ascii="Times New Roman" w:hAnsi="Times New Roman" w:eastAsia="宋体"/>
          <w:bCs/>
          <w:iCs/>
        </w:rPr>
        <w:t>警采中心主动进行的澄清、修改：警采中心无论出于何种原因，均可主动对招标文件中的相关事项，进行澄清和修改。</w:t>
      </w:r>
    </w:p>
    <w:p>
      <w:pPr>
        <w:widowControl w:val="0"/>
        <w:numPr>
          <w:ilvl w:val="3"/>
          <w:numId w:val="11"/>
        </w:numPr>
        <w:tabs>
          <w:tab w:val="left" w:pos="360"/>
        </w:tabs>
        <w:outlineLvl w:val="3"/>
        <w:rPr>
          <w:rFonts w:ascii="Times New Roman" w:hAnsi="Times New Roman" w:eastAsia="宋体"/>
          <w:bCs/>
          <w:iCs/>
        </w:rPr>
      </w:pPr>
      <w:r>
        <w:rPr>
          <w:rFonts w:hint="eastAsia" w:ascii="Times New Roman" w:hAnsi="Times New Roman" w:eastAsia="宋体"/>
          <w:bCs/>
          <w:iCs/>
        </w:rPr>
        <w:t>采购人或者警采中心可以对已发出的招标文件进行必要的澄清或者修改。澄清或者修改的内容可能影响投标文件编制的，采购人或者警采中心应当在投标截止时间至少15日前，以书面形式通知所有获取招标文件的潜在投标人；不足15日的，采购人或者警采中心应当顺延提交投标文件的截止时间</w:t>
      </w:r>
      <w:r>
        <w:rPr>
          <w:rFonts w:ascii="Times New Roman" w:hAnsi="Times New Roman" w:eastAsia="宋体"/>
          <w:bCs/>
          <w:iCs/>
        </w:rPr>
        <w:t>。</w:t>
      </w:r>
    </w:p>
    <w:p>
      <w:pPr>
        <w:widowControl w:val="0"/>
        <w:numPr>
          <w:ilvl w:val="3"/>
          <w:numId w:val="11"/>
        </w:numPr>
        <w:tabs>
          <w:tab w:val="left" w:pos="360"/>
        </w:tabs>
        <w:outlineLvl w:val="3"/>
        <w:rPr>
          <w:rFonts w:ascii="Times New Roman" w:hAnsi="Times New Roman" w:eastAsia="宋体"/>
          <w:bCs/>
          <w:iCs/>
        </w:rPr>
      </w:pPr>
      <w:r>
        <w:rPr>
          <w:rFonts w:ascii="Times New Roman" w:hAnsi="Times New Roman" w:eastAsia="宋体"/>
          <w:bCs/>
          <w:iCs/>
        </w:rPr>
        <w:t>警采中心澄清、修改、其它答复的效力：无论是否根据潜在投标人的澄清、修改或进行其它答复的要求，警采中心一旦对招标文件作出了澄清、修改或进行其它答复，即刻发生效力，警采中心有关的补充</w:t>
      </w:r>
      <w:r>
        <w:rPr>
          <w:rFonts w:hint="eastAsia" w:ascii="Times New Roman" w:hAnsi="Times New Roman" w:eastAsia="宋体"/>
          <w:bCs/>
          <w:iCs/>
        </w:rPr>
        <w:t>内容</w:t>
      </w:r>
      <w:r>
        <w:rPr>
          <w:rFonts w:ascii="Times New Roman" w:hAnsi="Times New Roman" w:eastAsia="宋体"/>
          <w:bCs/>
          <w:iCs/>
        </w:rPr>
        <w:t>，应当作为招标文件的组成部分，对所有潜在投标人均具有约束力。同时，警采中心和投标人的权利及义务将受到新的截止期的约束。</w:t>
      </w:r>
    </w:p>
    <w:p>
      <w:pPr>
        <w:widowControl w:val="0"/>
        <w:numPr>
          <w:ilvl w:val="3"/>
          <w:numId w:val="11"/>
        </w:numPr>
        <w:tabs>
          <w:tab w:val="left" w:pos="360"/>
        </w:tabs>
        <w:outlineLvl w:val="3"/>
        <w:rPr>
          <w:rFonts w:ascii="Times New Roman" w:hAnsi="Times New Roman" w:eastAsia="宋体"/>
          <w:bCs/>
          <w:iCs/>
        </w:rPr>
      </w:pPr>
      <w:r>
        <w:rPr>
          <w:rFonts w:ascii="Times New Roman" w:hAnsi="Times New Roman" w:eastAsia="宋体"/>
          <w:bCs/>
          <w:iCs/>
        </w:rPr>
        <w:t>警采中心将视情况确定是否有必要召开标前答疑</w:t>
      </w:r>
      <w:r>
        <w:rPr>
          <w:rFonts w:hint="eastAsia" w:ascii="Times New Roman" w:hAnsi="Times New Roman" w:eastAsia="宋体"/>
          <w:bCs/>
          <w:iCs/>
        </w:rPr>
        <w:t>会</w:t>
      </w:r>
      <w:r>
        <w:rPr>
          <w:rFonts w:ascii="Times New Roman" w:hAnsi="Times New Roman" w:eastAsia="宋体"/>
          <w:bCs/>
          <w:iCs/>
        </w:rPr>
        <w:t>。如果召开标前会，警采中心将通过公告方式向潜在投标人发出通知。</w:t>
      </w:r>
    </w:p>
    <w:p>
      <w:pPr>
        <w:widowControl w:val="0"/>
        <w:numPr>
          <w:ilvl w:val="1"/>
          <w:numId w:val="11"/>
        </w:numPr>
        <w:tabs>
          <w:tab w:val="left" w:pos="0"/>
        </w:tabs>
        <w:snapToGrid w:val="0"/>
        <w:spacing w:before="120" w:beforeLines="50" w:after="120" w:line="360" w:lineRule="auto"/>
        <w:ind w:left="0" w:firstLine="0"/>
        <w:outlineLvl w:val="1"/>
        <w:rPr>
          <w:rFonts w:ascii="Times New Roman" w:hAnsi="Times New Roman" w:eastAsia="黑体"/>
          <w:sz w:val="32"/>
          <w:szCs w:val="21"/>
        </w:rPr>
      </w:pPr>
      <w:bookmarkStart w:id="49" w:name="_Toc13380"/>
      <w:bookmarkStart w:id="50" w:name="_Toc5536"/>
      <w:bookmarkStart w:id="51" w:name="_Toc30497"/>
      <w:r>
        <w:rPr>
          <w:rFonts w:ascii="Times New Roman" w:hAnsi="Times New Roman" w:eastAsia="黑体"/>
          <w:sz w:val="32"/>
          <w:szCs w:val="21"/>
        </w:rPr>
        <w:t>投标文件</w:t>
      </w:r>
      <w:bookmarkEnd w:id="49"/>
      <w:bookmarkEnd w:id="50"/>
      <w:bookmarkEnd w:id="51"/>
    </w:p>
    <w:p>
      <w:pPr>
        <w:widowControl w:val="0"/>
        <w:numPr>
          <w:ilvl w:val="2"/>
          <w:numId w:val="11"/>
        </w:numPr>
        <w:tabs>
          <w:tab w:val="left" w:pos="0"/>
        </w:tabs>
        <w:spacing w:before="120" w:beforeLines="50" w:line="360" w:lineRule="auto"/>
        <w:jc w:val="both"/>
        <w:outlineLvl w:val="2"/>
        <w:rPr>
          <w:rFonts w:ascii="Times New Roman" w:hAnsi="Times New Roman" w:eastAsia="黑体"/>
          <w:bCs/>
          <w:sz w:val="24"/>
          <w:szCs w:val="24"/>
        </w:rPr>
      </w:pPr>
      <w:r>
        <w:rPr>
          <w:rFonts w:ascii="Times New Roman" w:hAnsi="Times New Roman" w:eastAsia="黑体"/>
          <w:bCs/>
          <w:sz w:val="24"/>
          <w:szCs w:val="24"/>
        </w:rPr>
        <w:t>投标文件的语言和计量单位</w:t>
      </w:r>
    </w:p>
    <w:p>
      <w:pPr>
        <w:widowControl w:val="0"/>
        <w:numPr>
          <w:ilvl w:val="3"/>
          <w:numId w:val="11"/>
        </w:numPr>
        <w:tabs>
          <w:tab w:val="left" w:pos="360"/>
        </w:tabs>
        <w:outlineLvl w:val="3"/>
        <w:rPr>
          <w:rFonts w:ascii="Times New Roman" w:hAnsi="Times New Roman" w:eastAsia="宋体"/>
          <w:bCs/>
          <w:iCs/>
        </w:rPr>
      </w:pPr>
      <w:r>
        <w:rPr>
          <w:rFonts w:ascii="Times New Roman" w:hAnsi="Times New Roman" w:eastAsia="宋体"/>
          <w:bCs/>
          <w:iCs/>
        </w:rPr>
        <w:t>投标人提交的投标文件（包括技术文件和资料、图纸中的说明）以及投标人与采购人或警采中心就有关投标的所有来往函电均应使用中文简体字。</w:t>
      </w:r>
    </w:p>
    <w:p>
      <w:pPr>
        <w:widowControl w:val="0"/>
        <w:numPr>
          <w:ilvl w:val="3"/>
          <w:numId w:val="11"/>
        </w:numPr>
        <w:tabs>
          <w:tab w:val="left" w:pos="360"/>
        </w:tabs>
        <w:outlineLvl w:val="3"/>
        <w:rPr>
          <w:rFonts w:ascii="Times New Roman" w:hAnsi="Times New Roman" w:eastAsia="宋体"/>
          <w:bCs/>
          <w:iCs/>
        </w:rPr>
      </w:pPr>
      <w:r>
        <w:rPr>
          <w:rFonts w:ascii="Times New Roman" w:hAnsi="Times New Roman" w:eastAsia="宋体"/>
          <w:bCs/>
          <w:iCs/>
        </w:rPr>
        <w:t>原版为外文的证书类文件，以及由外国人作出的本人签名、外国公司的名称或外国印章等可以是外文，但应当提供中文翻译文件（可以是复印件）并加盖投标人公章。</w:t>
      </w:r>
    </w:p>
    <w:p>
      <w:pPr>
        <w:widowControl w:val="0"/>
        <w:numPr>
          <w:ilvl w:val="3"/>
          <w:numId w:val="11"/>
        </w:numPr>
        <w:tabs>
          <w:tab w:val="left" w:pos="360"/>
        </w:tabs>
        <w:outlineLvl w:val="3"/>
        <w:rPr>
          <w:rFonts w:ascii="Times New Roman" w:hAnsi="Times New Roman" w:eastAsia="宋体"/>
          <w:bCs/>
          <w:iCs/>
        </w:rPr>
      </w:pPr>
      <w:r>
        <w:rPr>
          <w:rFonts w:ascii="Times New Roman" w:hAnsi="Times New Roman" w:eastAsia="宋体"/>
          <w:bCs/>
          <w:iCs/>
        </w:rPr>
        <w:t>原版为外文的证书类、证明类文件，与投标人名称或其他实际情况不符的，投标人应当提供相关证明文件。</w:t>
      </w:r>
    </w:p>
    <w:p>
      <w:pPr>
        <w:widowControl w:val="0"/>
        <w:numPr>
          <w:ilvl w:val="3"/>
          <w:numId w:val="11"/>
        </w:numPr>
        <w:tabs>
          <w:tab w:val="left" w:pos="360"/>
        </w:tabs>
        <w:outlineLvl w:val="3"/>
        <w:rPr>
          <w:rFonts w:ascii="Times New Roman" w:hAnsi="Times New Roman" w:eastAsia="宋体"/>
          <w:bCs/>
          <w:iCs/>
        </w:rPr>
      </w:pPr>
      <w:r>
        <w:rPr>
          <w:rFonts w:ascii="Times New Roman" w:hAnsi="Times New Roman" w:eastAsia="宋体"/>
          <w:bCs/>
          <w:iCs/>
        </w:rPr>
        <w:t>投标文件所使用的计量单位，应使用国家法定计量单位。</w:t>
      </w:r>
    </w:p>
    <w:p>
      <w:pPr>
        <w:widowControl w:val="0"/>
        <w:numPr>
          <w:ilvl w:val="2"/>
          <w:numId w:val="11"/>
        </w:numPr>
        <w:tabs>
          <w:tab w:val="left" w:pos="0"/>
        </w:tabs>
        <w:spacing w:before="120" w:beforeLines="50" w:line="360" w:lineRule="auto"/>
        <w:jc w:val="both"/>
        <w:outlineLvl w:val="2"/>
        <w:rPr>
          <w:rFonts w:ascii="Times New Roman" w:hAnsi="Times New Roman" w:eastAsia="黑体"/>
          <w:bCs/>
          <w:sz w:val="24"/>
          <w:szCs w:val="24"/>
        </w:rPr>
      </w:pPr>
      <w:r>
        <w:rPr>
          <w:rFonts w:ascii="Times New Roman" w:hAnsi="Times New Roman" w:eastAsia="黑体"/>
          <w:bCs/>
          <w:sz w:val="24"/>
          <w:szCs w:val="24"/>
        </w:rPr>
        <w:t>投标文件内容要求</w:t>
      </w:r>
    </w:p>
    <w:p>
      <w:pPr>
        <w:widowControl w:val="0"/>
        <w:numPr>
          <w:ilvl w:val="3"/>
          <w:numId w:val="11"/>
        </w:numPr>
        <w:tabs>
          <w:tab w:val="left" w:pos="360"/>
        </w:tabs>
        <w:outlineLvl w:val="3"/>
        <w:rPr>
          <w:rFonts w:ascii="Times New Roman" w:hAnsi="Times New Roman" w:eastAsia="宋体"/>
          <w:bCs/>
          <w:iCs/>
        </w:rPr>
      </w:pPr>
      <w:r>
        <w:rPr>
          <w:rFonts w:ascii="Times New Roman" w:hAnsi="Times New Roman" w:eastAsia="宋体"/>
          <w:bCs/>
          <w:iCs/>
        </w:rPr>
        <w:t>投标文件编写</w:t>
      </w:r>
    </w:p>
    <w:p>
      <w:pPr>
        <w:pStyle w:val="402"/>
        <w:ind w:left="794" w:hanging="794"/>
      </w:pPr>
      <w:r>
        <w:t>按照招标文件中第七部分对投标材料格式部分规定的顺序，统一编目编码并编制目录。  由于编排混乱导致投标文件被误读或查找不到，责任应当由投标人承担。</w:t>
      </w:r>
    </w:p>
    <w:p>
      <w:pPr>
        <w:pStyle w:val="402"/>
        <w:ind w:left="794" w:hanging="794"/>
        <w:rPr>
          <w:bCs w:val="0"/>
        </w:rPr>
      </w:pPr>
      <w:r>
        <w:rPr>
          <w:bCs w:val="0"/>
        </w:rPr>
        <w:t>投标人应详细阅读招标文件的全部内容。投标文件须对招标文件中的内容做出实质性和完整的响应，如果投标文件填报的内容资料不详，或没有提供招标文件中所要求的全部资料及数据，将被视为投标文件完整性有缺陷。</w:t>
      </w:r>
    </w:p>
    <w:p>
      <w:pPr>
        <w:pStyle w:val="402"/>
        <w:ind w:left="794" w:hanging="794"/>
        <w:rPr>
          <w:bCs w:val="0"/>
        </w:rPr>
      </w:pPr>
      <w:r>
        <w:rPr>
          <w:bCs w:val="0"/>
        </w:rPr>
        <w:t>投标文件应按照招标文件的格式逐项填写，无相应内容可填的项应填写“无”、“未</w:t>
      </w:r>
      <w:r>
        <w:rPr>
          <w:rFonts w:hint="eastAsia"/>
          <w:bCs w:val="0"/>
        </w:rPr>
        <w:t>检测</w:t>
      </w:r>
      <w:r>
        <w:rPr>
          <w:bCs w:val="0"/>
        </w:rPr>
        <w:t>”、</w:t>
      </w:r>
      <w:r>
        <w:t>“没有相应指标”</w:t>
      </w:r>
      <w:r>
        <w:rPr>
          <w:bCs w:val="0"/>
        </w:rPr>
        <w:t>等明确的回答文字。</w:t>
      </w:r>
    </w:p>
    <w:p>
      <w:pPr>
        <w:widowControl w:val="0"/>
        <w:numPr>
          <w:ilvl w:val="3"/>
          <w:numId w:val="11"/>
        </w:numPr>
        <w:tabs>
          <w:tab w:val="left" w:pos="360"/>
        </w:tabs>
        <w:outlineLvl w:val="3"/>
        <w:rPr>
          <w:rFonts w:ascii="Times New Roman" w:hAnsi="Times New Roman" w:eastAsia="宋体"/>
          <w:bCs/>
          <w:iCs/>
          <w:highlight w:val="yellow"/>
        </w:rPr>
      </w:pPr>
      <w:r>
        <w:rPr>
          <w:rFonts w:ascii="Times New Roman" w:hAnsi="Times New Roman" w:eastAsia="宋体"/>
          <w:bCs/>
          <w:iCs/>
          <w:highlight w:val="yellow"/>
        </w:rPr>
        <w:t>投标保证金：保证金是否收取按投标人须知前附表规定。如收取，收取及退还投标保证金的要求如下：</w:t>
      </w:r>
    </w:p>
    <w:p>
      <w:pPr>
        <w:pStyle w:val="402"/>
        <w:ind w:left="794" w:hanging="794"/>
        <w:rPr>
          <w:bCs w:val="0"/>
          <w:highlight w:val="yellow"/>
        </w:rPr>
      </w:pPr>
      <w:r>
        <w:rPr>
          <w:bCs w:val="0"/>
          <w:highlight w:val="yellow"/>
        </w:rPr>
        <w:t>投标人应提供的投标保证金额详见投标人须知前附表，投标保证金不得超过本项目预算金额的</w:t>
      </w:r>
      <w:r>
        <w:rPr>
          <w:bCs w:val="0"/>
          <w:highlight w:val="yellow"/>
          <w:lang w:val="en-US"/>
        </w:rPr>
        <w:t>2</w:t>
      </w:r>
      <w:r>
        <w:rPr>
          <w:bCs w:val="0"/>
          <w:highlight w:val="yellow"/>
        </w:rPr>
        <w:t>%。</w:t>
      </w:r>
    </w:p>
    <w:p>
      <w:pPr>
        <w:pStyle w:val="402"/>
        <w:ind w:left="794" w:hanging="794"/>
        <w:rPr>
          <w:highlight w:val="yellow"/>
          <w:lang w:val="en-US"/>
        </w:rPr>
      </w:pPr>
      <w:r>
        <w:rPr>
          <w:highlight w:val="yellow"/>
        </w:rPr>
        <w:t>投标保证金</w:t>
      </w:r>
      <w:r>
        <w:rPr>
          <w:rFonts w:hint="eastAsia"/>
          <w:highlight w:val="yellow"/>
          <w:lang w:val="en-US"/>
        </w:rPr>
        <w:t>可以</w:t>
      </w:r>
      <w:r>
        <w:rPr>
          <w:highlight w:val="yellow"/>
        </w:rPr>
        <w:t>以支票、汇票、本票或者金融机构、担保机构出具的保函等非现金形式提交。</w:t>
      </w:r>
    </w:p>
    <w:p>
      <w:pPr>
        <w:pStyle w:val="402"/>
        <w:ind w:left="794" w:hanging="794"/>
        <w:rPr>
          <w:highlight w:val="yellow"/>
          <w:lang w:val="en-US"/>
        </w:rPr>
      </w:pPr>
      <w:r>
        <w:rPr>
          <w:rFonts w:hint="eastAsia"/>
          <w:highlight w:val="yellow"/>
          <w:lang w:val="en-US"/>
        </w:rPr>
        <w:t>投标保证金以支票、汇票、本票或者保函形式提交的，投标时应与</w:t>
      </w:r>
      <w:r>
        <w:rPr>
          <w:highlight w:val="yellow"/>
          <w:lang w:val="en-US"/>
        </w:rPr>
        <w:t>投标文件同时提交。</w:t>
      </w:r>
    </w:p>
    <w:p>
      <w:pPr>
        <w:widowControl w:val="0"/>
        <w:ind w:left="819" w:leftChars="390"/>
        <w:rPr>
          <w:rFonts w:ascii="Times New Roman" w:hAnsi="Times New Roman" w:eastAsia="宋体"/>
          <w:highlight w:val="yellow"/>
          <w:lang w:val="en-US"/>
        </w:rPr>
      </w:pPr>
      <w:r>
        <w:rPr>
          <w:rFonts w:ascii="Times New Roman" w:hAnsi="Times New Roman" w:eastAsia="宋体"/>
          <w:highlight w:val="yellow"/>
          <w:lang w:val="en-US"/>
        </w:rPr>
        <w:t>投标保证金</w:t>
      </w:r>
      <w:r>
        <w:rPr>
          <w:rFonts w:hint="eastAsia" w:ascii="Times New Roman" w:hAnsi="Times New Roman" w:eastAsia="宋体"/>
          <w:highlight w:val="yellow"/>
          <w:lang w:val="en-US"/>
        </w:rPr>
        <w:t>以</w:t>
      </w:r>
      <w:r>
        <w:rPr>
          <w:rFonts w:ascii="Times New Roman" w:hAnsi="Times New Roman" w:eastAsia="宋体"/>
          <w:highlight w:val="yellow"/>
          <w:lang w:val="en-US"/>
        </w:rPr>
        <w:t>银行转账形式提交的，须在汇款单上注明采购项目编号，并在</w:t>
      </w:r>
      <w:r>
        <w:rPr>
          <w:rFonts w:hint="eastAsia" w:ascii="Times New Roman" w:hAnsi="Times New Roman" w:eastAsia="宋体"/>
          <w:highlight w:val="yellow"/>
          <w:lang w:val="en-US"/>
        </w:rPr>
        <w:t>投标截止</w:t>
      </w:r>
      <w:r>
        <w:rPr>
          <w:rFonts w:ascii="Times New Roman" w:hAnsi="Times New Roman" w:eastAsia="宋体"/>
          <w:highlight w:val="yellow"/>
          <w:lang w:val="en-US"/>
        </w:rPr>
        <w:t>前</w:t>
      </w:r>
      <w:r>
        <w:rPr>
          <w:rFonts w:hint="eastAsia" w:ascii="Times New Roman" w:hAnsi="Times New Roman" w:eastAsia="宋体"/>
          <w:highlight w:val="yellow"/>
          <w:lang w:val="en-US"/>
        </w:rPr>
        <w:t>汇款至下述账号：</w:t>
      </w:r>
    </w:p>
    <w:p>
      <w:pPr>
        <w:widowControl w:val="0"/>
        <w:ind w:left="420" w:leftChars="200" w:firstLine="420" w:firstLineChars="200"/>
        <w:rPr>
          <w:rFonts w:ascii="Times New Roman" w:hAnsi="Times New Roman" w:eastAsia="宋体"/>
          <w:highlight w:val="yellow"/>
          <w:lang w:val="en-US"/>
        </w:rPr>
      </w:pPr>
      <w:r>
        <w:rPr>
          <w:rFonts w:ascii="Times New Roman" w:hAnsi="Times New Roman" w:eastAsia="宋体"/>
          <w:highlight w:val="yellow"/>
          <w:lang w:val="en-US"/>
        </w:rPr>
        <w:t>开户名称：公安部警用装备采购中心投标保证金</w:t>
      </w:r>
    </w:p>
    <w:p>
      <w:pPr>
        <w:widowControl w:val="0"/>
        <w:ind w:left="420" w:leftChars="200" w:firstLine="420" w:firstLineChars="200"/>
        <w:rPr>
          <w:rFonts w:ascii="Times New Roman" w:hAnsi="Times New Roman" w:eastAsia="宋体"/>
          <w:highlight w:val="yellow"/>
          <w:lang w:val="en-US"/>
        </w:rPr>
      </w:pPr>
      <w:r>
        <w:rPr>
          <w:rFonts w:ascii="Times New Roman" w:hAnsi="Times New Roman" w:eastAsia="宋体"/>
          <w:highlight w:val="yellow"/>
          <w:lang w:val="en-US"/>
        </w:rPr>
        <w:t>开户行：农行上海市分行营业部</w:t>
      </w:r>
    </w:p>
    <w:p>
      <w:pPr>
        <w:widowControl w:val="0"/>
        <w:ind w:left="420" w:leftChars="200" w:firstLine="420" w:firstLineChars="200"/>
        <w:rPr>
          <w:rFonts w:ascii="Times New Roman" w:hAnsi="Times New Roman" w:eastAsia="宋体"/>
          <w:highlight w:val="yellow"/>
          <w:lang w:val="en-US"/>
        </w:rPr>
      </w:pPr>
      <w:r>
        <w:rPr>
          <w:rFonts w:ascii="Times New Roman" w:hAnsi="Times New Roman" w:eastAsia="宋体"/>
          <w:highlight w:val="yellow"/>
          <w:lang w:val="en-US"/>
        </w:rPr>
        <w:t>银行帐号：03332200040041573</w:t>
      </w:r>
      <w:r>
        <w:rPr>
          <w:rFonts w:ascii="Times New Roman" w:hAnsi="Times New Roman" w:eastAsia="宋体"/>
          <w:highlight w:val="yellow"/>
        </w:rPr>
        <w:t>0000000001</w:t>
      </w:r>
    </w:p>
    <w:p>
      <w:pPr>
        <w:pStyle w:val="402"/>
        <w:ind w:left="794" w:hanging="794"/>
        <w:rPr>
          <w:bCs w:val="0"/>
          <w:highlight w:val="yellow"/>
        </w:rPr>
      </w:pPr>
      <w:r>
        <w:rPr>
          <w:bCs w:val="0"/>
          <w:highlight w:val="yellow"/>
        </w:rPr>
        <w:t>未按前述各款要求提交投标保证金，或所提交保证金不完全符合各项要求的投标，将被视为</w:t>
      </w:r>
      <w:r>
        <w:rPr>
          <w:highlight w:val="yellow"/>
        </w:rPr>
        <w:t>无效</w:t>
      </w:r>
      <w:r>
        <w:rPr>
          <w:bCs w:val="0"/>
          <w:highlight w:val="yellow"/>
        </w:rPr>
        <w:t>投标。</w:t>
      </w:r>
    </w:p>
    <w:p>
      <w:pPr>
        <w:pStyle w:val="402"/>
        <w:ind w:left="794" w:hanging="794"/>
        <w:rPr>
          <w:bCs w:val="0"/>
          <w:highlight w:val="yellow"/>
        </w:rPr>
      </w:pPr>
      <w:r>
        <w:rPr>
          <w:rFonts w:hint="eastAsia"/>
          <w:bCs w:val="0"/>
          <w:highlight w:val="yellow"/>
        </w:rPr>
        <w:t>警采中心</w:t>
      </w:r>
      <w:r>
        <w:rPr>
          <w:bCs w:val="0"/>
          <w:highlight w:val="yellow"/>
        </w:rPr>
        <w:t>应当自中标通知书发出之日起5个工作日内退还未中标供应商的投标保证金，</w:t>
      </w:r>
      <w:r>
        <w:rPr>
          <w:rFonts w:hint="eastAsia"/>
          <w:bCs w:val="0"/>
          <w:highlight w:val="yellow"/>
        </w:rPr>
        <w:t>自</w:t>
      </w:r>
      <w:r>
        <w:rPr>
          <w:highlight w:val="yellow"/>
        </w:rPr>
        <w:t>政府</w:t>
      </w:r>
      <w:r>
        <w:rPr>
          <w:bCs w:val="0"/>
          <w:highlight w:val="yellow"/>
        </w:rPr>
        <w:t>采购合同签订之日起5个工作日内退还中标</w:t>
      </w:r>
      <w:r>
        <w:rPr>
          <w:rFonts w:hint="eastAsia"/>
          <w:bCs w:val="0"/>
          <w:highlight w:val="yellow"/>
        </w:rPr>
        <w:t>人</w:t>
      </w:r>
      <w:r>
        <w:rPr>
          <w:bCs w:val="0"/>
          <w:highlight w:val="yellow"/>
        </w:rPr>
        <w:t>的投标保证金</w:t>
      </w:r>
      <w:r>
        <w:rPr>
          <w:rFonts w:hint="eastAsia"/>
          <w:bCs w:val="0"/>
          <w:highlight w:val="yellow"/>
        </w:rPr>
        <w:t>或者转为</w:t>
      </w:r>
      <w:r>
        <w:rPr>
          <w:bCs w:val="0"/>
          <w:highlight w:val="yellow"/>
        </w:rPr>
        <w:t>中标人的履约保证金。</w:t>
      </w:r>
    </w:p>
    <w:p>
      <w:pPr>
        <w:pStyle w:val="402"/>
        <w:ind w:left="794" w:hanging="794"/>
        <w:rPr>
          <w:bCs w:val="0"/>
          <w:highlight w:val="yellow"/>
        </w:rPr>
      </w:pPr>
      <w:r>
        <w:rPr>
          <w:rFonts w:hint="eastAsia"/>
          <w:bCs w:val="0"/>
          <w:highlight w:val="yellow"/>
        </w:rPr>
        <w:t>根据</w:t>
      </w:r>
      <w:r>
        <w:rPr>
          <w:rFonts w:hint="eastAsia"/>
          <w:highlight w:val="yellow"/>
        </w:rPr>
        <w:t>《政府采购货物和服务招标投标管理办法》</w:t>
      </w:r>
      <w:r>
        <w:rPr>
          <w:rFonts w:hint="eastAsia"/>
          <w:bCs w:val="0"/>
          <w:highlight w:val="yellow"/>
        </w:rPr>
        <w:t>（财政部令第</w:t>
      </w:r>
      <w:r>
        <w:rPr>
          <w:bCs w:val="0"/>
          <w:highlight w:val="yellow"/>
        </w:rPr>
        <w:t>87</w:t>
      </w:r>
      <w:r>
        <w:rPr>
          <w:rFonts w:hint="eastAsia"/>
          <w:bCs w:val="0"/>
          <w:highlight w:val="yellow"/>
        </w:rPr>
        <w:t>号）第二十条规定</w:t>
      </w:r>
      <w:r>
        <w:rPr>
          <w:bCs w:val="0"/>
          <w:highlight w:val="yellow"/>
        </w:rPr>
        <w:t>，</w:t>
      </w:r>
      <w:r>
        <w:rPr>
          <w:rFonts w:hint="eastAsia"/>
          <w:bCs w:val="0"/>
          <w:highlight w:val="yellow"/>
        </w:rPr>
        <w:t>投标</w:t>
      </w:r>
      <w:r>
        <w:rPr>
          <w:bCs w:val="0"/>
          <w:highlight w:val="yellow"/>
        </w:rPr>
        <w:t>保证金不予退还的情形</w:t>
      </w:r>
      <w:r>
        <w:rPr>
          <w:rFonts w:hint="eastAsia"/>
          <w:bCs w:val="0"/>
          <w:highlight w:val="yellow"/>
        </w:rPr>
        <w:t>如下</w:t>
      </w:r>
      <w:r>
        <w:rPr>
          <w:bCs w:val="0"/>
          <w:highlight w:val="yellow"/>
        </w:rPr>
        <w:t>：</w:t>
      </w:r>
    </w:p>
    <w:p>
      <w:pPr>
        <w:widowControl w:val="0"/>
        <w:ind w:left="420" w:leftChars="200" w:firstLine="420" w:firstLineChars="200"/>
        <w:rPr>
          <w:rFonts w:ascii="Times New Roman" w:hAnsi="Times New Roman" w:eastAsia="宋体"/>
          <w:highlight w:val="yellow"/>
          <w:lang w:val="en-US"/>
        </w:rPr>
      </w:pPr>
      <w:r>
        <w:rPr>
          <w:rFonts w:hint="eastAsia" w:ascii="Times New Roman" w:hAnsi="Times New Roman" w:eastAsia="宋体"/>
          <w:highlight w:val="yellow"/>
          <w:lang w:val="en-US"/>
        </w:rPr>
        <w:t>（一）供应商在提交投标文件截止时间后撤回投标文件的；</w:t>
      </w:r>
    </w:p>
    <w:p>
      <w:pPr>
        <w:widowControl w:val="0"/>
        <w:ind w:left="420" w:leftChars="200" w:firstLine="420" w:firstLineChars="200"/>
        <w:rPr>
          <w:rFonts w:ascii="Times New Roman" w:hAnsi="Times New Roman" w:eastAsia="宋体"/>
          <w:highlight w:val="yellow"/>
          <w:lang w:val="en-US"/>
        </w:rPr>
      </w:pPr>
      <w:r>
        <w:rPr>
          <w:rFonts w:hint="eastAsia" w:ascii="Times New Roman" w:hAnsi="Times New Roman" w:eastAsia="宋体"/>
          <w:highlight w:val="yellow"/>
          <w:lang w:val="en-US"/>
        </w:rPr>
        <w:t>（二）供应商在投标文件中提供虚假材料的；</w:t>
      </w:r>
    </w:p>
    <w:p>
      <w:pPr>
        <w:widowControl w:val="0"/>
        <w:ind w:left="420" w:leftChars="200" w:firstLine="420" w:firstLineChars="200"/>
        <w:rPr>
          <w:rFonts w:ascii="Times New Roman" w:hAnsi="Times New Roman" w:eastAsia="宋体"/>
          <w:highlight w:val="yellow"/>
          <w:lang w:val="en-US"/>
        </w:rPr>
      </w:pPr>
      <w:r>
        <w:rPr>
          <w:rFonts w:hint="eastAsia" w:ascii="Times New Roman" w:hAnsi="Times New Roman" w:eastAsia="宋体"/>
          <w:highlight w:val="yellow"/>
          <w:lang w:val="en-US"/>
        </w:rPr>
        <w:t>（三）除因不可抗力或法律</w:t>
      </w:r>
      <w:r>
        <w:rPr>
          <w:rFonts w:ascii="Times New Roman" w:hAnsi="Times New Roman" w:eastAsia="宋体"/>
          <w:highlight w:val="yellow"/>
          <w:lang w:val="en-US"/>
        </w:rPr>
        <w:t>规定的情形</w:t>
      </w:r>
      <w:r>
        <w:rPr>
          <w:rFonts w:hint="eastAsia" w:ascii="Times New Roman" w:hAnsi="Times New Roman" w:eastAsia="宋体"/>
          <w:highlight w:val="yellow"/>
          <w:lang w:val="en-US"/>
        </w:rPr>
        <w:t>以外，中标供应商不与采购人签订合同的；</w:t>
      </w:r>
    </w:p>
    <w:p>
      <w:pPr>
        <w:widowControl w:val="0"/>
        <w:ind w:left="420" w:leftChars="200" w:firstLine="420" w:firstLineChars="200"/>
        <w:rPr>
          <w:rFonts w:ascii="Times New Roman" w:hAnsi="Times New Roman" w:eastAsia="宋体"/>
          <w:highlight w:val="yellow"/>
          <w:lang w:val="en-US"/>
        </w:rPr>
      </w:pPr>
      <w:r>
        <w:rPr>
          <w:rFonts w:hint="eastAsia" w:ascii="Times New Roman" w:hAnsi="Times New Roman" w:eastAsia="宋体"/>
          <w:highlight w:val="yellow"/>
          <w:lang w:val="en-US"/>
        </w:rPr>
        <w:t>（四）供应商与采购人、其他供应商或者采购代理机构恶意串通的；</w:t>
      </w:r>
    </w:p>
    <w:p>
      <w:pPr>
        <w:widowControl w:val="0"/>
        <w:ind w:left="420" w:leftChars="200" w:firstLine="420" w:firstLineChars="200"/>
        <w:rPr>
          <w:rFonts w:ascii="Times New Roman" w:hAnsi="Times New Roman" w:eastAsia="宋体"/>
          <w:highlight w:val="yellow"/>
          <w:lang w:val="en-US"/>
        </w:rPr>
      </w:pPr>
      <w:r>
        <w:rPr>
          <w:rFonts w:hint="eastAsia" w:ascii="Times New Roman" w:hAnsi="Times New Roman" w:eastAsia="宋体"/>
          <w:highlight w:val="yellow"/>
          <w:lang w:val="en-US"/>
        </w:rPr>
        <w:t>（五）至投标截止时间，</w:t>
      </w:r>
      <w:r>
        <w:rPr>
          <w:rFonts w:ascii="Times New Roman" w:hAnsi="Times New Roman" w:eastAsia="宋体"/>
          <w:highlight w:val="yellow"/>
          <w:lang w:val="en-US"/>
        </w:rPr>
        <w:t>未</w:t>
      </w:r>
      <w:r>
        <w:rPr>
          <w:rFonts w:hint="eastAsia" w:ascii="Times New Roman" w:hAnsi="Times New Roman" w:eastAsia="宋体"/>
          <w:highlight w:val="yellow"/>
          <w:lang w:val="en-US"/>
        </w:rPr>
        <w:t>正式</w:t>
      </w:r>
      <w:r>
        <w:rPr>
          <w:rFonts w:ascii="Times New Roman" w:hAnsi="Times New Roman" w:eastAsia="宋体"/>
          <w:highlight w:val="yellow"/>
          <w:lang w:val="en-US"/>
        </w:rPr>
        <w:t>递交投标文件</w:t>
      </w:r>
      <w:r>
        <w:rPr>
          <w:rFonts w:hint="eastAsia" w:ascii="Times New Roman" w:hAnsi="Times New Roman" w:eastAsia="宋体"/>
          <w:highlight w:val="yellow"/>
          <w:lang w:val="en-US"/>
        </w:rPr>
        <w:t>且未递交撤标函</w:t>
      </w:r>
      <w:r>
        <w:rPr>
          <w:rFonts w:ascii="Times New Roman" w:hAnsi="Times New Roman" w:eastAsia="宋体"/>
          <w:highlight w:val="yellow"/>
          <w:lang w:val="en-US"/>
        </w:rPr>
        <w:t>的；</w:t>
      </w:r>
    </w:p>
    <w:p>
      <w:pPr>
        <w:widowControl w:val="0"/>
        <w:ind w:left="420" w:leftChars="200" w:firstLine="420" w:firstLineChars="200"/>
        <w:rPr>
          <w:rFonts w:ascii="Times New Roman" w:hAnsi="Times New Roman" w:eastAsia="宋体"/>
          <w:highlight w:val="yellow"/>
          <w:lang w:val="en-US"/>
        </w:rPr>
      </w:pPr>
      <w:r>
        <w:rPr>
          <w:rFonts w:hint="eastAsia" w:ascii="Times New Roman" w:hAnsi="Times New Roman" w:eastAsia="宋体"/>
          <w:highlight w:val="yellow"/>
          <w:lang w:val="en-US"/>
        </w:rPr>
        <w:t>（六）采购文件规定的其他情形。</w:t>
      </w:r>
    </w:p>
    <w:p>
      <w:pPr>
        <w:widowControl w:val="0"/>
        <w:numPr>
          <w:ilvl w:val="3"/>
          <w:numId w:val="11"/>
        </w:numPr>
        <w:tabs>
          <w:tab w:val="left" w:pos="360"/>
        </w:tabs>
        <w:outlineLvl w:val="3"/>
        <w:rPr>
          <w:rFonts w:ascii="Times New Roman" w:hAnsi="Times New Roman" w:eastAsia="宋体"/>
          <w:bCs/>
          <w:iCs/>
        </w:rPr>
      </w:pPr>
      <w:r>
        <w:rPr>
          <w:rFonts w:ascii="Times New Roman" w:hAnsi="Times New Roman" w:eastAsia="宋体"/>
          <w:bCs/>
          <w:iCs/>
        </w:rPr>
        <w:t>履约保证金：保证金是否收取按投标人须知前附表规定。</w:t>
      </w:r>
    </w:p>
    <w:p>
      <w:pPr>
        <w:pStyle w:val="402"/>
        <w:ind w:left="794" w:hanging="794"/>
        <w:rPr>
          <w:bCs w:val="0"/>
        </w:rPr>
      </w:pPr>
      <w:r>
        <w:rPr>
          <w:rFonts w:hint="eastAsia"/>
          <w:bCs w:val="0"/>
        </w:rPr>
        <w:t>本项目</w:t>
      </w:r>
      <w:r>
        <w:rPr>
          <w:rFonts w:hint="eastAsia"/>
          <w:bCs w:val="0"/>
          <w:lang w:val="en-US"/>
        </w:rPr>
        <w:t>如</w:t>
      </w:r>
      <w:r>
        <w:rPr>
          <w:rFonts w:hint="eastAsia"/>
          <w:bCs w:val="0"/>
        </w:rPr>
        <w:t>收取履约保证金，</w:t>
      </w:r>
      <w:r>
        <w:rPr>
          <w:rFonts w:hint="eastAsia"/>
          <w:bCs w:val="0"/>
          <w:lang w:val="en-US"/>
        </w:rPr>
        <w:t>供应商应当以</w:t>
      </w:r>
      <w:r>
        <w:rPr>
          <w:rFonts w:hint="eastAsia"/>
          <w:lang w:val="en-US"/>
        </w:rPr>
        <w:t>支票、汇票、本票或者金融机构、担保机构出具的保函等非现金形式提交</w:t>
      </w:r>
      <w:r>
        <w:rPr>
          <w:rFonts w:hint="eastAsia"/>
          <w:bCs w:val="0"/>
        </w:rPr>
        <w:t>。</w:t>
      </w:r>
    </w:p>
    <w:p>
      <w:pPr>
        <w:widowControl w:val="0"/>
        <w:numPr>
          <w:ilvl w:val="3"/>
          <w:numId w:val="11"/>
        </w:numPr>
        <w:tabs>
          <w:tab w:val="left" w:pos="360"/>
        </w:tabs>
        <w:outlineLvl w:val="3"/>
        <w:rPr>
          <w:rFonts w:ascii="Times New Roman" w:hAnsi="Times New Roman" w:eastAsia="宋体"/>
          <w:bCs/>
          <w:iCs/>
        </w:rPr>
      </w:pPr>
      <w:r>
        <w:rPr>
          <w:rFonts w:ascii="Times New Roman" w:hAnsi="Times New Roman" w:eastAsia="宋体"/>
          <w:bCs/>
          <w:iCs/>
        </w:rPr>
        <w:t>投标报价</w:t>
      </w:r>
    </w:p>
    <w:p>
      <w:pPr>
        <w:pStyle w:val="402"/>
        <w:ind w:left="794" w:hanging="794"/>
        <w:rPr>
          <w:bCs w:val="0"/>
        </w:rPr>
      </w:pPr>
      <w:r>
        <w:rPr>
          <w:bCs w:val="0"/>
        </w:rPr>
        <w:t>所有投标报价均以人民币元为计算单位。只要投报了一个确定数额的总价，无论分项价格是否全部填报了相应的金额或免费字样，报价应被视为已经包含了但并不限于各项购买货物及其保管、运送、安装、调试、验收、保险和相关服务等的费用和所需缴纳的所有价格、税、费。在其他情况下，由于分项报价填报不完整、不清楚或存在其他任何失误，所导致的任何不利后果均应当由投标人自行承担。</w:t>
      </w:r>
    </w:p>
    <w:p>
      <w:pPr>
        <w:widowControl w:val="0"/>
        <w:numPr>
          <w:ilvl w:val="4"/>
          <w:numId w:val="11"/>
        </w:numPr>
        <w:outlineLvl w:val="4"/>
        <w:rPr>
          <w:rFonts w:ascii="Times New Roman" w:hAnsi="Times New Roman" w:eastAsia="宋体"/>
          <w:bCs/>
          <w:szCs w:val="28"/>
        </w:rPr>
      </w:pPr>
      <w:r>
        <w:rPr>
          <w:rFonts w:ascii="Times New Roman" w:hAnsi="Times New Roman" w:eastAsia="宋体"/>
          <w:bCs/>
          <w:szCs w:val="28"/>
        </w:rPr>
        <w:t>投标人投报多包的，应对每包分别报价并分别填报开标一览表</w:t>
      </w:r>
      <w:r>
        <w:rPr>
          <w:rFonts w:hint="eastAsia" w:ascii="Times New Roman" w:hAnsi="Times New Roman" w:eastAsia="宋体"/>
          <w:bCs/>
          <w:szCs w:val="28"/>
        </w:rPr>
        <w:t>等</w:t>
      </w:r>
      <w:r>
        <w:rPr>
          <w:rFonts w:ascii="Times New Roman" w:hAnsi="Times New Roman" w:eastAsia="宋体"/>
          <w:bCs/>
          <w:szCs w:val="28"/>
        </w:rPr>
        <w:t>内容。</w:t>
      </w:r>
    </w:p>
    <w:p>
      <w:pPr>
        <w:widowControl w:val="0"/>
        <w:numPr>
          <w:ilvl w:val="4"/>
          <w:numId w:val="11"/>
        </w:numPr>
        <w:outlineLvl w:val="4"/>
        <w:rPr>
          <w:rFonts w:ascii="Times New Roman" w:hAnsi="Times New Roman" w:eastAsia="宋体"/>
          <w:bCs/>
          <w:szCs w:val="28"/>
        </w:rPr>
      </w:pPr>
      <w:r>
        <w:rPr>
          <w:rFonts w:ascii="Times New Roman" w:hAnsi="Times New Roman" w:eastAsia="宋体"/>
          <w:bCs/>
          <w:szCs w:val="28"/>
        </w:rPr>
        <w:t>开标一览表中价格填报处不应有空白，如无费用可填报“/”。</w:t>
      </w:r>
    </w:p>
    <w:p>
      <w:pPr>
        <w:widowControl w:val="0"/>
        <w:numPr>
          <w:ilvl w:val="4"/>
          <w:numId w:val="11"/>
        </w:numPr>
        <w:outlineLvl w:val="4"/>
        <w:rPr>
          <w:rFonts w:ascii="Times New Roman" w:hAnsi="Times New Roman" w:eastAsia="宋体"/>
          <w:bCs/>
          <w:szCs w:val="28"/>
        </w:rPr>
      </w:pPr>
      <w:r>
        <w:rPr>
          <w:rFonts w:ascii="Times New Roman" w:hAnsi="Times New Roman" w:eastAsia="宋体"/>
          <w:bCs/>
          <w:szCs w:val="28"/>
        </w:rPr>
        <w:t>投标人对投标报价若有说明应在开标一览表显著处注明。</w:t>
      </w:r>
    </w:p>
    <w:p>
      <w:pPr>
        <w:pStyle w:val="402"/>
        <w:ind w:left="794" w:hanging="794"/>
        <w:rPr>
          <w:bCs w:val="0"/>
        </w:rPr>
      </w:pPr>
      <w:r>
        <w:rPr>
          <w:bCs w:val="0"/>
        </w:rPr>
        <w:t>对于有配件、耗材、选件和特殊工具的货物，还应填报投标货物配件、耗材、选件表和备件及特殊工具清单，注明品牌、型号、产地、功能、单价、批量折扣等内容，该表格式由投标人自行设计。投标人按照上述要求分类报价，其目的是便于评标，但在任何情况下并不限制采购人或警采中心以其他条款签订合同的权利。</w:t>
      </w:r>
    </w:p>
    <w:p>
      <w:pPr>
        <w:widowControl w:val="0"/>
        <w:numPr>
          <w:ilvl w:val="4"/>
          <w:numId w:val="11"/>
        </w:numPr>
        <w:outlineLvl w:val="4"/>
        <w:rPr>
          <w:rFonts w:ascii="Times New Roman" w:hAnsi="Times New Roman" w:eastAsia="宋体"/>
          <w:bCs/>
          <w:szCs w:val="28"/>
        </w:rPr>
      </w:pPr>
      <w:r>
        <w:rPr>
          <w:rFonts w:ascii="Times New Roman" w:hAnsi="Times New Roman" w:eastAsia="宋体"/>
          <w:bCs/>
          <w:szCs w:val="28"/>
        </w:rPr>
        <w:t>最低报价不能作为中标的保证。</w:t>
      </w:r>
    </w:p>
    <w:p>
      <w:pPr>
        <w:widowControl w:val="0"/>
        <w:numPr>
          <w:ilvl w:val="2"/>
          <w:numId w:val="11"/>
        </w:numPr>
        <w:tabs>
          <w:tab w:val="left" w:pos="0"/>
        </w:tabs>
        <w:spacing w:before="120" w:beforeLines="50" w:line="360" w:lineRule="auto"/>
        <w:jc w:val="both"/>
        <w:outlineLvl w:val="2"/>
        <w:rPr>
          <w:rFonts w:ascii="Times New Roman" w:hAnsi="Times New Roman" w:eastAsia="黑体"/>
          <w:bCs/>
          <w:sz w:val="24"/>
          <w:szCs w:val="24"/>
        </w:rPr>
      </w:pPr>
      <w:r>
        <w:rPr>
          <w:rFonts w:ascii="Times New Roman" w:hAnsi="Times New Roman" w:eastAsia="黑体"/>
          <w:bCs/>
          <w:sz w:val="24"/>
          <w:szCs w:val="24"/>
        </w:rPr>
        <w:t>投标文件的有效期</w:t>
      </w:r>
    </w:p>
    <w:p>
      <w:pPr>
        <w:widowControl w:val="0"/>
        <w:numPr>
          <w:ilvl w:val="3"/>
          <w:numId w:val="11"/>
        </w:numPr>
        <w:tabs>
          <w:tab w:val="left" w:pos="360"/>
        </w:tabs>
        <w:outlineLvl w:val="3"/>
        <w:rPr>
          <w:rFonts w:ascii="Times New Roman" w:hAnsi="Times New Roman" w:eastAsia="宋体"/>
          <w:bCs/>
          <w:iCs/>
        </w:rPr>
      </w:pPr>
      <w:r>
        <w:rPr>
          <w:rFonts w:ascii="Times New Roman" w:hAnsi="Times New Roman" w:eastAsia="宋体"/>
          <w:bCs/>
          <w:iCs/>
        </w:rPr>
        <w:t>本项目投标文件的有效期详见投标人须知前附表。</w:t>
      </w:r>
      <w:r>
        <w:rPr>
          <w:rFonts w:hint="eastAsia" w:ascii="Times New Roman" w:hAnsi="Times New Roman" w:eastAsia="宋体"/>
          <w:bCs/>
          <w:iCs/>
        </w:rPr>
        <w:t>投标有效期从提交投标文件的截止之日起算。投标文件中承诺的投标有效期应当不少于招标文件中载明的投标有效期。投标有效期内投标人撤销投标文件的，采购人或者采购代理机构可以不退还投标保证金。</w:t>
      </w:r>
    </w:p>
    <w:p>
      <w:pPr>
        <w:widowControl w:val="0"/>
        <w:numPr>
          <w:ilvl w:val="3"/>
          <w:numId w:val="11"/>
        </w:numPr>
        <w:tabs>
          <w:tab w:val="left" w:pos="360"/>
        </w:tabs>
        <w:outlineLvl w:val="3"/>
        <w:rPr>
          <w:rFonts w:ascii="Times New Roman" w:hAnsi="Times New Roman" w:eastAsia="宋体"/>
          <w:bCs/>
          <w:iCs/>
        </w:rPr>
      </w:pPr>
      <w:r>
        <w:rPr>
          <w:rFonts w:ascii="Times New Roman" w:hAnsi="Times New Roman" w:eastAsia="宋体"/>
          <w:bCs/>
          <w:iCs/>
        </w:rPr>
        <w:t>在特殊情况下，采购人或警采中心可与投标人协商延长投标文件的有效期。这种要求和答复都应以书面形式进行。此时，按本须知规定的投标保证金的有效期也相应延长。同意延长有效期的投标人除按照采购人或警采中心要求修改投标文件有效期外，不得修改投标文件的其他内容。</w:t>
      </w:r>
    </w:p>
    <w:p>
      <w:pPr>
        <w:widowControl w:val="0"/>
        <w:numPr>
          <w:ilvl w:val="2"/>
          <w:numId w:val="11"/>
        </w:numPr>
        <w:tabs>
          <w:tab w:val="left" w:pos="0"/>
        </w:tabs>
        <w:spacing w:before="120" w:beforeLines="50" w:line="360" w:lineRule="auto"/>
        <w:jc w:val="both"/>
        <w:outlineLvl w:val="2"/>
        <w:rPr>
          <w:rFonts w:ascii="Times New Roman" w:hAnsi="Times New Roman" w:eastAsia="黑体"/>
          <w:bCs/>
          <w:sz w:val="24"/>
          <w:szCs w:val="24"/>
        </w:rPr>
      </w:pPr>
      <w:r>
        <w:rPr>
          <w:rFonts w:ascii="Times New Roman" w:hAnsi="Times New Roman" w:eastAsia="黑体"/>
          <w:bCs/>
          <w:sz w:val="24"/>
          <w:szCs w:val="24"/>
        </w:rPr>
        <w:t>投标文件的签署及其他规定</w:t>
      </w:r>
    </w:p>
    <w:p>
      <w:pPr>
        <w:widowControl w:val="0"/>
        <w:numPr>
          <w:ilvl w:val="3"/>
          <w:numId w:val="11"/>
        </w:numPr>
        <w:tabs>
          <w:tab w:val="left" w:pos="360"/>
        </w:tabs>
        <w:outlineLvl w:val="3"/>
        <w:rPr>
          <w:rFonts w:ascii="Times New Roman" w:hAnsi="Times New Roman" w:eastAsia="宋体"/>
          <w:bCs/>
          <w:iCs/>
        </w:rPr>
      </w:pPr>
      <w:r>
        <w:rPr>
          <w:rFonts w:ascii="Times New Roman" w:hAnsi="Times New Roman" w:eastAsia="宋体"/>
          <w:bCs/>
          <w:iCs/>
        </w:rPr>
        <w:t>投标文件签署要求如下：</w:t>
      </w:r>
    </w:p>
    <w:p>
      <w:pPr>
        <w:pStyle w:val="402"/>
        <w:ind w:left="794" w:hanging="794"/>
        <w:rPr>
          <w:bCs w:val="0"/>
        </w:rPr>
      </w:pPr>
      <w:r>
        <w:rPr>
          <w:bCs w:val="0"/>
        </w:rPr>
        <w:t>投标人在“投标函”、“法定代表人授权委托书”上应当按格式要求加盖与投标人名称全称相</w:t>
      </w:r>
      <w:r>
        <w:t>一致</w:t>
      </w:r>
      <w:r>
        <w:rPr>
          <w:bCs w:val="0"/>
        </w:rPr>
        <w:t>的标准公章，并签署法定代表人或投标人代表的全名；</w:t>
      </w:r>
    </w:p>
    <w:p>
      <w:pPr>
        <w:pStyle w:val="402"/>
        <w:ind w:left="794" w:hanging="794"/>
        <w:rPr>
          <w:bCs w:val="0"/>
        </w:rPr>
      </w:pPr>
      <w:r>
        <w:rPr>
          <w:bCs w:val="0"/>
        </w:rPr>
        <w:t>如投标人为联合体，上述文件联合体全权代表方应盖章，并签署联合体全权代表方法定</w:t>
      </w:r>
      <w:r>
        <w:t>代表</w:t>
      </w:r>
      <w:r>
        <w:rPr>
          <w:bCs w:val="0"/>
        </w:rPr>
        <w:t>人或投标人代表的全名；</w:t>
      </w:r>
    </w:p>
    <w:p>
      <w:pPr>
        <w:widowControl w:val="0"/>
        <w:numPr>
          <w:ilvl w:val="3"/>
          <w:numId w:val="11"/>
        </w:numPr>
        <w:tabs>
          <w:tab w:val="left" w:pos="360"/>
        </w:tabs>
        <w:outlineLvl w:val="3"/>
        <w:rPr>
          <w:rFonts w:ascii="Times New Roman" w:hAnsi="Times New Roman" w:eastAsia="宋体"/>
          <w:bCs/>
          <w:iCs/>
        </w:rPr>
      </w:pPr>
      <w:r>
        <w:rPr>
          <w:rFonts w:ascii="Times New Roman" w:hAnsi="Times New Roman" w:eastAsia="宋体"/>
          <w:bCs/>
          <w:iCs/>
        </w:rPr>
        <w:t>因投标文件字迹潦草或表达不清所引起的不利后果由投标人承担。</w:t>
      </w:r>
    </w:p>
    <w:p>
      <w:pPr>
        <w:widowControl w:val="0"/>
        <w:numPr>
          <w:ilvl w:val="1"/>
          <w:numId w:val="11"/>
        </w:numPr>
        <w:tabs>
          <w:tab w:val="left" w:pos="0"/>
        </w:tabs>
        <w:snapToGrid w:val="0"/>
        <w:spacing w:before="120" w:beforeLines="50" w:after="120" w:line="360" w:lineRule="auto"/>
        <w:ind w:left="0" w:firstLine="0"/>
        <w:outlineLvl w:val="1"/>
        <w:rPr>
          <w:rFonts w:ascii="Times New Roman" w:hAnsi="Times New Roman" w:eastAsia="黑体"/>
          <w:b/>
          <w:sz w:val="32"/>
          <w:szCs w:val="21"/>
        </w:rPr>
      </w:pPr>
      <w:bookmarkStart w:id="52" w:name="_Toc31806"/>
      <w:bookmarkStart w:id="53" w:name="_Toc11286"/>
      <w:bookmarkStart w:id="54" w:name="_Toc31288"/>
      <w:r>
        <w:rPr>
          <w:rFonts w:ascii="Times New Roman" w:hAnsi="Times New Roman" w:eastAsia="黑体"/>
          <w:sz w:val="32"/>
          <w:szCs w:val="21"/>
        </w:rPr>
        <w:t>开标、评标</w:t>
      </w:r>
      <w:bookmarkEnd w:id="52"/>
      <w:bookmarkEnd w:id="53"/>
      <w:bookmarkEnd w:id="54"/>
    </w:p>
    <w:p>
      <w:pPr>
        <w:widowControl w:val="0"/>
        <w:numPr>
          <w:ilvl w:val="2"/>
          <w:numId w:val="11"/>
        </w:numPr>
        <w:tabs>
          <w:tab w:val="left" w:pos="0"/>
        </w:tabs>
        <w:spacing w:before="120" w:beforeLines="50" w:line="360" w:lineRule="auto"/>
        <w:jc w:val="both"/>
        <w:outlineLvl w:val="2"/>
        <w:rPr>
          <w:rFonts w:ascii="Times New Roman" w:hAnsi="Times New Roman" w:eastAsia="黑体"/>
          <w:bCs/>
          <w:sz w:val="24"/>
          <w:szCs w:val="24"/>
        </w:rPr>
      </w:pPr>
      <w:r>
        <w:rPr>
          <w:rFonts w:ascii="Times New Roman" w:hAnsi="Times New Roman" w:eastAsia="黑体"/>
          <w:bCs/>
          <w:sz w:val="24"/>
          <w:szCs w:val="24"/>
        </w:rPr>
        <w:t>开标</w:t>
      </w:r>
    </w:p>
    <w:p>
      <w:pPr>
        <w:widowControl w:val="0"/>
        <w:numPr>
          <w:ilvl w:val="3"/>
          <w:numId w:val="11"/>
        </w:numPr>
        <w:tabs>
          <w:tab w:val="left" w:pos="360"/>
        </w:tabs>
        <w:outlineLvl w:val="3"/>
        <w:rPr>
          <w:rFonts w:ascii="Times New Roman" w:hAnsi="Times New Roman" w:eastAsia="宋体"/>
          <w:bCs/>
          <w:iCs/>
        </w:rPr>
      </w:pPr>
      <w:r>
        <w:rPr>
          <w:rFonts w:ascii="Times New Roman" w:hAnsi="Times New Roman" w:eastAsia="宋体"/>
          <w:bCs/>
          <w:iCs/>
        </w:rPr>
        <w:t>警采中心按招标文件规定的时间、地点主持开标。</w:t>
      </w:r>
    </w:p>
    <w:p>
      <w:pPr>
        <w:widowControl w:val="0"/>
        <w:numPr>
          <w:ilvl w:val="3"/>
          <w:numId w:val="11"/>
        </w:numPr>
        <w:tabs>
          <w:tab w:val="left" w:pos="360"/>
        </w:tabs>
        <w:outlineLvl w:val="3"/>
        <w:rPr>
          <w:rFonts w:ascii="Times New Roman" w:hAnsi="Times New Roman" w:eastAsia="宋体"/>
          <w:bCs/>
          <w:iCs/>
        </w:rPr>
      </w:pPr>
      <w:r>
        <w:rPr>
          <w:rFonts w:ascii="Times New Roman" w:hAnsi="Times New Roman" w:eastAsia="宋体"/>
          <w:bCs/>
          <w:iCs/>
        </w:rPr>
        <w:t>投标人不足3家，不进入后续程序。</w:t>
      </w:r>
    </w:p>
    <w:p>
      <w:pPr>
        <w:widowControl w:val="0"/>
        <w:numPr>
          <w:ilvl w:val="3"/>
          <w:numId w:val="11"/>
        </w:numPr>
        <w:tabs>
          <w:tab w:val="left" w:pos="360"/>
        </w:tabs>
        <w:outlineLvl w:val="3"/>
        <w:rPr>
          <w:rFonts w:ascii="Times New Roman" w:hAnsi="Times New Roman" w:eastAsia="宋体"/>
        </w:rPr>
      </w:pPr>
      <w:r>
        <w:rPr>
          <w:rFonts w:ascii="Times New Roman" w:hAnsi="Times New Roman" w:eastAsia="宋体"/>
          <w:bCs/>
          <w:iCs/>
        </w:rPr>
        <w:t>超过项目预算（分包预算）或最高限价的投标将被拒绝。</w:t>
      </w:r>
    </w:p>
    <w:p>
      <w:pPr>
        <w:widowControl w:val="0"/>
        <w:numPr>
          <w:ilvl w:val="2"/>
          <w:numId w:val="11"/>
        </w:numPr>
        <w:tabs>
          <w:tab w:val="left" w:pos="0"/>
        </w:tabs>
        <w:spacing w:before="120" w:beforeLines="50" w:line="360" w:lineRule="auto"/>
        <w:jc w:val="both"/>
        <w:outlineLvl w:val="2"/>
        <w:rPr>
          <w:rFonts w:ascii="Times New Roman" w:hAnsi="Times New Roman" w:eastAsia="黑体"/>
          <w:bCs/>
          <w:sz w:val="24"/>
          <w:szCs w:val="24"/>
        </w:rPr>
      </w:pPr>
      <w:r>
        <w:rPr>
          <w:rFonts w:ascii="Times New Roman" w:hAnsi="Times New Roman" w:eastAsia="黑体"/>
          <w:bCs/>
          <w:sz w:val="24"/>
          <w:szCs w:val="24"/>
        </w:rPr>
        <w:t>资格审查</w:t>
      </w:r>
    </w:p>
    <w:p>
      <w:pPr>
        <w:widowControl w:val="0"/>
        <w:numPr>
          <w:ilvl w:val="3"/>
          <w:numId w:val="11"/>
        </w:numPr>
        <w:tabs>
          <w:tab w:val="left" w:pos="360"/>
        </w:tabs>
        <w:outlineLvl w:val="3"/>
        <w:rPr>
          <w:rFonts w:ascii="Times New Roman" w:hAnsi="Times New Roman" w:eastAsia="宋体"/>
          <w:bCs/>
          <w:iCs/>
        </w:rPr>
      </w:pPr>
      <w:r>
        <w:rPr>
          <w:rFonts w:ascii="Times New Roman" w:hAnsi="Times New Roman" w:eastAsia="宋体"/>
          <w:bCs/>
          <w:iCs/>
        </w:rPr>
        <w:t>开标结束后，采购人或警采中心依法按照招标文件规定，对照投标文件资格审查材料对投标人的资格进行审查。</w:t>
      </w:r>
      <w:r>
        <w:rPr>
          <w:rFonts w:hint="eastAsia" w:ascii="Times New Roman" w:hAnsi="Times New Roman" w:eastAsia="宋体"/>
          <w:bCs/>
          <w:iCs/>
        </w:rPr>
        <w:t>资格</w:t>
      </w:r>
      <w:r>
        <w:rPr>
          <w:rFonts w:ascii="Times New Roman" w:hAnsi="Times New Roman" w:eastAsia="宋体"/>
          <w:bCs/>
          <w:iCs/>
        </w:rPr>
        <w:t>审查材料</w:t>
      </w:r>
      <w:r>
        <w:rPr>
          <w:rFonts w:hint="eastAsia" w:ascii="Times New Roman" w:hAnsi="Times New Roman" w:eastAsia="宋体"/>
          <w:bCs/>
          <w:iCs/>
        </w:rPr>
        <w:t>要求</w:t>
      </w:r>
      <w:r>
        <w:rPr>
          <w:rFonts w:ascii="Times New Roman" w:hAnsi="Times New Roman" w:eastAsia="宋体"/>
          <w:bCs/>
          <w:iCs/>
        </w:rPr>
        <w:t>详见前附表。</w:t>
      </w:r>
    </w:p>
    <w:p>
      <w:pPr>
        <w:widowControl w:val="0"/>
        <w:numPr>
          <w:ilvl w:val="3"/>
          <w:numId w:val="11"/>
        </w:numPr>
        <w:tabs>
          <w:tab w:val="left" w:pos="360"/>
        </w:tabs>
        <w:outlineLvl w:val="3"/>
        <w:rPr>
          <w:rFonts w:ascii="Times New Roman" w:hAnsi="Times New Roman" w:eastAsia="宋体"/>
          <w:bCs/>
          <w:iCs/>
        </w:rPr>
      </w:pPr>
      <w:r>
        <w:rPr>
          <w:rFonts w:hint="eastAsia" w:ascii="Times New Roman" w:hAnsi="Times New Roman" w:eastAsia="宋体"/>
          <w:bCs/>
          <w:iCs/>
        </w:rPr>
        <w:t>投标人提交的资格</w:t>
      </w:r>
      <w:r>
        <w:rPr>
          <w:rFonts w:ascii="Times New Roman" w:hAnsi="Times New Roman" w:eastAsia="宋体"/>
          <w:bCs/>
          <w:iCs/>
        </w:rPr>
        <w:t>审查</w:t>
      </w:r>
      <w:r>
        <w:rPr>
          <w:rFonts w:hint="eastAsia" w:ascii="Times New Roman" w:hAnsi="Times New Roman" w:eastAsia="宋体"/>
          <w:bCs/>
          <w:iCs/>
        </w:rPr>
        <w:t>材料若有缺失、虚假或无效，则不允许投标人进入下一阶段的评审。审查通过了则允许投标人进入下一阶段的评审。</w:t>
      </w:r>
    </w:p>
    <w:p>
      <w:pPr>
        <w:widowControl w:val="0"/>
        <w:numPr>
          <w:ilvl w:val="3"/>
          <w:numId w:val="11"/>
        </w:numPr>
        <w:tabs>
          <w:tab w:val="left" w:pos="360"/>
        </w:tabs>
        <w:outlineLvl w:val="3"/>
        <w:rPr>
          <w:rFonts w:ascii="Times New Roman" w:hAnsi="Times New Roman" w:eastAsia="宋体"/>
          <w:bCs/>
          <w:iCs/>
        </w:rPr>
      </w:pPr>
      <w:r>
        <w:rPr>
          <w:rFonts w:hint="eastAsia" w:ascii="Times New Roman" w:hAnsi="Times New Roman" w:eastAsia="宋体"/>
          <w:bCs/>
          <w:iCs/>
        </w:rPr>
        <w:t>资格</w:t>
      </w:r>
      <w:r>
        <w:rPr>
          <w:rFonts w:ascii="Times New Roman" w:hAnsi="Times New Roman" w:eastAsia="宋体"/>
          <w:bCs/>
          <w:iCs/>
        </w:rPr>
        <w:t>审查后的合格投标人不足3家的，不进入评标程序。</w:t>
      </w:r>
    </w:p>
    <w:p>
      <w:pPr>
        <w:widowControl w:val="0"/>
        <w:numPr>
          <w:ilvl w:val="2"/>
          <w:numId w:val="11"/>
        </w:numPr>
        <w:tabs>
          <w:tab w:val="left" w:pos="0"/>
        </w:tabs>
        <w:spacing w:before="120" w:beforeLines="50" w:line="360" w:lineRule="auto"/>
        <w:jc w:val="both"/>
        <w:outlineLvl w:val="2"/>
        <w:rPr>
          <w:rFonts w:ascii="Times New Roman" w:hAnsi="Times New Roman" w:eastAsia="黑体"/>
          <w:bCs/>
          <w:sz w:val="24"/>
          <w:szCs w:val="24"/>
        </w:rPr>
      </w:pPr>
      <w:r>
        <w:rPr>
          <w:rFonts w:ascii="Times New Roman" w:hAnsi="Times New Roman" w:eastAsia="黑体"/>
          <w:bCs/>
          <w:sz w:val="24"/>
          <w:szCs w:val="24"/>
        </w:rPr>
        <w:t>组建评标委员会</w:t>
      </w:r>
    </w:p>
    <w:p>
      <w:pPr>
        <w:widowControl w:val="0"/>
        <w:numPr>
          <w:ilvl w:val="3"/>
          <w:numId w:val="11"/>
        </w:numPr>
        <w:tabs>
          <w:tab w:val="left" w:pos="360"/>
        </w:tabs>
        <w:outlineLvl w:val="3"/>
        <w:rPr>
          <w:rFonts w:ascii="Times New Roman" w:hAnsi="Times New Roman" w:eastAsia="宋体"/>
          <w:bCs/>
          <w:iCs/>
        </w:rPr>
      </w:pPr>
      <w:r>
        <w:rPr>
          <w:rFonts w:hint="eastAsia" w:ascii="Times New Roman" w:hAnsi="Times New Roman" w:eastAsia="宋体"/>
          <w:bCs/>
          <w:iCs/>
        </w:rPr>
        <w:t>警采中心</w:t>
      </w:r>
      <w:r>
        <w:rPr>
          <w:rFonts w:ascii="Times New Roman" w:hAnsi="Times New Roman" w:eastAsia="宋体"/>
          <w:bCs/>
          <w:iCs/>
        </w:rPr>
        <w:t>根据有关法律法规</w:t>
      </w:r>
      <w:r>
        <w:rPr>
          <w:rFonts w:hint="eastAsia" w:ascii="Times New Roman" w:hAnsi="Times New Roman" w:eastAsia="宋体"/>
          <w:bCs/>
          <w:iCs/>
        </w:rPr>
        <w:t>和相关规定，</w:t>
      </w:r>
      <w:r>
        <w:rPr>
          <w:rFonts w:ascii="Times New Roman" w:hAnsi="Times New Roman" w:eastAsia="宋体"/>
          <w:bCs/>
          <w:iCs/>
        </w:rPr>
        <w:t>结合本招标项目专业要求组建评标委员会，对具备实质性响应的投标文件进行评估和比较。评标委员会由采购人代表和有关技术、经济等方面的专家组成，成员人数应当为5人（含）以上单数。其中，技术、经济等方面的专家不得少于成员总数的2/3。采购数额在1000万元以上、技术复杂、社会影响较大的项目，评标委员会成员人数应当为7人（含）以上单数。</w:t>
      </w:r>
    </w:p>
    <w:p>
      <w:pPr>
        <w:widowControl w:val="0"/>
        <w:numPr>
          <w:ilvl w:val="3"/>
          <w:numId w:val="11"/>
        </w:numPr>
        <w:tabs>
          <w:tab w:val="left" w:pos="360"/>
        </w:tabs>
        <w:outlineLvl w:val="3"/>
        <w:rPr>
          <w:rFonts w:ascii="Times New Roman" w:hAnsi="Times New Roman" w:eastAsia="宋体"/>
          <w:bCs/>
          <w:iCs/>
        </w:rPr>
      </w:pPr>
      <w:r>
        <w:rPr>
          <w:rFonts w:ascii="Times New Roman" w:hAnsi="Times New Roman" w:eastAsia="宋体"/>
          <w:bCs/>
          <w:iCs/>
        </w:rPr>
        <w:t>评标委员会成员与参加采购活动的供应商存在下列利害关系之一的，不能参加评标：</w:t>
      </w:r>
    </w:p>
    <w:p>
      <w:pPr>
        <w:pStyle w:val="402"/>
        <w:ind w:left="794" w:hanging="794"/>
        <w:rPr>
          <w:bCs w:val="0"/>
        </w:rPr>
      </w:pPr>
      <w:r>
        <w:rPr>
          <w:bCs w:val="0"/>
        </w:rPr>
        <w:t>与供应商的法定代表人或者负责人有夫妻、直系血亲、三代以内旁系血亲或者近姻亲关系；</w:t>
      </w:r>
    </w:p>
    <w:p>
      <w:pPr>
        <w:widowControl w:val="0"/>
        <w:numPr>
          <w:ilvl w:val="4"/>
          <w:numId w:val="11"/>
        </w:numPr>
        <w:outlineLvl w:val="4"/>
        <w:rPr>
          <w:rFonts w:ascii="Times New Roman" w:hAnsi="Times New Roman" w:eastAsia="宋体"/>
          <w:bCs/>
          <w:szCs w:val="28"/>
        </w:rPr>
      </w:pPr>
      <w:r>
        <w:rPr>
          <w:rFonts w:ascii="Times New Roman" w:hAnsi="Times New Roman" w:eastAsia="宋体"/>
          <w:bCs/>
          <w:szCs w:val="28"/>
        </w:rPr>
        <w:t>与供应商有其他可能影响政府采购活动公平、公正进行的关系。</w:t>
      </w:r>
    </w:p>
    <w:p>
      <w:pPr>
        <w:widowControl w:val="0"/>
        <w:numPr>
          <w:ilvl w:val="3"/>
          <w:numId w:val="11"/>
        </w:numPr>
        <w:tabs>
          <w:tab w:val="left" w:pos="360"/>
        </w:tabs>
        <w:outlineLvl w:val="3"/>
        <w:rPr>
          <w:rFonts w:ascii="Times New Roman" w:hAnsi="Times New Roman" w:eastAsia="宋体"/>
          <w:bCs/>
          <w:iCs/>
        </w:rPr>
      </w:pPr>
      <w:r>
        <w:rPr>
          <w:rFonts w:ascii="Times New Roman" w:hAnsi="Times New Roman" w:eastAsia="宋体"/>
          <w:bCs/>
          <w:iCs/>
        </w:rPr>
        <w:t>采购人、警采中心就本项目招标文件征询过意见的专家，不能参加评标。</w:t>
      </w:r>
    </w:p>
    <w:p>
      <w:pPr>
        <w:widowControl w:val="0"/>
        <w:numPr>
          <w:ilvl w:val="3"/>
          <w:numId w:val="11"/>
        </w:numPr>
        <w:tabs>
          <w:tab w:val="left" w:pos="360"/>
        </w:tabs>
        <w:outlineLvl w:val="3"/>
        <w:rPr>
          <w:rFonts w:ascii="Times New Roman" w:hAnsi="Times New Roman" w:eastAsia="宋体"/>
          <w:bCs/>
          <w:iCs/>
        </w:rPr>
      </w:pPr>
      <w:r>
        <w:rPr>
          <w:rFonts w:ascii="Times New Roman" w:hAnsi="Times New Roman" w:eastAsia="宋体"/>
          <w:bCs/>
          <w:iCs/>
        </w:rPr>
        <w:t>采购人只能以采购人代表的身份参与评标，警采中心工作人员不得参加评标。</w:t>
      </w:r>
    </w:p>
    <w:p>
      <w:pPr>
        <w:widowControl w:val="0"/>
        <w:numPr>
          <w:ilvl w:val="3"/>
          <w:numId w:val="11"/>
        </w:numPr>
        <w:tabs>
          <w:tab w:val="left" w:pos="360"/>
        </w:tabs>
        <w:outlineLvl w:val="3"/>
        <w:rPr>
          <w:rFonts w:ascii="Times New Roman" w:hAnsi="Times New Roman" w:eastAsia="宋体"/>
          <w:bCs/>
          <w:iCs/>
        </w:rPr>
      </w:pPr>
      <w:r>
        <w:rPr>
          <w:rFonts w:ascii="Times New Roman" w:hAnsi="Times New Roman" w:eastAsia="宋体"/>
          <w:bCs/>
          <w:iCs/>
        </w:rPr>
        <w:t>评标委员会负责具体评标事务，并独立履行下列职责：</w:t>
      </w:r>
    </w:p>
    <w:p>
      <w:pPr>
        <w:widowControl w:val="0"/>
        <w:numPr>
          <w:ilvl w:val="4"/>
          <w:numId w:val="11"/>
        </w:numPr>
        <w:outlineLvl w:val="4"/>
        <w:rPr>
          <w:rFonts w:ascii="Times New Roman" w:hAnsi="Times New Roman" w:eastAsia="宋体"/>
          <w:bCs/>
          <w:szCs w:val="28"/>
        </w:rPr>
      </w:pPr>
      <w:r>
        <w:rPr>
          <w:rFonts w:ascii="Times New Roman" w:hAnsi="Times New Roman" w:eastAsia="宋体"/>
          <w:bCs/>
          <w:szCs w:val="28"/>
        </w:rPr>
        <w:t>审查、评价投标文件是否符合招标文件的实质性要求；</w:t>
      </w:r>
    </w:p>
    <w:p>
      <w:pPr>
        <w:widowControl w:val="0"/>
        <w:numPr>
          <w:ilvl w:val="4"/>
          <w:numId w:val="11"/>
        </w:numPr>
        <w:outlineLvl w:val="4"/>
        <w:rPr>
          <w:rFonts w:ascii="Times New Roman" w:hAnsi="Times New Roman" w:eastAsia="宋体"/>
          <w:bCs/>
          <w:szCs w:val="28"/>
        </w:rPr>
      </w:pPr>
      <w:r>
        <w:rPr>
          <w:rFonts w:ascii="Times New Roman" w:hAnsi="Times New Roman" w:eastAsia="宋体"/>
          <w:bCs/>
          <w:szCs w:val="28"/>
        </w:rPr>
        <w:t>要求投标人对投标文件有关事项作出澄清或者说明；</w:t>
      </w:r>
    </w:p>
    <w:p>
      <w:pPr>
        <w:widowControl w:val="0"/>
        <w:numPr>
          <w:ilvl w:val="4"/>
          <w:numId w:val="11"/>
        </w:numPr>
        <w:outlineLvl w:val="4"/>
        <w:rPr>
          <w:rFonts w:ascii="Times New Roman" w:hAnsi="Times New Roman" w:eastAsia="宋体"/>
          <w:bCs/>
          <w:szCs w:val="28"/>
        </w:rPr>
      </w:pPr>
      <w:r>
        <w:rPr>
          <w:rFonts w:ascii="Times New Roman" w:hAnsi="Times New Roman" w:eastAsia="宋体"/>
          <w:bCs/>
          <w:szCs w:val="28"/>
        </w:rPr>
        <w:t>对投标文件进行比较和评价；</w:t>
      </w:r>
    </w:p>
    <w:p>
      <w:pPr>
        <w:widowControl w:val="0"/>
        <w:numPr>
          <w:ilvl w:val="4"/>
          <w:numId w:val="11"/>
        </w:numPr>
        <w:outlineLvl w:val="4"/>
        <w:rPr>
          <w:rFonts w:ascii="Times New Roman" w:hAnsi="Times New Roman" w:eastAsia="宋体"/>
          <w:bCs/>
          <w:szCs w:val="28"/>
        </w:rPr>
      </w:pPr>
      <w:r>
        <w:rPr>
          <w:rFonts w:ascii="Times New Roman" w:hAnsi="Times New Roman" w:eastAsia="宋体"/>
          <w:bCs/>
          <w:szCs w:val="28"/>
        </w:rPr>
        <w:t>确定中标候选供应商名单；</w:t>
      </w:r>
    </w:p>
    <w:p>
      <w:pPr>
        <w:widowControl w:val="0"/>
        <w:numPr>
          <w:ilvl w:val="4"/>
          <w:numId w:val="11"/>
        </w:numPr>
        <w:outlineLvl w:val="4"/>
        <w:rPr>
          <w:rFonts w:ascii="Times New Roman" w:hAnsi="Times New Roman" w:eastAsia="宋体"/>
          <w:bCs/>
          <w:szCs w:val="28"/>
        </w:rPr>
      </w:pPr>
      <w:r>
        <w:rPr>
          <w:rFonts w:ascii="Times New Roman" w:hAnsi="Times New Roman" w:eastAsia="宋体"/>
          <w:bCs/>
          <w:szCs w:val="28"/>
        </w:rPr>
        <w:t>向采购人、警采中心或者有关部门报告评标中发现的违法行为。</w:t>
      </w:r>
    </w:p>
    <w:p>
      <w:pPr>
        <w:widowControl w:val="0"/>
        <w:numPr>
          <w:ilvl w:val="2"/>
          <w:numId w:val="11"/>
        </w:numPr>
        <w:tabs>
          <w:tab w:val="left" w:pos="0"/>
        </w:tabs>
        <w:spacing w:before="120" w:beforeLines="50" w:line="360" w:lineRule="auto"/>
        <w:jc w:val="both"/>
        <w:outlineLvl w:val="2"/>
        <w:rPr>
          <w:rFonts w:ascii="Times New Roman" w:hAnsi="Times New Roman" w:eastAsia="黑体"/>
          <w:bCs/>
          <w:sz w:val="24"/>
          <w:szCs w:val="24"/>
        </w:rPr>
      </w:pPr>
      <w:r>
        <w:rPr>
          <w:rFonts w:ascii="Times New Roman" w:hAnsi="Times New Roman" w:eastAsia="黑体"/>
          <w:bCs/>
          <w:sz w:val="24"/>
          <w:szCs w:val="24"/>
        </w:rPr>
        <w:t>评标准备与初步评审</w:t>
      </w:r>
    </w:p>
    <w:p>
      <w:pPr>
        <w:widowControl w:val="0"/>
        <w:numPr>
          <w:ilvl w:val="3"/>
          <w:numId w:val="11"/>
        </w:numPr>
        <w:tabs>
          <w:tab w:val="left" w:pos="360"/>
        </w:tabs>
        <w:outlineLvl w:val="3"/>
        <w:rPr>
          <w:rFonts w:ascii="Times New Roman" w:hAnsi="Times New Roman" w:eastAsia="宋体"/>
          <w:bCs/>
          <w:iCs/>
        </w:rPr>
      </w:pPr>
      <w:r>
        <w:rPr>
          <w:rFonts w:ascii="Times New Roman" w:hAnsi="Times New Roman" w:eastAsia="宋体"/>
          <w:bCs/>
          <w:iCs/>
        </w:rPr>
        <w:t>在详细评标之前，评标委员会应当对符合资格的投标人的投标文件进行符合性审查，以确定其是否满足招标文件的实质性要求，符合性审查合格投标人不足3家的，不进入详细评审环节。</w:t>
      </w:r>
    </w:p>
    <w:p>
      <w:pPr>
        <w:widowControl w:val="0"/>
        <w:numPr>
          <w:ilvl w:val="3"/>
          <w:numId w:val="11"/>
        </w:numPr>
        <w:tabs>
          <w:tab w:val="left" w:pos="360"/>
        </w:tabs>
        <w:outlineLvl w:val="3"/>
        <w:rPr>
          <w:rFonts w:ascii="Times New Roman" w:hAnsi="Times New Roman" w:eastAsia="宋体"/>
          <w:bCs/>
          <w:iCs/>
        </w:rPr>
      </w:pPr>
      <w:r>
        <w:rPr>
          <w:rFonts w:ascii="Times New Roman" w:hAnsi="Times New Roman" w:eastAsia="宋体"/>
          <w:bCs/>
          <w:iCs/>
        </w:rPr>
        <w:t>符合性审查中，投标文件报价出现前后不一致的，除招标文件另有规定外，按照下列规定修正：</w:t>
      </w:r>
    </w:p>
    <w:p>
      <w:pPr>
        <w:pStyle w:val="402"/>
        <w:ind w:left="794" w:hanging="794"/>
        <w:rPr>
          <w:bCs w:val="0"/>
        </w:rPr>
      </w:pPr>
      <w:r>
        <w:rPr>
          <w:bCs w:val="0"/>
        </w:rPr>
        <w:t>投标文件中开标一览表（报价表）内容与投标文件中相应内容不一致的，以开标一览表（</w:t>
      </w:r>
      <w:r>
        <w:t>报价</w:t>
      </w:r>
      <w:r>
        <w:rPr>
          <w:bCs w:val="0"/>
        </w:rPr>
        <w:t>表）为准；</w:t>
      </w:r>
    </w:p>
    <w:p>
      <w:pPr>
        <w:widowControl w:val="0"/>
        <w:numPr>
          <w:ilvl w:val="4"/>
          <w:numId w:val="11"/>
        </w:numPr>
        <w:outlineLvl w:val="4"/>
        <w:rPr>
          <w:rFonts w:ascii="Times New Roman" w:hAnsi="Times New Roman" w:eastAsia="宋体"/>
          <w:bCs/>
          <w:szCs w:val="28"/>
        </w:rPr>
      </w:pPr>
      <w:r>
        <w:rPr>
          <w:rFonts w:ascii="Times New Roman" w:hAnsi="Times New Roman" w:eastAsia="宋体"/>
          <w:bCs/>
          <w:szCs w:val="28"/>
        </w:rPr>
        <w:t>大写金额和小写金额不一致的，以大写金额为准；</w:t>
      </w:r>
    </w:p>
    <w:p>
      <w:pPr>
        <w:widowControl w:val="0"/>
        <w:numPr>
          <w:ilvl w:val="4"/>
          <w:numId w:val="11"/>
        </w:numPr>
        <w:outlineLvl w:val="4"/>
        <w:rPr>
          <w:rFonts w:ascii="Times New Roman" w:hAnsi="Times New Roman" w:eastAsia="宋体"/>
          <w:bCs/>
          <w:szCs w:val="28"/>
        </w:rPr>
      </w:pPr>
      <w:r>
        <w:rPr>
          <w:rFonts w:ascii="Times New Roman" w:hAnsi="Times New Roman" w:eastAsia="宋体"/>
          <w:bCs/>
          <w:szCs w:val="28"/>
        </w:rPr>
        <w:t>单价金额小数点或者百分比有明显错位的，以开标一览表的总价为准，并修改单价；</w:t>
      </w:r>
    </w:p>
    <w:p>
      <w:pPr>
        <w:widowControl w:val="0"/>
        <w:numPr>
          <w:ilvl w:val="4"/>
          <w:numId w:val="11"/>
        </w:numPr>
        <w:outlineLvl w:val="4"/>
        <w:rPr>
          <w:rFonts w:ascii="Times New Roman" w:hAnsi="Times New Roman" w:eastAsia="宋体"/>
          <w:bCs/>
          <w:szCs w:val="28"/>
        </w:rPr>
      </w:pPr>
      <w:r>
        <w:rPr>
          <w:rFonts w:ascii="Times New Roman" w:hAnsi="Times New Roman" w:eastAsia="宋体"/>
          <w:bCs/>
          <w:szCs w:val="28"/>
        </w:rPr>
        <w:t>总价金额与按单价汇总金额不一致的，以单价金额计算结果为准</w:t>
      </w:r>
      <w:r>
        <w:rPr>
          <w:rFonts w:hint="eastAsia" w:ascii="Times New Roman" w:hAnsi="Times New Roman" w:eastAsia="宋体"/>
          <w:bCs/>
          <w:szCs w:val="28"/>
        </w:rPr>
        <w:t>；</w:t>
      </w:r>
    </w:p>
    <w:p>
      <w:pPr>
        <w:pStyle w:val="402"/>
        <w:ind w:left="794" w:hanging="794"/>
        <w:rPr>
          <w:bCs w:val="0"/>
        </w:rPr>
      </w:pPr>
      <w:r>
        <w:rPr>
          <w:bCs w:val="0"/>
        </w:rPr>
        <w:t>同时出现两种以上不一致的，按照前款规定的顺序修正。投标人不确认修正后报价的，其</w:t>
      </w:r>
      <w:r>
        <w:t>投标</w:t>
      </w:r>
      <w:r>
        <w:rPr>
          <w:bCs w:val="0"/>
        </w:rPr>
        <w:t>无效。</w:t>
      </w:r>
    </w:p>
    <w:p>
      <w:pPr>
        <w:widowControl w:val="0"/>
        <w:numPr>
          <w:ilvl w:val="3"/>
          <w:numId w:val="11"/>
        </w:numPr>
        <w:tabs>
          <w:tab w:val="left" w:pos="360"/>
        </w:tabs>
        <w:outlineLvl w:val="3"/>
        <w:rPr>
          <w:rFonts w:ascii="Times New Roman" w:hAnsi="Times New Roman" w:eastAsia="宋体"/>
          <w:bCs/>
          <w:iCs/>
        </w:rPr>
      </w:pPr>
      <w:r>
        <w:rPr>
          <w:rFonts w:ascii="Times New Roman" w:hAnsi="Times New Roman" w:eastAsia="宋体"/>
          <w:bCs/>
          <w:iCs/>
        </w:rPr>
        <w:t>招标文件内容违反国家有关强制性规定或者招标文件存在歧义、重大缺陷导致评审工作无法进行时，评标委员会应当停止评审并向警采中心书面说明情况。</w:t>
      </w:r>
    </w:p>
    <w:p>
      <w:pPr>
        <w:widowControl w:val="0"/>
        <w:numPr>
          <w:ilvl w:val="3"/>
          <w:numId w:val="11"/>
        </w:numPr>
        <w:tabs>
          <w:tab w:val="left" w:pos="360"/>
        </w:tabs>
        <w:outlineLvl w:val="3"/>
        <w:rPr>
          <w:rFonts w:ascii="Times New Roman" w:hAnsi="Times New Roman" w:eastAsia="宋体"/>
          <w:bCs/>
          <w:iCs/>
        </w:rPr>
      </w:pPr>
      <w:r>
        <w:rPr>
          <w:rFonts w:ascii="Times New Roman" w:hAnsi="Times New Roman" w:eastAsia="宋体"/>
          <w:bCs/>
          <w:iCs/>
        </w:rPr>
        <w:t>投标人有下列情形之一的</w:t>
      </w:r>
      <w:r>
        <w:rPr>
          <w:rFonts w:hint="eastAsia" w:ascii="Times New Roman" w:hAnsi="Times New Roman" w:eastAsia="宋体"/>
          <w:bCs/>
          <w:iCs/>
        </w:rPr>
        <w:t>，</w:t>
      </w:r>
      <w:r>
        <w:rPr>
          <w:rFonts w:ascii="Times New Roman" w:hAnsi="Times New Roman" w:eastAsia="宋体"/>
          <w:bCs/>
          <w:iCs/>
        </w:rPr>
        <w:t>评标委员会认定为投标人串通投标，其投标无效，书面报告财政部门：</w:t>
      </w:r>
    </w:p>
    <w:p>
      <w:pPr>
        <w:widowControl w:val="0"/>
        <w:numPr>
          <w:ilvl w:val="4"/>
          <w:numId w:val="11"/>
        </w:numPr>
        <w:outlineLvl w:val="4"/>
        <w:rPr>
          <w:rFonts w:ascii="Times New Roman" w:hAnsi="Times New Roman" w:eastAsia="宋体"/>
          <w:bCs/>
          <w:szCs w:val="28"/>
        </w:rPr>
      </w:pPr>
      <w:r>
        <w:rPr>
          <w:rFonts w:ascii="Times New Roman" w:hAnsi="Times New Roman" w:eastAsia="宋体"/>
          <w:bCs/>
          <w:szCs w:val="28"/>
        </w:rPr>
        <w:t>不同投标人的投标文件由同一单位或者个人编制；</w:t>
      </w:r>
    </w:p>
    <w:p>
      <w:pPr>
        <w:widowControl w:val="0"/>
        <w:numPr>
          <w:ilvl w:val="4"/>
          <w:numId w:val="11"/>
        </w:numPr>
        <w:outlineLvl w:val="4"/>
        <w:rPr>
          <w:rFonts w:ascii="Times New Roman" w:hAnsi="Times New Roman" w:eastAsia="宋体"/>
          <w:bCs/>
          <w:szCs w:val="28"/>
        </w:rPr>
      </w:pPr>
      <w:r>
        <w:rPr>
          <w:rFonts w:ascii="Times New Roman" w:hAnsi="Times New Roman" w:eastAsia="宋体"/>
          <w:bCs/>
          <w:szCs w:val="28"/>
        </w:rPr>
        <w:t>不同投标人委托同一单位或者个人办理投标事宜；</w:t>
      </w:r>
    </w:p>
    <w:p>
      <w:pPr>
        <w:widowControl w:val="0"/>
        <w:numPr>
          <w:ilvl w:val="4"/>
          <w:numId w:val="11"/>
        </w:numPr>
        <w:outlineLvl w:val="4"/>
        <w:rPr>
          <w:rFonts w:ascii="Times New Roman" w:hAnsi="Times New Roman" w:eastAsia="宋体"/>
          <w:bCs/>
          <w:szCs w:val="28"/>
        </w:rPr>
      </w:pPr>
      <w:r>
        <w:rPr>
          <w:rFonts w:ascii="Times New Roman" w:hAnsi="Times New Roman" w:eastAsia="宋体"/>
          <w:bCs/>
          <w:szCs w:val="28"/>
        </w:rPr>
        <w:t>不同投标人的投标文件载明的项目管理成员或者联系人员为同一人；</w:t>
      </w:r>
    </w:p>
    <w:p>
      <w:pPr>
        <w:widowControl w:val="0"/>
        <w:numPr>
          <w:ilvl w:val="4"/>
          <w:numId w:val="11"/>
        </w:numPr>
        <w:outlineLvl w:val="4"/>
        <w:rPr>
          <w:rFonts w:ascii="Times New Roman" w:hAnsi="Times New Roman" w:eastAsia="宋体"/>
          <w:bCs/>
          <w:szCs w:val="28"/>
        </w:rPr>
      </w:pPr>
      <w:r>
        <w:rPr>
          <w:rFonts w:ascii="Times New Roman" w:hAnsi="Times New Roman" w:eastAsia="宋体"/>
          <w:bCs/>
          <w:szCs w:val="28"/>
        </w:rPr>
        <w:t>不同投标人的投标文件异常一致或者投标报价呈规律性差异；</w:t>
      </w:r>
    </w:p>
    <w:p>
      <w:pPr>
        <w:widowControl w:val="0"/>
        <w:numPr>
          <w:ilvl w:val="4"/>
          <w:numId w:val="11"/>
        </w:numPr>
        <w:outlineLvl w:val="4"/>
        <w:rPr>
          <w:rFonts w:ascii="Times New Roman" w:hAnsi="Times New Roman" w:eastAsia="宋体"/>
          <w:bCs/>
          <w:szCs w:val="28"/>
        </w:rPr>
      </w:pPr>
      <w:r>
        <w:rPr>
          <w:rFonts w:ascii="Times New Roman" w:hAnsi="Times New Roman" w:eastAsia="宋体"/>
          <w:bCs/>
          <w:szCs w:val="28"/>
        </w:rPr>
        <w:t>不同投标人的投标</w:t>
      </w:r>
      <w:r>
        <w:rPr>
          <w:rFonts w:hint="eastAsia" w:ascii="Times New Roman" w:hAnsi="Times New Roman" w:eastAsia="宋体"/>
          <w:bCs/>
          <w:szCs w:val="28"/>
        </w:rPr>
        <w:t>保证金从</w:t>
      </w:r>
      <w:r>
        <w:rPr>
          <w:rFonts w:ascii="Times New Roman" w:hAnsi="Times New Roman" w:eastAsia="宋体"/>
          <w:bCs/>
          <w:szCs w:val="28"/>
        </w:rPr>
        <w:t>同</w:t>
      </w:r>
      <w:r>
        <w:rPr>
          <w:rFonts w:hint="eastAsia" w:ascii="Times New Roman" w:hAnsi="Times New Roman" w:eastAsia="宋体"/>
          <w:bCs/>
          <w:szCs w:val="28"/>
        </w:rPr>
        <w:t>一</w:t>
      </w:r>
      <w:r>
        <w:rPr>
          <w:rFonts w:ascii="Times New Roman" w:hAnsi="Times New Roman" w:eastAsia="宋体"/>
          <w:bCs/>
          <w:szCs w:val="28"/>
        </w:rPr>
        <w:t>单位或</w:t>
      </w:r>
      <w:r>
        <w:rPr>
          <w:rFonts w:hint="eastAsia" w:ascii="Times New Roman" w:hAnsi="Times New Roman" w:eastAsia="宋体"/>
          <w:bCs/>
          <w:szCs w:val="28"/>
        </w:rPr>
        <w:t>个人</w:t>
      </w:r>
      <w:r>
        <w:rPr>
          <w:rFonts w:ascii="Times New Roman" w:hAnsi="Times New Roman" w:eastAsia="宋体"/>
          <w:bCs/>
          <w:szCs w:val="28"/>
        </w:rPr>
        <w:t>的账户转出；</w:t>
      </w:r>
    </w:p>
    <w:p>
      <w:pPr>
        <w:widowControl w:val="0"/>
        <w:numPr>
          <w:ilvl w:val="4"/>
          <w:numId w:val="11"/>
        </w:numPr>
        <w:outlineLvl w:val="4"/>
        <w:rPr>
          <w:rFonts w:ascii="Times New Roman" w:hAnsi="Times New Roman" w:eastAsia="宋体"/>
          <w:bCs/>
          <w:szCs w:val="28"/>
        </w:rPr>
      </w:pPr>
      <w:r>
        <w:rPr>
          <w:rFonts w:ascii="Times New Roman" w:hAnsi="Times New Roman" w:eastAsia="宋体"/>
          <w:bCs/>
          <w:szCs w:val="28"/>
        </w:rPr>
        <w:t>在评标期间，投标人企图影响采购人、警采中心或评标委员会评审公正性的任何活动</w:t>
      </w:r>
      <w:r>
        <w:rPr>
          <w:rFonts w:hint="eastAsia" w:ascii="Times New Roman" w:hAnsi="Times New Roman" w:eastAsia="宋体"/>
          <w:bCs/>
          <w:szCs w:val="28"/>
        </w:rPr>
        <w:t>。</w:t>
      </w:r>
    </w:p>
    <w:p>
      <w:pPr>
        <w:widowControl w:val="0"/>
        <w:numPr>
          <w:ilvl w:val="2"/>
          <w:numId w:val="11"/>
        </w:numPr>
        <w:tabs>
          <w:tab w:val="left" w:pos="0"/>
        </w:tabs>
        <w:spacing w:before="120" w:beforeLines="50" w:line="360" w:lineRule="auto"/>
        <w:jc w:val="both"/>
        <w:outlineLvl w:val="2"/>
        <w:rPr>
          <w:rFonts w:ascii="Times New Roman" w:hAnsi="Times New Roman" w:eastAsia="黑体"/>
          <w:bCs/>
          <w:sz w:val="24"/>
          <w:szCs w:val="24"/>
        </w:rPr>
      </w:pPr>
      <w:r>
        <w:rPr>
          <w:rFonts w:ascii="Times New Roman" w:hAnsi="Times New Roman" w:eastAsia="黑体"/>
          <w:bCs/>
          <w:sz w:val="24"/>
          <w:szCs w:val="24"/>
        </w:rPr>
        <w:t>投标的澄清</w:t>
      </w:r>
    </w:p>
    <w:p>
      <w:pPr>
        <w:widowControl w:val="0"/>
        <w:numPr>
          <w:ilvl w:val="3"/>
          <w:numId w:val="11"/>
        </w:numPr>
        <w:tabs>
          <w:tab w:val="left" w:pos="360"/>
        </w:tabs>
        <w:outlineLvl w:val="3"/>
        <w:rPr>
          <w:rFonts w:ascii="Times New Roman" w:hAnsi="Times New Roman" w:eastAsia="宋体"/>
          <w:bCs/>
          <w:iCs/>
        </w:rPr>
      </w:pPr>
      <w:r>
        <w:rPr>
          <w:rFonts w:ascii="Times New Roman" w:hAnsi="Times New Roman" w:eastAsia="宋体"/>
          <w:bCs/>
          <w:iCs/>
        </w:rPr>
        <w:t>对于投标文件中含义不明确、同类问题表述不一致或者有明显文字和计算错误的内容，评标委员会应当以书面形式要求投标人作出必要的澄清、说明或者补正。</w:t>
      </w:r>
    </w:p>
    <w:p>
      <w:pPr>
        <w:widowControl w:val="0"/>
        <w:numPr>
          <w:ilvl w:val="3"/>
          <w:numId w:val="11"/>
        </w:numPr>
        <w:tabs>
          <w:tab w:val="left" w:pos="360"/>
        </w:tabs>
        <w:outlineLvl w:val="3"/>
        <w:rPr>
          <w:rFonts w:ascii="Times New Roman" w:hAnsi="Times New Roman" w:eastAsia="宋体"/>
          <w:bCs/>
          <w:iCs/>
        </w:rPr>
      </w:pPr>
      <w:r>
        <w:rPr>
          <w:rFonts w:ascii="Times New Roman" w:hAnsi="Times New Roman" w:eastAsia="宋体"/>
          <w:bCs/>
          <w:iCs/>
        </w:rPr>
        <w:t>投标人的澄清、说明或者补正应当采用书面形式，并加盖公章，或者由法定代表人或其授权的代表签字。投标人的澄清、说明或者补正不得超出投标文件的范围或者改变投标文件的实质性内容。</w:t>
      </w:r>
    </w:p>
    <w:p>
      <w:pPr>
        <w:widowControl w:val="0"/>
        <w:numPr>
          <w:ilvl w:val="2"/>
          <w:numId w:val="11"/>
        </w:numPr>
        <w:tabs>
          <w:tab w:val="left" w:pos="0"/>
        </w:tabs>
        <w:spacing w:before="120" w:beforeLines="50" w:line="360" w:lineRule="auto"/>
        <w:jc w:val="both"/>
        <w:outlineLvl w:val="2"/>
        <w:rPr>
          <w:rFonts w:ascii="Times New Roman" w:hAnsi="Times New Roman" w:eastAsia="黑体"/>
          <w:bCs/>
          <w:sz w:val="24"/>
          <w:szCs w:val="24"/>
        </w:rPr>
      </w:pPr>
      <w:r>
        <w:rPr>
          <w:rFonts w:ascii="Times New Roman" w:hAnsi="Times New Roman" w:eastAsia="黑体"/>
          <w:bCs/>
          <w:sz w:val="24"/>
          <w:szCs w:val="24"/>
        </w:rPr>
        <w:t>对投标文件的详细评审</w:t>
      </w:r>
    </w:p>
    <w:p>
      <w:pPr>
        <w:widowControl w:val="0"/>
        <w:numPr>
          <w:ilvl w:val="3"/>
          <w:numId w:val="11"/>
        </w:numPr>
        <w:tabs>
          <w:tab w:val="left" w:pos="360"/>
        </w:tabs>
        <w:outlineLvl w:val="3"/>
        <w:rPr>
          <w:rFonts w:ascii="Times New Roman" w:hAnsi="Times New Roman" w:eastAsia="宋体"/>
          <w:bCs/>
          <w:iCs/>
        </w:rPr>
      </w:pPr>
      <w:r>
        <w:rPr>
          <w:rFonts w:ascii="Times New Roman" w:hAnsi="Times New Roman" w:eastAsia="宋体"/>
          <w:bCs/>
          <w:iCs/>
        </w:rPr>
        <w:t>评标委员会只对实质上响应招标文件的投标进行详细评审；评审应严格按照招标文件的要求和条件进行，评委会不得擅自改动、细化招标文件及评分细则；具体评审原则、方法和中标条件详见评标</w:t>
      </w:r>
      <w:r>
        <w:rPr>
          <w:rFonts w:hint="eastAsia" w:ascii="Times New Roman" w:hAnsi="Times New Roman" w:eastAsia="宋体"/>
          <w:bCs/>
          <w:iCs/>
        </w:rPr>
        <w:t>方法和</w:t>
      </w:r>
      <w:r>
        <w:rPr>
          <w:rFonts w:ascii="Times New Roman" w:hAnsi="Times New Roman" w:eastAsia="宋体"/>
          <w:bCs/>
          <w:iCs/>
        </w:rPr>
        <w:t>标准。</w:t>
      </w:r>
    </w:p>
    <w:p>
      <w:pPr>
        <w:widowControl w:val="0"/>
        <w:numPr>
          <w:ilvl w:val="3"/>
          <w:numId w:val="11"/>
        </w:numPr>
        <w:tabs>
          <w:tab w:val="left" w:pos="360"/>
        </w:tabs>
        <w:outlineLvl w:val="3"/>
        <w:rPr>
          <w:rFonts w:ascii="Times New Roman" w:hAnsi="Times New Roman" w:eastAsia="宋体"/>
          <w:bCs/>
          <w:iCs/>
        </w:rPr>
      </w:pPr>
      <w:r>
        <w:rPr>
          <w:rFonts w:ascii="Times New Roman" w:hAnsi="Times New Roman" w:eastAsia="宋体"/>
          <w:bCs/>
          <w:iCs/>
        </w:rPr>
        <w:t>除评标标准和评标办法另有规定外，评标采用综合评分法，将投标主体资质、投标产品质量、售后服务、价格等各项因素作为评价的基础，综合评选出最佳投标人案。每一投标人的最终得分为所有评委给其评分的算数平均值。</w:t>
      </w:r>
    </w:p>
    <w:p>
      <w:pPr>
        <w:widowControl w:val="0"/>
        <w:numPr>
          <w:ilvl w:val="3"/>
          <w:numId w:val="11"/>
        </w:numPr>
        <w:tabs>
          <w:tab w:val="left" w:pos="360"/>
        </w:tabs>
        <w:outlineLvl w:val="3"/>
        <w:rPr>
          <w:rFonts w:ascii="Times New Roman" w:hAnsi="Times New Roman" w:eastAsia="宋体"/>
          <w:bCs/>
          <w:iCs/>
        </w:rPr>
      </w:pPr>
      <w:r>
        <w:rPr>
          <w:rFonts w:ascii="Times New Roman" w:hAnsi="Times New Roman" w:eastAsia="宋体"/>
          <w:bCs/>
          <w:iCs/>
        </w:rPr>
        <w:t>货物项目的价格分值占总分值的比重不得低于30%；服务项目的价格分值占总分值的比重不得低于10%。执行国家统一定价标准和采用固定价格采购的项目，其价格不列为评审因素。</w:t>
      </w:r>
    </w:p>
    <w:p>
      <w:pPr>
        <w:widowControl w:val="0"/>
        <w:numPr>
          <w:ilvl w:val="3"/>
          <w:numId w:val="11"/>
        </w:numPr>
        <w:tabs>
          <w:tab w:val="left" w:pos="360"/>
        </w:tabs>
        <w:outlineLvl w:val="3"/>
        <w:rPr>
          <w:rFonts w:ascii="Times New Roman" w:hAnsi="Times New Roman" w:eastAsia="宋体"/>
          <w:bCs/>
          <w:iCs/>
        </w:rPr>
      </w:pPr>
      <w:r>
        <w:rPr>
          <w:rFonts w:ascii="Times New Roman" w:hAnsi="Times New Roman" w:eastAsia="宋体"/>
          <w:bCs/>
          <w:iCs/>
        </w:rPr>
        <w:t>价格分应当采用低价优先法计算，即满足招标文件要求且投标价格最低的投标报价为评标基准价，其价格分为满分。其他投标人的价格分统一按照下列公式计算：</w:t>
      </w:r>
    </w:p>
    <w:p>
      <w:pPr>
        <w:widowControl w:val="0"/>
        <w:tabs>
          <w:tab w:val="left" w:pos="360"/>
        </w:tabs>
        <w:ind w:left="840"/>
        <w:outlineLvl w:val="3"/>
        <w:rPr>
          <w:rFonts w:ascii="Times New Roman" w:hAnsi="Times New Roman" w:eastAsia="宋体"/>
          <w:bCs/>
          <w:iCs/>
        </w:rPr>
      </w:pPr>
      <w:r>
        <w:rPr>
          <w:rFonts w:ascii="Times New Roman" w:hAnsi="Times New Roman" w:eastAsia="宋体"/>
          <w:bCs/>
          <w:iCs/>
        </w:rPr>
        <w:t>投标报价得分=</w:t>
      </w:r>
      <w:r>
        <w:rPr>
          <w:rFonts w:hint="eastAsia" w:ascii="Times New Roman" w:hAnsi="Times New Roman" w:eastAsia="宋体"/>
          <w:bCs/>
          <w:iCs/>
        </w:rPr>
        <w:t>（</w:t>
      </w:r>
      <w:r>
        <w:rPr>
          <w:rFonts w:ascii="Times New Roman" w:hAnsi="Times New Roman" w:eastAsia="宋体"/>
          <w:bCs/>
          <w:iCs/>
        </w:rPr>
        <w:t>评标基准价／投标报价</w:t>
      </w:r>
      <w:r>
        <w:rPr>
          <w:rFonts w:hint="eastAsia" w:ascii="Times New Roman" w:hAnsi="Times New Roman" w:eastAsia="宋体"/>
          <w:bCs/>
          <w:iCs/>
        </w:rPr>
        <w:t>）</w:t>
      </w:r>
      <w:r>
        <w:rPr>
          <w:rFonts w:ascii="Times New Roman" w:hAnsi="Times New Roman" w:eastAsia="宋体"/>
          <w:bCs/>
          <w:iCs/>
        </w:rPr>
        <w:t>×100</w:t>
      </w:r>
    </w:p>
    <w:p>
      <w:pPr>
        <w:widowControl w:val="0"/>
        <w:tabs>
          <w:tab w:val="left" w:pos="360"/>
        </w:tabs>
        <w:ind w:left="840"/>
        <w:outlineLvl w:val="3"/>
        <w:rPr>
          <w:rFonts w:ascii="Times New Roman" w:hAnsi="Times New Roman" w:eastAsia="宋体"/>
          <w:bCs/>
          <w:iCs/>
        </w:rPr>
      </w:pPr>
      <w:r>
        <w:rPr>
          <w:rFonts w:ascii="Times New Roman" w:hAnsi="Times New Roman" w:eastAsia="宋体"/>
          <w:bCs/>
          <w:iCs/>
        </w:rPr>
        <w:t>评标总得分＝F1×A1＋F2×A2＋……＋Fn×An</w:t>
      </w:r>
    </w:p>
    <w:p>
      <w:pPr>
        <w:widowControl w:val="0"/>
        <w:tabs>
          <w:tab w:val="left" w:pos="360"/>
        </w:tabs>
        <w:ind w:left="840"/>
        <w:outlineLvl w:val="3"/>
        <w:rPr>
          <w:rFonts w:ascii="Times New Roman" w:hAnsi="Times New Roman" w:eastAsia="宋体"/>
          <w:bCs/>
          <w:iCs/>
        </w:rPr>
      </w:pPr>
      <w:r>
        <w:rPr>
          <w:rFonts w:ascii="Times New Roman" w:hAnsi="Times New Roman" w:eastAsia="宋体"/>
          <w:bCs/>
          <w:iCs/>
        </w:rPr>
        <w:t>F1、F2……Fn分别为各项评审因素的得分；</w:t>
      </w:r>
    </w:p>
    <w:p>
      <w:pPr>
        <w:widowControl w:val="0"/>
        <w:tabs>
          <w:tab w:val="left" w:pos="360"/>
        </w:tabs>
        <w:ind w:left="840"/>
        <w:outlineLvl w:val="3"/>
        <w:rPr>
          <w:rFonts w:ascii="Times New Roman" w:hAnsi="Times New Roman" w:eastAsia="宋体"/>
          <w:bCs/>
          <w:iCs/>
        </w:rPr>
      </w:pPr>
      <w:r>
        <w:rPr>
          <w:rFonts w:ascii="Times New Roman" w:hAnsi="Times New Roman" w:eastAsia="宋体"/>
          <w:bCs/>
          <w:iCs/>
        </w:rPr>
        <w:t>A1、A2、……An 分别为各项评审因素所占的权重(A1＋A2＋……＋An＝1)。</w:t>
      </w:r>
    </w:p>
    <w:p>
      <w:pPr>
        <w:widowControl w:val="0"/>
        <w:tabs>
          <w:tab w:val="left" w:pos="360"/>
        </w:tabs>
        <w:ind w:left="840"/>
        <w:outlineLvl w:val="3"/>
        <w:rPr>
          <w:rFonts w:ascii="Times New Roman" w:hAnsi="Times New Roman" w:eastAsia="宋体"/>
          <w:bCs/>
          <w:iCs/>
        </w:rPr>
      </w:pPr>
      <w:r>
        <w:rPr>
          <w:rFonts w:ascii="Times New Roman" w:hAnsi="Times New Roman" w:eastAsia="宋体"/>
          <w:bCs/>
          <w:iCs/>
        </w:rPr>
        <w:t>评标过程中，不得去掉报价中的最高报价和最低报价。</w:t>
      </w:r>
    </w:p>
    <w:p>
      <w:pPr>
        <w:widowControl w:val="0"/>
        <w:tabs>
          <w:tab w:val="left" w:pos="360"/>
        </w:tabs>
        <w:ind w:left="840"/>
        <w:outlineLvl w:val="3"/>
        <w:rPr>
          <w:rFonts w:ascii="Times New Roman" w:hAnsi="Times New Roman" w:eastAsia="宋体"/>
          <w:bCs/>
          <w:iCs/>
        </w:rPr>
      </w:pPr>
      <w:r>
        <w:rPr>
          <w:rFonts w:ascii="Times New Roman" w:hAnsi="Times New Roman" w:eastAsia="宋体"/>
          <w:bCs/>
          <w:iCs/>
        </w:rPr>
        <w:t>因落实政府采购政策进行价格调整的，以调整后的价格计算评标基准价和投标报价。根据《政府采购促进中小企业发展管理办法》等相关规定，对于非专门面向中小企业的项目，对小型和微型企业产品的价格给予10-20%的扣除，用扣除后的价格参与评审，具体扣除的比例详见投标人须知前附表。</w:t>
      </w:r>
    </w:p>
    <w:p>
      <w:pPr>
        <w:widowControl w:val="0"/>
        <w:numPr>
          <w:ilvl w:val="3"/>
          <w:numId w:val="11"/>
        </w:numPr>
        <w:tabs>
          <w:tab w:val="left" w:pos="360"/>
        </w:tabs>
        <w:outlineLvl w:val="3"/>
        <w:rPr>
          <w:rFonts w:ascii="Times New Roman" w:hAnsi="Times New Roman" w:eastAsia="宋体"/>
          <w:bCs/>
          <w:iCs/>
        </w:rPr>
      </w:pPr>
      <w:r>
        <w:rPr>
          <w:rFonts w:ascii="Times New Roman" w:hAnsi="Times New Roman" w:eastAsia="宋体"/>
          <w:bCs/>
          <w:iCs/>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供应商。</w:t>
      </w:r>
    </w:p>
    <w:p>
      <w:pPr>
        <w:widowControl w:val="0"/>
        <w:numPr>
          <w:ilvl w:val="3"/>
          <w:numId w:val="11"/>
        </w:numPr>
        <w:tabs>
          <w:tab w:val="left" w:pos="360"/>
        </w:tabs>
        <w:outlineLvl w:val="3"/>
        <w:rPr>
          <w:rFonts w:ascii="Times New Roman" w:hAnsi="Times New Roman" w:eastAsia="宋体"/>
          <w:bCs/>
          <w:iCs/>
        </w:rPr>
      </w:pPr>
      <w:r>
        <w:rPr>
          <w:rFonts w:ascii="Times New Roman" w:hAnsi="Times New Roman" w:eastAsia="宋体"/>
          <w:bCs/>
          <w:iCs/>
        </w:rPr>
        <w:t>采用</w:t>
      </w:r>
      <w:r>
        <w:rPr>
          <w:rFonts w:hint="eastAsia" w:ascii="Times New Roman" w:hAnsi="Times New Roman" w:eastAsia="宋体"/>
          <w:bCs/>
          <w:iCs/>
        </w:rPr>
        <w:t>最低评标</w:t>
      </w:r>
      <w:r>
        <w:rPr>
          <w:rFonts w:ascii="Times New Roman" w:hAnsi="Times New Roman" w:eastAsia="宋体"/>
          <w:bCs/>
          <w:iCs/>
        </w:rPr>
        <w:t>价法的，评标结果按</w:t>
      </w:r>
      <w:r>
        <w:rPr>
          <w:rFonts w:hint="eastAsia" w:ascii="Times New Roman" w:hAnsi="Times New Roman" w:eastAsia="宋体"/>
          <w:bCs/>
          <w:iCs/>
        </w:rPr>
        <w:t>投标</w:t>
      </w:r>
      <w:r>
        <w:rPr>
          <w:rFonts w:ascii="Times New Roman" w:hAnsi="Times New Roman" w:eastAsia="宋体"/>
          <w:bCs/>
          <w:iCs/>
        </w:rPr>
        <w:t>报价</w:t>
      </w:r>
      <w:r>
        <w:rPr>
          <w:rFonts w:hint="eastAsia" w:ascii="Times New Roman" w:hAnsi="Times New Roman" w:eastAsia="宋体"/>
          <w:bCs/>
          <w:iCs/>
        </w:rPr>
        <w:t>由低到高</w:t>
      </w:r>
      <w:r>
        <w:rPr>
          <w:rFonts w:ascii="Times New Roman" w:hAnsi="Times New Roman" w:eastAsia="宋体"/>
          <w:bCs/>
          <w:iCs/>
        </w:rPr>
        <w:t>顺序排列。</w:t>
      </w:r>
      <w:r>
        <w:rPr>
          <w:rFonts w:hint="eastAsia" w:ascii="Times New Roman" w:hAnsi="Times New Roman" w:eastAsia="宋体"/>
          <w:bCs/>
          <w:iCs/>
        </w:rPr>
        <w:t>投标</w:t>
      </w:r>
      <w:r>
        <w:rPr>
          <w:rFonts w:ascii="Times New Roman" w:hAnsi="Times New Roman" w:eastAsia="宋体"/>
          <w:bCs/>
          <w:iCs/>
        </w:rPr>
        <w:t>报价相同的并列</w:t>
      </w:r>
      <w:r>
        <w:rPr>
          <w:rFonts w:hint="eastAsia" w:ascii="Times New Roman" w:hAnsi="Times New Roman" w:eastAsia="宋体"/>
          <w:bCs/>
          <w:iCs/>
        </w:rPr>
        <w:t>。</w:t>
      </w:r>
      <w:r>
        <w:rPr>
          <w:rFonts w:ascii="Times New Roman" w:hAnsi="Times New Roman" w:eastAsia="宋体"/>
          <w:bCs/>
          <w:iCs/>
        </w:rPr>
        <w:t>投标文件满足招标文件全部实质性要求且</w:t>
      </w:r>
      <w:r>
        <w:rPr>
          <w:rFonts w:hint="eastAsia" w:ascii="Times New Roman" w:hAnsi="Times New Roman" w:eastAsia="宋体"/>
          <w:bCs/>
          <w:iCs/>
        </w:rPr>
        <w:t>投标</w:t>
      </w:r>
      <w:r>
        <w:rPr>
          <w:rFonts w:ascii="Times New Roman" w:hAnsi="Times New Roman" w:eastAsia="宋体"/>
          <w:bCs/>
          <w:iCs/>
        </w:rPr>
        <w:t>报价最低的投标人为排名第一的中标候选</w:t>
      </w:r>
      <w:r>
        <w:rPr>
          <w:rFonts w:hint="eastAsia" w:ascii="Times New Roman" w:hAnsi="Times New Roman" w:eastAsia="宋体"/>
          <w:bCs/>
          <w:iCs/>
        </w:rPr>
        <w:t>人</w:t>
      </w:r>
      <w:r>
        <w:rPr>
          <w:rFonts w:ascii="Times New Roman" w:hAnsi="Times New Roman" w:eastAsia="宋体"/>
          <w:bCs/>
          <w:iCs/>
        </w:rPr>
        <w:t>。</w:t>
      </w:r>
    </w:p>
    <w:p>
      <w:pPr>
        <w:widowControl w:val="0"/>
        <w:numPr>
          <w:ilvl w:val="2"/>
          <w:numId w:val="11"/>
        </w:numPr>
        <w:tabs>
          <w:tab w:val="left" w:pos="0"/>
        </w:tabs>
        <w:spacing w:before="120" w:beforeLines="50" w:line="360" w:lineRule="auto"/>
        <w:jc w:val="both"/>
        <w:outlineLvl w:val="2"/>
        <w:rPr>
          <w:rFonts w:ascii="Times New Roman" w:hAnsi="Times New Roman" w:eastAsia="黑体"/>
          <w:bCs/>
          <w:sz w:val="24"/>
          <w:szCs w:val="24"/>
        </w:rPr>
      </w:pPr>
      <w:r>
        <w:rPr>
          <w:rFonts w:ascii="Times New Roman" w:hAnsi="Times New Roman" w:eastAsia="黑体"/>
          <w:bCs/>
          <w:sz w:val="24"/>
          <w:szCs w:val="24"/>
        </w:rPr>
        <w:t>评标过程要求</w:t>
      </w:r>
    </w:p>
    <w:p>
      <w:pPr>
        <w:widowControl w:val="0"/>
        <w:numPr>
          <w:ilvl w:val="3"/>
          <w:numId w:val="11"/>
        </w:numPr>
        <w:tabs>
          <w:tab w:val="left" w:pos="360"/>
        </w:tabs>
        <w:outlineLvl w:val="3"/>
        <w:rPr>
          <w:rFonts w:ascii="Times New Roman" w:hAnsi="Times New Roman" w:eastAsia="宋体"/>
          <w:bCs/>
          <w:iCs/>
        </w:rPr>
      </w:pPr>
      <w:r>
        <w:rPr>
          <w:rFonts w:ascii="Times New Roman" w:hAnsi="Times New Roman" w:eastAsia="宋体"/>
          <w:bCs/>
          <w:i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3"/>
          <w:numId w:val="11"/>
        </w:numPr>
        <w:tabs>
          <w:tab w:val="left" w:pos="360"/>
        </w:tabs>
        <w:outlineLvl w:val="3"/>
        <w:rPr>
          <w:rFonts w:ascii="Times New Roman" w:hAnsi="Times New Roman" w:eastAsia="宋体"/>
          <w:bCs/>
          <w:iCs/>
        </w:rPr>
      </w:pPr>
      <w:r>
        <w:rPr>
          <w:rFonts w:ascii="Times New Roman" w:hAnsi="Times New Roman" w:eastAsia="宋体"/>
          <w:bCs/>
          <w:iCs/>
        </w:rPr>
        <w:t>评标委员会成员应当在评审报告上签字，对自己的评审意见承担法律责任。对需要共同认定的事项存在争议的，应当按照少数服从多数的原则作出结论。持不同意见的评标委员会成员应当在评标报告上签署不同意见及理由，否则视为同意评标报告。</w:t>
      </w:r>
    </w:p>
    <w:p>
      <w:pPr>
        <w:widowControl w:val="0"/>
        <w:numPr>
          <w:ilvl w:val="2"/>
          <w:numId w:val="11"/>
        </w:numPr>
        <w:tabs>
          <w:tab w:val="left" w:pos="0"/>
        </w:tabs>
        <w:spacing w:before="120" w:beforeLines="50" w:line="360" w:lineRule="auto"/>
        <w:jc w:val="both"/>
        <w:outlineLvl w:val="2"/>
        <w:rPr>
          <w:rFonts w:ascii="Times New Roman" w:hAnsi="Times New Roman" w:eastAsia="黑体"/>
          <w:bCs/>
          <w:sz w:val="24"/>
          <w:szCs w:val="24"/>
        </w:rPr>
      </w:pPr>
      <w:r>
        <w:rPr>
          <w:rFonts w:ascii="Times New Roman" w:hAnsi="Times New Roman" w:eastAsia="黑体"/>
          <w:bCs/>
          <w:sz w:val="24"/>
          <w:szCs w:val="24"/>
        </w:rPr>
        <w:t>关于重新评审及投标人瑕疵滞后发现的处理规则</w:t>
      </w:r>
    </w:p>
    <w:p>
      <w:pPr>
        <w:widowControl w:val="0"/>
        <w:numPr>
          <w:ilvl w:val="3"/>
          <w:numId w:val="11"/>
        </w:numPr>
        <w:tabs>
          <w:tab w:val="left" w:pos="360"/>
        </w:tabs>
        <w:outlineLvl w:val="3"/>
        <w:rPr>
          <w:rFonts w:ascii="Times New Roman" w:hAnsi="Times New Roman" w:eastAsia="宋体"/>
          <w:bCs/>
          <w:iCs/>
        </w:rPr>
      </w:pPr>
      <w:r>
        <w:rPr>
          <w:rFonts w:ascii="Times New Roman" w:hAnsi="Times New Roman" w:eastAsia="宋体"/>
          <w:bCs/>
          <w:iCs/>
        </w:rPr>
        <w:t>评标结果汇总完成后，除下列情形外，任何人不得修改评标结果：</w:t>
      </w:r>
    </w:p>
    <w:p>
      <w:pPr>
        <w:widowControl w:val="0"/>
        <w:numPr>
          <w:ilvl w:val="4"/>
          <w:numId w:val="11"/>
        </w:numPr>
        <w:outlineLvl w:val="4"/>
        <w:rPr>
          <w:rFonts w:ascii="Times New Roman" w:hAnsi="Times New Roman" w:eastAsia="宋体"/>
          <w:bCs/>
          <w:szCs w:val="28"/>
        </w:rPr>
      </w:pPr>
      <w:r>
        <w:rPr>
          <w:rFonts w:ascii="Times New Roman" w:hAnsi="Times New Roman" w:eastAsia="宋体"/>
          <w:bCs/>
          <w:szCs w:val="28"/>
        </w:rPr>
        <w:t>分值汇总计算错误的；</w:t>
      </w:r>
    </w:p>
    <w:p>
      <w:pPr>
        <w:widowControl w:val="0"/>
        <w:numPr>
          <w:ilvl w:val="4"/>
          <w:numId w:val="11"/>
        </w:numPr>
        <w:outlineLvl w:val="4"/>
        <w:rPr>
          <w:rFonts w:ascii="Times New Roman" w:hAnsi="Times New Roman" w:eastAsia="宋体"/>
          <w:bCs/>
          <w:szCs w:val="28"/>
        </w:rPr>
      </w:pPr>
      <w:r>
        <w:rPr>
          <w:rFonts w:ascii="Times New Roman" w:hAnsi="Times New Roman" w:eastAsia="宋体"/>
          <w:bCs/>
          <w:szCs w:val="28"/>
        </w:rPr>
        <w:t>分项评分超出评分标准范围的；</w:t>
      </w:r>
    </w:p>
    <w:p>
      <w:pPr>
        <w:widowControl w:val="0"/>
        <w:numPr>
          <w:ilvl w:val="4"/>
          <w:numId w:val="11"/>
        </w:numPr>
        <w:outlineLvl w:val="4"/>
        <w:rPr>
          <w:rFonts w:ascii="Times New Roman" w:hAnsi="Times New Roman" w:eastAsia="宋体"/>
          <w:bCs/>
          <w:szCs w:val="28"/>
        </w:rPr>
      </w:pPr>
      <w:r>
        <w:rPr>
          <w:rFonts w:ascii="Times New Roman" w:hAnsi="Times New Roman" w:eastAsia="宋体"/>
          <w:bCs/>
          <w:szCs w:val="28"/>
        </w:rPr>
        <w:t>评标委员会成员对客观评审因素评分不一致的；</w:t>
      </w:r>
    </w:p>
    <w:p>
      <w:pPr>
        <w:widowControl w:val="0"/>
        <w:numPr>
          <w:ilvl w:val="4"/>
          <w:numId w:val="11"/>
        </w:numPr>
        <w:outlineLvl w:val="4"/>
        <w:rPr>
          <w:rFonts w:ascii="Times New Roman" w:hAnsi="Times New Roman" w:eastAsia="宋体"/>
          <w:bCs/>
          <w:szCs w:val="28"/>
        </w:rPr>
      </w:pPr>
      <w:r>
        <w:rPr>
          <w:rFonts w:ascii="Times New Roman" w:hAnsi="Times New Roman" w:eastAsia="宋体"/>
          <w:bCs/>
          <w:szCs w:val="28"/>
        </w:rPr>
        <w:t>经评标委员会认定评分畸高、畸低的。</w:t>
      </w:r>
    </w:p>
    <w:p>
      <w:pPr>
        <w:widowControl w:val="0"/>
        <w:ind w:left="840"/>
        <w:outlineLvl w:val="4"/>
        <w:rPr>
          <w:rFonts w:ascii="Times New Roman" w:hAnsi="Times New Roman" w:eastAsia="宋体"/>
          <w:bCs/>
          <w:szCs w:val="28"/>
        </w:rPr>
      </w:pPr>
      <w:r>
        <w:rPr>
          <w:rFonts w:ascii="Times New Roman" w:hAnsi="Times New Roman" w:eastAsia="宋体"/>
          <w:bCs/>
          <w:szCs w:val="28"/>
        </w:rPr>
        <w:t>评标报告签署前，经复核发现存在以上情形之一的，评标委员会应当当场修改评标结果，并在评标报告中记载；评标报告签署后，采购人或者警采中心发现存在以上情形之一的，应当组织原评标委员会进行重新评审，重新评审改变评标结果的，书面报告本级财政部门。</w:t>
      </w:r>
    </w:p>
    <w:p>
      <w:pPr>
        <w:widowControl w:val="0"/>
        <w:numPr>
          <w:ilvl w:val="3"/>
          <w:numId w:val="11"/>
        </w:numPr>
        <w:tabs>
          <w:tab w:val="left" w:pos="360"/>
        </w:tabs>
        <w:outlineLvl w:val="3"/>
        <w:rPr>
          <w:rFonts w:ascii="Times New Roman" w:hAnsi="Times New Roman" w:eastAsia="宋体"/>
          <w:bCs/>
          <w:iCs/>
        </w:rPr>
      </w:pPr>
      <w:r>
        <w:rPr>
          <w:rFonts w:ascii="Times New Roman" w:hAnsi="Times New Roman" w:eastAsia="宋体"/>
          <w:bCs/>
          <w:iCs/>
        </w:rPr>
        <w:t>无论基于何种原因，各项本应作拒绝处理的情形即便未被及时发现而使该投标人进入符合性审查、详细评审或其他后续程序，包括已经签约的情形，一旦在任何时间被发现存在上述情形，将按照招标文件、相关法律法规的规定进行处理，必要时将提请监管部门进行处理。</w:t>
      </w:r>
    </w:p>
    <w:p>
      <w:pPr>
        <w:widowControl w:val="0"/>
        <w:numPr>
          <w:ilvl w:val="2"/>
          <w:numId w:val="11"/>
        </w:numPr>
        <w:tabs>
          <w:tab w:val="left" w:pos="0"/>
        </w:tabs>
        <w:spacing w:before="120" w:beforeLines="50" w:line="360" w:lineRule="auto"/>
        <w:jc w:val="both"/>
        <w:outlineLvl w:val="2"/>
        <w:rPr>
          <w:rFonts w:ascii="Times New Roman" w:hAnsi="Times New Roman" w:eastAsia="黑体"/>
          <w:bCs/>
          <w:sz w:val="24"/>
          <w:szCs w:val="24"/>
        </w:rPr>
      </w:pPr>
      <w:r>
        <w:rPr>
          <w:rFonts w:ascii="Times New Roman" w:hAnsi="Times New Roman" w:eastAsia="黑体"/>
          <w:bCs/>
          <w:sz w:val="24"/>
          <w:szCs w:val="24"/>
        </w:rPr>
        <w:t>确定中标供应商</w:t>
      </w:r>
    </w:p>
    <w:p>
      <w:pPr>
        <w:widowControl w:val="0"/>
        <w:numPr>
          <w:ilvl w:val="3"/>
          <w:numId w:val="11"/>
        </w:numPr>
        <w:tabs>
          <w:tab w:val="left" w:pos="360"/>
        </w:tabs>
        <w:outlineLvl w:val="3"/>
        <w:rPr>
          <w:rFonts w:ascii="Times New Roman" w:hAnsi="Times New Roman" w:eastAsia="宋体"/>
          <w:bCs/>
          <w:iCs/>
        </w:rPr>
      </w:pPr>
      <w:r>
        <w:rPr>
          <w:rFonts w:ascii="Times New Roman" w:hAnsi="Times New Roman" w:eastAsia="宋体"/>
          <w:bCs/>
          <w:iCs/>
        </w:rPr>
        <w:t>警采中心应当在评标结束后2个工作日内将评标报告送采购人。</w:t>
      </w:r>
    </w:p>
    <w:p>
      <w:pPr>
        <w:widowControl w:val="0"/>
        <w:numPr>
          <w:ilvl w:val="3"/>
          <w:numId w:val="11"/>
        </w:numPr>
        <w:tabs>
          <w:tab w:val="left" w:pos="360"/>
        </w:tabs>
        <w:outlineLvl w:val="3"/>
        <w:rPr>
          <w:rFonts w:ascii="Times New Roman" w:hAnsi="Times New Roman" w:eastAsia="宋体"/>
          <w:bCs/>
          <w:iCs/>
        </w:rPr>
      </w:pPr>
      <w:r>
        <w:rPr>
          <w:rFonts w:ascii="Times New Roman" w:hAnsi="Times New Roman" w:eastAsia="宋体"/>
          <w:bCs/>
          <w:iCs/>
        </w:rPr>
        <w:t>采购人应当自收到评标报告之日起５个工作日内，在评标报告确定的中标候选供应商名单中按顺序确定中标供应商。中标候选供应商并列的，采取随机抽取的方式确定。</w:t>
      </w:r>
    </w:p>
    <w:p>
      <w:pPr>
        <w:widowControl w:val="0"/>
        <w:numPr>
          <w:ilvl w:val="3"/>
          <w:numId w:val="11"/>
        </w:numPr>
        <w:tabs>
          <w:tab w:val="left" w:pos="360"/>
        </w:tabs>
        <w:outlineLvl w:val="3"/>
        <w:rPr>
          <w:rFonts w:ascii="Times New Roman" w:hAnsi="Times New Roman" w:eastAsia="宋体"/>
          <w:bCs/>
          <w:iCs/>
        </w:rPr>
      </w:pPr>
      <w:r>
        <w:rPr>
          <w:rFonts w:ascii="Times New Roman" w:hAnsi="Times New Roman" w:eastAsia="宋体"/>
          <w:bCs/>
          <w:iCs/>
        </w:rPr>
        <w:t>采购人在收到评标报告5个工作日内未按评标报告推荐的中标候选供应商顺序确定中标供应商，又不能说明合法理由的，视同按评标报告推荐的顺序确定排名第一的中标候选供应商为中标供应商。</w:t>
      </w:r>
    </w:p>
    <w:p>
      <w:pPr>
        <w:widowControl w:val="0"/>
        <w:numPr>
          <w:ilvl w:val="2"/>
          <w:numId w:val="11"/>
        </w:numPr>
        <w:tabs>
          <w:tab w:val="left" w:pos="0"/>
        </w:tabs>
        <w:spacing w:before="120" w:beforeLines="50" w:line="360" w:lineRule="auto"/>
        <w:jc w:val="both"/>
        <w:outlineLvl w:val="2"/>
        <w:rPr>
          <w:rFonts w:ascii="Times New Roman" w:hAnsi="Times New Roman" w:eastAsia="黑体"/>
          <w:bCs/>
          <w:sz w:val="24"/>
          <w:szCs w:val="24"/>
        </w:rPr>
      </w:pPr>
      <w:r>
        <w:rPr>
          <w:rFonts w:ascii="Times New Roman" w:hAnsi="Times New Roman" w:eastAsia="黑体"/>
          <w:bCs/>
          <w:sz w:val="24"/>
          <w:szCs w:val="24"/>
        </w:rPr>
        <w:t>采购项目废标</w:t>
      </w:r>
    </w:p>
    <w:p>
      <w:pPr>
        <w:widowControl w:val="0"/>
        <w:numPr>
          <w:ilvl w:val="3"/>
          <w:numId w:val="11"/>
        </w:numPr>
        <w:tabs>
          <w:tab w:val="left" w:pos="360"/>
        </w:tabs>
        <w:outlineLvl w:val="3"/>
        <w:rPr>
          <w:rFonts w:ascii="Times New Roman" w:hAnsi="Times New Roman" w:eastAsia="宋体"/>
          <w:bCs/>
          <w:iCs/>
        </w:rPr>
      </w:pPr>
      <w:r>
        <w:rPr>
          <w:rFonts w:ascii="Times New Roman" w:hAnsi="Times New Roman" w:eastAsia="宋体"/>
          <w:bCs/>
          <w:iCs/>
        </w:rPr>
        <w:t>在开标、评标过程中，有下列情形之一的，应对采购项目予以废标：</w:t>
      </w:r>
    </w:p>
    <w:p>
      <w:pPr>
        <w:widowControl w:val="0"/>
        <w:numPr>
          <w:ilvl w:val="4"/>
          <w:numId w:val="11"/>
        </w:numPr>
        <w:outlineLvl w:val="4"/>
        <w:rPr>
          <w:rFonts w:ascii="Times New Roman" w:hAnsi="Times New Roman" w:eastAsia="宋体"/>
          <w:bCs/>
          <w:szCs w:val="28"/>
        </w:rPr>
      </w:pPr>
      <w:r>
        <w:rPr>
          <w:rFonts w:ascii="Times New Roman" w:hAnsi="Times New Roman" w:eastAsia="宋体"/>
          <w:bCs/>
          <w:szCs w:val="28"/>
        </w:rPr>
        <w:t>投标人不足三家；</w:t>
      </w:r>
    </w:p>
    <w:p>
      <w:pPr>
        <w:widowControl w:val="0"/>
        <w:numPr>
          <w:ilvl w:val="4"/>
          <w:numId w:val="11"/>
        </w:numPr>
        <w:outlineLvl w:val="4"/>
        <w:rPr>
          <w:rFonts w:ascii="Times New Roman" w:hAnsi="Times New Roman" w:eastAsia="宋体"/>
          <w:bCs/>
          <w:szCs w:val="28"/>
        </w:rPr>
      </w:pPr>
      <w:r>
        <w:rPr>
          <w:rFonts w:ascii="Times New Roman" w:hAnsi="Times New Roman" w:eastAsia="宋体"/>
          <w:bCs/>
          <w:szCs w:val="28"/>
        </w:rPr>
        <w:t>通过资格审查的投标人不足三家；</w:t>
      </w:r>
    </w:p>
    <w:p>
      <w:pPr>
        <w:widowControl w:val="0"/>
        <w:numPr>
          <w:ilvl w:val="4"/>
          <w:numId w:val="11"/>
        </w:numPr>
        <w:outlineLvl w:val="4"/>
        <w:rPr>
          <w:rFonts w:ascii="Times New Roman" w:hAnsi="Times New Roman" w:eastAsia="宋体"/>
          <w:bCs/>
          <w:szCs w:val="28"/>
        </w:rPr>
      </w:pPr>
      <w:r>
        <w:rPr>
          <w:rFonts w:ascii="Times New Roman" w:hAnsi="Times New Roman" w:eastAsia="宋体"/>
          <w:bCs/>
          <w:szCs w:val="28"/>
        </w:rPr>
        <w:t>符合专业条件的供应商或者对招标文件作实质响应的供应商数量不足，导致进入实质性评审、打分阶段的供应商不足3家的；</w:t>
      </w:r>
    </w:p>
    <w:p>
      <w:pPr>
        <w:widowControl w:val="0"/>
        <w:numPr>
          <w:ilvl w:val="4"/>
          <w:numId w:val="11"/>
        </w:numPr>
        <w:outlineLvl w:val="4"/>
        <w:rPr>
          <w:rFonts w:ascii="Times New Roman" w:hAnsi="Times New Roman" w:eastAsia="宋体"/>
          <w:bCs/>
          <w:szCs w:val="28"/>
        </w:rPr>
      </w:pPr>
      <w:r>
        <w:rPr>
          <w:rFonts w:ascii="Times New Roman" w:hAnsi="Times New Roman" w:eastAsia="宋体"/>
          <w:bCs/>
          <w:szCs w:val="28"/>
        </w:rPr>
        <w:t>出现影响采购公正的违法、违规行为的；</w:t>
      </w:r>
    </w:p>
    <w:p>
      <w:pPr>
        <w:widowControl w:val="0"/>
        <w:numPr>
          <w:ilvl w:val="3"/>
          <w:numId w:val="11"/>
        </w:numPr>
        <w:tabs>
          <w:tab w:val="left" w:pos="360"/>
        </w:tabs>
        <w:outlineLvl w:val="3"/>
        <w:rPr>
          <w:rFonts w:ascii="Times New Roman" w:hAnsi="Times New Roman" w:eastAsia="宋体"/>
          <w:bCs/>
          <w:iCs/>
        </w:rPr>
      </w:pPr>
      <w:r>
        <w:rPr>
          <w:rFonts w:ascii="Times New Roman" w:hAnsi="Times New Roman" w:eastAsia="宋体"/>
          <w:bCs/>
          <w:iCs/>
        </w:rPr>
        <w:t>因上述原因导致采购项目废标后，评标委员会应作出书面报告。</w:t>
      </w:r>
    </w:p>
    <w:p>
      <w:pPr>
        <w:widowControl w:val="0"/>
        <w:numPr>
          <w:ilvl w:val="3"/>
          <w:numId w:val="11"/>
        </w:numPr>
        <w:tabs>
          <w:tab w:val="left" w:pos="360"/>
        </w:tabs>
        <w:outlineLvl w:val="3"/>
        <w:rPr>
          <w:rFonts w:ascii="Times New Roman" w:hAnsi="Times New Roman" w:eastAsia="宋体"/>
          <w:bCs/>
          <w:iCs/>
        </w:rPr>
      </w:pPr>
      <w:r>
        <w:rPr>
          <w:rFonts w:ascii="Times New Roman" w:hAnsi="Times New Roman" w:eastAsia="宋体"/>
          <w:bCs/>
          <w:iCs/>
        </w:rPr>
        <w:t>废标后，警采中心应当将废标结果在刊登本次招标公告的媒体上发布。</w:t>
      </w:r>
    </w:p>
    <w:p>
      <w:pPr>
        <w:widowControl w:val="0"/>
        <w:numPr>
          <w:ilvl w:val="1"/>
          <w:numId w:val="11"/>
        </w:numPr>
        <w:tabs>
          <w:tab w:val="left" w:pos="0"/>
        </w:tabs>
        <w:snapToGrid w:val="0"/>
        <w:spacing w:before="120" w:beforeLines="50" w:after="120" w:line="360" w:lineRule="auto"/>
        <w:ind w:left="0" w:firstLine="0"/>
        <w:outlineLvl w:val="1"/>
        <w:rPr>
          <w:rFonts w:ascii="Times New Roman" w:hAnsi="Times New Roman" w:eastAsia="黑体"/>
          <w:b/>
          <w:sz w:val="32"/>
          <w:szCs w:val="21"/>
        </w:rPr>
      </w:pPr>
      <w:bookmarkStart w:id="55" w:name="_Toc26803"/>
      <w:bookmarkStart w:id="56" w:name="_Toc31955"/>
      <w:bookmarkStart w:id="57" w:name="_Toc5213"/>
      <w:r>
        <w:rPr>
          <w:rFonts w:ascii="Times New Roman" w:hAnsi="Times New Roman" w:eastAsia="黑体"/>
          <w:sz w:val="32"/>
          <w:szCs w:val="21"/>
        </w:rPr>
        <w:t>中标和合同</w:t>
      </w:r>
      <w:bookmarkEnd w:id="55"/>
      <w:bookmarkEnd w:id="56"/>
      <w:bookmarkEnd w:id="57"/>
    </w:p>
    <w:p>
      <w:pPr>
        <w:widowControl w:val="0"/>
        <w:numPr>
          <w:ilvl w:val="2"/>
          <w:numId w:val="11"/>
        </w:numPr>
        <w:tabs>
          <w:tab w:val="left" w:pos="0"/>
        </w:tabs>
        <w:spacing w:line="360" w:lineRule="auto"/>
        <w:jc w:val="both"/>
        <w:outlineLvl w:val="2"/>
        <w:rPr>
          <w:rFonts w:ascii="Times New Roman" w:hAnsi="Times New Roman" w:eastAsia="黑体"/>
          <w:bCs/>
          <w:sz w:val="24"/>
          <w:szCs w:val="24"/>
        </w:rPr>
      </w:pPr>
      <w:r>
        <w:rPr>
          <w:rFonts w:ascii="Times New Roman" w:hAnsi="Times New Roman" w:eastAsia="黑体"/>
          <w:bCs/>
          <w:sz w:val="24"/>
          <w:szCs w:val="24"/>
        </w:rPr>
        <w:t>中标通知</w:t>
      </w:r>
    </w:p>
    <w:p>
      <w:pPr>
        <w:widowControl w:val="0"/>
        <w:numPr>
          <w:ilvl w:val="3"/>
          <w:numId w:val="11"/>
        </w:numPr>
        <w:tabs>
          <w:tab w:val="left" w:pos="360"/>
        </w:tabs>
        <w:outlineLvl w:val="3"/>
        <w:rPr>
          <w:rFonts w:ascii="Times New Roman" w:hAnsi="Times New Roman" w:eastAsia="宋体"/>
          <w:bCs/>
          <w:iCs/>
        </w:rPr>
      </w:pPr>
      <w:r>
        <w:rPr>
          <w:rFonts w:ascii="Times New Roman" w:hAnsi="Times New Roman" w:eastAsia="宋体"/>
          <w:bCs/>
          <w:iCs/>
        </w:rPr>
        <w:t>中标供应商确定后，采购人或警采中心应于2个工作日内，在刊登本次招标公告的媒体上发布中标公告，同时以书面形式向中标供应商发出中标通知书，但该中标结果的有效性不依赖于未中标的投标人是否已经收到该通知。</w:t>
      </w:r>
    </w:p>
    <w:p>
      <w:pPr>
        <w:widowControl w:val="0"/>
        <w:numPr>
          <w:ilvl w:val="3"/>
          <w:numId w:val="11"/>
        </w:numPr>
        <w:tabs>
          <w:tab w:val="left" w:pos="360"/>
        </w:tabs>
        <w:outlineLvl w:val="3"/>
        <w:rPr>
          <w:rFonts w:ascii="Times New Roman" w:hAnsi="Times New Roman" w:eastAsia="宋体"/>
          <w:bCs/>
          <w:iCs/>
        </w:rPr>
      </w:pPr>
      <w:r>
        <w:rPr>
          <w:rFonts w:ascii="Times New Roman" w:hAnsi="Times New Roman" w:eastAsia="宋体"/>
          <w:bCs/>
          <w:iCs/>
        </w:rPr>
        <w:t>中标结果公告内容应当包括采购人及其委托的警采中心的名称、地址、联系方式，项目名称和项目编号，中标供应商名称、地址和中标金额，主要中标标的的名称、规格型号、数量、单价、服务要求，中标公告期限以及评审专家名单。</w:t>
      </w:r>
    </w:p>
    <w:p>
      <w:pPr>
        <w:widowControl w:val="0"/>
        <w:numPr>
          <w:ilvl w:val="3"/>
          <w:numId w:val="11"/>
        </w:numPr>
        <w:tabs>
          <w:tab w:val="left" w:pos="360"/>
        </w:tabs>
        <w:outlineLvl w:val="3"/>
        <w:rPr>
          <w:rFonts w:ascii="Times New Roman" w:hAnsi="Times New Roman" w:eastAsia="宋体"/>
          <w:bCs/>
          <w:iCs/>
        </w:rPr>
      </w:pPr>
      <w:r>
        <w:rPr>
          <w:rFonts w:ascii="Times New Roman" w:hAnsi="Times New Roman" w:eastAsia="宋体"/>
          <w:bCs/>
          <w:iCs/>
        </w:rPr>
        <w:t>中标通知书对采购人和中标供应商具有同等法律效力。中标通知书发出以后，采购人改变中标结果或者中标供应商放弃中标，应当承担相应的法律责任，出现争议的，报财政部门处理。</w:t>
      </w:r>
    </w:p>
    <w:p>
      <w:pPr>
        <w:widowControl w:val="0"/>
        <w:numPr>
          <w:ilvl w:val="3"/>
          <w:numId w:val="11"/>
        </w:numPr>
        <w:tabs>
          <w:tab w:val="left" w:pos="360"/>
        </w:tabs>
        <w:outlineLvl w:val="3"/>
        <w:rPr>
          <w:rFonts w:ascii="Times New Roman" w:hAnsi="Times New Roman" w:eastAsia="宋体"/>
          <w:bCs/>
          <w:iCs/>
        </w:rPr>
      </w:pPr>
      <w:r>
        <w:rPr>
          <w:rFonts w:ascii="Times New Roman" w:hAnsi="Times New Roman" w:eastAsia="宋体"/>
          <w:bCs/>
          <w:iCs/>
        </w:rPr>
        <w:t>中标通知书是合同的组成部分。</w:t>
      </w:r>
    </w:p>
    <w:p>
      <w:pPr>
        <w:widowControl w:val="0"/>
        <w:numPr>
          <w:ilvl w:val="2"/>
          <w:numId w:val="11"/>
        </w:numPr>
        <w:tabs>
          <w:tab w:val="left" w:pos="0"/>
        </w:tabs>
        <w:spacing w:before="120" w:beforeLines="50" w:line="360" w:lineRule="auto"/>
        <w:jc w:val="both"/>
        <w:outlineLvl w:val="2"/>
        <w:rPr>
          <w:rFonts w:ascii="Times New Roman" w:hAnsi="Times New Roman" w:eastAsia="黑体"/>
          <w:bCs/>
          <w:sz w:val="24"/>
          <w:szCs w:val="24"/>
        </w:rPr>
      </w:pPr>
      <w:r>
        <w:rPr>
          <w:rFonts w:ascii="Times New Roman" w:hAnsi="Times New Roman" w:eastAsia="黑体"/>
          <w:bCs/>
          <w:sz w:val="24"/>
          <w:szCs w:val="24"/>
        </w:rPr>
        <w:t>签订合同</w:t>
      </w:r>
    </w:p>
    <w:p>
      <w:pPr>
        <w:widowControl w:val="0"/>
        <w:numPr>
          <w:ilvl w:val="3"/>
          <w:numId w:val="11"/>
        </w:numPr>
        <w:tabs>
          <w:tab w:val="left" w:pos="360"/>
        </w:tabs>
        <w:outlineLvl w:val="3"/>
        <w:rPr>
          <w:rFonts w:ascii="Times New Roman" w:hAnsi="Times New Roman" w:eastAsia="宋体"/>
          <w:bCs/>
          <w:iCs/>
        </w:rPr>
      </w:pPr>
      <w:r>
        <w:rPr>
          <w:rFonts w:ascii="Times New Roman" w:hAnsi="Times New Roman" w:eastAsia="宋体"/>
          <w:bCs/>
          <w:iCs/>
        </w:rPr>
        <w:t>中标供应商应当自中标通知书发出之日起30日内，按照招标文件、投标文件确定的事项与采购人签订中标合同。</w:t>
      </w:r>
    </w:p>
    <w:p>
      <w:pPr>
        <w:widowControl w:val="0"/>
        <w:numPr>
          <w:ilvl w:val="3"/>
          <w:numId w:val="11"/>
        </w:numPr>
        <w:tabs>
          <w:tab w:val="left" w:pos="360"/>
        </w:tabs>
        <w:outlineLvl w:val="3"/>
        <w:rPr>
          <w:rFonts w:ascii="Times New Roman" w:hAnsi="Times New Roman" w:eastAsia="宋体"/>
          <w:bCs/>
          <w:iCs/>
        </w:rPr>
      </w:pPr>
      <w:r>
        <w:rPr>
          <w:rFonts w:ascii="Times New Roman" w:hAnsi="Times New Roman" w:eastAsia="宋体"/>
          <w:bCs/>
          <w:iCs/>
        </w:rPr>
        <w:t>中标供应商应按照招标文件、投标文件及评标过程中的有关澄清、说明或者补正文件的内容与采购人签订合同。中标供应商不得再与采购人签订背离合同实质性内容的其他协议或声明。</w:t>
      </w:r>
    </w:p>
    <w:p>
      <w:pPr>
        <w:widowControl w:val="0"/>
        <w:numPr>
          <w:ilvl w:val="3"/>
          <w:numId w:val="11"/>
        </w:numPr>
        <w:tabs>
          <w:tab w:val="left" w:pos="360"/>
        </w:tabs>
        <w:outlineLvl w:val="3"/>
        <w:rPr>
          <w:rFonts w:ascii="Times New Roman" w:hAnsi="Times New Roman" w:eastAsia="宋体"/>
          <w:bCs/>
          <w:iCs/>
        </w:rPr>
      </w:pPr>
      <w:r>
        <w:rPr>
          <w:rFonts w:ascii="Times New Roman" w:hAnsi="Times New Roman" w:eastAsia="宋体"/>
          <w:bCs/>
          <w:iCs/>
        </w:rPr>
        <w:t>采购人如需追加与合同标的相同的货物</w:t>
      </w:r>
      <w:r>
        <w:rPr>
          <w:rFonts w:ascii="宋体" w:hAnsi="宋体" w:eastAsia="宋体"/>
          <w:bCs/>
          <w:iCs/>
        </w:rPr>
        <w:t>，</w:t>
      </w:r>
      <w:r>
        <w:rPr>
          <w:rFonts w:ascii="Times New Roman" w:hAnsi="Times New Roman" w:eastAsia="宋体"/>
          <w:bCs/>
          <w:iCs/>
        </w:rPr>
        <w:t>在不改变合同其他条款的前提下</w:t>
      </w:r>
      <w:r>
        <w:rPr>
          <w:rFonts w:ascii="宋体" w:hAnsi="宋体" w:eastAsia="宋体"/>
          <w:bCs/>
          <w:iCs/>
        </w:rPr>
        <w:t>，</w:t>
      </w:r>
      <w:r>
        <w:rPr>
          <w:rFonts w:ascii="Times New Roman" w:hAnsi="Times New Roman" w:eastAsia="宋体"/>
          <w:bCs/>
          <w:iCs/>
        </w:rPr>
        <w:t>中标供应商可与采购人协商签订补充合同</w:t>
      </w:r>
      <w:r>
        <w:rPr>
          <w:rFonts w:ascii="宋体" w:hAnsi="宋体" w:eastAsia="宋体"/>
          <w:bCs/>
          <w:iCs/>
        </w:rPr>
        <w:t>，</w:t>
      </w:r>
      <w:r>
        <w:rPr>
          <w:rFonts w:ascii="Times New Roman" w:hAnsi="Times New Roman" w:eastAsia="宋体"/>
          <w:bCs/>
          <w:iCs/>
        </w:rPr>
        <w:t>但所有补充合同的采购金额不得超过原合同金额的</w:t>
      </w:r>
      <w:r>
        <w:rPr>
          <w:rFonts w:ascii="Times New Roman" w:hAnsi="Times New Roman" w:eastAsia="Times New Roman"/>
          <w:bCs/>
          <w:iCs/>
        </w:rPr>
        <w:t>10</w:t>
      </w:r>
      <w:r>
        <w:rPr>
          <w:rFonts w:ascii="Times New Roman" w:hAnsi="Times New Roman" w:eastAsia="宋体"/>
          <w:bCs/>
          <w:iCs/>
        </w:rPr>
        <w:t>%。</w:t>
      </w:r>
    </w:p>
    <w:p>
      <w:pPr>
        <w:widowControl w:val="0"/>
        <w:numPr>
          <w:ilvl w:val="3"/>
          <w:numId w:val="11"/>
        </w:numPr>
        <w:tabs>
          <w:tab w:val="left" w:pos="360"/>
        </w:tabs>
        <w:outlineLvl w:val="3"/>
        <w:rPr>
          <w:rFonts w:ascii="Times New Roman" w:hAnsi="Times New Roman" w:eastAsia="宋体"/>
          <w:bCs/>
          <w:iCs/>
        </w:rPr>
      </w:pPr>
      <w:r>
        <w:rPr>
          <w:rFonts w:ascii="Times New Roman" w:hAnsi="Times New Roman" w:eastAsia="宋体"/>
          <w:bCs/>
          <w:iCs/>
        </w:rPr>
        <w:t>投标人中标及签订合同后，不得擅自转包。</w:t>
      </w:r>
    </w:p>
    <w:p>
      <w:pPr>
        <w:widowControl w:val="0"/>
        <w:rPr>
          <w:rFonts w:ascii="Times New Roman" w:hAnsi="Times New Roman" w:eastAsia="宋体"/>
        </w:rPr>
      </w:pPr>
    </w:p>
    <w:p>
      <w:pPr>
        <w:widowControl w:val="0"/>
        <w:numPr>
          <w:ilvl w:val="1"/>
          <w:numId w:val="11"/>
        </w:numPr>
        <w:tabs>
          <w:tab w:val="left" w:pos="0"/>
        </w:tabs>
        <w:snapToGrid w:val="0"/>
        <w:spacing w:before="120" w:beforeLines="50" w:after="120" w:line="360" w:lineRule="auto"/>
        <w:ind w:left="0" w:firstLine="0"/>
        <w:outlineLvl w:val="1"/>
        <w:rPr>
          <w:rFonts w:ascii="Times New Roman" w:hAnsi="Times New Roman" w:eastAsia="黑体"/>
          <w:sz w:val="32"/>
          <w:szCs w:val="21"/>
        </w:rPr>
      </w:pPr>
      <w:bookmarkStart w:id="58" w:name="_Toc20721"/>
      <w:bookmarkStart w:id="59" w:name="_Toc30787"/>
      <w:bookmarkStart w:id="60" w:name="_Toc8306"/>
      <w:r>
        <w:rPr>
          <w:rFonts w:ascii="Times New Roman" w:hAnsi="Times New Roman" w:eastAsia="黑体"/>
          <w:sz w:val="32"/>
          <w:szCs w:val="21"/>
        </w:rPr>
        <w:t>中标服务费</w:t>
      </w:r>
      <w:bookmarkEnd w:id="58"/>
      <w:bookmarkEnd w:id="59"/>
      <w:bookmarkEnd w:id="60"/>
    </w:p>
    <w:p>
      <w:pPr>
        <w:widowControl w:val="0"/>
        <w:numPr>
          <w:ilvl w:val="2"/>
          <w:numId w:val="11"/>
        </w:numPr>
        <w:tabs>
          <w:tab w:val="left" w:pos="0"/>
        </w:tabs>
        <w:spacing w:before="120" w:beforeLines="50" w:line="360" w:lineRule="auto"/>
        <w:jc w:val="both"/>
        <w:outlineLvl w:val="2"/>
        <w:rPr>
          <w:rFonts w:ascii="Times New Roman" w:hAnsi="Times New Roman" w:eastAsia="黑体"/>
          <w:bCs/>
          <w:sz w:val="24"/>
          <w:szCs w:val="24"/>
        </w:rPr>
      </w:pPr>
      <w:r>
        <w:rPr>
          <w:rFonts w:ascii="Times New Roman" w:hAnsi="Times New Roman" w:eastAsia="黑体"/>
          <w:bCs/>
          <w:sz w:val="24"/>
          <w:szCs w:val="24"/>
        </w:rPr>
        <w:t>中标服务费</w:t>
      </w:r>
    </w:p>
    <w:p>
      <w:pPr>
        <w:widowControl w:val="0"/>
        <w:tabs>
          <w:tab w:val="left" w:pos="0"/>
        </w:tabs>
        <w:spacing w:after="120" w:afterLines="50"/>
        <w:ind w:left="709"/>
        <w:jc w:val="both"/>
        <w:rPr>
          <w:rFonts w:ascii="Times New Roman" w:hAnsi="Times New Roman" w:eastAsia="宋体"/>
        </w:rPr>
      </w:pPr>
      <w:r>
        <w:rPr>
          <w:rFonts w:ascii="Times New Roman" w:hAnsi="Times New Roman" w:eastAsia="宋体"/>
        </w:rPr>
        <w:t>按照以下规定执行（见下表）：</w:t>
      </w:r>
    </w:p>
    <w:tbl>
      <w:tblPr>
        <w:tblStyle w:val="81"/>
        <w:tblW w:w="0" w:type="auto"/>
        <w:jc w:val="center"/>
        <w:tblLayout w:type="fixed"/>
        <w:tblCellMar>
          <w:top w:w="0" w:type="dxa"/>
          <w:left w:w="108" w:type="dxa"/>
          <w:bottom w:w="0" w:type="dxa"/>
          <w:right w:w="108" w:type="dxa"/>
        </w:tblCellMar>
      </w:tblPr>
      <w:tblGrid>
        <w:gridCol w:w="2080"/>
        <w:gridCol w:w="2168"/>
        <w:gridCol w:w="2268"/>
        <w:gridCol w:w="2268"/>
      </w:tblGrid>
      <w:tr>
        <w:tblPrEx>
          <w:tblCellMar>
            <w:top w:w="0" w:type="dxa"/>
            <w:left w:w="108" w:type="dxa"/>
            <w:bottom w:w="0" w:type="dxa"/>
            <w:right w:w="108" w:type="dxa"/>
          </w:tblCellMar>
        </w:tblPrEx>
        <w:trPr>
          <w:trHeight w:val="270" w:hRule="atLeast"/>
          <w:jc w:val="center"/>
        </w:trPr>
        <w:tc>
          <w:tcPr>
            <w:tcW w:w="2080" w:type="dxa"/>
            <w:vMerge w:val="restart"/>
            <w:tcBorders>
              <w:top w:val="single" w:color="auto" w:sz="4" w:space="0"/>
              <w:left w:val="single" w:color="auto" w:sz="4" w:space="0"/>
              <w:bottom w:val="single" w:color="auto" w:sz="4" w:space="0"/>
              <w:right w:val="single" w:color="auto" w:sz="4" w:space="0"/>
            </w:tcBorders>
            <w:vAlign w:val="center"/>
          </w:tcPr>
          <w:p>
            <w:pPr>
              <w:widowControl w:val="0"/>
              <w:tabs>
                <w:tab w:val="left" w:pos="0"/>
              </w:tabs>
              <w:spacing w:line="360" w:lineRule="exact"/>
              <w:jc w:val="center"/>
              <w:rPr>
                <w:rFonts w:ascii="Times New Roman" w:hAnsi="Times New Roman" w:eastAsia="黑体"/>
                <w:szCs w:val="21"/>
              </w:rPr>
            </w:pPr>
            <w:r>
              <w:rPr>
                <w:rFonts w:ascii="Times New Roman" w:hAnsi="Times New Roman" w:eastAsia="黑体"/>
                <w:szCs w:val="21"/>
              </w:rPr>
              <w:t>中标金额（元）</w:t>
            </w:r>
          </w:p>
        </w:tc>
        <w:tc>
          <w:tcPr>
            <w:tcW w:w="6704" w:type="dxa"/>
            <w:gridSpan w:val="3"/>
            <w:tcBorders>
              <w:top w:val="single" w:color="auto" w:sz="4" w:space="0"/>
              <w:left w:val="nil"/>
              <w:bottom w:val="single" w:color="auto" w:sz="4" w:space="0"/>
              <w:right w:val="single" w:color="auto" w:sz="4" w:space="0"/>
            </w:tcBorders>
            <w:vAlign w:val="center"/>
          </w:tcPr>
          <w:p>
            <w:pPr>
              <w:widowControl w:val="0"/>
              <w:tabs>
                <w:tab w:val="left" w:pos="0"/>
              </w:tabs>
              <w:spacing w:line="360" w:lineRule="exact"/>
              <w:jc w:val="center"/>
              <w:rPr>
                <w:rFonts w:ascii="Times New Roman" w:hAnsi="Times New Roman" w:eastAsia="黑体"/>
                <w:szCs w:val="21"/>
              </w:rPr>
            </w:pPr>
            <w:r>
              <w:rPr>
                <w:rFonts w:ascii="Times New Roman" w:hAnsi="Times New Roman" w:eastAsia="黑体"/>
                <w:szCs w:val="21"/>
              </w:rPr>
              <w:t>服务费率</w:t>
            </w:r>
          </w:p>
        </w:tc>
      </w:tr>
      <w:tr>
        <w:tblPrEx>
          <w:tblCellMar>
            <w:top w:w="0" w:type="dxa"/>
            <w:left w:w="108" w:type="dxa"/>
            <w:bottom w:w="0" w:type="dxa"/>
            <w:right w:w="108" w:type="dxa"/>
          </w:tblCellMar>
        </w:tblPrEx>
        <w:trPr>
          <w:trHeight w:val="270" w:hRule="atLeast"/>
          <w:jc w:val="center"/>
        </w:trPr>
        <w:tc>
          <w:tcPr>
            <w:tcW w:w="2080" w:type="dxa"/>
            <w:vMerge w:val="continue"/>
            <w:tcBorders>
              <w:top w:val="single" w:color="auto" w:sz="4" w:space="0"/>
              <w:left w:val="single" w:color="auto" w:sz="4" w:space="0"/>
              <w:bottom w:val="single" w:color="auto" w:sz="4" w:space="0"/>
              <w:right w:val="single" w:color="auto" w:sz="4" w:space="0"/>
            </w:tcBorders>
            <w:vAlign w:val="center"/>
          </w:tcPr>
          <w:p>
            <w:pPr>
              <w:widowControl w:val="0"/>
              <w:tabs>
                <w:tab w:val="left" w:pos="0"/>
              </w:tabs>
              <w:spacing w:line="360" w:lineRule="exact"/>
              <w:rPr>
                <w:rFonts w:ascii="Times New Roman" w:hAnsi="Times New Roman" w:eastAsia="宋体"/>
                <w:szCs w:val="21"/>
              </w:rPr>
            </w:pPr>
          </w:p>
        </w:tc>
        <w:tc>
          <w:tcPr>
            <w:tcW w:w="2168" w:type="dxa"/>
            <w:tcBorders>
              <w:top w:val="nil"/>
              <w:left w:val="nil"/>
              <w:bottom w:val="single" w:color="auto" w:sz="4" w:space="0"/>
              <w:right w:val="single" w:color="auto" w:sz="4" w:space="0"/>
            </w:tcBorders>
            <w:vAlign w:val="center"/>
          </w:tcPr>
          <w:p>
            <w:pPr>
              <w:widowControl w:val="0"/>
              <w:tabs>
                <w:tab w:val="left" w:pos="0"/>
              </w:tabs>
              <w:spacing w:line="360" w:lineRule="exact"/>
              <w:jc w:val="center"/>
              <w:rPr>
                <w:rFonts w:ascii="Times New Roman" w:hAnsi="Times New Roman" w:eastAsia="黑体"/>
                <w:szCs w:val="21"/>
              </w:rPr>
            </w:pPr>
            <w:r>
              <w:rPr>
                <w:rFonts w:ascii="Times New Roman" w:hAnsi="Times New Roman" w:eastAsia="黑体"/>
                <w:szCs w:val="21"/>
              </w:rPr>
              <w:t>货物招标</w:t>
            </w:r>
          </w:p>
        </w:tc>
        <w:tc>
          <w:tcPr>
            <w:tcW w:w="2268" w:type="dxa"/>
            <w:tcBorders>
              <w:top w:val="nil"/>
              <w:left w:val="nil"/>
              <w:bottom w:val="single" w:color="auto" w:sz="4" w:space="0"/>
              <w:right w:val="single" w:color="auto" w:sz="4" w:space="0"/>
            </w:tcBorders>
            <w:vAlign w:val="center"/>
          </w:tcPr>
          <w:p>
            <w:pPr>
              <w:widowControl w:val="0"/>
              <w:tabs>
                <w:tab w:val="left" w:pos="0"/>
              </w:tabs>
              <w:spacing w:line="360" w:lineRule="exact"/>
              <w:jc w:val="center"/>
              <w:rPr>
                <w:rFonts w:ascii="Times New Roman" w:hAnsi="Times New Roman" w:eastAsia="黑体"/>
                <w:szCs w:val="21"/>
              </w:rPr>
            </w:pPr>
            <w:r>
              <w:rPr>
                <w:rFonts w:ascii="Times New Roman" w:hAnsi="Times New Roman" w:eastAsia="黑体"/>
                <w:szCs w:val="21"/>
              </w:rPr>
              <w:t>服务招标</w:t>
            </w:r>
          </w:p>
        </w:tc>
        <w:tc>
          <w:tcPr>
            <w:tcW w:w="2268" w:type="dxa"/>
            <w:tcBorders>
              <w:top w:val="nil"/>
              <w:left w:val="nil"/>
              <w:bottom w:val="single" w:color="auto" w:sz="4" w:space="0"/>
              <w:right w:val="single" w:color="auto" w:sz="4" w:space="0"/>
            </w:tcBorders>
            <w:vAlign w:val="center"/>
          </w:tcPr>
          <w:p>
            <w:pPr>
              <w:widowControl w:val="0"/>
              <w:tabs>
                <w:tab w:val="left" w:pos="0"/>
              </w:tabs>
              <w:spacing w:line="360" w:lineRule="exact"/>
              <w:jc w:val="center"/>
              <w:rPr>
                <w:rFonts w:ascii="Times New Roman" w:hAnsi="Times New Roman" w:eastAsia="黑体"/>
                <w:szCs w:val="21"/>
              </w:rPr>
            </w:pPr>
            <w:r>
              <w:rPr>
                <w:rFonts w:ascii="Times New Roman" w:hAnsi="Times New Roman" w:eastAsia="黑体"/>
                <w:szCs w:val="21"/>
              </w:rPr>
              <w:t>工程招标</w:t>
            </w:r>
          </w:p>
        </w:tc>
      </w:tr>
      <w:tr>
        <w:tblPrEx>
          <w:tblCellMar>
            <w:top w:w="0" w:type="dxa"/>
            <w:left w:w="108" w:type="dxa"/>
            <w:bottom w:w="0" w:type="dxa"/>
            <w:right w:w="108" w:type="dxa"/>
          </w:tblCellMar>
        </w:tblPrEx>
        <w:trPr>
          <w:trHeight w:val="270" w:hRule="atLeast"/>
          <w:jc w:val="center"/>
        </w:trPr>
        <w:tc>
          <w:tcPr>
            <w:tcW w:w="2080" w:type="dxa"/>
            <w:tcBorders>
              <w:top w:val="single" w:color="auto" w:sz="4" w:space="0"/>
              <w:left w:val="single" w:color="auto" w:sz="4" w:space="0"/>
              <w:bottom w:val="single" w:color="auto" w:sz="4" w:space="0"/>
              <w:right w:val="single" w:color="auto" w:sz="4" w:space="0"/>
            </w:tcBorders>
            <w:vAlign w:val="center"/>
          </w:tcPr>
          <w:p>
            <w:pPr>
              <w:widowControl w:val="0"/>
              <w:tabs>
                <w:tab w:val="left" w:pos="0"/>
              </w:tabs>
              <w:spacing w:line="360" w:lineRule="exact"/>
              <w:jc w:val="center"/>
              <w:rPr>
                <w:rFonts w:ascii="Times New Roman" w:hAnsi="Times New Roman" w:eastAsia="宋体"/>
                <w:szCs w:val="21"/>
              </w:rPr>
            </w:pPr>
            <w:r>
              <w:rPr>
                <w:rFonts w:ascii="Times New Roman" w:hAnsi="Times New Roman" w:eastAsia="宋体"/>
                <w:szCs w:val="21"/>
              </w:rPr>
              <w:t>0-100万</w:t>
            </w:r>
          </w:p>
        </w:tc>
        <w:tc>
          <w:tcPr>
            <w:tcW w:w="2168" w:type="dxa"/>
            <w:tcBorders>
              <w:top w:val="single" w:color="auto" w:sz="4" w:space="0"/>
              <w:left w:val="single" w:color="auto" w:sz="4" w:space="0"/>
              <w:bottom w:val="single" w:color="auto" w:sz="4" w:space="0"/>
              <w:right w:val="single" w:color="auto" w:sz="4" w:space="0"/>
            </w:tcBorders>
            <w:vAlign w:val="bottom"/>
          </w:tcPr>
          <w:p>
            <w:pPr>
              <w:widowControl w:val="0"/>
              <w:tabs>
                <w:tab w:val="left" w:pos="0"/>
              </w:tabs>
              <w:spacing w:line="360" w:lineRule="exact"/>
              <w:jc w:val="center"/>
              <w:rPr>
                <w:rFonts w:ascii="Times New Roman" w:hAnsi="Times New Roman" w:eastAsia="宋体"/>
                <w:szCs w:val="21"/>
              </w:rPr>
            </w:pPr>
            <w:r>
              <w:rPr>
                <w:rFonts w:ascii="Times New Roman" w:hAnsi="Times New Roman" w:eastAsia="宋体"/>
                <w:szCs w:val="21"/>
              </w:rPr>
              <w:t>1.5%</w:t>
            </w:r>
          </w:p>
        </w:tc>
        <w:tc>
          <w:tcPr>
            <w:tcW w:w="2268" w:type="dxa"/>
            <w:tcBorders>
              <w:top w:val="single" w:color="auto" w:sz="4" w:space="0"/>
              <w:left w:val="single" w:color="auto" w:sz="4" w:space="0"/>
              <w:bottom w:val="single" w:color="auto" w:sz="4" w:space="0"/>
              <w:right w:val="single" w:color="auto" w:sz="4" w:space="0"/>
            </w:tcBorders>
            <w:vAlign w:val="bottom"/>
          </w:tcPr>
          <w:p>
            <w:pPr>
              <w:widowControl w:val="0"/>
              <w:tabs>
                <w:tab w:val="left" w:pos="0"/>
              </w:tabs>
              <w:spacing w:line="360" w:lineRule="exact"/>
              <w:jc w:val="center"/>
              <w:rPr>
                <w:rFonts w:ascii="Times New Roman" w:hAnsi="Times New Roman" w:eastAsia="宋体"/>
                <w:szCs w:val="21"/>
              </w:rPr>
            </w:pPr>
            <w:r>
              <w:rPr>
                <w:rFonts w:ascii="Times New Roman" w:hAnsi="Times New Roman" w:eastAsia="宋体"/>
                <w:szCs w:val="21"/>
              </w:rPr>
              <w:t>1.5%</w:t>
            </w:r>
          </w:p>
        </w:tc>
        <w:tc>
          <w:tcPr>
            <w:tcW w:w="2268" w:type="dxa"/>
            <w:tcBorders>
              <w:top w:val="single" w:color="auto" w:sz="4" w:space="0"/>
              <w:left w:val="single" w:color="auto" w:sz="4" w:space="0"/>
              <w:bottom w:val="single" w:color="auto" w:sz="4" w:space="0"/>
              <w:right w:val="single" w:color="auto" w:sz="4" w:space="0"/>
            </w:tcBorders>
            <w:vAlign w:val="bottom"/>
          </w:tcPr>
          <w:p>
            <w:pPr>
              <w:widowControl w:val="0"/>
              <w:tabs>
                <w:tab w:val="left" w:pos="0"/>
              </w:tabs>
              <w:spacing w:line="360" w:lineRule="exact"/>
              <w:jc w:val="center"/>
              <w:rPr>
                <w:rFonts w:ascii="Times New Roman" w:hAnsi="Times New Roman" w:eastAsia="宋体"/>
                <w:szCs w:val="21"/>
              </w:rPr>
            </w:pPr>
            <w:r>
              <w:rPr>
                <w:rFonts w:ascii="Times New Roman" w:hAnsi="Times New Roman" w:eastAsia="宋体"/>
                <w:szCs w:val="21"/>
              </w:rPr>
              <w:t>1.0%</w:t>
            </w:r>
          </w:p>
        </w:tc>
      </w:tr>
      <w:tr>
        <w:tblPrEx>
          <w:tblCellMar>
            <w:top w:w="0" w:type="dxa"/>
            <w:left w:w="108" w:type="dxa"/>
            <w:bottom w:w="0" w:type="dxa"/>
            <w:right w:w="108" w:type="dxa"/>
          </w:tblCellMar>
        </w:tblPrEx>
        <w:trPr>
          <w:trHeight w:val="270" w:hRule="atLeast"/>
          <w:jc w:val="center"/>
        </w:trPr>
        <w:tc>
          <w:tcPr>
            <w:tcW w:w="2080" w:type="dxa"/>
            <w:tcBorders>
              <w:top w:val="single" w:color="auto" w:sz="4" w:space="0"/>
              <w:left w:val="single" w:color="auto" w:sz="4" w:space="0"/>
              <w:bottom w:val="single" w:color="auto" w:sz="4" w:space="0"/>
              <w:right w:val="single" w:color="auto" w:sz="4" w:space="0"/>
            </w:tcBorders>
            <w:vAlign w:val="center"/>
          </w:tcPr>
          <w:p>
            <w:pPr>
              <w:widowControl w:val="0"/>
              <w:tabs>
                <w:tab w:val="left" w:pos="0"/>
              </w:tabs>
              <w:spacing w:line="360" w:lineRule="exact"/>
              <w:jc w:val="center"/>
              <w:rPr>
                <w:rFonts w:ascii="Times New Roman" w:hAnsi="Times New Roman" w:eastAsia="宋体"/>
                <w:szCs w:val="21"/>
              </w:rPr>
            </w:pPr>
            <w:r>
              <w:rPr>
                <w:rFonts w:ascii="Times New Roman" w:hAnsi="Times New Roman" w:eastAsia="宋体"/>
                <w:szCs w:val="21"/>
              </w:rPr>
              <w:t>100万-500万</w:t>
            </w:r>
          </w:p>
        </w:tc>
        <w:tc>
          <w:tcPr>
            <w:tcW w:w="2168" w:type="dxa"/>
            <w:tcBorders>
              <w:top w:val="single" w:color="auto" w:sz="4" w:space="0"/>
              <w:left w:val="nil"/>
              <w:bottom w:val="single" w:color="auto" w:sz="4" w:space="0"/>
              <w:right w:val="single" w:color="auto" w:sz="4" w:space="0"/>
            </w:tcBorders>
            <w:vAlign w:val="bottom"/>
          </w:tcPr>
          <w:p>
            <w:pPr>
              <w:widowControl w:val="0"/>
              <w:tabs>
                <w:tab w:val="left" w:pos="0"/>
              </w:tabs>
              <w:spacing w:line="360" w:lineRule="exact"/>
              <w:jc w:val="center"/>
              <w:rPr>
                <w:rFonts w:ascii="Times New Roman" w:hAnsi="Times New Roman" w:eastAsia="宋体"/>
                <w:szCs w:val="21"/>
              </w:rPr>
            </w:pPr>
            <w:r>
              <w:rPr>
                <w:rFonts w:ascii="Times New Roman" w:hAnsi="Times New Roman" w:eastAsia="宋体"/>
                <w:szCs w:val="21"/>
              </w:rPr>
              <w:t>1.1%</w:t>
            </w:r>
          </w:p>
        </w:tc>
        <w:tc>
          <w:tcPr>
            <w:tcW w:w="2268" w:type="dxa"/>
            <w:tcBorders>
              <w:top w:val="single" w:color="auto" w:sz="4" w:space="0"/>
              <w:left w:val="nil"/>
              <w:bottom w:val="single" w:color="auto" w:sz="4" w:space="0"/>
              <w:right w:val="single" w:color="auto" w:sz="4" w:space="0"/>
            </w:tcBorders>
            <w:vAlign w:val="bottom"/>
          </w:tcPr>
          <w:p>
            <w:pPr>
              <w:widowControl w:val="0"/>
              <w:tabs>
                <w:tab w:val="left" w:pos="0"/>
              </w:tabs>
              <w:spacing w:line="360" w:lineRule="exact"/>
              <w:jc w:val="center"/>
              <w:rPr>
                <w:rFonts w:ascii="Times New Roman" w:hAnsi="Times New Roman" w:eastAsia="宋体"/>
                <w:szCs w:val="21"/>
              </w:rPr>
            </w:pPr>
            <w:r>
              <w:rPr>
                <w:rFonts w:ascii="Times New Roman" w:hAnsi="Times New Roman" w:eastAsia="宋体"/>
                <w:szCs w:val="21"/>
              </w:rPr>
              <w:t>0.8%</w:t>
            </w:r>
          </w:p>
        </w:tc>
        <w:tc>
          <w:tcPr>
            <w:tcW w:w="2268" w:type="dxa"/>
            <w:tcBorders>
              <w:top w:val="single" w:color="auto" w:sz="4" w:space="0"/>
              <w:left w:val="nil"/>
              <w:bottom w:val="single" w:color="auto" w:sz="4" w:space="0"/>
              <w:right w:val="single" w:color="auto" w:sz="4" w:space="0"/>
            </w:tcBorders>
            <w:vAlign w:val="bottom"/>
          </w:tcPr>
          <w:p>
            <w:pPr>
              <w:widowControl w:val="0"/>
              <w:tabs>
                <w:tab w:val="left" w:pos="0"/>
              </w:tabs>
              <w:spacing w:line="360" w:lineRule="exact"/>
              <w:jc w:val="center"/>
              <w:rPr>
                <w:rFonts w:ascii="Times New Roman" w:hAnsi="Times New Roman" w:eastAsia="宋体"/>
                <w:szCs w:val="21"/>
              </w:rPr>
            </w:pPr>
            <w:r>
              <w:rPr>
                <w:rFonts w:ascii="Times New Roman" w:hAnsi="Times New Roman" w:eastAsia="宋体"/>
                <w:szCs w:val="21"/>
              </w:rPr>
              <w:t>0.7%</w:t>
            </w:r>
          </w:p>
        </w:tc>
      </w:tr>
      <w:tr>
        <w:tblPrEx>
          <w:tblCellMar>
            <w:top w:w="0" w:type="dxa"/>
            <w:left w:w="108" w:type="dxa"/>
            <w:bottom w:w="0" w:type="dxa"/>
            <w:right w:w="108" w:type="dxa"/>
          </w:tblCellMar>
        </w:tblPrEx>
        <w:trPr>
          <w:trHeight w:val="270" w:hRule="atLeast"/>
          <w:jc w:val="center"/>
        </w:trPr>
        <w:tc>
          <w:tcPr>
            <w:tcW w:w="2080" w:type="dxa"/>
            <w:tcBorders>
              <w:top w:val="nil"/>
              <w:left w:val="single" w:color="auto" w:sz="4" w:space="0"/>
              <w:bottom w:val="single" w:color="auto" w:sz="4" w:space="0"/>
              <w:right w:val="single" w:color="auto" w:sz="4" w:space="0"/>
            </w:tcBorders>
            <w:vAlign w:val="center"/>
          </w:tcPr>
          <w:p>
            <w:pPr>
              <w:widowControl w:val="0"/>
              <w:tabs>
                <w:tab w:val="left" w:pos="0"/>
              </w:tabs>
              <w:spacing w:line="360" w:lineRule="exact"/>
              <w:jc w:val="center"/>
              <w:rPr>
                <w:rFonts w:ascii="Times New Roman" w:hAnsi="Times New Roman" w:eastAsia="宋体"/>
                <w:szCs w:val="21"/>
              </w:rPr>
            </w:pPr>
            <w:r>
              <w:rPr>
                <w:rFonts w:ascii="Times New Roman" w:hAnsi="Times New Roman" w:eastAsia="宋体"/>
                <w:szCs w:val="21"/>
              </w:rPr>
              <w:t>500万-1000万</w:t>
            </w:r>
          </w:p>
        </w:tc>
        <w:tc>
          <w:tcPr>
            <w:tcW w:w="2168" w:type="dxa"/>
            <w:tcBorders>
              <w:top w:val="nil"/>
              <w:left w:val="nil"/>
              <w:bottom w:val="single" w:color="auto" w:sz="4" w:space="0"/>
              <w:right w:val="single" w:color="auto" w:sz="4" w:space="0"/>
            </w:tcBorders>
            <w:vAlign w:val="bottom"/>
          </w:tcPr>
          <w:p>
            <w:pPr>
              <w:widowControl w:val="0"/>
              <w:tabs>
                <w:tab w:val="left" w:pos="0"/>
              </w:tabs>
              <w:spacing w:line="360" w:lineRule="exact"/>
              <w:jc w:val="center"/>
              <w:rPr>
                <w:rFonts w:ascii="Times New Roman" w:hAnsi="Times New Roman" w:eastAsia="宋体"/>
                <w:szCs w:val="21"/>
              </w:rPr>
            </w:pPr>
            <w:r>
              <w:rPr>
                <w:rFonts w:ascii="Times New Roman" w:hAnsi="Times New Roman" w:eastAsia="宋体"/>
                <w:szCs w:val="21"/>
              </w:rPr>
              <w:t>0.8%</w:t>
            </w:r>
          </w:p>
        </w:tc>
        <w:tc>
          <w:tcPr>
            <w:tcW w:w="2268" w:type="dxa"/>
            <w:tcBorders>
              <w:top w:val="nil"/>
              <w:left w:val="nil"/>
              <w:bottom w:val="single" w:color="auto" w:sz="4" w:space="0"/>
              <w:right w:val="single" w:color="auto" w:sz="4" w:space="0"/>
            </w:tcBorders>
            <w:vAlign w:val="bottom"/>
          </w:tcPr>
          <w:p>
            <w:pPr>
              <w:widowControl w:val="0"/>
              <w:tabs>
                <w:tab w:val="left" w:pos="0"/>
              </w:tabs>
              <w:spacing w:line="360" w:lineRule="exact"/>
              <w:jc w:val="center"/>
              <w:rPr>
                <w:rFonts w:ascii="Times New Roman" w:hAnsi="Times New Roman" w:eastAsia="宋体"/>
                <w:szCs w:val="21"/>
              </w:rPr>
            </w:pPr>
            <w:r>
              <w:rPr>
                <w:rFonts w:ascii="Times New Roman" w:hAnsi="Times New Roman" w:eastAsia="宋体"/>
                <w:szCs w:val="21"/>
              </w:rPr>
              <w:t>0.45%</w:t>
            </w:r>
          </w:p>
        </w:tc>
        <w:tc>
          <w:tcPr>
            <w:tcW w:w="2268" w:type="dxa"/>
            <w:tcBorders>
              <w:top w:val="nil"/>
              <w:left w:val="nil"/>
              <w:bottom w:val="single" w:color="auto" w:sz="4" w:space="0"/>
              <w:right w:val="single" w:color="auto" w:sz="4" w:space="0"/>
            </w:tcBorders>
            <w:vAlign w:val="bottom"/>
          </w:tcPr>
          <w:p>
            <w:pPr>
              <w:widowControl w:val="0"/>
              <w:tabs>
                <w:tab w:val="left" w:pos="0"/>
              </w:tabs>
              <w:spacing w:line="360" w:lineRule="exact"/>
              <w:jc w:val="center"/>
              <w:rPr>
                <w:rFonts w:ascii="Times New Roman" w:hAnsi="Times New Roman" w:eastAsia="宋体"/>
                <w:szCs w:val="21"/>
              </w:rPr>
            </w:pPr>
            <w:r>
              <w:rPr>
                <w:rFonts w:ascii="Times New Roman" w:hAnsi="Times New Roman" w:eastAsia="宋体"/>
                <w:szCs w:val="21"/>
              </w:rPr>
              <w:t>0.55%</w:t>
            </w:r>
          </w:p>
        </w:tc>
      </w:tr>
      <w:tr>
        <w:tblPrEx>
          <w:tblCellMar>
            <w:top w:w="0" w:type="dxa"/>
            <w:left w:w="108" w:type="dxa"/>
            <w:bottom w:w="0" w:type="dxa"/>
            <w:right w:w="108" w:type="dxa"/>
          </w:tblCellMar>
        </w:tblPrEx>
        <w:trPr>
          <w:trHeight w:val="270" w:hRule="atLeast"/>
          <w:jc w:val="center"/>
        </w:trPr>
        <w:tc>
          <w:tcPr>
            <w:tcW w:w="2080" w:type="dxa"/>
            <w:tcBorders>
              <w:top w:val="nil"/>
              <w:left w:val="single" w:color="auto" w:sz="4" w:space="0"/>
              <w:bottom w:val="single" w:color="auto" w:sz="4" w:space="0"/>
              <w:right w:val="single" w:color="auto" w:sz="4" w:space="0"/>
            </w:tcBorders>
            <w:vAlign w:val="center"/>
          </w:tcPr>
          <w:p>
            <w:pPr>
              <w:widowControl w:val="0"/>
              <w:tabs>
                <w:tab w:val="left" w:pos="0"/>
              </w:tabs>
              <w:spacing w:line="360" w:lineRule="exact"/>
              <w:jc w:val="center"/>
              <w:rPr>
                <w:rFonts w:ascii="Times New Roman" w:hAnsi="Times New Roman" w:eastAsia="宋体"/>
                <w:szCs w:val="21"/>
              </w:rPr>
            </w:pPr>
            <w:r>
              <w:rPr>
                <w:rFonts w:ascii="Times New Roman" w:hAnsi="Times New Roman" w:eastAsia="宋体"/>
                <w:szCs w:val="21"/>
              </w:rPr>
              <w:t>1000万-5000万</w:t>
            </w:r>
          </w:p>
        </w:tc>
        <w:tc>
          <w:tcPr>
            <w:tcW w:w="2168" w:type="dxa"/>
            <w:tcBorders>
              <w:top w:val="nil"/>
              <w:left w:val="nil"/>
              <w:bottom w:val="single" w:color="auto" w:sz="4" w:space="0"/>
              <w:right w:val="single" w:color="auto" w:sz="4" w:space="0"/>
            </w:tcBorders>
            <w:vAlign w:val="bottom"/>
          </w:tcPr>
          <w:p>
            <w:pPr>
              <w:widowControl w:val="0"/>
              <w:tabs>
                <w:tab w:val="left" w:pos="0"/>
              </w:tabs>
              <w:spacing w:line="360" w:lineRule="exact"/>
              <w:jc w:val="center"/>
              <w:rPr>
                <w:rFonts w:ascii="Times New Roman" w:hAnsi="Times New Roman" w:eastAsia="宋体"/>
                <w:szCs w:val="21"/>
              </w:rPr>
            </w:pPr>
            <w:r>
              <w:rPr>
                <w:rFonts w:ascii="Times New Roman" w:hAnsi="Times New Roman" w:eastAsia="宋体"/>
                <w:szCs w:val="21"/>
              </w:rPr>
              <w:t>0.5%</w:t>
            </w:r>
          </w:p>
        </w:tc>
        <w:tc>
          <w:tcPr>
            <w:tcW w:w="2268" w:type="dxa"/>
            <w:tcBorders>
              <w:top w:val="nil"/>
              <w:left w:val="nil"/>
              <w:bottom w:val="single" w:color="auto" w:sz="4" w:space="0"/>
              <w:right w:val="single" w:color="auto" w:sz="4" w:space="0"/>
            </w:tcBorders>
            <w:vAlign w:val="bottom"/>
          </w:tcPr>
          <w:p>
            <w:pPr>
              <w:widowControl w:val="0"/>
              <w:tabs>
                <w:tab w:val="left" w:pos="0"/>
              </w:tabs>
              <w:spacing w:line="360" w:lineRule="exact"/>
              <w:jc w:val="center"/>
              <w:rPr>
                <w:rFonts w:ascii="Times New Roman" w:hAnsi="Times New Roman" w:eastAsia="宋体"/>
                <w:szCs w:val="21"/>
              </w:rPr>
            </w:pPr>
            <w:r>
              <w:rPr>
                <w:rFonts w:ascii="Times New Roman" w:hAnsi="Times New Roman" w:eastAsia="宋体"/>
                <w:szCs w:val="21"/>
              </w:rPr>
              <w:t>0.25%</w:t>
            </w:r>
          </w:p>
        </w:tc>
        <w:tc>
          <w:tcPr>
            <w:tcW w:w="2268" w:type="dxa"/>
            <w:tcBorders>
              <w:top w:val="nil"/>
              <w:left w:val="nil"/>
              <w:bottom w:val="single" w:color="auto" w:sz="4" w:space="0"/>
              <w:right w:val="single" w:color="auto" w:sz="4" w:space="0"/>
            </w:tcBorders>
            <w:vAlign w:val="bottom"/>
          </w:tcPr>
          <w:p>
            <w:pPr>
              <w:widowControl w:val="0"/>
              <w:tabs>
                <w:tab w:val="left" w:pos="0"/>
              </w:tabs>
              <w:spacing w:line="360" w:lineRule="exact"/>
              <w:jc w:val="center"/>
              <w:rPr>
                <w:rFonts w:ascii="Times New Roman" w:hAnsi="Times New Roman" w:eastAsia="宋体"/>
                <w:szCs w:val="21"/>
              </w:rPr>
            </w:pPr>
            <w:r>
              <w:rPr>
                <w:rFonts w:ascii="Times New Roman" w:hAnsi="Times New Roman" w:eastAsia="宋体"/>
                <w:szCs w:val="21"/>
              </w:rPr>
              <w:t>0.35%</w:t>
            </w:r>
          </w:p>
        </w:tc>
      </w:tr>
      <w:tr>
        <w:tblPrEx>
          <w:tblCellMar>
            <w:top w:w="0" w:type="dxa"/>
            <w:left w:w="108" w:type="dxa"/>
            <w:bottom w:w="0" w:type="dxa"/>
            <w:right w:w="108" w:type="dxa"/>
          </w:tblCellMar>
        </w:tblPrEx>
        <w:trPr>
          <w:trHeight w:val="270" w:hRule="atLeast"/>
          <w:jc w:val="center"/>
        </w:trPr>
        <w:tc>
          <w:tcPr>
            <w:tcW w:w="2080" w:type="dxa"/>
            <w:tcBorders>
              <w:top w:val="nil"/>
              <w:left w:val="single" w:color="auto" w:sz="4" w:space="0"/>
              <w:bottom w:val="single" w:color="auto" w:sz="4" w:space="0"/>
              <w:right w:val="single" w:color="auto" w:sz="4" w:space="0"/>
            </w:tcBorders>
            <w:vAlign w:val="center"/>
          </w:tcPr>
          <w:p>
            <w:pPr>
              <w:widowControl w:val="0"/>
              <w:tabs>
                <w:tab w:val="left" w:pos="0"/>
              </w:tabs>
              <w:spacing w:line="360" w:lineRule="exact"/>
              <w:jc w:val="center"/>
              <w:rPr>
                <w:rFonts w:ascii="Times New Roman" w:hAnsi="Times New Roman" w:eastAsia="宋体"/>
                <w:szCs w:val="21"/>
              </w:rPr>
            </w:pPr>
            <w:r>
              <w:rPr>
                <w:rFonts w:ascii="Times New Roman" w:hAnsi="Times New Roman" w:eastAsia="宋体"/>
                <w:szCs w:val="21"/>
              </w:rPr>
              <w:t>5000万-10000万</w:t>
            </w:r>
          </w:p>
        </w:tc>
        <w:tc>
          <w:tcPr>
            <w:tcW w:w="2168" w:type="dxa"/>
            <w:tcBorders>
              <w:top w:val="nil"/>
              <w:left w:val="nil"/>
              <w:bottom w:val="single" w:color="auto" w:sz="4" w:space="0"/>
              <w:right w:val="single" w:color="auto" w:sz="4" w:space="0"/>
            </w:tcBorders>
            <w:vAlign w:val="bottom"/>
          </w:tcPr>
          <w:p>
            <w:pPr>
              <w:widowControl w:val="0"/>
              <w:tabs>
                <w:tab w:val="left" w:pos="0"/>
              </w:tabs>
              <w:spacing w:line="360" w:lineRule="exact"/>
              <w:jc w:val="center"/>
              <w:rPr>
                <w:rFonts w:ascii="Times New Roman" w:hAnsi="Times New Roman" w:eastAsia="宋体"/>
                <w:szCs w:val="21"/>
              </w:rPr>
            </w:pPr>
            <w:r>
              <w:rPr>
                <w:rFonts w:ascii="Times New Roman" w:hAnsi="Times New Roman" w:eastAsia="宋体"/>
                <w:szCs w:val="21"/>
              </w:rPr>
              <w:t>0.25%</w:t>
            </w:r>
          </w:p>
        </w:tc>
        <w:tc>
          <w:tcPr>
            <w:tcW w:w="2268" w:type="dxa"/>
            <w:tcBorders>
              <w:top w:val="nil"/>
              <w:left w:val="nil"/>
              <w:bottom w:val="single" w:color="auto" w:sz="4" w:space="0"/>
              <w:right w:val="single" w:color="auto" w:sz="4" w:space="0"/>
            </w:tcBorders>
            <w:vAlign w:val="bottom"/>
          </w:tcPr>
          <w:p>
            <w:pPr>
              <w:widowControl w:val="0"/>
              <w:tabs>
                <w:tab w:val="left" w:pos="0"/>
              </w:tabs>
              <w:spacing w:line="360" w:lineRule="exact"/>
              <w:jc w:val="center"/>
              <w:rPr>
                <w:rFonts w:ascii="Times New Roman" w:hAnsi="Times New Roman" w:eastAsia="宋体"/>
                <w:szCs w:val="21"/>
              </w:rPr>
            </w:pPr>
            <w:r>
              <w:rPr>
                <w:rFonts w:ascii="Times New Roman" w:hAnsi="Times New Roman" w:eastAsia="宋体"/>
                <w:szCs w:val="21"/>
              </w:rPr>
              <w:t>0.1%</w:t>
            </w:r>
          </w:p>
        </w:tc>
        <w:tc>
          <w:tcPr>
            <w:tcW w:w="2268" w:type="dxa"/>
            <w:tcBorders>
              <w:top w:val="nil"/>
              <w:left w:val="nil"/>
              <w:bottom w:val="single" w:color="auto" w:sz="4" w:space="0"/>
              <w:right w:val="single" w:color="auto" w:sz="4" w:space="0"/>
            </w:tcBorders>
            <w:vAlign w:val="bottom"/>
          </w:tcPr>
          <w:p>
            <w:pPr>
              <w:widowControl w:val="0"/>
              <w:tabs>
                <w:tab w:val="left" w:pos="0"/>
              </w:tabs>
              <w:spacing w:line="360" w:lineRule="exact"/>
              <w:jc w:val="center"/>
              <w:rPr>
                <w:rFonts w:ascii="Times New Roman" w:hAnsi="Times New Roman" w:eastAsia="宋体"/>
                <w:szCs w:val="21"/>
              </w:rPr>
            </w:pPr>
            <w:r>
              <w:rPr>
                <w:rFonts w:ascii="Times New Roman" w:hAnsi="Times New Roman" w:eastAsia="宋体"/>
                <w:szCs w:val="21"/>
              </w:rPr>
              <w:t>0.2%</w:t>
            </w:r>
          </w:p>
        </w:tc>
      </w:tr>
      <w:tr>
        <w:tblPrEx>
          <w:tblCellMar>
            <w:top w:w="0" w:type="dxa"/>
            <w:left w:w="108" w:type="dxa"/>
            <w:bottom w:w="0" w:type="dxa"/>
            <w:right w:w="108" w:type="dxa"/>
          </w:tblCellMar>
        </w:tblPrEx>
        <w:trPr>
          <w:trHeight w:val="270" w:hRule="atLeast"/>
          <w:jc w:val="center"/>
        </w:trPr>
        <w:tc>
          <w:tcPr>
            <w:tcW w:w="2080" w:type="dxa"/>
            <w:tcBorders>
              <w:top w:val="nil"/>
              <w:left w:val="single" w:color="auto" w:sz="4" w:space="0"/>
              <w:bottom w:val="single" w:color="auto" w:sz="4" w:space="0"/>
              <w:right w:val="single" w:color="auto" w:sz="4" w:space="0"/>
            </w:tcBorders>
            <w:vAlign w:val="center"/>
          </w:tcPr>
          <w:p>
            <w:pPr>
              <w:widowControl w:val="0"/>
              <w:tabs>
                <w:tab w:val="left" w:pos="0"/>
              </w:tabs>
              <w:spacing w:line="360" w:lineRule="exact"/>
              <w:jc w:val="center"/>
              <w:rPr>
                <w:rFonts w:ascii="Times New Roman" w:hAnsi="Times New Roman" w:eastAsia="宋体"/>
                <w:szCs w:val="21"/>
              </w:rPr>
            </w:pPr>
            <w:r>
              <w:rPr>
                <w:rFonts w:ascii="Times New Roman" w:hAnsi="Times New Roman" w:eastAsia="宋体"/>
                <w:szCs w:val="21"/>
              </w:rPr>
              <w:t>1亿-5亿</w:t>
            </w:r>
          </w:p>
        </w:tc>
        <w:tc>
          <w:tcPr>
            <w:tcW w:w="2168" w:type="dxa"/>
            <w:tcBorders>
              <w:top w:val="nil"/>
              <w:left w:val="nil"/>
              <w:bottom w:val="single" w:color="auto" w:sz="4" w:space="0"/>
              <w:right w:val="single" w:color="auto" w:sz="4" w:space="0"/>
            </w:tcBorders>
            <w:vAlign w:val="bottom"/>
          </w:tcPr>
          <w:p>
            <w:pPr>
              <w:widowControl w:val="0"/>
              <w:tabs>
                <w:tab w:val="left" w:pos="0"/>
              </w:tabs>
              <w:spacing w:line="360" w:lineRule="exact"/>
              <w:jc w:val="center"/>
              <w:rPr>
                <w:rFonts w:ascii="Times New Roman" w:hAnsi="Times New Roman" w:eastAsia="宋体"/>
                <w:szCs w:val="21"/>
              </w:rPr>
            </w:pPr>
            <w:r>
              <w:rPr>
                <w:rFonts w:ascii="Times New Roman" w:hAnsi="Times New Roman" w:eastAsia="宋体"/>
                <w:szCs w:val="21"/>
              </w:rPr>
              <w:t>0.05%</w:t>
            </w:r>
          </w:p>
        </w:tc>
        <w:tc>
          <w:tcPr>
            <w:tcW w:w="2268" w:type="dxa"/>
            <w:tcBorders>
              <w:top w:val="nil"/>
              <w:left w:val="nil"/>
              <w:bottom w:val="single" w:color="auto" w:sz="4" w:space="0"/>
              <w:right w:val="single" w:color="auto" w:sz="4" w:space="0"/>
            </w:tcBorders>
            <w:vAlign w:val="bottom"/>
          </w:tcPr>
          <w:p>
            <w:pPr>
              <w:widowControl w:val="0"/>
              <w:tabs>
                <w:tab w:val="left" w:pos="0"/>
              </w:tabs>
              <w:spacing w:line="360" w:lineRule="exact"/>
              <w:jc w:val="center"/>
              <w:rPr>
                <w:rFonts w:ascii="Times New Roman" w:hAnsi="Times New Roman" w:eastAsia="宋体"/>
                <w:szCs w:val="21"/>
              </w:rPr>
            </w:pPr>
            <w:r>
              <w:rPr>
                <w:rFonts w:ascii="Times New Roman" w:hAnsi="Times New Roman" w:eastAsia="宋体"/>
                <w:szCs w:val="21"/>
              </w:rPr>
              <w:t>0.05%</w:t>
            </w:r>
          </w:p>
        </w:tc>
        <w:tc>
          <w:tcPr>
            <w:tcW w:w="2268" w:type="dxa"/>
            <w:tcBorders>
              <w:top w:val="nil"/>
              <w:left w:val="nil"/>
              <w:bottom w:val="single" w:color="auto" w:sz="4" w:space="0"/>
              <w:right w:val="single" w:color="auto" w:sz="4" w:space="0"/>
            </w:tcBorders>
            <w:vAlign w:val="bottom"/>
          </w:tcPr>
          <w:p>
            <w:pPr>
              <w:widowControl w:val="0"/>
              <w:tabs>
                <w:tab w:val="left" w:pos="0"/>
              </w:tabs>
              <w:spacing w:line="360" w:lineRule="exact"/>
              <w:jc w:val="center"/>
              <w:rPr>
                <w:rFonts w:ascii="Times New Roman" w:hAnsi="Times New Roman" w:eastAsia="宋体"/>
                <w:szCs w:val="21"/>
              </w:rPr>
            </w:pPr>
            <w:r>
              <w:rPr>
                <w:rFonts w:ascii="Times New Roman" w:hAnsi="Times New Roman" w:eastAsia="宋体"/>
                <w:szCs w:val="21"/>
              </w:rPr>
              <w:t>0.05%</w:t>
            </w:r>
          </w:p>
        </w:tc>
      </w:tr>
      <w:tr>
        <w:tblPrEx>
          <w:tblCellMar>
            <w:top w:w="0" w:type="dxa"/>
            <w:left w:w="108" w:type="dxa"/>
            <w:bottom w:w="0" w:type="dxa"/>
            <w:right w:w="108" w:type="dxa"/>
          </w:tblCellMar>
        </w:tblPrEx>
        <w:trPr>
          <w:trHeight w:val="270" w:hRule="atLeast"/>
          <w:jc w:val="center"/>
        </w:trPr>
        <w:tc>
          <w:tcPr>
            <w:tcW w:w="2080" w:type="dxa"/>
            <w:tcBorders>
              <w:top w:val="nil"/>
              <w:left w:val="single" w:color="auto" w:sz="4" w:space="0"/>
              <w:bottom w:val="single" w:color="auto" w:sz="4" w:space="0"/>
              <w:right w:val="single" w:color="auto" w:sz="4" w:space="0"/>
            </w:tcBorders>
            <w:vAlign w:val="center"/>
          </w:tcPr>
          <w:p>
            <w:pPr>
              <w:widowControl w:val="0"/>
              <w:tabs>
                <w:tab w:val="left" w:pos="0"/>
              </w:tabs>
              <w:spacing w:line="360" w:lineRule="exact"/>
              <w:jc w:val="center"/>
              <w:rPr>
                <w:rFonts w:ascii="Times New Roman" w:hAnsi="Times New Roman" w:eastAsia="宋体"/>
                <w:szCs w:val="21"/>
              </w:rPr>
            </w:pPr>
            <w:r>
              <w:rPr>
                <w:rFonts w:ascii="Times New Roman" w:hAnsi="Times New Roman" w:eastAsia="宋体"/>
                <w:szCs w:val="21"/>
              </w:rPr>
              <w:t>5亿-10亿</w:t>
            </w:r>
          </w:p>
        </w:tc>
        <w:tc>
          <w:tcPr>
            <w:tcW w:w="2168" w:type="dxa"/>
            <w:tcBorders>
              <w:top w:val="nil"/>
              <w:left w:val="nil"/>
              <w:bottom w:val="single" w:color="auto" w:sz="4" w:space="0"/>
              <w:right w:val="single" w:color="auto" w:sz="4" w:space="0"/>
            </w:tcBorders>
            <w:vAlign w:val="bottom"/>
          </w:tcPr>
          <w:p>
            <w:pPr>
              <w:widowControl w:val="0"/>
              <w:tabs>
                <w:tab w:val="left" w:pos="0"/>
              </w:tabs>
              <w:spacing w:line="360" w:lineRule="exact"/>
              <w:jc w:val="center"/>
              <w:rPr>
                <w:rFonts w:ascii="Times New Roman" w:hAnsi="Times New Roman" w:eastAsia="宋体"/>
                <w:szCs w:val="21"/>
              </w:rPr>
            </w:pPr>
            <w:r>
              <w:rPr>
                <w:rFonts w:ascii="Times New Roman" w:hAnsi="Times New Roman" w:eastAsia="宋体"/>
                <w:szCs w:val="21"/>
              </w:rPr>
              <w:t>0.035%</w:t>
            </w:r>
          </w:p>
        </w:tc>
        <w:tc>
          <w:tcPr>
            <w:tcW w:w="2268" w:type="dxa"/>
            <w:tcBorders>
              <w:top w:val="nil"/>
              <w:left w:val="nil"/>
              <w:bottom w:val="single" w:color="auto" w:sz="4" w:space="0"/>
              <w:right w:val="single" w:color="auto" w:sz="4" w:space="0"/>
            </w:tcBorders>
            <w:vAlign w:val="bottom"/>
          </w:tcPr>
          <w:p>
            <w:pPr>
              <w:widowControl w:val="0"/>
              <w:tabs>
                <w:tab w:val="left" w:pos="0"/>
              </w:tabs>
              <w:spacing w:line="360" w:lineRule="exact"/>
              <w:jc w:val="center"/>
              <w:rPr>
                <w:rFonts w:ascii="Times New Roman" w:hAnsi="Times New Roman" w:eastAsia="宋体"/>
                <w:szCs w:val="21"/>
              </w:rPr>
            </w:pPr>
            <w:r>
              <w:rPr>
                <w:rFonts w:ascii="Times New Roman" w:hAnsi="Times New Roman" w:eastAsia="宋体"/>
                <w:szCs w:val="21"/>
              </w:rPr>
              <w:t>0.035%</w:t>
            </w:r>
          </w:p>
        </w:tc>
        <w:tc>
          <w:tcPr>
            <w:tcW w:w="2268" w:type="dxa"/>
            <w:tcBorders>
              <w:top w:val="nil"/>
              <w:left w:val="nil"/>
              <w:bottom w:val="single" w:color="auto" w:sz="4" w:space="0"/>
              <w:right w:val="single" w:color="auto" w:sz="4" w:space="0"/>
            </w:tcBorders>
            <w:vAlign w:val="bottom"/>
          </w:tcPr>
          <w:p>
            <w:pPr>
              <w:widowControl w:val="0"/>
              <w:tabs>
                <w:tab w:val="left" w:pos="0"/>
              </w:tabs>
              <w:spacing w:line="360" w:lineRule="exact"/>
              <w:jc w:val="center"/>
              <w:rPr>
                <w:rFonts w:ascii="Times New Roman" w:hAnsi="Times New Roman" w:eastAsia="宋体"/>
                <w:szCs w:val="21"/>
              </w:rPr>
            </w:pPr>
            <w:r>
              <w:rPr>
                <w:rFonts w:ascii="Times New Roman" w:hAnsi="Times New Roman" w:eastAsia="宋体"/>
                <w:szCs w:val="21"/>
              </w:rPr>
              <w:t>0.035%</w:t>
            </w:r>
          </w:p>
        </w:tc>
      </w:tr>
      <w:tr>
        <w:tblPrEx>
          <w:tblCellMar>
            <w:top w:w="0" w:type="dxa"/>
            <w:left w:w="108" w:type="dxa"/>
            <w:bottom w:w="0" w:type="dxa"/>
            <w:right w:w="108" w:type="dxa"/>
          </w:tblCellMar>
        </w:tblPrEx>
        <w:trPr>
          <w:trHeight w:val="270" w:hRule="atLeast"/>
          <w:jc w:val="center"/>
        </w:trPr>
        <w:tc>
          <w:tcPr>
            <w:tcW w:w="2080" w:type="dxa"/>
            <w:tcBorders>
              <w:top w:val="nil"/>
              <w:left w:val="single" w:color="auto" w:sz="4" w:space="0"/>
              <w:bottom w:val="single" w:color="auto" w:sz="4" w:space="0"/>
              <w:right w:val="single" w:color="auto" w:sz="4" w:space="0"/>
            </w:tcBorders>
            <w:vAlign w:val="center"/>
          </w:tcPr>
          <w:p>
            <w:pPr>
              <w:widowControl w:val="0"/>
              <w:tabs>
                <w:tab w:val="left" w:pos="0"/>
              </w:tabs>
              <w:spacing w:line="360" w:lineRule="exact"/>
              <w:jc w:val="center"/>
              <w:rPr>
                <w:rFonts w:ascii="Times New Roman" w:hAnsi="Times New Roman" w:eastAsia="宋体"/>
                <w:szCs w:val="21"/>
              </w:rPr>
            </w:pPr>
            <w:r>
              <w:rPr>
                <w:rFonts w:ascii="Times New Roman" w:hAnsi="Times New Roman" w:eastAsia="宋体"/>
                <w:szCs w:val="21"/>
              </w:rPr>
              <w:t>10亿-50亿</w:t>
            </w:r>
          </w:p>
        </w:tc>
        <w:tc>
          <w:tcPr>
            <w:tcW w:w="2168" w:type="dxa"/>
            <w:tcBorders>
              <w:top w:val="nil"/>
              <w:left w:val="nil"/>
              <w:bottom w:val="single" w:color="auto" w:sz="4" w:space="0"/>
              <w:right w:val="single" w:color="auto" w:sz="4" w:space="0"/>
            </w:tcBorders>
            <w:vAlign w:val="bottom"/>
          </w:tcPr>
          <w:p>
            <w:pPr>
              <w:widowControl w:val="0"/>
              <w:tabs>
                <w:tab w:val="left" w:pos="0"/>
              </w:tabs>
              <w:spacing w:line="360" w:lineRule="exact"/>
              <w:jc w:val="center"/>
              <w:rPr>
                <w:rFonts w:ascii="Times New Roman" w:hAnsi="Times New Roman" w:eastAsia="宋体"/>
                <w:szCs w:val="21"/>
              </w:rPr>
            </w:pPr>
            <w:r>
              <w:rPr>
                <w:rFonts w:ascii="Times New Roman" w:hAnsi="Times New Roman" w:eastAsia="宋体"/>
                <w:szCs w:val="21"/>
              </w:rPr>
              <w:t>0.008%</w:t>
            </w:r>
          </w:p>
        </w:tc>
        <w:tc>
          <w:tcPr>
            <w:tcW w:w="2268" w:type="dxa"/>
            <w:tcBorders>
              <w:top w:val="nil"/>
              <w:left w:val="nil"/>
              <w:bottom w:val="single" w:color="auto" w:sz="4" w:space="0"/>
              <w:right w:val="single" w:color="auto" w:sz="4" w:space="0"/>
            </w:tcBorders>
            <w:vAlign w:val="bottom"/>
          </w:tcPr>
          <w:p>
            <w:pPr>
              <w:widowControl w:val="0"/>
              <w:tabs>
                <w:tab w:val="left" w:pos="0"/>
              </w:tabs>
              <w:spacing w:line="360" w:lineRule="exact"/>
              <w:jc w:val="center"/>
              <w:rPr>
                <w:rFonts w:ascii="Times New Roman" w:hAnsi="Times New Roman" w:eastAsia="宋体"/>
                <w:szCs w:val="21"/>
              </w:rPr>
            </w:pPr>
            <w:r>
              <w:rPr>
                <w:rFonts w:ascii="Times New Roman" w:hAnsi="Times New Roman" w:eastAsia="宋体"/>
                <w:szCs w:val="21"/>
              </w:rPr>
              <w:t>0.008%</w:t>
            </w:r>
          </w:p>
        </w:tc>
        <w:tc>
          <w:tcPr>
            <w:tcW w:w="2268" w:type="dxa"/>
            <w:tcBorders>
              <w:top w:val="nil"/>
              <w:left w:val="nil"/>
              <w:bottom w:val="single" w:color="auto" w:sz="4" w:space="0"/>
              <w:right w:val="single" w:color="auto" w:sz="4" w:space="0"/>
            </w:tcBorders>
            <w:vAlign w:val="bottom"/>
          </w:tcPr>
          <w:p>
            <w:pPr>
              <w:widowControl w:val="0"/>
              <w:tabs>
                <w:tab w:val="left" w:pos="0"/>
              </w:tabs>
              <w:spacing w:line="360" w:lineRule="exact"/>
              <w:jc w:val="center"/>
              <w:rPr>
                <w:rFonts w:ascii="Times New Roman" w:hAnsi="Times New Roman" w:eastAsia="宋体"/>
                <w:szCs w:val="21"/>
              </w:rPr>
            </w:pPr>
            <w:r>
              <w:rPr>
                <w:rFonts w:ascii="Times New Roman" w:hAnsi="Times New Roman" w:eastAsia="宋体"/>
                <w:szCs w:val="21"/>
              </w:rPr>
              <w:t>0.008%</w:t>
            </w:r>
          </w:p>
        </w:tc>
      </w:tr>
      <w:tr>
        <w:tblPrEx>
          <w:tblCellMar>
            <w:top w:w="0" w:type="dxa"/>
            <w:left w:w="108" w:type="dxa"/>
            <w:bottom w:w="0" w:type="dxa"/>
            <w:right w:w="108" w:type="dxa"/>
          </w:tblCellMar>
        </w:tblPrEx>
        <w:trPr>
          <w:trHeight w:val="270" w:hRule="atLeast"/>
          <w:jc w:val="center"/>
        </w:trPr>
        <w:tc>
          <w:tcPr>
            <w:tcW w:w="2080" w:type="dxa"/>
            <w:tcBorders>
              <w:top w:val="nil"/>
              <w:left w:val="single" w:color="auto" w:sz="4" w:space="0"/>
              <w:bottom w:val="single" w:color="auto" w:sz="4" w:space="0"/>
              <w:right w:val="single" w:color="auto" w:sz="4" w:space="0"/>
            </w:tcBorders>
            <w:vAlign w:val="center"/>
          </w:tcPr>
          <w:p>
            <w:pPr>
              <w:widowControl w:val="0"/>
              <w:tabs>
                <w:tab w:val="left" w:pos="0"/>
              </w:tabs>
              <w:spacing w:line="360" w:lineRule="exact"/>
              <w:jc w:val="center"/>
              <w:rPr>
                <w:rFonts w:ascii="Times New Roman" w:hAnsi="Times New Roman" w:eastAsia="宋体"/>
                <w:szCs w:val="21"/>
              </w:rPr>
            </w:pPr>
            <w:r>
              <w:rPr>
                <w:rFonts w:ascii="Times New Roman" w:hAnsi="Times New Roman" w:eastAsia="宋体"/>
                <w:szCs w:val="21"/>
              </w:rPr>
              <w:t>50亿-100亿</w:t>
            </w:r>
          </w:p>
        </w:tc>
        <w:tc>
          <w:tcPr>
            <w:tcW w:w="2168" w:type="dxa"/>
            <w:tcBorders>
              <w:top w:val="nil"/>
              <w:left w:val="nil"/>
              <w:bottom w:val="single" w:color="auto" w:sz="4" w:space="0"/>
              <w:right w:val="single" w:color="auto" w:sz="4" w:space="0"/>
            </w:tcBorders>
            <w:vAlign w:val="bottom"/>
          </w:tcPr>
          <w:p>
            <w:pPr>
              <w:widowControl w:val="0"/>
              <w:tabs>
                <w:tab w:val="left" w:pos="0"/>
              </w:tabs>
              <w:spacing w:line="360" w:lineRule="exact"/>
              <w:jc w:val="center"/>
              <w:rPr>
                <w:rFonts w:ascii="Times New Roman" w:hAnsi="Times New Roman" w:eastAsia="宋体"/>
                <w:szCs w:val="21"/>
              </w:rPr>
            </w:pPr>
            <w:r>
              <w:rPr>
                <w:rFonts w:ascii="Times New Roman" w:hAnsi="Times New Roman" w:eastAsia="宋体"/>
                <w:szCs w:val="21"/>
              </w:rPr>
              <w:t>0.006%</w:t>
            </w:r>
          </w:p>
        </w:tc>
        <w:tc>
          <w:tcPr>
            <w:tcW w:w="2268" w:type="dxa"/>
            <w:tcBorders>
              <w:top w:val="nil"/>
              <w:left w:val="nil"/>
              <w:bottom w:val="single" w:color="auto" w:sz="4" w:space="0"/>
              <w:right w:val="single" w:color="auto" w:sz="4" w:space="0"/>
            </w:tcBorders>
            <w:vAlign w:val="bottom"/>
          </w:tcPr>
          <w:p>
            <w:pPr>
              <w:widowControl w:val="0"/>
              <w:tabs>
                <w:tab w:val="left" w:pos="0"/>
              </w:tabs>
              <w:spacing w:line="360" w:lineRule="exact"/>
              <w:jc w:val="center"/>
              <w:rPr>
                <w:rFonts w:ascii="Times New Roman" w:hAnsi="Times New Roman" w:eastAsia="宋体"/>
                <w:szCs w:val="21"/>
              </w:rPr>
            </w:pPr>
            <w:r>
              <w:rPr>
                <w:rFonts w:ascii="Times New Roman" w:hAnsi="Times New Roman" w:eastAsia="宋体"/>
                <w:szCs w:val="21"/>
              </w:rPr>
              <w:t>0.006%</w:t>
            </w:r>
          </w:p>
        </w:tc>
        <w:tc>
          <w:tcPr>
            <w:tcW w:w="2268" w:type="dxa"/>
            <w:tcBorders>
              <w:top w:val="nil"/>
              <w:left w:val="nil"/>
              <w:bottom w:val="single" w:color="auto" w:sz="4" w:space="0"/>
              <w:right w:val="single" w:color="auto" w:sz="4" w:space="0"/>
            </w:tcBorders>
            <w:vAlign w:val="bottom"/>
          </w:tcPr>
          <w:p>
            <w:pPr>
              <w:widowControl w:val="0"/>
              <w:tabs>
                <w:tab w:val="left" w:pos="0"/>
              </w:tabs>
              <w:spacing w:line="360" w:lineRule="exact"/>
              <w:jc w:val="center"/>
              <w:rPr>
                <w:rFonts w:ascii="Times New Roman" w:hAnsi="Times New Roman" w:eastAsia="宋体"/>
                <w:szCs w:val="21"/>
              </w:rPr>
            </w:pPr>
            <w:r>
              <w:rPr>
                <w:rFonts w:ascii="Times New Roman" w:hAnsi="Times New Roman" w:eastAsia="宋体"/>
                <w:szCs w:val="21"/>
              </w:rPr>
              <w:t>0.006%</w:t>
            </w:r>
          </w:p>
        </w:tc>
      </w:tr>
      <w:tr>
        <w:tblPrEx>
          <w:tblCellMar>
            <w:top w:w="0" w:type="dxa"/>
            <w:left w:w="108" w:type="dxa"/>
            <w:bottom w:w="0" w:type="dxa"/>
            <w:right w:w="108" w:type="dxa"/>
          </w:tblCellMar>
        </w:tblPrEx>
        <w:trPr>
          <w:trHeight w:val="270" w:hRule="atLeast"/>
          <w:jc w:val="center"/>
        </w:trPr>
        <w:tc>
          <w:tcPr>
            <w:tcW w:w="2080" w:type="dxa"/>
            <w:tcBorders>
              <w:top w:val="nil"/>
              <w:left w:val="single" w:color="auto" w:sz="4" w:space="0"/>
              <w:bottom w:val="single" w:color="auto" w:sz="4" w:space="0"/>
              <w:right w:val="single" w:color="auto" w:sz="4" w:space="0"/>
            </w:tcBorders>
            <w:vAlign w:val="center"/>
          </w:tcPr>
          <w:p>
            <w:pPr>
              <w:widowControl w:val="0"/>
              <w:tabs>
                <w:tab w:val="left" w:pos="0"/>
              </w:tabs>
              <w:spacing w:line="360" w:lineRule="exact"/>
              <w:jc w:val="center"/>
              <w:rPr>
                <w:rFonts w:ascii="Times New Roman" w:hAnsi="Times New Roman" w:eastAsia="宋体"/>
                <w:szCs w:val="21"/>
              </w:rPr>
            </w:pPr>
            <w:r>
              <w:rPr>
                <w:rFonts w:ascii="Times New Roman" w:hAnsi="Times New Roman" w:eastAsia="宋体"/>
                <w:szCs w:val="21"/>
              </w:rPr>
              <w:t>100亿</w:t>
            </w:r>
          </w:p>
        </w:tc>
        <w:tc>
          <w:tcPr>
            <w:tcW w:w="2168" w:type="dxa"/>
            <w:tcBorders>
              <w:top w:val="nil"/>
              <w:left w:val="nil"/>
              <w:bottom w:val="single" w:color="auto" w:sz="4" w:space="0"/>
              <w:right w:val="single" w:color="auto" w:sz="4" w:space="0"/>
            </w:tcBorders>
            <w:vAlign w:val="bottom"/>
          </w:tcPr>
          <w:p>
            <w:pPr>
              <w:widowControl w:val="0"/>
              <w:tabs>
                <w:tab w:val="left" w:pos="0"/>
              </w:tabs>
              <w:spacing w:line="360" w:lineRule="exact"/>
              <w:jc w:val="center"/>
              <w:rPr>
                <w:rFonts w:ascii="Times New Roman" w:hAnsi="Times New Roman" w:eastAsia="宋体"/>
                <w:szCs w:val="21"/>
              </w:rPr>
            </w:pPr>
            <w:r>
              <w:rPr>
                <w:rFonts w:ascii="Times New Roman" w:hAnsi="Times New Roman" w:eastAsia="宋体"/>
                <w:szCs w:val="21"/>
              </w:rPr>
              <w:t>0.004%</w:t>
            </w:r>
          </w:p>
        </w:tc>
        <w:tc>
          <w:tcPr>
            <w:tcW w:w="2268" w:type="dxa"/>
            <w:tcBorders>
              <w:top w:val="nil"/>
              <w:left w:val="nil"/>
              <w:bottom w:val="single" w:color="auto" w:sz="4" w:space="0"/>
              <w:right w:val="single" w:color="auto" w:sz="4" w:space="0"/>
            </w:tcBorders>
            <w:vAlign w:val="bottom"/>
          </w:tcPr>
          <w:p>
            <w:pPr>
              <w:widowControl w:val="0"/>
              <w:tabs>
                <w:tab w:val="left" w:pos="0"/>
              </w:tabs>
              <w:spacing w:line="360" w:lineRule="exact"/>
              <w:jc w:val="center"/>
              <w:rPr>
                <w:rFonts w:ascii="Times New Roman" w:hAnsi="Times New Roman" w:eastAsia="宋体"/>
                <w:szCs w:val="21"/>
              </w:rPr>
            </w:pPr>
            <w:r>
              <w:rPr>
                <w:rFonts w:ascii="Times New Roman" w:hAnsi="Times New Roman" w:eastAsia="宋体"/>
                <w:szCs w:val="21"/>
              </w:rPr>
              <w:t>0.004%</w:t>
            </w:r>
          </w:p>
        </w:tc>
        <w:tc>
          <w:tcPr>
            <w:tcW w:w="2268" w:type="dxa"/>
            <w:tcBorders>
              <w:top w:val="nil"/>
              <w:left w:val="nil"/>
              <w:bottom w:val="single" w:color="auto" w:sz="4" w:space="0"/>
              <w:right w:val="single" w:color="auto" w:sz="4" w:space="0"/>
            </w:tcBorders>
            <w:vAlign w:val="bottom"/>
          </w:tcPr>
          <w:p>
            <w:pPr>
              <w:widowControl w:val="0"/>
              <w:tabs>
                <w:tab w:val="left" w:pos="0"/>
              </w:tabs>
              <w:spacing w:line="360" w:lineRule="exact"/>
              <w:jc w:val="center"/>
              <w:rPr>
                <w:rFonts w:ascii="Times New Roman" w:hAnsi="Times New Roman" w:eastAsia="宋体"/>
                <w:szCs w:val="21"/>
              </w:rPr>
            </w:pPr>
            <w:r>
              <w:rPr>
                <w:rFonts w:ascii="Times New Roman" w:hAnsi="Times New Roman" w:eastAsia="宋体"/>
                <w:szCs w:val="21"/>
              </w:rPr>
              <w:t>0.004%</w:t>
            </w:r>
          </w:p>
        </w:tc>
      </w:tr>
    </w:tbl>
    <w:p>
      <w:pPr>
        <w:widowControl w:val="0"/>
        <w:tabs>
          <w:tab w:val="left" w:pos="0"/>
        </w:tabs>
        <w:spacing w:after="120" w:afterLines="50"/>
        <w:jc w:val="both"/>
        <w:rPr>
          <w:rFonts w:ascii="Times New Roman" w:hAnsi="Times New Roman" w:eastAsia="宋体"/>
        </w:rPr>
      </w:pPr>
      <w:r>
        <w:rPr>
          <w:rFonts w:ascii="Times New Roman" w:hAnsi="Times New Roman" w:eastAsia="宋体"/>
        </w:rPr>
        <w:t>注：招标代理服务收费以本项目中标总金额为准，按差额定率累进法计算。</w:t>
      </w:r>
    </w:p>
    <w:p>
      <w:pPr>
        <w:widowControl w:val="0"/>
        <w:tabs>
          <w:tab w:val="left" w:pos="0"/>
        </w:tabs>
        <w:spacing w:after="120" w:afterLines="50"/>
        <w:jc w:val="both"/>
        <w:rPr>
          <w:rFonts w:ascii="Times New Roman" w:hAnsi="Times New Roman" w:eastAsia="宋体"/>
        </w:rPr>
      </w:pPr>
      <w:r>
        <w:rPr>
          <w:rFonts w:ascii="Times New Roman" w:hAnsi="Times New Roman" w:eastAsia="宋体"/>
        </w:rPr>
        <w:t>中标企业在收到中标通知书5个工作日内将服务费汇至以下账户（汇款时需注明项目编号、项目名称、服务费）：</w:t>
      </w:r>
    </w:p>
    <w:p>
      <w:pPr>
        <w:widowControl w:val="0"/>
        <w:tabs>
          <w:tab w:val="left" w:pos="0"/>
        </w:tabs>
        <w:spacing w:after="120" w:afterLines="50"/>
        <w:jc w:val="both"/>
        <w:rPr>
          <w:rFonts w:ascii="Times New Roman" w:hAnsi="Times New Roman" w:eastAsia="宋体"/>
        </w:rPr>
      </w:pPr>
      <w:r>
        <w:rPr>
          <w:rFonts w:ascii="Times New Roman" w:hAnsi="Times New Roman" w:eastAsia="宋体"/>
        </w:rPr>
        <w:t>开户名称：公安部警用装备采购中心；</w:t>
      </w:r>
    </w:p>
    <w:p>
      <w:pPr>
        <w:widowControl w:val="0"/>
        <w:tabs>
          <w:tab w:val="left" w:pos="0"/>
        </w:tabs>
        <w:spacing w:after="120" w:afterLines="50"/>
        <w:jc w:val="both"/>
        <w:rPr>
          <w:rFonts w:ascii="Times New Roman" w:hAnsi="Times New Roman" w:eastAsia="宋体"/>
        </w:rPr>
      </w:pPr>
      <w:r>
        <w:rPr>
          <w:rFonts w:ascii="Times New Roman" w:hAnsi="Times New Roman" w:eastAsia="宋体"/>
        </w:rPr>
        <w:t>开户行：农行上海市分行营业部；</w:t>
      </w:r>
    </w:p>
    <w:p>
      <w:pPr>
        <w:widowControl w:val="0"/>
        <w:tabs>
          <w:tab w:val="left" w:pos="0"/>
        </w:tabs>
        <w:spacing w:after="120" w:afterLines="50"/>
        <w:jc w:val="both"/>
        <w:rPr>
          <w:rFonts w:ascii="Times New Roman" w:hAnsi="Times New Roman" w:eastAsia="宋体"/>
        </w:rPr>
      </w:pPr>
      <w:r>
        <w:rPr>
          <w:rFonts w:ascii="Times New Roman" w:hAnsi="Times New Roman" w:eastAsia="宋体"/>
        </w:rPr>
        <w:t>帐号：03332200040041573</w:t>
      </w:r>
    </w:p>
    <w:p>
      <w:pPr>
        <w:widowControl w:val="0"/>
        <w:numPr>
          <w:ilvl w:val="1"/>
          <w:numId w:val="11"/>
        </w:numPr>
        <w:tabs>
          <w:tab w:val="left" w:pos="0"/>
        </w:tabs>
        <w:snapToGrid w:val="0"/>
        <w:spacing w:before="120" w:beforeLines="50" w:after="120" w:line="360" w:lineRule="auto"/>
        <w:ind w:left="0" w:firstLine="0"/>
        <w:outlineLvl w:val="1"/>
        <w:rPr>
          <w:rFonts w:ascii="Times New Roman" w:hAnsi="Times New Roman" w:eastAsia="黑体"/>
          <w:sz w:val="32"/>
          <w:szCs w:val="21"/>
        </w:rPr>
      </w:pPr>
      <w:bookmarkStart w:id="61" w:name="_Toc24344"/>
      <w:bookmarkStart w:id="62" w:name="_Toc8144"/>
      <w:bookmarkStart w:id="63" w:name="_Toc15726"/>
      <w:r>
        <w:rPr>
          <w:rFonts w:ascii="Times New Roman" w:hAnsi="Times New Roman" w:eastAsia="黑体"/>
          <w:sz w:val="32"/>
          <w:szCs w:val="21"/>
        </w:rPr>
        <w:t>询问、质疑、投诉</w:t>
      </w:r>
      <w:bookmarkEnd w:id="61"/>
      <w:bookmarkEnd w:id="62"/>
      <w:bookmarkEnd w:id="63"/>
    </w:p>
    <w:p>
      <w:pPr>
        <w:widowControl w:val="0"/>
        <w:numPr>
          <w:ilvl w:val="2"/>
          <w:numId w:val="11"/>
        </w:numPr>
        <w:tabs>
          <w:tab w:val="left" w:pos="0"/>
        </w:tabs>
        <w:spacing w:before="120" w:beforeLines="50" w:line="360" w:lineRule="auto"/>
        <w:jc w:val="both"/>
        <w:outlineLvl w:val="2"/>
        <w:rPr>
          <w:rFonts w:ascii="Times New Roman" w:hAnsi="Times New Roman" w:eastAsia="黑体"/>
          <w:bCs/>
          <w:sz w:val="24"/>
          <w:szCs w:val="24"/>
        </w:rPr>
      </w:pPr>
      <w:r>
        <w:rPr>
          <w:rFonts w:ascii="Times New Roman" w:hAnsi="Times New Roman" w:eastAsia="黑体"/>
          <w:bCs/>
          <w:sz w:val="24"/>
          <w:szCs w:val="24"/>
        </w:rPr>
        <w:t>询问</w:t>
      </w:r>
    </w:p>
    <w:p>
      <w:pPr>
        <w:widowControl w:val="0"/>
        <w:numPr>
          <w:ilvl w:val="3"/>
          <w:numId w:val="11"/>
        </w:numPr>
        <w:tabs>
          <w:tab w:val="left" w:pos="360"/>
        </w:tabs>
        <w:outlineLvl w:val="3"/>
        <w:rPr>
          <w:rFonts w:ascii="Times New Roman" w:hAnsi="Times New Roman" w:eastAsia="宋体"/>
          <w:bCs/>
          <w:iCs/>
        </w:rPr>
      </w:pPr>
      <w:r>
        <w:rPr>
          <w:rFonts w:ascii="Times New Roman" w:hAnsi="Times New Roman" w:eastAsia="宋体"/>
          <w:bCs/>
          <w:iCs/>
        </w:rPr>
        <w:t>供应商对政府采购活动事项有疑问的，可以向采购人或警采中心提出询问。询问可以采取电话、当面询问或书面等形式。</w:t>
      </w:r>
    </w:p>
    <w:p>
      <w:pPr>
        <w:widowControl w:val="0"/>
        <w:numPr>
          <w:ilvl w:val="3"/>
          <w:numId w:val="11"/>
        </w:numPr>
        <w:tabs>
          <w:tab w:val="left" w:pos="360"/>
        </w:tabs>
        <w:outlineLvl w:val="3"/>
        <w:rPr>
          <w:rFonts w:ascii="Times New Roman" w:hAnsi="Times New Roman" w:eastAsia="宋体"/>
          <w:bCs/>
          <w:iCs/>
        </w:rPr>
      </w:pPr>
      <w:r>
        <w:rPr>
          <w:rFonts w:ascii="Times New Roman" w:hAnsi="Times New Roman" w:eastAsia="宋体"/>
          <w:bCs/>
          <w:iCs/>
        </w:rPr>
        <w:t>采购人或者警采中心应当在3个工作日内对供应商依法提出的询问作出答复。</w:t>
      </w:r>
    </w:p>
    <w:p>
      <w:pPr>
        <w:widowControl w:val="0"/>
        <w:numPr>
          <w:ilvl w:val="2"/>
          <w:numId w:val="11"/>
        </w:numPr>
        <w:tabs>
          <w:tab w:val="left" w:pos="0"/>
        </w:tabs>
        <w:spacing w:before="120" w:beforeLines="50" w:line="360" w:lineRule="auto"/>
        <w:jc w:val="both"/>
        <w:outlineLvl w:val="2"/>
        <w:rPr>
          <w:rFonts w:ascii="Times New Roman" w:hAnsi="Times New Roman" w:eastAsia="黑体"/>
          <w:bCs/>
          <w:sz w:val="24"/>
          <w:szCs w:val="24"/>
        </w:rPr>
      </w:pPr>
      <w:r>
        <w:rPr>
          <w:rFonts w:ascii="Times New Roman" w:hAnsi="Times New Roman" w:eastAsia="黑体"/>
          <w:bCs/>
          <w:sz w:val="24"/>
          <w:szCs w:val="24"/>
        </w:rPr>
        <w:t>质疑、投诉</w:t>
      </w:r>
    </w:p>
    <w:p>
      <w:pPr>
        <w:widowControl w:val="0"/>
        <w:numPr>
          <w:ilvl w:val="3"/>
          <w:numId w:val="11"/>
        </w:numPr>
        <w:tabs>
          <w:tab w:val="left" w:pos="360"/>
        </w:tabs>
        <w:outlineLvl w:val="3"/>
        <w:rPr>
          <w:rFonts w:ascii="Times New Roman" w:hAnsi="Times New Roman" w:eastAsia="宋体"/>
          <w:bCs/>
          <w:iCs/>
        </w:rPr>
      </w:pPr>
      <w:r>
        <w:rPr>
          <w:rFonts w:ascii="Times New Roman" w:hAnsi="Times New Roman" w:eastAsia="宋体"/>
          <w:bCs/>
          <w:iCs/>
        </w:rPr>
        <w:t>投标人（潜在投标人）认为招标文件、招标过程、中标结果使自己的权益受到损害的，可以在知道或者应知其权益受到损害之日起7个工作日内，以书面形式向采购人、警采中心提出质疑。投标人应知其权益受到损害之日，是指：</w:t>
      </w:r>
    </w:p>
    <w:p>
      <w:pPr>
        <w:widowControl w:val="0"/>
        <w:numPr>
          <w:ilvl w:val="4"/>
          <w:numId w:val="11"/>
        </w:numPr>
        <w:outlineLvl w:val="4"/>
        <w:rPr>
          <w:rFonts w:ascii="Times New Roman" w:hAnsi="Times New Roman" w:eastAsia="宋体"/>
          <w:bCs/>
          <w:szCs w:val="28"/>
        </w:rPr>
      </w:pPr>
      <w:r>
        <w:rPr>
          <w:rFonts w:ascii="Times New Roman" w:hAnsi="Times New Roman" w:eastAsia="宋体"/>
          <w:bCs/>
          <w:szCs w:val="28"/>
        </w:rPr>
        <w:t>对招标文件提出质疑的，为获取招标文件之日或者招标文件公告期限届满之日；</w:t>
      </w:r>
    </w:p>
    <w:p>
      <w:pPr>
        <w:widowControl w:val="0"/>
        <w:numPr>
          <w:ilvl w:val="4"/>
          <w:numId w:val="11"/>
        </w:numPr>
        <w:outlineLvl w:val="4"/>
        <w:rPr>
          <w:rFonts w:ascii="Times New Roman" w:hAnsi="Times New Roman" w:eastAsia="宋体"/>
          <w:bCs/>
          <w:szCs w:val="28"/>
        </w:rPr>
      </w:pPr>
      <w:r>
        <w:rPr>
          <w:rFonts w:ascii="Times New Roman" w:hAnsi="Times New Roman" w:eastAsia="宋体"/>
          <w:bCs/>
          <w:szCs w:val="28"/>
        </w:rPr>
        <w:t>对招标过程提出质疑的，为各招标程序环节结束之日；</w:t>
      </w:r>
    </w:p>
    <w:p>
      <w:pPr>
        <w:widowControl w:val="0"/>
        <w:numPr>
          <w:ilvl w:val="4"/>
          <w:numId w:val="11"/>
        </w:numPr>
        <w:outlineLvl w:val="4"/>
        <w:rPr>
          <w:rFonts w:ascii="Times New Roman" w:hAnsi="Times New Roman" w:eastAsia="宋体"/>
          <w:bCs/>
          <w:szCs w:val="28"/>
        </w:rPr>
      </w:pPr>
      <w:r>
        <w:rPr>
          <w:rFonts w:ascii="Times New Roman" w:hAnsi="Times New Roman" w:eastAsia="宋体"/>
          <w:bCs/>
          <w:szCs w:val="28"/>
        </w:rPr>
        <w:t>对中标结果提出质疑的，为中标结果公告期限届满之日。</w:t>
      </w:r>
    </w:p>
    <w:p>
      <w:pPr>
        <w:widowControl w:val="0"/>
        <w:ind w:left="840"/>
        <w:outlineLvl w:val="4"/>
        <w:rPr>
          <w:rFonts w:ascii="Times New Roman" w:hAnsi="Times New Roman" w:eastAsia="宋体"/>
          <w:bCs/>
          <w:szCs w:val="28"/>
        </w:rPr>
      </w:pPr>
      <w:r>
        <w:rPr>
          <w:rFonts w:ascii="Times New Roman" w:hAnsi="Times New Roman" w:eastAsia="宋体"/>
          <w:bCs/>
          <w:szCs w:val="28"/>
        </w:rPr>
        <w:t>投标人（潜在投标人）针对同一采购程序环节的质疑须一次性提出。</w:t>
      </w:r>
    </w:p>
    <w:p>
      <w:pPr>
        <w:widowControl w:val="0"/>
        <w:numPr>
          <w:ilvl w:val="3"/>
          <w:numId w:val="11"/>
        </w:numPr>
        <w:tabs>
          <w:tab w:val="left" w:pos="360"/>
        </w:tabs>
        <w:outlineLvl w:val="3"/>
        <w:rPr>
          <w:rFonts w:ascii="Times New Roman" w:hAnsi="Times New Roman" w:eastAsia="宋体"/>
          <w:bCs/>
          <w:iCs/>
        </w:rPr>
      </w:pPr>
      <w:r>
        <w:rPr>
          <w:rFonts w:ascii="Times New Roman" w:hAnsi="Times New Roman" w:eastAsia="宋体"/>
          <w:bCs/>
          <w:iCs/>
        </w:rPr>
        <w:t>提出质疑的投标人（潜在投标人）应当是参与所质疑项目采购活动的供应商，潜在投标人已依法获取其可质疑的招标文件的，可以对该文件提出质疑。</w:t>
      </w:r>
    </w:p>
    <w:p>
      <w:pPr>
        <w:widowControl w:val="0"/>
        <w:numPr>
          <w:ilvl w:val="3"/>
          <w:numId w:val="11"/>
        </w:numPr>
        <w:tabs>
          <w:tab w:val="left" w:pos="360"/>
        </w:tabs>
        <w:outlineLvl w:val="3"/>
        <w:rPr>
          <w:rFonts w:ascii="Times New Roman" w:hAnsi="Times New Roman" w:eastAsia="宋体"/>
          <w:bCs/>
          <w:iCs/>
        </w:rPr>
      </w:pPr>
      <w:r>
        <w:rPr>
          <w:rFonts w:ascii="Times New Roman" w:hAnsi="Times New Roman" w:eastAsia="宋体"/>
          <w:bCs/>
          <w:iCs/>
        </w:rPr>
        <w:t>投标人（潜在投标人）提出质疑应当提交质疑函和必要的证明材料。质疑函应当包括下列内容：</w:t>
      </w:r>
    </w:p>
    <w:p>
      <w:pPr>
        <w:widowControl w:val="0"/>
        <w:numPr>
          <w:ilvl w:val="4"/>
          <w:numId w:val="11"/>
        </w:numPr>
        <w:outlineLvl w:val="4"/>
        <w:rPr>
          <w:rFonts w:ascii="Times New Roman" w:hAnsi="Times New Roman" w:eastAsia="宋体"/>
          <w:bCs/>
          <w:szCs w:val="28"/>
        </w:rPr>
      </w:pPr>
      <w:r>
        <w:rPr>
          <w:rFonts w:ascii="Times New Roman" w:hAnsi="Times New Roman" w:eastAsia="宋体"/>
          <w:iCs/>
          <w:szCs w:val="28"/>
        </w:rPr>
        <w:t>投标人（潜在投标人）</w:t>
      </w:r>
      <w:r>
        <w:rPr>
          <w:rFonts w:ascii="Times New Roman" w:hAnsi="Times New Roman" w:eastAsia="宋体"/>
          <w:bCs/>
          <w:szCs w:val="28"/>
        </w:rPr>
        <w:t>的姓名或者名称、地址、邮编、联系人及联系电话；</w:t>
      </w:r>
    </w:p>
    <w:p>
      <w:pPr>
        <w:widowControl w:val="0"/>
        <w:numPr>
          <w:ilvl w:val="4"/>
          <w:numId w:val="11"/>
        </w:numPr>
        <w:outlineLvl w:val="4"/>
        <w:rPr>
          <w:rFonts w:ascii="Times New Roman" w:hAnsi="Times New Roman" w:eastAsia="宋体"/>
          <w:bCs/>
          <w:szCs w:val="28"/>
        </w:rPr>
      </w:pPr>
      <w:r>
        <w:rPr>
          <w:rFonts w:ascii="Times New Roman" w:hAnsi="Times New Roman" w:eastAsia="宋体"/>
          <w:bCs/>
          <w:szCs w:val="28"/>
        </w:rPr>
        <w:t>质疑项目的名称、编号；</w:t>
      </w:r>
    </w:p>
    <w:p>
      <w:pPr>
        <w:widowControl w:val="0"/>
        <w:numPr>
          <w:ilvl w:val="4"/>
          <w:numId w:val="11"/>
        </w:numPr>
        <w:outlineLvl w:val="4"/>
        <w:rPr>
          <w:rFonts w:ascii="Times New Roman" w:hAnsi="Times New Roman" w:eastAsia="宋体"/>
          <w:bCs/>
          <w:szCs w:val="28"/>
        </w:rPr>
      </w:pPr>
      <w:r>
        <w:rPr>
          <w:rFonts w:ascii="Times New Roman" w:hAnsi="Times New Roman" w:eastAsia="宋体"/>
          <w:bCs/>
          <w:szCs w:val="28"/>
        </w:rPr>
        <w:t>具体、明确的质疑事项和与质疑事项相关的请求；</w:t>
      </w:r>
    </w:p>
    <w:p>
      <w:pPr>
        <w:widowControl w:val="0"/>
        <w:numPr>
          <w:ilvl w:val="4"/>
          <w:numId w:val="11"/>
        </w:numPr>
        <w:outlineLvl w:val="4"/>
        <w:rPr>
          <w:rFonts w:ascii="Times New Roman" w:hAnsi="Times New Roman" w:eastAsia="宋体"/>
          <w:bCs/>
          <w:szCs w:val="28"/>
        </w:rPr>
      </w:pPr>
      <w:r>
        <w:rPr>
          <w:rFonts w:ascii="Times New Roman" w:hAnsi="Times New Roman" w:eastAsia="宋体"/>
          <w:bCs/>
          <w:szCs w:val="28"/>
        </w:rPr>
        <w:t>事实依据；</w:t>
      </w:r>
    </w:p>
    <w:p>
      <w:pPr>
        <w:widowControl w:val="0"/>
        <w:numPr>
          <w:ilvl w:val="4"/>
          <w:numId w:val="11"/>
        </w:numPr>
        <w:outlineLvl w:val="4"/>
        <w:rPr>
          <w:rFonts w:ascii="Times New Roman" w:hAnsi="Times New Roman" w:eastAsia="宋体"/>
          <w:bCs/>
          <w:szCs w:val="28"/>
        </w:rPr>
      </w:pPr>
      <w:r>
        <w:rPr>
          <w:rFonts w:ascii="Times New Roman" w:hAnsi="Times New Roman" w:eastAsia="宋体"/>
          <w:bCs/>
          <w:szCs w:val="28"/>
        </w:rPr>
        <w:t>必要的法律依据；</w:t>
      </w:r>
    </w:p>
    <w:p>
      <w:pPr>
        <w:widowControl w:val="0"/>
        <w:numPr>
          <w:ilvl w:val="4"/>
          <w:numId w:val="11"/>
        </w:numPr>
        <w:outlineLvl w:val="4"/>
        <w:rPr>
          <w:rFonts w:ascii="Times New Roman" w:hAnsi="Times New Roman" w:eastAsia="宋体"/>
          <w:bCs/>
          <w:szCs w:val="28"/>
        </w:rPr>
      </w:pPr>
      <w:r>
        <w:rPr>
          <w:rFonts w:ascii="Times New Roman" w:hAnsi="Times New Roman" w:eastAsia="宋体"/>
          <w:bCs/>
          <w:szCs w:val="28"/>
        </w:rPr>
        <w:t>提出质疑的日期。</w:t>
      </w:r>
    </w:p>
    <w:p>
      <w:pPr>
        <w:widowControl w:val="0"/>
        <w:ind w:left="840"/>
        <w:outlineLvl w:val="4"/>
        <w:rPr>
          <w:rFonts w:ascii="Times New Roman" w:hAnsi="Times New Roman" w:eastAsia="宋体"/>
          <w:bCs/>
          <w:szCs w:val="28"/>
        </w:rPr>
      </w:pPr>
      <w:r>
        <w:rPr>
          <w:rFonts w:ascii="Times New Roman" w:hAnsi="Times New Roman" w:eastAsia="宋体"/>
          <w:bCs/>
          <w:szCs w:val="28"/>
        </w:rPr>
        <w:t>投标人（潜在投标人）为自然人的，应当由本人签字；投标人（潜在投标人）为法人或者其他组织的，应当由法定代表人、主要负责人，或者其授权代表签字或者盖章，并加盖公章。质疑函内容有缺失的，警采中心、采购人应当一次性告知质疑人需补全的材料及补交的截止时间。补交的截止时间与法定质疑期的截止时间一致。质疑人于截止时间后递交补充材料的，将被拒绝。</w:t>
      </w:r>
    </w:p>
    <w:p>
      <w:pPr>
        <w:widowControl w:val="0"/>
        <w:numPr>
          <w:ilvl w:val="3"/>
          <w:numId w:val="11"/>
        </w:numPr>
        <w:tabs>
          <w:tab w:val="left" w:pos="360"/>
        </w:tabs>
        <w:outlineLvl w:val="3"/>
        <w:rPr>
          <w:rFonts w:ascii="Times New Roman" w:hAnsi="Times New Roman" w:eastAsia="宋体"/>
          <w:bCs/>
          <w:iCs/>
        </w:rPr>
      </w:pPr>
      <w:r>
        <w:rPr>
          <w:rFonts w:ascii="Times New Roman" w:hAnsi="Times New Roman" w:eastAsia="宋体"/>
          <w:bCs/>
          <w:iCs/>
        </w:rPr>
        <w:t>质疑事项如无实质内容，仅为询问质疑人得分情况或质疑人未中标原因等的，警采中心、采购人可将此类质疑函作为书面询问接收，警采中心按询问程序处理。</w:t>
      </w:r>
    </w:p>
    <w:p>
      <w:pPr>
        <w:widowControl w:val="0"/>
        <w:numPr>
          <w:ilvl w:val="3"/>
          <w:numId w:val="11"/>
        </w:numPr>
        <w:tabs>
          <w:tab w:val="left" w:pos="360"/>
        </w:tabs>
        <w:outlineLvl w:val="3"/>
        <w:rPr>
          <w:rFonts w:ascii="Times New Roman" w:hAnsi="Times New Roman" w:eastAsia="宋体"/>
          <w:bCs/>
          <w:iCs/>
        </w:rPr>
      </w:pPr>
      <w:r>
        <w:rPr>
          <w:rFonts w:ascii="Times New Roman" w:hAnsi="Times New Roman" w:eastAsia="宋体"/>
          <w:bCs/>
          <w:iCs/>
        </w:rPr>
        <w:t>质疑函标准格式要求参见招标文件第八部分。</w:t>
      </w:r>
    </w:p>
    <w:p>
      <w:pPr>
        <w:widowControl w:val="0"/>
        <w:numPr>
          <w:ilvl w:val="3"/>
          <w:numId w:val="11"/>
        </w:numPr>
        <w:tabs>
          <w:tab w:val="left" w:pos="360"/>
        </w:tabs>
        <w:outlineLvl w:val="3"/>
        <w:rPr>
          <w:rFonts w:ascii="Times New Roman" w:hAnsi="Times New Roman" w:eastAsia="宋体"/>
          <w:bCs/>
          <w:iCs/>
        </w:rPr>
      </w:pPr>
      <w:r>
        <w:rPr>
          <w:rFonts w:hint="eastAsia" w:ascii="Times New Roman" w:hAnsi="Times New Roman" w:eastAsia="宋体"/>
          <w:bCs/>
          <w:iCs/>
        </w:rPr>
        <w:t>质疑函应递交原件到警采中心，地址：上海市闵行区三达路299号，联系电话：021-33292999。</w:t>
      </w:r>
    </w:p>
    <w:p>
      <w:pPr>
        <w:widowControl w:val="0"/>
        <w:numPr>
          <w:ilvl w:val="3"/>
          <w:numId w:val="11"/>
        </w:numPr>
        <w:tabs>
          <w:tab w:val="left" w:pos="360"/>
        </w:tabs>
        <w:outlineLvl w:val="3"/>
        <w:rPr>
          <w:rFonts w:ascii="Times New Roman" w:hAnsi="Times New Roman" w:eastAsia="宋体"/>
          <w:bCs/>
          <w:iCs/>
        </w:rPr>
      </w:pPr>
      <w:r>
        <w:rPr>
          <w:rFonts w:ascii="Times New Roman" w:hAnsi="Times New Roman" w:eastAsia="宋体"/>
          <w:bCs/>
          <w:iCs/>
        </w:rPr>
        <w:t>采购人、警采中心不得拒收质疑供应商在法定质疑期内发出的质疑函，应当在收到质疑函后7个工作日内作出答复，并以书面形式通知质疑供应商和其他有关供应商。</w:t>
      </w:r>
    </w:p>
    <w:p>
      <w:pPr>
        <w:widowControl w:val="0"/>
        <w:numPr>
          <w:ilvl w:val="3"/>
          <w:numId w:val="11"/>
        </w:numPr>
        <w:tabs>
          <w:tab w:val="left" w:pos="360"/>
        </w:tabs>
        <w:outlineLvl w:val="3"/>
        <w:rPr>
          <w:rFonts w:ascii="Times New Roman" w:hAnsi="Times New Roman" w:eastAsia="宋体"/>
          <w:bCs/>
          <w:iCs/>
        </w:rPr>
      </w:pPr>
      <w:r>
        <w:rPr>
          <w:rFonts w:ascii="Times New Roman" w:hAnsi="Times New Roman" w:eastAsia="宋体"/>
          <w:bCs/>
          <w:iCs/>
        </w:rPr>
        <w:t>质疑人对采购人、警采中心的答复不满意，或者采购人、警采中心未在规定时间内作出答复的，质疑人可以在答复期满后15个工作日内依法向相关财政部门提起投诉。</w:t>
      </w:r>
    </w:p>
    <w:p>
      <w:pPr>
        <w:widowControl w:val="0"/>
        <w:numPr>
          <w:ilvl w:val="1"/>
          <w:numId w:val="11"/>
        </w:numPr>
        <w:tabs>
          <w:tab w:val="left" w:pos="0"/>
        </w:tabs>
        <w:snapToGrid w:val="0"/>
        <w:spacing w:before="120" w:beforeLines="50" w:after="120" w:line="360" w:lineRule="auto"/>
        <w:ind w:left="0" w:firstLine="0"/>
        <w:outlineLvl w:val="1"/>
        <w:rPr>
          <w:rFonts w:ascii="Times New Roman" w:hAnsi="Times New Roman" w:eastAsia="黑体"/>
          <w:b/>
          <w:sz w:val="32"/>
          <w:szCs w:val="21"/>
        </w:rPr>
      </w:pPr>
      <w:bookmarkStart w:id="64" w:name="_Toc31279"/>
      <w:bookmarkStart w:id="65" w:name="_Toc29474"/>
      <w:bookmarkStart w:id="66" w:name="_Toc10016"/>
      <w:r>
        <w:rPr>
          <w:rFonts w:ascii="Times New Roman" w:hAnsi="Times New Roman" w:eastAsia="黑体"/>
          <w:sz w:val="32"/>
          <w:szCs w:val="21"/>
        </w:rPr>
        <w:t>保密义务和信息披露</w:t>
      </w:r>
      <w:bookmarkEnd w:id="64"/>
      <w:bookmarkEnd w:id="65"/>
      <w:bookmarkEnd w:id="66"/>
    </w:p>
    <w:p>
      <w:pPr>
        <w:widowControl w:val="0"/>
        <w:numPr>
          <w:ilvl w:val="3"/>
          <w:numId w:val="11"/>
        </w:numPr>
        <w:tabs>
          <w:tab w:val="left" w:pos="360"/>
        </w:tabs>
        <w:outlineLvl w:val="3"/>
        <w:rPr>
          <w:rFonts w:ascii="Times New Roman" w:hAnsi="Times New Roman" w:eastAsia="宋体"/>
          <w:bCs/>
          <w:iCs/>
        </w:rPr>
      </w:pPr>
      <w:r>
        <w:rPr>
          <w:rFonts w:ascii="Times New Roman" w:hAnsi="Times New Roman" w:eastAsia="宋体"/>
          <w:bCs/>
          <w:iCs/>
        </w:rPr>
        <w:t>投标人自获取招标文件日起，须履行本招标项目下保密义务，不得将本次招标获得的信息向第三人外传。</w:t>
      </w:r>
    </w:p>
    <w:p>
      <w:pPr>
        <w:widowControl w:val="0"/>
        <w:numPr>
          <w:ilvl w:val="3"/>
          <w:numId w:val="11"/>
        </w:numPr>
        <w:tabs>
          <w:tab w:val="left" w:pos="360"/>
        </w:tabs>
        <w:outlineLvl w:val="3"/>
        <w:rPr>
          <w:rFonts w:ascii="Times New Roman" w:hAnsi="Times New Roman" w:eastAsia="宋体"/>
          <w:bCs/>
          <w:iCs/>
        </w:rPr>
      </w:pPr>
      <w:r>
        <w:rPr>
          <w:rFonts w:ascii="Times New Roman" w:hAnsi="Times New Roman" w:eastAsia="宋体"/>
          <w:bCs/>
          <w:iCs/>
        </w:rPr>
        <w:t>采购人或警采中心有权将投标人提供的所有资料向有关政府部门或评审委员会披露。</w:t>
      </w:r>
    </w:p>
    <w:p>
      <w:pPr>
        <w:widowControl w:val="0"/>
        <w:numPr>
          <w:ilvl w:val="3"/>
          <w:numId w:val="11"/>
        </w:numPr>
        <w:tabs>
          <w:tab w:val="left" w:pos="360"/>
        </w:tabs>
        <w:outlineLvl w:val="3"/>
        <w:rPr>
          <w:rFonts w:ascii="Times New Roman" w:hAnsi="Times New Roman" w:eastAsia="宋体"/>
          <w:bCs/>
          <w:iCs/>
          <w:szCs w:val="22"/>
        </w:rPr>
        <w:sectPr>
          <w:headerReference r:id="rId10" w:type="default"/>
          <w:pgSz w:w="11907" w:h="16839"/>
          <w:pgMar w:top="1928" w:right="1531" w:bottom="1871" w:left="1531" w:header="1145" w:footer="709" w:gutter="0"/>
          <w:cols w:space="720" w:num="1"/>
          <w:docGrid w:linePitch="360" w:charSpace="0"/>
        </w:sectPr>
      </w:pPr>
      <w:r>
        <w:rPr>
          <w:rFonts w:ascii="Times New Roman" w:hAnsi="Times New Roman" w:eastAsia="宋体"/>
          <w:bCs/>
          <w:iCs/>
          <w:szCs w:val="22"/>
        </w:rPr>
        <w:t>在采购人或警采中心认为适当时，国家机关在调查、审查、审计以及其他符合法律规定的情形下，采购人或警采中心无须事先征求投标人同意即可披露关于采购过程、合同文本、签署情况的资料、投标人的名称及地址、投标文件的有关信息及补充条款等，但应在合理的范围内。对任何已公布过的内容或与之内容相同的资料，以及投标人已经泄露或公开的，采购人或警采中心无须再承担保密责任</w:t>
      </w:r>
      <w:r>
        <w:rPr>
          <w:rFonts w:hint="eastAsia" w:ascii="Times New Roman" w:hAnsi="Times New Roman" w:eastAsia="宋体"/>
          <w:bCs/>
          <w:iCs/>
          <w:szCs w:val="22"/>
        </w:rPr>
        <w:t>。</w:t>
      </w:r>
    </w:p>
    <w:bookmarkEnd w:id="34"/>
    <w:bookmarkEnd w:id="35"/>
    <w:bookmarkEnd w:id="36"/>
    <w:bookmarkEnd w:id="37"/>
    <w:p>
      <w:pPr>
        <w:pStyle w:val="2"/>
        <w:rPr>
          <w:color w:val="auto"/>
        </w:rPr>
      </w:pPr>
      <w:bookmarkStart w:id="67" w:name="_Toc24453"/>
      <w:bookmarkStart w:id="68" w:name="_Toc1054"/>
      <w:r>
        <w:rPr>
          <w:color w:val="auto"/>
        </w:rPr>
        <w:t>评</w:t>
      </w:r>
      <w:r>
        <w:rPr>
          <w:rFonts w:hint="eastAsia"/>
          <w:color w:val="auto"/>
          <w:lang w:val="en-US"/>
        </w:rPr>
        <w:t>分</w:t>
      </w:r>
      <w:r>
        <w:rPr>
          <w:color w:val="auto"/>
        </w:rPr>
        <w:t>办法和评</w:t>
      </w:r>
      <w:r>
        <w:rPr>
          <w:rFonts w:hint="eastAsia"/>
          <w:color w:val="auto"/>
          <w:lang w:val="en-US"/>
        </w:rPr>
        <w:t>审</w:t>
      </w:r>
      <w:r>
        <w:rPr>
          <w:color w:val="auto"/>
        </w:rPr>
        <w:t>标准</w:t>
      </w:r>
      <w:bookmarkEnd w:id="38"/>
      <w:bookmarkEnd w:id="39"/>
      <w:bookmarkEnd w:id="40"/>
      <w:bookmarkEnd w:id="41"/>
      <w:bookmarkEnd w:id="42"/>
      <w:bookmarkEnd w:id="67"/>
      <w:bookmarkEnd w:id="68"/>
    </w:p>
    <w:p>
      <w:pPr>
        <w:pStyle w:val="3"/>
        <w:spacing w:before="156"/>
        <w:rPr>
          <w:color w:val="auto"/>
        </w:rPr>
      </w:pPr>
      <w:bookmarkStart w:id="69" w:name="_Toc16531148"/>
      <w:bookmarkStart w:id="70" w:name="_Toc16531374"/>
      <w:bookmarkStart w:id="71" w:name="_Toc2585"/>
      <w:bookmarkStart w:id="72" w:name="_Toc592"/>
      <w:bookmarkStart w:id="73" w:name="_Toc28566"/>
      <w:bookmarkStart w:id="74" w:name="_Toc2055"/>
      <w:r>
        <w:rPr>
          <w:color w:val="auto"/>
        </w:rPr>
        <w:t>评</w:t>
      </w:r>
      <w:r>
        <w:rPr>
          <w:rFonts w:hint="eastAsia"/>
          <w:color w:val="auto"/>
          <w:lang w:val="en-US"/>
        </w:rPr>
        <w:t>分</w:t>
      </w:r>
      <w:r>
        <w:rPr>
          <w:color w:val="auto"/>
        </w:rPr>
        <w:t>办法</w:t>
      </w:r>
      <w:bookmarkEnd w:id="69"/>
      <w:bookmarkEnd w:id="70"/>
      <w:bookmarkEnd w:id="71"/>
      <w:bookmarkEnd w:id="72"/>
      <w:bookmarkEnd w:id="73"/>
      <w:bookmarkEnd w:id="74"/>
    </w:p>
    <w:p>
      <w:pPr>
        <w:snapToGrid w:val="0"/>
        <w:ind w:firstLine="420" w:firstLineChars="200"/>
        <w:rPr>
          <w:rFonts w:ascii="Times New Roman" w:hAnsi="Times New Roman" w:eastAsia="宋体"/>
          <w:szCs w:val="21"/>
        </w:rPr>
      </w:pPr>
      <w:r>
        <w:rPr>
          <w:rFonts w:ascii="Times New Roman" w:hAnsi="Times New Roman" w:eastAsia="宋体"/>
          <w:szCs w:val="21"/>
        </w:rPr>
        <w:t>本次评标分为初步评审和评分两部分。评分采用综合评分法</w:t>
      </w:r>
      <w:r>
        <w:rPr>
          <w:rFonts w:ascii="宋体" w:hAnsi="宋体" w:eastAsia="宋体"/>
          <w:szCs w:val="21"/>
        </w:rPr>
        <w:t>，</w:t>
      </w:r>
      <w:r>
        <w:rPr>
          <w:rFonts w:ascii="Times New Roman" w:hAnsi="Times New Roman" w:eastAsia="宋体"/>
          <w:szCs w:val="21"/>
        </w:rPr>
        <w:t>将投标人资质条件、投标产品质量、售后服务、价格等各项因素作为评价的基础</w:t>
      </w:r>
      <w:r>
        <w:rPr>
          <w:rFonts w:ascii="宋体" w:hAnsi="宋体" w:eastAsia="宋体"/>
          <w:szCs w:val="21"/>
        </w:rPr>
        <w:t>，</w:t>
      </w:r>
      <w:r>
        <w:rPr>
          <w:rFonts w:ascii="Times New Roman" w:hAnsi="Times New Roman" w:eastAsia="宋体"/>
          <w:szCs w:val="21"/>
        </w:rPr>
        <w:t>综合评选出最佳投标方案。每一</w:t>
      </w:r>
      <w:r>
        <w:rPr>
          <w:rFonts w:hint="eastAsia" w:ascii="Times New Roman" w:hAnsi="Times New Roman" w:eastAsia="宋体"/>
          <w:szCs w:val="21"/>
          <w:lang w:val="en-US"/>
        </w:rPr>
        <w:t>位</w:t>
      </w:r>
      <w:r>
        <w:rPr>
          <w:rFonts w:ascii="Times New Roman" w:hAnsi="Times New Roman" w:eastAsia="宋体"/>
          <w:szCs w:val="21"/>
        </w:rPr>
        <w:t>投标人的最终得分为所有评委会成员给其评分的算数平均值</w:t>
      </w:r>
      <w:r>
        <w:rPr>
          <w:rFonts w:hint="eastAsia" w:ascii="Times New Roman" w:hAnsi="Times New Roman" w:eastAsia="宋体"/>
          <w:szCs w:val="21"/>
        </w:rPr>
        <w:t>（</w:t>
      </w:r>
      <w:r>
        <w:rPr>
          <w:rFonts w:hint="eastAsia" w:ascii="Times New Roman" w:hAnsi="Times New Roman" w:eastAsia="宋体"/>
          <w:szCs w:val="21"/>
          <w:lang w:val="en-US"/>
        </w:rPr>
        <w:t>结果四舍五入</w:t>
      </w:r>
      <w:r>
        <w:rPr>
          <w:rFonts w:hint="eastAsia" w:ascii="宋体" w:hAnsi="宋体" w:eastAsia="宋体"/>
          <w:szCs w:val="21"/>
          <w:lang w:val="en-US"/>
        </w:rPr>
        <w:t>，</w:t>
      </w:r>
      <w:r>
        <w:rPr>
          <w:rFonts w:hint="eastAsia" w:ascii="Times New Roman" w:hAnsi="Times New Roman" w:eastAsia="宋体"/>
          <w:szCs w:val="21"/>
          <w:lang w:val="en-US"/>
        </w:rPr>
        <w:t>保留两位小数</w:t>
      </w:r>
      <w:r>
        <w:rPr>
          <w:rFonts w:hint="eastAsia" w:ascii="Times New Roman" w:hAnsi="Times New Roman" w:eastAsia="宋体"/>
          <w:szCs w:val="21"/>
        </w:rPr>
        <w:t>）</w:t>
      </w:r>
      <w:r>
        <w:rPr>
          <w:rFonts w:ascii="Times New Roman" w:hAnsi="Times New Roman" w:eastAsia="宋体"/>
          <w:szCs w:val="21"/>
        </w:rPr>
        <w:t>。</w:t>
      </w:r>
      <w:r>
        <w:rPr>
          <w:rFonts w:hint="eastAsia" w:ascii="Times New Roman" w:hAnsi="Times New Roman" w:eastAsia="宋体"/>
          <w:szCs w:val="21"/>
        </w:rPr>
        <w:t>评标委员会</w:t>
      </w:r>
      <w:r>
        <w:rPr>
          <w:rFonts w:ascii="Times New Roman" w:hAnsi="Times New Roman" w:eastAsia="宋体"/>
          <w:szCs w:val="21"/>
        </w:rPr>
        <w:t>共同认定的客观分评审部分</w:t>
      </w:r>
      <w:r>
        <w:rPr>
          <w:rFonts w:ascii="宋体" w:hAnsi="宋体" w:eastAsia="宋体"/>
          <w:szCs w:val="21"/>
        </w:rPr>
        <w:t>，</w:t>
      </w:r>
      <w:r>
        <w:rPr>
          <w:rFonts w:ascii="Times New Roman" w:hAnsi="Times New Roman" w:eastAsia="宋体"/>
          <w:szCs w:val="21"/>
        </w:rPr>
        <w:t>需评委会成员共同讨论、独立打分</w:t>
      </w:r>
      <w:r>
        <w:rPr>
          <w:rFonts w:ascii="宋体" w:hAnsi="宋体" w:eastAsia="宋体"/>
          <w:szCs w:val="21"/>
        </w:rPr>
        <w:t>，</w:t>
      </w:r>
      <w:r>
        <w:rPr>
          <w:rFonts w:ascii="Times New Roman" w:hAnsi="Times New Roman" w:eastAsia="宋体"/>
          <w:szCs w:val="21"/>
        </w:rPr>
        <w:t>存在不同意见的</w:t>
      </w:r>
      <w:r>
        <w:rPr>
          <w:rFonts w:ascii="宋体" w:hAnsi="宋体" w:eastAsia="宋体"/>
          <w:szCs w:val="21"/>
        </w:rPr>
        <w:t>，</w:t>
      </w:r>
      <w:r>
        <w:rPr>
          <w:rFonts w:ascii="Times New Roman" w:hAnsi="Times New Roman" w:eastAsia="宋体"/>
          <w:szCs w:val="21"/>
        </w:rPr>
        <w:t>评委会成员分别作出书面说明。</w:t>
      </w:r>
    </w:p>
    <w:tbl>
      <w:tblPr>
        <w:tblStyle w:val="8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80"/>
        <w:gridCol w:w="3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80" w:type="dxa"/>
            <w:vAlign w:val="center"/>
          </w:tcPr>
          <w:p>
            <w:pPr>
              <w:jc w:val="center"/>
              <w:rPr>
                <w:rFonts w:ascii="Times New Roman" w:hAnsi="Times New Roman" w:eastAsia="宋体"/>
                <w:b/>
                <w:szCs w:val="21"/>
              </w:rPr>
            </w:pPr>
            <w:r>
              <w:rPr>
                <w:rFonts w:ascii="Times New Roman" w:hAnsi="Times New Roman" w:eastAsia="宋体"/>
                <w:b/>
                <w:szCs w:val="21"/>
              </w:rPr>
              <w:t>评分因素</w:t>
            </w:r>
          </w:p>
        </w:tc>
        <w:tc>
          <w:tcPr>
            <w:tcW w:w="3800" w:type="dxa"/>
            <w:vAlign w:val="center"/>
          </w:tcPr>
          <w:p>
            <w:pPr>
              <w:jc w:val="center"/>
              <w:rPr>
                <w:rFonts w:ascii="Times New Roman" w:hAnsi="Times New Roman" w:eastAsia="宋体"/>
                <w:b/>
                <w:szCs w:val="21"/>
              </w:rPr>
            </w:pPr>
            <w:r>
              <w:rPr>
                <w:rFonts w:hint="eastAsia" w:ascii="Times New Roman" w:hAnsi="Times New Roman" w:eastAsia="宋体"/>
                <w:b/>
                <w:szCs w:val="21"/>
              </w:rPr>
              <w:t>第1</w:t>
            </w:r>
            <w:r>
              <w:rPr>
                <w:rFonts w:ascii="Times New Roman" w:hAnsi="Times New Roman" w:eastAsia="宋体"/>
                <w:b/>
                <w:szCs w:val="21"/>
              </w:rPr>
              <w:t>-11</w:t>
            </w:r>
            <w:r>
              <w:rPr>
                <w:rFonts w:hint="eastAsia" w:ascii="Times New Roman" w:hAnsi="Times New Roman" w:eastAsia="宋体"/>
                <w:b/>
                <w:szCs w:val="21"/>
              </w:rPr>
              <w:t>包</w:t>
            </w:r>
            <w:r>
              <w:rPr>
                <w:rFonts w:ascii="Times New Roman" w:hAnsi="Times New Roman" w:eastAsia="宋体"/>
                <w:b/>
                <w:szCs w:val="21"/>
              </w:rPr>
              <w:t>分值分配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80" w:type="dxa"/>
            <w:vAlign w:val="center"/>
          </w:tcPr>
          <w:p>
            <w:pPr>
              <w:jc w:val="center"/>
              <w:rPr>
                <w:rFonts w:ascii="Times New Roman" w:hAnsi="Times New Roman" w:eastAsia="宋体"/>
                <w:bCs/>
                <w:szCs w:val="21"/>
              </w:rPr>
            </w:pPr>
            <w:r>
              <w:rPr>
                <w:rFonts w:ascii="Times New Roman" w:hAnsi="Times New Roman" w:eastAsia="宋体"/>
                <w:bCs/>
                <w:szCs w:val="21"/>
              </w:rPr>
              <w:t>商务部分</w:t>
            </w:r>
          </w:p>
        </w:tc>
        <w:tc>
          <w:tcPr>
            <w:tcW w:w="3800" w:type="dxa"/>
            <w:vAlign w:val="center"/>
          </w:tcPr>
          <w:p>
            <w:pPr>
              <w:jc w:val="center"/>
              <w:rPr>
                <w:rFonts w:ascii="Times New Roman" w:hAnsi="Times New Roman" w:eastAsia="宋体"/>
                <w:bCs/>
                <w:szCs w:val="21"/>
              </w:rPr>
            </w:pPr>
            <w:r>
              <w:rPr>
                <w:rFonts w:ascii="Times New Roman" w:hAnsi="Times New Roman" w:eastAsia="宋体"/>
                <w:bCs/>
                <w:szCs w:val="21"/>
              </w:rPr>
              <w:t>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80" w:type="dxa"/>
            <w:vAlign w:val="center"/>
          </w:tcPr>
          <w:p>
            <w:pPr>
              <w:jc w:val="center"/>
              <w:rPr>
                <w:rFonts w:ascii="Times New Roman" w:hAnsi="Times New Roman" w:eastAsia="宋体"/>
                <w:bCs/>
                <w:szCs w:val="21"/>
              </w:rPr>
            </w:pPr>
            <w:r>
              <w:rPr>
                <w:rFonts w:ascii="Times New Roman" w:hAnsi="Times New Roman" w:eastAsia="宋体"/>
                <w:bCs/>
                <w:szCs w:val="21"/>
              </w:rPr>
              <w:t>技术部分</w:t>
            </w:r>
          </w:p>
        </w:tc>
        <w:tc>
          <w:tcPr>
            <w:tcW w:w="3800" w:type="dxa"/>
            <w:vAlign w:val="center"/>
          </w:tcPr>
          <w:p>
            <w:pPr>
              <w:jc w:val="center"/>
              <w:rPr>
                <w:rFonts w:ascii="Times New Roman" w:hAnsi="Times New Roman" w:eastAsia="宋体"/>
                <w:bCs/>
                <w:szCs w:val="21"/>
              </w:rPr>
            </w:pPr>
            <w:r>
              <w:rPr>
                <w:rFonts w:hint="eastAsia" w:ascii="Times New Roman" w:hAnsi="Times New Roman" w:eastAsia="宋体"/>
                <w:bCs/>
                <w:szCs w:val="21"/>
              </w:rPr>
              <w:t>5</w:t>
            </w:r>
            <w:r>
              <w:rPr>
                <w:rFonts w:ascii="Times New Roman" w:hAnsi="Times New Roman" w:eastAsia="宋体"/>
                <w:bCs/>
                <w:szCs w:val="21"/>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80" w:type="dxa"/>
            <w:vAlign w:val="center"/>
          </w:tcPr>
          <w:p>
            <w:pPr>
              <w:jc w:val="center"/>
              <w:rPr>
                <w:rFonts w:ascii="Times New Roman" w:hAnsi="Times New Roman" w:eastAsia="宋体"/>
                <w:bCs/>
                <w:szCs w:val="21"/>
                <w:lang w:val="en-US"/>
              </w:rPr>
            </w:pPr>
            <w:r>
              <w:rPr>
                <w:rFonts w:ascii="Times New Roman" w:hAnsi="Times New Roman" w:eastAsia="宋体"/>
                <w:bCs/>
                <w:szCs w:val="21"/>
                <w:lang w:val="en-US"/>
              </w:rPr>
              <w:t>服务部分</w:t>
            </w:r>
          </w:p>
        </w:tc>
        <w:tc>
          <w:tcPr>
            <w:tcW w:w="3800" w:type="dxa"/>
            <w:vAlign w:val="center"/>
          </w:tcPr>
          <w:p>
            <w:pPr>
              <w:jc w:val="center"/>
              <w:rPr>
                <w:rFonts w:ascii="Times New Roman" w:hAnsi="Times New Roman" w:eastAsia="宋体"/>
                <w:bCs/>
                <w:szCs w:val="21"/>
              </w:rPr>
            </w:pPr>
            <w:r>
              <w:rPr>
                <w:rFonts w:ascii="Times New Roman" w:hAnsi="Times New Roman" w:eastAsia="宋体"/>
                <w:bCs/>
                <w:szCs w:val="21"/>
              </w:rPr>
              <w:t>12分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80" w:type="dxa"/>
            <w:vAlign w:val="center"/>
          </w:tcPr>
          <w:p>
            <w:pPr>
              <w:jc w:val="center"/>
              <w:rPr>
                <w:rFonts w:ascii="Times New Roman" w:hAnsi="Times New Roman" w:eastAsia="宋体"/>
                <w:bCs/>
                <w:szCs w:val="21"/>
              </w:rPr>
            </w:pPr>
            <w:r>
              <w:rPr>
                <w:rFonts w:ascii="Times New Roman" w:hAnsi="Times New Roman" w:eastAsia="宋体"/>
                <w:bCs/>
                <w:szCs w:val="21"/>
              </w:rPr>
              <w:t>价格分</w:t>
            </w:r>
          </w:p>
        </w:tc>
        <w:tc>
          <w:tcPr>
            <w:tcW w:w="3800" w:type="dxa"/>
            <w:vAlign w:val="center"/>
          </w:tcPr>
          <w:p>
            <w:pPr>
              <w:jc w:val="center"/>
              <w:rPr>
                <w:rFonts w:ascii="Times New Roman" w:hAnsi="Times New Roman" w:eastAsia="宋体"/>
                <w:bCs/>
                <w:szCs w:val="21"/>
              </w:rPr>
            </w:pPr>
            <w:r>
              <w:rPr>
                <w:rFonts w:ascii="Times New Roman" w:hAnsi="Times New Roman" w:eastAsia="宋体"/>
                <w:bCs/>
                <w:szCs w:val="21"/>
              </w:rPr>
              <w:t>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80" w:type="dxa"/>
            <w:vAlign w:val="center"/>
          </w:tcPr>
          <w:p>
            <w:pPr>
              <w:jc w:val="center"/>
              <w:rPr>
                <w:rFonts w:ascii="Times New Roman" w:hAnsi="Times New Roman" w:eastAsia="宋体"/>
                <w:bCs/>
                <w:szCs w:val="21"/>
              </w:rPr>
            </w:pPr>
            <w:r>
              <w:rPr>
                <w:rFonts w:ascii="Times New Roman" w:hAnsi="Times New Roman" w:eastAsia="宋体"/>
                <w:bCs/>
                <w:szCs w:val="21"/>
              </w:rPr>
              <w:t>合计</w:t>
            </w:r>
          </w:p>
        </w:tc>
        <w:tc>
          <w:tcPr>
            <w:tcW w:w="3800" w:type="dxa"/>
            <w:vAlign w:val="center"/>
          </w:tcPr>
          <w:p>
            <w:pPr>
              <w:jc w:val="center"/>
              <w:rPr>
                <w:rFonts w:ascii="Times New Roman" w:hAnsi="Times New Roman" w:eastAsia="宋体"/>
                <w:bCs/>
                <w:szCs w:val="21"/>
              </w:rPr>
            </w:pPr>
            <w:r>
              <w:rPr>
                <w:rFonts w:ascii="Times New Roman" w:hAnsi="Times New Roman" w:eastAsia="Times New Roman"/>
                <w:bCs/>
                <w:szCs w:val="21"/>
              </w:rPr>
              <w:t>100</w:t>
            </w:r>
            <w:r>
              <w:rPr>
                <w:rFonts w:ascii="Times New Roman" w:hAnsi="Times New Roman" w:eastAsia="宋体"/>
                <w:bCs/>
                <w:szCs w:val="21"/>
              </w:rPr>
              <w:t>分</w:t>
            </w:r>
          </w:p>
        </w:tc>
      </w:tr>
    </w:tbl>
    <w:p>
      <w:pPr>
        <w:snapToGrid w:val="0"/>
        <w:ind w:firstLine="420" w:firstLineChars="200"/>
        <w:rPr>
          <w:rFonts w:ascii="Times New Roman" w:hAnsi="Times New Roman" w:eastAsia="宋体"/>
          <w:szCs w:val="21"/>
        </w:rPr>
      </w:pPr>
      <w:bookmarkStart w:id="75" w:name="_Toc28769"/>
      <w:bookmarkStart w:id="76" w:name="_Toc16531375"/>
      <w:bookmarkStart w:id="77" w:name="_Toc16933"/>
      <w:bookmarkStart w:id="78" w:name="_Toc16531149"/>
      <w:r>
        <w:rPr>
          <w:rFonts w:hint="eastAsia" w:ascii="Times New Roman" w:hAnsi="Times New Roman" w:eastAsia="宋体"/>
          <w:szCs w:val="21"/>
        </w:rPr>
        <w:t>根据财政部发布的《政府采购促进中小企业发展管理办法》规定，对于非专门面向中小企业的</w:t>
      </w:r>
      <w:r>
        <w:rPr>
          <w:rFonts w:hint="eastAsia" w:ascii="Times New Roman" w:hAnsi="Times New Roman" w:eastAsia="宋体"/>
          <w:szCs w:val="21"/>
          <w:lang w:val="en-US" w:eastAsia="zh-CN"/>
        </w:rPr>
        <w:t>采购包</w:t>
      </w:r>
      <w:r>
        <w:rPr>
          <w:rFonts w:hint="eastAsia" w:ascii="Times New Roman" w:hAnsi="Times New Roman" w:eastAsia="宋体"/>
          <w:szCs w:val="21"/>
        </w:rPr>
        <w:t>，对小型和微型企业产品的价格给予一定的扣除，用扣除后的价格参与评审，折扣比例参见投标人须知前附表。</w:t>
      </w:r>
    </w:p>
    <w:p>
      <w:pPr>
        <w:pStyle w:val="3"/>
        <w:spacing w:before="156"/>
        <w:rPr>
          <w:color w:val="auto"/>
        </w:rPr>
      </w:pPr>
      <w:bookmarkStart w:id="79" w:name="_Toc1426"/>
      <w:bookmarkStart w:id="80" w:name="_Toc1683"/>
      <w:r>
        <w:rPr>
          <w:color w:val="auto"/>
        </w:rPr>
        <w:t>初步评审</w:t>
      </w:r>
      <w:bookmarkEnd w:id="75"/>
      <w:bookmarkEnd w:id="76"/>
      <w:bookmarkEnd w:id="77"/>
      <w:bookmarkEnd w:id="78"/>
      <w:bookmarkEnd w:id="79"/>
      <w:bookmarkEnd w:id="80"/>
    </w:p>
    <w:p>
      <w:pPr>
        <w:snapToGrid w:val="0"/>
        <w:spacing w:after="156" w:afterLines="50"/>
        <w:ind w:firstLine="420" w:firstLineChars="200"/>
        <w:rPr>
          <w:rFonts w:ascii="Times New Roman" w:hAnsi="Times New Roman" w:eastAsia="宋体"/>
          <w:szCs w:val="21"/>
        </w:rPr>
      </w:pPr>
      <w:r>
        <w:rPr>
          <w:rFonts w:ascii="Times New Roman" w:hAnsi="Times New Roman" w:eastAsia="宋体"/>
          <w:szCs w:val="21"/>
        </w:rPr>
        <w:t>招标文件规定未实质性响应招标文件要求可被判定为投标无效的项目。</w:t>
      </w:r>
    </w:p>
    <w:tbl>
      <w:tblPr>
        <w:tblStyle w:val="81"/>
        <w:tblW w:w="86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06"/>
        <w:gridCol w:w="1672"/>
        <w:gridCol w:w="1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06" w:type="dxa"/>
            <w:vAlign w:val="center"/>
          </w:tcPr>
          <w:p>
            <w:pPr>
              <w:jc w:val="center"/>
              <w:rPr>
                <w:rFonts w:ascii="Times New Roman" w:hAnsi="Times New Roman" w:eastAsia="黑体"/>
                <w:szCs w:val="21"/>
              </w:rPr>
            </w:pPr>
            <w:r>
              <w:rPr>
                <w:rFonts w:ascii="Times New Roman" w:hAnsi="Times New Roman" w:eastAsia="黑体"/>
                <w:szCs w:val="21"/>
              </w:rPr>
              <w:t>评审标准</w:t>
            </w:r>
          </w:p>
        </w:tc>
        <w:tc>
          <w:tcPr>
            <w:tcW w:w="1672" w:type="dxa"/>
            <w:vAlign w:val="center"/>
          </w:tcPr>
          <w:p>
            <w:pPr>
              <w:jc w:val="center"/>
              <w:rPr>
                <w:rFonts w:ascii="Times New Roman" w:hAnsi="Times New Roman" w:eastAsia="黑体"/>
                <w:szCs w:val="21"/>
              </w:rPr>
            </w:pPr>
            <w:r>
              <w:rPr>
                <w:rFonts w:ascii="Times New Roman" w:hAnsi="Times New Roman" w:eastAsia="黑体"/>
                <w:szCs w:val="21"/>
              </w:rPr>
              <w:t>是否响应</w:t>
            </w:r>
          </w:p>
        </w:tc>
        <w:tc>
          <w:tcPr>
            <w:tcW w:w="1096" w:type="dxa"/>
            <w:vAlign w:val="center"/>
          </w:tcPr>
          <w:p>
            <w:pPr>
              <w:jc w:val="center"/>
              <w:rPr>
                <w:rFonts w:ascii="Times New Roman" w:hAnsi="Times New Roman" w:eastAsia="黑体"/>
                <w:szCs w:val="21"/>
              </w:rPr>
            </w:pPr>
            <w:r>
              <w:rPr>
                <w:rFonts w:ascii="Times New Roman" w:hAnsi="Times New Roman" w:eastAsia="黑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06" w:type="dxa"/>
            <w:vAlign w:val="center"/>
          </w:tcPr>
          <w:p>
            <w:pPr>
              <w:rPr>
                <w:rFonts w:ascii="Times New Roman" w:hAnsi="Times New Roman" w:eastAsia="宋体"/>
                <w:szCs w:val="21"/>
              </w:rPr>
            </w:pPr>
            <w:r>
              <w:rPr>
                <w:rFonts w:ascii="Times New Roman" w:hAnsi="Times New Roman" w:eastAsia="宋体"/>
                <w:szCs w:val="21"/>
              </w:rPr>
              <w:t>*投标函</w:t>
            </w:r>
          </w:p>
        </w:tc>
        <w:tc>
          <w:tcPr>
            <w:tcW w:w="1672" w:type="dxa"/>
            <w:vAlign w:val="center"/>
          </w:tcPr>
          <w:p>
            <w:pPr>
              <w:jc w:val="center"/>
              <w:rPr>
                <w:rFonts w:ascii="Times New Roman" w:hAnsi="Times New Roman" w:eastAsia="宋体"/>
                <w:szCs w:val="21"/>
              </w:rPr>
            </w:pPr>
          </w:p>
        </w:tc>
        <w:tc>
          <w:tcPr>
            <w:tcW w:w="1096" w:type="dxa"/>
            <w:vAlign w:val="center"/>
          </w:tcPr>
          <w:p>
            <w:pPr>
              <w:jc w:val="center"/>
              <w:rPr>
                <w:rFonts w:ascii="Times New Roman" w:hAnsi="Times New Roman"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06" w:type="dxa"/>
            <w:vAlign w:val="center"/>
          </w:tcPr>
          <w:p>
            <w:pPr>
              <w:rPr>
                <w:rFonts w:ascii="Times New Roman" w:hAnsi="Times New Roman" w:eastAsia="宋体"/>
                <w:szCs w:val="21"/>
              </w:rPr>
            </w:pPr>
            <w:r>
              <w:rPr>
                <w:rFonts w:ascii="Times New Roman" w:hAnsi="Times New Roman" w:eastAsia="宋体"/>
                <w:szCs w:val="21"/>
              </w:rPr>
              <w:t>*法定代表人授权委托书</w:t>
            </w:r>
          </w:p>
        </w:tc>
        <w:tc>
          <w:tcPr>
            <w:tcW w:w="1672" w:type="dxa"/>
            <w:vAlign w:val="center"/>
          </w:tcPr>
          <w:p>
            <w:pPr>
              <w:jc w:val="center"/>
              <w:rPr>
                <w:rFonts w:ascii="Times New Roman" w:hAnsi="Times New Roman" w:eastAsia="宋体"/>
                <w:szCs w:val="21"/>
              </w:rPr>
            </w:pPr>
          </w:p>
        </w:tc>
        <w:tc>
          <w:tcPr>
            <w:tcW w:w="1096" w:type="dxa"/>
            <w:vAlign w:val="center"/>
          </w:tcPr>
          <w:p>
            <w:pPr>
              <w:jc w:val="center"/>
              <w:rPr>
                <w:rFonts w:ascii="Times New Roman" w:hAnsi="Times New Roman"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06" w:type="dxa"/>
            <w:vAlign w:val="center"/>
          </w:tcPr>
          <w:p>
            <w:pPr>
              <w:rPr>
                <w:rFonts w:ascii="Times New Roman" w:hAnsi="Times New Roman" w:eastAsia="宋体"/>
                <w:szCs w:val="21"/>
              </w:rPr>
            </w:pPr>
            <w:r>
              <w:rPr>
                <w:rFonts w:ascii="Times New Roman" w:hAnsi="Times New Roman" w:eastAsia="宋体"/>
                <w:szCs w:val="21"/>
              </w:rPr>
              <w:t>*投标人资质声明</w:t>
            </w:r>
          </w:p>
        </w:tc>
        <w:tc>
          <w:tcPr>
            <w:tcW w:w="1672" w:type="dxa"/>
            <w:vAlign w:val="center"/>
          </w:tcPr>
          <w:p>
            <w:pPr>
              <w:jc w:val="center"/>
              <w:rPr>
                <w:rFonts w:ascii="Times New Roman" w:hAnsi="Times New Roman" w:eastAsia="宋体"/>
                <w:szCs w:val="21"/>
              </w:rPr>
            </w:pPr>
          </w:p>
        </w:tc>
        <w:tc>
          <w:tcPr>
            <w:tcW w:w="1096" w:type="dxa"/>
            <w:vAlign w:val="center"/>
          </w:tcPr>
          <w:p>
            <w:pPr>
              <w:jc w:val="center"/>
              <w:rPr>
                <w:rFonts w:ascii="Times New Roman" w:hAnsi="Times New Roman"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06" w:type="dxa"/>
            <w:vAlign w:val="center"/>
          </w:tcPr>
          <w:p>
            <w:pPr>
              <w:rPr>
                <w:rFonts w:ascii="Times New Roman" w:hAnsi="Times New Roman" w:eastAsia="宋体"/>
                <w:szCs w:val="21"/>
              </w:rPr>
            </w:pPr>
            <w:r>
              <w:rPr>
                <w:rFonts w:ascii="Times New Roman" w:hAnsi="Times New Roman" w:eastAsia="宋体"/>
                <w:szCs w:val="21"/>
              </w:rPr>
              <w:t>*企业营业执照</w:t>
            </w:r>
            <w:r>
              <w:rPr>
                <w:rFonts w:ascii="Times New Roman" w:hAnsi="Times New Roman" w:eastAsia="宋体"/>
                <w:szCs w:val="21"/>
                <w:lang w:val="en-US"/>
              </w:rPr>
              <w:t>/事业单位法人证书</w:t>
            </w:r>
          </w:p>
        </w:tc>
        <w:tc>
          <w:tcPr>
            <w:tcW w:w="1672" w:type="dxa"/>
            <w:vAlign w:val="center"/>
          </w:tcPr>
          <w:p>
            <w:pPr>
              <w:jc w:val="center"/>
              <w:rPr>
                <w:rFonts w:ascii="Times New Roman" w:hAnsi="Times New Roman" w:eastAsia="宋体"/>
                <w:szCs w:val="21"/>
              </w:rPr>
            </w:pPr>
          </w:p>
        </w:tc>
        <w:tc>
          <w:tcPr>
            <w:tcW w:w="1096" w:type="dxa"/>
            <w:vAlign w:val="center"/>
          </w:tcPr>
          <w:p>
            <w:pPr>
              <w:jc w:val="center"/>
              <w:rPr>
                <w:rFonts w:ascii="Times New Roman" w:hAnsi="Times New Roman"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06" w:type="dxa"/>
            <w:vAlign w:val="center"/>
          </w:tcPr>
          <w:p>
            <w:pPr>
              <w:rPr>
                <w:rFonts w:ascii="Times New Roman" w:hAnsi="Times New Roman" w:eastAsia="宋体"/>
                <w:szCs w:val="21"/>
              </w:rPr>
            </w:pPr>
            <w:r>
              <w:rPr>
                <w:rFonts w:ascii="Times New Roman" w:hAnsi="Times New Roman" w:eastAsia="宋体"/>
                <w:szCs w:val="21"/>
              </w:rPr>
              <w:t>*企业</w:t>
            </w:r>
            <w:r>
              <w:rPr>
                <w:rFonts w:hint="eastAsia" w:ascii="Times New Roman" w:hAnsi="Times New Roman" w:eastAsia="宋体"/>
                <w:szCs w:val="21"/>
                <w:lang w:val="en-US"/>
              </w:rPr>
              <w:t>纳税证明材料</w:t>
            </w:r>
          </w:p>
        </w:tc>
        <w:tc>
          <w:tcPr>
            <w:tcW w:w="1672" w:type="dxa"/>
            <w:vAlign w:val="center"/>
          </w:tcPr>
          <w:p>
            <w:pPr>
              <w:jc w:val="center"/>
              <w:rPr>
                <w:rFonts w:ascii="Times New Roman" w:hAnsi="Times New Roman" w:eastAsia="宋体"/>
                <w:szCs w:val="21"/>
              </w:rPr>
            </w:pPr>
          </w:p>
        </w:tc>
        <w:tc>
          <w:tcPr>
            <w:tcW w:w="1096" w:type="dxa"/>
            <w:vAlign w:val="center"/>
          </w:tcPr>
          <w:p>
            <w:pPr>
              <w:jc w:val="center"/>
              <w:rPr>
                <w:rFonts w:ascii="Times New Roman" w:hAnsi="Times New Roman"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06" w:type="dxa"/>
            <w:vAlign w:val="center"/>
          </w:tcPr>
          <w:p>
            <w:pPr>
              <w:rPr>
                <w:rFonts w:ascii="Times New Roman" w:hAnsi="Times New Roman" w:eastAsia="宋体"/>
                <w:szCs w:val="21"/>
              </w:rPr>
            </w:pPr>
            <w:r>
              <w:rPr>
                <w:rFonts w:ascii="Times New Roman" w:hAnsi="Times New Roman" w:eastAsia="宋体"/>
                <w:szCs w:val="21"/>
              </w:rPr>
              <w:t>*</w:t>
            </w:r>
            <w:r>
              <w:rPr>
                <w:rFonts w:ascii="Times New Roman" w:hAnsi="Times New Roman" w:eastAsia="宋体"/>
                <w:szCs w:val="21"/>
                <w:lang w:val="en-US"/>
              </w:rPr>
              <w:t>社保缴费记录</w:t>
            </w:r>
          </w:p>
        </w:tc>
        <w:tc>
          <w:tcPr>
            <w:tcW w:w="1672" w:type="dxa"/>
            <w:vAlign w:val="center"/>
          </w:tcPr>
          <w:p>
            <w:pPr>
              <w:jc w:val="center"/>
              <w:rPr>
                <w:rFonts w:ascii="Times New Roman" w:hAnsi="Times New Roman" w:eastAsia="宋体"/>
                <w:szCs w:val="21"/>
              </w:rPr>
            </w:pPr>
          </w:p>
        </w:tc>
        <w:tc>
          <w:tcPr>
            <w:tcW w:w="1096" w:type="dxa"/>
            <w:vAlign w:val="center"/>
          </w:tcPr>
          <w:p>
            <w:pPr>
              <w:jc w:val="center"/>
              <w:rPr>
                <w:rFonts w:ascii="Times New Roman" w:hAnsi="Times New Roman"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06" w:type="dxa"/>
            <w:vAlign w:val="center"/>
          </w:tcPr>
          <w:p>
            <w:pPr>
              <w:rPr>
                <w:rFonts w:ascii="Times New Roman" w:hAnsi="Times New Roman" w:eastAsia="宋体"/>
                <w:szCs w:val="21"/>
              </w:rPr>
            </w:pPr>
            <w:r>
              <w:rPr>
                <w:rFonts w:ascii="Times New Roman" w:hAnsi="Times New Roman" w:eastAsia="宋体"/>
                <w:szCs w:val="21"/>
              </w:rPr>
              <w:t>*</w:t>
            </w:r>
            <w:r>
              <w:rPr>
                <w:rFonts w:hint="eastAsia" w:ascii="Times New Roman" w:hAnsi="Times New Roman" w:eastAsia="宋体"/>
                <w:szCs w:val="21"/>
              </w:rPr>
              <w:t>审计报告</w:t>
            </w:r>
          </w:p>
        </w:tc>
        <w:tc>
          <w:tcPr>
            <w:tcW w:w="1672" w:type="dxa"/>
            <w:vAlign w:val="center"/>
          </w:tcPr>
          <w:p>
            <w:pPr>
              <w:jc w:val="center"/>
              <w:rPr>
                <w:rFonts w:ascii="Times New Roman" w:hAnsi="Times New Roman" w:eastAsia="宋体"/>
                <w:szCs w:val="21"/>
              </w:rPr>
            </w:pPr>
          </w:p>
        </w:tc>
        <w:tc>
          <w:tcPr>
            <w:tcW w:w="1096" w:type="dxa"/>
            <w:vAlign w:val="center"/>
          </w:tcPr>
          <w:p>
            <w:pPr>
              <w:jc w:val="center"/>
              <w:rPr>
                <w:rFonts w:ascii="Times New Roman" w:hAnsi="Times New Roman"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06" w:type="dxa"/>
            <w:vAlign w:val="center"/>
          </w:tcPr>
          <w:p>
            <w:pPr>
              <w:rPr>
                <w:rFonts w:ascii="Times New Roman" w:hAnsi="Times New Roman" w:eastAsia="宋体"/>
                <w:szCs w:val="21"/>
              </w:rPr>
            </w:pPr>
            <w:r>
              <w:rPr>
                <w:rFonts w:hint="eastAsia" w:ascii="Times New Roman" w:hAnsi="Times New Roman" w:eastAsia="宋体"/>
                <w:szCs w:val="21"/>
              </w:rPr>
              <w:t>*中小企业证明材料（第</w:t>
            </w:r>
            <w:r>
              <w:rPr>
                <w:rFonts w:hint="eastAsia" w:ascii="Times New Roman" w:hAnsi="Times New Roman" w:eastAsia="宋体"/>
                <w:highlight w:val="yellow"/>
                <w:lang w:val="en-US" w:eastAsia="zh-CN"/>
              </w:rPr>
              <w:t>3、4、6、7、9、10、11</w:t>
            </w:r>
            <w:r>
              <w:rPr>
                <w:rFonts w:hint="eastAsia" w:ascii="Times New Roman" w:hAnsi="Times New Roman" w:eastAsia="宋体"/>
                <w:szCs w:val="21"/>
              </w:rPr>
              <w:t>包）</w:t>
            </w:r>
          </w:p>
        </w:tc>
        <w:tc>
          <w:tcPr>
            <w:tcW w:w="1672" w:type="dxa"/>
            <w:vAlign w:val="center"/>
          </w:tcPr>
          <w:p>
            <w:pPr>
              <w:jc w:val="center"/>
              <w:rPr>
                <w:rFonts w:ascii="Times New Roman" w:hAnsi="Times New Roman" w:eastAsia="宋体"/>
                <w:szCs w:val="21"/>
              </w:rPr>
            </w:pPr>
          </w:p>
        </w:tc>
        <w:tc>
          <w:tcPr>
            <w:tcW w:w="1096" w:type="dxa"/>
            <w:vAlign w:val="center"/>
          </w:tcPr>
          <w:p>
            <w:pPr>
              <w:jc w:val="center"/>
              <w:rPr>
                <w:rFonts w:ascii="Times New Roman" w:hAnsi="Times New Roman"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06" w:type="dxa"/>
            <w:vAlign w:val="center"/>
          </w:tcPr>
          <w:p>
            <w:pPr>
              <w:rPr>
                <w:rFonts w:ascii="Times New Roman" w:hAnsi="Times New Roman" w:eastAsia="宋体"/>
                <w:szCs w:val="21"/>
              </w:rPr>
            </w:pPr>
            <w:r>
              <w:rPr>
                <w:rFonts w:ascii="Times New Roman" w:hAnsi="Times New Roman" w:eastAsia="宋体"/>
                <w:szCs w:val="21"/>
              </w:rPr>
              <w:t>*商务条款偏离表</w:t>
            </w:r>
          </w:p>
        </w:tc>
        <w:tc>
          <w:tcPr>
            <w:tcW w:w="1672" w:type="dxa"/>
            <w:vAlign w:val="center"/>
          </w:tcPr>
          <w:p>
            <w:pPr>
              <w:jc w:val="center"/>
              <w:rPr>
                <w:rFonts w:ascii="Times New Roman" w:hAnsi="Times New Roman" w:eastAsia="宋体"/>
                <w:szCs w:val="21"/>
              </w:rPr>
            </w:pPr>
          </w:p>
        </w:tc>
        <w:tc>
          <w:tcPr>
            <w:tcW w:w="1096" w:type="dxa"/>
            <w:vAlign w:val="center"/>
          </w:tcPr>
          <w:p>
            <w:pPr>
              <w:jc w:val="center"/>
              <w:rPr>
                <w:rFonts w:ascii="Times New Roman" w:hAnsi="Times New Roman"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06" w:type="dxa"/>
            <w:vAlign w:val="center"/>
          </w:tcPr>
          <w:p>
            <w:pPr>
              <w:rPr>
                <w:rFonts w:ascii="Times New Roman" w:hAnsi="Times New Roman" w:eastAsia="宋体"/>
                <w:szCs w:val="21"/>
              </w:rPr>
            </w:pPr>
            <w:r>
              <w:rPr>
                <w:rFonts w:ascii="Times New Roman" w:hAnsi="Times New Roman" w:eastAsia="宋体"/>
                <w:szCs w:val="21"/>
              </w:rPr>
              <w:t>*开标一览表</w:t>
            </w:r>
          </w:p>
        </w:tc>
        <w:tc>
          <w:tcPr>
            <w:tcW w:w="1672" w:type="dxa"/>
            <w:vAlign w:val="center"/>
          </w:tcPr>
          <w:p>
            <w:pPr>
              <w:jc w:val="center"/>
              <w:rPr>
                <w:rFonts w:ascii="Times New Roman" w:hAnsi="Times New Roman" w:eastAsia="宋体"/>
                <w:szCs w:val="21"/>
              </w:rPr>
            </w:pPr>
          </w:p>
        </w:tc>
        <w:tc>
          <w:tcPr>
            <w:tcW w:w="1096" w:type="dxa"/>
            <w:vAlign w:val="center"/>
          </w:tcPr>
          <w:p>
            <w:pPr>
              <w:jc w:val="center"/>
              <w:rPr>
                <w:rFonts w:ascii="Times New Roman" w:hAnsi="Times New Roman"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06" w:type="dxa"/>
            <w:vAlign w:val="center"/>
          </w:tcPr>
          <w:p>
            <w:pPr>
              <w:rPr>
                <w:rFonts w:ascii="Times New Roman" w:hAnsi="Times New Roman" w:eastAsia="宋体"/>
                <w:szCs w:val="21"/>
              </w:rPr>
            </w:pPr>
            <w:r>
              <w:rPr>
                <w:rFonts w:ascii="Times New Roman" w:hAnsi="Times New Roman" w:eastAsia="宋体"/>
                <w:szCs w:val="21"/>
              </w:rPr>
              <w:t>*投标货物技术规范偏离表</w:t>
            </w:r>
          </w:p>
        </w:tc>
        <w:tc>
          <w:tcPr>
            <w:tcW w:w="1672" w:type="dxa"/>
            <w:vAlign w:val="center"/>
          </w:tcPr>
          <w:p>
            <w:pPr>
              <w:jc w:val="center"/>
              <w:rPr>
                <w:rFonts w:ascii="Times New Roman" w:hAnsi="Times New Roman" w:eastAsia="宋体"/>
                <w:szCs w:val="21"/>
              </w:rPr>
            </w:pPr>
          </w:p>
        </w:tc>
        <w:tc>
          <w:tcPr>
            <w:tcW w:w="1096" w:type="dxa"/>
            <w:vAlign w:val="center"/>
          </w:tcPr>
          <w:p>
            <w:pPr>
              <w:jc w:val="center"/>
              <w:rPr>
                <w:rFonts w:ascii="Times New Roman" w:hAnsi="Times New Roman"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906" w:type="dxa"/>
            <w:vAlign w:val="center"/>
          </w:tcPr>
          <w:p>
            <w:pPr>
              <w:rPr>
                <w:rFonts w:ascii="Times New Roman" w:hAnsi="Times New Roman" w:eastAsia="宋体"/>
                <w:szCs w:val="21"/>
              </w:rPr>
            </w:pPr>
            <w:r>
              <w:rPr>
                <w:rFonts w:hint="eastAsia" w:ascii="Times New Roman" w:hAnsi="Times New Roman" w:eastAsia="宋体"/>
                <w:szCs w:val="21"/>
              </w:rPr>
              <w:t>*投标人服务项目偏离表</w:t>
            </w:r>
          </w:p>
        </w:tc>
        <w:tc>
          <w:tcPr>
            <w:tcW w:w="1672" w:type="dxa"/>
            <w:vAlign w:val="center"/>
          </w:tcPr>
          <w:p>
            <w:pPr>
              <w:jc w:val="center"/>
              <w:rPr>
                <w:rFonts w:ascii="Times New Roman" w:hAnsi="Times New Roman" w:eastAsia="宋体"/>
                <w:szCs w:val="21"/>
              </w:rPr>
            </w:pPr>
          </w:p>
        </w:tc>
        <w:tc>
          <w:tcPr>
            <w:tcW w:w="1096" w:type="dxa"/>
            <w:vAlign w:val="center"/>
          </w:tcPr>
          <w:p>
            <w:pPr>
              <w:jc w:val="center"/>
              <w:rPr>
                <w:rFonts w:ascii="Times New Roman" w:hAnsi="Times New Roman" w:eastAsia="宋体"/>
                <w:szCs w:val="21"/>
              </w:rPr>
            </w:pPr>
          </w:p>
        </w:tc>
      </w:tr>
    </w:tbl>
    <w:p>
      <w:pPr>
        <w:pStyle w:val="3"/>
        <w:spacing w:before="156"/>
        <w:rPr>
          <w:rFonts w:ascii="宋体" w:hAnsi="宋体" w:eastAsia="宋体"/>
          <w:color w:val="auto"/>
          <w:szCs w:val="22"/>
        </w:rPr>
      </w:pPr>
      <w:bookmarkStart w:id="81" w:name="_Toc16531150"/>
      <w:bookmarkStart w:id="82" w:name="_Toc16531376"/>
      <w:bookmarkStart w:id="83" w:name="_Toc12134"/>
      <w:bookmarkStart w:id="84" w:name="_Toc27729"/>
      <w:bookmarkStart w:id="85" w:name="_Toc21094"/>
      <w:bookmarkStart w:id="86" w:name="_Toc21309"/>
      <w:r>
        <w:rPr>
          <w:color w:val="auto"/>
        </w:rPr>
        <w:t>评分</w:t>
      </w:r>
      <w:bookmarkEnd w:id="81"/>
      <w:bookmarkEnd w:id="82"/>
      <w:r>
        <w:rPr>
          <w:color w:val="auto"/>
        </w:rPr>
        <w:t>细则</w:t>
      </w:r>
      <w:bookmarkEnd w:id="83"/>
      <w:bookmarkEnd w:id="84"/>
      <w:bookmarkEnd w:id="85"/>
      <w:bookmarkEnd w:id="86"/>
    </w:p>
    <w:tbl>
      <w:tblPr>
        <w:tblStyle w:val="81"/>
        <w:tblW w:w="510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8"/>
        <w:gridCol w:w="1343"/>
        <w:gridCol w:w="6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8465" w:type="dxa"/>
            <w:gridSpan w:val="3"/>
            <w:vAlign w:val="center"/>
          </w:tcPr>
          <w:p>
            <w:pPr>
              <w:tabs>
                <w:tab w:val="left" w:pos="0"/>
              </w:tabs>
              <w:rPr>
                <w:rFonts w:ascii="Times New Roman" w:hAnsi="Times New Roman" w:eastAsia="宋体"/>
                <w:szCs w:val="21"/>
              </w:rPr>
            </w:pPr>
            <w:r>
              <w:rPr>
                <w:rFonts w:ascii="Times New Roman" w:hAnsi="Times New Roman" w:eastAsia="Times New Roman"/>
                <w:szCs w:val="21"/>
              </w:rPr>
              <w:t>1</w:t>
            </w:r>
            <w:r>
              <w:rPr>
                <w:rFonts w:ascii="Times New Roman" w:hAnsi="Times New Roman" w:eastAsia="宋体"/>
                <w:szCs w:val="21"/>
              </w:rPr>
              <w:t>. 商务部分（</w:t>
            </w:r>
            <w:r>
              <w:rPr>
                <w:rFonts w:ascii="Times New Roman" w:hAnsi="Times New Roman" w:eastAsia="宋体"/>
                <w:szCs w:val="21"/>
                <w:lang w:val="en-US"/>
              </w:rPr>
              <w:t>6</w:t>
            </w:r>
            <w:r>
              <w:rPr>
                <w:rFonts w:ascii="Times New Roman" w:hAnsi="Times New Roman" w:eastAsia="宋体"/>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0" w:type="dxa"/>
            <w:vAlign w:val="center"/>
          </w:tcPr>
          <w:p>
            <w:pPr>
              <w:tabs>
                <w:tab w:val="left" w:pos="0"/>
              </w:tabs>
              <w:jc w:val="center"/>
              <w:rPr>
                <w:rFonts w:ascii="Times New Roman" w:hAnsi="Times New Roman" w:eastAsia="宋体"/>
                <w:szCs w:val="21"/>
              </w:rPr>
            </w:pPr>
            <w:r>
              <w:rPr>
                <w:rFonts w:ascii="Times New Roman" w:hAnsi="Times New Roman" w:eastAsia="宋体"/>
                <w:szCs w:val="21"/>
              </w:rPr>
              <w:t>客观项</w:t>
            </w:r>
          </w:p>
        </w:tc>
        <w:tc>
          <w:tcPr>
            <w:tcW w:w="1307" w:type="dxa"/>
            <w:vAlign w:val="center"/>
          </w:tcPr>
          <w:p>
            <w:pPr>
              <w:tabs>
                <w:tab w:val="left" w:pos="0"/>
              </w:tabs>
              <w:rPr>
                <w:rFonts w:ascii="Times New Roman" w:hAnsi="Times New Roman" w:eastAsia="宋体"/>
                <w:szCs w:val="21"/>
              </w:rPr>
            </w:pPr>
            <w:r>
              <w:rPr>
                <w:rFonts w:hint="eastAsia" w:ascii="Times New Roman" w:hAnsi="Times New Roman" w:eastAsia="Times New Roman"/>
                <w:szCs w:val="21"/>
              </w:rPr>
              <w:t>1</w:t>
            </w:r>
            <w:r>
              <w:rPr>
                <w:rFonts w:ascii="Times New Roman" w:hAnsi="Times New Roman" w:eastAsia="宋体"/>
                <w:szCs w:val="21"/>
              </w:rPr>
              <w:t>.</w:t>
            </w:r>
            <w:r>
              <w:rPr>
                <w:rFonts w:ascii="Times New Roman" w:hAnsi="Times New Roman" w:eastAsia="Times New Roman"/>
                <w:szCs w:val="21"/>
              </w:rPr>
              <w:t>1</w:t>
            </w:r>
            <w:r>
              <w:rPr>
                <w:rFonts w:ascii="Times New Roman" w:hAnsi="Times New Roman" w:eastAsia="宋体"/>
                <w:szCs w:val="21"/>
              </w:rPr>
              <w:t>体系认证（</w:t>
            </w:r>
            <w:r>
              <w:rPr>
                <w:rFonts w:ascii="Times New Roman" w:hAnsi="Times New Roman" w:eastAsia="Times New Roman"/>
                <w:szCs w:val="21"/>
              </w:rPr>
              <w:t>0</w:t>
            </w:r>
            <w:r>
              <w:rPr>
                <w:rFonts w:ascii="Times New Roman" w:hAnsi="Times New Roman" w:eastAsia="宋体"/>
                <w:szCs w:val="21"/>
              </w:rPr>
              <w:t>-</w:t>
            </w:r>
            <w:r>
              <w:rPr>
                <w:rFonts w:ascii="Times New Roman" w:hAnsi="Times New Roman" w:eastAsia="宋体"/>
                <w:szCs w:val="21"/>
                <w:lang w:val="en-US"/>
              </w:rPr>
              <w:t>6</w:t>
            </w:r>
            <w:r>
              <w:rPr>
                <w:rFonts w:ascii="Times New Roman" w:hAnsi="Times New Roman" w:eastAsia="宋体"/>
                <w:szCs w:val="21"/>
              </w:rPr>
              <w:t>分）</w:t>
            </w:r>
          </w:p>
        </w:tc>
        <w:tc>
          <w:tcPr>
            <w:tcW w:w="6128" w:type="dxa"/>
            <w:vAlign w:val="center"/>
          </w:tcPr>
          <w:p>
            <w:pPr>
              <w:tabs>
                <w:tab w:val="left" w:pos="0"/>
              </w:tabs>
              <w:rPr>
                <w:rFonts w:ascii="Times New Roman" w:hAnsi="Times New Roman" w:eastAsia="宋体"/>
                <w:szCs w:val="21"/>
              </w:rPr>
            </w:pPr>
            <w:r>
              <w:rPr>
                <w:rFonts w:ascii="Times New Roman" w:hAnsi="Times New Roman" w:eastAsia="宋体"/>
                <w:szCs w:val="21"/>
              </w:rPr>
              <w:t>投标人提供</w:t>
            </w:r>
            <w:r>
              <w:rPr>
                <w:rFonts w:hint="eastAsia" w:ascii="Times New Roman" w:hAnsi="Times New Roman" w:eastAsia="宋体"/>
                <w:szCs w:val="21"/>
              </w:rPr>
              <w:t>质量管理体系（ISO9001或GB/T19001或GJB9001）、环境管理体系（ISO14001或GB/T24001）、职业健康与安全管理体系（GB/T45001或ISO45001）</w:t>
            </w:r>
            <w:r>
              <w:rPr>
                <w:rFonts w:ascii="Times New Roman" w:hAnsi="Times New Roman" w:eastAsia="宋体"/>
                <w:szCs w:val="21"/>
              </w:rPr>
              <w:t>。每提供</w:t>
            </w:r>
            <w:r>
              <w:rPr>
                <w:rFonts w:ascii="Times New Roman" w:hAnsi="Times New Roman" w:eastAsia="Times New Roman"/>
                <w:szCs w:val="21"/>
              </w:rPr>
              <w:t>1</w:t>
            </w:r>
            <w:r>
              <w:rPr>
                <w:rFonts w:ascii="Times New Roman" w:hAnsi="Times New Roman" w:eastAsia="宋体"/>
                <w:szCs w:val="21"/>
              </w:rPr>
              <w:t>种有效认证证书复印件得</w:t>
            </w:r>
            <w:r>
              <w:rPr>
                <w:rFonts w:ascii="Times New Roman" w:hAnsi="Times New Roman" w:eastAsia="宋体"/>
                <w:szCs w:val="21"/>
                <w:lang w:val="en-US"/>
              </w:rPr>
              <w:t>2</w:t>
            </w:r>
            <w:r>
              <w:rPr>
                <w:rFonts w:ascii="Times New Roman" w:hAnsi="Times New Roman" w:eastAsia="宋体"/>
                <w:szCs w:val="21"/>
              </w:rPr>
              <w:t>分，未提供或提供的不符合要求不得分。满分为</w:t>
            </w:r>
            <w:r>
              <w:rPr>
                <w:rFonts w:ascii="Times New Roman" w:hAnsi="Times New Roman" w:eastAsia="宋体"/>
                <w:szCs w:val="21"/>
                <w:lang w:val="en-US"/>
              </w:rPr>
              <w:t>6</w:t>
            </w:r>
            <w:r>
              <w:rPr>
                <w:rFonts w:ascii="Times New Roman" w:hAnsi="Times New Roman" w:eastAsia="宋体"/>
                <w:szCs w:val="21"/>
              </w:rPr>
              <w:t>分，最低为</w:t>
            </w:r>
            <w:r>
              <w:rPr>
                <w:rFonts w:ascii="Times New Roman" w:hAnsi="Times New Roman" w:eastAsia="Times New Roman"/>
                <w:szCs w:val="21"/>
              </w:rPr>
              <w:t>0</w:t>
            </w:r>
            <w:r>
              <w:rPr>
                <w:rFonts w:ascii="Times New Roman" w:hAnsi="Times New Roman" w:eastAsia="宋体"/>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8465" w:type="dxa"/>
            <w:gridSpan w:val="3"/>
            <w:vAlign w:val="center"/>
          </w:tcPr>
          <w:p>
            <w:pPr>
              <w:snapToGrid w:val="0"/>
              <w:rPr>
                <w:rFonts w:ascii="Times New Roman" w:hAnsi="Times New Roman" w:eastAsia="Times New Roman"/>
                <w:szCs w:val="21"/>
              </w:rPr>
            </w:pPr>
            <w:r>
              <w:rPr>
                <w:rFonts w:ascii="Times New Roman" w:hAnsi="Times New Roman" w:eastAsia="Times New Roman"/>
                <w:szCs w:val="21"/>
              </w:rPr>
              <w:t xml:space="preserve">2. </w:t>
            </w:r>
            <w:r>
              <w:rPr>
                <w:rFonts w:hint="eastAsia" w:ascii="宋体" w:hAnsi="宋体" w:eastAsia="宋体" w:cs="宋体"/>
                <w:szCs w:val="21"/>
              </w:rPr>
              <w:t>技术部分（</w:t>
            </w:r>
            <w:r>
              <w:rPr>
                <w:rFonts w:hint="eastAsia" w:ascii="Times New Roman" w:hAnsi="Times New Roman" w:eastAsia="宋体"/>
                <w:szCs w:val="21"/>
                <w:lang w:val="en-US"/>
              </w:rPr>
              <w:t>5</w:t>
            </w:r>
            <w:r>
              <w:rPr>
                <w:rFonts w:ascii="Times New Roman" w:hAnsi="Times New Roman" w:eastAsia="宋体"/>
                <w:szCs w:val="21"/>
                <w:lang w:val="en-US"/>
              </w:rPr>
              <w:t>2</w:t>
            </w:r>
            <w:r>
              <w:rPr>
                <w:rFonts w:hint="eastAsia" w:ascii="宋体" w:hAnsi="宋体" w:eastAsia="宋体" w:cs="宋体"/>
                <w:szCs w:val="21"/>
              </w:rPr>
              <w:t>分）</w:t>
            </w:r>
          </w:p>
          <w:p>
            <w:pPr>
              <w:snapToGrid w:val="0"/>
              <w:rPr>
                <w:b/>
                <w:bCs/>
              </w:rPr>
            </w:pPr>
            <w:r>
              <w:rPr>
                <w:rFonts w:hint="eastAsia" w:ascii="宋体" w:hAnsi="宋体" w:eastAsia="宋体" w:cs="宋体"/>
                <w:b/>
                <w:bCs/>
                <w:szCs w:val="21"/>
              </w:rPr>
              <w:t>技术要求中</w:t>
            </w:r>
            <w:r>
              <w:rPr>
                <w:rFonts w:ascii="Times New Roman" w:hAnsi="Times New Roman" w:eastAsia="Times New Roman"/>
                <w:b/>
                <w:bCs/>
                <w:szCs w:val="21"/>
              </w:rPr>
              <w:t>“</w:t>
            </w:r>
            <w:r>
              <w:rPr>
                <w:rFonts w:eastAsia="宋体"/>
                <w:b/>
                <w:bCs/>
              </w:rPr>
              <w:t>*</w:t>
            </w:r>
            <w:r>
              <w:rPr>
                <w:rFonts w:ascii="Times New Roman" w:hAnsi="Times New Roman" w:eastAsia="Times New Roman"/>
                <w:b/>
                <w:bCs/>
                <w:szCs w:val="21"/>
              </w:rPr>
              <w:t>”</w:t>
            </w:r>
            <w:r>
              <w:rPr>
                <w:rFonts w:hint="eastAsia" w:ascii="宋体" w:hAnsi="宋体" w:eastAsia="宋体" w:cs="宋体"/>
                <w:b/>
                <w:bCs/>
                <w:szCs w:val="21"/>
              </w:rPr>
              <w:t>项为实质性要求，有一项不满足，投标将被拒绝。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0" w:type="dxa"/>
            <w:vAlign w:val="center"/>
          </w:tcPr>
          <w:p>
            <w:pPr>
              <w:ind w:right="-105" w:rightChars="-50"/>
              <w:jc w:val="center"/>
              <w:rPr>
                <w:rFonts w:ascii="Times New Roman" w:hAnsi="Times New Roman" w:eastAsia="宋体"/>
                <w:szCs w:val="21"/>
              </w:rPr>
            </w:pPr>
            <w:r>
              <w:rPr>
                <w:rFonts w:hint="eastAsia" w:ascii="Times New Roman" w:hAnsi="Times New Roman" w:eastAsia="宋体"/>
                <w:szCs w:val="21"/>
              </w:rPr>
              <w:t>第1包</w:t>
            </w:r>
            <w:r>
              <w:rPr>
                <w:rFonts w:ascii="Times New Roman" w:hAnsi="Times New Roman" w:eastAsia="宋体"/>
                <w:szCs w:val="21"/>
              </w:rPr>
              <w:t>客观项</w:t>
            </w:r>
          </w:p>
        </w:tc>
        <w:tc>
          <w:tcPr>
            <w:tcW w:w="1307" w:type="dxa"/>
            <w:vAlign w:val="center"/>
          </w:tcPr>
          <w:p>
            <w:pPr>
              <w:rPr>
                <w:rFonts w:ascii="Times New Roman" w:hAnsi="Times New Roman" w:eastAsia="宋体"/>
                <w:szCs w:val="21"/>
              </w:rPr>
            </w:pPr>
            <w:r>
              <w:rPr>
                <w:rFonts w:ascii="Times New Roman" w:hAnsi="Times New Roman" w:eastAsia="Times New Roman"/>
                <w:szCs w:val="21"/>
              </w:rPr>
              <w:t>2</w:t>
            </w:r>
            <w:r>
              <w:rPr>
                <w:rFonts w:ascii="Times New Roman" w:hAnsi="Times New Roman" w:eastAsia="宋体"/>
                <w:szCs w:val="21"/>
              </w:rPr>
              <w:t>.</w:t>
            </w:r>
            <w:r>
              <w:rPr>
                <w:rFonts w:ascii="Times New Roman" w:hAnsi="Times New Roman" w:eastAsia="Times New Roman"/>
                <w:szCs w:val="21"/>
              </w:rPr>
              <w:t>1</w:t>
            </w:r>
            <w:r>
              <w:rPr>
                <w:rFonts w:ascii="Times New Roman" w:hAnsi="Times New Roman" w:eastAsia="宋体"/>
                <w:szCs w:val="21"/>
              </w:rPr>
              <w:t>技术指标响应情况（</w:t>
            </w:r>
            <w:r>
              <w:rPr>
                <w:rFonts w:ascii="Times New Roman" w:hAnsi="Times New Roman" w:eastAsia="Times New Roman"/>
                <w:szCs w:val="21"/>
              </w:rPr>
              <w:t>0</w:t>
            </w:r>
            <w:r>
              <w:rPr>
                <w:rFonts w:ascii="Times New Roman" w:hAnsi="Times New Roman" w:eastAsia="宋体"/>
                <w:szCs w:val="21"/>
              </w:rPr>
              <w:t>-</w:t>
            </w:r>
            <w:r>
              <w:rPr>
                <w:rFonts w:hint="eastAsia" w:ascii="Times New Roman" w:hAnsi="Times New Roman" w:eastAsiaTheme="minorEastAsia"/>
                <w:szCs w:val="21"/>
                <w:lang w:val="en-US"/>
              </w:rPr>
              <w:t>5</w:t>
            </w:r>
            <w:r>
              <w:rPr>
                <w:rFonts w:ascii="Times New Roman" w:hAnsi="Times New Roman" w:eastAsiaTheme="minorEastAsia"/>
                <w:szCs w:val="21"/>
                <w:lang w:val="en-US"/>
              </w:rPr>
              <w:t>2</w:t>
            </w:r>
            <w:r>
              <w:rPr>
                <w:rFonts w:ascii="Times New Roman" w:hAnsi="Times New Roman" w:eastAsia="宋体"/>
                <w:szCs w:val="21"/>
              </w:rPr>
              <w:t>分）</w:t>
            </w:r>
          </w:p>
        </w:tc>
        <w:tc>
          <w:tcPr>
            <w:tcW w:w="6128" w:type="dxa"/>
            <w:vAlign w:val="center"/>
          </w:tcPr>
          <w:p>
            <w:pPr>
              <w:tabs>
                <w:tab w:val="left" w:pos="0"/>
              </w:tabs>
              <w:rPr>
                <w:rFonts w:ascii="Times New Roman" w:hAnsi="Times New Roman" w:eastAsia="宋体"/>
                <w:szCs w:val="21"/>
              </w:rPr>
            </w:pPr>
            <w:r>
              <w:rPr>
                <w:rFonts w:ascii="Times New Roman" w:hAnsi="Times New Roman" w:eastAsia="宋体"/>
                <w:szCs w:val="21"/>
              </w:rPr>
              <w:t>根据投标人提供的</w:t>
            </w:r>
            <w:r>
              <w:rPr>
                <w:rFonts w:hint="eastAsia" w:ascii="Times New Roman" w:hAnsi="Times New Roman" w:eastAsia="宋体"/>
                <w:szCs w:val="21"/>
              </w:rPr>
              <w:t>证明材料</w:t>
            </w:r>
            <w:r>
              <w:rPr>
                <w:rFonts w:ascii="宋体" w:hAnsi="宋体" w:eastAsia="宋体"/>
                <w:szCs w:val="21"/>
              </w:rPr>
              <w:t>，</w:t>
            </w:r>
            <w:r>
              <w:rPr>
                <w:rFonts w:ascii="Times New Roman" w:hAnsi="Times New Roman" w:eastAsia="宋体"/>
                <w:szCs w:val="21"/>
              </w:rPr>
              <w:t>对照招标文件“技术要求”进行响应情况的客观打分</w:t>
            </w:r>
            <w:r>
              <w:rPr>
                <w:rFonts w:hint="eastAsia" w:ascii="Times New Roman" w:hAnsi="Times New Roman" w:eastAsia="宋体"/>
                <w:szCs w:val="21"/>
              </w:rPr>
              <w:t>，以技术规范偏离表及证明材料佐证。</w:t>
            </w:r>
          </w:p>
          <w:p>
            <w:pPr>
              <w:tabs>
                <w:tab w:val="left" w:pos="0"/>
              </w:tabs>
              <w:rPr>
                <w:rFonts w:ascii="Times New Roman" w:hAnsi="Times New Roman" w:eastAsia="宋体"/>
                <w:szCs w:val="21"/>
              </w:rPr>
            </w:pPr>
            <w:r>
              <w:rPr>
                <w:rFonts w:hint="eastAsia" w:ascii="Times New Roman" w:hAnsi="Times New Roman" w:eastAsia="宋体"/>
                <w:szCs w:val="21"/>
                <w:lang w:val="en-US"/>
              </w:rPr>
              <w:t>1、</w:t>
            </w:r>
            <w:r>
              <w:rPr>
                <w:rFonts w:hint="eastAsia" w:ascii="Times New Roman" w:hAnsi="Times New Roman" w:eastAsia="宋体"/>
                <w:szCs w:val="21"/>
              </w:rPr>
              <w:t>满足全部技术</w:t>
            </w:r>
            <w:r>
              <w:rPr>
                <w:rFonts w:hint="eastAsia" w:ascii="Times New Roman" w:hAnsi="Times New Roman" w:eastAsia="宋体"/>
                <w:szCs w:val="21"/>
                <w:lang w:val="en-US"/>
              </w:rPr>
              <w:t>指标最低要求</w:t>
            </w:r>
            <w:r>
              <w:rPr>
                <w:rFonts w:hint="eastAsia" w:ascii="Times New Roman" w:hAnsi="Times New Roman" w:eastAsia="宋体"/>
                <w:szCs w:val="21"/>
              </w:rPr>
              <w:t>的，得5</w:t>
            </w:r>
            <w:r>
              <w:rPr>
                <w:rFonts w:ascii="Times New Roman" w:hAnsi="Times New Roman" w:eastAsia="宋体"/>
                <w:szCs w:val="21"/>
                <w:lang w:val="en-US"/>
              </w:rPr>
              <w:t>2</w:t>
            </w:r>
            <w:r>
              <w:rPr>
                <w:rFonts w:hint="eastAsia" w:ascii="Times New Roman" w:hAnsi="Times New Roman" w:eastAsia="宋体"/>
                <w:szCs w:val="21"/>
              </w:rPr>
              <w:t>分；</w:t>
            </w:r>
          </w:p>
          <w:p>
            <w:pPr>
              <w:tabs>
                <w:tab w:val="left" w:pos="0"/>
              </w:tabs>
            </w:pPr>
            <w:r>
              <w:rPr>
                <w:rFonts w:hint="eastAsia" w:ascii="Times New Roman" w:hAnsi="Times New Roman" w:eastAsia="宋体"/>
                <w:szCs w:val="21"/>
              </w:rPr>
              <w:t>2、</w:t>
            </w:r>
            <w:r>
              <w:rPr>
                <w:rFonts w:ascii="Times New Roman" w:hAnsi="Times New Roman" w:eastAsia="宋体"/>
              </w:rPr>
              <w:t>“</w:t>
            </w:r>
            <w:r>
              <w:rPr>
                <w:rFonts w:ascii="Segoe UI Symbol" w:hAnsi="Segoe UI Symbol" w:eastAsia="宋体" w:cs="Segoe UI Symbol"/>
              </w:rPr>
              <w:t>★</w:t>
            </w:r>
            <w:r>
              <w:rPr>
                <w:rFonts w:ascii="Times New Roman" w:hAnsi="Times New Roman" w:eastAsia="宋体"/>
              </w:rPr>
              <w:t>”代表关键指标</w:t>
            </w:r>
            <w:r>
              <w:rPr>
                <w:rFonts w:hint="eastAsia" w:ascii="Times New Roman" w:hAnsi="Times New Roman" w:eastAsia="宋体"/>
              </w:rPr>
              <w:t>项，</w:t>
            </w:r>
            <w:r>
              <w:rPr>
                <w:rFonts w:hint="eastAsia" w:ascii="Times New Roman" w:hAnsi="Times New Roman" w:eastAsia="宋体"/>
                <w:szCs w:val="21"/>
              </w:rPr>
              <w:t>有</w:t>
            </w:r>
            <w:r>
              <w:rPr>
                <w:rFonts w:ascii="Times New Roman" w:hAnsi="Times New Roman" w:eastAsia="宋体"/>
                <w:szCs w:val="21"/>
                <w:lang w:val="en-US"/>
              </w:rPr>
              <w:t>43</w:t>
            </w:r>
            <w:r>
              <w:rPr>
                <w:rFonts w:hint="eastAsia" w:ascii="Times New Roman" w:hAnsi="Times New Roman" w:eastAsia="宋体"/>
                <w:szCs w:val="21"/>
              </w:rPr>
              <w:t>项，每有一项不满足扣</w:t>
            </w:r>
            <w:r>
              <w:rPr>
                <w:rFonts w:ascii="Times New Roman" w:hAnsi="Times New Roman" w:eastAsia="宋体"/>
                <w:szCs w:val="21"/>
                <w:lang w:val="en-US"/>
              </w:rPr>
              <w:t>0.6</w:t>
            </w:r>
            <w:r>
              <w:rPr>
                <w:rFonts w:hint="eastAsia" w:ascii="Times New Roman" w:hAnsi="Times New Roman" w:eastAsia="宋体"/>
                <w:szCs w:val="21"/>
              </w:rPr>
              <w:t>分，共</w:t>
            </w:r>
            <w:r>
              <w:rPr>
                <w:rFonts w:ascii="Times New Roman" w:hAnsi="Times New Roman" w:eastAsia="宋体"/>
                <w:szCs w:val="21"/>
                <w:lang w:val="en-US"/>
              </w:rPr>
              <w:t>25.8</w:t>
            </w:r>
            <w:r>
              <w:rPr>
                <w:rFonts w:hint="eastAsia" w:ascii="Times New Roman" w:hAnsi="Times New Roman" w:eastAsia="宋体"/>
                <w:szCs w:val="21"/>
              </w:rPr>
              <w:t>分；</w:t>
            </w:r>
          </w:p>
          <w:p>
            <w:pPr>
              <w:tabs>
                <w:tab w:val="left" w:pos="0"/>
              </w:tabs>
            </w:pPr>
            <w:r>
              <w:rPr>
                <w:rFonts w:hint="eastAsia" w:ascii="Times New Roman" w:hAnsi="Times New Roman" w:eastAsia="宋体"/>
              </w:rPr>
              <w:t>3、</w:t>
            </w:r>
            <w:r>
              <w:rPr>
                <w:rFonts w:hint="eastAsia" w:ascii="Times New Roman" w:hAnsi="Times New Roman" w:eastAsia="宋体"/>
                <w:szCs w:val="21"/>
              </w:rPr>
              <w:t>“▲”为重要指标项，有</w:t>
            </w:r>
            <w:r>
              <w:rPr>
                <w:rFonts w:ascii="Times New Roman" w:hAnsi="Times New Roman" w:eastAsia="宋体"/>
                <w:szCs w:val="21"/>
                <w:lang w:val="en-US"/>
              </w:rPr>
              <w:t>20</w:t>
            </w:r>
            <w:r>
              <w:rPr>
                <w:rFonts w:hint="eastAsia" w:ascii="Times New Roman" w:hAnsi="Times New Roman" w:eastAsia="宋体"/>
                <w:szCs w:val="21"/>
              </w:rPr>
              <w:t>项，每有一项不满足扣</w:t>
            </w:r>
            <w:r>
              <w:rPr>
                <w:rFonts w:ascii="Times New Roman" w:hAnsi="Times New Roman" w:eastAsia="宋体"/>
                <w:szCs w:val="21"/>
                <w:lang w:val="en-US"/>
              </w:rPr>
              <w:t>0.26</w:t>
            </w:r>
            <w:r>
              <w:rPr>
                <w:rFonts w:hint="eastAsia" w:ascii="Times New Roman" w:hAnsi="Times New Roman" w:eastAsia="宋体"/>
                <w:szCs w:val="21"/>
              </w:rPr>
              <w:t>分，共</w:t>
            </w:r>
            <w:r>
              <w:rPr>
                <w:rFonts w:ascii="Times New Roman" w:hAnsi="Times New Roman" w:eastAsia="宋体"/>
                <w:szCs w:val="21"/>
                <w:lang w:val="en-US"/>
              </w:rPr>
              <w:t>5.</w:t>
            </w:r>
            <w:r>
              <w:rPr>
                <w:rFonts w:hint="eastAsia" w:ascii="Times New Roman" w:hAnsi="Times New Roman" w:eastAsia="宋体"/>
                <w:szCs w:val="21"/>
                <w:lang w:val="en-US"/>
              </w:rPr>
              <w:t>2</w:t>
            </w:r>
            <w:r>
              <w:rPr>
                <w:rFonts w:hint="eastAsia" w:ascii="Times New Roman" w:hAnsi="Times New Roman" w:eastAsia="宋体"/>
                <w:szCs w:val="21"/>
              </w:rPr>
              <w:t>分；</w:t>
            </w:r>
          </w:p>
          <w:p>
            <w:pPr>
              <w:tabs>
                <w:tab w:val="left" w:pos="0"/>
              </w:tabs>
              <w:rPr>
                <w:rFonts w:ascii="Times New Roman" w:hAnsi="Times New Roman" w:eastAsia="宋体"/>
                <w:szCs w:val="21"/>
              </w:rPr>
            </w:pPr>
            <w:r>
              <w:rPr>
                <w:rFonts w:ascii="Times New Roman" w:hAnsi="Times New Roman" w:eastAsia="宋体"/>
                <w:szCs w:val="21"/>
                <w:lang w:val="en-US"/>
              </w:rPr>
              <w:t>4</w:t>
            </w:r>
            <w:r>
              <w:rPr>
                <w:rFonts w:hint="eastAsia" w:ascii="Times New Roman" w:hAnsi="Times New Roman" w:eastAsia="宋体"/>
                <w:szCs w:val="21"/>
              </w:rPr>
              <w:t>、无标识项代表一般指标项，有</w:t>
            </w:r>
            <w:r>
              <w:rPr>
                <w:rFonts w:ascii="Times New Roman" w:hAnsi="Times New Roman" w:eastAsia="宋体"/>
                <w:szCs w:val="21"/>
                <w:lang w:val="en-US"/>
              </w:rPr>
              <w:t>150</w:t>
            </w:r>
            <w:r>
              <w:rPr>
                <w:rFonts w:hint="eastAsia" w:ascii="Times New Roman" w:hAnsi="Times New Roman" w:eastAsia="宋体"/>
                <w:szCs w:val="21"/>
              </w:rPr>
              <w:t>项，每有一项不满足扣</w:t>
            </w:r>
            <w:r>
              <w:rPr>
                <w:rFonts w:ascii="Times New Roman" w:hAnsi="Times New Roman" w:eastAsia="宋体"/>
                <w:szCs w:val="21"/>
                <w:lang w:val="en-US"/>
              </w:rPr>
              <w:t>0.14</w:t>
            </w:r>
            <w:r>
              <w:rPr>
                <w:rFonts w:hint="eastAsia" w:ascii="Times New Roman" w:hAnsi="Times New Roman" w:eastAsia="宋体"/>
                <w:szCs w:val="21"/>
              </w:rPr>
              <w:t>分，共</w:t>
            </w:r>
            <w:r>
              <w:rPr>
                <w:rFonts w:ascii="Times New Roman" w:hAnsi="Times New Roman" w:eastAsia="宋体"/>
                <w:szCs w:val="21"/>
                <w:lang w:val="en-US"/>
              </w:rPr>
              <w:t>21</w:t>
            </w:r>
            <w:r>
              <w:rPr>
                <w:rFonts w:hint="eastAsia" w:ascii="Times New Roman" w:hAnsi="Times New Roman" w:eastAsia="宋体"/>
                <w:szCs w:val="21"/>
              </w:rPr>
              <w:t>分。</w:t>
            </w:r>
          </w:p>
          <w:p>
            <w:pPr>
              <w:tabs>
                <w:tab w:val="left" w:pos="0"/>
              </w:tabs>
            </w:pPr>
            <w:r>
              <w:rPr>
                <w:rFonts w:hint="eastAsia" w:ascii="Times New Roman" w:hAnsi="Times New Roman" w:eastAsia="宋体"/>
                <w:szCs w:val="21"/>
              </w:rPr>
              <w:t>（注：被发现有虚假投标则投标人的投标将被拒绝）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0" w:type="dxa"/>
            <w:vAlign w:val="center"/>
          </w:tcPr>
          <w:p>
            <w:pPr>
              <w:ind w:right="-105" w:rightChars="-50"/>
              <w:jc w:val="center"/>
              <w:rPr>
                <w:rFonts w:ascii="Times New Roman" w:hAnsi="Times New Roman" w:eastAsia="宋体"/>
                <w:szCs w:val="21"/>
              </w:rPr>
            </w:pPr>
            <w:r>
              <w:rPr>
                <w:rFonts w:hint="eastAsia" w:ascii="Times New Roman" w:hAnsi="Times New Roman" w:eastAsia="宋体"/>
                <w:szCs w:val="21"/>
              </w:rPr>
              <w:t>第2包</w:t>
            </w:r>
            <w:r>
              <w:rPr>
                <w:rFonts w:ascii="Times New Roman" w:hAnsi="Times New Roman" w:eastAsia="宋体"/>
                <w:szCs w:val="21"/>
              </w:rPr>
              <w:t>客观项</w:t>
            </w:r>
          </w:p>
        </w:tc>
        <w:tc>
          <w:tcPr>
            <w:tcW w:w="1307" w:type="dxa"/>
            <w:vAlign w:val="center"/>
          </w:tcPr>
          <w:p>
            <w:pPr>
              <w:rPr>
                <w:rFonts w:ascii="Times New Roman" w:hAnsi="Times New Roman" w:eastAsia="Times New Roman"/>
                <w:szCs w:val="21"/>
              </w:rPr>
            </w:pPr>
            <w:r>
              <w:rPr>
                <w:rFonts w:ascii="Times New Roman" w:hAnsi="Times New Roman" w:eastAsia="Times New Roman"/>
                <w:szCs w:val="21"/>
              </w:rPr>
              <w:t>2</w:t>
            </w:r>
            <w:r>
              <w:rPr>
                <w:rFonts w:ascii="Times New Roman" w:hAnsi="Times New Roman" w:eastAsia="宋体"/>
                <w:szCs w:val="21"/>
              </w:rPr>
              <w:t>.</w:t>
            </w:r>
            <w:r>
              <w:rPr>
                <w:rFonts w:ascii="Times New Roman" w:hAnsi="Times New Roman" w:eastAsia="Times New Roman"/>
                <w:szCs w:val="21"/>
              </w:rPr>
              <w:t>1</w:t>
            </w:r>
            <w:r>
              <w:rPr>
                <w:rFonts w:ascii="Times New Roman" w:hAnsi="Times New Roman" w:eastAsia="宋体"/>
                <w:szCs w:val="21"/>
              </w:rPr>
              <w:t>技术指标响应情况（</w:t>
            </w:r>
            <w:r>
              <w:rPr>
                <w:rFonts w:ascii="Times New Roman" w:hAnsi="Times New Roman" w:eastAsia="Times New Roman"/>
                <w:szCs w:val="21"/>
              </w:rPr>
              <w:t>0</w:t>
            </w:r>
            <w:r>
              <w:rPr>
                <w:rFonts w:ascii="Times New Roman" w:hAnsi="Times New Roman" w:eastAsia="宋体"/>
                <w:szCs w:val="21"/>
              </w:rPr>
              <w:t>-</w:t>
            </w:r>
            <w:r>
              <w:rPr>
                <w:rFonts w:hint="eastAsia" w:ascii="Times New Roman" w:hAnsi="Times New Roman" w:eastAsiaTheme="minorEastAsia"/>
                <w:szCs w:val="21"/>
                <w:lang w:val="en-US"/>
              </w:rPr>
              <w:t>5</w:t>
            </w:r>
            <w:r>
              <w:rPr>
                <w:rFonts w:ascii="Times New Roman" w:hAnsi="Times New Roman" w:eastAsiaTheme="minorEastAsia"/>
                <w:szCs w:val="21"/>
                <w:lang w:val="en-US"/>
              </w:rPr>
              <w:t>2</w:t>
            </w:r>
            <w:r>
              <w:rPr>
                <w:rFonts w:ascii="Times New Roman" w:hAnsi="Times New Roman" w:eastAsia="宋体"/>
                <w:szCs w:val="21"/>
              </w:rPr>
              <w:t>分）</w:t>
            </w:r>
          </w:p>
        </w:tc>
        <w:tc>
          <w:tcPr>
            <w:tcW w:w="6128" w:type="dxa"/>
            <w:vAlign w:val="center"/>
          </w:tcPr>
          <w:p>
            <w:pPr>
              <w:tabs>
                <w:tab w:val="left" w:pos="0"/>
              </w:tabs>
              <w:rPr>
                <w:rFonts w:ascii="Times New Roman" w:hAnsi="Times New Roman" w:eastAsia="宋体"/>
                <w:szCs w:val="21"/>
              </w:rPr>
            </w:pPr>
            <w:r>
              <w:rPr>
                <w:rFonts w:ascii="Times New Roman" w:hAnsi="Times New Roman" w:eastAsia="宋体"/>
                <w:szCs w:val="21"/>
              </w:rPr>
              <w:t>根据投标人提供的</w:t>
            </w:r>
            <w:r>
              <w:rPr>
                <w:rFonts w:hint="eastAsia" w:ascii="Times New Roman" w:hAnsi="Times New Roman" w:eastAsia="宋体"/>
                <w:szCs w:val="21"/>
              </w:rPr>
              <w:t>证明材料</w:t>
            </w:r>
            <w:r>
              <w:rPr>
                <w:rFonts w:ascii="宋体" w:hAnsi="宋体" w:eastAsia="宋体"/>
                <w:szCs w:val="21"/>
              </w:rPr>
              <w:t>，</w:t>
            </w:r>
            <w:r>
              <w:rPr>
                <w:rFonts w:ascii="Times New Roman" w:hAnsi="Times New Roman" w:eastAsia="宋体"/>
                <w:szCs w:val="21"/>
              </w:rPr>
              <w:t>对照招标文件“技术要求”进行响应情况的客观打分</w:t>
            </w:r>
            <w:r>
              <w:rPr>
                <w:rFonts w:hint="eastAsia" w:ascii="Times New Roman" w:hAnsi="Times New Roman" w:eastAsia="宋体"/>
                <w:szCs w:val="21"/>
              </w:rPr>
              <w:t>，以技术规范偏离表及证明材料佐证。</w:t>
            </w:r>
          </w:p>
          <w:p>
            <w:pPr>
              <w:tabs>
                <w:tab w:val="left" w:pos="0"/>
              </w:tabs>
              <w:rPr>
                <w:rFonts w:ascii="Times New Roman" w:hAnsi="Times New Roman" w:eastAsia="宋体"/>
                <w:szCs w:val="21"/>
              </w:rPr>
            </w:pPr>
            <w:r>
              <w:rPr>
                <w:rFonts w:hint="eastAsia" w:ascii="Times New Roman" w:hAnsi="Times New Roman" w:eastAsia="宋体"/>
                <w:szCs w:val="21"/>
                <w:lang w:val="en-US"/>
              </w:rPr>
              <w:t>1、</w:t>
            </w:r>
            <w:r>
              <w:rPr>
                <w:rFonts w:hint="eastAsia" w:ascii="Times New Roman" w:hAnsi="Times New Roman" w:eastAsia="宋体"/>
                <w:szCs w:val="21"/>
              </w:rPr>
              <w:t>满足全部技术</w:t>
            </w:r>
            <w:r>
              <w:rPr>
                <w:rFonts w:hint="eastAsia" w:ascii="Times New Roman" w:hAnsi="Times New Roman" w:eastAsia="宋体"/>
                <w:szCs w:val="21"/>
                <w:lang w:val="en-US"/>
              </w:rPr>
              <w:t>指标最低要求</w:t>
            </w:r>
            <w:r>
              <w:rPr>
                <w:rFonts w:hint="eastAsia" w:ascii="Times New Roman" w:hAnsi="Times New Roman" w:eastAsia="宋体"/>
                <w:szCs w:val="21"/>
              </w:rPr>
              <w:t>的，得5</w:t>
            </w:r>
            <w:r>
              <w:rPr>
                <w:rFonts w:ascii="Times New Roman" w:hAnsi="Times New Roman" w:eastAsia="宋体"/>
                <w:szCs w:val="21"/>
                <w:lang w:val="en-US"/>
              </w:rPr>
              <w:t>2</w:t>
            </w:r>
            <w:r>
              <w:rPr>
                <w:rFonts w:hint="eastAsia" w:ascii="Times New Roman" w:hAnsi="Times New Roman" w:eastAsia="宋体"/>
                <w:szCs w:val="21"/>
              </w:rPr>
              <w:t>分；</w:t>
            </w:r>
          </w:p>
          <w:p>
            <w:pPr>
              <w:tabs>
                <w:tab w:val="left" w:pos="0"/>
              </w:tabs>
            </w:pPr>
            <w:r>
              <w:rPr>
                <w:rFonts w:hint="eastAsia" w:ascii="Times New Roman" w:hAnsi="Times New Roman" w:eastAsia="宋体"/>
                <w:szCs w:val="21"/>
              </w:rPr>
              <w:t>2、</w:t>
            </w:r>
            <w:r>
              <w:rPr>
                <w:rFonts w:ascii="Times New Roman" w:hAnsi="Times New Roman" w:eastAsia="宋体"/>
              </w:rPr>
              <w:t>“</w:t>
            </w:r>
            <w:r>
              <w:rPr>
                <w:rFonts w:ascii="Segoe UI Symbol" w:hAnsi="Segoe UI Symbol" w:eastAsia="宋体" w:cs="Segoe UI Symbol"/>
              </w:rPr>
              <w:t>★</w:t>
            </w:r>
            <w:r>
              <w:rPr>
                <w:rFonts w:ascii="Times New Roman" w:hAnsi="Times New Roman" w:eastAsia="宋体"/>
              </w:rPr>
              <w:t>”代表关键指标</w:t>
            </w:r>
            <w:r>
              <w:rPr>
                <w:rFonts w:hint="eastAsia" w:ascii="Times New Roman" w:hAnsi="Times New Roman" w:eastAsia="宋体"/>
              </w:rPr>
              <w:t>项，</w:t>
            </w:r>
            <w:r>
              <w:rPr>
                <w:rFonts w:hint="eastAsia" w:ascii="Times New Roman" w:hAnsi="Times New Roman" w:eastAsia="宋体"/>
                <w:szCs w:val="21"/>
              </w:rPr>
              <w:t>有</w:t>
            </w:r>
            <w:r>
              <w:rPr>
                <w:rFonts w:ascii="Times New Roman" w:hAnsi="Times New Roman" w:eastAsia="宋体"/>
                <w:szCs w:val="21"/>
                <w:lang w:val="en-US"/>
              </w:rPr>
              <w:t>72</w:t>
            </w:r>
            <w:r>
              <w:rPr>
                <w:rFonts w:hint="eastAsia" w:ascii="Times New Roman" w:hAnsi="Times New Roman" w:eastAsia="宋体"/>
                <w:szCs w:val="21"/>
              </w:rPr>
              <w:t>项，每有一项不满足扣</w:t>
            </w:r>
            <w:r>
              <w:rPr>
                <w:rFonts w:ascii="Times New Roman" w:hAnsi="Times New Roman" w:eastAsia="宋体"/>
                <w:szCs w:val="21"/>
                <w:lang w:val="en-US"/>
              </w:rPr>
              <w:t>0.585</w:t>
            </w:r>
            <w:r>
              <w:rPr>
                <w:rFonts w:hint="eastAsia" w:ascii="Times New Roman" w:hAnsi="Times New Roman" w:eastAsia="宋体"/>
                <w:szCs w:val="21"/>
              </w:rPr>
              <w:t>分，共</w:t>
            </w:r>
            <w:r>
              <w:rPr>
                <w:rFonts w:ascii="Times New Roman" w:hAnsi="Times New Roman" w:eastAsia="宋体"/>
                <w:szCs w:val="21"/>
                <w:lang w:val="en-US"/>
              </w:rPr>
              <w:t>42.12</w:t>
            </w:r>
            <w:r>
              <w:rPr>
                <w:rFonts w:hint="eastAsia" w:ascii="Times New Roman" w:hAnsi="Times New Roman" w:eastAsia="宋体"/>
                <w:szCs w:val="21"/>
              </w:rPr>
              <w:t>分；</w:t>
            </w:r>
          </w:p>
          <w:p>
            <w:pPr>
              <w:tabs>
                <w:tab w:val="left" w:pos="0"/>
              </w:tabs>
              <w:rPr>
                <w:rFonts w:ascii="Times New Roman" w:hAnsi="Times New Roman" w:eastAsia="宋体"/>
                <w:szCs w:val="21"/>
              </w:rPr>
            </w:pPr>
            <w:r>
              <w:rPr>
                <w:rFonts w:hint="eastAsia" w:ascii="Times New Roman" w:hAnsi="Times New Roman" w:eastAsia="宋体"/>
              </w:rPr>
              <w:t>3、</w:t>
            </w:r>
            <w:r>
              <w:rPr>
                <w:rFonts w:hint="eastAsia" w:ascii="Times New Roman" w:hAnsi="Times New Roman" w:eastAsia="宋体"/>
                <w:szCs w:val="21"/>
              </w:rPr>
              <w:t>“▲”为重要指标项，有</w:t>
            </w:r>
            <w:r>
              <w:rPr>
                <w:rFonts w:ascii="Times New Roman" w:hAnsi="Times New Roman" w:eastAsia="宋体"/>
                <w:szCs w:val="21"/>
                <w:lang w:val="en-US"/>
              </w:rPr>
              <w:t>38</w:t>
            </w:r>
            <w:r>
              <w:rPr>
                <w:rFonts w:hint="eastAsia" w:ascii="Times New Roman" w:hAnsi="Times New Roman" w:eastAsia="宋体"/>
                <w:szCs w:val="21"/>
              </w:rPr>
              <w:t>项，每有一项不满足扣</w:t>
            </w:r>
            <w:r>
              <w:rPr>
                <w:rFonts w:ascii="Times New Roman" w:hAnsi="Times New Roman" w:eastAsia="宋体"/>
                <w:szCs w:val="21"/>
                <w:lang w:val="en-US"/>
              </w:rPr>
              <w:t>0.26</w:t>
            </w:r>
            <w:r>
              <w:rPr>
                <w:rFonts w:hint="eastAsia" w:ascii="Times New Roman" w:hAnsi="Times New Roman" w:eastAsia="宋体"/>
                <w:szCs w:val="21"/>
              </w:rPr>
              <w:t>分，共</w:t>
            </w:r>
            <w:r>
              <w:rPr>
                <w:rFonts w:ascii="Times New Roman" w:hAnsi="Times New Roman" w:eastAsia="宋体"/>
                <w:szCs w:val="21"/>
                <w:lang w:val="en-US"/>
              </w:rPr>
              <w:t>9.88</w:t>
            </w:r>
            <w:r>
              <w:rPr>
                <w:rFonts w:hint="eastAsia" w:ascii="Times New Roman" w:hAnsi="Times New Roman" w:eastAsia="宋体"/>
                <w:szCs w:val="21"/>
              </w:rPr>
              <w:t>分。</w:t>
            </w:r>
          </w:p>
          <w:p>
            <w:pPr>
              <w:tabs>
                <w:tab w:val="left" w:pos="0"/>
              </w:tabs>
              <w:rPr>
                <w:rFonts w:ascii="Times New Roman" w:hAnsi="Times New Roman" w:eastAsia="宋体"/>
                <w:szCs w:val="21"/>
              </w:rPr>
            </w:pPr>
            <w:r>
              <w:rPr>
                <w:rFonts w:hint="eastAsia" w:ascii="Times New Roman" w:hAnsi="Times New Roman" w:eastAsia="宋体"/>
                <w:szCs w:val="21"/>
              </w:rPr>
              <w:t>（注：被发现有虚假投标则投标人的投标将被拒绝）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0" w:type="dxa"/>
            <w:vAlign w:val="center"/>
          </w:tcPr>
          <w:p>
            <w:pPr>
              <w:ind w:right="-105" w:rightChars="-50"/>
              <w:jc w:val="center"/>
              <w:rPr>
                <w:rFonts w:ascii="Times New Roman" w:hAnsi="Times New Roman" w:eastAsia="宋体"/>
                <w:szCs w:val="21"/>
              </w:rPr>
            </w:pPr>
            <w:r>
              <w:rPr>
                <w:rFonts w:hint="eastAsia" w:ascii="Times New Roman" w:hAnsi="Times New Roman" w:eastAsia="宋体"/>
                <w:szCs w:val="21"/>
              </w:rPr>
              <w:t>第3包</w:t>
            </w:r>
            <w:r>
              <w:rPr>
                <w:rFonts w:ascii="Times New Roman" w:hAnsi="Times New Roman" w:eastAsia="宋体"/>
                <w:szCs w:val="21"/>
              </w:rPr>
              <w:t>客观项</w:t>
            </w:r>
          </w:p>
        </w:tc>
        <w:tc>
          <w:tcPr>
            <w:tcW w:w="1307" w:type="dxa"/>
            <w:vAlign w:val="center"/>
          </w:tcPr>
          <w:p>
            <w:pPr>
              <w:rPr>
                <w:rFonts w:ascii="Times New Roman" w:hAnsi="Times New Roman" w:eastAsia="Times New Roman"/>
                <w:szCs w:val="21"/>
              </w:rPr>
            </w:pPr>
            <w:r>
              <w:rPr>
                <w:rFonts w:ascii="Times New Roman" w:hAnsi="Times New Roman" w:eastAsia="Times New Roman"/>
                <w:szCs w:val="21"/>
              </w:rPr>
              <w:t>2</w:t>
            </w:r>
            <w:r>
              <w:rPr>
                <w:rFonts w:ascii="Times New Roman" w:hAnsi="Times New Roman" w:eastAsia="宋体"/>
                <w:szCs w:val="21"/>
              </w:rPr>
              <w:t>.</w:t>
            </w:r>
            <w:r>
              <w:rPr>
                <w:rFonts w:ascii="Times New Roman" w:hAnsi="Times New Roman" w:eastAsia="Times New Roman"/>
                <w:szCs w:val="21"/>
              </w:rPr>
              <w:t>1</w:t>
            </w:r>
            <w:r>
              <w:rPr>
                <w:rFonts w:ascii="Times New Roman" w:hAnsi="Times New Roman" w:eastAsia="宋体"/>
                <w:szCs w:val="21"/>
              </w:rPr>
              <w:t>技术指标响应情况（</w:t>
            </w:r>
            <w:r>
              <w:rPr>
                <w:rFonts w:ascii="Times New Roman" w:hAnsi="Times New Roman" w:eastAsia="Times New Roman"/>
                <w:szCs w:val="21"/>
              </w:rPr>
              <w:t>0</w:t>
            </w:r>
            <w:r>
              <w:rPr>
                <w:rFonts w:ascii="Times New Roman" w:hAnsi="Times New Roman" w:eastAsia="宋体"/>
                <w:szCs w:val="21"/>
              </w:rPr>
              <w:t>-</w:t>
            </w:r>
            <w:r>
              <w:rPr>
                <w:rFonts w:hint="eastAsia" w:ascii="Times New Roman" w:hAnsi="Times New Roman" w:eastAsiaTheme="minorEastAsia"/>
                <w:szCs w:val="21"/>
                <w:lang w:val="en-US"/>
              </w:rPr>
              <w:t>5</w:t>
            </w:r>
            <w:r>
              <w:rPr>
                <w:rFonts w:ascii="Times New Roman" w:hAnsi="Times New Roman" w:eastAsiaTheme="minorEastAsia"/>
                <w:szCs w:val="21"/>
                <w:lang w:val="en-US"/>
              </w:rPr>
              <w:t>2</w:t>
            </w:r>
            <w:r>
              <w:rPr>
                <w:rFonts w:ascii="Times New Roman" w:hAnsi="Times New Roman" w:eastAsia="宋体"/>
                <w:szCs w:val="21"/>
              </w:rPr>
              <w:t>分）</w:t>
            </w:r>
          </w:p>
        </w:tc>
        <w:tc>
          <w:tcPr>
            <w:tcW w:w="6128" w:type="dxa"/>
            <w:vAlign w:val="center"/>
          </w:tcPr>
          <w:p>
            <w:pPr>
              <w:tabs>
                <w:tab w:val="left" w:pos="0"/>
              </w:tabs>
              <w:rPr>
                <w:rFonts w:ascii="Times New Roman" w:hAnsi="Times New Roman" w:eastAsia="宋体"/>
                <w:szCs w:val="21"/>
              </w:rPr>
            </w:pPr>
            <w:r>
              <w:rPr>
                <w:rFonts w:ascii="Times New Roman" w:hAnsi="Times New Roman" w:eastAsia="宋体"/>
                <w:szCs w:val="21"/>
              </w:rPr>
              <w:t>根据投标人提供的</w:t>
            </w:r>
            <w:r>
              <w:rPr>
                <w:rFonts w:hint="eastAsia" w:ascii="Times New Roman" w:hAnsi="Times New Roman" w:eastAsia="宋体"/>
                <w:szCs w:val="21"/>
              </w:rPr>
              <w:t>证明材料</w:t>
            </w:r>
            <w:r>
              <w:rPr>
                <w:rFonts w:ascii="宋体" w:hAnsi="宋体" w:eastAsia="宋体"/>
                <w:szCs w:val="21"/>
              </w:rPr>
              <w:t>，</w:t>
            </w:r>
            <w:r>
              <w:rPr>
                <w:rFonts w:ascii="Times New Roman" w:hAnsi="Times New Roman" w:eastAsia="宋体"/>
                <w:szCs w:val="21"/>
              </w:rPr>
              <w:t>对照招标文件“技术要求”进行响应情况的客观打分</w:t>
            </w:r>
            <w:r>
              <w:rPr>
                <w:rFonts w:hint="eastAsia" w:ascii="Times New Roman" w:hAnsi="Times New Roman" w:eastAsia="宋体"/>
                <w:szCs w:val="21"/>
              </w:rPr>
              <w:t>，以技术规范偏离表及证明材料佐证。</w:t>
            </w:r>
          </w:p>
          <w:p>
            <w:pPr>
              <w:tabs>
                <w:tab w:val="left" w:pos="0"/>
              </w:tabs>
              <w:rPr>
                <w:rFonts w:ascii="Times New Roman" w:hAnsi="Times New Roman" w:eastAsia="宋体"/>
                <w:szCs w:val="21"/>
              </w:rPr>
            </w:pPr>
            <w:r>
              <w:rPr>
                <w:rFonts w:hint="eastAsia" w:ascii="Times New Roman" w:hAnsi="Times New Roman" w:eastAsia="宋体"/>
                <w:szCs w:val="21"/>
                <w:lang w:val="en-US"/>
              </w:rPr>
              <w:t>1、</w:t>
            </w:r>
            <w:r>
              <w:rPr>
                <w:rFonts w:hint="eastAsia" w:ascii="Times New Roman" w:hAnsi="Times New Roman" w:eastAsia="宋体"/>
                <w:szCs w:val="21"/>
              </w:rPr>
              <w:t>满足全部技术</w:t>
            </w:r>
            <w:r>
              <w:rPr>
                <w:rFonts w:hint="eastAsia" w:ascii="Times New Roman" w:hAnsi="Times New Roman" w:eastAsia="宋体"/>
                <w:szCs w:val="21"/>
                <w:lang w:val="en-US"/>
              </w:rPr>
              <w:t>指标最低要求</w:t>
            </w:r>
            <w:r>
              <w:rPr>
                <w:rFonts w:hint="eastAsia" w:ascii="Times New Roman" w:hAnsi="Times New Roman" w:eastAsia="宋体"/>
                <w:szCs w:val="21"/>
              </w:rPr>
              <w:t>的，得5</w:t>
            </w:r>
            <w:r>
              <w:rPr>
                <w:rFonts w:ascii="Times New Roman" w:hAnsi="Times New Roman" w:eastAsia="宋体"/>
                <w:szCs w:val="21"/>
                <w:lang w:val="en-US"/>
              </w:rPr>
              <w:t>2</w:t>
            </w:r>
            <w:r>
              <w:rPr>
                <w:rFonts w:hint="eastAsia" w:ascii="Times New Roman" w:hAnsi="Times New Roman" w:eastAsia="宋体"/>
                <w:szCs w:val="21"/>
              </w:rPr>
              <w:t>分；</w:t>
            </w:r>
          </w:p>
          <w:p>
            <w:pPr>
              <w:tabs>
                <w:tab w:val="left" w:pos="0"/>
              </w:tabs>
            </w:pPr>
            <w:r>
              <w:rPr>
                <w:rFonts w:hint="eastAsia" w:ascii="Times New Roman" w:hAnsi="Times New Roman" w:eastAsia="宋体"/>
                <w:szCs w:val="21"/>
              </w:rPr>
              <w:t>2、</w:t>
            </w:r>
            <w:r>
              <w:rPr>
                <w:rFonts w:ascii="Times New Roman" w:hAnsi="Times New Roman" w:eastAsia="宋体"/>
              </w:rPr>
              <w:t>“</w:t>
            </w:r>
            <w:r>
              <w:rPr>
                <w:rFonts w:ascii="Segoe UI Symbol" w:hAnsi="Segoe UI Symbol" w:eastAsia="宋体" w:cs="Segoe UI Symbol"/>
              </w:rPr>
              <w:t>★</w:t>
            </w:r>
            <w:r>
              <w:rPr>
                <w:rFonts w:ascii="Times New Roman" w:hAnsi="Times New Roman" w:eastAsia="宋体"/>
              </w:rPr>
              <w:t>”代表关键指标</w:t>
            </w:r>
            <w:r>
              <w:rPr>
                <w:rFonts w:hint="eastAsia" w:ascii="Times New Roman" w:hAnsi="Times New Roman" w:eastAsia="宋体"/>
              </w:rPr>
              <w:t>项，</w:t>
            </w:r>
            <w:r>
              <w:rPr>
                <w:rFonts w:hint="eastAsia" w:ascii="Times New Roman" w:hAnsi="Times New Roman" w:eastAsia="宋体"/>
                <w:szCs w:val="21"/>
              </w:rPr>
              <w:t>有</w:t>
            </w:r>
            <w:r>
              <w:rPr>
                <w:rFonts w:hint="eastAsia" w:ascii="Times New Roman" w:hAnsi="Times New Roman" w:eastAsia="宋体"/>
                <w:szCs w:val="21"/>
                <w:lang w:val="en-US"/>
              </w:rPr>
              <w:t>32</w:t>
            </w:r>
            <w:r>
              <w:rPr>
                <w:rFonts w:hint="eastAsia" w:ascii="Times New Roman" w:hAnsi="Times New Roman" w:eastAsia="宋体"/>
                <w:szCs w:val="21"/>
              </w:rPr>
              <w:t>项，每有一项不满足扣</w:t>
            </w:r>
            <w:r>
              <w:rPr>
                <w:rFonts w:hint="eastAsia" w:ascii="Times New Roman" w:hAnsi="Times New Roman" w:eastAsia="宋体"/>
                <w:szCs w:val="21"/>
                <w:lang w:val="en-US" w:eastAsia="zh-CN"/>
              </w:rPr>
              <w:t>0.99</w:t>
            </w:r>
            <w:r>
              <w:rPr>
                <w:rFonts w:hint="eastAsia" w:ascii="Times New Roman" w:hAnsi="Times New Roman" w:eastAsia="宋体"/>
                <w:szCs w:val="21"/>
              </w:rPr>
              <w:t>分，共</w:t>
            </w:r>
            <w:r>
              <w:rPr>
                <w:rFonts w:ascii="Times New Roman" w:hAnsi="Times New Roman" w:eastAsia="宋体"/>
                <w:szCs w:val="21"/>
                <w:lang w:val="en-US"/>
              </w:rPr>
              <w:t>3</w:t>
            </w:r>
            <w:r>
              <w:rPr>
                <w:rFonts w:hint="eastAsia" w:ascii="Times New Roman" w:hAnsi="Times New Roman" w:eastAsia="宋体"/>
                <w:szCs w:val="21"/>
                <w:lang w:val="en-US" w:eastAsia="zh-CN"/>
              </w:rPr>
              <w:t>1.68</w:t>
            </w:r>
            <w:r>
              <w:rPr>
                <w:rFonts w:hint="eastAsia" w:ascii="Times New Roman" w:hAnsi="Times New Roman" w:eastAsia="宋体"/>
                <w:szCs w:val="21"/>
              </w:rPr>
              <w:t>分；</w:t>
            </w:r>
          </w:p>
          <w:p>
            <w:pPr>
              <w:tabs>
                <w:tab w:val="left" w:pos="0"/>
              </w:tabs>
              <w:rPr>
                <w:rFonts w:ascii="Times New Roman" w:hAnsi="Times New Roman" w:eastAsia="宋体"/>
                <w:szCs w:val="21"/>
              </w:rPr>
            </w:pPr>
            <w:r>
              <w:rPr>
                <w:rFonts w:hint="eastAsia" w:ascii="Times New Roman" w:hAnsi="Times New Roman" w:eastAsia="宋体"/>
              </w:rPr>
              <w:t>3、</w:t>
            </w:r>
            <w:r>
              <w:rPr>
                <w:rFonts w:hint="eastAsia" w:ascii="Times New Roman" w:hAnsi="Times New Roman" w:eastAsia="宋体"/>
                <w:szCs w:val="21"/>
              </w:rPr>
              <w:t>“▲”为重要指标项，有</w:t>
            </w:r>
            <w:r>
              <w:rPr>
                <w:rFonts w:hint="eastAsia" w:ascii="Times New Roman" w:hAnsi="Times New Roman" w:eastAsia="宋体"/>
                <w:szCs w:val="21"/>
                <w:lang w:val="en-US"/>
              </w:rPr>
              <w:t>24</w:t>
            </w:r>
            <w:r>
              <w:rPr>
                <w:rFonts w:hint="eastAsia" w:ascii="Times New Roman" w:hAnsi="Times New Roman" w:eastAsia="宋体"/>
                <w:szCs w:val="21"/>
              </w:rPr>
              <w:t>项，每有一项不满足扣</w:t>
            </w:r>
            <w:r>
              <w:rPr>
                <w:rFonts w:hint="eastAsia" w:ascii="Times New Roman" w:hAnsi="Times New Roman" w:eastAsia="宋体"/>
                <w:szCs w:val="21"/>
                <w:lang w:val="en-US"/>
              </w:rPr>
              <w:t>0.</w:t>
            </w:r>
            <w:r>
              <w:rPr>
                <w:rFonts w:hint="eastAsia" w:ascii="Times New Roman" w:hAnsi="Times New Roman" w:eastAsia="宋体"/>
                <w:szCs w:val="21"/>
                <w:lang w:val="en-US" w:eastAsia="zh-CN"/>
              </w:rPr>
              <w:t>52375</w:t>
            </w:r>
            <w:r>
              <w:rPr>
                <w:rFonts w:hint="eastAsia" w:ascii="Times New Roman" w:hAnsi="Times New Roman" w:eastAsia="宋体"/>
                <w:szCs w:val="21"/>
              </w:rPr>
              <w:t>分，共</w:t>
            </w:r>
            <w:r>
              <w:rPr>
                <w:rFonts w:ascii="Times New Roman" w:hAnsi="Times New Roman" w:eastAsia="宋体"/>
                <w:szCs w:val="21"/>
                <w:lang w:val="en-US"/>
              </w:rPr>
              <w:t>1</w:t>
            </w:r>
            <w:r>
              <w:rPr>
                <w:rFonts w:hint="eastAsia" w:ascii="Times New Roman" w:hAnsi="Times New Roman" w:eastAsia="宋体"/>
                <w:szCs w:val="21"/>
                <w:lang w:val="en-US"/>
              </w:rPr>
              <w:t>2.</w:t>
            </w:r>
            <w:r>
              <w:rPr>
                <w:rFonts w:hint="eastAsia" w:ascii="Times New Roman" w:hAnsi="Times New Roman" w:eastAsia="宋体"/>
                <w:szCs w:val="21"/>
                <w:lang w:val="en-US" w:eastAsia="zh-CN"/>
              </w:rPr>
              <w:t>57</w:t>
            </w:r>
            <w:r>
              <w:rPr>
                <w:rFonts w:hint="eastAsia" w:ascii="Times New Roman" w:hAnsi="Times New Roman" w:eastAsia="宋体"/>
                <w:szCs w:val="21"/>
              </w:rPr>
              <w:t>分。</w:t>
            </w:r>
          </w:p>
          <w:p>
            <w:pPr>
              <w:tabs>
                <w:tab w:val="left" w:pos="0"/>
              </w:tabs>
              <w:rPr>
                <w:rFonts w:hint="eastAsia" w:ascii="Times New Roman" w:hAnsi="Times New Roman" w:eastAsia="宋体"/>
                <w:szCs w:val="21"/>
              </w:rPr>
            </w:pPr>
            <w:r>
              <w:rPr>
                <w:rFonts w:ascii="Times New Roman" w:hAnsi="Times New Roman" w:eastAsia="宋体"/>
                <w:szCs w:val="21"/>
                <w:lang w:val="en-US"/>
              </w:rPr>
              <w:t>4</w:t>
            </w:r>
            <w:r>
              <w:rPr>
                <w:rFonts w:hint="eastAsia" w:ascii="Times New Roman" w:hAnsi="Times New Roman" w:eastAsia="宋体"/>
                <w:szCs w:val="21"/>
              </w:rPr>
              <w:t>、无标识项代表一般指标项，有</w:t>
            </w:r>
            <w:r>
              <w:rPr>
                <w:rFonts w:hint="eastAsia" w:ascii="Times New Roman" w:hAnsi="Times New Roman" w:eastAsia="宋体"/>
                <w:szCs w:val="21"/>
                <w:lang w:val="en-US" w:eastAsia="zh-CN"/>
              </w:rPr>
              <w:t>31</w:t>
            </w:r>
            <w:r>
              <w:rPr>
                <w:rFonts w:hint="eastAsia" w:ascii="Times New Roman" w:hAnsi="Times New Roman" w:eastAsia="宋体"/>
                <w:szCs w:val="21"/>
              </w:rPr>
              <w:t>项，每有一项不满足扣</w:t>
            </w:r>
            <w:r>
              <w:rPr>
                <w:rFonts w:hint="eastAsia" w:ascii="Times New Roman" w:hAnsi="Times New Roman" w:eastAsia="宋体"/>
                <w:szCs w:val="21"/>
                <w:lang w:val="en-US"/>
              </w:rPr>
              <w:t>0.2</w:t>
            </w:r>
            <w:r>
              <w:rPr>
                <w:rFonts w:hint="eastAsia" w:ascii="Times New Roman" w:hAnsi="Times New Roman" w:eastAsia="宋体"/>
                <w:szCs w:val="21"/>
                <w:lang w:val="en-US" w:eastAsia="zh-CN"/>
              </w:rPr>
              <w:t>5</w:t>
            </w:r>
            <w:r>
              <w:rPr>
                <w:rFonts w:hint="eastAsia" w:ascii="Times New Roman" w:hAnsi="Times New Roman" w:eastAsia="宋体"/>
                <w:szCs w:val="21"/>
              </w:rPr>
              <w:t>分，共7.</w:t>
            </w:r>
            <w:r>
              <w:rPr>
                <w:rFonts w:hint="eastAsia" w:ascii="Times New Roman" w:hAnsi="Times New Roman" w:eastAsia="宋体"/>
                <w:szCs w:val="21"/>
                <w:lang w:val="en-US" w:eastAsia="zh-CN"/>
              </w:rPr>
              <w:t>75</w:t>
            </w:r>
            <w:r>
              <w:rPr>
                <w:rFonts w:hint="eastAsia" w:ascii="Times New Roman" w:hAnsi="Times New Roman" w:eastAsia="宋体"/>
                <w:szCs w:val="21"/>
              </w:rPr>
              <w:t>分。</w:t>
            </w:r>
          </w:p>
          <w:p>
            <w:pPr>
              <w:tabs>
                <w:tab w:val="left" w:pos="0"/>
              </w:tabs>
              <w:rPr>
                <w:rFonts w:ascii="Times New Roman" w:hAnsi="Times New Roman" w:eastAsia="宋体"/>
                <w:szCs w:val="21"/>
              </w:rPr>
            </w:pPr>
            <w:r>
              <w:rPr>
                <w:rFonts w:hint="eastAsia" w:ascii="Times New Roman" w:hAnsi="Times New Roman" w:eastAsia="宋体"/>
                <w:szCs w:val="21"/>
              </w:rPr>
              <w:t>（注：被发现有虚假投标则投标人的投标将被拒绝）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0" w:type="dxa"/>
            <w:vAlign w:val="center"/>
          </w:tcPr>
          <w:p>
            <w:pPr>
              <w:ind w:right="-105" w:rightChars="-50"/>
              <w:jc w:val="center"/>
              <w:rPr>
                <w:rFonts w:ascii="Times New Roman" w:hAnsi="Times New Roman" w:eastAsia="宋体"/>
                <w:szCs w:val="21"/>
              </w:rPr>
            </w:pPr>
            <w:r>
              <w:rPr>
                <w:rFonts w:hint="eastAsia" w:ascii="Times New Roman" w:hAnsi="Times New Roman" w:eastAsia="宋体"/>
                <w:szCs w:val="21"/>
              </w:rPr>
              <w:t>第4包</w:t>
            </w:r>
            <w:r>
              <w:rPr>
                <w:rFonts w:ascii="Times New Roman" w:hAnsi="Times New Roman" w:eastAsia="宋体"/>
                <w:szCs w:val="21"/>
              </w:rPr>
              <w:t>客观项</w:t>
            </w:r>
          </w:p>
        </w:tc>
        <w:tc>
          <w:tcPr>
            <w:tcW w:w="1307" w:type="dxa"/>
            <w:vAlign w:val="center"/>
          </w:tcPr>
          <w:p>
            <w:pPr>
              <w:rPr>
                <w:rFonts w:ascii="Times New Roman" w:hAnsi="Times New Roman" w:eastAsia="Times New Roman"/>
                <w:szCs w:val="21"/>
              </w:rPr>
            </w:pPr>
            <w:r>
              <w:rPr>
                <w:rFonts w:ascii="Times New Roman" w:hAnsi="Times New Roman" w:eastAsia="Times New Roman"/>
                <w:szCs w:val="21"/>
              </w:rPr>
              <w:t>2</w:t>
            </w:r>
            <w:r>
              <w:rPr>
                <w:rFonts w:ascii="Times New Roman" w:hAnsi="Times New Roman" w:eastAsia="宋体"/>
                <w:szCs w:val="21"/>
              </w:rPr>
              <w:t>.</w:t>
            </w:r>
            <w:r>
              <w:rPr>
                <w:rFonts w:ascii="Times New Roman" w:hAnsi="Times New Roman" w:eastAsia="Times New Roman"/>
                <w:szCs w:val="21"/>
              </w:rPr>
              <w:t>1</w:t>
            </w:r>
            <w:r>
              <w:rPr>
                <w:rFonts w:ascii="Times New Roman" w:hAnsi="Times New Roman" w:eastAsia="宋体"/>
                <w:szCs w:val="21"/>
              </w:rPr>
              <w:t>技术指标响应情况（</w:t>
            </w:r>
            <w:r>
              <w:rPr>
                <w:rFonts w:ascii="Times New Roman" w:hAnsi="Times New Roman" w:eastAsia="Times New Roman"/>
                <w:szCs w:val="21"/>
              </w:rPr>
              <w:t>0</w:t>
            </w:r>
            <w:r>
              <w:rPr>
                <w:rFonts w:ascii="Times New Roman" w:hAnsi="Times New Roman" w:eastAsia="宋体"/>
                <w:szCs w:val="21"/>
              </w:rPr>
              <w:t>-</w:t>
            </w:r>
            <w:r>
              <w:rPr>
                <w:rFonts w:hint="eastAsia" w:ascii="Times New Roman" w:hAnsi="Times New Roman" w:eastAsiaTheme="minorEastAsia"/>
                <w:szCs w:val="21"/>
                <w:lang w:val="en-US"/>
              </w:rPr>
              <w:t>5</w:t>
            </w:r>
            <w:r>
              <w:rPr>
                <w:rFonts w:ascii="Times New Roman" w:hAnsi="Times New Roman" w:eastAsiaTheme="minorEastAsia"/>
                <w:szCs w:val="21"/>
                <w:lang w:val="en-US"/>
              </w:rPr>
              <w:t>2</w:t>
            </w:r>
            <w:r>
              <w:rPr>
                <w:rFonts w:ascii="Times New Roman" w:hAnsi="Times New Roman" w:eastAsia="宋体"/>
                <w:szCs w:val="21"/>
              </w:rPr>
              <w:t>分）</w:t>
            </w:r>
          </w:p>
        </w:tc>
        <w:tc>
          <w:tcPr>
            <w:tcW w:w="6128" w:type="dxa"/>
            <w:vAlign w:val="center"/>
          </w:tcPr>
          <w:p>
            <w:pPr>
              <w:tabs>
                <w:tab w:val="left" w:pos="0"/>
              </w:tabs>
              <w:rPr>
                <w:rFonts w:ascii="Times New Roman" w:hAnsi="Times New Roman" w:eastAsia="宋体"/>
                <w:szCs w:val="21"/>
              </w:rPr>
            </w:pPr>
            <w:r>
              <w:rPr>
                <w:rFonts w:ascii="Times New Roman" w:hAnsi="Times New Roman" w:eastAsia="宋体"/>
                <w:szCs w:val="21"/>
              </w:rPr>
              <w:t>根据投标人提供的</w:t>
            </w:r>
            <w:r>
              <w:rPr>
                <w:rFonts w:hint="eastAsia" w:ascii="Times New Roman" w:hAnsi="Times New Roman" w:eastAsia="宋体"/>
                <w:szCs w:val="21"/>
              </w:rPr>
              <w:t>证明材料</w:t>
            </w:r>
            <w:r>
              <w:rPr>
                <w:rFonts w:ascii="宋体" w:hAnsi="宋体" w:eastAsia="宋体"/>
                <w:szCs w:val="21"/>
              </w:rPr>
              <w:t>，</w:t>
            </w:r>
            <w:r>
              <w:rPr>
                <w:rFonts w:ascii="Times New Roman" w:hAnsi="Times New Roman" w:eastAsia="宋体"/>
                <w:szCs w:val="21"/>
              </w:rPr>
              <w:t>对照招标文件“技术要求”进行响应情况的客观打分</w:t>
            </w:r>
            <w:r>
              <w:rPr>
                <w:rFonts w:hint="eastAsia" w:ascii="Times New Roman" w:hAnsi="Times New Roman" w:eastAsia="宋体"/>
                <w:szCs w:val="21"/>
              </w:rPr>
              <w:t>，以技术规范偏离表及证明材料佐证。</w:t>
            </w:r>
          </w:p>
          <w:p>
            <w:pPr>
              <w:tabs>
                <w:tab w:val="left" w:pos="0"/>
              </w:tabs>
              <w:rPr>
                <w:rFonts w:ascii="Times New Roman" w:hAnsi="Times New Roman" w:eastAsia="宋体"/>
                <w:szCs w:val="21"/>
              </w:rPr>
            </w:pPr>
            <w:r>
              <w:rPr>
                <w:rFonts w:hint="eastAsia" w:ascii="Times New Roman" w:hAnsi="Times New Roman" w:eastAsia="宋体"/>
                <w:szCs w:val="21"/>
                <w:lang w:val="en-US"/>
              </w:rPr>
              <w:t>1、</w:t>
            </w:r>
            <w:r>
              <w:rPr>
                <w:rFonts w:hint="eastAsia" w:ascii="Times New Roman" w:hAnsi="Times New Roman" w:eastAsia="宋体"/>
                <w:szCs w:val="21"/>
              </w:rPr>
              <w:t>满足全部技术</w:t>
            </w:r>
            <w:r>
              <w:rPr>
                <w:rFonts w:hint="eastAsia" w:ascii="Times New Roman" w:hAnsi="Times New Roman" w:eastAsia="宋体"/>
                <w:szCs w:val="21"/>
                <w:lang w:val="en-US"/>
              </w:rPr>
              <w:t>指标最低要求</w:t>
            </w:r>
            <w:r>
              <w:rPr>
                <w:rFonts w:hint="eastAsia" w:ascii="Times New Roman" w:hAnsi="Times New Roman" w:eastAsia="宋体"/>
                <w:szCs w:val="21"/>
              </w:rPr>
              <w:t>的，得5</w:t>
            </w:r>
            <w:r>
              <w:rPr>
                <w:rFonts w:ascii="Times New Roman" w:hAnsi="Times New Roman" w:eastAsia="宋体"/>
                <w:szCs w:val="21"/>
                <w:lang w:val="en-US"/>
              </w:rPr>
              <w:t>2</w:t>
            </w:r>
            <w:r>
              <w:rPr>
                <w:rFonts w:hint="eastAsia" w:ascii="Times New Roman" w:hAnsi="Times New Roman" w:eastAsia="宋体"/>
                <w:szCs w:val="21"/>
              </w:rPr>
              <w:t>分；</w:t>
            </w:r>
          </w:p>
          <w:p>
            <w:pPr>
              <w:tabs>
                <w:tab w:val="left" w:pos="0"/>
              </w:tabs>
            </w:pPr>
            <w:r>
              <w:rPr>
                <w:rFonts w:hint="eastAsia" w:ascii="Times New Roman" w:hAnsi="Times New Roman" w:eastAsia="宋体"/>
                <w:szCs w:val="21"/>
              </w:rPr>
              <w:t>2、</w:t>
            </w:r>
            <w:r>
              <w:rPr>
                <w:rFonts w:ascii="Times New Roman" w:hAnsi="Times New Roman" w:eastAsia="宋体"/>
              </w:rPr>
              <w:t>“</w:t>
            </w:r>
            <w:r>
              <w:rPr>
                <w:rFonts w:ascii="Segoe UI Symbol" w:hAnsi="Segoe UI Symbol" w:eastAsia="宋体" w:cs="Segoe UI Symbol"/>
              </w:rPr>
              <w:t>★</w:t>
            </w:r>
            <w:r>
              <w:rPr>
                <w:rFonts w:ascii="Times New Roman" w:hAnsi="Times New Roman" w:eastAsia="宋体"/>
              </w:rPr>
              <w:t>”代表关键指标</w:t>
            </w:r>
            <w:r>
              <w:rPr>
                <w:rFonts w:hint="eastAsia" w:ascii="Times New Roman" w:hAnsi="Times New Roman" w:eastAsia="宋体"/>
              </w:rPr>
              <w:t>项，</w:t>
            </w:r>
            <w:r>
              <w:rPr>
                <w:rFonts w:hint="eastAsia" w:ascii="Times New Roman" w:hAnsi="Times New Roman" w:eastAsia="宋体"/>
                <w:szCs w:val="21"/>
              </w:rPr>
              <w:t>有</w:t>
            </w:r>
            <w:r>
              <w:rPr>
                <w:rFonts w:ascii="Times New Roman" w:hAnsi="Times New Roman" w:eastAsia="宋体"/>
                <w:szCs w:val="21"/>
                <w:lang w:val="en-US"/>
              </w:rPr>
              <w:t>12</w:t>
            </w:r>
            <w:r>
              <w:rPr>
                <w:rFonts w:hint="eastAsia" w:ascii="Times New Roman" w:hAnsi="Times New Roman" w:eastAsia="宋体"/>
                <w:szCs w:val="21"/>
              </w:rPr>
              <w:t>项，每有一项不满足扣</w:t>
            </w:r>
            <w:r>
              <w:rPr>
                <w:rFonts w:ascii="Times New Roman" w:hAnsi="Times New Roman" w:eastAsia="宋体"/>
                <w:szCs w:val="21"/>
                <w:lang w:val="en-US"/>
              </w:rPr>
              <w:t>2.625</w:t>
            </w:r>
            <w:r>
              <w:rPr>
                <w:rFonts w:hint="eastAsia" w:ascii="Times New Roman" w:hAnsi="Times New Roman" w:eastAsia="宋体"/>
                <w:szCs w:val="21"/>
              </w:rPr>
              <w:t>分，共</w:t>
            </w:r>
            <w:r>
              <w:rPr>
                <w:rFonts w:ascii="Times New Roman" w:hAnsi="Times New Roman" w:eastAsia="宋体"/>
                <w:szCs w:val="21"/>
                <w:lang w:val="en-US"/>
              </w:rPr>
              <w:t>31.5</w:t>
            </w:r>
            <w:r>
              <w:rPr>
                <w:rFonts w:hint="eastAsia" w:ascii="Times New Roman" w:hAnsi="Times New Roman" w:eastAsia="宋体"/>
                <w:szCs w:val="21"/>
              </w:rPr>
              <w:t>分；</w:t>
            </w:r>
          </w:p>
          <w:p>
            <w:pPr>
              <w:tabs>
                <w:tab w:val="left" w:pos="0"/>
              </w:tabs>
            </w:pPr>
            <w:r>
              <w:rPr>
                <w:rFonts w:hint="eastAsia" w:ascii="Times New Roman" w:hAnsi="Times New Roman" w:eastAsia="宋体"/>
              </w:rPr>
              <w:t>3、</w:t>
            </w:r>
            <w:r>
              <w:rPr>
                <w:rFonts w:hint="eastAsia" w:ascii="Times New Roman" w:hAnsi="Times New Roman" w:eastAsia="宋体"/>
                <w:szCs w:val="21"/>
              </w:rPr>
              <w:t>“▲”为重要指标项，有</w:t>
            </w:r>
            <w:r>
              <w:rPr>
                <w:rFonts w:ascii="Times New Roman" w:hAnsi="Times New Roman" w:eastAsia="宋体"/>
                <w:szCs w:val="21"/>
                <w:lang w:val="en-US"/>
              </w:rPr>
              <w:t>19</w:t>
            </w:r>
            <w:r>
              <w:rPr>
                <w:rFonts w:hint="eastAsia" w:ascii="Times New Roman" w:hAnsi="Times New Roman" w:eastAsia="宋体"/>
                <w:szCs w:val="21"/>
              </w:rPr>
              <w:t>项，每有一项不满足扣</w:t>
            </w:r>
            <w:r>
              <w:rPr>
                <w:rFonts w:ascii="Times New Roman" w:hAnsi="Times New Roman" w:eastAsia="宋体"/>
                <w:szCs w:val="21"/>
                <w:lang w:val="en-US"/>
              </w:rPr>
              <w:t>1</w:t>
            </w:r>
            <w:r>
              <w:rPr>
                <w:rFonts w:hint="eastAsia" w:ascii="Times New Roman" w:hAnsi="Times New Roman" w:eastAsia="宋体"/>
                <w:szCs w:val="21"/>
              </w:rPr>
              <w:t>分，共</w:t>
            </w:r>
            <w:r>
              <w:rPr>
                <w:rFonts w:ascii="Times New Roman" w:hAnsi="Times New Roman" w:eastAsia="宋体"/>
                <w:szCs w:val="21"/>
                <w:lang w:val="en-US"/>
              </w:rPr>
              <w:t>19</w:t>
            </w:r>
            <w:r>
              <w:rPr>
                <w:rFonts w:hint="eastAsia" w:ascii="Times New Roman" w:hAnsi="Times New Roman" w:eastAsia="宋体"/>
                <w:szCs w:val="21"/>
              </w:rPr>
              <w:t>分；</w:t>
            </w:r>
          </w:p>
          <w:p>
            <w:pPr>
              <w:tabs>
                <w:tab w:val="left" w:pos="0"/>
              </w:tabs>
              <w:rPr>
                <w:rFonts w:ascii="Times New Roman" w:hAnsi="Times New Roman" w:eastAsia="宋体"/>
                <w:szCs w:val="21"/>
              </w:rPr>
            </w:pPr>
            <w:r>
              <w:rPr>
                <w:rFonts w:ascii="Times New Roman" w:hAnsi="Times New Roman" w:eastAsia="宋体"/>
                <w:szCs w:val="21"/>
                <w:lang w:val="en-US"/>
              </w:rPr>
              <w:t>4</w:t>
            </w:r>
            <w:r>
              <w:rPr>
                <w:rFonts w:hint="eastAsia" w:ascii="Times New Roman" w:hAnsi="Times New Roman" w:eastAsia="宋体"/>
                <w:szCs w:val="21"/>
              </w:rPr>
              <w:t>、无标识项代表一般指标项，有</w:t>
            </w:r>
            <w:r>
              <w:rPr>
                <w:rFonts w:ascii="Times New Roman" w:hAnsi="Times New Roman" w:eastAsia="宋体"/>
                <w:szCs w:val="21"/>
                <w:lang w:val="en-US"/>
              </w:rPr>
              <w:t>3</w:t>
            </w:r>
            <w:r>
              <w:rPr>
                <w:rFonts w:hint="eastAsia" w:ascii="Times New Roman" w:hAnsi="Times New Roman" w:eastAsia="宋体"/>
                <w:szCs w:val="21"/>
              </w:rPr>
              <w:t>项，每有一项不满足扣</w:t>
            </w:r>
            <w:r>
              <w:rPr>
                <w:rFonts w:ascii="Times New Roman" w:hAnsi="Times New Roman" w:eastAsia="宋体"/>
                <w:szCs w:val="21"/>
                <w:lang w:val="en-US"/>
              </w:rPr>
              <w:t>0.5</w:t>
            </w:r>
            <w:r>
              <w:rPr>
                <w:rFonts w:hint="eastAsia" w:ascii="Times New Roman" w:hAnsi="Times New Roman" w:eastAsia="宋体"/>
                <w:szCs w:val="21"/>
              </w:rPr>
              <w:t>分，共</w:t>
            </w:r>
            <w:r>
              <w:rPr>
                <w:rFonts w:ascii="Times New Roman" w:hAnsi="Times New Roman" w:eastAsia="宋体"/>
                <w:szCs w:val="21"/>
                <w:lang w:val="en-US"/>
              </w:rPr>
              <w:t>1.5</w:t>
            </w:r>
            <w:r>
              <w:rPr>
                <w:rFonts w:hint="eastAsia" w:ascii="Times New Roman" w:hAnsi="Times New Roman" w:eastAsia="宋体"/>
                <w:szCs w:val="21"/>
              </w:rPr>
              <w:t>分。</w:t>
            </w:r>
          </w:p>
          <w:p>
            <w:pPr>
              <w:tabs>
                <w:tab w:val="left" w:pos="0"/>
              </w:tabs>
              <w:rPr>
                <w:rFonts w:ascii="Times New Roman" w:hAnsi="Times New Roman" w:eastAsia="宋体"/>
                <w:szCs w:val="21"/>
              </w:rPr>
            </w:pPr>
            <w:r>
              <w:rPr>
                <w:rFonts w:hint="eastAsia" w:ascii="Times New Roman" w:hAnsi="Times New Roman" w:eastAsia="宋体"/>
                <w:szCs w:val="21"/>
              </w:rPr>
              <w:t>（注：被发现有虚假投标则投标人的投标将被拒绝）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0" w:type="dxa"/>
            <w:vAlign w:val="center"/>
          </w:tcPr>
          <w:p>
            <w:pPr>
              <w:ind w:right="-105" w:rightChars="-50"/>
              <w:jc w:val="center"/>
              <w:rPr>
                <w:rFonts w:ascii="Times New Roman" w:hAnsi="Times New Roman" w:eastAsia="宋体"/>
                <w:szCs w:val="21"/>
              </w:rPr>
            </w:pPr>
            <w:r>
              <w:rPr>
                <w:rFonts w:hint="eastAsia" w:ascii="Times New Roman" w:hAnsi="Times New Roman" w:eastAsia="宋体"/>
                <w:szCs w:val="21"/>
              </w:rPr>
              <w:t>第5包</w:t>
            </w:r>
            <w:r>
              <w:rPr>
                <w:rFonts w:ascii="Times New Roman" w:hAnsi="Times New Roman" w:eastAsia="宋体"/>
                <w:szCs w:val="21"/>
              </w:rPr>
              <w:t>客观项</w:t>
            </w:r>
          </w:p>
        </w:tc>
        <w:tc>
          <w:tcPr>
            <w:tcW w:w="1307" w:type="dxa"/>
            <w:vAlign w:val="center"/>
          </w:tcPr>
          <w:p>
            <w:pPr>
              <w:rPr>
                <w:rFonts w:ascii="Times New Roman" w:hAnsi="Times New Roman" w:eastAsia="Times New Roman"/>
                <w:szCs w:val="21"/>
              </w:rPr>
            </w:pPr>
            <w:r>
              <w:rPr>
                <w:rFonts w:ascii="Times New Roman" w:hAnsi="Times New Roman" w:eastAsia="Times New Roman"/>
                <w:szCs w:val="21"/>
              </w:rPr>
              <w:t>2</w:t>
            </w:r>
            <w:r>
              <w:rPr>
                <w:rFonts w:ascii="Times New Roman" w:hAnsi="Times New Roman" w:eastAsia="宋体"/>
                <w:szCs w:val="21"/>
              </w:rPr>
              <w:t>.</w:t>
            </w:r>
            <w:r>
              <w:rPr>
                <w:rFonts w:ascii="Times New Roman" w:hAnsi="Times New Roman" w:eastAsia="Times New Roman"/>
                <w:szCs w:val="21"/>
              </w:rPr>
              <w:t>1</w:t>
            </w:r>
            <w:r>
              <w:rPr>
                <w:rFonts w:ascii="Times New Roman" w:hAnsi="Times New Roman" w:eastAsia="宋体"/>
                <w:szCs w:val="21"/>
              </w:rPr>
              <w:t>技术指标响应情况（</w:t>
            </w:r>
            <w:r>
              <w:rPr>
                <w:rFonts w:ascii="Times New Roman" w:hAnsi="Times New Roman" w:eastAsia="Times New Roman"/>
                <w:szCs w:val="21"/>
              </w:rPr>
              <w:t>0</w:t>
            </w:r>
            <w:r>
              <w:rPr>
                <w:rFonts w:ascii="Times New Roman" w:hAnsi="Times New Roman" w:eastAsia="宋体"/>
                <w:szCs w:val="21"/>
              </w:rPr>
              <w:t>-</w:t>
            </w:r>
            <w:r>
              <w:rPr>
                <w:rFonts w:hint="eastAsia" w:ascii="Times New Roman" w:hAnsi="Times New Roman" w:eastAsiaTheme="minorEastAsia"/>
                <w:szCs w:val="21"/>
                <w:lang w:val="en-US"/>
              </w:rPr>
              <w:t>5</w:t>
            </w:r>
            <w:r>
              <w:rPr>
                <w:rFonts w:ascii="Times New Roman" w:hAnsi="Times New Roman" w:eastAsiaTheme="minorEastAsia"/>
                <w:szCs w:val="21"/>
                <w:lang w:val="en-US"/>
              </w:rPr>
              <w:t>2</w:t>
            </w:r>
            <w:r>
              <w:rPr>
                <w:rFonts w:ascii="Times New Roman" w:hAnsi="Times New Roman" w:eastAsia="宋体"/>
                <w:szCs w:val="21"/>
              </w:rPr>
              <w:t>分）</w:t>
            </w:r>
          </w:p>
        </w:tc>
        <w:tc>
          <w:tcPr>
            <w:tcW w:w="6128" w:type="dxa"/>
            <w:vAlign w:val="center"/>
          </w:tcPr>
          <w:p>
            <w:pPr>
              <w:tabs>
                <w:tab w:val="left" w:pos="0"/>
              </w:tabs>
              <w:rPr>
                <w:rFonts w:ascii="Times New Roman" w:hAnsi="Times New Roman" w:eastAsia="宋体"/>
                <w:szCs w:val="21"/>
              </w:rPr>
            </w:pPr>
            <w:r>
              <w:rPr>
                <w:rFonts w:ascii="Times New Roman" w:hAnsi="Times New Roman" w:eastAsia="宋体"/>
                <w:szCs w:val="21"/>
              </w:rPr>
              <w:t>根据投标人提供的</w:t>
            </w:r>
            <w:r>
              <w:rPr>
                <w:rFonts w:hint="eastAsia" w:ascii="Times New Roman" w:hAnsi="Times New Roman" w:eastAsia="宋体"/>
                <w:szCs w:val="21"/>
              </w:rPr>
              <w:t>证明材料</w:t>
            </w:r>
            <w:r>
              <w:rPr>
                <w:rFonts w:ascii="宋体" w:hAnsi="宋体" w:eastAsia="宋体"/>
                <w:szCs w:val="21"/>
              </w:rPr>
              <w:t>，</w:t>
            </w:r>
            <w:r>
              <w:rPr>
                <w:rFonts w:ascii="Times New Roman" w:hAnsi="Times New Roman" w:eastAsia="宋体"/>
                <w:szCs w:val="21"/>
              </w:rPr>
              <w:t>对照招标文件“技术要求”进行响应情况的客观打分</w:t>
            </w:r>
            <w:r>
              <w:rPr>
                <w:rFonts w:hint="eastAsia" w:ascii="Times New Roman" w:hAnsi="Times New Roman" w:eastAsia="宋体"/>
                <w:szCs w:val="21"/>
              </w:rPr>
              <w:t>，以技术规范偏离表及证明材料佐证。</w:t>
            </w:r>
          </w:p>
          <w:p>
            <w:pPr>
              <w:tabs>
                <w:tab w:val="left" w:pos="0"/>
              </w:tabs>
              <w:rPr>
                <w:rFonts w:ascii="Times New Roman" w:hAnsi="Times New Roman" w:eastAsia="宋体"/>
                <w:szCs w:val="21"/>
              </w:rPr>
            </w:pPr>
            <w:r>
              <w:rPr>
                <w:rFonts w:hint="eastAsia" w:ascii="Times New Roman" w:hAnsi="Times New Roman" w:eastAsia="宋体"/>
                <w:szCs w:val="21"/>
                <w:lang w:val="en-US"/>
              </w:rPr>
              <w:t>1、</w:t>
            </w:r>
            <w:r>
              <w:rPr>
                <w:rFonts w:hint="eastAsia" w:ascii="Times New Roman" w:hAnsi="Times New Roman" w:eastAsia="宋体"/>
                <w:szCs w:val="21"/>
              </w:rPr>
              <w:t>满足全部技术</w:t>
            </w:r>
            <w:r>
              <w:rPr>
                <w:rFonts w:hint="eastAsia" w:ascii="Times New Roman" w:hAnsi="Times New Roman" w:eastAsia="宋体"/>
                <w:szCs w:val="21"/>
                <w:lang w:val="en-US"/>
              </w:rPr>
              <w:t>指标最低要求</w:t>
            </w:r>
            <w:r>
              <w:rPr>
                <w:rFonts w:hint="eastAsia" w:ascii="Times New Roman" w:hAnsi="Times New Roman" w:eastAsia="宋体"/>
                <w:szCs w:val="21"/>
              </w:rPr>
              <w:t>的，得5</w:t>
            </w:r>
            <w:r>
              <w:rPr>
                <w:rFonts w:ascii="Times New Roman" w:hAnsi="Times New Roman" w:eastAsia="宋体"/>
                <w:szCs w:val="21"/>
                <w:lang w:val="en-US"/>
              </w:rPr>
              <w:t>2</w:t>
            </w:r>
            <w:r>
              <w:rPr>
                <w:rFonts w:hint="eastAsia" w:ascii="Times New Roman" w:hAnsi="Times New Roman" w:eastAsia="宋体"/>
                <w:szCs w:val="21"/>
              </w:rPr>
              <w:t>分；</w:t>
            </w:r>
          </w:p>
          <w:p>
            <w:pPr>
              <w:tabs>
                <w:tab w:val="left" w:pos="0"/>
              </w:tabs>
              <w:rPr>
                <w:highlight w:val="none"/>
              </w:rPr>
            </w:pPr>
            <w:r>
              <w:rPr>
                <w:rFonts w:hint="eastAsia" w:ascii="Times New Roman" w:hAnsi="Times New Roman" w:eastAsia="宋体"/>
                <w:szCs w:val="21"/>
                <w:highlight w:val="none"/>
              </w:rPr>
              <w:t>2、</w:t>
            </w:r>
            <w:r>
              <w:rPr>
                <w:rFonts w:ascii="Times New Roman" w:hAnsi="Times New Roman" w:eastAsia="宋体"/>
                <w:highlight w:val="none"/>
              </w:rPr>
              <w:t>“</w:t>
            </w:r>
            <w:r>
              <w:rPr>
                <w:rFonts w:ascii="Segoe UI Symbol" w:hAnsi="Segoe UI Symbol" w:eastAsia="宋体" w:cs="Segoe UI Symbol"/>
                <w:highlight w:val="none"/>
              </w:rPr>
              <w:t>★</w:t>
            </w:r>
            <w:r>
              <w:rPr>
                <w:rFonts w:ascii="Times New Roman" w:hAnsi="Times New Roman" w:eastAsia="宋体"/>
                <w:highlight w:val="none"/>
              </w:rPr>
              <w:t>”代表关键指标</w:t>
            </w:r>
            <w:r>
              <w:rPr>
                <w:rFonts w:hint="eastAsia" w:ascii="Times New Roman" w:hAnsi="Times New Roman" w:eastAsia="宋体"/>
                <w:highlight w:val="none"/>
              </w:rPr>
              <w:t>项，</w:t>
            </w:r>
            <w:r>
              <w:rPr>
                <w:rFonts w:hint="eastAsia" w:ascii="Times New Roman" w:hAnsi="Times New Roman" w:eastAsia="宋体"/>
                <w:szCs w:val="21"/>
                <w:highlight w:val="none"/>
              </w:rPr>
              <w:t>有</w:t>
            </w:r>
            <w:r>
              <w:rPr>
                <w:rFonts w:ascii="Times New Roman" w:hAnsi="Times New Roman" w:eastAsia="宋体"/>
                <w:szCs w:val="21"/>
                <w:highlight w:val="none"/>
                <w:lang w:val="en-US"/>
              </w:rPr>
              <w:t>9</w:t>
            </w:r>
            <w:r>
              <w:rPr>
                <w:rFonts w:hint="eastAsia" w:ascii="Times New Roman" w:hAnsi="Times New Roman" w:eastAsia="宋体"/>
                <w:szCs w:val="21"/>
                <w:highlight w:val="none"/>
              </w:rPr>
              <w:t>项，每有一项不满足扣</w:t>
            </w:r>
            <w:r>
              <w:rPr>
                <w:rFonts w:hint="eastAsia" w:ascii="Times New Roman" w:hAnsi="Times New Roman" w:eastAsia="宋体"/>
                <w:szCs w:val="21"/>
                <w:highlight w:val="none"/>
                <w:lang w:val="en-US" w:eastAsia="zh-CN"/>
              </w:rPr>
              <w:t>3</w:t>
            </w:r>
            <w:r>
              <w:rPr>
                <w:rFonts w:hint="eastAsia" w:ascii="Times New Roman" w:hAnsi="Times New Roman" w:eastAsia="宋体"/>
                <w:szCs w:val="21"/>
                <w:highlight w:val="none"/>
              </w:rPr>
              <w:t>分，共</w:t>
            </w:r>
            <w:r>
              <w:rPr>
                <w:rFonts w:hint="eastAsia" w:ascii="Times New Roman" w:hAnsi="Times New Roman" w:eastAsia="宋体"/>
                <w:szCs w:val="21"/>
                <w:highlight w:val="none"/>
                <w:lang w:val="en-US" w:eastAsia="zh-CN"/>
              </w:rPr>
              <w:t>27</w:t>
            </w:r>
            <w:r>
              <w:rPr>
                <w:rFonts w:hint="eastAsia" w:ascii="Times New Roman" w:hAnsi="Times New Roman" w:eastAsia="宋体"/>
                <w:szCs w:val="21"/>
                <w:highlight w:val="none"/>
              </w:rPr>
              <w:t>分；</w:t>
            </w:r>
          </w:p>
          <w:p>
            <w:pPr>
              <w:tabs>
                <w:tab w:val="left" w:pos="0"/>
              </w:tabs>
              <w:rPr>
                <w:highlight w:val="none"/>
              </w:rPr>
            </w:pPr>
            <w:r>
              <w:rPr>
                <w:rFonts w:hint="eastAsia" w:ascii="Times New Roman" w:hAnsi="Times New Roman" w:eastAsia="宋体"/>
                <w:highlight w:val="none"/>
              </w:rPr>
              <w:t>3、</w:t>
            </w:r>
            <w:r>
              <w:rPr>
                <w:rFonts w:hint="eastAsia" w:ascii="Times New Roman" w:hAnsi="Times New Roman" w:eastAsia="宋体"/>
                <w:szCs w:val="21"/>
                <w:highlight w:val="none"/>
              </w:rPr>
              <w:t>“▲”为重要指标项，有</w:t>
            </w:r>
            <w:r>
              <w:rPr>
                <w:rFonts w:hint="eastAsia" w:ascii="Times New Roman" w:hAnsi="Times New Roman" w:eastAsia="宋体"/>
                <w:szCs w:val="21"/>
                <w:highlight w:val="none"/>
                <w:lang w:val="en-US" w:eastAsia="zh-CN"/>
              </w:rPr>
              <w:t>8</w:t>
            </w:r>
            <w:r>
              <w:rPr>
                <w:rFonts w:hint="eastAsia" w:ascii="Times New Roman" w:hAnsi="Times New Roman" w:eastAsia="宋体"/>
                <w:szCs w:val="21"/>
                <w:highlight w:val="none"/>
              </w:rPr>
              <w:t>项，每有一项不满足扣</w:t>
            </w:r>
            <w:r>
              <w:rPr>
                <w:rFonts w:hint="eastAsia" w:ascii="Times New Roman" w:hAnsi="Times New Roman" w:eastAsia="宋体"/>
                <w:szCs w:val="21"/>
                <w:highlight w:val="none"/>
                <w:lang w:val="en-US" w:eastAsia="zh-CN"/>
              </w:rPr>
              <w:t>2</w:t>
            </w:r>
            <w:r>
              <w:rPr>
                <w:rFonts w:hint="eastAsia" w:ascii="Times New Roman" w:hAnsi="Times New Roman" w:eastAsia="宋体"/>
                <w:szCs w:val="21"/>
                <w:highlight w:val="none"/>
              </w:rPr>
              <w:t>分，共</w:t>
            </w:r>
            <w:r>
              <w:rPr>
                <w:rFonts w:hint="eastAsia" w:ascii="Times New Roman" w:hAnsi="Times New Roman" w:eastAsia="宋体"/>
                <w:szCs w:val="21"/>
                <w:highlight w:val="none"/>
                <w:lang w:val="en-US" w:eastAsia="zh-CN"/>
              </w:rPr>
              <w:t>16</w:t>
            </w:r>
            <w:r>
              <w:rPr>
                <w:rFonts w:hint="eastAsia" w:ascii="Times New Roman" w:hAnsi="Times New Roman" w:eastAsia="宋体"/>
                <w:szCs w:val="21"/>
                <w:highlight w:val="none"/>
              </w:rPr>
              <w:t>分；</w:t>
            </w:r>
          </w:p>
          <w:p>
            <w:pPr>
              <w:tabs>
                <w:tab w:val="left" w:pos="0"/>
              </w:tabs>
              <w:rPr>
                <w:rFonts w:ascii="Times New Roman" w:hAnsi="Times New Roman" w:eastAsia="宋体"/>
                <w:szCs w:val="21"/>
                <w:highlight w:val="none"/>
              </w:rPr>
            </w:pPr>
            <w:r>
              <w:rPr>
                <w:rFonts w:ascii="Times New Roman" w:hAnsi="Times New Roman" w:eastAsia="宋体"/>
                <w:szCs w:val="21"/>
                <w:highlight w:val="none"/>
                <w:lang w:val="en-US"/>
              </w:rPr>
              <w:t>4</w:t>
            </w:r>
            <w:r>
              <w:rPr>
                <w:rFonts w:hint="eastAsia" w:ascii="Times New Roman" w:hAnsi="Times New Roman" w:eastAsia="宋体"/>
                <w:szCs w:val="21"/>
                <w:highlight w:val="none"/>
              </w:rPr>
              <w:t>、无标识项代表一般指标项，有</w:t>
            </w:r>
            <w:r>
              <w:rPr>
                <w:rFonts w:hint="eastAsia" w:ascii="Times New Roman" w:hAnsi="Times New Roman" w:eastAsia="宋体"/>
                <w:szCs w:val="21"/>
                <w:highlight w:val="none"/>
                <w:lang w:val="en-US" w:eastAsia="zh-CN"/>
              </w:rPr>
              <w:t>9</w:t>
            </w:r>
            <w:r>
              <w:rPr>
                <w:rFonts w:hint="eastAsia" w:ascii="Times New Roman" w:hAnsi="Times New Roman" w:eastAsia="宋体"/>
                <w:szCs w:val="21"/>
                <w:highlight w:val="none"/>
              </w:rPr>
              <w:t>项，每有一项不满足扣</w:t>
            </w:r>
            <w:r>
              <w:rPr>
                <w:rFonts w:hint="eastAsia" w:ascii="Times New Roman" w:hAnsi="Times New Roman" w:eastAsia="宋体"/>
                <w:szCs w:val="21"/>
                <w:highlight w:val="none"/>
                <w:lang w:val="en-US" w:eastAsia="zh-CN"/>
              </w:rPr>
              <w:t>1</w:t>
            </w:r>
            <w:r>
              <w:rPr>
                <w:rFonts w:hint="eastAsia" w:ascii="Times New Roman" w:hAnsi="Times New Roman" w:eastAsia="宋体"/>
                <w:szCs w:val="21"/>
                <w:highlight w:val="none"/>
              </w:rPr>
              <w:t>分，共</w:t>
            </w:r>
            <w:r>
              <w:rPr>
                <w:rFonts w:hint="eastAsia" w:ascii="Times New Roman" w:hAnsi="Times New Roman" w:eastAsia="宋体"/>
                <w:szCs w:val="21"/>
                <w:highlight w:val="none"/>
                <w:lang w:val="en-US" w:eastAsia="zh-CN"/>
              </w:rPr>
              <w:t>9</w:t>
            </w:r>
            <w:r>
              <w:rPr>
                <w:rFonts w:hint="eastAsia" w:ascii="Times New Roman" w:hAnsi="Times New Roman" w:eastAsia="宋体"/>
                <w:szCs w:val="21"/>
                <w:highlight w:val="none"/>
              </w:rPr>
              <w:t>分。</w:t>
            </w:r>
          </w:p>
          <w:p>
            <w:pPr>
              <w:tabs>
                <w:tab w:val="left" w:pos="0"/>
              </w:tabs>
              <w:rPr>
                <w:rFonts w:ascii="Times New Roman" w:hAnsi="Times New Roman" w:eastAsia="宋体"/>
                <w:szCs w:val="21"/>
              </w:rPr>
            </w:pPr>
            <w:r>
              <w:rPr>
                <w:rFonts w:hint="eastAsia" w:ascii="Times New Roman" w:hAnsi="Times New Roman" w:eastAsia="宋体"/>
                <w:szCs w:val="21"/>
              </w:rPr>
              <w:t>（注：被发现有虚假投标则投标人的投标将被拒绝）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0" w:type="dxa"/>
            <w:vAlign w:val="center"/>
          </w:tcPr>
          <w:p>
            <w:pPr>
              <w:ind w:right="-105" w:rightChars="-50"/>
              <w:jc w:val="center"/>
              <w:rPr>
                <w:rFonts w:ascii="Times New Roman" w:hAnsi="Times New Roman" w:eastAsia="宋体"/>
                <w:szCs w:val="21"/>
              </w:rPr>
            </w:pPr>
            <w:r>
              <w:rPr>
                <w:rFonts w:hint="eastAsia" w:ascii="Times New Roman" w:hAnsi="Times New Roman" w:eastAsia="宋体"/>
                <w:szCs w:val="21"/>
              </w:rPr>
              <w:t>第6包</w:t>
            </w:r>
            <w:r>
              <w:rPr>
                <w:rFonts w:ascii="Times New Roman" w:hAnsi="Times New Roman" w:eastAsia="宋体"/>
                <w:szCs w:val="21"/>
              </w:rPr>
              <w:t>客观项</w:t>
            </w:r>
          </w:p>
        </w:tc>
        <w:tc>
          <w:tcPr>
            <w:tcW w:w="1307" w:type="dxa"/>
            <w:vAlign w:val="center"/>
          </w:tcPr>
          <w:p>
            <w:pPr>
              <w:rPr>
                <w:rFonts w:ascii="Times New Roman" w:hAnsi="Times New Roman" w:eastAsia="Times New Roman"/>
                <w:szCs w:val="21"/>
              </w:rPr>
            </w:pPr>
            <w:r>
              <w:rPr>
                <w:rFonts w:ascii="Times New Roman" w:hAnsi="Times New Roman" w:eastAsia="Times New Roman"/>
                <w:szCs w:val="21"/>
              </w:rPr>
              <w:t>2</w:t>
            </w:r>
            <w:r>
              <w:rPr>
                <w:rFonts w:ascii="Times New Roman" w:hAnsi="Times New Roman" w:eastAsia="宋体"/>
                <w:szCs w:val="21"/>
              </w:rPr>
              <w:t>.</w:t>
            </w:r>
            <w:r>
              <w:rPr>
                <w:rFonts w:ascii="Times New Roman" w:hAnsi="Times New Roman" w:eastAsia="Times New Roman"/>
                <w:szCs w:val="21"/>
              </w:rPr>
              <w:t>1</w:t>
            </w:r>
            <w:r>
              <w:rPr>
                <w:rFonts w:ascii="Times New Roman" w:hAnsi="Times New Roman" w:eastAsia="宋体"/>
                <w:szCs w:val="21"/>
              </w:rPr>
              <w:t>技术指标响应情况（</w:t>
            </w:r>
            <w:r>
              <w:rPr>
                <w:rFonts w:ascii="Times New Roman" w:hAnsi="Times New Roman" w:eastAsia="Times New Roman"/>
                <w:szCs w:val="21"/>
              </w:rPr>
              <w:t>0</w:t>
            </w:r>
            <w:r>
              <w:rPr>
                <w:rFonts w:ascii="Times New Roman" w:hAnsi="Times New Roman" w:eastAsia="宋体"/>
                <w:szCs w:val="21"/>
              </w:rPr>
              <w:t>-</w:t>
            </w:r>
            <w:r>
              <w:rPr>
                <w:rFonts w:hint="eastAsia" w:ascii="Times New Roman" w:hAnsi="Times New Roman" w:eastAsiaTheme="minorEastAsia"/>
                <w:szCs w:val="21"/>
                <w:lang w:val="en-US"/>
              </w:rPr>
              <w:t>5</w:t>
            </w:r>
            <w:r>
              <w:rPr>
                <w:rFonts w:ascii="Times New Roman" w:hAnsi="Times New Roman" w:eastAsiaTheme="minorEastAsia"/>
                <w:szCs w:val="21"/>
                <w:lang w:val="en-US"/>
              </w:rPr>
              <w:t>2</w:t>
            </w:r>
            <w:r>
              <w:rPr>
                <w:rFonts w:ascii="Times New Roman" w:hAnsi="Times New Roman" w:eastAsia="宋体"/>
                <w:szCs w:val="21"/>
              </w:rPr>
              <w:t>分）</w:t>
            </w:r>
          </w:p>
        </w:tc>
        <w:tc>
          <w:tcPr>
            <w:tcW w:w="6128" w:type="dxa"/>
            <w:vAlign w:val="center"/>
          </w:tcPr>
          <w:p>
            <w:pPr>
              <w:tabs>
                <w:tab w:val="left" w:pos="0"/>
              </w:tabs>
              <w:rPr>
                <w:rFonts w:ascii="Times New Roman" w:hAnsi="Times New Roman" w:eastAsia="宋体"/>
                <w:szCs w:val="21"/>
              </w:rPr>
            </w:pPr>
            <w:r>
              <w:rPr>
                <w:rFonts w:ascii="Times New Roman" w:hAnsi="Times New Roman" w:eastAsia="宋体"/>
                <w:szCs w:val="21"/>
              </w:rPr>
              <w:t>根据投标人提供的</w:t>
            </w:r>
            <w:r>
              <w:rPr>
                <w:rFonts w:hint="eastAsia" w:ascii="Times New Roman" w:hAnsi="Times New Roman" w:eastAsia="宋体"/>
                <w:szCs w:val="21"/>
              </w:rPr>
              <w:t>证明材料</w:t>
            </w:r>
            <w:r>
              <w:rPr>
                <w:rFonts w:ascii="宋体" w:hAnsi="宋体" w:eastAsia="宋体"/>
                <w:szCs w:val="21"/>
              </w:rPr>
              <w:t>，</w:t>
            </w:r>
            <w:r>
              <w:rPr>
                <w:rFonts w:ascii="Times New Roman" w:hAnsi="Times New Roman" w:eastAsia="宋体"/>
                <w:szCs w:val="21"/>
              </w:rPr>
              <w:t>对照招标文件“技术要求”进行响应情况的客观打分</w:t>
            </w:r>
            <w:r>
              <w:rPr>
                <w:rFonts w:hint="eastAsia" w:ascii="Times New Roman" w:hAnsi="Times New Roman" w:eastAsia="宋体"/>
                <w:szCs w:val="21"/>
              </w:rPr>
              <w:t>，以技术规范偏离表及证明材料佐证。</w:t>
            </w:r>
          </w:p>
          <w:p>
            <w:pPr>
              <w:tabs>
                <w:tab w:val="left" w:pos="0"/>
              </w:tabs>
              <w:rPr>
                <w:rFonts w:ascii="Times New Roman" w:hAnsi="Times New Roman" w:eastAsia="宋体"/>
                <w:szCs w:val="21"/>
              </w:rPr>
            </w:pPr>
            <w:r>
              <w:rPr>
                <w:rFonts w:hint="eastAsia" w:ascii="Times New Roman" w:hAnsi="Times New Roman" w:eastAsia="宋体"/>
                <w:szCs w:val="21"/>
                <w:lang w:val="en-US"/>
              </w:rPr>
              <w:t>1、</w:t>
            </w:r>
            <w:r>
              <w:rPr>
                <w:rFonts w:hint="eastAsia" w:ascii="Times New Roman" w:hAnsi="Times New Roman" w:eastAsia="宋体"/>
                <w:szCs w:val="21"/>
              </w:rPr>
              <w:t>满足全部技术</w:t>
            </w:r>
            <w:r>
              <w:rPr>
                <w:rFonts w:hint="eastAsia" w:ascii="Times New Roman" w:hAnsi="Times New Roman" w:eastAsia="宋体"/>
                <w:szCs w:val="21"/>
                <w:lang w:val="en-US"/>
              </w:rPr>
              <w:t>指标最低要求</w:t>
            </w:r>
            <w:r>
              <w:rPr>
                <w:rFonts w:hint="eastAsia" w:ascii="Times New Roman" w:hAnsi="Times New Roman" w:eastAsia="宋体"/>
                <w:szCs w:val="21"/>
              </w:rPr>
              <w:t>的，得5</w:t>
            </w:r>
            <w:r>
              <w:rPr>
                <w:rFonts w:ascii="Times New Roman" w:hAnsi="Times New Roman" w:eastAsia="宋体"/>
                <w:szCs w:val="21"/>
                <w:lang w:val="en-US"/>
              </w:rPr>
              <w:t>2</w:t>
            </w:r>
            <w:r>
              <w:rPr>
                <w:rFonts w:hint="eastAsia" w:ascii="Times New Roman" w:hAnsi="Times New Roman" w:eastAsia="宋体"/>
                <w:szCs w:val="21"/>
              </w:rPr>
              <w:t>分；</w:t>
            </w:r>
          </w:p>
          <w:p>
            <w:pPr>
              <w:tabs>
                <w:tab w:val="left" w:pos="0"/>
              </w:tabs>
            </w:pPr>
            <w:r>
              <w:rPr>
                <w:rFonts w:hint="eastAsia" w:ascii="Times New Roman" w:hAnsi="Times New Roman" w:eastAsia="宋体"/>
                <w:szCs w:val="21"/>
              </w:rPr>
              <w:t>2、</w:t>
            </w:r>
            <w:r>
              <w:rPr>
                <w:rFonts w:ascii="Times New Roman" w:hAnsi="Times New Roman" w:eastAsia="宋体"/>
              </w:rPr>
              <w:t>“</w:t>
            </w:r>
            <w:r>
              <w:rPr>
                <w:rFonts w:ascii="Segoe UI Symbol" w:hAnsi="Segoe UI Symbol" w:eastAsia="宋体" w:cs="Segoe UI Symbol"/>
              </w:rPr>
              <w:t>★</w:t>
            </w:r>
            <w:r>
              <w:rPr>
                <w:rFonts w:ascii="Times New Roman" w:hAnsi="Times New Roman" w:eastAsia="宋体"/>
              </w:rPr>
              <w:t>”代表关键指标</w:t>
            </w:r>
            <w:r>
              <w:rPr>
                <w:rFonts w:hint="eastAsia" w:ascii="Times New Roman" w:hAnsi="Times New Roman" w:eastAsia="宋体"/>
              </w:rPr>
              <w:t>项，</w:t>
            </w:r>
            <w:r>
              <w:rPr>
                <w:rFonts w:hint="eastAsia" w:ascii="Times New Roman" w:hAnsi="Times New Roman" w:eastAsia="宋体"/>
                <w:szCs w:val="21"/>
              </w:rPr>
              <w:t>有</w:t>
            </w:r>
            <w:r>
              <w:rPr>
                <w:rFonts w:ascii="Times New Roman" w:hAnsi="Times New Roman" w:eastAsia="宋体"/>
                <w:szCs w:val="21"/>
                <w:lang w:val="en-US"/>
              </w:rPr>
              <w:t>7</w:t>
            </w:r>
            <w:r>
              <w:rPr>
                <w:rFonts w:hint="eastAsia" w:ascii="Times New Roman" w:hAnsi="Times New Roman" w:eastAsia="宋体"/>
                <w:szCs w:val="21"/>
              </w:rPr>
              <w:t>项，每有一项不满足扣</w:t>
            </w:r>
            <w:r>
              <w:rPr>
                <w:rFonts w:ascii="Times New Roman" w:hAnsi="Times New Roman" w:eastAsia="宋体"/>
                <w:szCs w:val="21"/>
                <w:lang w:val="en-US"/>
              </w:rPr>
              <w:t>2.5</w:t>
            </w:r>
            <w:r>
              <w:rPr>
                <w:rFonts w:hint="eastAsia" w:ascii="Times New Roman" w:hAnsi="Times New Roman" w:eastAsia="宋体"/>
                <w:szCs w:val="21"/>
              </w:rPr>
              <w:t>分，共</w:t>
            </w:r>
            <w:r>
              <w:rPr>
                <w:rFonts w:ascii="Times New Roman" w:hAnsi="Times New Roman" w:eastAsia="宋体"/>
                <w:szCs w:val="21"/>
                <w:lang w:val="en-US"/>
              </w:rPr>
              <w:t>17.5</w:t>
            </w:r>
            <w:r>
              <w:rPr>
                <w:rFonts w:hint="eastAsia" w:ascii="Times New Roman" w:hAnsi="Times New Roman" w:eastAsia="宋体"/>
                <w:szCs w:val="21"/>
              </w:rPr>
              <w:t>分；</w:t>
            </w:r>
          </w:p>
          <w:p>
            <w:pPr>
              <w:tabs>
                <w:tab w:val="left" w:pos="0"/>
              </w:tabs>
            </w:pPr>
            <w:r>
              <w:rPr>
                <w:rFonts w:hint="eastAsia" w:ascii="Times New Roman" w:hAnsi="Times New Roman" w:eastAsia="宋体"/>
              </w:rPr>
              <w:t>3、</w:t>
            </w:r>
            <w:r>
              <w:rPr>
                <w:rFonts w:hint="eastAsia" w:ascii="Times New Roman" w:hAnsi="Times New Roman" w:eastAsia="宋体"/>
                <w:szCs w:val="21"/>
              </w:rPr>
              <w:t>“▲”为重要指标项，有</w:t>
            </w:r>
            <w:r>
              <w:rPr>
                <w:rFonts w:ascii="Times New Roman" w:hAnsi="Times New Roman" w:eastAsia="宋体"/>
                <w:szCs w:val="21"/>
                <w:lang w:val="en-US"/>
              </w:rPr>
              <w:t>6</w:t>
            </w:r>
            <w:r>
              <w:rPr>
                <w:rFonts w:hint="eastAsia" w:ascii="Times New Roman" w:hAnsi="Times New Roman" w:eastAsia="宋体"/>
                <w:szCs w:val="21"/>
              </w:rPr>
              <w:t>项，每有一项不满足扣</w:t>
            </w:r>
            <w:r>
              <w:rPr>
                <w:rFonts w:ascii="Times New Roman" w:hAnsi="Times New Roman" w:eastAsia="宋体"/>
                <w:szCs w:val="21"/>
                <w:lang w:val="en-US"/>
              </w:rPr>
              <w:t>2</w:t>
            </w:r>
            <w:r>
              <w:rPr>
                <w:rFonts w:hint="eastAsia" w:ascii="Times New Roman" w:hAnsi="Times New Roman" w:eastAsia="宋体"/>
                <w:szCs w:val="21"/>
              </w:rPr>
              <w:t>分，共</w:t>
            </w:r>
            <w:r>
              <w:rPr>
                <w:rFonts w:ascii="Times New Roman" w:hAnsi="Times New Roman" w:eastAsia="宋体"/>
                <w:szCs w:val="21"/>
              </w:rPr>
              <w:t>12</w:t>
            </w:r>
            <w:r>
              <w:rPr>
                <w:rFonts w:hint="eastAsia" w:ascii="Times New Roman" w:hAnsi="Times New Roman" w:eastAsia="宋体"/>
                <w:szCs w:val="21"/>
              </w:rPr>
              <w:t>分；</w:t>
            </w:r>
          </w:p>
          <w:p>
            <w:pPr>
              <w:tabs>
                <w:tab w:val="left" w:pos="0"/>
              </w:tabs>
              <w:rPr>
                <w:rFonts w:ascii="Times New Roman" w:hAnsi="Times New Roman" w:eastAsia="宋体"/>
                <w:szCs w:val="21"/>
              </w:rPr>
            </w:pPr>
            <w:r>
              <w:rPr>
                <w:rFonts w:ascii="Times New Roman" w:hAnsi="Times New Roman" w:eastAsia="宋体"/>
                <w:szCs w:val="21"/>
                <w:lang w:val="en-US"/>
              </w:rPr>
              <w:t>4</w:t>
            </w:r>
            <w:r>
              <w:rPr>
                <w:rFonts w:hint="eastAsia" w:ascii="Times New Roman" w:hAnsi="Times New Roman" w:eastAsia="宋体"/>
                <w:szCs w:val="21"/>
              </w:rPr>
              <w:t>、无标识项代表一般指标项，有</w:t>
            </w:r>
            <w:r>
              <w:rPr>
                <w:rFonts w:ascii="Times New Roman" w:hAnsi="Times New Roman" w:eastAsia="宋体"/>
                <w:szCs w:val="21"/>
                <w:lang w:val="en-US"/>
              </w:rPr>
              <w:t>24</w:t>
            </w:r>
            <w:r>
              <w:rPr>
                <w:rFonts w:hint="eastAsia" w:ascii="Times New Roman" w:hAnsi="Times New Roman" w:eastAsia="宋体"/>
                <w:szCs w:val="21"/>
              </w:rPr>
              <w:t>项，每有一项不满足扣</w:t>
            </w:r>
            <w:r>
              <w:rPr>
                <w:rFonts w:ascii="Times New Roman" w:hAnsi="Times New Roman" w:eastAsia="宋体"/>
                <w:szCs w:val="21"/>
                <w:lang w:val="en-US"/>
              </w:rPr>
              <w:t>0.9375</w:t>
            </w:r>
            <w:r>
              <w:rPr>
                <w:rFonts w:hint="eastAsia" w:ascii="Times New Roman" w:hAnsi="Times New Roman" w:eastAsia="宋体"/>
                <w:szCs w:val="21"/>
              </w:rPr>
              <w:t>分，共</w:t>
            </w:r>
            <w:r>
              <w:rPr>
                <w:rFonts w:ascii="Times New Roman" w:hAnsi="Times New Roman" w:eastAsia="宋体"/>
                <w:szCs w:val="21"/>
                <w:lang w:val="en-US"/>
              </w:rPr>
              <w:t>22.5</w:t>
            </w:r>
            <w:r>
              <w:rPr>
                <w:rFonts w:hint="eastAsia" w:ascii="Times New Roman" w:hAnsi="Times New Roman" w:eastAsia="宋体"/>
                <w:szCs w:val="21"/>
              </w:rPr>
              <w:t>分。</w:t>
            </w:r>
          </w:p>
          <w:p>
            <w:pPr>
              <w:tabs>
                <w:tab w:val="left" w:pos="0"/>
              </w:tabs>
              <w:rPr>
                <w:rFonts w:ascii="Times New Roman" w:hAnsi="Times New Roman" w:eastAsia="宋体"/>
                <w:szCs w:val="21"/>
              </w:rPr>
            </w:pPr>
            <w:r>
              <w:rPr>
                <w:rFonts w:hint="eastAsia" w:ascii="Times New Roman" w:hAnsi="Times New Roman" w:eastAsia="宋体"/>
                <w:szCs w:val="21"/>
              </w:rPr>
              <w:t>（注：被发现有虚假投标则投标人的投标将被拒绝）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0" w:type="dxa"/>
            <w:vAlign w:val="center"/>
          </w:tcPr>
          <w:p>
            <w:pPr>
              <w:ind w:right="-105" w:rightChars="-50"/>
              <w:jc w:val="center"/>
              <w:rPr>
                <w:rFonts w:ascii="Times New Roman" w:hAnsi="Times New Roman" w:eastAsia="宋体"/>
                <w:szCs w:val="21"/>
              </w:rPr>
            </w:pPr>
            <w:r>
              <w:rPr>
                <w:rFonts w:hint="eastAsia" w:ascii="Times New Roman" w:hAnsi="Times New Roman" w:eastAsia="宋体"/>
                <w:szCs w:val="21"/>
              </w:rPr>
              <w:t>第7包</w:t>
            </w:r>
            <w:r>
              <w:rPr>
                <w:rFonts w:ascii="Times New Roman" w:hAnsi="Times New Roman" w:eastAsia="宋体"/>
                <w:szCs w:val="21"/>
              </w:rPr>
              <w:t>客观项</w:t>
            </w:r>
          </w:p>
        </w:tc>
        <w:tc>
          <w:tcPr>
            <w:tcW w:w="1307" w:type="dxa"/>
            <w:vAlign w:val="center"/>
          </w:tcPr>
          <w:p>
            <w:pPr>
              <w:rPr>
                <w:rFonts w:ascii="Times New Roman" w:hAnsi="Times New Roman" w:eastAsia="Times New Roman"/>
                <w:szCs w:val="21"/>
              </w:rPr>
            </w:pPr>
            <w:r>
              <w:rPr>
                <w:rFonts w:ascii="Times New Roman" w:hAnsi="Times New Roman" w:eastAsia="Times New Roman"/>
                <w:szCs w:val="21"/>
              </w:rPr>
              <w:t>2</w:t>
            </w:r>
            <w:r>
              <w:rPr>
                <w:rFonts w:ascii="Times New Roman" w:hAnsi="Times New Roman" w:eastAsia="宋体"/>
                <w:szCs w:val="21"/>
              </w:rPr>
              <w:t>.</w:t>
            </w:r>
            <w:r>
              <w:rPr>
                <w:rFonts w:ascii="Times New Roman" w:hAnsi="Times New Roman" w:eastAsia="Times New Roman"/>
                <w:szCs w:val="21"/>
              </w:rPr>
              <w:t>1</w:t>
            </w:r>
            <w:r>
              <w:rPr>
                <w:rFonts w:ascii="Times New Roman" w:hAnsi="Times New Roman" w:eastAsia="宋体"/>
                <w:szCs w:val="21"/>
              </w:rPr>
              <w:t>技术指标响应情况（</w:t>
            </w:r>
            <w:r>
              <w:rPr>
                <w:rFonts w:ascii="Times New Roman" w:hAnsi="Times New Roman" w:eastAsia="Times New Roman"/>
                <w:szCs w:val="21"/>
              </w:rPr>
              <w:t>0</w:t>
            </w:r>
            <w:r>
              <w:rPr>
                <w:rFonts w:ascii="Times New Roman" w:hAnsi="Times New Roman" w:eastAsia="宋体"/>
                <w:szCs w:val="21"/>
              </w:rPr>
              <w:t>-</w:t>
            </w:r>
            <w:r>
              <w:rPr>
                <w:rFonts w:hint="eastAsia" w:ascii="Times New Roman" w:hAnsi="Times New Roman" w:eastAsiaTheme="minorEastAsia"/>
                <w:szCs w:val="21"/>
                <w:lang w:val="en-US"/>
              </w:rPr>
              <w:t>5</w:t>
            </w:r>
            <w:r>
              <w:rPr>
                <w:rFonts w:ascii="Times New Roman" w:hAnsi="Times New Roman" w:eastAsiaTheme="minorEastAsia"/>
                <w:szCs w:val="21"/>
                <w:lang w:val="en-US"/>
              </w:rPr>
              <w:t>2</w:t>
            </w:r>
            <w:r>
              <w:rPr>
                <w:rFonts w:ascii="Times New Roman" w:hAnsi="Times New Roman" w:eastAsia="宋体"/>
                <w:szCs w:val="21"/>
              </w:rPr>
              <w:t>分）</w:t>
            </w:r>
          </w:p>
        </w:tc>
        <w:tc>
          <w:tcPr>
            <w:tcW w:w="6128" w:type="dxa"/>
            <w:vAlign w:val="center"/>
          </w:tcPr>
          <w:p>
            <w:pPr>
              <w:tabs>
                <w:tab w:val="left" w:pos="0"/>
              </w:tabs>
              <w:rPr>
                <w:rFonts w:ascii="Times New Roman" w:hAnsi="Times New Roman" w:eastAsia="宋体"/>
                <w:szCs w:val="21"/>
              </w:rPr>
            </w:pPr>
            <w:r>
              <w:rPr>
                <w:rFonts w:ascii="Times New Roman" w:hAnsi="Times New Roman" w:eastAsia="宋体"/>
                <w:szCs w:val="21"/>
              </w:rPr>
              <w:t>根据投标人提供的</w:t>
            </w:r>
            <w:r>
              <w:rPr>
                <w:rFonts w:hint="eastAsia" w:ascii="Times New Roman" w:hAnsi="Times New Roman" w:eastAsia="宋体"/>
                <w:szCs w:val="21"/>
              </w:rPr>
              <w:t>证明材料</w:t>
            </w:r>
            <w:r>
              <w:rPr>
                <w:rFonts w:ascii="宋体" w:hAnsi="宋体" w:eastAsia="宋体"/>
                <w:szCs w:val="21"/>
              </w:rPr>
              <w:t>，</w:t>
            </w:r>
            <w:r>
              <w:rPr>
                <w:rFonts w:ascii="Times New Roman" w:hAnsi="Times New Roman" w:eastAsia="宋体"/>
                <w:szCs w:val="21"/>
              </w:rPr>
              <w:t>对照招标文件“技术要求”进行响应情况的客观打分</w:t>
            </w:r>
            <w:r>
              <w:rPr>
                <w:rFonts w:hint="eastAsia" w:ascii="Times New Roman" w:hAnsi="Times New Roman" w:eastAsia="宋体"/>
                <w:szCs w:val="21"/>
              </w:rPr>
              <w:t>，以技术规范偏离表及证明材料佐证。</w:t>
            </w:r>
          </w:p>
          <w:p>
            <w:pPr>
              <w:tabs>
                <w:tab w:val="left" w:pos="0"/>
              </w:tabs>
              <w:rPr>
                <w:rFonts w:ascii="Times New Roman" w:hAnsi="Times New Roman" w:eastAsia="宋体"/>
                <w:szCs w:val="21"/>
              </w:rPr>
            </w:pPr>
            <w:r>
              <w:rPr>
                <w:rFonts w:hint="eastAsia" w:ascii="Times New Roman" w:hAnsi="Times New Roman" w:eastAsia="宋体"/>
                <w:szCs w:val="21"/>
                <w:lang w:val="en-US"/>
              </w:rPr>
              <w:t>1、</w:t>
            </w:r>
            <w:r>
              <w:rPr>
                <w:rFonts w:hint="eastAsia" w:ascii="Times New Roman" w:hAnsi="Times New Roman" w:eastAsia="宋体"/>
                <w:szCs w:val="21"/>
              </w:rPr>
              <w:t>满足全部技术</w:t>
            </w:r>
            <w:r>
              <w:rPr>
                <w:rFonts w:hint="eastAsia" w:ascii="Times New Roman" w:hAnsi="Times New Roman" w:eastAsia="宋体"/>
                <w:szCs w:val="21"/>
                <w:lang w:val="en-US"/>
              </w:rPr>
              <w:t>指标最低要求</w:t>
            </w:r>
            <w:r>
              <w:rPr>
                <w:rFonts w:hint="eastAsia" w:ascii="Times New Roman" w:hAnsi="Times New Roman" w:eastAsia="宋体"/>
                <w:szCs w:val="21"/>
              </w:rPr>
              <w:t>的，得5</w:t>
            </w:r>
            <w:r>
              <w:rPr>
                <w:rFonts w:ascii="Times New Roman" w:hAnsi="Times New Roman" w:eastAsia="宋体"/>
                <w:szCs w:val="21"/>
                <w:lang w:val="en-US"/>
              </w:rPr>
              <w:t>2</w:t>
            </w:r>
            <w:r>
              <w:rPr>
                <w:rFonts w:hint="eastAsia" w:ascii="Times New Roman" w:hAnsi="Times New Roman" w:eastAsia="宋体"/>
                <w:szCs w:val="21"/>
              </w:rPr>
              <w:t>分；</w:t>
            </w:r>
          </w:p>
          <w:p>
            <w:pPr>
              <w:tabs>
                <w:tab w:val="left" w:pos="0"/>
              </w:tabs>
            </w:pPr>
            <w:r>
              <w:rPr>
                <w:rFonts w:hint="eastAsia" w:ascii="Times New Roman" w:hAnsi="Times New Roman" w:eastAsia="宋体"/>
                <w:szCs w:val="21"/>
              </w:rPr>
              <w:t>2、</w:t>
            </w:r>
            <w:r>
              <w:rPr>
                <w:rFonts w:ascii="Times New Roman" w:hAnsi="Times New Roman" w:eastAsia="宋体"/>
              </w:rPr>
              <w:t>“</w:t>
            </w:r>
            <w:r>
              <w:rPr>
                <w:rFonts w:ascii="Segoe UI Symbol" w:hAnsi="Segoe UI Symbol" w:eastAsia="宋体" w:cs="Segoe UI Symbol"/>
              </w:rPr>
              <w:t>★</w:t>
            </w:r>
            <w:r>
              <w:rPr>
                <w:rFonts w:ascii="Times New Roman" w:hAnsi="Times New Roman" w:eastAsia="宋体"/>
              </w:rPr>
              <w:t>”代表关键指标</w:t>
            </w:r>
            <w:r>
              <w:rPr>
                <w:rFonts w:hint="eastAsia" w:ascii="Times New Roman" w:hAnsi="Times New Roman" w:eastAsia="宋体"/>
              </w:rPr>
              <w:t>项，</w:t>
            </w:r>
            <w:r>
              <w:rPr>
                <w:rFonts w:hint="eastAsia" w:ascii="Times New Roman" w:hAnsi="Times New Roman" w:eastAsia="宋体"/>
                <w:szCs w:val="21"/>
              </w:rPr>
              <w:t>有</w:t>
            </w:r>
            <w:r>
              <w:rPr>
                <w:rFonts w:ascii="Times New Roman" w:hAnsi="Times New Roman" w:eastAsia="宋体"/>
                <w:szCs w:val="21"/>
                <w:lang w:val="en-US"/>
              </w:rPr>
              <w:t>13</w:t>
            </w:r>
            <w:r>
              <w:rPr>
                <w:rFonts w:hint="eastAsia" w:ascii="Times New Roman" w:hAnsi="Times New Roman" w:eastAsia="宋体"/>
                <w:szCs w:val="21"/>
              </w:rPr>
              <w:t>项，每有一项不满足扣</w:t>
            </w:r>
            <w:r>
              <w:rPr>
                <w:rFonts w:ascii="Times New Roman" w:hAnsi="Times New Roman" w:eastAsia="宋体"/>
                <w:szCs w:val="21"/>
                <w:lang w:val="en-US"/>
              </w:rPr>
              <w:t>3</w:t>
            </w:r>
            <w:r>
              <w:rPr>
                <w:rFonts w:hint="eastAsia" w:ascii="Times New Roman" w:hAnsi="Times New Roman" w:eastAsia="宋体"/>
                <w:szCs w:val="21"/>
              </w:rPr>
              <w:t>分，共</w:t>
            </w:r>
            <w:r>
              <w:rPr>
                <w:rFonts w:ascii="Times New Roman" w:hAnsi="Times New Roman" w:eastAsia="宋体"/>
                <w:szCs w:val="21"/>
                <w:lang w:val="en-US"/>
              </w:rPr>
              <w:t>39</w:t>
            </w:r>
            <w:r>
              <w:rPr>
                <w:rFonts w:hint="eastAsia" w:ascii="Times New Roman" w:hAnsi="Times New Roman" w:eastAsia="宋体"/>
                <w:szCs w:val="21"/>
              </w:rPr>
              <w:t>分；</w:t>
            </w:r>
          </w:p>
          <w:p>
            <w:pPr>
              <w:tabs>
                <w:tab w:val="left" w:pos="0"/>
              </w:tabs>
            </w:pPr>
            <w:r>
              <w:rPr>
                <w:rFonts w:hint="eastAsia" w:ascii="Times New Roman" w:hAnsi="Times New Roman" w:eastAsia="宋体"/>
              </w:rPr>
              <w:t>3、</w:t>
            </w:r>
            <w:r>
              <w:rPr>
                <w:rFonts w:hint="eastAsia" w:ascii="Times New Roman" w:hAnsi="Times New Roman" w:eastAsia="宋体"/>
                <w:szCs w:val="21"/>
              </w:rPr>
              <w:t>“▲”为重要指标项，有</w:t>
            </w:r>
            <w:r>
              <w:rPr>
                <w:rFonts w:ascii="Times New Roman" w:hAnsi="Times New Roman" w:eastAsia="宋体"/>
                <w:szCs w:val="21"/>
                <w:lang w:val="en-US"/>
              </w:rPr>
              <w:t>5</w:t>
            </w:r>
            <w:r>
              <w:rPr>
                <w:rFonts w:hint="eastAsia" w:ascii="Times New Roman" w:hAnsi="Times New Roman" w:eastAsia="宋体"/>
                <w:szCs w:val="21"/>
              </w:rPr>
              <w:t>项，每有一项不满足扣</w:t>
            </w:r>
            <w:r>
              <w:rPr>
                <w:rFonts w:ascii="Times New Roman" w:hAnsi="Times New Roman" w:eastAsia="宋体"/>
                <w:szCs w:val="21"/>
                <w:lang w:val="en-US"/>
              </w:rPr>
              <w:t>2</w:t>
            </w:r>
            <w:r>
              <w:rPr>
                <w:rFonts w:hint="eastAsia" w:ascii="Times New Roman" w:hAnsi="Times New Roman" w:eastAsia="宋体"/>
                <w:szCs w:val="21"/>
              </w:rPr>
              <w:t>分，共</w:t>
            </w:r>
            <w:r>
              <w:rPr>
                <w:rFonts w:ascii="Times New Roman" w:hAnsi="Times New Roman" w:eastAsia="宋体"/>
                <w:szCs w:val="21"/>
                <w:lang w:val="en-US"/>
              </w:rPr>
              <w:t>10</w:t>
            </w:r>
            <w:r>
              <w:rPr>
                <w:rFonts w:hint="eastAsia" w:ascii="Times New Roman" w:hAnsi="Times New Roman" w:eastAsia="宋体"/>
                <w:szCs w:val="21"/>
              </w:rPr>
              <w:t>分；</w:t>
            </w:r>
          </w:p>
          <w:p>
            <w:pPr>
              <w:tabs>
                <w:tab w:val="left" w:pos="0"/>
              </w:tabs>
              <w:rPr>
                <w:rFonts w:ascii="Times New Roman" w:hAnsi="Times New Roman" w:eastAsia="宋体"/>
                <w:szCs w:val="21"/>
              </w:rPr>
            </w:pPr>
            <w:r>
              <w:rPr>
                <w:rFonts w:ascii="Times New Roman" w:hAnsi="Times New Roman" w:eastAsia="宋体"/>
                <w:szCs w:val="21"/>
                <w:lang w:val="en-US"/>
              </w:rPr>
              <w:t>4</w:t>
            </w:r>
            <w:r>
              <w:rPr>
                <w:rFonts w:hint="eastAsia" w:ascii="Times New Roman" w:hAnsi="Times New Roman" w:eastAsia="宋体"/>
                <w:szCs w:val="21"/>
              </w:rPr>
              <w:t>、无标识项代表一般指标项，有</w:t>
            </w:r>
            <w:r>
              <w:rPr>
                <w:rFonts w:ascii="Times New Roman" w:hAnsi="Times New Roman" w:eastAsia="宋体"/>
                <w:szCs w:val="21"/>
                <w:lang w:val="en-US"/>
              </w:rPr>
              <w:t>2</w:t>
            </w:r>
            <w:r>
              <w:rPr>
                <w:rFonts w:hint="eastAsia" w:ascii="Times New Roman" w:hAnsi="Times New Roman" w:eastAsia="宋体"/>
                <w:szCs w:val="21"/>
              </w:rPr>
              <w:t>项，每有一项不满足扣</w:t>
            </w:r>
            <w:r>
              <w:rPr>
                <w:rFonts w:ascii="Times New Roman" w:hAnsi="Times New Roman" w:eastAsia="宋体"/>
                <w:szCs w:val="21"/>
                <w:lang w:val="en-US"/>
              </w:rPr>
              <w:t>1.5</w:t>
            </w:r>
            <w:r>
              <w:rPr>
                <w:rFonts w:hint="eastAsia" w:ascii="Times New Roman" w:hAnsi="Times New Roman" w:eastAsia="宋体"/>
                <w:szCs w:val="21"/>
              </w:rPr>
              <w:t>分，共</w:t>
            </w:r>
            <w:r>
              <w:rPr>
                <w:rFonts w:ascii="Times New Roman" w:hAnsi="Times New Roman" w:eastAsia="宋体"/>
                <w:szCs w:val="21"/>
                <w:lang w:val="en-US"/>
              </w:rPr>
              <w:t>3</w:t>
            </w:r>
            <w:r>
              <w:rPr>
                <w:rFonts w:hint="eastAsia" w:ascii="Times New Roman" w:hAnsi="Times New Roman" w:eastAsia="宋体"/>
                <w:szCs w:val="21"/>
              </w:rPr>
              <w:t>分。</w:t>
            </w:r>
          </w:p>
          <w:p>
            <w:pPr>
              <w:tabs>
                <w:tab w:val="left" w:pos="0"/>
              </w:tabs>
              <w:rPr>
                <w:rFonts w:ascii="Times New Roman" w:hAnsi="Times New Roman" w:eastAsia="宋体"/>
                <w:szCs w:val="21"/>
              </w:rPr>
            </w:pPr>
            <w:r>
              <w:rPr>
                <w:rFonts w:hint="eastAsia" w:ascii="Times New Roman" w:hAnsi="Times New Roman" w:eastAsia="宋体"/>
                <w:szCs w:val="21"/>
              </w:rPr>
              <w:t>（注：被发现有虚假投标则投标人的投标将被拒绝）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0" w:type="dxa"/>
            <w:vAlign w:val="center"/>
          </w:tcPr>
          <w:p>
            <w:pPr>
              <w:ind w:right="-105" w:rightChars="-50"/>
              <w:jc w:val="center"/>
              <w:rPr>
                <w:rFonts w:ascii="Times New Roman" w:hAnsi="Times New Roman" w:eastAsia="宋体"/>
                <w:szCs w:val="21"/>
              </w:rPr>
            </w:pPr>
            <w:r>
              <w:rPr>
                <w:rFonts w:hint="eastAsia" w:ascii="Times New Roman" w:hAnsi="Times New Roman" w:eastAsia="宋体"/>
                <w:szCs w:val="21"/>
              </w:rPr>
              <w:t>第8包</w:t>
            </w:r>
            <w:r>
              <w:rPr>
                <w:rFonts w:ascii="Times New Roman" w:hAnsi="Times New Roman" w:eastAsia="宋体"/>
                <w:szCs w:val="21"/>
              </w:rPr>
              <w:t>客观项</w:t>
            </w:r>
          </w:p>
        </w:tc>
        <w:tc>
          <w:tcPr>
            <w:tcW w:w="1307" w:type="dxa"/>
            <w:vAlign w:val="center"/>
          </w:tcPr>
          <w:p>
            <w:pPr>
              <w:rPr>
                <w:rFonts w:ascii="Times New Roman" w:hAnsi="Times New Roman" w:eastAsia="Times New Roman"/>
                <w:szCs w:val="21"/>
              </w:rPr>
            </w:pPr>
            <w:r>
              <w:rPr>
                <w:rFonts w:ascii="Times New Roman" w:hAnsi="Times New Roman" w:eastAsia="Times New Roman"/>
                <w:szCs w:val="21"/>
              </w:rPr>
              <w:t>2</w:t>
            </w:r>
            <w:r>
              <w:rPr>
                <w:rFonts w:ascii="Times New Roman" w:hAnsi="Times New Roman" w:eastAsia="宋体"/>
                <w:szCs w:val="21"/>
              </w:rPr>
              <w:t>.</w:t>
            </w:r>
            <w:r>
              <w:rPr>
                <w:rFonts w:ascii="Times New Roman" w:hAnsi="Times New Roman" w:eastAsia="Times New Roman"/>
                <w:szCs w:val="21"/>
              </w:rPr>
              <w:t>1</w:t>
            </w:r>
            <w:r>
              <w:rPr>
                <w:rFonts w:ascii="Times New Roman" w:hAnsi="Times New Roman" w:eastAsia="宋体"/>
                <w:szCs w:val="21"/>
              </w:rPr>
              <w:t>技术指标响应情况（</w:t>
            </w:r>
            <w:r>
              <w:rPr>
                <w:rFonts w:ascii="Times New Roman" w:hAnsi="Times New Roman" w:eastAsia="Times New Roman"/>
                <w:szCs w:val="21"/>
              </w:rPr>
              <w:t>0</w:t>
            </w:r>
            <w:r>
              <w:rPr>
                <w:rFonts w:ascii="Times New Roman" w:hAnsi="Times New Roman" w:eastAsia="宋体"/>
                <w:szCs w:val="21"/>
              </w:rPr>
              <w:t>-</w:t>
            </w:r>
            <w:r>
              <w:rPr>
                <w:rFonts w:hint="eastAsia" w:ascii="Times New Roman" w:hAnsi="Times New Roman" w:eastAsiaTheme="minorEastAsia"/>
                <w:szCs w:val="21"/>
                <w:lang w:val="en-US"/>
              </w:rPr>
              <w:t>5</w:t>
            </w:r>
            <w:r>
              <w:rPr>
                <w:rFonts w:ascii="Times New Roman" w:hAnsi="Times New Roman" w:eastAsiaTheme="minorEastAsia"/>
                <w:szCs w:val="21"/>
                <w:lang w:val="en-US"/>
              </w:rPr>
              <w:t>2</w:t>
            </w:r>
            <w:r>
              <w:rPr>
                <w:rFonts w:ascii="Times New Roman" w:hAnsi="Times New Roman" w:eastAsia="宋体"/>
                <w:szCs w:val="21"/>
              </w:rPr>
              <w:t>分）</w:t>
            </w:r>
          </w:p>
        </w:tc>
        <w:tc>
          <w:tcPr>
            <w:tcW w:w="6128" w:type="dxa"/>
            <w:vAlign w:val="center"/>
          </w:tcPr>
          <w:p>
            <w:pPr>
              <w:tabs>
                <w:tab w:val="left" w:pos="0"/>
              </w:tabs>
              <w:rPr>
                <w:rFonts w:ascii="Times New Roman" w:hAnsi="Times New Roman" w:eastAsia="宋体"/>
                <w:szCs w:val="21"/>
              </w:rPr>
            </w:pPr>
            <w:r>
              <w:rPr>
                <w:rFonts w:ascii="Times New Roman" w:hAnsi="Times New Roman" w:eastAsia="宋体"/>
                <w:szCs w:val="21"/>
              </w:rPr>
              <w:t>根据投标人提供的</w:t>
            </w:r>
            <w:r>
              <w:rPr>
                <w:rFonts w:hint="eastAsia" w:ascii="Times New Roman" w:hAnsi="Times New Roman" w:eastAsia="宋体"/>
                <w:szCs w:val="21"/>
              </w:rPr>
              <w:t>证明材料</w:t>
            </w:r>
            <w:r>
              <w:rPr>
                <w:rFonts w:ascii="宋体" w:hAnsi="宋体" w:eastAsia="宋体"/>
                <w:szCs w:val="21"/>
              </w:rPr>
              <w:t>，</w:t>
            </w:r>
            <w:r>
              <w:rPr>
                <w:rFonts w:ascii="Times New Roman" w:hAnsi="Times New Roman" w:eastAsia="宋体"/>
                <w:szCs w:val="21"/>
              </w:rPr>
              <w:t>对照招标文件“技术要求”进行响应情况的客观打分</w:t>
            </w:r>
            <w:r>
              <w:rPr>
                <w:rFonts w:hint="eastAsia" w:ascii="Times New Roman" w:hAnsi="Times New Roman" w:eastAsia="宋体"/>
                <w:szCs w:val="21"/>
              </w:rPr>
              <w:t>，以技术规范偏离表及证明材料佐证。</w:t>
            </w:r>
          </w:p>
          <w:p>
            <w:pPr>
              <w:tabs>
                <w:tab w:val="left" w:pos="0"/>
              </w:tabs>
              <w:rPr>
                <w:rFonts w:ascii="Times New Roman" w:hAnsi="Times New Roman" w:eastAsia="宋体"/>
                <w:szCs w:val="21"/>
              </w:rPr>
            </w:pPr>
            <w:r>
              <w:rPr>
                <w:rFonts w:hint="eastAsia" w:ascii="Times New Roman" w:hAnsi="Times New Roman" w:eastAsia="宋体"/>
                <w:szCs w:val="21"/>
                <w:lang w:val="en-US"/>
              </w:rPr>
              <w:t>1、</w:t>
            </w:r>
            <w:r>
              <w:rPr>
                <w:rFonts w:hint="eastAsia" w:ascii="Times New Roman" w:hAnsi="Times New Roman" w:eastAsia="宋体"/>
                <w:szCs w:val="21"/>
              </w:rPr>
              <w:t>满足全部技术</w:t>
            </w:r>
            <w:r>
              <w:rPr>
                <w:rFonts w:hint="eastAsia" w:ascii="Times New Roman" w:hAnsi="Times New Roman" w:eastAsia="宋体"/>
                <w:szCs w:val="21"/>
                <w:lang w:val="en-US"/>
              </w:rPr>
              <w:t>指标最低要求</w:t>
            </w:r>
            <w:r>
              <w:rPr>
                <w:rFonts w:hint="eastAsia" w:ascii="Times New Roman" w:hAnsi="Times New Roman" w:eastAsia="宋体"/>
                <w:szCs w:val="21"/>
              </w:rPr>
              <w:t>的，得5</w:t>
            </w:r>
            <w:r>
              <w:rPr>
                <w:rFonts w:ascii="Times New Roman" w:hAnsi="Times New Roman" w:eastAsia="宋体"/>
                <w:szCs w:val="21"/>
                <w:lang w:val="en-US"/>
              </w:rPr>
              <w:t>2</w:t>
            </w:r>
            <w:r>
              <w:rPr>
                <w:rFonts w:hint="eastAsia" w:ascii="Times New Roman" w:hAnsi="Times New Roman" w:eastAsia="宋体"/>
                <w:szCs w:val="21"/>
              </w:rPr>
              <w:t>分；</w:t>
            </w:r>
          </w:p>
          <w:p>
            <w:pPr>
              <w:tabs>
                <w:tab w:val="left" w:pos="0"/>
              </w:tabs>
            </w:pPr>
            <w:r>
              <w:rPr>
                <w:rFonts w:hint="eastAsia" w:ascii="Times New Roman" w:hAnsi="Times New Roman" w:eastAsia="宋体"/>
                <w:szCs w:val="21"/>
              </w:rPr>
              <w:t>2、</w:t>
            </w:r>
            <w:r>
              <w:rPr>
                <w:rFonts w:ascii="Times New Roman" w:hAnsi="Times New Roman" w:eastAsia="宋体"/>
              </w:rPr>
              <w:t>“</w:t>
            </w:r>
            <w:r>
              <w:rPr>
                <w:rFonts w:ascii="Segoe UI Symbol" w:hAnsi="Segoe UI Symbol" w:eastAsia="宋体" w:cs="Segoe UI Symbol"/>
              </w:rPr>
              <w:t>★</w:t>
            </w:r>
            <w:r>
              <w:rPr>
                <w:rFonts w:ascii="Times New Roman" w:hAnsi="Times New Roman" w:eastAsia="宋体"/>
              </w:rPr>
              <w:t>”代表关键指标</w:t>
            </w:r>
            <w:r>
              <w:rPr>
                <w:rFonts w:hint="eastAsia" w:ascii="Times New Roman" w:hAnsi="Times New Roman" w:eastAsia="宋体"/>
              </w:rPr>
              <w:t>项，</w:t>
            </w:r>
            <w:r>
              <w:rPr>
                <w:rFonts w:hint="eastAsia" w:ascii="Times New Roman" w:hAnsi="Times New Roman" w:eastAsia="宋体"/>
                <w:szCs w:val="21"/>
              </w:rPr>
              <w:t>有</w:t>
            </w:r>
            <w:r>
              <w:rPr>
                <w:rFonts w:ascii="Times New Roman" w:hAnsi="Times New Roman" w:eastAsia="宋体"/>
                <w:szCs w:val="21"/>
                <w:lang w:val="en-US"/>
              </w:rPr>
              <w:t>1</w:t>
            </w:r>
            <w:r>
              <w:rPr>
                <w:rFonts w:hint="eastAsia" w:ascii="Times New Roman" w:hAnsi="Times New Roman" w:eastAsia="宋体"/>
                <w:szCs w:val="21"/>
              </w:rPr>
              <w:t>项，每有一项不满足扣</w:t>
            </w:r>
            <w:r>
              <w:rPr>
                <w:rFonts w:ascii="Times New Roman" w:hAnsi="Times New Roman" w:eastAsia="宋体"/>
                <w:szCs w:val="21"/>
              </w:rPr>
              <w:t>12</w:t>
            </w:r>
            <w:r>
              <w:rPr>
                <w:rFonts w:hint="eastAsia" w:ascii="Times New Roman" w:hAnsi="Times New Roman" w:eastAsia="宋体"/>
                <w:szCs w:val="21"/>
              </w:rPr>
              <w:t>分，共</w:t>
            </w:r>
            <w:r>
              <w:rPr>
                <w:rFonts w:ascii="Times New Roman" w:hAnsi="Times New Roman" w:eastAsia="宋体"/>
                <w:szCs w:val="21"/>
                <w:lang w:val="en-US"/>
              </w:rPr>
              <w:t>12</w:t>
            </w:r>
            <w:r>
              <w:rPr>
                <w:rFonts w:hint="eastAsia" w:ascii="Times New Roman" w:hAnsi="Times New Roman" w:eastAsia="宋体"/>
                <w:szCs w:val="21"/>
              </w:rPr>
              <w:t>分；</w:t>
            </w:r>
          </w:p>
          <w:p>
            <w:pPr>
              <w:tabs>
                <w:tab w:val="left" w:pos="0"/>
              </w:tabs>
              <w:rPr>
                <w:rFonts w:ascii="Times New Roman" w:hAnsi="Times New Roman" w:eastAsia="宋体"/>
                <w:szCs w:val="21"/>
              </w:rPr>
            </w:pPr>
            <w:r>
              <w:rPr>
                <w:rFonts w:hint="eastAsia" w:ascii="Times New Roman" w:hAnsi="Times New Roman" w:eastAsia="宋体"/>
              </w:rPr>
              <w:t>3、</w:t>
            </w:r>
            <w:r>
              <w:rPr>
                <w:rFonts w:hint="eastAsia" w:ascii="Times New Roman" w:hAnsi="Times New Roman" w:eastAsia="宋体"/>
                <w:szCs w:val="21"/>
              </w:rPr>
              <w:t>“▲”为重要指标项，有</w:t>
            </w:r>
            <w:r>
              <w:rPr>
                <w:rFonts w:ascii="Times New Roman" w:hAnsi="Times New Roman" w:eastAsia="宋体"/>
                <w:szCs w:val="21"/>
                <w:lang w:val="en-US"/>
              </w:rPr>
              <w:t>4</w:t>
            </w:r>
            <w:r>
              <w:rPr>
                <w:rFonts w:hint="eastAsia" w:ascii="Times New Roman" w:hAnsi="Times New Roman" w:eastAsia="宋体"/>
                <w:szCs w:val="21"/>
              </w:rPr>
              <w:t>项，每有一项不满足扣</w:t>
            </w:r>
            <w:r>
              <w:rPr>
                <w:rFonts w:ascii="Times New Roman" w:hAnsi="Times New Roman" w:eastAsia="宋体"/>
                <w:szCs w:val="21"/>
                <w:lang w:val="en-US"/>
              </w:rPr>
              <w:t>10</w:t>
            </w:r>
            <w:r>
              <w:rPr>
                <w:rFonts w:hint="eastAsia" w:ascii="Times New Roman" w:hAnsi="Times New Roman" w:eastAsia="宋体"/>
                <w:szCs w:val="21"/>
              </w:rPr>
              <w:t>分，共</w:t>
            </w:r>
            <w:r>
              <w:rPr>
                <w:rFonts w:ascii="Times New Roman" w:hAnsi="Times New Roman" w:eastAsia="宋体"/>
                <w:szCs w:val="21"/>
                <w:lang w:val="en-US"/>
              </w:rPr>
              <w:t>40</w:t>
            </w:r>
            <w:r>
              <w:rPr>
                <w:rFonts w:hint="eastAsia" w:ascii="Times New Roman" w:hAnsi="Times New Roman" w:eastAsia="宋体"/>
                <w:szCs w:val="21"/>
              </w:rPr>
              <w:t>分。</w:t>
            </w:r>
          </w:p>
          <w:p>
            <w:pPr>
              <w:tabs>
                <w:tab w:val="left" w:pos="0"/>
              </w:tabs>
              <w:rPr>
                <w:rFonts w:ascii="Times New Roman" w:hAnsi="Times New Roman" w:eastAsia="宋体"/>
                <w:szCs w:val="21"/>
              </w:rPr>
            </w:pPr>
            <w:r>
              <w:rPr>
                <w:rFonts w:hint="eastAsia" w:ascii="Times New Roman" w:hAnsi="Times New Roman" w:eastAsia="宋体"/>
                <w:szCs w:val="21"/>
              </w:rPr>
              <w:t>（注：被发现有虚假投标则投标人的投标将被拒绝）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0" w:type="dxa"/>
            <w:vAlign w:val="center"/>
          </w:tcPr>
          <w:p>
            <w:pPr>
              <w:ind w:right="-105" w:rightChars="-50"/>
              <w:jc w:val="center"/>
              <w:rPr>
                <w:rFonts w:ascii="Times New Roman" w:hAnsi="Times New Roman" w:eastAsia="宋体"/>
                <w:szCs w:val="21"/>
              </w:rPr>
            </w:pPr>
            <w:r>
              <w:rPr>
                <w:rFonts w:hint="eastAsia" w:ascii="Times New Roman" w:hAnsi="Times New Roman" w:eastAsia="宋体"/>
                <w:szCs w:val="21"/>
              </w:rPr>
              <w:t>第9包</w:t>
            </w:r>
            <w:r>
              <w:rPr>
                <w:rFonts w:ascii="Times New Roman" w:hAnsi="Times New Roman" w:eastAsia="宋体"/>
                <w:szCs w:val="21"/>
              </w:rPr>
              <w:t>客观项</w:t>
            </w:r>
          </w:p>
        </w:tc>
        <w:tc>
          <w:tcPr>
            <w:tcW w:w="1307" w:type="dxa"/>
            <w:vAlign w:val="center"/>
          </w:tcPr>
          <w:p>
            <w:pPr>
              <w:rPr>
                <w:rFonts w:ascii="Times New Roman" w:hAnsi="Times New Roman" w:eastAsia="Times New Roman"/>
                <w:szCs w:val="21"/>
              </w:rPr>
            </w:pPr>
            <w:r>
              <w:rPr>
                <w:rFonts w:ascii="Times New Roman" w:hAnsi="Times New Roman" w:eastAsia="Times New Roman"/>
                <w:szCs w:val="21"/>
              </w:rPr>
              <w:t>2</w:t>
            </w:r>
            <w:r>
              <w:rPr>
                <w:rFonts w:ascii="Times New Roman" w:hAnsi="Times New Roman" w:eastAsia="宋体"/>
                <w:szCs w:val="21"/>
              </w:rPr>
              <w:t>.</w:t>
            </w:r>
            <w:r>
              <w:rPr>
                <w:rFonts w:ascii="Times New Roman" w:hAnsi="Times New Roman" w:eastAsia="Times New Roman"/>
                <w:szCs w:val="21"/>
              </w:rPr>
              <w:t>1</w:t>
            </w:r>
            <w:r>
              <w:rPr>
                <w:rFonts w:ascii="Times New Roman" w:hAnsi="Times New Roman" w:eastAsia="宋体"/>
                <w:szCs w:val="21"/>
              </w:rPr>
              <w:t>技术指标响应情况（</w:t>
            </w:r>
            <w:r>
              <w:rPr>
                <w:rFonts w:ascii="Times New Roman" w:hAnsi="Times New Roman" w:eastAsia="Times New Roman"/>
                <w:szCs w:val="21"/>
              </w:rPr>
              <w:t>0</w:t>
            </w:r>
            <w:r>
              <w:rPr>
                <w:rFonts w:ascii="Times New Roman" w:hAnsi="Times New Roman" w:eastAsia="宋体"/>
                <w:szCs w:val="21"/>
              </w:rPr>
              <w:t>-</w:t>
            </w:r>
            <w:r>
              <w:rPr>
                <w:rFonts w:hint="eastAsia" w:ascii="Times New Roman" w:hAnsi="Times New Roman" w:eastAsiaTheme="minorEastAsia"/>
                <w:szCs w:val="21"/>
                <w:lang w:val="en-US"/>
              </w:rPr>
              <w:t>5</w:t>
            </w:r>
            <w:r>
              <w:rPr>
                <w:rFonts w:ascii="Times New Roman" w:hAnsi="Times New Roman" w:eastAsiaTheme="minorEastAsia"/>
                <w:szCs w:val="21"/>
                <w:lang w:val="en-US"/>
              </w:rPr>
              <w:t>2</w:t>
            </w:r>
            <w:r>
              <w:rPr>
                <w:rFonts w:ascii="Times New Roman" w:hAnsi="Times New Roman" w:eastAsia="宋体"/>
                <w:szCs w:val="21"/>
              </w:rPr>
              <w:t>分）</w:t>
            </w:r>
          </w:p>
        </w:tc>
        <w:tc>
          <w:tcPr>
            <w:tcW w:w="6128" w:type="dxa"/>
            <w:vAlign w:val="center"/>
          </w:tcPr>
          <w:p>
            <w:pPr>
              <w:tabs>
                <w:tab w:val="left" w:pos="0"/>
              </w:tabs>
              <w:rPr>
                <w:rFonts w:ascii="Times New Roman" w:hAnsi="Times New Roman" w:eastAsia="宋体"/>
                <w:szCs w:val="21"/>
              </w:rPr>
            </w:pPr>
            <w:r>
              <w:rPr>
                <w:rFonts w:ascii="Times New Roman" w:hAnsi="Times New Roman" w:eastAsia="宋体"/>
                <w:szCs w:val="21"/>
              </w:rPr>
              <w:t>根据投标人提供的</w:t>
            </w:r>
            <w:r>
              <w:rPr>
                <w:rFonts w:hint="eastAsia" w:ascii="Times New Roman" w:hAnsi="Times New Roman" w:eastAsia="宋体"/>
                <w:szCs w:val="21"/>
              </w:rPr>
              <w:t>证明材料</w:t>
            </w:r>
            <w:r>
              <w:rPr>
                <w:rFonts w:ascii="宋体" w:hAnsi="宋体" w:eastAsia="宋体"/>
                <w:szCs w:val="21"/>
              </w:rPr>
              <w:t>，</w:t>
            </w:r>
            <w:r>
              <w:rPr>
                <w:rFonts w:ascii="Times New Roman" w:hAnsi="Times New Roman" w:eastAsia="宋体"/>
                <w:szCs w:val="21"/>
              </w:rPr>
              <w:t>对照招标文件“技术要求”进行响应情况的客观打分</w:t>
            </w:r>
            <w:r>
              <w:rPr>
                <w:rFonts w:hint="eastAsia" w:ascii="Times New Roman" w:hAnsi="Times New Roman" w:eastAsia="宋体"/>
                <w:szCs w:val="21"/>
              </w:rPr>
              <w:t>，以技术规范偏离表及证明材料佐证。</w:t>
            </w:r>
          </w:p>
          <w:p>
            <w:pPr>
              <w:tabs>
                <w:tab w:val="left" w:pos="0"/>
              </w:tabs>
              <w:rPr>
                <w:rFonts w:ascii="Times New Roman" w:hAnsi="Times New Roman" w:eastAsia="宋体"/>
                <w:szCs w:val="21"/>
              </w:rPr>
            </w:pPr>
            <w:r>
              <w:rPr>
                <w:rFonts w:hint="eastAsia" w:ascii="Times New Roman" w:hAnsi="Times New Roman" w:eastAsia="宋体"/>
                <w:szCs w:val="21"/>
                <w:lang w:val="en-US"/>
              </w:rPr>
              <w:t>1、</w:t>
            </w:r>
            <w:r>
              <w:rPr>
                <w:rFonts w:hint="eastAsia" w:ascii="Times New Roman" w:hAnsi="Times New Roman" w:eastAsia="宋体"/>
                <w:szCs w:val="21"/>
              </w:rPr>
              <w:t>满足全部技术</w:t>
            </w:r>
            <w:r>
              <w:rPr>
                <w:rFonts w:hint="eastAsia" w:ascii="Times New Roman" w:hAnsi="Times New Roman" w:eastAsia="宋体"/>
                <w:szCs w:val="21"/>
                <w:lang w:val="en-US"/>
              </w:rPr>
              <w:t>指标最低要求</w:t>
            </w:r>
            <w:r>
              <w:rPr>
                <w:rFonts w:hint="eastAsia" w:ascii="Times New Roman" w:hAnsi="Times New Roman" w:eastAsia="宋体"/>
                <w:szCs w:val="21"/>
              </w:rPr>
              <w:t>的，得5</w:t>
            </w:r>
            <w:r>
              <w:rPr>
                <w:rFonts w:ascii="Times New Roman" w:hAnsi="Times New Roman" w:eastAsia="宋体"/>
                <w:szCs w:val="21"/>
                <w:lang w:val="en-US"/>
              </w:rPr>
              <w:t>2</w:t>
            </w:r>
            <w:r>
              <w:rPr>
                <w:rFonts w:hint="eastAsia" w:ascii="Times New Roman" w:hAnsi="Times New Roman" w:eastAsia="宋体"/>
                <w:szCs w:val="21"/>
              </w:rPr>
              <w:t>分；</w:t>
            </w:r>
          </w:p>
          <w:p>
            <w:pPr>
              <w:tabs>
                <w:tab w:val="left" w:pos="0"/>
              </w:tabs>
            </w:pPr>
            <w:r>
              <w:rPr>
                <w:rFonts w:hint="eastAsia" w:ascii="Times New Roman" w:hAnsi="Times New Roman" w:eastAsia="宋体"/>
                <w:szCs w:val="21"/>
              </w:rPr>
              <w:t>2、</w:t>
            </w:r>
            <w:r>
              <w:rPr>
                <w:rFonts w:ascii="Times New Roman" w:hAnsi="Times New Roman" w:eastAsia="宋体"/>
              </w:rPr>
              <w:t>“</w:t>
            </w:r>
            <w:r>
              <w:rPr>
                <w:rFonts w:ascii="Segoe UI Symbol" w:hAnsi="Segoe UI Symbol" w:eastAsia="宋体" w:cs="Segoe UI Symbol"/>
              </w:rPr>
              <w:t>★</w:t>
            </w:r>
            <w:r>
              <w:rPr>
                <w:rFonts w:ascii="Times New Roman" w:hAnsi="Times New Roman" w:eastAsia="宋体"/>
              </w:rPr>
              <w:t>”代表关键指标</w:t>
            </w:r>
            <w:r>
              <w:rPr>
                <w:rFonts w:hint="eastAsia" w:ascii="Times New Roman" w:hAnsi="Times New Roman" w:eastAsia="宋体"/>
              </w:rPr>
              <w:t>项，</w:t>
            </w:r>
            <w:r>
              <w:rPr>
                <w:rFonts w:hint="eastAsia" w:ascii="Times New Roman" w:hAnsi="Times New Roman" w:eastAsia="宋体"/>
                <w:szCs w:val="21"/>
              </w:rPr>
              <w:t>有</w:t>
            </w:r>
            <w:r>
              <w:rPr>
                <w:rFonts w:ascii="Times New Roman" w:hAnsi="Times New Roman" w:eastAsia="宋体"/>
                <w:szCs w:val="21"/>
                <w:lang w:val="en-US"/>
              </w:rPr>
              <w:t>7</w:t>
            </w:r>
            <w:r>
              <w:rPr>
                <w:rFonts w:hint="eastAsia" w:ascii="Times New Roman" w:hAnsi="Times New Roman" w:eastAsia="宋体"/>
                <w:szCs w:val="21"/>
              </w:rPr>
              <w:t>项，每有一项不满足扣</w:t>
            </w:r>
            <w:r>
              <w:rPr>
                <w:rFonts w:ascii="Times New Roman" w:hAnsi="Times New Roman" w:eastAsia="宋体"/>
                <w:szCs w:val="21"/>
                <w:lang w:val="en-US"/>
              </w:rPr>
              <w:t>2</w:t>
            </w:r>
            <w:r>
              <w:rPr>
                <w:rFonts w:hint="eastAsia" w:ascii="Times New Roman" w:hAnsi="Times New Roman" w:eastAsia="宋体"/>
                <w:szCs w:val="21"/>
              </w:rPr>
              <w:t>分，共</w:t>
            </w:r>
            <w:r>
              <w:rPr>
                <w:rFonts w:ascii="Times New Roman" w:hAnsi="Times New Roman" w:eastAsia="宋体"/>
                <w:szCs w:val="21"/>
                <w:lang w:val="en-US"/>
              </w:rPr>
              <w:t>14</w:t>
            </w:r>
            <w:r>
              <w:rPr>
                <w:rFonts w:hint="eastAsia" w:ascii="Times New Roman" w:hAnsi="Times New Roman" w:eastAsia="宋体"/>
                <w:szCs w:val="21"/>
              </w:rPr>
              <w:t>分；</w:t>
            </w:r>
          </w:p>
          <w:p>
            <w:pPr>
              <w:tabs>
                <w:tab w:val="left" w:pos="0"/>
              </w:tabs>
            </w:pPr>
            <w:r>
              <w:rPr>
                <w:rFonts w:hint="eastAsia" w:ascii="Times New Roman" w:hAnsi="Times New Roman" w:eastAsia="宋体"/>
              </w:rPr>
              <w:t>3、</w:t>
            </w:r>
            <w:r>
              <w:rPr>
                <w:rFonts w:hint="eastAsia" w:ascii="Times New Roman" w:hAnsi="Times New Roman" w:eastAsia="宋体"/>
                <w:szCs w:val="21"/>
              </w:rPr>
              <w:t>“▲”为重要指标项，有</w:t>
            </w:r>
            <w:r>
              <w:rPr>
                <w:rFonts w:ascii="Times New Roman" w:hAnsi="Times New Roman" w:eastAsia="宋体"/>
                <w:szCs w:val="21"/>
                <w:lang w:val="en-US"/>
              </w:rPr>
              <w:t>14</w:t>
            </w:r>
            <w:r>
              <w:rPr>
                <w:rFonts w:hint="eastAsia" w:ascii="Times New Roman" w:hAnsi="Times New Roman" w:eastAsia="宋体"/>
                <w:szCs w:val="21"/>
              </w:rPr>
              <w:t>项，每有一项不满足扣</w:t>
            </w:r>
            <w:r>
              <w:rPr>
                <w:rFonts w:ascii="Times New Roman" w:hAnsi="Times New Roman" w:eastAsia="宋体"/>
                <w:szCs w:val="21"/>
                <w:lang w:val="en-US"/>
              </w:rPr>
              <w:t>1.5</w:t>
            </w:r>
            <w:r>
              <w:rPr>
                <w:rFonts w:hint="eastAsia" w:ascii="Times New Roman" w:hAnsi="Times New Roman" w:eastAsia="宋体"/>
                <w:szCs w:val="21"/>
              </w:rPr>
              <w:t>分，共</w:t>
            </w:r>
            <w:r>
              <w:rPr>
                <w:rFonts w:ascii="Times New Roman" w:hAnsi="Times New Roman" w:eastAsia="宋体"/>
                <w:szCs w:val="21"/>
                <w:lang w:val="en-US"/>
              </w:rPr>
              <w:t>21</w:t>
            </w:r>
            <w:r>
              <w:rPr>
                <w:rFonts w:hint="eastAsia" w:ascii="Times New Roman" w:hAnsi="Times New Roman" w:eastAsia="宋体"/>
                <w:szCs w:val="21"/>
              </w:rPr>
              <w:t>分；</w:t>
            </w:r>
          </w:p>
          <w:p>
            <w:pPr>
              <w:tabs>
                <w:tab w:val="left" w:pos="0"/>
              </w:tabs>
              <w:rPr>
                <w:rFonts w:ascii="Times New Roman" w:hAnsi="Times New Roman" w:eastAsia="宋体"/>
                <w:szCs w:val="21"/>
              </w:rPr>
            </w:pPr>
            <w:r>
              <w:rPr>
                <w:rFonts w:ascii="Times New Roman" w:hAnsi="Times New Roman" w:eastAsia="宋体"/>
                <w:szCs w:val="21"/>
                <w:lang w:val="en-US"/>
              </w:rPr>
              <w:t>4</w:t>
            </w:r>
            <w:r>
              <w:rPr>
                <w:rFonts w:hint="eastAsia" w:ascii="Times New Roman" w:hAnsi="Times New Roman" w:eastAsia="宋体"/>
                <w:szCs w:val="21"/>
              </w:rPr>
              <w:t>、无标识项代表一般指标项，有</w:t>
            </w:r>
            <w:r>
              <w:rPr>
                <w:rFonts w:ascii="Times New Roman" w:hAnsi="Times New Roman" w:eastAsia="宋体"/>
                <w:szCs w:val="21"/>
                <w:lang w:val="en-US"/>
              </w:rPr>
              <w:t>85</w:t>
            </w:r>
            <w:r>
              <w:rPr>
                <w:rFonts w:hint="eastAsia" w:ascii="Times New Roman" w:hAnsi="Times New Roman" w:eastAsia="宋体"/>
                <w:szCs w:val="21"/>
              </w:rPr>
              <w:t>项，每有一项不满足扣</w:t>
            </w:r>
            <w:r>
              <w:rPr>
                <w:rFonts w:ascii="Times New Roman" w:hAnsi="Times New Roman" w:eastAsia="宋体"/>
                <w:szCs w:val="21"/>
                <w:lang w:val="en-US"/>
              </w:rPr>
              <w:t>0.2</w:t>
            </w:r>
            <w:r>
              <w:rPr>
                <w:rFonts w:hint="eastAsia" w:ascii="Times New Roman" w:hAnsi="Times New Roman" w:eastAsia="宋体"/>
                <w:szCs w:val="21"/>
              </w:rPr>
              <w:t>分，共</w:t>
            </w:r>
            <w:r>
              <w:rPr>
                <w:rFonts w:ascii="Times New Roman" w:hAnsi="Times New Roman" w:eastAsia="宋体"/>
                <w:szCs w:val="21"/>
                <w:lang w:val="en-US"/>
              </w:rPr>
              <w:t>17</w:t>
            </w:r>
            <w:r>
              <w:rPr>
                <w:rFonts w:hint="eastAsia" w:ascii="Times New Roman" w:hAnsi="Times New Roman" w:eastAsia="宋体"/>
                <w:szCs w:val="21"/>
              </w:rPr>
              <w:t>分。</w:t>
            </w:r>
          </w:p>
          <w:p>
            <w:pPr>
              <w:tabs>
                <w:tab w:val="left" w:pos="0"/>
              </w:tabs>
              <w:rPr>
                <w:rFonts w:ascii="Times New Roman" w:hAnsi="Times New Roman" w:eastAsia="宋体"/>
                <w:szCs w:val="21"/>
              </w:rPr>
            </w:pPr>
            <w:r>
              <w:rPr>
                <w:rFonts w:hint="eastAsia" w:ascii="Times New Roman" w:hAnsi="Times New Roman" w:eastAsia="宋体"/>
                <w:szCs w:val="21"/>
              </w:rPr>
              <w:t>（注：被发现有虚假投标则投标人的投标将被拒绝）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0" w:type="dxa"/>
            <w:vAlign w:val="center"/>
          </w:tcPr>
          <w:p>
            <w:pPr>
              <w:ind w:right="-105" w:rightChars="-50"/>
              <w:jc w:val="center"/>
              <w:rPr>
                <w:rFonts w:ascii="Times New Roman" w:hAnsi="Times New Roman" w:eastAsia="宋体"/>
                <w:szCs w:val="21"/>
              </w:rPr>
            </w:pPr>
            <w:r>
              <w:rPr>
                <w:rFonts w:hint="eastAsia" w:ascii="Times New Roman" w:hAnsi="Times New Roman" w:eastAsia="宋体"/>
                <w:szCs w:val="21"/>
              </w:rPr>
              <w:t>第1</w:t>
            </w:r>
            <w:r>
              <w:rPr>
                <w:rFonts w:ascii="Times New Roman" w:hAnsi="Times New Roman" w:eastAsia="宋体"/>
                <w:szCs w:val="21"/>
              </w:rPr>
              <w:t>0</w:t>
            </w:r>
            <w:r>
              <w:rPr>
                <w:rFonts w:hint="eastAsia" w:ascii="Times New Roman" w:hAnsi="Times New Roman" w:eastAsia="宋体"/>
                <w:szCs w:val="21"/>
              </w:rPr>
              <w:t>包</w:t>
            </w:r>
            <w:r>
              <w:rPr>
                <w:rFonts w:ascii="Times New Roman" w:hAnsi="Times New Roman" w:eastAsia="宋体"/>
                <w:szCs w:val="21"/>
              </w:rPr>
              <w:t>客观项</w:t>
            </w:r>
          </w:p>
        </w:tc>
        <w:tc>
          <w:tcPr>
            <w:tcW w:w="1307" w:type="dxa"/>
            <w:vAlign w:val="center"/>
          </w:tcPr>
          <w:p>
            <w:pPr>
              <w:rPr>
                <w:rFonts w:ascii="Times New Roman" w:hAnsi="Times New Roman" w:eastAsia="Times New Roman"/>
                <w:szCs w:val="21"/>
              </w:rPr>
            </w:pPr>
            <w:r>
              <w:rPr>
                <w:rFonts w:ascii="Times New Roman" w:hAnsi="Times New Roman" w:eastAsia="Times New Roman"/>
                <w:szCs w:val="21"/>
              </w:rPr>
              <w:t>2</w:t>
            </w:r>
            <w:r>
              <w:rPr>
                <w:rFonts w:ascii="Times New Roman" w:hAnsi="Times New Roman" w:eastAsia="宋体"/>
                <w:szCs w:val="21"/>
              </w:rPr>
              <w:t>.</w:t>
            </w:r>
            <w:r>
              <w:rPr>
                <w:rFonts w:ascii="Times New Roman" w:hAnsi="Times New Roman" w:eastAsia="Times New Roman"/>
                <w:szCs w:val="21"/>
              </w:rPr>
              <w:t>1</w:t>
            </w:r>
            <w:r>
              <w:rPr>
                <w:rFonts w:ascii="Times New Roman" w:hAnsi="Times New Roman" w:eastAsia="宋体"/>
                <w:szCs w:val="21"/>
              </w:rPr>
              <w:t>技术指标响应情况（</w:t>
            </w:r>
            <w:r>
              <w:rPr>
                <w:rFonts w:ascii="Times New Roman" w:hAnsi="Times New Roman" w:eastAsia="Times New Roman"/>
                <w:szCs w:val="21"/>
              </w:rPr>
              <w:t>0</w:t>
            </w:r>
            <w:r>
              <w:rPr>
                <w:rFonts w:ascii="Times New Roman" w:hAnsi="Times New Roman" w:eastAsia="宋体"/>
                <w:szCs w:val="21"/>
              </w:rPr>
              <w:t>-</w:t>
            </w:r>
            <w:r>
              <w:rPr>
                <w:rFonts w:hint="eastAsia" w:ascii="Times New Roman" w:hAnsi="Times New Roman" w:eastAsiaTheme="minorEastAsia"/>
                <w:szCs w:val="21"/>
                <w:lang w:val="en-US"/>
              </w:rPr>
              <w:t>5</w:t>
            </w:r>
            <w:r>
              <w:rPr>
                <w:rFonts w:ascii="Times New Roman" w:hAnsi="Times New Roman" w:eastAsiaTheme="minorEastAsia"/>
                <w:szCs w:val="21"/>
                <w:lang w:val="en-US"/>
              </w:rPr>
              <w:t>2</w:t>
            </w:r>
            <w:r>
              <w:rPr>
                <w:rFonts w:ascii="Times New Roman" w:hAnsi="Times New Roman" w:eastAsia="宋体"/>
                <w:szCs w:val="21"/>
              </w:rPr>
              <w:t>分）</w:t>
            </w:r>
          </w:p>
        </w:tc>
        <w:tc>
          <w:tcPr>
            <w:tcW w:w="6128" w:type="dxa"/>
            <w:vAlign w:val="center"/>
          </w:tcPr>
          <w:p>
            <w:pPr>
              <w:tabs>
                <w:tab w:val="left" w:pos="0"/>
              </w:tabs>
              <w:rPr>
                <w:rFonts w:ascii="Times New Roman" w:hAnsi="Times New Roman" w:eastAsia="宋体"/>
                <w:szCs w:val="21"/>
              </w:rPr>
            </w:pPr>
            <w:r>
              <w:rPr>
                <w:rFonts w:ascii="Times New Roman" w:hAnsi="Times New Roman" w:eastAsia="宋体"/>
                <w:szCs w:val="21"/>
              </w:rPr>
              <w:t>根据投标人提供的</w:t>
            </w:r>
            <w:r>
              <w:rPr>
                <w:rFonts w:hint="eastAsia" w:ascii="Times New Roman" w:hAnsi="Times New Roman" w:eastAsia="宋体"/>
                <w:szCs w:val="21"/>
              </w:rPr>
              <w:t>证明材料</w:t>
            </w:r>
            <w:r>
              <w:rPr>
                <w:rFonts w:ascii="宋体" w:hAnsi="宋体" w:eastAsia="宋体"/>
                <w:szCs w:val="21"/>
              </w:rPr>
              <w:t>，</w:t>
            </w:r>
            <w:r>
              <w:rPr>
                <w:rFonts w:ascii="Times New Roman" w:hAnsi="Times New Roman" w:eastAsia="宋体"/>
                <w:szCs w:val="21"/>
              </w:rPr>
              <w:t>对照招标文件“技术要求”进行响应情况的客观打分</w:t>
            </w:r>
            <w:r>
              <w:rPr>
                <w:rFonts w:hint="eastAsia" w:ascii="Times New Roman" w:hAnsi="Times New Roman" w:eastAsia="宋体"/>
                <w:szCs w:val="21"/>
              </w:rPr>
              <w:t>，以技术规范偏离表及证明材料佐证。</w:t>
            </w:r>
          </w:p>
          <w:p>
            <w:pPr>
              <w:tabs>
                <w:tab w:val="left" w:pos="0"/>
              </w:tabs>
              <w:rPr>
                <w:rFonts w:ascii="Times New Roman" w:hAnsi="Times New Roman" w:eastAsia="宋体"/>
                <w:szCs w:val="21"/>
              </w:rPr>
            </w:pPr>
            <w:r>
              <w:rPr>
                <w:rFonts w:hint="eastAsia" w:ascii="Times New Roman" w:hAnsi="Times New Roman" w:eastAsia="宋体"/>
                <w:szCs w:val="21"/>
                <w:lang w:val="en-US"/>
              </w:rPr>
              <w:t>1、</w:t>
            </w:r>
            <w:r>
              <w:rPr>
                <w:rFonts w:hint="eastAsia" w:ascii="Times New Roman" w:hAnsi="Times New Roman" w:eastAsia="宋体"/>
                <w:szCs w:val="21"/>
              </w:rPr>
              <w:t>满足全部技术</w:t>
            </w:r>
            <w:r>
              <w:rPr>
                <w:rFonts w:hint="eastAsia" w:ascii="Times New Roman" w:hAnsi="Times New Roman" w:eastAsia="宋体"/>
                <w:szCs w:val="21"/>
                <w:lang w:val="en-US"/>
              </w:rPr>
              <w:t>指标最低要求</w:t>
            </w:r>
            <w:r>
              <w:rPr>
                <w:rFonts w:hint="eastAsia" w:ascii="Times New Roman" w:hAnsi="Times New Roman" w:eastAsia="宋体"/>
                <w:szCs w:val="21"/>
              </w:rPr>
              <w:t>的，得5</w:t>
            </w:r>
            <w:r>
              <w:rPr>
                <w:rFonts w:ascii="Times New Roman" w:hAnsi="Times New Roman" w:eastAsia="宋体"/>
                <w:szCs w:val="21"/>
                <w:lang w:val="en-US"/>
              </w:rPr>
              <w:t>2</w:t>
            </w:r>
            <w:r>
              <w:rPr>
                <w:rFonts w:hint="eastAsia" w:ascii="Times New Roman" w:hAnsi="Times New Roman" w:eastAsia="宋体"/>
                <w:szCs w:val="21"/>
              </w:rPr>
              <w:t>分；</w:t>
            </w:r>
          </w:p>
          <w:p>
            <w:pPr>
              <w:tabs>
                <w:tab w:val="left" w:pos="0"/>
              </w:tabs>
            </w:pPr>
            <w:r>
              <w:rPr>
                <w:rFonts w:hint="eastAsia" w:ascii="Times New Roman" w:hAnsi="Times New Roman" w:eastAsia="宋体"/>
                <w:szCs w:val="21"/>
              </w:rPr>
              <w:t>2、</w:t>
            </w:r>
            <w:r>
              <w:rPr>
                <w:rFonts w:ascii="Times New Roman" w:hAnsi="Times New Roman" w:eastAsia="宋体"/>
              </w:rPr>
              <w:t>“</w:t>
            </w:r>
            <w:r>
              <w:rPr>
                <w:rFonts w:ascii="Segoe UI Symbol" w:hAnsi="Segoe UI Symbol" w:eastAsia="宋体" w:cs="Segoe UI Symbol"/>
              </w:rPr>
              <w:t>★</w:t>
            </w:r>
            <w:r>
              <w:rPr>
                <w:rFonts w:ascii="Times New Roman" w:hAnsi="Times New Roman" w:eastAsia="宋体"/>
              </w:rPr>
              <w:t>”代表关键指标</w:t>
            </w:r>
            <w:r>
              <w:rPr>
                <w:rFonts w:hint="eastAsia" w:ascii="Times New Roman" w:hAnsi="Times New Roman" w:eastAsia="宋体"/>
              </w:rPr>
              <w:t>项，</w:t>
            </w:r>
            <w:r>
              <w:rPr>
                <w:rFonts w:hint="eastAsia" w:ascii="Times New Roman" w:hAnsi="Times New Roman" w:eastAsia="宋体"/>
                <w:szCs w:val="21"/>
              </w:rPr>
              <w:t>有</w:t>
            </w:r>
            <w:r>
              <w:rPr>
                <w:rFonts w:hint="eastAsia" w:ascii="Times New Roman" w:hAnsi="Times New Roman" w:eastAsia="宋体"/>
                <w:szCs w:val="21"/>
                <w:lang w:val="en-US"/>
              </w:rPr>
              <w:t>7</w:t>
            </w:r>
            <w:r>
              <w:rPr>
                <w:rFonts w:hint="eastAsia" w:ascii="Times New Roman" w:hAnsi="Times New Roman" w:eastAsia="宋体"/>
                <w:szCs w:val="21"/>
              </w:rPr>
              <w:t>项，每有一项不满足扣</w:t>
            </w:r>
            <w:r>
              <w:rPr>
                <w:rFonts w:hint="eastAsia" w:ascii="Times New Roman" w:hAnsi="Times New Roman" w:eastAsia="宋体"/>
                <w:szCs w:val="21"/>
                <w:lang w:val="en-US" w:eastAsia="zh-CN"/>
              </w:rPr>
              <w:t>5</w:t>
            </w:r>
            <w:r>
              <w:rPr>
                <w:rFonts w:hint="eastAsia" w:ascii="Times New Roman" w:hAnsi="Times New Roman" w:eastAsia="宋体"/>
                <w:szCs w:val="21"/>
              </w:rPr>
              <w:t>分，共</w:t>
            </w:r>
            <w:r>
              <w:rPr>
                <w:rFonts w:hint="eastAsia" w:ascii="Times New Roman" w:hAnsi="Times New Roman" w:eastAsia="宋体"/>
                <w:szCs w:val="21"/>
                <w:lang w:val="en-US" w:eastAsia="zh-CN"/>
              </w:rPr>
              <w:t>35</w:t>
            </w:r>
            <w:r>
              <w:rPr>
                <w:rFonts w:hint="eastAsia" w:ascii="Times New Roman" w:hAnsi="Times New Roman" w:eastAsia="宋体"/>
                <w:szCs w:val="21"/>
              </w:rPr>
              <w:t>分；</w:t>
            </w:r>
          </w:p>
          <w:p>
            <w:pPr>
              <w:tabs>
                <w:tab w:val="left" w:pos="0"/>
              </w:tabs>
            </w:pPr>
            <w:r>
              <w:rPr>
                <w:rFonts w:hint="eastAsia" w:ascii="Times New Roman" w:hAnsi="Times New Roman" w:eastAsia="宋体"/>
              </w:rPr>
              <w:t>3、</w:t>
            </w:r>
            <w:r>
              <w:rPr>
                <w:rFonts w:hint="eastAsia" w:ascii="Times New Roman" w:hAnsi="Times New Roman" w:eastAsia="宋体"/>
                <w:szCs w:val="21"/>
              </w:rPr>
              <w:t>“▲”为重要指标项，有</w:t>
            </w:r>
            <w:r>
              <w:rPr>
                <w:rFonts w:ascii="Times New Roman" w:hAnsi="Times New Roman" w:eastAsia="宋体"/>
                <w:szCs w:val="21"/>
                <w:lang w:val="en-US"/>
              </w:rPr>
              <w:t>4</w:t>
            </w:r>
            <w:r>
              <w:rPr>
                <w:rFonts w:hint="eastAsia" w:ascii="Times New Roman" w:hAnsi="Times New Roman" w:eastAsia="宋体"/>
                <w:szCs w:val="21"/>
              </w:rPr>
              <w:t>项，每有一项不满足扣</w:t>
            </w:r>
            <w:r>
              <w:rPr>
                <w:rFonts w:hint="eastAsia" w:ascii="Times New Roman" w:hAnsi="Times New Roman" w:eastAsia="宋体"/>
                <w:szCs w:val="21"/>
                <w:lang w:val="en-US" w:eastAsia="zh-CN"/>
              </w:rPr>
              <w:t>3.5</w:t>
            </w:r>
            <w:r>
              <w:rPr>
                <w:rFonts w:hint="eastAsia" w:ascii="Times New Roman" w:hAnsi="Times New Roman" w:eastAsia="宋体"/>
                <w:szCs w:val="21"/>
              </w:rPr>
              <w:t>分，共</w:t>
            </w:r>
            <w:r>
              <w:rPr>
                <w:rFonts w:hint="eastAsia" w:ascii="Times New Roman" w:hAnsi="Times New Roman" w:eastAsia="宋体"/>
                <w:szCs w:val="21"/>
                <w:lang w:val="en-US" w:eastAsia="zh-CN"/>
              </w:rPr>
              <w:t>14</w:t>
            </w:r>
            <w:r>
              <w:rPr>
                <w:rFonts w:hint="eastAsia" w:ascii="Times New Roman" w:hAnsi="Times New Roman" w:eastAsia="宋体"/>
                <w:szCs w:val="21"/>
              </w:rPr>
              <w:t>分；</w:t>
            </w:r>
          </w:p>
          <w:p>
            <w:pPr>
              <w:tabs>
                <w:tab w:val="left" w:pos="0"/>
              </w:tabs>
              <w:rPr>
                <w:rFonts w:ascii="Times New Roman" w:hAnsi="Times New Roman" w:eastAsia="宋体"/>
                <w:szCs w:val="21"/>
              </w:rPr>
            </w:pPr>
            <w:r>
              <w:rPr>
                <w:rFonts w:ascii="Times New Roman" w:hAnsi="Times New Roman" w:eastAsia="宋体"/>
                <w:szCs w:val="21"/>
                <w:lang w:val="en-US"/>
              </w:rPr>
              <w:t>4</w:t>
            </w:r>
            <w:r>
              <w:rPr>
                <w:rFonts w:hint="eastAsia" w:ascii="Times New Roman" w:hAnsi="Times New Roman" w:eastAsia="宋体"/>
                <w:szCs w:val="21"/>
              </w:rPr>
              <w:t>、无标识项代表一般指标项，有</w:t>
            </w:r>
            <w:r>
              <w:rPr>
                <w:rFonts w:ascii="Times New Roman" w:hAnsi="Times New Roman" w:eastAsia="宋体"/>
                <w:szCs w:val="21"/>
                <w:lang w:val="en-US"/>
              </w:rPr>
              <w:t>1</w:t>
            </w:r>
            <w:r>
              <w:rPr>
                <w:rFonts w:hint="eastAsia" w:ascii="Times New Roman" w:hAnsi="Times New Roman" w:eastAsia="宋体"/>
                <w:szCs w:val="21"/>
                <w:lang w:val="en-US"/>
              </w:rPr>
              <w:t>5</w:t>
            </w:r>
            <w:r>
              <w:rPr>
                <w:rFonts w:hint="eastAsia" w:ascii="Times New Roman" w:hAnsi="Times New Roman" w:eastAsia="宋体"/>
                <w:szCs w:val="21"/>
              </w:rPr>
              <w:t>项，每有一项不满足扣</w:t>
            </w:r>
            <w:r>
              <w:rPr>
                <w:rFonts w:hint="eastAsia" w:ascii="Times New Roman" w:hAnsi="Times New Roman" w:eastAsia="宋体"/>
                <w:szCs w:val="21"/>
                <w:lang w:val="en-US" w:eastAsia="zh-CN"/>
              </w:rPr>
              <w:t>0.2</w:t>
            </w:r>
            <w:r>
              <w:rPr>
                <w:rFonts w:hint="eastAsia" w:ascii="Times New Roman" w:hAnsi="Times New Roman" w:eastAsia="宋体"/>
                <w:szCs w:val="21"/>
              </w:rPr>
              <w:t>分，共</w:t>
            </w:r>
            <w:r>
              <w:rPr>
                <w:rFonts w:hint="eastAsia" w:ascii="Times New Roman" w:hAnsi="Times New Roman" w:eastAsia="宋体"/>
                <w:szCs w:val="21"/>
                <w:lang w:val="en-US" w:eastAsia="zh-CN"/>
              </w:rPr>
              <w:t>3</w:t>
            </w:r>
            <w:r>
              <w:rPr>
                <w:rFonts w:hint="eastAsia" w:ascii="Times New Roman" w:hAnsi="Times New Roman" w:eastAsia="宋体"/>
                <w:szCs w:val="21"/>
              </w:rPr>
              <w:t>分。</w:t>
            </w:r>
          </w:p>
          <w:p>
            <w:pPr>
              <w:tabs>
                <w:tab w:val="left" w:pos="0"/>
              </w:tabs>
              <w:rPr>
                <w:rFonts w:ascii="Times New Roman" w:hAnsi="Times New Roman" w:eastAsia="宋体"/>
                <w:szCs w:val="21"/>
              </w:rPr>
            </w:pPr>
            <w:r>
              <w:rPr>
                <w:rFonts w:hint="eastAsia" w:ascii="Times New Roman" w:hAnsi="Times New Roman" w:eastAsia="宋体"/>
                <w:szCs w:val="21"/>
              </w:rPr>
              <w:t>（注：被发现有虚假投标则投标人的投标将被拒绝）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0" w:type="dxa"/>
            <w:vAlign w:val="center"/>
          </w:tcPr>
          <w:p>
            <w:pPr>
              <w:ind w:right="-105" w:rightChars="-50"/>
              <w:jc w:val="center"/>
              <w:rPr>
                <w:rFonts w:ascii="Times New Roman" w:hAnsi="Times New Roman" w:eastAsia="宋体"/>
                <w:szCs w:val="21"/>
              </w:rPr>
            </w:pPr>
            <w:r>
              <w:rPr>
                <w:rFonts w:hint="eastAsia" w:ascii="Times New Roman" w:hAnsi="Times New Roman" w:eastAsia="宋体"/>
                <w:szCs w:val="21"/>
              </w:rPr>
              <w:t>第1</w:t>
            </w:r>
            <w:r>
              <w:rPr>
                <w:rFonts w:ascii="Times New Roman" w:hAnsi="Times New Roman" w:eastAsia="宋体"/>
                <w:szCs w:val="21"/>
              </w:rPr>
              <w:t>1</w:t>
            </w:r>
            <w:r>
              <w:rPr>
                <w:rFonts w:hint="eastAsia" w:ascii="Times New Roman" w:hAnsi="Times New Roman" w:eastAsia="宋体"/>
                <w:szCs w:val="21"/>
              </w:rPr>
              <w:t>包</w:t>
            </w:r>
            <w:r>
              <w:rPr>
                <w:rFonts w:ascii="Times New Roman" w:hAnsi="Times New Roman" w:eastAsia="宋体"/>
                <w:szCs w:val="21"/>
              </w:rPr>
              <w:t>客观项</w:t>
            </w:r>
          </w:p>
        </w:tc>
        <w:tc>
          <w:tcPr>
            <w:tcW w:w="1307" w:type="dxa"/>
            <w:vAlign w:val="center"/>
          </w:tcPr>
          <w:p>
            <w:pPr>
              <w:rPr>
                <w:rFonts w:ascii="Times New Roman" w:hAnsi="Times New Roman" w:eastAsia="Times New Roman"/>
                <w:szCs w:val="21"/>
              </w:rPr>
            </w:pPr>
            <w:r>
              <w:rPr>
                <w:rFonts w:ascii="Times New Roman" w:hAnsi="Times New Roman" w:eastAsia="Times New Roman"/>
                <w:szCs w:val="21"/>
              </w:rPr>
              <w:t>2</w:t>
            </w:r>
            <w:r>
              <w:rPr>
                <w:rFonts w:ascii="Times New Roman" w:hAnsi="Times New Roman" w:eastAsia="宋体"/>
                <w:szCs w:val="21"/>
              </w:rPr>
              <w:t>.</w:t>
            </w:r>
            <w:r>
              <w:rPr>
                <w:rFonts w:ascii="Times New Roman" w:hAnsi="Times New Roman" w:eastAsia="Times New Roman"/>
                <w:szCs w:val="21"/>
              </w:rPr>
              <w:t>1</w:t>
            </w:r>
            <w:r>
              <w:rPr>
                <w:rFonts w:ascii="Times New Roman" w:hAnsi="Times New Roman" w:eastAsia="宋体"/>
                <w:szCs w:val="21"/>
              </w:rPr>
              <w:t>技术指标响应情况（</w:t>
            </w:r>
            <w:r>
              <w:rPr>
                <w:rFonts w:ascii="Times New Roman" w:hAnsi="Times New Roman" w:eastAsia="Times New Roman"/>
                <w:szCs w:val="21"/>
              </w:rPr>
              <w:t>0</w:t>
            </w:r>
            <w:r>
              <w:rPr>
                <w:rFonts w:ascii="Times New Roman" w:hAnsi="Times New Roman" w:eastAsia="宋体"/>
                <w:szCs w:val="21"/>
              </w:rPr>
              <w:t>-</w:t>
            </w:r>
            <w:r>
              <w:rPr>
                <w:rFonts w:hint="eastAsia" w:ascii="Times New Roman" w:hAnsi="Times New Roman" w:eastAsiaTheme="minorEastAsia"/>
                <w:szCs w:val="21"/>
                <w:lang w:val="en-US"/>
              </w:rPr>
              <w:t>5</w:t>
            </w:r>
            <w:r>
              <w:rPr>
                <w:rFonts w:ascii="Times New Roman" w:hAnsi="Times New Roman" w:eastAsiaTheme="minorEastAsia"/>
                <w:szCs w:val="21"/>
                <w:lang w:val="en-US"/>
              </w:rPr>
              <w:t>2</w:t>
            </w:r>
            <w:r>
              <w:rPr>
                <w:rFonts w:ascii="Times New Roman" w:hAnsi="Times New Roman" w:eastAsia="宋体"/>
                <w:szCs w:val="21"/>
              </w:rPr>
              <w:t>分）</w:t>
            </w:r>
          </w:p>
        </w:tc>
        <w:tc>
          <w:tcPr>
            <w:tcW w:w="6128" w:type="dxa"/>
            <w:vAlign w:val="center"/>
          </w:tcPr>
          <w:p>
            <w:pPr>
              <w:tabs>
                <w:tab w:val="left" w:pos="0"/>
              </w:tabs>
              <w:rPr>
                <w:rFonts w:ascii="Times New Roman" w:hAnsi="Times New Roman" w:eastAsia="宋体"/>
              </w:rPr>
            </w:pPr>
            <w:r>
              <w:rPr>
                <w:rFonts w:ascii="Times New Roman" w:hAnsi="Times New Roman" w:eastAsia="宋体"/>
              </w:rPr>
              <w:t>根据投标人提供的</w:t>
            </w:r>
            <w:r>
              <w:rPr>
                <w:rFonts w:hint="eastAsia" w:ascii="Times New Roman" w:hAnsi="Times New Roman" w:eastAsia="宋体"/>
              </w:rPr>
              <w:t>证明材料</w:t>
            </w:r>
            <w:r>
              <w:rPr>
                <w:rFonts w:ascii="Times New Roman" w:hAnsi="Times New Roman" w:eastAsia="宋体"/>
              </w:rPr>
              <w:t>，对照招标文件“技术要求”进行响应情况的客观打分</w:t>
            </w:r>
            <w:r>
              <w:rPr>
                <w:rFonts w:hint="eastAsia" w:ascii="Times New Roman" w:hAnsi="Times New Roman" w:eastAsia="宋体"/>
              </w:rPr>
              <w:t>，以技术规范偏离表及证明材料佐证。</w:t>
            </w:r>
          </w:p>
          <w:p>
            <w:pPr>
              <w:pStyle w:val="176"/>
              <w:numPr>
                <w:ilvl w:val="0"/>
                <w:numId w:val="31"/>
              </w:numPr>
              <w:tabs>
                <w:tab w:val="left" w:pos="0"/>
              </w:tabs>
              <w:rPr>
                <w:rFonts w:ascii="Times New Roman" w:hAnsi="Times New Roman" w:eastAsia="宋体"/>
                <w:color w:val="auto"/>
              </w:rPr>
            </w:pPr>
            <w:r>
              <w:rPr>
                <w:rFonts w:hint="eastAsia" w:ascii="Times New Roman" w:hAnsi="Times New Roman" w:eastAsia="宋体"/>
                <w:color w:val="auto"/>
              </w:rPr>
              <w:t>满足全部技术指标最低要求的，得5</w:t>
            </w:r>
            <w:r>
              <w:rPr>
                <w:rFonts w:ascii="Times New Roman" w:hAnsi="Times New Roman" w:eastAsia="宋体"/>
                <w:color w:val="auto"/>
              </w:rPr>
              <w:t>2</w:t>
            </w:r>
            <w:r>
              <w:rPr>
                <w:rFonts w:hint="eastAsia" w:ascii="Times New Roman" w:hAnsi="Times New Roman" w:eastAsia="宋体"/>
                <w:color w:val="auto"/>
              </w:rPr>
              <w:t>分；</w:t>
            </w:r>
          </w:p>
          <w:p>
            <w:pPr>
              <w:tabs>
                <w:tab w:val="left" w:pos="0"/>
              </w:tabs>
              <w:rPr>
                <w:rFonts w:ascii="Times New Roman" w:hAnsi="Times New Roman" w:eastAsia="宋体"/>
              </w:rPr>
            </w:pPr>
            <w:r>
              <w:rPr>
                <w:rFonts w:hint="eastAsia" w:ascii="Times New Roman" w:hAnsi="Times New Roman" w:eastAsia="宋体"/>
              </w:rPr>
              <w:t>2、</w:t>
            </w:r>
            <w:r>
              <w:rPr>
                <w:rFonts w:ascii="Times New Roman" w:hAnsi="Times New Roman" w:eastAsia="宋体"/>
              </w:rPr>
              <w:t>“</w:t>
            </w:r>
            <w:r>
              <w:rPr>
                <w:rFonts w:ascii="Segoe UI Symbol" w:hAnsi="Segoe UI Symbol" w:eastAsia="宋体" w:cs="Segoe UI Symbol"/>
              </w:rPr>
              <w:t>★</w:t>
            </w:r>
            <w:r>
              <w:rPr>
                <w:rFonts w:ascii="Times New Roman" w:hAnsi="Times New Roman" w:eastAsia="宋体"/>
              </w:rPr>
              <w:t>”代表关键指标</w:t>
            </w:r>
            <w:r>
              <w:rPr>
                <w:rFonts w:hint="eastAsia" w:ascii="Times New Roman" w:hAnsi="Times New Roman" w:eastAsia="宋体"/>
              </w:rPr>
              <w:t>项，有5项，每有一项不满足扣5分，共</w:t>
            </w:r>
            <w:r>
              <w:rPr>
                <w:rFonts w:ascii="Times New Roman" w:hAnsi="Times New Roman" w:eastAsia="宋体"/>
              </w:rPr>
              <w:t>2</w:t>
            </w:r>
            <w:r>
              <w:rPr>
                <w:rFonts w:hint="eastAsia" w:ascii="Times New Roman" w:hAnsi="Times New Roman" w:eastAsia="宋体"/>
              </w:rPr>
              <w:t>5分；</w:t>
            </w:r>
          </w:p>
          <w:p>
            <w:pPr>
              <w:tabs>
                <w:tab w:val="left" w:pos="0"/>
              </w:tabs>
              <w:rPr>
                <w:rFonts w:ascii="Times New Roman" w:hAnsi="Times New Roman" w:eastAsia="宋体"/>
              </w:rPr>
            </w:pPr>
            <w:r>
              <w:rPr>
                <w:rFonts w:hint="eastAsia" w:ascii="Times New Roman" w:hAnsi="Times New Roman" w:eastAsia="宋体"/>
              </w:rPr>
              <w:t>3、“▲”为重要指标项，有4项，每有一项不满足扣</w:t>
            </w:r>
            <w:r>
              <w:rPr>
                <w:rFonts w:ascii="Times New Roman" w:hAnsi="Times New Roman" w:eastAsia="宋体"/>
              </w:rPr>
              <w:t>2</w:t>
            </w:r>
            <w:r>
              <w:rPr>
                <w:rFonts w:hint="eastAsia" w:ascii="Times New Roman" w:hAnsi="Times New Roman" w:eastAsia="宋体"/>
              </w:rPr>
              <w:t>.25分，共</w:t>
            </w:r>
            <w:r>
              <w:rPr>
                <w:rFonts w:ascii="Times New Roman" w:hAnsi="Times New Roman" w:eastAsia="宋体"/>
              </w:rPr>
              <w:t>9</w:t>
            </w:r>
            <w:r>
              <w:rPr>
                <w:rFonts w:hint="eastAsia" w:ascii="Times New Roman" w:hAnsi="Times New Roman" w:eastAsia="宋体"/>
              </w:rPr>
              <w:t>分；</w:t>
            </w:r>
          </w:p>
          <w:p>
            <w:pPr>
              <w:tabs>
                <w:tab w:val="left" w:pos="0"/>
              </w:tabs>
              <w:rPr>
                <w:rFonts w:ascii="Times New Roman" w:hAnsi="Times New Roman" w:eastAsia="宋体"/>
              </w:rPr>
            </w:pPr>
            <w:r>
              <w:rPr>
                <w:rFonts w:hint="eastAsia" w:ascii="Times New Roman" w:hAnsi="Times New Roman" w:eastAsia="宋体"/>
              </w:rPr>
              <w:t>4、无标识项代表一般指标项，有9项，每有一项不满足扣2分，共18分。</w:t>
            </w:r>
          </w:p>
          <w:p>
            <w:pPr>
              <w:tabs>
                <w:tab w:val="left" w:pos="0"/>
              </w:tabs>
              <w:rPr>
                <w:rFonts w:ascii="Times New Roman" w:hAnsi="Times New Roman" w:eastAsia="宋体"/>
              </w:rPr>
            </w:pPr>
            <w:r>
              <w:rPr>
                <w:rFonts w:hint="eastAsia" w:ascii="Times New Roman" w:hAnsi="Times New Roman" w:eastAsia="宋体"/>
              </w:rPr>
              <w:t>（注：被发现有虚假投标则投标人的投标将被拒绝）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8465" w:type="dxa"/>
            <w:gridSpan w:val="3"/>
            <w:shd w:val="clear" w:color="auto" w:fill="auto"/>
            <w:vAlign w:val="center"/>
          </w:tcPr>
          <w:p>
            <w:pPr>
              <w:snapToGrid w:val="0"/>
              <w:rPr>
                <w:rFonts w:ascii="Times New Roman" w:hAnsi="Times New Roman" w:eastAsia="宋体"/>
                <w:szCs w:val="21"/>
              </w:rPr>
            </w:pPr>
            <w:r>
              <w:rPr>
                <w:rFonts w:ascii="Times New Roman" w:hAnsi="Times New Roman" w:eastAsia="Times New Roman"/>
                <w:szCs w:val="21"/>
              </w:rPr>
              <w:t>3</w:t>
            </w:r>
            <w:r>
              <w:rPr>
                <w:rFonts w:ascii="Times New Roman" w:hAnsi="Times New Roman" w:eastAsia="宋体"/>
                <w:szCs w:val="21"/>
              </w:rPr>
              <w:t>. 服务部分（</w:t>
            </w:r>
            <w:r>
              <w:rPr>
                <w:rFonts w:ascii="Times New Roman" w:hAnsi="Times New Roman" w:eastAsia="Times New Roman"/>
                <w:szCs w:val="21"/>
              </w:rPr>
              <w:t>1</w:t>
            </w:r>
            <w:r>
              <w:rPr>
                <w:rFonts w:ascii="Times New Roman" w:hAnsi="Times New Roman" w:eastAsia="宋体"/>
                <w:szCs w:val="21"/>
                <w:lang w:val="en-US"/>
              </w:rPr>
              <w:t>2</w:t>
            </w:r>
            <w:r>
              <w:rPr>
                <w:rFonts w:ascii="Times New Roman" w:hAnsi="Times New Roman" w:eastAsia="宋体"/>
                <w:szCs w:val="21"/>
              </w:rPr>
              <w:t>分）</w:t>
            </w:r>
          </w:p>
          <w:p>
            <w:pPr>
              <w:snapToGrid w:val="0"/>
              <w:rPr>
                <w:rFonts w:ascii="Times New Roman" w:hAnsi="Times New Roman" w:eastAsia="宋体"/>
                <w:szCs w:val="21"/>
              </w:rPr>
            </w:pPr>
            <w:r>
              <w:rPr>
                <w:rFonts w:ascii="Times New Roman" w:hAnsi="Times New Roman" w:eastAsia="宋体"/>
                <w:b/>
                <w:bCs/>
                <w:szCs w:val="21"/>
              </w:rPr>
              <w:t>服务要求中“</w:t>
            </w:r>
            <w:r>
              <w:rPr>
                <w:rFonts w:eastAsia="宋体"/>
                <w:b/>
                <w:bCs/>
              </w:rPr>
              <w:t>*</w:t>
            </w:r>
            <w:r>
              <w:rPr>
                <w:rFonts w:ascii="Times New Roman" w:hAnsi="Times New Roman" w:eastAsia="宋体"/>
                <w:b/>
                <w:bCs/>
                <w:szCs w:val="21"/>
              </w:rPr>
              <w:t>”项为</w:t>
            </w:r>
            <w:r>
              <w:rPr>
                <w:rFonts w:hint="eastAsia" w:ascii="Times New Roman" w:hAnsi="Times New Roman" w:eastAsia="宋体"/>
                <w:b/>
                <w:bCs/>
                <w:szCs w:val="21"/>
              </w:rPr>
              <w:t>实质性要求</w:t>
            </w:r>
            <w:r>
              <w:rPr>
                <w:rFonts w:ascii="宋体" w:hAnsi="宋体" w:eastAsia="宋体"/>
                <w:b/>
                <w:bCs/>
                <w:szCs w:val="21"/>
              </w:rPr>
              <w:t>，</w:t>
            </w:r>
            <w:r>
              <w:rPr>
                <w:rFonts w:hint="eastAsia" w:ascii="Times New Roman" w:hAnsi="Times New Roman" w:eastAsia="宋体"/>
                <w:b/>
                <w:bCs/>
                <w:szCs w:val="21"/>
              </w:rPr>
              <w:t>有一项不满足</w:t>
            </w:r>
            <w:r>
              <w:rPr>
                <w:rFonts w:ascii="宋体" w:hAnsi="宋体" w:eastAsia="宋体"/>
                <w:b/>
                <w:bCs/>
                <w:szCs w:val="21"/>
              </w:rPr>
              <w:t>，</w:t>
            </w:r>
            <w:r>
              <w:rPr>
                <w:rFonts w:hint="eastAsia" w:ascii="宋体" w:hAnsi="宋体" w:eastAsia="宋体"/>
                <w:b/>
                <w:bCs/>
                <w:szCs w:val="21"/>
              </w:rPr>
              <w:t>投标将被拒绝</w:t>
            </w:r>
            <w:r>
              <w:rPr>
                <w:rFonts w:ascii="Times New Roman" w:hAnsi="Times New Roman" w:eastAsia="宋体"/>
                <w:b/>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1030" w:type="dxa"/>
            <w:shd w:val="clear" w:color="auto" w:fill="auto"/>
            <w:vAlign w:val="center"/>
          </w:tcPr>
          <w:p>
            <w:pPr>
              <w:spacing w:before="120" w:after="120"/>
              <w:jc w:val="center"/>
              <w:rPr>
                <w:rFonts w:ascii="Times New Roman" w:hAnsi="Times New Roman" w:eastAsia="宋体"/>
                <w:color w:val="000000"/>
                <w:szCs w:val="21"/>
                <w:lang w:val="en-US"/>
              </w:rPr>
            </w:pPr>
            <w:r>
              <w:rPr>
                <w:rFonts w:hint="eastAsia" w:ascii="Times New Roman" w:hAnsi="Times New Roman" w:eastAsia="宋体"/>
                <w:color w:val="000000"/>
                <w:szCs w:val="21"/>
                <w:lang w:val="en-US"/>
              </w:rPr>
              <w:t>客观项</w:t>
            </w:r>
          </w:p>
        </w:tc>
        <w:tc>
          <w:tcPr>
            <w:tcW w:w="1307" w:type="dxa"/>
            <w:shd w:val="clear" w:color="auto" w:fill="auto"/>
            <w:vAlign w:val="center"/>
          </w:tcPr>
          <w:p>
            <w:pPr>
              <w:spacing w:before="120" w:after="120"/>
              <w:rPr>
                <w:rFonts w:ascii="Times New Roman" w:hAnsi="Times New Roman" w:eastAsia="宋体"/>
                <w:color w:val="000000"/>
                <w:szCs w:val="21"/>
              </w:rPr>
            </w:pPr>
            <w:r>
              <w:rPr>
                <w:rFonts w:hint="eastAsia" w:ascii="Times New Roman" w:hAnsi="Times New Roman" w:eastAsia="宋体"/>
                <w:color w:val="000000"/>
                <w:szCs w:val="21"/>
              </w:rPr>
              <w:t>3</w:t>
            </w:r>
            <w:r>
              <w:rPr>
                <w:rFonts w:ascii="Times New Roman" w:hAnsi="Times New Roman" w:eastAsia="宋体"/>
                <w:color w:val="000000"/>
                <w:szCs w:val="21"/>
              </w:rPr>
              <w:t>.1</w:t>
            </w:r>
            <w:r>
              <w:rPr>
                <w:rFonts w:hint="eastAsia" w:ascii="Times New Roman" w:hAnsi="Times New Roman" w:eastAsia="宋体"/>
                <w:color w:val="000000"/>
                <w:szCs w:val="21"/>
              </w:rPr>
              <w:t>质保期要求（0</w:t>
            </w:r>
            <w:r>
              <w:rPr>
                <w:rFonts w:ascii="Times New Roman" w:hAnsi="Times New Roman" w:eastAsia="宋体"/>
                <w:color w:val="000000"/>
                <w:szCs w:val="21"/>
              </w:rPr>
              <w:t>-2</w:t>
            </w:r>
            <w:r>
              <w:rPr>
                <w:rFonts w:hint="eastAsia" w:ascii="Times New Roman" w:hAnsi="Times New Roman" w:eastAsia="宋体"/>
                <w:color w:val="000000"/>
                <w:szCs w:val="21"/>
              </w:rPr>
              <w:t>分）</w:t>
            </w:r>
          </w:p>
        </w:tc>
        <w:tc>
          <w:tcPr>
            <w:tcW w:w="6128" w:type="dxa"/>
            <w:shd w:val="clear" w:color="auto" w:fill="auto"/>
            <w:vAlign w:val="center"/>
          </w:tcPr>
          <w:p>
            <w:pPr>
              <w:tabs>
                <w:tab w:val="left" w:pos="0"/>
              </w:tabs>
              <w:jc w:val="both"/>
              <w:rPr>
                <w:rFonts w:ascii="Times New Roman" w:hAnsi="Times New Roman" w:eastAsia="宋体"/>
                <w:color w:val="000000"/>
                <w:szCs w:val="21"/>
                <w:lang w:val="en-US"/>
              </w:rPr>
            </w:pPr>
            <w:r>
              <w:rPr>
                <w:rFonts w:ascii="Times New Roman" w:hAnsi="Times New Roman" w:eastAsia="宋体"/>
                <w:szCs w:val="22"/>
              </w:rPr>
              <w:t>质量保证期（简称“质保期”）</w:t>
            </w:r>
            <w:r>
              <w:rPr>
                <w:rFonts w:hint="eastAsia" w:ascii="Times New Roman" w:hAnsi="Times New Roman" w:eastAsia="宋体"/>
                <w:szCs w:val="22"/>
              </w:rPr>
              <w:t>最低要求</w:t>
            </w:r>
            <w:r>
              <w:rPr>
                <w:rFonts w:ascii="Times New Roman" w:hAnsi="Times New Roman" w:eastAsia="宋体"/>
                <w:szCs w:val="22"/>
              </w:rPr>
              <w:t>为</w:t>
            </w:r>
            <w:r>
              <w:rPr>
                <w:rFonts w:hint="eastAsia" w:ascii="Times New Roman" w:hAnsi="Times New Roman" w:eastAsia="宋体"/>
                <w:szCs w:val="22"/>
              </w:rPr>
              <w:t>5</w:t>
            </w:r>
            <w:r>
              <w:rPr>
                <w:rFonts w:ascii="Times New Roman" w:hAnsi="Times New Roman" w:eastAsia="宋体"/>
                <w:szCs w:val="22"/>
              </w:rPr>
              <w:t>年</w:t>
            </w:r>
            <w:r>
              <w:rPr>
                <w:rFonts w:hint="eastAsia" w:ascii="Times New Roman" w:hAnsi="Times New Roman" w:eastAsia="宋体"/>
                <w:szCs w:val="22"/>
              </w:rPr>
              <w:t>。质保期每增加1年，加1分；最高得2分，最低得0分。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0" w:type="dxa"/>
            <w:shd w:val="clear" w:color="auto" w:fill="auto"/>
            <w:vAlign w:val="center"/>
          </w:tcPr>
          <w:p>
            <w:pPr>
              <w:spacing w:before="120" w:after="120"/>
              <w:jc w:val="center"/>
              <w:rPr>
                <w:rFonts w:ascii="Times New Roman" w:hAnsi="Times New Roman" w:eastAsia="宋体"/>
                <w:szCs w:val="21"/>
                <w:lang w:val="en-US"/>
              </w:rPr>
            </w:pPr>
            <w:r>
              <w:rPr>
                <w:rFonts w:hint="eastAsia" w:ascii="Times New Roman" w:hAnsi="Times New Roman" w:eastAsia="宋体"/>
                <w:szCs w:val="21"/>
                <w:lang w:val="en-US"/>
              </w:rPr>
              <w:t>主</w:t>
            </w:r>
            <w:r>
              <w:rPr>
                <w:rFonts w:ascii="Times New Roman" w:hAnsi="Times New Roman" w:eastAsia="宋体"/>
                <w:szCs w:val="21"/>
              </w:rPr>
              <w:t>观项</w:t>
            </w:r>
          </w:p>
        </w:tc>
        <w:tc>
          <w:tcPr>
            <w:tcW w:w="1307" w:type="dxa"/>
            <w:shd w:val="clear" w:color="auto" w:fill="auto"/>
            <w:vAlign w:val="center"/>
          </w:tcPr>
          <w:p>
            <w:pPr>
              <w:spacing w:before="120" w:after="120"/>
              <w:rPr>
                <w:rFonts w:ascii="Times New Roman" w:hAnsi="Times New Roman" w:eastAsia="宋体"/>
                <w:color w:val="000000"/>
                <w:szCs w:val="21"/>
              </w:rPr>
            </w:pPr>
            <w:r>
              <w:rPr>
                <w:rFonts w:ascii="Times New Roman" w:hAnsi="Times New Roman" w:eastAsia="宋体"/>
                <w:color w:val="000000"/>
                <w:szCs w:val="21"/>
              </w:rPr>
              <w:t>3.</w:t>
            </w:r>
            <w:r>
              <w:rPr>
                <w:rFonts w:ascii="Times New Roman" w:hAnsi="Times New Roman" w:eastAsia="宋体"/>
                <w:color w:val="000000"/>
                <w:szCs w:val="21"/>
                <w:lang w:val="en-US"/>
              </w:rPr>
              <w:t>2</w:t>
            </w:r>
            <w:r>
              <w:rPr>
                <w:rFonts w:ascii="Times New Roman" w:hAnsi="Times New Roman" w:eastAsia="宋体"/>
                <w:color w:val="000000"/>
                <w:szCs w:val="21"/>
              </w:rPr>
              <w:t>售后服务</w:t>
            </w:r>
            <w:r>
              <w:rPr>
                <w:rFonts w:hint="eastAsia" w:ascii="Times New Roman" w:hAnsi="Times New Roman" w:eastAsia="宋体"/>
                <w:color w:val="000000"/>
                <w:szCs w:val="21"/>
                <w:lang w:val="en-US"/>
              </w:rPr>
              <w:t>方案</w:t>
            </w:r>
            <w:r>
              <w:rPr>
                <w:rFonts w:ascii="Times New Roman" w:hAnsi="Times New Roman" w:eastAsia="宋体"/>
                <w:color w:val="000000"/>
                <w:szCs w:val="21"/>
              </w:rPr>
              <w:t>（0-</w:t>
            </w:r>
            <w:r>
              <w:rPr>
                <w:rFonts w:ascii="Times New Roman" w:hAnsi="Times New Roman" w:eastAsia="宋体"/>
                <w:color w:val="000000"/>
                <w:szCs w:val="21"/>
                <w:lang w:val="en-US"/>
              </w:rPr>
              <w:t>5</w:t>
            </w:r>
            <w:r>
              <w:rPr>
                <w:rFonts w:ascii="Times New Roman" w:hAnsi="Times New Roman" w:eastAsia="宋体"/>
                <w:color w:val="000000"/>
                <w:szCs w:val="21"/>
              </w:rPr>
              <w:t>分）</w:t>
            </w:r>
          </w:p>
        </w:tc>
        <w:tc>
          <w:tcPr>
            <w:tcW w:w="6128" w:type="dxa"/>
            <w:shd w:val="clear" w:color="auto" w:fill="auto"/>
            <w:vAlign w:val="center"/>
          </w:tcPr>
          <w:p>
            <w:pPr>
              <w:tabs>
                <w:tab w:val="left" w:pos="0"/>
              </w:tabs>
              <w:rPr>
                <w:rFonts w:ascii="Times New Roman" w:hAnsi="Times New Roman" w:eastAsia="宋体"/>
                <w:color w:val="000000"/>
                <w:szCs w:val="21"/>
              </w:rPr>
            </w:pPr>
            <w:r>
              <w:rPr>
                <w:rFonts w:ascii="Times New Roman" w:hAnsi="Times New Roman" w:eastAsia="宋体"/>
                <w:color w:val="000000"/>
                <w:szCs w:val="21"/>
              </w:rPr>
              <w:t>根据投标人提供的售后服务方案内容进行综合评分：</w:t>
            </w:r>
          </w:p>
          <w:p>
            <w:pPr>
              <w:numPr>
                <w:ilvl w:val="0"/>
                <w:numId w:val="32"/>
              </w:numPr>
              <w:tabs>
                <w:tab w:val="left" w:pos="0"/>
              </w:tabs>
              <w:jc w:val="both"/>
              <w:rPr>
                <w:rFonts w:ascii="Times New Roman" w:hAnsi="Times New Roman" w:eastAsia="宋体"/>
                <w:color w:val="000000"/>
                <w:szCs w:val="21"/>
              </w:rPr>
            </w:pPr>
            <w:r>
              <w:rPr>
                <w:rFonts w:ascii="Times New Roman" w:hAnsi="Times New Roman" w:eastAsia="宋体"/>
                <w:color w:val="000000"/>
                <w:szCs w:val="21"/>
              </w:rPr>
              <w:t>售后服务方案充分考虑实际需求，售后能力及服务响应及时，匹配本次采购需求特点</w:t>
            </w:r>
            <w:r>
              <w:rPr>
                <w:rFonts w:hint="eastAsia" w:ascii="Times New Roman" w:hAnsi="Times New Roman" w:eastAsia="宋体"/>
                <w:color w:val="000000"/>
                <w:szCs w:val="21"/>
              </w:rPr>
              <w:t>的，</w:t>
            </w:r>
            <w:r>
              <w:rPr>
                <w:rFonts w:ascii="Times New Roman" w:hAnsi="Times New Roman" w:eastAsia="宋体"/>
                <w:color w:val="000000"/>
                <w:szCs w:val="21"/>
              </w:rPr>
              <w:t>得</w:t>
            </w:r>
            <w:r>
              <w:rPr>
                <w:rFonts w:ascii="Times New Roman" w:hAnsi="Times New Roman" w:eastAsia="宋体"/>
                <w:color w:val="000000"/>
                <w:szCs w:val="21"/>
                <w:lang w:val="en-US"/>
              </w:rPr>
              <w:t>5</w:t>
            </w:r>
            <w:r>
              <w:rPr>
                <w:rFonts w:ascii="Times New Roman" w:hAnsi="Times New Roman" w:eastAsia="宋体"/>
                <w:color w:val="000000"/>
                <w:szCs w:val="21"/>
              </w:rPr>
              <w:t>分；</w:t>
            </w:r>
          </w:p>
          <w:p>
            <w:pPr>
              <w:numPr>
                <w:ilvl w:val="0"/>
                <w:numId w:val="32"/>
              </w:numPr>
              <w:tabs>
                <w:tab w:val="left" w:pos="0"/>
              </w:tabs>
              <w:jc w:val="both"/>
              <w:rPr>
                <w:rFonts w:ascii="Times New Roman" w:hAnsi="Times New Roman" w:eastAsia="宋体"/>
                <w:color w:val="000000"/>
                <w:szCs w:val="21"/>
              </w:rPr>
            </w:pPr>
            <w:r>
              <w:rPr>
                <w:rFonts w:ascii="Times New Roman" w:hAnsi="Times New Roman" w:eastAsia="宋体"/>
                <w:color w:val="000000"/>
                <w:szCs w:val="21"/>
              </w:rPr>
              <w:t>售后服务方案</w:t>
            </w:r>
            <w:r>
              <w:rPr>
                <w:rFonts w:hint="eastAsia" w:ascii="Times New Roman" w:hAnsi="Times New Roman" w:eastAsia="宋体"/>
                <w:color w:val="000000"/>
                <w:szCs w:val="21"/>
              </w:rPr>
              <w:t>基本满足</w:t>
            </w:r>
            <w:r>
              <w:rPr>
                <w:rFonts w:ascii="Times New Roman" w:hAnsi="Times New Roman" w:eastAsia="宋体"/>
                <w:color w:val="000000"/>
                <w:szCs w:val="21"/>
              </w:rPr>
              <w:t>实际需求，售后能力及服务响应较</w:t>
            </w:r>
            <w:r>
              <w:rPr>
                <w:rFonts w:hint="eastAsia" w:ascii="Times New Roman" w:hAnsi="Times New Roman" w:eastAsia="宋体"/>
                <w:color w:val="000000"/>
                <w:szCs w:val="21"/>
              </w:rPr>
              <w:t>为</w:t>
            </w:r>
            <w:r>
              <w:rPr>
                <w:rFonts w:ascii="Times New Roman" w:hAnsi="Times New Roman" w:eastAsia="宋体"/>
                <w:color w:val="000000"/>
                <w:szCs w:val="21"/>
              </w:rPr>
              <w:t>及时，基本符合本次采购需求特点的</w:t>
            </w:r>
            <w:r>
              <w:rPr>
                <w:rFonts w:hint="eastAsia" w:ascii="Times New Roman" w:hAnsi="Times New Roman" w:eastAsia="宋体"/>
                <w:color w:val="000000"/>
                <w:szCs w:val="21"/>
              </w:rPr>
              <w:t>，</w:t>
            </w:r>
            <w:r>
              <w:rPr>
                <w:rFonts w:ascii="Times New Roman" w:hAnsi="Times New Roman" w:eastAsia="宋体"/>
                <w:color w:val="000000"/>
                <w:szCs w:val="21"/>
              </w:rPr>
              <w:t>得</w:t>
            </w:r>
            <w:r>
              <w:rPr>
                <w:rFonts w:ascii="Times New Roman" w:hAnsi="Times New Roman" w:eastAsia="宋体"/>
                <w:color w:val="000000"/>
                <w:szCs w:val="21"/>
                <w:lang w:val="en-US"/>
              </w:rPr>
              <w:t>3</w:t>
            </w:r>
            <w:r>
              <w:rPr>
                <w:rFonts w:ascii="Times New Roman" w:hAnsi="Times New Roman" w:eastAsia="宋体"/>
                <w:color w:val="000000"/>
                <w:szCs w:val="21"/>
              </w:rPr>
              <w:t>分；</w:t>
            </w:r>
          </w:p>
          <w:p>
            <w:pPr>
              <w:numPr>
                <w:ilvl w:val="0"/>
                <w:numId w:val="32"/>
              </w:numPr>
              <w:tabs>
                <w:tab w:val="left" w:pos="0"/>
              </w:tabs>
              <w:jc w:val="both"/>
              <w:rPr>
                <w:rFonts w:ascii="Times New Roman" w:hAnsi="Times New Roman" w:eastAsia="宋体"/>
                <w:color w:val="000000"/>
                <w:szCs w:val="21"/>
                <w:highlight w:val="none"/>
              </w:rPr>
            </w:pPr>
            <w:r>
              <w:rPr>
                <w:rFonts w:ascii="Times New Roman" w:hAnsi="Times New Roman" w:eastAsia="宋体"/>
                <w:color w:val="000000"/>
                <w:szCs w:val="21"/>
                <w:highlight w:val="none"/>
              </w:rPr>
              <w:t>售后服务方案未考虑实际需求，售后能力及服务响应不</w:t>
            </w:r>
            <w:r>
              <w:rPr>
                <w:rFonts w:hint="eastAsia" w:ascii="Times New Roman" w:hAnsi="Times New Roman" w:eastAsia="宋体"/>
                <w:color w:val="000000"/>
                <w:szCs w:val="21"/>
                <w:highlight w:val="none"/>
                <w:lang w:val="en-US" w:eastAsia="zh-CN"/>
              </w:rPr>
              <w:t>够</w:t>
            </w:r>
            <w:r>
              <w:rPr>
                <w:rFonts w:ascii="Times New Roman" w:hAnsi="Times New Roman" w:eastAsia="宋体"/>
                <w:color w:val="000000"/>
                <w:szCs w:val="21"/>
                <w:highlight w:val="none"/>
              </w:rPr>
              <w:t>及时的</w:t>
            </w:r>
            <w:r>
              <w:rPr>
                <w:rFonts w:hint="eastAsia" w:ascii="Times New Roman" w:hAnsi="Times New Roman" w:eastAsia="宋体"/>
                <w:color w:val="000000"/>
                <w:szCs w:val="21"/>
                <w:highlight w:val="none"/>
              </w:rPr>
              <w:t>，得</w:t>
            </w:r>
            <w:r>
              <w:rPr>
                <w:rFonts w:ascii="Times New Roman" w:hAnsi="Times New Roman" w:eastAsia="宋体"/>
                <w:color w:val="000000"/>
                <w:szCs w:val="21"/>
                <w:highlight w:val="none"/>
                <w:lang w:val="en-US"/>
              </w:rPr>
              <w:t>1</w:t>
            </w:r>
            <w:r>
              <w:rPr>
                <w:rFonts w:ascii="Times New Roman" w:hAnsi="Times New Roman" w:eastAsia="宋体"/>
                <w:color w:val="000000"/>
                <w:szCs w:val="21"/>
                <w:highlight w:val="none"/>
              </w:rPr>
              <w:t>分</w:t>
            </w:r>
            <w:r>
              <w:rPr>
                <w:rFonts w:hint="eastAsia" w:ascii="Times New Roman" w:hAnsi="Times New Roman" w:eastAsia="宋体"/>
                <w:color w:val="000000"/>
                <w:szCs w:val="21"/>
                <w:highlight w:val="none"/>
              </w:rPr>
              <w:t>；</w:t>
            </w:r>
          </w:p>
          <w:p>
            <w:pPr>
              <w:tabs>
                <w:tab w:val="left" w:pos="0"/>
              </w:tabs>
              <w:rPr>
                <w:rFonts w:ascii="Times New Roman" w:hAnsi="Times New Roman" w:eastAsia="宋体"/>
                <w:color w:val="000000"/>
                <w:szCs w:val="21"/>
              </w:rPr>
            </w:pPr>
            <w:r>
              <w:rPr>
                <w:rFonts w:hint="eastAsia" w:ascii="Times New Roman" w:hAnsi="Times New Roman" w:eastAsia="宋体"/>
                <w:color w:val="000000"/>
                <w:szCs w:val="21"/>
                <w:lang w:val="en-US"/>
              </w:rPr>
              <w:t>4、</w:t>
            </w:r>
            <w:r>
              <w:rPr>
                <w:rFonts w:ascii="Times New Roman" w:hAnsi="Times New Roman" w:eastAsia="宋体"/>
                <w:color w:val="000000"/>
                <w:szCs w:val="21"/>
              </w:rPr>
              <w:t>未提供</w:t>
            </w:r>
            <w:r>
              <w:rPr>
                <w:rFonts w:hint="eastAsia" w:ascii="Times New Roman" w:hAnsi="Times New Roman" w:eastAsia="宋体"/>
                <w:color w:val="000000"/>
                <w:szCs w:val="21"/>
              </w:rPr>
              <w:t>或提供的不符合要求的，</w:t>
            </w:r>
            <w:r>
              <w:rPr>
                <w:rFonts w:ascii="Times New Roman" w:hAnsi="Times New Roman" w:eastAsia="宋体"/>
                <w:color w:val="000000"/>
                <w:szCs w:val="21"/>
              </w:rPr>
              <w:t>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0" w:type="dxa"/>
            <w:shd w:val="clear" w:color="auto" w:fill="auto"/>
            <w:vAlign w:val="center"/>
          </w:tcPr>
          <w:p>
            <w:pPr>
              <w:spacing w:before="120" w:after="120"/>
              <w:jc w:val="center"/>
              <w:rPr>
                <w:rFonts w:ascii="Times New Roman" w:hAnsi="Times New Roman" w:eastAsia="宋体"/>
                <w:color w:val="000000"/>
                <w:szCs w:val="21"/>
              </w:rPr>
            </w:pPr>
            <w:r>
              <w:rPr>
                <w:rFonts w:hint="eastAsia" w:ascii="Times New Roman" w:hAnsi="Times New Roman" w:eastAsia="宋体"/>
                <w:szCs w:val="21"/>
                <w:lang w:val="en-US"/>
              </w:rPr>
              <w:t>主</w:t>
            </w:r>
            <w:r>
              <w:rPr>
                <w:rFonts w:ascii="Times New Roman" w:hAnsi="Times New Roman" w:eastAsia="宋体"/>
                <w:szCs w:val="21"/>
              </w:rPr>
              <w:t>观项</w:t>
            </w:r>
          </w:p>
        </w:tc>
        <w:tc>
          <w:tcPr>
            <w:tcW w:w="1307" w:type="dxa"/>
            <w:shd w:val="clear" w:color="auto" w:fill="auto"/>
            <w:vAlign w:val="center"/>
          </w:tcPr>
          <w:p>
            <w:pPr>
              <w:spacing w:before="120" w:after="120"/>
              <w:rPr>
                <w:rFonts w:ascii="Times New Roman" w:hAnsi="Times New Roman" w:eastAsia="宋体"/>
                <w:color w:val="000000"/>
                <w:szCs w:val="21"/>
              </w:rPr>
            </w:pPr>
            <w:r>
              <w:rPr>
                <w:rFonts w:ascii="Times New Roman" w:hAnsi="Times New Roman" w:eastAsia="宋体"/>
                <w:color w:val="000000"/>
                <w:szCs w:val="21"/>
              </w:rPr>
              <w:t>3.</w:t>
            </w:r>
            <w:r>
              <w:rPr>
                <w:rFonts w:ascii="Times New Roman" w:hAnsi="Times New Roman" w:eastAsia="宋体"/>
                <w:color w:val="000000"/>
                <w:szCs w:val="21"/>
                <w:lang w:val="en-US"/>
              </w:rPr>
              <w:t>3</w:t>
            </w:r>
            <w:r>
              <w:rPr>
                <w:rFonts w:ascii="Times New Roman" w:hAnsi="Times New Roman" w:eastAsia="宋体"/>
                <w:color w:val="000000"/>
                <w:szCs w:val="21"/>
              </w:rPr>
              <w:t>培训方案（0-</w:t>
            </w:r>
            <w:r>
              <w:rPr>
                <w:rFonts w:ascii="Times New Roman" w:hAnsi="Times New Roman" w:eastAsia="宋体"/>
                <w:color w:val="000000"/>
                <w:szCs w:val="21"/>
                <w:lang w:val="en-US"/>
              </w:rPr>
              <w:t>5</w:t>
            </w:r>
            <w:r>
              <w:rPr>
                <w:rFonts w:ascii="Times New Roman" w:hAnsi="Times New Roman" w:eastAsia="宋体"/>
                <w:color w:val="000000"/>
                <w:szCs w:val="21"/>
              </w:rPr>
              <w:t>分）</w:t>
            </w:r>
          </w:p>
        </w:tc>
        <w:tc>
          <w:tcPr>
            <w:tcW w:w="6128" w:type="dxa"/>
            <w:shd w:val="clear" w:color="auto" w:fill="auto"/>
            <w:vAlign w:val="center"/>
          </w:tcPr>
          <w:p>
            <w:pPr>
              <w:tabs>
                <w:tab w:val="left" w:pos="0"/>
              </w:tabs>
              <w:rPr>
                <w:rFonts w:ascii="Times New Roman" w:hAnsi="Times New Roman" w:eastAsia="宋体"/>
                <w:color w:val="000000"/>
                <w:szCs w:val="21"/>
              </w:rPr>
            </w:pPr>
            <w:r>
              <w:rPr>
                <w:rFonts w:ascii="Times New Roman" w:hAnsi="Times New Roman" w:eastAsia="宋体"/>
                <w:color w:val="000000"/>
                <w:szCs w:val="21"/>
              </w:rPr>
              <w:t>根据投标人提供的培训方案内容进行综合评分：</w:t>
            </w:r>
          </w:p>
          <w:p>
            <w:pPr>
              <w:tabs>
                <w:tab w:val="left" w:pos="0"/>
              </w:tabs>
              <w:rPr>
                <w:rFonts w:ascii="Times New Roman" w:hAnsi="Times New Roman" w:eastAsia="宋体"/>
                <w:color w:val="000000"/>
                <w:szCs w:val="21"/>
              </w:rPr>
            </w:pPr>
            <w:r>
              <w:rPr>
                <w:rFonts w:ascii="Times New Roman" w:hAnsi="Times New Roman" w:eastAsia="宋体"/>
                <w:color w:val="000000"/>
                <w:szCs w:val="21"/>
              </w:rPr>
              <w:t>1、培训方案编制合理，关键节点的控制措施</w:t>
            </w:r>
            <w:r>
              <w:rPr>
                <w:rFonts w:hint="eastAsia" w:ascii="Times New Roman" w:hAnsi="Times New Roman" w:eastAsia="宋体"/>
                <w:color w:val="000000"/>
                <w:szCs w:val="21"/>
              </w:rPr>
              <w:t>切实可行、</w:t>
            </w:r>
            <w:r>
              <w:rPr>
                <w:rFonts w:ascii="Times New Roman" w:hAnsi="Times New Roman" w:eastAsia="宋体"/>
                <w:color w:val="000000"/>
                <w:szCs w:val="21"/>
              </w:rPr>
              <w:t>培训内容全面丰富的</w:t>
            </w:r>
            <w:r>
              <w:rPr>
                <w:rFonts w:hint="eastAsia" w:ascii="Times New Roman" w:hAnsi="Times New Roman" w:eastAsia="宋体"/>
                <w:color w:val="000000"/>
                <w:szCs w:val="21"/>
              </w:rPr>
              <w:t>，</w:t>
            </w:r>
            <w:r>
              <w:rPr>
                <w:rFonts w:ascii="Times New Roman" w:hAnsi="Times New Roman" w:eastAsia="宋体"/>
                <w:color w:val="000000"/>
                <w:szCs w:val="21"/>
              </w:rPr>
              <w:t>得</w:t>
            </w:r>
            <w:r>
              <w:rPr>
                <w:rFonts w:ascii="Times New Roman" w:hAnsi="Times New Roman" w:eastAsia="宋体"/>
                <w:color w:val="000000"/>
                <w:szCs w:val="21"/>
                <w:lang w:val="en-US"/>
              </w:rPr>
              <w:t>5</w:t>
            </w:r>
            <w:r>
              <w:rPr>
                <w:rFonts w:ascii="Times New Roman" w:hAnsi="Times New Roman" w:eastAsia="宋体"/>
                <w:color w:val="000000"/>
                <w:szCs w:val="21"/>
              </w:rPr>
              <w:t>分；</w:t>
            </w:r>
          </w:p>
          <w:p>
            <w:pPr>
              <w:tabs>
                <w:tab w:val="left" w:pos="0"/>
              </w:tabs>
              <w:rPr>
                <w:rFonts w:ascii="Times New Roman" w:hAnsi="Times New Roman" w:eastAsia="宋体"/>
                <w:color w:val="000000"/>
                <w:szCs w:val="21"/>
              </w:rPr>
            </w:pPr>
            <w:r>
              <w:rPr>
                <w:rFonts w:ascii="Times New Roman" w:hAnsi="Times New Roman" w:eastAsia="宋体"/>
                <w:color w:val="000000"/>
                <w:szCs w:val="21"/>
              </w:rPr>
              <w:t>2、培训方案编制合理</w:t>
            </w:r>
            <w:r>
              <w:rPr>
                <w:rFonts w:hint="eastAsia" w:ascii="Times New Roman" w:hAnsi="Times New Roman" w:eastAsia="宋体"/>
                <w:color w:val="000000"/>
                <w:szCs w:val="21"/>
                <w:lang w:val="en-US"/>
              </w:rPr>
              <w:t>性一般</w:t>
            </w:r>
            <w:r>
              <w:rPr>
                <w:rFonts w:ascii="Times New Roman" w:hAnsi="Times New Roman" w:eastAsia="宋体"/>
                <w:color w:val="000000"/>
                <w:szCs w:val="21"/>
              </w:rPr>
              <w:t>，关键节点的控制措施</w:t>
            </w:r>
            <w:r>
              <w:rPr>
                <w:rFonts w:hint="eastAsia" w:ascii="Times New Roman" w:hAnsi="Times New Roman" w:eastAsia="宋体"/>
                <w:color w:val="000000"/>
                <w:szCs w:val="21"/>
                <w:lang w:val="en-US"/>
              </w:rPr>
              <w:t>一般</w:t>
            </w:r>
            <w:r>
              <w:rPr>
                <w:rFonts w:hint="eastAsia" w:ascii="Times New Roman" w:hAnsi="Times New Roman" w:eastAsia="宋体"/>
                <w:color w:val="000000"/>
                <w:szCs w:val="21"/>
              </w:rPr>
              <w:t>可行</w:t>
            </w:r>
            <w:r>
              <w:rPr>
                <w:rFonts w:ascii="Times New Roman" w:hAnsi="Times New Roman" w:eastAsia="宋体"/>
                <w:color w:val="000000"/>
                <w:szCs w:val="21"/>
              </w:rPr>
              <w:t>、培训内容</w:t>
            </w:r>
            <w:r>
              <w:rPr>
                <w:rFonts w:hint="eastAsia" w:ascii="Times New Roman" w:hAnsi="Times New Roman" w:eastAsia="宋体"/>
                <w:color w:val="000000"/>
                <w:szCs w:val="21"/>
                <w:lang w:val="en-US"/>
              </w:rPr>
              <w:t>一般</w:t>
            </w:r>
            <w:r>
              <w:rPr>
                <w:rFonts w:hint="eastAsia" w:ascii="Times New Roman" w:hAnsi="Times New Roman" w:eastAsia="宋体"/>
                <w:color w:val="000000"/>
                <w:szCs w:val="21"/>
              </w:rPr>
              <w:t>的，</w:t>
            </w:r>
            <w:r>
              <w:rPr>
                <w:rFonts w:ascii="Times New Roman" w:hAnsi="Times New Roman" w:eastAsia="宋体"/>
                <w:color w:val="000000"/>
                <w:szCs w:val="21"/>
              </w:rPr>
              <w:t>得</w:t>
            </w:r>
            <w:r>
              <w:rPr>
                <w:rFonts w:ascii="Times New Roman" w:hAnsi="Times New Roman" w:eastAsia="宋体"/>
                <w:color w:val="000000"/>
                <w:szCs w:val="21"/>
                <w:lang w:val="en-US"/>
              </w:rPr>
              <w:t>3</w:t>
            </w:r>
            <w:r>
              <w:rPr>
                <w:rFonts w:ascii="Times New Roman" w:hAnsi="Times New Roman" w:eastAsia="宋体"/>
                <w:color w:val="000000"/>
                <w:szCs w:val="21"/>
              </w:rPr>
              <w:t>分；</w:t>
            </w:r>
          </w:p>
          <w:p>
            <w:pPr>
              <w:tabs>
                <w:tab w:val="left" w:pos="0"/>
              </w:tabs>
              <w:rPr>
                <w:rFonts w:ascii="Times New Roman" w:hAnsi="Times New Roman" w:eastAsia="宋体"/>
                <w:color w:val="000000"/>
                <w:szCs w:val="21"/>
              </w:rPr>
            </w:pPr>
            <w:r>
              <w:rPr>
                <w:rFonts w:hint="eastAsia" w:ascii="Times New Roman" w:hAnsi="Times New Roman" w:eastAsia="宋体"/>
                <w:color w:val="000000"/>
                <w:szCs w:val="21"/>
                <w:lang w:val="en-US"/>
              </w:rPr>
              <w:t>3</w:t>
            </w:r>
            <w:r>
              <w:rPr>
                <w:rFonts w:ascii="Times New Roman" w:hAnsi="Times New Roman" w:eastAsia="宋体"/>
                <w:color w:val="000000"/>
                <w:szCs w:val="21"/>
              </w:rPr>
              <w:t>、培训方案编制不够合理，关键节点的控制措施不</w:t>
            </w:r>
            <w:r>
              <w:rPr>
                <w:rFonts w:hint="eastAsia" w:ascii="Times New Roman" w:hAnsi="Times New Roman" w:eastAsia="宋体"/>
                <w:color w:val="000000"/>
                <w:szCs w:val="21"/>
              </w:rPr>
              <w:t>可行</w:t>
            </w:r>
            <w:r>
              <w:rPr>
                <w:rFonts w:ascii="Times New Roman" w:hAnsi="Times New Roman" w:eastAsia="宋体"/>
                <w:color w:val="000000"/>
                <w:szCs w:val="21"/>
              </w:rPr>
              <w:t>、培训内容不够全面</w:t>
            </w:r>
            <w:r>
              <w:rPr>
                <w:rFonts w:hint="eastAsia" w:ascii="Times New Roman" w:hAnsi="Times New Roman" w:eastAsia="宋体"/>
                <w:color w:val="000000"/>
                <w:szCs w:val="21"/>
              </w:rPr>
              <w:t>的，</w:t>
            </w:r>
            <w:r>
              <w:rPr>
                <w:rFonts w:ascii="Times New Roman" w:hAnsi="Times New Roman" w:eastAsia="宋体"/>
                <w:color w:val="000000"/>
                <w:szCs w:val="21"/>
              </w:rPr>
              <w:t>得</w:t>
            </w:r>
            <w:r>
              <w:rPr>
                <w:rFonts w:ascii="Times New Roman" w:hAnsi="Times New Roman" w:eastAsia="宋体"/>
                <w:color w:val="000000"/>
                <w:szCs w:val="21"/>
                <w:lang w:val="en-US"/>
              </w:rPr>
              <w:t>1</w:t>
            </w:r>
            <w:r>
              <w:rPr>
                <w:rFonts w:ascii="Times New Roman" w:hAnsi="Times New Roman" w:eastAsia="宋体"/>
                <w:color w:val="000000"/>
                <w:szCs w:val="21"/>
              </w:rPr>
              <w:t>分；</w:t>
            </w:r>
          </w:p>
          <w:p>
            <w:pPr>
              <w:tabs>
                <w:tab w:val="left" w:pos="0"/>
              </w:tabs>
              <w:rPr>
                <w:rFonts w:ascii="Times New Roman" w:hAnsi="Times New Roman" w:eastAsia="宋体"/>
                <w:color w:val="000000"/>
                <w:szCs w:val="21"/>
              </w:rPr>
            </w:pPr>
            <w:r>
              <w:rPr>
                <w:rFonts w:hint="eastAsia" w:ascii="Times New Roman" w:hAnsi="Times New Roman" w:eastAsia="宋体"/>
                <w:color w:val="000000"/>
                <w:szCs w:val="21"/>
                <w:lang w:val="en-US"/>
              </w:rPr>
              <w:t>4、</w:t>
            </w:r>
            <w:r>
              <w:rPr>
                <w:rFonts w:ascii="Times New Roman" w:hAnsi="Times New Roman" w:eastAsia="宋体"/>
                <w:color w:val="000000"/>
                <w:szCs w:val="21"/>
              </w:rPr>
              <w:t>未提供</w:t>
            </w:r>
            <w:r>
              <w:rPr>
                <w:rFonts w:hint="eastAsia" w:ascii="Times New Roman" w:hAnsi="Times New Roman" w:eastAsia="宋体"/>
                <w:color w:val="000000"/>
                <w:szCs w:val="21"/>
              </w:rPr>
              <w:t>或提供的不符合要求的，</w:t>
            </w:r>
            <w:r>
              <w:rPr>
                <w:rFonts w:ascii="Times New Roman" w:hAnsi="Times New Roman" w:eastAsia="宋体"/>
                <w:color w:val="000000"/>
                <w:szCs w:val="21"/>
              </w:rPr>
              <w:t>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8465" w:type="dxa"/>
            <w:gridSpan w:val="3"/>
            <w:vAlign w:val="center"/>
          </w:tcPr>
          <w:p>
            <w:pPr>
              <w:tabs>
                <w:tab w:val="left" w:pos="0"/>
              </w:tabs>
              <w:rPr>
                <w:rFonts w:ascii="Times New Roman" w:hAnsi="Times New Roman" w:eastAsia="宋体"/>
                <w:szCs w:val="21"/>
              </w:rPr>
            </w:pPr>
            <w:r>
              <w:rPr>
                <w:rFonts w:ascii="Times New Roman" w:hAnsi="Times New Roman" w:eastAsia="Times New Roman"/>
                <w:szCs w:val="21"/>
              </w:rPr>
              <w:t>4</w:t>
            </w:r>
            <w:r>
              <w:rPr>
                <w:rFonts w:ascii="Times New Roman" w:hAnsi="Times New Roman" w:eastAsia="宋体"/>
                <w:szCs w:val="21"/>
              </w:rPr>
              <w:t>. 价格部分（</w:t>
            </w:r>
            <w:r>
              <w:rPr>
                <w:rFonts w:ascii="Times New Roman" w:hAnsi="Times New Roman" w:eastAsia="Times New Roman"/>
                <w:szCs w:val="21"/>
              </w:rPr>
              <w:t>30</w:t>
            </w:r>
            <w:r>
              <w:rPr>
                <w:rFonts w:ascii="Times New Roman" w:hAnsi="Times New Roman" w:eastAsia="宋体"/>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0" w:type="dxa"/>
            <w:tcBorders>
              <w:bottom w:val="single" w:color="auto" w:sz="4" w:space="0"/>
            </w:tcBorders>
            <w:vAlign w:val="center"/>
          </w:tcPr>
          <w:p>
            <w:pPr>
              <w:tabs>
                <w:tab w:val="left" w:pos="0"/>
              </w:tabs>
              <w:jc w:val="center"/>
              <w:rPr>
                <w:rFonts w:ascii="Times New Roman" w:hAnsi="Times New Roman" w:eastAsia="宋体"/>
                <w:szCs w:val="21"/>
              </w:rPr>
            </w:pPr>
            <w:r>
              <w:rPr>
                <w:rFonts w:ascii="Times New Roman" w:hAnsi="Times New Roman" w:eastAsia="宋体"/>
                <w:szCs w:val="21"/>
              </w:rPr>
              <w:t>客观项</w:t>
            </w:r>
          </w:p>
        </w:tc>
        <w:tc>
          <w:tcPr>
            <w:tcW w:w="1307" w:type="dxa"/>
            <w:tcBorders>
              <w:bottom w:val="single" w:color="auto" w:sz="4" w:space="0"/>
            </w:tcBorders>
            <w:vAlign w:val="center"/>
          </w:tcPr>
          <w:p>
            <w:pPr>
              <w:tabs>
                <w:tab w:val="left" w:pos="0"/>
              </w:tabs>
              <w:rPr>
                <w:rFonts w:ascii="Times New Roman" w:hAnsi="Times New Roman" w:eastAsia="宋体"/>
                <w:szCs w:val="21"/>
              </w:rPr>
            </w:pPr>
            <w:r>
              <w:rPr>
                <w:rFonts w:ascii="Times New Roman" w:hAnsi="Times New Roman" w:eastAsia="Times New Roman"/>
                <w:szCs w:val="21"/>
              </w:rPr>
              <w:t>4</w:t>
            </w:r>
            <w:r>
              <w:rPr>
                <w:rFonts w:ascii="Times New Roman" w:hAnsi="Times New Roman" w:eastAsia="宋体"/>
                <w:szCs w:val="21"/>
              </w:rPr>
              <w:t>.</w:t>
            </w:r>
            <w:r>
              <w:rPr>
                <w:rFonts w:ascii="Times New Roman" w:hAnsi="Times New Roman" w:eastAsia="Times New Roman"/>
                <w:szCs w:val="21"/>
              </w:rPr>
              <w:t>1</w:t>
            </w:r>
            <w:r>
              <w:rPr>
                <w:rFonts w:ascii="Times New Roman" w:hAnsi="Times New Roman" w:eastAsia="宋体"/>
                <w:szCs w:val="21"/>
              </w:rPr>
              <w:t>价格分（</w:t>
            </w:r>
            <w:r>
              <w:rPr>
                <w:rFonts w:ascii="Times New Roman" w:hAnsi="Times New Roman" w:eastAsia="Times New Roman"/>
                <w:szCs w:val="21"/>
              </w:rPr>
              <w:t>0</w:t>
            </w:r>
            <w:r>
              <w:rPr>
                <w:rFonts w:ascii="Times New Roman" w:hAnsi="Times New Roman" w:eastAsia="宋体"/>
                <w:szCs w:val="21"/>
              </w:rPr>
              <w:t>-</w:t>
            </w:r>
            <w:r>
              <w:rPr>
                <w:rFonts w:ascii="Times New Roman" w:hAnsi="Times New Roman" w:eastAsia="Times New Roman"/>
                <w:szCs w:val="21"/>
              </w:rPr>
              <w:t>30</w:t>
            </w:r>
            <w:r>
              <w:rPr>
                <w:rFonts w:ascii="Times New Roman" w:hAnsi="Times New Roman" w:eastAsia="宋体"/>
                <w:szCs w:val="21"/>
              </w:rPr>
              <w:t>分）</w:t>
            </w:r>
          </w:p>
        </w:tc>
        <w:tc>
          <w:tcPr>
            <w:tcW w:w="6128" w:type="dxa"/>
            <w:tcBorders>
              <w:bottom w:val="single" w:color="auto" w:sz="4" w:space="0"/>
            </w:tcBorders>
            <w:vAlign w:val="center"/>
          </w:tcPr>
          <w:p>
            <w:pPr>
              <w:tabs>
                <w:tab w:val="left" w:pos="0"/>
              </w:tabs>
              <w:rPr>
                <w:rFonts w:ascii="Times New Roman" w:hAnsi="Times New Roman" w:eastAsia="宋体"/>
                <w:szCs w:val="21"/>
              </w:rPr>
            </w:pPr>
            <w:r>
              <w:rPr>
                <w:rFonts w:ascii="Times New Roman" w:hAnsi="Times New Roman" w:eastAsia="宋体"/>
                <w:szCs w:val="21"/>
              </w:rPr>
              <w:t>满足招标文件要求且投标价格最低的投标报价为评标基准价</w:t>
            </w:r>
            <w:r>
              <w:rPr>
                <w:rFonts w:ascii="宋体" w:hAnsi="宋体" w:eastAsia="宋体"/>
                <w:szCs w:val="21"/>
              </w:rPr>
              <w:t>，</w:t>
            </w:r>
            <w:r>
              <w:rPr>
                <w:rFonts w:ascii="Times New Roman" w:hAnsi="Times New Roman" w:eastAsia="宋体"/>
                <w:szCs w:val="21"/>
              </w:rPr>
              <w:t>其价格分为满分。其他投标人的价格分统一按照下列公式计算：投标报价得分=(评标基准价／投标报价)×</w:t>
            </w:r>
            <w:r>
              <w:rPr>
                <w:rFonts w:ascii="Times New Roman" w:hAnsi="Times New Roman" w:eastAsia="Times New Roman"/>
                <w:szCs w:val="21"/>
              </w:rPr>
              <w:t>30</w:t>
            </w:r>
            <w:r>
              <w:rPr>
                <w:rFonts w:ascii="Times New Roman" w:hAnsi="Times New Roman" w:eastAsia="宋体"/>
                <w:szCs w:val="21"/>
              </w:rPr>
              <w:t>%×</w:t>
            </w:r>
            <w:r>
              <w:rPr>
                <w:rFonts w:ascii="Times New Roman" w:hAnsi="Times New Roman" w:eastAsia="Times New Roman"/>
                <w:szCs w:val="21"/>
              </w:rPr>
              <w:t>100</w:t>
            </w:r>
            <w:r>
              <w:rPr>
                <w:rFonts w:ascii="Times New Roman" w:hAnsi="Times New Roman" w:eastAsia="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337" w:type="dxa"/>
            <w:gridSpan w:val="2"/>
            <w:tcBorders>
              <w:top w:val="single" w:color="auto" w:sz="4" w:space="0"/>
              <w:left w:val="single" w:color="auto" w:sz="4" w:space="0"/>
              <w:bottom w:val="single" w:color="auto" w:sz="4" w:space="0"/>
              <w:right w:val="single" w:color="auto" w:sz="4" w:space="0"/>
            </w:tcBorders>
            <w:vAlign w:val="center"/>
          </w:tcPr>
          <w:p>
            <w:pPr>
              <w:tabs>
                <w:tab w:val="left" w:pos="0"/>
              </w:tabs>
              <w:jc w:val="center"/>
              <w:rPr>
                <w:rFonts w:ascii="Times New Roman" w:hAnsi="Times New Roman" w:eastAsia="宋体"/>
                <w:szCs w:val="21"/>
              </w:rPr>
            </w:pPr>
            <w:r>
              <w:rPr>
                <w:rFonts w:ascii="Times New Roman" w:hAnsi="Times New Roman" w:eastAsia="宋体"/>
                <w:szCs w:val="21"/>
              </w:rPr>
              <w:t>总分</w:t>
            </w:r>
          </w:p>
        </w:tc>
        <w:tc>
          <w:tcPr>
            <w:tcW w:w="612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imes New Roman" w:hAnsi="Times New Roman" w:eastAsia="宋体"/>
                <w:szCs w:val="21"/>
              </w:rPr>
            </w:pPr>
            <w:r>
              <w:rPr>
                <w:rFonts w:ascii="Times New Roman" w:hAnsi="Times New Roman" w:eastAsia="Times New Roman"/>
                <w:szCs w:val="21"/>
              </w:rPr>
              <w:t>100</w:t>
            </w:r>
            <w:r>
              <w:rPr>
                <w:rFonts w:ascii="Times New Roman" w:hAnsi="Times New Roman" w:eastAsia="宋体"/>
                <w:szCs w:val="21"/>
              </w:rPr>
              <w:t>分</w:t>
            </w:r>
          </w:p>
        </w:tc>
      </w:tr>
    </w:tbl>
    <w:p>
      <w:pPr>
        <w:pStyle w:val="31"/>
        <w:rPr>
          <w:rFonts w:ascii="Times New Roman" w:hAnsi="Times New Roman" w:eastAsia="宋体"/>
          <w:color w:val="auto"/>
        </w:rPr>
        <w:sectPr>
          <w:headerReference r:id="rId11" w:type="default"/>
          <w:type w:val="continuous"/>
          <w:pgSz w:w="11906" w:h="16838"/>
          <w:pgMar w:top="1440" w:right="1800" w:bottom="1440" w:left="1800" w:header="851" w:footer="992" w:gutter="0"/>
          <w:cols w:space="0" w:num="1"/>
          <w:docGrid w:type="lines" w:linePitch="312" w:charSpace="0"/>
        </w:sectPr>
      </w:pPr>
    </w:p>
    <w:p>
      <w:pPr>
        <w:pStyle w:val="31"/>
        <w:rPr>
          <w:rFonts w:ascii="Times New Roman" w:hAnsi="Times New Roman" w:eastAsia="宋体"/>
          <w:color w:val="auto"/>
        </w:rPr>
      </w:pPr>
    </w:p>
    <w:p/>
    <w:p>
      <w:pPr>
        <w:pStyle w:val="2"/>
        <w:rPr>
          <w:color w:val="auto"/>
        </w:rPr>
      </w:pPr>
      <w:bookmarkStart w:id="87" w:name="_Toc25372"/>
      <w:bookmarkStart w:id="88" w:name="_Toc16531155"/>
      <w:bookmarkStart w:id="89" w:name="_Toc26721"/>
      <w:bookmarkStart w:id="90" w:name="_Toc16531381"/>
      <w:bookmarkStart w:id="91" w:name="_Toc17105"/>
      <w:bookmarkStart w:id="92" w:name="_Toc30248"/>
      <w:bookmarkStart w:id="93" w:name="_Toc24228"/>
      <w:bookmarkStart w:id="94" w:name="_Toc10066"/>
      <w:bookmarkStart w:id="95" w:name="_Toc130309894"/>
      <w:bookmarkStart w:id="96" w:name="_Toc13217"/>
      <w:bookmarkStart w:id="97" w:name="_Toc16531389"/>
      <w:bookmarkStart w:id="98" w:name="_Toc16531163"/>
      <w:bookmarkStart w:id="99" w:name="_Toc30490658"/>
      <w:bookmarkStart w:id="100" w:name="_Toc19782"/>
      <w:bookmarkStart w:id="101" w:name="_Toc19149"/>
      <w:bookmarkStart w:id="102" w:name="_Toc16531182"/>
      <w:bookmarkStart w:id="103" w:name="_Toc16531408"/>
      <w:bookmarkStart w:id="104" w:name="_Toc2604"/>
      <w:r>
        <w:rPr>
          <w:color w:val="auto"/>
        </w:rPr>
        <w:t>采购需求</w:t>
      </w:r>
      <w:bookmarkEnd w:id="87"/>
      <w:bookmarkEnd w:id="88"/>
      <w:bookmarkEnd w:id="89"/>
      <w:bookmarkEnd w:id="90"/>
      <w:bookmarkEnd w:id="91"/>
      <w:bookmarkEnd w:id="92"/>
      <w:bookmarkEnd w:id="93"/>
    </w:p>
    <w:p>
      <w:pPr>
        <w:pStyle w:val="3"/>
        <w:spacing w:before="156"/>
        <w:rPr>
          <w:color w:val="auto"/>
          <w:sz w:val="24"/>
          <w:szCs w:val="24"/>
        </w:rPr>
      </w:pPr>
      <w:bookmarkStart w:id="105" w:name="_Toc5139"/>
      <w:bookmarkStart w:id="106" w:name="_Toc18686"/>
      <w:bookmarkStart w:id="107" w:name="_Toc8069"/>
      <w:bookmarkStart w:id="108" w:name="_Toc14328"/>
      <w:r>
        <w:rPr>
          <w:rFonts w:hint="eastAsia"/>
          <w:color w:val="auto"/>
        </w:rPr>
        <w:t>项目</w:t>
      </w:r>
      <w:r>
        <w:rPr>
          <w:rFonts w:hint="eastAsia"/>
          <w:color w:val="auto"/>
          <w:lang w:val="en-US"/>
        </w:rPr>
        <w:t>概述</w:t>
      </w:r>
      <w:r>
        <w:rPr>
          <w:rFonts w:hint="eastAsia"/>
          <w:color w:val="auto"/>
          <w:sz w:val="24"/>
          <w:szCs w:val="24"/>
          <w:lang w:val="en-US"/>
        </w:rPr>
        <w:t>（</w:t>
      </w:r>
      <w:r>
        <w:rPr>
          <w:rFonts w:hint="eastAsia"/>
          <w:color w:val="auto"/>
          <w:sz w:val="24"/>
          <w:szCs w:val="24"/>
        </w:rPr>
        <w:t>不作为评分项</w:t>
      </w:r>
      <w:r>
        <w:rPr>
          <w:rFonts w:hint="eastAsia"/>
          <w:color w:val="auto"/>
          <w:sz w:val="24"/>
          <w:szCs w:val="24"/>
          <w:lang w:val="en-US"/>
        </w:rPr>
        <w:t>）</w:t>
      </w:r>
      <w:bookmarkEnd w:id="105"/>
    </w:p>
    <w:p>
      <w:pPr>
        <w:ind w:firstLine="420" w:firstLineChars="200"/>
        <w:rPr>
          <w:rFonts w:hint="eastAsia" w:eastAsiaTheme="minorEastAsia"/>
          <w:lang w:eastAsia="zh-CN"/>
        </w:rPr>
      </w:pPr>
      <w:r>
        <w:rPr>
          <w:rFonts w:hint="eastAsia" w:eastAsiaTheme="minorEastAsia"/>
        </w:rPr>
        <w:t>本项目为各海关缉私局采购一批取证类设备，具体采购清单详见下表</w:t>
      </w:r>
      <w:r>
        <w:rPr>
          <w:rFonts w:hint="eastAsia" w:eastAsiaTheme="minorEastAsia"/>
          <w:lang w:eastAsia="zh-CN"/>
        </w:rPr>
        <w:t>：</w:t>
      </w:r>
    </w:p>
    <w:p>
      <w:pPr>
        <w:jc w:val="center"/>
        <w:rPr>
          <w:rFonts w:eastAsiaTheme="minorEastAsia"/>
        </w:rPr>
      </w:pPr>
      <w:r>
        <w:rPr>
          <w:rFonts w:hint="eastAsia" w:eastAsiaTheme="minorEastAsia"/>
        </w:rPr>
        <w:t>采购清单一览表</w:t>
      </w:r>
    </w:p>
    <w:tbl>
      <w:tblPr>
        <w:tblStyle w:val="81"/>
        <w:tblW w:w="81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9"/>
        <w:gridCol w:w="3445"/>
        <w:gridCol w:w="2664"/>
        <w:gridCol w:w="1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839" w:type="dxa"/>
            <w:shd w:val="clear" w:color="auto" w:fill="auto"/>
            <w:noWrap/>
            <w:vAlign w:val="center"/>
          </w:tcPr>
          <w:p>
            <w:pPr>
              <w:jc w:val="center"/>
              <w:rPr>
                <w:rFonts w:ascii="Times New Roman" w:hAnsi="Times New Roman" w:eastAsiaTheme="majorEastAsia"/>
                <w:b/>
                <w:kern w:val="0"/>
                <w:szCs w:val="21"/>
                <w:lang w:val="en-US"/>
              </w:rPr>
            </w:pPr>
            <w:r>
              <w:rPr>
                <w:rFonts w:ascii="Times New Roman" w:hAnsi="Times New Roman" w:eastAsiaTheme="majorEastAsia"/>
                <w:b/>
                <w:kern w:val="0"/>
                <w:szCs w:val="21"/>
                <w:lang w:val="en-US"/>
              </w:rPr>
              <w:t>序号</w:t>
            </w:r>
          </w:p>
        </w:tc>
        <w:tc>
          <w:tcPr>
            <w:tcW w:w="3445" w:type="dxa"/>
            <w:shd w:val="clear" w:color="auto" w:fill="auto"/>
            <w:noWrap/>
            <w:vAlign w:val="center"/>
          </w:tcPr>
          <w:p>
            <w:pPr>
              <w:jc w:val="center"/>
              <w:rPr>
                <w:rFonts w:hint="eastAsia" w:ascii="Times New Roman" w:hAnsi="Times New Roman" w:eastAsiaTheme="majorEastAsia"/>
                <w:b/>
                <w:kern w:val="0"/>
                <w:szCs w:val="21"/>
                <w:lang w:val="en-US" w:eastAsia="zh-CN"/>
              </w:rPr>
            </w:pPr>
            <w:r>
              <w:rPr>
                <w:rFonts w:hint="eastAsia" w:ascii="Times New Roman" w:hAnsi="Times New Roman" w:eastAsiaTheme="majorEastAsia"/>
                <w:b/>
                <w:kern w:val="0"/>
                <w:szCs w:val="21"/>
                <w:lang w:val="en-US" w:eastAsia="zh-CN"/>
              </w:rPr>
              <w:t>采购</w:t>
            </w:r>
            <w:r>
              <w:rPr>
                <w:rFonts w:ascii="Times New Roman" w:hAnsi="Times New Roman" w:eastAsiaTheme="majorEastAsia"/>
                <w:b/>
                <w:kern w:val="0"/>
                <w:szCs w:val="21"/>
                <w:lang w:val="en-US"/>
              </w:rPr>
              <w:t>单位</w:t>
            </w:r>
            <w:r>
              <w:rPr>
                <w:rFonts w:hint="eastAsia" w:ascii="Times New Roman" w:hAnsi="Times New Roman" w:eastAsiaTheme="majorEastAsia"/>
                <w:b/>
                <w:kern w:val="0"/>
                <w:szCs w:val="21"/>
                <w:lang w:val="en-US" w:eastAsia="zh-CN"/>
              </w:rPr>
              <w:t>信息</w:t>
            </w:r>
          </w:p>
        </w:tc>
        <w:tc>
          <w:tcPr>
            <w:tcW w:w="2664" w:type="dxa"/>
            <w:shd w:val="clear" w:color="auto" w:fill="auto"/>
            <w:noWrap/>
            <w:vAlign w:val="center"/>
          </w:tcPr>
          <w:p>
            <w:pPr>
              <w:jc w:val="center"/>
              <w:rPr>
                <w:rFonts w:ascii="Times New Roman" w:hAnsi="Times New Roman" w:eastAsiaTheme="majorEastAsia"/>
                <w:b/>
                <w:kern w:val="0"/>
                <w:szCs w:val="21"/>
                <w:lang w:val="en-US"/>
              </w:rPr>
            </w:pPr>
            <w:r>
              <w:rPr>
                <w:rFonts w:ascii="Times New Roman" w:hAnsi="Times New Roman" w:eastAsiaTheme="majorEastAsia"/>
                <w:b/>
                <w:kern w:val="0"/>
                <w:szCs w:val="21"/>
                <w:lang w:val="en-US"/>
              </w:rPr>
              <w:t>产品名称</w:t>
            </w:r>
          </w:p>
        </w:tc>
        <w:tc>
          <w:tcPr>
            <w:tcW w:w="1175" w:type="dxa"/>
            <w:shd w:val="clear" w:color="auto" w:fill="auto"/>
            <w:noWrap/>
            <w:vAlign w:val="center"/>
          </w:tcPr>
          <w:p>
            <w:pPr>
              <w:jc w:val="center"/>
              <w:rPr>
                <w:rFonts w:ascii="Times New Roman" w:hAnsi="Times New Roman" w:eastAsiaTheme="majorEastAsia"/>
                <w:b/>
                <w:kern w:val="0"/>
                <w:szCs w:val="21"/>
                <w:lang w:val="en-US"/>
              </w:rPr>
            </w:pPr>
            <w:r>
              <w:rPr>
                <w:rFonts w:ascii="Times New Roman" w:hAnsi="Times New Roman" w:eastAsiaTheme="majorEastAsia"/>
                <w:b/>
                <w:kern w:val="0"/>
                <w:szCs w:val="21"/>
                <w:lang w:val="en-US"/>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restart"/>
            <w:shd w:val="clear" w:color="auto" w:fill="auto"/>
            <w:noWrap/>
            <w:vAlign w:val="center"/>
          </w:tcPr>
          <w:p>
            <w:pPr>
              <w:numPr>
                <w:ilvl w:val="0"/>
                <w:numId w:val="33"/>
              </w:numPr>
              <w:jc w:val="center"/>
              <w:rPr>
                <w:rFonts w:ascii="Times New Roman" w:hAnsi="Times New Roman" w:eastAsiaTheme="majorEastAsia"/>
                <w:kern w:val="0"/>
                <w:szCs w:val="21"/>
                <w:lang w:val="en-US"/>
              </w:rPr>
            </w:pPr>
          </w:p>
          <w:p>
            <w:pPr>
              <w:jc w:val="center"/>
              <w:rPr>
                <w:rFonts w:ascii="Times New Roman" w:hAnsi="Times New Roman" w:eastAsiaTheme="majorEastAsia"/>
                <w:kern w:val="0"/>
                <w:szCs w:val="21"/>
                <w:lang w:val="en-US"/>
              </w:rPr>
            </w:pPr>
          </w:p>
        </w:tc>
        <w:tc>
          <w:tcPr>
            <w:tcW w:w="3445" w:type="dxa"/>
            <w:vMerge w:val="restart"/>
            <w:shd w:val="clear" w:color="auto" w:fill="auto"/>
            <w:noWrap/>
            <w:vAlign w:val="center"/>
          </w:tcPr>
          <w:p>
            <w:pPr>
              <w:jc w:val="both"/>
              <w:rPr>
                <w:rFonts w:ascii="Times New Roman" w:hAnsi="Times New Roman" w:eastAsiaTheme="majorEastAsia"/>
                <w:kern w:val="0"/>
                <w:szCs w:val="21"/>
                <w:lang w:val="en-US"/>
              </w:rPr>
            </w:pPr>
            <w:r>
              <w:rPr>
                <w:rFonts w:hint="eastAsia" w:ascii="Times New Roman" w:hAnsi="Times New Roman" w:eastAsiaTheme="majorEastAsia"/>
                <w:kern w:val="0"/>
                <w:szCs w:val="21"/>
                <w:lang w:val="en-US" w:eastAsia="zh-CN"/>
              </w:rPr>
              <w:t>采购人名称：</w:t>
            </w:r>
            <w:r>
              <w:rPr>
                <w:rFonts w:ascii="Times New Roman" w:hAnsi="Times New Roman" w:eastAsiaTheme="majorEastAsia"/>
                <w:kern w:val="0"/>
                <w:szCs w:val="21"/>
                <w:lang w:val="en-US"/>
              </w:rPr>
              <w:t>北京海关缉私局</w:t>
            </w:r>
          </w:p>
          <w:p>
            <w:pPr>
              <w:jc w:val="both"/>
              <w:rPr>
                <w:rFonts w:hint="eastAsia" w:ascii="Times New Roman" w:hAnsi="Times New Roman" w:eastAsiaTheme="majorEastAsia"/>
                <w:kern w:val="0"/>
                <w:szCs w:val="21"/>
                <w:lang w:val="en-US" w:eastAsia="zh-CN"/>
              </w:rPr>
            </w:pPr>
            <w:r>
              <w:rPr>
                <w:rFonts w:hint="eastAsia" w:ascii="Times New Roman" w:hAnsi="Times New Roman" w:eastAsiaTheme="majorEastAsia"/>
                <w:kern w:val="0"/>
                <w:szCs w:val="21"/>
                <w:lang w:val="en-US" w:eastAsia="zh-CN"/>
              </w:rPr>
              <w:t>联系人：</w:t>
            </w:r>
            <w:r>
              <w:rPr>
                <w:rFonts w:hint="eastAsia" w:ascii="Times New Roman" w:hAnsi="Times New Roman" w:eastAsiaTheme="majorEastAsia"/>
                <w:kern w:val="0"/>
                <w:szCs w:val="21"/>
                <w:lang w:val="en-US"/>
              </w:rPr>
              <w:t>张</w:t>
            </w:r>
            <w:r>
              <w:rPr>
                <w:rFonts w:hint="eastAsia" w:ascii="Times New Roman" w:hAnsi="Times New Roman" w:eastAsiaTheme="majorEastAsia"/>
                <w:kern w:val="0"/>
                <w:szCs w:val="21"/>
                <w:lang w:val="en-US" w:eastAsia="zh-CN"/>
              </w:rPr>
              <w:t>警官</w:t>
            </w:r>
          </w:p>
          <w:p>
            <w:pPr>
              <w:jc w:val="both"/>
              <w:rPr>
                <w:rFonts w:hint="eastAsia" w:ascii="Times New Roman" w:hAnsi="Times New Roman" w:eastAsiaTheme="majorEastAsia"/>
                <w:kern w:val="0"/>
                <w:szCs w:val="21"/>
                <w:lang w:val="en-US"/>
              </w:rPr>
            </w:pPr>
            <w:r>
              <w:rPr>
                <w:rFonts w:hint="eastAsia" w:ascii="Times New Roman" w:hAnsi="Times New Roman" w:eastAsiaTheme="majorEastAsia"/>
                <w:kern w:val="0"/>
                <w:szCs w:val="21"/>
                <w:lang w:val="en-US" w:eastAsia="zh-CN"/>
              </w:rPr>
              <w:t>联系方式：</w:t>
            </w:r>
            <w:r>
              <w:rPr>
                <w:rFonts w:hint="eastAsia" w:ascii="Times New Roman" w:hAnsi="Times New Roman" w:eastAsiaTheme="majorEastAsia"/>
                <w:kern w:val="0"/>
                <w:szCs w:val="21"/>
                <w:lang w:val="en-US"/>
              </w:rPr>
              <w:t>010-85732825</w:t>
            </w:r>
          </w:p>
          <w:p>
            <w:pPr>
              <w:jc w:val="both"/>
              <w:rPr>
                <w:rFonts w:hint="eastAsia" w:ascii="Times New Roman" w:hAnsi="Times New Roman" w:eastAsiaTheme="majorEastAsia"/>
                <w:kern w:val="0"/>
                <w:szCs w:val="21"/>
                <w:lang w:val="en-US"/>
              </w:rPr>
            </w:pPr>
            <w:r>
              <w:rPr>
                <w:rFonts w:hint="eastAsia" w:ascii="Times New Roman" w:hAnsi="Times New Roman" w:eastAsiaTheme="majorEastAsia"/>
                <w:kern w:val="0"/>
                <w:szCs w:val="21"/>
                <w:lang w:val="en-US" w:eastAsia="zh-CN"/>
              </w:rPr>
              <w:t>地址：</w:t>
            </w:r>
            <w:r>
              <w:rPr>
                <w:rFonts w:hint="eastAsia" w:ascii="Times New Roman" w:hAnsi="Times New Roman" w:eastAsiaTheme="majorEastAsia"/>
                <w:kern w:val="0"/>
                <w:szCs w:val="21"/>
                <w:lang w:val="en-US"/>
              </w:rPr>
              <w:t>北京市朝阳区东三环南路甲56号</w:t>
            </w: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便携式手机取证设备Ⅰ</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jc w:val="center"/>
              <w:rPr>
                <w:rFonts w:ascii="Times New Roman" w:hAnsi="Times New Roman" w:eastAsiaTheme="majorEastAsia"/>
                <w:kern w:val="0"/>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电子物证存储系统</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jc w:val="center"/>
              <w:rPr>
                <w:rFonts w:ascii="Times New Roman" w:hAnsi="Times New Roman" w:eastAsiaTheme="majorEastAsia"/>
                <w:kern w:val="0"/>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电子物证现场提取设备Ⅱ</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jc w:val="center"/>
              <w:rPr>
                <w:rFonts w:ascii="Times New Roman" w:hAnsi="Times New Roman" w:eastAsiaTheme="majorEastAsia"/>
                <w:kern w:val="0"/>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介质取证塔Ⅲ</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jc w:val="center"/>
              <w:rPr>
                <w:rFonts w:ascii="Times New Roman" w:hAnsi="Times New Roman" w:eastAsiaTheme="majorEastAsia"/>
                <w:kern w:val="0"/>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实验室管理系统Ⅰ</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jc w:val="center"/>
              <w:rPr>
                <w:rFonts w:ascii="Times New Roman" w:hAnsi="Times New Roman" w:eastAsiaTheme="majorEastAsia"/>
                <w:kern w:val="0"/>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手机密码破解设备Ⅱ</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jc w:val="center"/>
              <w:rPr>
                <w:rFonts w:ascii="Times New Roman" w:hAnsi="Times New Roman" w:eastAsiaTheme="majorEastAsia"/>
                <w:kern w:val="0"/>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手机取证塔Ⅲ</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jc w:val="center"/>
              <w:rPr>
                <w:rFonts w:ascii="Times New Roman" w:hAnsi="Times New Roman" w:eastAsiaTheme="majorEastAsia"/>
                <w:kern w:val="0"/>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手机云取证设备Ⅰ</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jc w:val="center"/>
              <w:rPr>
                <w:rFonts w:ascii="Times New Roman" w:hAnsi="Times New Roman" w:eastAsiaTheme="majorEastAsia"/>
                <w:kern w:val="0"/>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手机云取证设备Ⅱ</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jc w:val="center"/>
              <w:rPr>
                <w:rFonts w:ascii="Times New Roman" w:hAnsi="Times New Roman" w:eastAsiaTheme="majorEastAsia"/>
                <w:kern w:val="0"/>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一体化电子取证工作站Ⅰ</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jc w:val="center"/>
              <w:rPr>
                <w:rFonts w:ascii="Times New Roman" w:hAnsi="Times New Roman" w:eastAsiaTheme="majorEastAsia"/>
                <w:kern w:val="0"/>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云取证工作站Ⅰ</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restart"/>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restart"/>
            <w:shd w:val="clear" w:color="auto" w:fill="auto"/>
            <w:noWrap/>
            <w:vAlign w:val="center"/>
          </w:tcPr>
          <w:p>
            <w:pPr>
              <w:jc w:val="both"/>
              <w:rPr>
                <w:rFonts w:hint="default" w:ascii="Times New Roman" w:hAnsi="Times New Roman" w:eastAsiaTheme="majorEastAsia"/>
                <w:kern w:val="0"/>
                <w:szCs w:val="21"/>
                <w:lang w:val="en-US"/>
              </w:rPr>
            </w:pPr>
            <w:r>
              <w:rPr>
                <w:rFonts w:hint="eastAsia" w:ascii="Times New Roman" w:hAnsi="Times New Roman" w:eastAsiaTheme="majorEastAsia"/>
                <w:kern w:val="0"/>
                <w:szCs w:val="21"/>
                <w:lang w:val="en-US" w:eastAsia="zh-CN"/>
              </w:rPr>
              <w:t>采购人名称：</w:t>
            </w:r>
            <w:r>
              <w:rPr>
                <w:rFonts w:ascii="Times New Roman" w:hAnsi="Times New Roman" w:eastAsiaTheme="majorEastAsia"/>
                <w:kern w:val="0"/>
                <w:szCs w:val="21"/>
                <w:lang w:val="en-US"/>
              </w:rPr>
              <w:t>拱北海关缉私局</w:t>
            </w:r>
          </w:p>
          <w:p>
            <w:pPr>
              <w:jc w:val="both"/>
              <w:rPr>
                <w:rFonts w:hint="default" w:ascii="Times New Roman" w:hAnsi="Times New Roman" w:eastAsiaTheme="majorEastAsia"/>
                <w:kern w:val="0"/>
                <w:szCs w:val="21"/>
                <w:lang w:val="en-US" w:eastAsia="zh-CN"/>
              </w:rPr>
            </w:pPr>
            <w:r>
              <w:rPr>
                <w:rFonts w:hint="eastAsia" w:ascii="Times New Roman" w:hAnsi="Times New Roman" w:eastAsiaTheme="majorEastAsia"/>
                <w:kern w:val="0"/>
                <w:szCs w:val="21"/>
                <w:lang w:val="en-US" w:eastAsia="zh-CN"/>
              </w:rPr>
              <w:t>联系人：唐警官</w:t>
            </w:r>
          </w:p>
          <w:p>
            <w:pPr>
              <w:jc w:val="both"/>
              <w:rPr>
                <w:rFonts w:hint="eastAsia" w:ascii="Times New Roman" w:hAnsi="Times New Roman" w:eastAsiaTheme="majorEastAsia"/>
                <w:kern w:val="0"/>
                <w:szCs w:val="21"/>
                <w:lang w:val="en-US" w:eastAsia="zh-CN"/>
              </w:rPr>
            </w:pPr>
            <w:r>
              <w:rPr>
                <w:rFonts w:hint="eastAsia" w:ascii="Times New Roman" w:hAnsi="Times New Roman" w:eastAsiaTheme="majorEastAsia"/>
                <w:kern w:val="0"/>
                <w:szCs w:val="21"/>
                <w:lang w:val="en-US" w:eastAsia="zh-CN"/>
              </w:rPr>
              <w:t>联系方式：0756-8164383</w:t>
            </w:r>
          </w:p>
          <w:p>
            <w:pPr>
              <w:jc w:val="both"/>
              <w:rPr>
                <w:rFonts w:hint="default" w:ascii="Times New Roman" w:hAnsi="Times New Roman" w:eastAsiaTheme="majorEastAsia"/>
                <w:kern w:val="0"/>
                <w:szCs w:val="21"/>
                <w:lang w:val="en-US" w:eastAsia="zh-CN"/>
              </w:rPr>
            </w:pPr>
            <w:r>
              <w:rPr>
                <w:rFonts w:hint="eastAsia" w:ascii="Times New Roman" w:hAnsi="Times New Roman" w:eastAsiaTheme="majorEastAsia"/>
                <w:kern w:val="0"/>
                <w:szCs w:val="21"/>
                <w:lang w:val="en-US" w:eastAsia="zh-CN"/>
              </w:rPr>
              <w:t>地址：广东省珠海市香洲区侨光路118号缉私局大楼</w:t>
            </w: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便携式手机取证设备Ⅰ</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电子物证存储系统</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介质取证塔Ⅰ</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密码破解设备Ⅰ</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手机密码破解设备Ⅰ</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手机取证塔Ⅰ</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手机取证塔Ⅲ</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手机云取证设备Ⅰ</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一体化电子取证工作站Ⅰ</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云取证工作站Ⅰ</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restart"/>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restart"/>
            <w:shd w:val="clear" w:color="auto" w:fill="auto"/>
            <w:noWrap/>
            <w:vAlign w:val="center"/>
          </w:tcPr>
          <w:p>
            <w:pPr>
              <w:jc w:val="both"/>
              <w:rPr>
                <w:rFonts w:ascii="Times New Roman" w:hAnsi="Times New Roman" w:eastAsiaTheme="majorEastAsia"/>
                <w:kern w:val="0"/>
                <w:szCs w:val="21"/>
                <w:lang w:val="en-US"/>
              </w:rPr>
            </w:pPr>
            <w:r>
              <w:rPr>
                <w:rFonts w:hint="eastAsia" w:ascii="Times New Roman" w:hAnsi="Times New Roman" w:eastAsiaTheme="majorEastAsia"/>
                <w:kern w:val="0"/>
                <w:szCs w:val="21"/>
                <w:lang w:val="en-US" w:eastAsia="zh-CN"/>
              </w:rPr>
              <w:t>采购人名称：</w:t>
            </w:r>
            <w:r>
              <w:rPr>
                <w:rFonts w:ascii="Times New Roman" w:hAnsi="Times New Roman" w:eastAsiaTheme="majorEastAsia"/>
                <w:kern w:val="0"/>
                <w:szCs w:val="21"/>
                <w:lang w:val="en-US"/>
              </w:rPr>
              <w:t>广州海关缉私局</w:t>
            </w:r>
          </w:p>
          <w:p>
            <w:pPr>
              <w:jc w:val="both"/>
              <w:rPr>
                <w:rFonts w:hint="default" w:ascii="Times New Roman" w:hAnsi="Times New Roman" w:eastAsiaTheme="majorEastAsia"/>
                <w:kern w:val="0"/>
                <w:szCs w:val="21"/>
                <w:lang w:val="en-US" w:eastAsia="zh-CN"/>
              </w:rPr>
            </w:pPr>
            <w:r>
              <w:rPr>
                <w:rFonts w:hint="eastAsia" w:ascii="Times New Roman" w:hAnsi="Times New Roman" w:eastAsiaTheme="majorEastAsia"/>
                <w:kern w:val="0"/>
                <w:szCs w:val="21"/>
                <w:lang w:val="en-US" w:eastAsia="zh-CN"/>
              </w:rPr>
              <w:t>联系人：于警官</w:t>
            </w:r>
          </w:p>
          <w:p>
            <w:pPr>
              <w:jc w:val="both"/>
              <w:rPr>
                <w:rFonts w:hint="eastAsia" w:ascii="Times New Roman" w:hAnsi="Times New Roman" w:eastAsiaTheme="majorEastAsia"/>
                <w:kern w:val="0"/>
                <w:szCs w:val="21"/>
                <w:lang w:val="en-US" w:eastAsia="zh-CN"/>
              </w:rPr>
            </w:pPr>
            <w:r>
              <w:rPr>
                <w:rFonts w:hint="eastAsia" w:ascii="Times New Roman" w:hAnsi="Times New Roman" w:eastAsiaTheme="majorEastAsia"/>
                <w:kern w:val="0"/>
                <w:szCs w:val="21"/>
                <w:lang w:val="en-US" w:eastAsia="zh-CN"/>
              </w:rPr>
              <w:t>联系方式：020-81101617</w:t>
            </w:r>
          </w:p>
          <w:p>
            <w:pPr>
              <w:jc w:val="both"/>
              <w:rPr>
                <w:rFonts w:ascii="Times New Roman" w:hAnsi="Times New Roman" w:eastAsiaTheme="majorEastAsia"/>
                <w:kern w:val="0"/>
                <w:szCs w:val="21"/>
                <w:lang w:val="en-US"/>
              </w:rPr>
            </w:pPr>
            <w:r>
              <w:rPr>
                <w:rFonts w:hint="eastAsia" w:ascii="Times New Roman" w:hAnsi="Times New Roman" w:eastAsiaTheme="majorEastAsia"/>
                <w:kern w:val="0"/>
                <w:szCs w:val="21"/>
                <w:lang w:val="en-US" w:eastAsia="zh-CN"/>
              </w:rPr>
              <w:t>地址：广东省广州市天河区石牌西路68号</w:t>
            </w: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highlight w:val="none"/>
                <w:lang w:val="en-US"/>
              </w:rPr>
              <w:t>声纹工作站Ⅰ</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便携式手机取证设备Ⅰ</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电子物证存储系统</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介质取证塔Ⅰ</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可视化关联分析系统Ⅱ</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密码破解设备Ⅰ</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手机密码破解设备Ⅱ</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手机取证塔Ⅰ</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手机取证塔Ⅱ</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手机云取证设备Ⅰ</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一体化电子取证工作站Ⅰ</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restart"/>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restart"/>
            <w:shd w:val="clear" w:color="auto" w:fill="auto"/>
            <w:noWrap/>
            <w:vAlign w:val="center"/>
          </w:tcPr>
          <w:p>
            <w:pPr>
              <w:jc w:val="center"/>
              <w:rPr>
                <w:rFonts w:hint="eastAsia" w:ascii="Times New Roman" w:hAnsi="Times New Roman" w:eastAsiaTheme="majorEastAsia"/>
                <w:kern w:val="0"/>
                <w:szCs w:val="21"/>
                <w:lang w:val="en-US" w:eastAsia="zh-CN"/>
              </w:rPr>
            </w:pPr>
          </w:p>
          <w:p>
            <w:pPr>
              <w:jc w:val="both"/>
              <w:rPr>
                <w:rFonts w:ascii="Times New Roman" w:hAnsi="Times New Roman" w:eastAsiaTheme="majorEastAsia"/>
                <w:kern w:val="0"/>
                <w:szCs w:val="21"/>
                <w:lang w:val="en-US"/>
              </w:rPr>
            </w:pPr>
            <w:r>
              <w:rPr>
                <w:rFonts w:hint="eastAsia" w:ascii="Times New Roman" w:hAnsi="Times New Roman" w:eastAsiaTheme="majorEastAsia"/>
                <w:kern w:val="0"/>
                <w:szCs w:val="21"/>
                <w:lang w:val="en-US" w:eastAsia="zh-CN"/>
              </w:rPr>
              <w:t>采购人名称：海口海关</w:t>
            </w:r>
          </w:p>
          <w:p>
            <w:pPr>
              <w:jc w:val="both"/>
              <w:rPr>
                <w:rFonts w:hint="eastAsia" w:ascii="Times New Roman" w:hAnsi="Times New Roman" w:eastAsiaTheme="majorEastAsia"/>
                <w:kern w:val="0"/>
                <w:szCs w:val="21"/>
                <w:lang w:val="en-US" w:eastAsia="zh-CN"/>
              </w:rPr>
            </w:pPr>
            <w:r>
              <w:rPr>
                <w:rFonts w:hint="eastAsia" w:ascii="Times New Roman" w:hAnsi="Times New Roman" w:eastAsiaTheme="majorEastAsia"/>
                <w:kern w:val="0"/>
                <w:szCs w:val="21"/>
                <w:lang w:val="en-US" w:eastAsia="zh-CN"/>
              </w:rPr>
              <w:t>联系人：陈警官</w:t>
            </w:r>
          </w:p>
          <w:p>
            <w:pPr>
              <w:jc w:val="both"/>
              <w:rPr>
                <w:rFonts w:hint="eastAsia" w:ascii="Times New Roman" w:hAnsi="Times New Roman" w:eastAsiaTheme="majorEastAsia"/>
                <w:kern w:val="0"/>
                <w:szCs w:val="21"/>
                <w:lang w:val="en-US" w:eastAsia="zh-CN"/>
              </w:rPr>
            </w:pPr>
            <w:r>
              <w:rPr>
                <w:rFonts w:hint="eastAsia" w:ascii="Times New Roman" w:hAnsi="Times New Roman" w:eastAsiaTheme="majorEastAsia"/>
                <w:kern w:val="0"/>
                <w:szCs w:val="21"/>
                <w:lang w:val="en-US" w:eastAsia="zh-CN"/>
              </w:rPr>
              <w:t>联系方式：17786905276</w:t>
            </w:r>
          </w:p>
          <w:p>
            <w:pPr>
              <w:jc w:val="both"/>
              <w:rPr>
                <w:rFonts w:hint="eastAsia" w:ascii="Times New Roman" w:hAnsi="Times New Roman" w:eastAsiaTheme="majorEastAsia"/>
                <w:kern w:val="0"/>
                <w:szCs w:val="21"/>
                <w:lang w:val="en-US" w:eastAsia="zh-CN"/>
              </w:rPr>
            </w:pPr>
            <w:r>
              <w:rPr>
                <w:rFonts w:hint="eastAsia" w:ascii="Times New Roman" w:hAnsi="Times New Roman" w:eastAsiaTheme="majorEastAsia"/>
                <w:kern w:val="0"/>
                <w:szCs w:val="21"/>
                <w:lang w:val="en-US" w:eastAsia="zh-CN"/>
              </w:rPr>
              <w:t>地址：海南省海口市秀英区西秀镇长滨东四街9号</w:t>
            </w: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便携式手机取证设备Ⅰ</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电子物证存储系统</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介质取证塔Ⅰ</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介质取证塔Ⅲ</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手机密码破解设备Ⅱ</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手机取证塔Ⅰ</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手机取证塔Ⅲ</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战训一体化平台Ⅰ</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restart"/>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restart"/>
            <w:shd w:val="clear" w:color="auto" w:fill="auto"/>
            <w:noWrap/>
            <w:vAlign w:val="center"/>
          </w:tcPr>
          <w:p>
            <w:pPr>
              <w:jc w:val="both"/>
              <w:rPr>
                <w:rFonts w:ascii="Times New Roman" w:hAnsi="Times New Roman" w:eastAsiaTheme="majorEastAsia"/>
                <w:kern w:val="0"/>
                <w:szCs w:val="21"/>
                <w:lang w:val="en-US"/>
              </w:rPr>
            </w:pPr>
            <w:r>
              <w:rPr>
                <w:rFonts w:hint="eastAsia" w:ascii="Times New Roman" w:hAnsi="Times New Roman" w:eastAsiaTheme="majorEastAsia"/>
                <w:kern w:val="0"/>
                <w:szCs w:val="21"/>
                <w:lang w:val="en-US" w:eastAsia="zh-CN"/>
              </w:rPr>
              <w:t>采购人名称：</w:t>
            </w:r>
            <w:r>
              <w:rPr>
                <w:rFonts w:ascii="Times New Roman" w:hAnsi="Times New Roman" w:eastAsiaTheme="majorEastAsia"/>
                <w:kern w:val="0"/>
                <w:szCs w:val="21"/>
                <w:lang w:val="en-US"/>
              </w:rPr>
              <w:t>杭州海关</w:t>
            </w:r>
          </w:p>
          <w:p>
            <w:pPr>
              <w:jc w:val="both"/>
              <w:rPr>
                <w:rFonts w:hint="default" w:ascii="Times New Roman" w:hAnsi="Times New Roman" w:eastAsiaTheme="majorEastAsia"/>
                <w:kern w:val="0"/>
                <w:szCs w:val="21"/>
                <w:lang w:val="en-US" w:eastAsia="zh-CN"/>
              </w:rPr>
            </w:pPr>
            <w:r>
              <w:rPr>
                <w:rFonts w:hint="eastAsia" w:ascii="Times New Roman" w:hAnsi="Times New Roman" w:eastAsiaTheme="majorEastAsia"/>
                <w:kern w:val="0"/>
                <w:szCs w:val="21"/>
                <w:lang w:val="en-US" w:eastAsia="zh-CN"/>
              </w:rPr>
              <w:t>联系人：姜警官</w:t>
            </w:r>
          </w:p>
          <w:p>
            <w:pPr>
              <w:jc w:val="both"/>
              <w:rPr>
                <w:rFonts w:hint="eastAsia" w:ascii="Times New Roman" w:hAnsi="Times New Roman" w:eastAsiaTheme="majorEastAsia"/>
                <w:kern w:val="0"/>
                <w:szCs w:val="21"/>
                <w:lang w:val="en-US" w:eastAsia="zh-CN"/>
              </w:rPr>
            </w:pPr>
            <w:r>
              <w:rPr>
                <w:rFonts w:hint="eastAsia" w:ascii="Times New Roman" w:hAnsi="Times New Roman" w:eastAsiaTheme="majorEastAsia"/>
                <w:kern w:val="0"/>
                <w:szCs w:val="21"/>
                <w:lang w:val="en-US" w:eastAsia="zh-CN"/>
              </w:rPr>
              <w:t>联系方式：0571-56008019</w:t>
            </w:r>
          </w:p>
          <w:p>
            <w:pPr>
              <w:jc w:val="both"/>
              <w:rPr>
                <w:rFonts w:ascii="Times New Roman" w:hAnsi="Times New Roman" w:eastAsiaTheme="majorEastAsia"/>
                <w:kern w:val="0"/>
                <w:szCs w:val="21"/>
                <w:lang w:val="en-US"/>
              </w:rPr>
            </w:pPr>
            <w:r>
              <w:rPr>
                <w:rFonts w:hint="eastAsia" w:ascii="Times New Roman" w:hAnsi="Times New Roman" w:eastAsiaTheme="majorEastAsia"/>
                <w:kern w:val="0"/>
                <w:szCs w:val="21"/>
                <w:lang w:val="en-US" w:eastAsia="zh-CN"/>
              </w:rPr>
              <w:t>地址：杭州市西湖区文三路2号杭州海关缉私局办公室</w:t>
            </w: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便携式手机取证设备Ⅲ</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电子物证现场提取设备Ⅲ</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介质取证塔Ⅰ</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介质取证塔Ⅲ</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介质取证塔Ⅳ</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密码破解设备Ⅱ</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实验室管理系统Ⅱ</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手机取证塔Ⅰ</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手机取证塔Ⅲ</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手机取证塔Ⅳ</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数据恢复设备Ⅱ</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restart"/>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restart"/>
            <w:shd w:val="clear" w:color="auto" w:fill="auto"/>
            <w:noWrap/>
            <w:vAlign w:val="center"/>
          </w:tcPr>
          <w:p>
            <w:pPr>
              <w:jc w:val="both"/>
              <w:rPr>
                <w:rFonts w:ascii="Times New Roman" w:hAnsi="Times New Roman" w:eastAsiaTheme="majorEastAsia"/>
                <w:kern w:val="0"/>
                <w:szCs w:val="21"/>
                <w:lang w:val="en-US"/>
              </w:rPr>
            </w:pPr>
            <w:r>
              <w:rPr>
                <w:rFonts w:hint="eastAsia" w:ascii="Times New Roman" w:hAnsi="Times New Roman" w:eastAsiaTheme="majorEastAsia"/>
                <w:kern w:val="0"/>
                <w:szCs w:val="21"/>
                <w:lang w:val="en-US" w:eastAsia="zh-CN"/>
              </w:rPr>
              <w:t>采购人名称：</w:t>
            </w:r>
            <w:r>
              <w:rPr>
                <w:rFonts w:ascii="Times New Roman" w:hAnsi="Times New Roman" w:eastAsiaTheme="majorEastAsia"/>
                <w:kern w:val="0"/>
                <w:szCs w:val="21"/>
                <w:lang w:val="en-US"/>
              </w:rPr>
              <w:t>黄埔海关缉私局</w:t>
            </w:r>
          </w:p>
          <w:p>
            <w:pPr>
              <w:jc w:val="both"/>
              <w:rPr>
                <w:rFonts w:hint="default" w:ascii="Times New Roman" w:hAnsi="Times New Roman" w:eastAsiaTheme="majorEastAsia"/>
                <w:kern w:val="0"/>
                <w:szCs w:val="21"/>
                <w:lang w:val="en-US" w:eastAsia="zh-CN"/>
              </w:rPr>
            </w:pPr>
            <w:r>
              <w:rPr>
                <w:rFonts w:hint="eastAsia" w:ascii="Times New Roman" w:hAnsi="Times New Roman" w:eastAsiaTheme="majorEastAsia"/>
                <w:kern w:val="0"/>
                <w:szCs w:val="21"/>
                <w:lang w:val="en-US" w:eastAsia="zh-CN"/>
              </w:rPr>
              <w:t>联系人：褚警官</w:t>
            </w:r>
          </w:p>
          <w:p>
            <w:pPr>
              <w:jc w:val="both"/>
              <w:rPr>
                <w:rFonts w:hint="default" w:ascii="Times New Roman" w:hAnsi="Times New Roman" w:eastAsiaTheme="majorEastAsia"/>
                <w:kern w:val="0"/>
                <w:szCs w:val="21"/>
                <w:lang w:val="en-US" w:eastAsia="zh-CN"/>
              </w:rPr>
            </w:pPr>
            <w:r>
              <w:rPr>
                <w:rFonts w:hint="eastAsia" w:ascii="Times New Roman" w:hAnsi="Times New Roman" w:eastAsiaTheme="majorEastAsia"/>
                <w:kern w:val="0"/>
                <w:szCs w:val="21"/>
                <w:lang w:val="en-US" w:eastAsia="zh-CN"/>
              </w:rPr>
              <w:t>联系方式：020-62268523</w:t>
            </w:r>
          </w:p>
          <w:p>
            <w:pPr>
              <w:jc w:val="both"/>
              <w:rPr>
                <w:rFonts w:ascii="Times New Roman" w:hAnsi="Times New Roman" w:eastAsiaTheme="majorEastAsia"/>
                <w:kern w:val="0"/>
                <w:szCs w:val="21"/>
                <w:lang w:val="en-US"/>
              </w:rPr>
            </w:pPr>
            <w:r>
              <w:rPr>
                <w:rFonts w:hint="eastAsia" w:ascii="Times New Roman" w:hAnsi="Times New Roman" w:eastAsiaTheme="majorEastAsia"/>
                <w:kern w:val="0"/>
                <w:szCs w:val="21"/>
                <w:lang w:val="en-US" w:eastAsia="zh-CN"/>
              </w:rPr>
              <w:t>地址：广东省广州市黄埔区志诚大道339号</w:t>
            </w: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便携式手机取证设备Ⅰ</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电子物证现场提取设备Ⅰ</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一体化电子取证工作站Ⅰ</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restart"/>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restart"/>
            <w:shd w:val="clear" w:color="auto" w:fill="auto"/>
            <w:noWrap/>
            <w:vAlign w:val="center"/>
          </w:tcPr>
          <w:p>
            <w:pPr>
              <w:jc w:val="both"/>
              <w:rPr>
                <w:rFonts w:ascii="Times New Roman" w:hAnsi="Times New Roman" w:eastAsiaTheme="majorEastAsia"/>
                <w:kern w:val="0"/>
                <w:szCs w:val="21"/>
                <w:lang w:val="en-US"/>
              </w:rPr>
            </w:pPr>
            <w:r>
              <w:rPr>
                <w:rFonts w:hint="eastAsia" w:ascii="Times New Roman" w:hAnsi="Times New Roman" w:eastAsiaTheme="majorEastAsia"/>
                <w:kern w:val="0"/>
                <w:szCs w:val="21"/>
                <w:lang w:val="en-US" w:eastAsia="zh-CN"/>
              </w:rPr>
              <w:t>采购人名称：</w:t>
            </w:r>
            <w:r>
              <w:rPr>
                <w:rFonts w:ascii="Times New Roman" w:hAnsi="Times New Roman" w:eastAsiaTheme="majorEastAsia"/>
                <w:kern w:val="0"/>
                <w:szCs w:val="21"/>
                <w:lang w:val="en-US"/>
              </w:rPr>
              <w:t>江门海关缉私局</w:t>
            </w:r>
          </w:p>
          <w:p>
            <w:pPr>
              <w:jc w:val="both"/>
              <w:rPr>
                <w:rFonts w:hint="default" w:ascii="Times New Roman" w:hAnsi="Times New Roman" w:eastAsiaTheme="majorEastAsia"/>
                <w:kern w:val="0"/>
                <w:szCs w:val="21"/>
                <w:lang w:val="en-US" w:eastAsia="zh-CN"/>
              </w:rPr>
            </w:pPr>
            <w:r>
              <w:rPr>
                <w:rFonts w:hint="eastAsia" w:ascii="Times New Roman" w:hAnsi="Times New Roman" w:eastAsiaTheme="majorEastAsia"/>
                <w:kern w:val="0"/>
                <w:szCs w:val="21"/>
                <w:lang w:val="en-US" w:eastAsia="zh-CN"/>
              </w:rPr>
              <w:t>联系人：黄警官</w:t>
            </w:r>
          </w:p>
          <w:p>
            <w:pPr>
              <w:jc w:val="both"/>
              <w:rPr>
                <w:rFonts w:hint="eastAsia" w:ascii="Times New Roman" w:hAnsi="Times New Roman" w:eastAsiaTheme="majorEastAsia"/>
                <w:kern w:val="0"/>
                <w:szCs w:val="21"/>
                <w:lang w:val="en-US" w:eastAsia="zh-CN"/>
              </w:rPr>
            </w:pPr>
            <w:r>
              <w:rPr>
                <w:rFonts w:hint="eastAsia" w:ascii="Times New Roman" w:hAnsi="Times New Roman" w:eastAsiaTheme="majorEastAsia"/>
                <w:kern w:val="0"/>
                <w:szCs w:val="21"/>
                <w:lang w:val="en-US" w:eastAsia="zh-CN"/>
              </w:rPr>
              <w:t>联系方式：13702244456</w:t>
            </w:r>
          </w:p>
          <w:p>
            <w:pPr>
              <w:jc w:val="both"/>
              <w:rPr>
                <w:rFonts w:ascii="Times New Roman" w:hAnsi="Times New Roman" w:eastAsiaTheme="majorEastAsia"/>
                <w:kern w:val="0"/>
                <w:szCs w:val="21"/>
                <w:lang w:val="en-US"/>
              </w:rPr>
            </w:pPr>
            <w:r>
              <w:rPr>
                <w:rFonts w:hint="eastAsia" w:ascii="Times New Roman" w:hAnsi="Times New Roman" w:eastAsiaTheme="majorEastAsia"/>
                <w:kern w:val="0"/>
                <w:szCs w:val="21"/>
                <w:lang w:val="en-US" w:eastAsia="zh-CN"/>
              </w:rPr>
              <w:t>地址：广东省江门市蓬江区发展大道232号</w:t>
            </w: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便携式手机取证设备Ⅰ</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电子物证现场提取设备Ⅱ</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介质取证塔Ⅰ</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手机密码破解设备Ⅲ</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手机取证塔Ⅰ</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手机取证塔Ⅴ</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手机云取证设备Ⅰ</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一体化电子取证工作站Ⅰ</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云取证工作站Ⅲ</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restart"/>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restart"/>
            <w:shd w:val="clear" w:color="auto" w:fill="auto"/>
            <w:noWrap/>
            <w:vAlign w:val="center"/>
          </w:tcPr>
          <w:p>
            <w:pPr>
              <w:jc w:val="both"/>
              <w:rPr>
                <w:rFonts w:ascii="Times New Roman" w:hAnsi="Times New Roman" w:eastAsiaTheme="majorEastAsia"/>
                <w:kern w:val="0"/>
                <w:szCs w:val="21"/>
                <w:lang w:val="en-US"/>
              </w:rPr>
            </w:pPr>
            <w:r>
              <w:rPr>
                <w:rFonts w:hint="eastAsia" w:ascii="Times New Roman" w:hAnsi="Times New Roman" w:eastAsiaTheme="majorEastAsia"/>
                <w:kern w:val="0"/>
                <w:szCs w:val="21"/>
                <w:lang w:val="en-US" w:eastAsia="zh-CN"/>
              </w:rPr>
              <w:t>采购人名称：</w:t>
            </w:r>
            <w:r>
              <w:rPr>
                <w:rFonts w:ascii="Times New Roman" w:hAnsi="Times New Roman" w:eastAsiaTheme="majorEastAsia"/>
                <w:kern w:val="0"/>
                <w:szCs w:val="21"/>
                <w:lang w:val="en-US"/>
              </w:rPr>
              <w:t>昆明海关</w:t>
            </w:r>
          </w:p>
          <w:p>
            <w:pPr>
              <w:jc w:val="both"/>
              <w:rPr>
                <w:rFonts w:hint="default" w:ascii="Times New Roman" w:hAnsi="Times New Roman" w:eastAsiaTheme="majorEastAsia"/>
                <w:kern w:val="0"/>
                <w:szCs w:val="21"/>
                <w:lang w:val="en-US" w:eastAsia="zh-CN"/>
              </w:rPr>
            </w:pPr>
            <w:r>
              <w:rPr>
                <w:rFonts w:hint="eastAsia" w:ascii="Times New Roman" w:hAnsi="Times New Roman" w:eastAsiaTheme="majorEastAsia"/>
                <w:kern w:val="0"/>
                <w:szCs w:val="21"/>
                <w:lang w:val="en-US" w:eastAsia="zh-CN"/>
              </w:rPr>
              <w:t>联系人：蔡警官</w:t>
            </w:r>
          </w:p>
          <w:p>
            <w:pPr>
              <w:jc w:val="both"/>
              <w:rPr>
                <w:rFonts w:hint="eastAsia" w:ascii="Times New Roman" w:hAnsi="Times New Roman" w:eastAsiaTheme="majorEastAsia"/>
                <w:kern w:val="0"/>
                <w:szCs w:val="21"/>
                <w:lang w:val="en-US" w:eastAsia="zh-CN"/>
              </w:rPr>
            </w:pPr>
            <w:r>
              <w:rPr>
                <w:rFonts w:hint="eastAsia" w:ascii="Times New Roman" w:hAnsi="Times New Roman" w:eastAsiaTheme="majorEastAsia"/>
                <w:kern w:val="0"/>
                <w:szCs w:val="21"/>
                <w:lang w:val="en-US" w:eastAsia="zh-CN"/>
              </w:rPr>
              <w:t>联系方式：13888199628</w:t>
            </w:r>
          </w:p>
          <w:p>
            <w:pPr>
              <w:jc w:val="both"/>
              <w:rPr>
                <w:rFonts w:ascii="Times New Roman" w:hAnsi="Times New Roman" w:eastAsiaTheme="majorEastAsia"/>
                <w:kern w:val="0"/>
                <w:szCs w:val="21"/>
                <w:lang w:val="en-US"/>
              </w:rPr>
            </w:pPr>
            <w:r>
              <w:rPr>
                <w:rFonts w:hint="eastAsia" w:ascii="Times New Roman" w:hAnsi="Times New Roman" w:eastAsiaTheme="majorEastAsia"/>
                <w:kern w:val="0"/>
                <w:szCs w:val="21"/>
                <w:lang w:val="en-US" w:eastAsia="zh-CN"/>
              </w:rPr>
              <w:t>地址：云南省昆明市西山区滇池路429号昆明海关缉私局</w:t>
            </w: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便携式手机取证设备Ⅰ</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电子物证存储系统</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介质取证塔Ⅰ</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实验室管理系统Ⅰ</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手机密码破解设备Ⅱ</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手机密码破解设备Ⅲ</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手机取证塔Ⅰ</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手机取证塔Ⅱ</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手机取证塔Ⅲ</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手机取证塔Ⅴ</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手机云取证设备Ⅰ</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数据恢复设备Ⅰ</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一体化电子取证工作站Ⅰ</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战训一体化平台Ⅱ</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restart"/>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restart"/>
            <w:shd w:val="clear" w:color="auto" w:fill="auto"/>
            <w:noWrap/>
            <w:vAlign w:val="center"/>
          </w:tcPr>
          <w:p>
            <w:pPr>
              <w:jc w:val="both"/>
              <w:rPr>
                <w:rFonts w:ascii="Times New Roman" w:hAnsi="Times New Roman" w:eastAsiaTheme="majorEastAsia"/>
                <w:kern w:val="0"/>
                <w:szCs w:val="21"/>
                <w:lang w:val="en-US"/>
              </w:rPr>
            </w:pPr>
            <w:r>
              <w:rPr>
                <w:rFonts w:hint="eastAsia" w:ascii="Times New Roman" w:hAnsi="Times New Roman" w:eastAsiaTheme="majorEastAsia"/>
                <w:kern w:val="0"/>
                <w:szCs w:val="21"/>
                <w:lang w:val="en-US" w:eastAsia="zh-CN"/>
              </w:rPr>
              <w:t>采购人名称：</w:t>
            </w:r>
            <w:r>
              <w:rPr>
                <w:rFonts w:ascii="Times New Roman" w:hAnsi="Times New Roman" w:eastAsiaTheme="majorEastAsia"/>
                <w:kern w:val="0"/>
                <w:szCs w:val="21"/>
                <w:lang w:val="en-US"/>
              </w:rPr>
              <w:t>南京海关缉私局</w:t>
            </w:r>
          </w:p>
          <w:p>
            <w:pPr>
              <w:jc w:val="both"/>
              <w:rPr>
                <w:rFonts w:hint="default" w:ascii="Times New Roman" w:hAnsi="Times New Roman" w:eastAsiaTheme="majorEastAsia"/>
                <w:kern w:val="0"/>
                <w:szCs w:val="21"/>
                <w:lang w:val="en-US" w:eastAsia="zh-CN"/>
              </w:rPr>
            </w:pPr>
            <w:r>
              <w:rPr>
                <w:rFonts w:hint="eastAsia" w:ascii="Times New Roman" w:hAnsi="Times New Roman" w:eastAsiaTheme="majorEastAsia"/>
                <w:kern w:val="0"/>
                <w:szCs w:val="21"/>
                <w:lang w:val="en-US" w:eastAsia="zh-CN"/>
              </w:rPr>
              <w:t>联系人：夏警官</w:t>
            </w:r>
          </w:p>
          <w:p>
            <w:pPr>
              <w:jc w:val="both"/>
              <w:rPr>
                <w:rFonts w:hint="eastAsia" w:ascii="Times New Roman" w:hAnsi="Times New Roman" w:eastAsiaTheme="majorEastAsia"/>
                <w:kern w:val="0"/>
                <w:szCs w:val="21"/>
                <w:lang w:val="en-US" w:eastAsia="zh-CN"/>
              </w:rPr>
            </w:pPr>
            <w:r>
              <w:rPr>
                <w:rFonts w:hint="eastAsia" w:ascii="Times New Roman" w:hAnsi="Times New Roman" w:eastAsiaTheme="majorEastAsia"/>
                <w:kern w:val="0"/>
                <w:szCs w:val="21"/>
                <w:lang w:val="en-US" w:eastAsia="zh-CN"/>
              </w:rPr>
              <w:t>联系方式：025-84422581</w:t>
            </w:r>
          </w:p>
          <w:p>
            <w:pPr>
              <w:jc w:val="both"/>
              <w:rPr>
                <w:rFonts w:ascii="Times New Roman" w:hAnsi="Times New Roman" w:eastAsiaTheme="majorEastAsia"/>
                <w:kern w:val="0"/>
                <w:szCs w:val="21"/>
                <w:lang w:val="en-US"/>
              </w:rPr>
            </w:pPr>
            <w:r>
              <w:rPr>
                <w:rFonts w:hint="eastAsia" w:ascii="Times New Roman" w:hAnsi="Times New Roman" w:eastAsiaTheme="majorEastAsia"/>
                <w:kern w:val="0"/>
                <w:szCs w:val="21"/>
                <w:lang w:val="en-US" w:eastAsia="zh-CN"/>
              </w:rPr>
              <w:t>地址：江苏省南京市秦淮区白下路360号</w:t>
            </w: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便携式手机取证设备Ⅰ</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电子物证现场提取设备Ⅱ</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介质取证塔Ⅰ</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手机取证塔Ⅰ</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一体化电子取证工作站Ⅰ</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restart"/>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restart"/>
            <w:shd w:val="clear" w:color="auto" w:fill="auto"/>
            <w:noWrap/>
            <w:vAlign w:val="center"/>
          </w:tcPr>
          <w:p>
            <w:pPr>
              <w:jc w:val="both"/>
              <w:rPr>
                <w:rFonts w:ascii="Times New Roman" w:hAnsi="Times New Roman" w:eastAsiaTheme="majorEastAsia"/>
                <w:kern w:val="0"/>
                <w:szCs w:val="21"/>
                <w:lang w:val="en-US"/>
              </w:rPr>
            </w:pPr>
            <w:r>
              <w:rPr>
                <w:rFonts w:hint="eastAsia" w:ascii="Times New Roman" w:hAnsi="Times New Roman" w:eastAsiaTheme="majorEastAsia"/>
                <w:kern w:val="0"/>
                <w:szCs w:val="21"/>
                <w:lang w:val="en-US" w:eastAsia="zh-CN"/>
              </w:rPr>
              <w:t>采购人名称：</w:t>
            </w:r>
            <w:r>
              <w:rPr>
                <w:rFonts w:ascii="Times New Roman" w:hAnsi="Times New Roman" w:eastAsiaTheme="majorEastAsia"/>
                <w:kern w:val="0"/>
                <w:szCs w:val="21"/>
                <w:lang w:val="en-US"/>
              </w:rPr>
              <w:t>南宁海关缉私局</w:t>
            </w:r>
          </w:p>
          <w:p>
            <w:pPr>
              <w:jc w:val="both"/>
              <w:rPr>
                <w:rFonts w:hint="default" w:ascii="Times New Roman" w:hAnsi="Times New Roman" w:eastAsiaTheme="majorEastAsia"/>
                <w:kern w:val="0"/>
                <w:szCs w:val="21"/>
                <w:lang w:val="en-US" w:eastAsia="zh-CN"/>
              </w:rPr>
            </w:pPr>
            <w:r>
              <w:rPr>
                <w:rFonts w:hint="eastAsia" w:ascii="Times New Roman" w:hAnsi="Times New Roman" w:eastAsiaTheme="majorEastAsia"/>
                <w:kern w:val="0"/>
                <w:szCs w:val="21"/>
                <w:lang w:val="en-US" w:eastAsia="zh-CN"/>
              </w:rPr>
              <w:t>联系人：莫警官</w:t>
            </w:r>
          </w:p>
          <w:p>
            <w:pPr>
              <w:jc w:val="both"/>
              <w:rPr>
                <w:rFonts w:hint="eastAsia" w:ascii="Times New Roman" w:hAnsi="Times New Roman" w:eastAsiaTheme="majorEastAsia"/>
                <w:kern w:val="0"/>
                <w:szCs w:val="21"/>
                <w:lang w:val="en-US" w:eastAsia="zh-CN"/>
              </w:rPr>
            </w:pPr>
            <w:r>
              <w:rPr>
                <w:rFonts w:hint="eastAsia" w:ascii="Times New Roman" w:hAnsi="Times New Roman" w:eastAsiaTheme="majorEastAsia"/>
                <w:kern w:val="0"/>
                <w:szCs w:val="21"/>
                <w:lang w:val="en-US" w:eastAsia="zh-CN"/>
              </w:rPr>
              <w:t>联系方式：0771-5369060</w:t>
            </w:r>
          </w:p>
          <w:p>
            <w:pPr>
              <w:jc w:val="both"/>
              <w:rPr>
                <w:rFonts w:ascii="Times New Roman" w:hAnsi="Times New Roman" w:eastAsiaTheme="majorEastAsia"/>
                <w:kern w:val="0"/>
                <w:szCs w:val="21"/>
                <w:lang w:val="en-US"/>
              </w:rPr>
            </w:pPr>
            <w:r>
              <w:rPr>
                <w:rFonts w:hint="eastAsia" w:ascii="Times New Roman" w:hAnsi="Times New Roman" w:eastAsiaTheme="majorEastAsia"/>
                <w:kern w:val="0"/>
                <w:szCs w:val="21"/>
                <w:lang w:val="en-US" w:eastAsia="zh-CN"/>
              </w:rPr>
              <w:t>地址：广西南宁市青秀区桃源路65号</w:t>
            </w: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电子物证存储系统</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手机取证塔Ⅰ</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手机云取证设备Ⅲ</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一体化电子取证工作站Ⅰ</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restart"/>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restart"/>
            <w:shd w:val="clear" w:color="auto" w:fill="auto"/>
            <w:noWrap/>
            <w:vAlign w:val="center"/>
          </w:tcPr>
          <w:p>
            <w:pPr>
              <w:jc w:val="both"/>
              <w:rPr>
                <w:rFonts w:ascii="Times New Roman" w:hAnsi="Times New Roman" w:eastAsiaTheme="majorEastAsia"/>
                <w:kern w:val="0"/>
                <w:szCs w:val="21"/>
                <w:lang w:val="en-US"/>
              </w:rPr>
            </w:pPr>
            <w:r>
              <w:rPr>
                <w:rFonts w:hint="eastAsia" w:ascii="Times New Roman" w:hAnsi="Times New Roman" w:eastAsiaTheme="majorEastAsia"/>
                <w:kern w:val="0"/>
                <w:szCs w:val="21"/>
                <w:lang w:val="en-US" w:eastAsia="zh-CN"/>
              </w:rPr>
              <w:t>采购人名称：</w:t>
            </w:r>
            <w:r>
              <w:rPr>
                <w:rFonts w:ascii="Times New Roman" w:hAnsi="Times New Roman" w:eastAsiaTheme="majorEastAsia"/>
                <w:kern w:val="0"/>
                <w:szCs w:val="21"/>
                <w:lang w:val="en-US"/>
              </w:rPr>
              <w:t>宁波海关缉私局</w:t>
            </w:r>
          </w:p>
          <w:p>
            <w:pPr>
              <w:jc w:val="both"/>
              <w:rPr>
                <w:rFonts w:hint="default" w:ascii="Times New Roman" w:hAnsi="Times New Roman" w:eastAsiaTheme="majorEastAsia"/>
                <w:kern w:val="0"/>
                <w:szCs w:val="21"/>
                <w:lang w:val="en-US" w:eastAsia="zh-CN"/>
              </w:rPr>
            </w:pPr>
            <w:r>
              <w:rPr>
                <w:rFonts w:hint="eastAsia" w:ascii="Times New Roman" w:hAnsi="Times New Roman" w:eastAsiaTheme="majorEastAsia"/>
                <w:kern w:val="0"/>
                <w:szCs w:val="21"/>
                <w:lang w:val="en-US" w:eastAsia="zh-CN"/>
              </w:rPr>
              <w:t>联系人：李警官</w:t>
            </w:r>
          </w:p>
          <w:p>
            <w:pPr>
              <w:jc w:val="both"/>
              <w:rPr>
                <w:rFonts w:hint="eastAsia" w:ascii="Times New Roman" w:hAnsi="Times New Roman" w:eastAsiaTheme="majorEastAsia"/>
                <w:kern w:val="0"/>
                <w:szCs w:val="21"/>
                <w:lang w:val="en-US" w:eastAsia="zh-CN"/>
              </w:rPr>
            </w:pPr>
            <w:r>
              <w:rPr>
                <w:rFonts w:hint="eastAsia" w:ascii="Times New Roman" w:hAnsi="Times New Roman" w:eastAsiaTheme="majorEastAsia"/>
                <w:kern w:val="0"/>
                <w:szCs w:val="21"/>
                <w:lang w:val="en-US" w:eastAsia="zh-CN"/>
              </w:rPr>
              <w:t>联系方式：0574-89091129</w:t>
            </w:r>
          </w:p>
          <w:p>
            <w:pPr>
              <w:jc w:val="both"/>
              <w:rPr>
                <w:rFonts w:ascii="Times New Roman" w:hAnsi="Times New Roman" w:eastAsiaTheme="majorEastAsia"/>
                <w:kern w:val="0"/>
                <w:szCs w:val="21"/>
                <w:lang w:val="en-US"/>
              </w:rPr>
            </w:pPr>
            <w:r>
              <w:rPr>
                <w:rFonts w:hint="eastAsia" w:ascii="Times New Roman" w:hAnsi="Times New Roman" w:eastAsiaTheme="majorEastAsia"/>
                <w:kern w:val="0"/>
                <w:szCs w:val="21"/>
                <w:lang w:val="en-US" w:eastAsia="zh-CN"/>
              </w:rPr>
              <w:t>地址：浙江省宁波市海曙区长春路150号宁波海关缉私局办公室</w:t>
            </w: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便携式手机取证设备Ⅰ</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电子物证存储系统</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电子物证现场提取设备Ⅱ</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介质取证塔Ⅰ</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介质取证塔Ⅲ</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手机密码破解设备Ⅱ</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手机取证塔Ⅰ</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手机取证塔Ⅱ</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手机取证塔Ⅲ</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手机取证塔Ⅴ</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手机云取证设备Ⅰ</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数据恢复设备Ⅰ</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一体化电子取证工作站Ⅰ</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战训一体化平台Ⅰ</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restart"/>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restart"/>
            <w:shd w:val="clear" w:color="auto" w:fill="auto"/>
            <w:noWrap/>
            <w:vAlign w:val="center"/>
          </w:tcPr>
          <w:p>
            <w:pPr>
              <w:jc w:val="both"/>
              <w:rPr>
                <w:rFonts w:ascii="Times New Roman" w:hAnsi="Times New Roman" w:eastAsiaTheme="majorEastAsia"/>
                <w:kern w:val="0"/>
                <w:szCs w:val="21"/>
                <w:lang w:val="en-US"/>
              </w:rPr>
            </w:pPr>
            <w:r>
              <w:rPr>
                <w:rFonts w:hint="eastAsia" w:ascii="Times New Roman" w:hAnsi="Times New Roman" w:eastAsiaTheme="majorEastAsia"/>
                <w:kern w:val="0"/>
                <w:szCs w:val="21"/>
                <w:lang w:val="en-US" w:eastAsia="zh-CN"/>
              </w:rPr>
              <w:t>采购人名称：</w:t>
            </w:r>
            <w:r>
              <w:rPr>
                <w:rFonts w:ascii="Times New Roman" w:hAnsi="Times New Roman" w:eastAsiaTheme="majorEastAsia"/>
                <w:kern w:val="0"/>
                <w:szCs w:val="21"/>
                <w:lang w:val="en-US"/>
              </w:rPr>
              <w:t>青岛海关缉私局</w:t>
            </w:r>
          </w:p>
          <w:p>
            <w:pPr>
              <w:jc w:val="both"/>
              <w:rPr>
                <w:rFonts w:hint="default" w:ascii="Times New Roman" w:hAnsi="Times New Roman" w:eastAsiaTheme="majorEastAsia"/>
                <w:kern w:val="0"/>
                <w:szCs w:val="21"/>
                <w:lang w:val="en-US" w:eastAsia="zh-CN"/>
              </w:rPr>
            </w:pPr>
            <w:r>
              <w:rPr>
                <w:rFonts w:hint="eastAsia" w:ascii="Times New Roman" w:hAnsi="Times New Roman" w:eastAsiaTheme="majorEastAsia"/>
                <w:kern w:val="0"/>
                <w:szCs w:val="21"/>
                <w:lang w:val="en-US" w:eastAsia="zh-CN"/>
              </w:rPr>
              <w:t>联系人：杨警官</w:t>
            </w:r>
          </w:p>
          <w:p>
            <w:pPr>
              <w:jc w:val="both"/>
              <w:rPr>
                <w:rFonts w:hint="eastAsia" w:ascii="Times New Roman" w:hAnsi="Times New Roman" w:eastAsiaTheme="majorEastAsia"/>
                <w:kern w:val="0"/>
                <w:szCs w:val="21"/>
                <w:lang w:val="en-US" w:eastAsia="zh-CN"/>
              </w:rPr>
            </w:pPr>
            <w:r>
              <w:rPr>
                <w:rFonts w:hint="eastAsia" w:ascii="Times New Roman" w:hAnsi="Times New Roman" w:eastAsiaTheme="majorEastAsia"/>
                <w:kern w:val="0"/>
                <w:szCs w:val="21"/>
                <w:lang w:val="en-US" w:eastAsia="zh-CN"/>
              </w:rPr>
              <w:t>联系方式：18661751858</w:t>
            </w:r>
          </w:p>
          <w:p>
            <w:pPr>
              <w:jc w:val="both"/>
              <w:rPr>
                <w:rFonts w:ascii="Times New Roman" w:hAnsi="Times New Roman" w:eastAsiaTheme="majorEastAsia"/>
                <w:kern w:val="0"/>
                <w:szCs w:val="21"/>
                <w:lang w:val="en-US"/>
              </w:rPr>
            </w:pPr>
            <w:r>
              <w:rPr>
                <w:rFonts w:hint="eastAsia" w:ascii="Times New Roman" w:hAnsi="Times New Roman" w:eastAsiaTheme="majorEastAsia"/>
                <w:kern w:val="0"/>
                <w:szCs w:val="21"/>
                <w:lang w:val="en-US" w:eastAsia="zh-CN"/>
              </w:rPr>
              <w:t>地址：山东省青岛市市南区东海西路30号</w:t>
            </w: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便携式手机取证设备Ⅰ</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电子物证现场提取设备Ⅱ</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介质取证塔Ⅰ</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手机取证塔Ⅰ</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手机云取证设备Ⅰ</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云取证工作站Ⅰ</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restart"/>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restart"/>
            <w:shd w:val="clear" w:color="auto" w:fill="auto"/>
            <w:noWrap/>
            <w:vAlign w:val="center"/>
          </w:tcPr>
          <w:p>
            <w:pPr>
              <w:jc w:val="both"/>
              <w:rPr>
                <w:rFonts w:ascii="Times New Roman" w:hAnsi="Times New Roman" w:eastAsiaTheme="majorEastAsia"/>
                <w:kern w:val="0"/>
                <w:szCs w:val="21"/>
                <w:lang w:val="en-US"/>
              </w:rPr>
            </w:pPr>
            <w:r>
              <w:rPr>
                <w:rFonts w:hint="eastAsia" w:ascii="Times New Roman" w:hAnsi="Times New Roman" w:eastAsiaTheme="majorEastAsia"/>
                <w:kern w:val="0"/>
                <w:szCs w:val="21"/>
                <w:lang w:val="en-US" w:eastAsia="zh-CN"/>
              </w:rPr>
              <w:t>采购人名称：</w:t>
            </w:r>
            <w:r>
              <w:rPr>
                <w:rFonts w:ascii="Times New Roman" w:hAnsi="Times New Roman" w:eastAsiaTheme="majorEastAsia"/>
                <w:kern w:val="0"/>
                <w:szCs w:val="21"/>
                <w:lang w:val="en-US"/>
              </w:rPr>
              <w:t>汕头海关缉私局</w:t>
            </w:r>
          </w:p>
          <w:p>
            <w:pPr>
              <w:jc w:val="both"/>
              <w:rPr>
                <w:rFonts w:hint="default" w:ascii="Times New Roman" w:hAnsi="Times New Roman" w:eastAsiaTheme="majorEastAsia"/>
                <w:kern w:val="0"/>
                <w:szCs w:val="21"/>
                <w:lang w:val="en-US" w:eastAsia="zh-CN"/>
              </w:rPr>
            </w:pPr>
            <w:r>
              <w:rPr>
                <w:rFonts w:hint="eastAsia" w:ascii="Times New Roman" w:hAnsi="Times New Roman" w:eastAsiaTheme="majorEastAsia"/>
                <w:kern w:val="0"/>
                <w:szCs w:val="21"/>
                <w:lang w:val="en-US" w:eastAsia="zh-CN"/>
              </w:rPr>
              <w:t>联系人：王警官</w:t>
            </w:r>
          </w:p>
          <w:p>
            <w:pPr>
              <w:jc w:val="both"/>
              <w:rPr>
                <w:rFonts w:hint="eastAsia" w:ascii="Times New Roman" w:hAnsi="Times New Roman" w:eastAsiaTheme="majorEastAsia"/>
                <w:kern w:val="0"/>
                <w:szCs w:val="21"/>
                <w:lang w:val="en-US" w:eastAsia="zh-CN"/>
              </w:rPr>
            </w:pPr>
            <w:r>
              <w:rPr>
                <w:rFonts w:hint="eastAsia" w:ascii="Times New Roman" w:hAnsi="Times New Roman" w:eastAsiaTheme="majorEastAsia"/>
                <w:kern w:val="0"/>
                <w:szCs w:val="21"/>
                <w:lang w:val="en-US" w:eastAsia="zh-CN"/>
              </w:rPr>
              <w:t>联系方式：0754-88193386</w:t>
            </w:r>
          </w:p>
          <w:p>
            <w:pPr>
              <w:jc w:val="both"/>
              <w:rPr>
                <w:rFonts w:ascii="Times New Roman" w:hAnsi="Times New Roman" w:eastAsiaTheme="majorEastAsia"/>
                <w:kern w:val="0"/>
                <w:szCs w:val="21"/>
                <w:lang w:val="en-US"/>
              </w:rPr>
            </w:pPr>
            <w:r>
              <w:rPr>
                <w:rFonts w:hint="eastAsia" w:ascii="Times New Roman" w:hAnsi="Times New Roman" w:eastAsiaTheme="majorEastAsia"/>
                <w:kern w:val="0"/>
                <w:szCs w:val="21"/>
                <w:lang w:val="en-US" w:eastAsia="zh-CN"/>
              </w:rPr>
              <w:t>地址：广东省汕头市龙湖区龙湖北路2号</w:t>
            </w: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声纹工作站Ⅲ</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电子物证存储系统</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介质取证塔Ⅰ</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密码破解设备Ⅰ</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手机密码破解设备Ⅲ</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手机取证塔Ⅰ</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手机取证塔Ⅱ</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手机取证塔Ⅴ</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手机云取证设备Ⅲ</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战训一体化平台Ⅰ</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restart"/>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restart"/>
            <w:shd w:val="clear" w:color="auto" w:fill="auto"/>
            <w:noWrap/>
            <w:vAlign w:val="center"/>
          </w:tcPr>
          <w:p>
            <w:pPr>
              <w:jc w:val="both"/>
              <w:rPr>
                <w:rFonts w:ascii="Times New Roman" w:hAnsi="Times New Roman" w:eastAsiaTheme="majorEastAsia"/>
                <w:kern w:val="0"/>
                <w:szCs w:val="21"/>
                <w:lang w:val="en-US"/>
              </w:rPr>
            </w:pPr>
            <w:r>
              <w:rPr>
                <w:rFonts w:hint="eastAsia" w:ascii="Times New Roman" w:hAnsi="Times New Roman" w:eastAsiaTheme="majorEastAsia"/>
                <w:kern w:val="0"/>
                <w:szCs w:val="21"/>
                <w:lang w:val="en-US" w:eastAsia="zh-CN"/>
              </w:rPr>
              <w:t>采购人名称：</w:t>
            </w:r>
            <w:r>
              <w:rPr>
                <w:rFonts w:ascii="Times New Roman" w:hAnsi="Times New Roman" w:eastAsiaTheme="majorEastAsia"/>
                <w:kern w:val="0"/>
                <w:szCs w:val="21"/>
                <w:lang w:val="en-US"/>
              </w:rPr>
              <w:t>上海海关缉私局</w:t>
            </w:r>
          </w:p>
          <w:p>
            <w:pPr>
              <w:jc w:val="both"/>
              <w:rPr>
                <w:rFonts w:hint="default" w:ascii="Times New Roman" w:hAnsi="Times New Roman" w:eastAsiaTheme="majorEastAsia"/>
                <w:kern w:val="0"/>
                <w:szCs w:val="21"/>
                <w:lang w:val="en-US" w:eastAsia="zh-CN"/>
              </w:rPr>
            </w:pPr>
            <w:r>
              <w:rPr>
                <w:rFonts w:hint="eastAsia" w:ascii="Times New Roman" w:hAnsi="Times New Roman" w:eastAsiaTheme="majorEastAsia"/>
                <w:kern w:val="0"/>
                <w:szCs w:val="21"/>
                <w:lang w:val="en-US" w:eastAsia="zh-CN"/>
              </w:rPr>
              <w:t>联系人：方警官</w:t>
            </w:r>
          </w:p>
          <w:p>
            <w:pPr>
              <w:jc w:val="both"/>
              <w:rPr>
                <w:rFonts w:hint="eastAsia" w:ascii="Times New Roman" w:hAnsi="Times New Roman" w:eastAsiaTheme="majorEastAsia"/>
                <w:kern w:val="0"/>
                <w:szCs w:val="21"/>
                <w:lang w:val="en-US" w:eastAsia="zh-CN"/>
              </w:rPr>
            </w:pPr>
            <w:r>
              <w:rPr>
                <w:rFonts w:hint="eastAsia" w:ascii="Times New Roman" w:hAnsi="Times New Roman" w:eastAsiaTheme="majorEastAsia"/>
                <w:kern w:val="0"/>
                <w:szCs w:val="21"/>
                <w:lang w:val="en-US" w:eastAsia="zh-CN"/>
              </w:rPr>
              <w:t>联系方式：021-68894221</w:t>
            </w:r>
          </w:p>
          <w:p>
            <w:pPr>
              <w:jc w:val="both"/>
              <w:rPr>
                <w:rFonts w:ascii="Times New Roman" w:hAnsi="Times New Roman" w:eastAsiaTheme="majorEastAsia"/>
                <w:kern w:val="0"/>
                <w:szCs w:val="21"/>
                <w:lang w:val="en-US"/>
              </w:rPr>
            </w:pPr>
            <w:r>
              <w:rPr>
                <w:rFonts w:hint="eastAsia" w:ascii="Times New Roman" w:hAnsi="Times New Roman" w:eastAsiaTheme="majorEastAsia"/>
                <w:kern w:val="0"/>
                <w:szCs w:val="21"/>
                <w:lang w:val="en-US" w:eastAsia="zh-CN"/>
              </w:rPr>
              <w:t>地址：上海市静安区万荣二路19号</w:t>
            </w: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便携式手机取证设备Ⅱ</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电子取证数据库分析系统</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电子物证存储系统</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电子物证现场提取设备Ⅱ</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可视化关联分析系统Ⅰ</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手机取证塔Ⅲ</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手机云取证设备Ⅰ</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手机云取证设备Ⅲ</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数据恢复设备Ⅰ</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云取证工作站Ⅱ</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战训一体化平台Ⅰ</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restart"/>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restart"/>
            <w:shd w:val="clear" w:color="auto" w:fill="auto"/>
            <w:noWrap/>
            <w:vAlign w:val="center"/>
          </w:tcPr>
          <w:p>
            <w:pPr>
              <w:jc w:val="both"/>
              <w:rPr>
                <w:rFonts w:ascii="Times New Roman" w:hAnsi="Times New Roman" w:eastAsiaTheme="majorEastAsia"/>
                <w:kern w:val="0"/>
                <w:szCs w:val="21"/>
                <w:lang w:val="en-US"/>
              </w:rPr>
            </w:pPr>
            <w:r>
              <w:rPr>
                <w:rFonts w:hint="eastAsia" w:ascii="Times New Roman" w:hAnsi="Times New Roman" w:eastAsiaTheme="majorEastAsia"/>
                <w:kern w:val="0"/>
                <w:szCs w:val="21"/>
                <w:lang w:val="en-US" w:eastAsia="zh-CN"/>
              </w:rPr>
              <w:t>采购人名称：</w:t>
            </w:r>
            <w:r>
              <w:rPr>
                <w:rFonts w:ascii="Times New Roman" w:hAnsi="Times New Roman" w:eastAsiaTheme="majorEastAsia"/>
                <w:kern w:val="0"/>
                <w:szCs w:val="21"/>
                <w:lang w:val="en-US"/>
              </w:rPr>
              <w:t>深圳海关缉私局</w:t>
            </w:r>
          </w:p>
          <w:p>
            <w:pPr>
              <w:jc w:val="both"/>
              <w:rPr>
                <w:rFonts w:hint="default" w:ascii="Times New Roman" w:hAnsi="Times New Roman" w:eastAsiaTheme="majorEastAsia"/>
                <w:kern w:val="0"/>
                <w:szCs w:val="21"/>
                <w:lang w:val="en-US" w:eastAsia="zh-CN"/>
              </w:rPr>
            </w:pPr>
            <w:r>
              <w:rPr>
                <w:rFonts w:hint="eastAsia" w:ascii="Times New Roman" w:hAnsi="Times New Roman" w:eastAsiaTheme="majorEastAsia"/>
                <w:kern w:val="0"/>
                <w:szCs w:val="21"/>
                <w:lang w:val="en-US" w:eastAsia="zh-CN"/>
              </w:rPr>
              <w:t>联系人：田警官</w:t>
            </w:r>
          </w:p>
          <w:p>
            <w:pPr>
              <w:jc w:val="both"/>
              <w:rPr>
                <w:rFonts w:hint="eastAsia" w:ascii="Times New Roman" w:hAnsi="Times New Roman" w:eastAsiaTheme="majorEastAsia"/>
                <w:kern w:val="0"/>
                <w:szCs w:val="21"/>
                <w:lang w:val="en-US" w:eastAsia="zh-CN"/>
              </w:rPr>
            </w:pPr>
            <w:r>
              <w:rPr>
                <w:rFonts w:hint="eastAsia" w:ascii="Times New Roman" w:hAnsi="Times New Roman" w:eastAsiaTheme="majorEastAsia"/>
                <w:kern w:val="0"/>
                <w:szCs w:val="21"/>
                <w:lang w:val="en-US" w:eastAsia="zh-CN"/>
              </w:rPr>
              <w:t>联系方式：0755-84399707</w:t>
            </w:r>
          </w:p>
          <w:p>
            <w:pPr>
              <w:jc w:val="both"/>
              <w:rPr>
                <w:rFonts w:ascii="Times New Roman" w:hAnsi="Times New Roman" w:eastAsiaTheme="majorEastAsia"/>
                <w:kern w:val="0"/>
                <w:szCs w:val="21"/>
                <w:lang w:val="en-US"/>
              </w:rPr>
            </w:pPr>
            <w:r>
              <w:rPr>
                <w:rFonts w:hint="eastAsia" w:ascii="Times New Roman" w:hAnsi="Times New Roman" w:eastAsiaTheme="majorEastAsia"/>
                <w:kern w:val="0"/>
                <w:szCs w:val="21"/>
                <w:lang w:val="en-US" w:eastAsia="zh-CN"/>
              </w:rPr>
              <w:t>地址：广东省深圳市罗湖区和平路1087号</w:t>
            </w: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声纹工作站Ⅱ</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便携式手机取证设备Ⅰ</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介质取证塔Ⅰ</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可视化关联分析系统Ⅰ</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手机取证塔Ⅰ</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手机取证塔Ⅱ</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手机取证塔Ⅲ</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手机云取证设备Ⅰ</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一体化电子取证工作站Ⅰ</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restart"/>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restart"/>
            <w:shd w:val="clear" w:color="auto" w:fill="auto"/>
            <w:noWrap/>
            <w:vAlign w:val="center"/>
          </w:tcPr>
          <w:p>
            <w:pPr>
              <w:jc w:val="both"/>
              <w:rPr>
                <w:rFonts w:ascii="Times New Roman" w:hAnsi="Times New Roman" w:eastAsiaTheme="majorEastAsia"/>
                <w:kern w:val="0"/>
                <w:szCs w:val="21"/>
                <w:lang w:val="en-US"/>
              </w:rPr>
            </w:pPr>
            <w:r>
              <w:rPr>
                <w:rFonts w:hint="eastAsia" w:ascii="Times New Roman" w:hAnsi="Times New Roman" w:eastAsiaTheme="majorEastAsia"/>
                <w:kern w:val="0"/>
                <w:szCs w:val="21"/>
                <w:lang w:val="en-US" w:eastAsia="zh-CN"/>
              </w:rPr>
              <w:t>采购人名称：</w:t>
            </w:r>
            <w:r>
              <w:rPr>
                <w:rFonts w:ascii="Times New Roman" w:hAnsi="Times New Roman" w:eastAsiaTheme="majorEastAsia"/>
                <w:kern w:val="0"/>
                <w:szCs w:val="21"/>
                <w:lang w:val="en-US"/>
              </w:rPr>
              <w:t>天津海关缉私局</w:t>
            </w:r>
          </w:p>
          <w:p>
            <w:pPr>
              <w:jc w:val="both"/>
              <w:rPr>
                <w:rFonts w:hint="default" w:ascii="Times New Roman" w:hAnsi="Times New Roman" w:eastAsiaTheme="majorEastAsia"/>
                <w:kern w:val="0"/>
                <w:szCs w:val="21"/>
                <w:lang w:val="en-US" w:eastAsia="zh-CN"/>
              </w:rPr>
            </w:pPr>
            <w:r>
              <w:rPr>
                <w:rFonts w:hint="eastAsia" w:ascii="Times New Roman" w:hAnsi="Times New Roman" w:eastAsiaTheme="majorEastAsia"/>
                <w:kern w:val="0"/>
                <w:szCs w:val="21"/>
                <w:lang w:val="en-US" w:eastAsia="zh-CN"/>
              </w:rPr>
              <w:t>联系人：樊警官</w:t>
            </w:r>
          </w:p>
          <w:p>
            <w:pPr>
              <w:jc w:val="both"/>
              <w:rPr>
                <w:rFonts w:hint="eastAsia" w:ascii="Times New Roman" w:hAnsi="Times New Roman" w:eastAsiaTheme="majorEastAsia"/>
                <w:kern w:val="0"/>
                <w:szCs w:val="21"/>
                <w:lang w:val="en-US" w:eastAsia="zh-CN"/>
              </w:rPr>
            </w:pPr>
            <w:r>
              <w:rPr>
                <w:rFonts w:hint="eastAsia" w:ascii="Times New Roman" w:hAnsi="Times New Roman" w:eastAsiaTheme="majorEastAsia"/>
                <w:kern w:val="0"/>
                <w:szCs w:val="21"/>
                <w:lang w:val="en-US" w:eastAsia="zh-CN"/>
              </w:rPr>
              <w:t>联系方式：022-84201949</w:t>
            </w:r>
          </w:p>
          <w:p>
            <w:pPr>
              <w:jc w:val="both"/>
              <w:rPr>
                <w:rFonts w:ascii="Times New Roman" w:hAnsi="Times New Roman" w:eastAsiaTheme="majorEastAsia"/>
                <w:kern w:val="0"/>
                <w:szCs w:val="21"/>
                <w:lang w:val="en-US"/>
              </w:rPr>
            </w:pPr>
            <w:r>
              <w:rPr>
                <w:rFonts w:hint="eastAsia" w:ascii="Times New Roman" w:hAnsi="Times New Roman" w:eastAsiaTheme="majorEastAsia"/>
                <w:kern w:val="0"/>
                <w:szCs w:val="21"/>
                <w:lang w:val="en-US" w:eastAsia="zh-CN"/>
              </w:rPr>
              <w:t>地址：天津市河东区津滨大道辅路天津海关缉私警察业务大楼</w:t>
            </w: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便携式手机取证设备Ⅰ</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电子物证存储系统</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介质取证塔Ⅱ</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手机密码破解设备Ⅲ</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手机取证塔Ⅴ</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一体化电子取证工作站Ⅱ</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云取证工作站Ⅱ</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restart"/>
            <w:shd w:val="clear" w:color="auto" w:fill="auto"/>
            <w:noWrap/>
            <w:vAlign w:val="center"/>
          </w:tcPr>
          <w:p>
            <w:pPr>
              <w:numPr>
                <w:ilvl w:val="0"/>
                <w:numId w:val="33"/>
              </w:numPr>
              <w:tabs>
                <w:tab w:val="clear" w:pos="0"/>
              </w:tabs>
              <w:jc w:val="center"/>
              <w:rPr>
                <w:rFonts w:ascii="Times New Roman" w:hAnsi="Times New Roman" w:eastAsia="宋体"/>
                <w:bCs/>
                <w:szCs w:val="21"/>
                <w:lang w:val="en-US"/>
              </w:rPr>
            </w:pPr>
          </w:p>
        </w:tc>
        <w:tc>
          <w:tcPr>
            <w:tcW w:w="3445" w:type="dxa"/>
            <w:vMerge w:val="restart"/>
            <w:shd w:val="clear" w:color="auto" w:fill="auto"/>
            <w:noWrap/>
            <w:vAlign w:val="center"/>
          </w:tcPr>
          <w:p>
            <w:pPr>
              <w:jc w:val="both"/>
              <w:rPr>
                <w:rFonts w:ascii="Times New Roman" w:hAnsi="Times New Roman" w:eastAsiaTheme="majorEastAsia"/>
                <w:kern w:val="0"/>
                <w:szCs w:val="21"/>
                <w:lang w:val="en-US"/>
              </w:rPr>
            </w:pPr>
            <w:r>
              <w:rPr>
                <w:rFonts w:hint="eastAsia" w:ascii="Times New Roman" w:hAnsi="Times New Roman" w:eastAsiaTheme="majorEastAsia"/>
                <w:kern w:val="0"/>
                <w:szCs w:val="21"/>
                <w:lang w:val="en-US" w:eastAsia="zh-CN"/>
              </w:rPr>
              <w:t>采购人名称：</w:t>
            </w:r>
            <w:r>
              <w:rPr>
                <w:rFonts w:ascii="Times New Roman" w:hAnsi="Times New Roman" w:eastAsiaTheme="majorEastAsia"/>
                <w:kern w:val="0"/>
                <w:szCs w:val="21"/>
                <w:lang w:val="en-US"/>
              </w:rPr>
              <w:t>湛江海关缉私局</w:t>
            </w:r>
          </w:p>
          <w:p>
            <w:pPr>
              <w:jc w:val="both"/>
              <w:rPr>
                <w:rFonts w:hint="default" w:ascii="Times New Roman" w:hAnsi="Times New Roman" w:eastAsiaTheme="majorEastAsia"/>
                <w:kern w:val="0"/>
                <w:szCs w:val="21"/>
                <w:lang w:val="en-US" w:eastAsia="zh-CN"/>
              </w:rPr>
            </w:pPr>
            <w:r>
              <w:rPr>
                <w:rFonts w:hint="eastAsia" w:ascii="Times New Roman" w:hAnsi="Times New Roman" w:eastAsiaTheme="majorEastAsia"/>
                <w:kern w:val="0"/>
                <w:szCs w:val="21"/>
                <w:lang w:val="en-US" w:eastAsia="zh-CN"/>
              </w:rPr>
              <w:t>联系人：杨警官</w:t>
            </w:r>
          </w:p>
          <w:p>
            <w:pPr>
              <w:jc w:val="both"/>
              <w:rPr>
                <w:rFonts w:hint="eastAsia" w:ascii="Times New Roman" w:hAnsi="Times New Roman" w:eastAsiaTheme="majorEastAsia"/>
                <w:kern w:val="0"/>
                <w:szCs w:val="21"/>
                <w:lang w:val="en-US" w:eastAsia="zh-CN"/>
              </w:rPr>
            </w:pPr>
            <w:r>
              <w:rPr>
                <w:rFonts w:hint="eastAsia" w:ascii="Times New Roman" w:hAnsi="Times New Roman" w:eastAsiaTheme="majorEastAsia"/>
                <w:kern w:val="0"/>
                <w:szCs w:val="21"/>
                <w:lang w:val="en-US" w:eastAsia="zh-CN"/>
              </w:rPr>
              <w:t>联系方式：0759-3251297</w:t>
            </w:r>
          </w:p>
          <w:p>
            <w:pPr>
              <w:jc w:val="both"/>
              <w:rPr>
                <w:rFonts w:ascii="Times New Roman" w:hAnsi="Times New Roman" w:eastAsiaTheme="majorEastAsia"/>
                <w:kern w:val="0"/>
                <w:szCs w:val="21"/>
                <w:lang w:val="en-US"/>
              </w:rPr>
            </w:pPr>
            <w:r>
              <w:rPr>
                <w:rFonts w:hint="eastAsia" w:ascii="Times New Roman" w:hAnsi="Times New Roman" w:eastAsiaTheme="majorEastAsia"/>
                <w:kern w:val="0"/>
                <w:szCs w:val="21"/>
                <w:lang w:val="en-US" w:eastAsia="zh-CN"/>
              </w:rPr>
              <w:t>地址：广东省湛江市经济开发区乐山大道62号</w:t>
            </w: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便携式手机取证设备Ⅰ</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jc w:val="center"/>
              <w:rPr>
                <w:rFonts w:ascii="Times New Roman" w:hAnsi="Times New Roman" w:eastAsiaTheme="majorEastAsia"/>
                <w:kern w:val="0"/>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电子物证存储系统</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jc w:val="center"/>
              <w:rPr>
                <w:rFonts w:ascii="Times New Roman" w:hAnsi="Times New Roman" w:eastAsiaTheme="majorEastAsia"/>
                <w:kern w:val="0"/>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手机密码破解设备Ⅱ</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jc w:val="center"/>
              <w:rPr>
                <w:rFonts w:ascii="Times New Roman" w:hAnsi="Times New Roman" w:eastAsiaTheme="majorEastAsia"/>
                <w:kern w:val="0"/>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手机取证塔Ⅰ</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jc w:val="center"/>
              <w:rPr>
                <w:rFonts w:ascii="Times New Roman" w:hAnsi="Times New Roman" w:eastAsiaTheme="majorEastAsia"/>
                <w:kern w:val="0"/>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手机取证塔Ⅴ</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jc w:val="center"/>
              <w:rPr>
                <w:rFonts w:ascii="Times New Roman" w:hAnsi="Times New Roman" w:eastAsiaTheme="majorEastAsia"/>
                <w:kern w:val="0"/>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手机云取证设备Ⅰ</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9" w:type="dxa"/>
            <w:vMerge w:val="continue"/>
            <w:shd w:val="clear" w:color="auto" w:fill="auto"/>
            <w:noWrap/>
            <w:vAlign w:val="center"/>
          </w:tcPr>
          <w:p>
            <w:pPr>
              <w:jc w:val="center"/>
              <w:rPr>
                <w:rFonts w:ascii="Times New Roman" w:hAnsi="Times New Roman" w:eastAsiaTheme="majorEastAsia"/>
                <w:kern w:val="0"/>
                <w:szCs w:val="21"/>
                <w:lang w:val="en-US"/>
              </w:rPr>
            </w:pPr>
          </w:p>
        </w:tc>
        <w:tc>
          <w:tcPr>
            <w:tcW w:w="3445" w:type="dxa"/>
            <w:vMerge w:val="continue"/>
            <w:vAlign w:val="center"/>
          </w:tcPr>
          <w:p>
            <w:pPr>
              <w:jc w:val="center"/>
              <w:rPr>
                <w:rFonts w:ascii="Times New Roman" w:hAnsi="Times New Roman" w:eastAsiaTheme="majorEastAsia"/>
                <w:kern w:val="0"/>
                <w:szCs w:val="21"/>
                <w:lang w:val="en-US"/>
              </w:rPr>
            </w:pPr>
          </w:p>
        </w:tc>
        <w:tc>
          <w:tcPr>
            <w:tcW w:w="2664" w:type="dxa"/>
            <w:shd w:val="clear" w:color="auto" w:fill="auto"/>
            <w:noWrap/>
            <w:vAlign w:val="center"/>
          </w:tcPr>
          <w:p>
            <w:pPr>
              <w:jc w:val="both"/>
              <w:rPr>
                <w:rFonts w:ascii="Times New Roman" w:hAnsi="Times New Roman" w:eastAsiaTheme="majorEastAsia"/>
                <w:kern w:val="0"/>
                <w:szCs w:val="21"/>
                <w:lang w:val="en-US"/>
              </w:rPr>
            </w:pPr>
            <w:r>
              <w:rPr>
                <w:rFonts w:ascii="Times New Roman" w:hAnsi="Times New Roman" w:eastAsiaTheme="majorEastAsia"/>
                <w:kern w:val="0"/>
                <w:szCs w:val="21"/>
                <w:lang w:val="en-US"/>
              </w:rPr>
              <w:t>一体化电子取证工作站Ⅰ</w:t>
            </w:r>
          </w:p>
        </w:tc>
        <w:tc>
          <w:tcPr>
            <w:tcW w:w="1175" w:type="dxa"/>
            <w:shd w:val="clear" w:color="auto" w:fill="auto"/>
            <w:noWrap/>
            <w:vAlign w:val="center"/>
          </w:tcPr>
          <w:p>
            <w:pPr>
              <w:jc w:val="center"/>
              <w:rPr>
                <w:rFonts w:ascii="Times New Roman" w:hAnsi="Times New Roman" w:eastAsiaTheme="majorEastAsia"/>
                <w:kern w:val="0"/>
                <w:szCs w:val="21"/>
                <w:lang w:val="en-US"/>
              </w:rPr>
            </w:pPr>
            <w:r>
              <w:rPr>
                <w:rFonts w:ascii="Times New Roman" w:hAnsi="Times New Roman" w:eastAsiaTheme="majorEastAsia"/>
                <w:kern w:val="0"/>
                <w:szCs w:val="21"/>
                <w:lang w:val="en-US"/>
              </w:rPr>
              <w:t>1</w:t>
            </w:r>
          </w:p>
        </w:tc>
      </w:tr>
    </w:tbl>
    <w:p>
      <w:pPr>
        <w:pStyle w:val="3"/>
        <w:spacing w:before="156"/>
        <w:rPr>
          <w:color w:val="auto"/>
        </w:rPr>
      </w:pPr>
      <w:bookmarkStart w:id="109" w:name="_Toc7744"/>
      <w:r>
        <w:rPr>
          <w:rFonts w:hint="eastAsia"/>
          <w:color w:val="auto"/>
        </w:rPr>
        <w:t>技术要求</w:t>
      </w:r>
      <w:bookmarkEnd w:id="106"/>
      <w:bookmarkEnd w:id="107"/>
      <w:bookmarkEnd w:id="108"/>
      <w:bookmarkEnd w:id="109"/>
    </w:p>
    <w:p>
      <w:pPr>
        <w:ind w:firstLine="420" w:firstLineChars="200"/>
        <w:jc w:val="both"/>
        <w:rPr>
          <w:rFonts w:ascii="Times New Roman" w:hAnsi="Times New Roman" w:eastAsia="宋体"/>
          <w:szCs w:val="21"/>
        </w:rPr>
      </w:pPr>
      <w:r>
        <w:rPr>
          <w:rFonts w:ascii="Times New Roman" w:hAnsi="Times New Roman" w:eastAsia="宋体"/>
          <w:szCs w:val="21"/>
        </w:rPr>
        <w:t>投标人须按“证明材料要求”提供包含相关指标项的证明材料（加盖投标人公章），未按要求提供有效证明材料或证明材料中内容与所填报指标不一致的，该指标按不满足处理：</w:t>
      </w:r>
    </w:p>
    <w:p>
      <w:pPr>
        <w:ind w:firstLine="420" w:firstLineChars="200"/>
        <w:jc w:val="both"/>
        <w:rPr>
          <w:rFonts w:ascii="Times New Roman" w:hAnsi="Times New Roman" w:eastAsia="宋体"/>
          <w:szCs w:val="21"/>
        </w:rPr>
      </w:pPr>
      <w:r>
        <w:rPr>
          <w:rFonts w:hint="eastAsia" w:ascii="宋体" w:hAnsi="宋体" w:eastAsia="宋体" w:cs="宋体"/>
          <w:szCs w:val="21"/>
        </w:rPr>
        <w:t>①</w:t>
      </w:r>
      <w:r>
        <w:rPr>
          <w:rFonts w:ascii="Times New Roman" w:hAnsi="Times New Roman" w:eastAsia="宋体"/>
          <w:szCs w:val="21"/>
        </w:rPr>
        <w:t>证明材料要求原厂证明材料的，可提供产品合格证或官方网站截图或白皮书等原厂证明材料；</w:t>
      </w:r>
    </w:p>
    <w:p>
      <w:pPr>
        <w:ind w:firstLine="420" w:firstLineChars="200"/>
        <w:jc w:val="both"/>
        <w:rPr>
          <w:rFonts w:ascii="Times New Roman" w:hAnsi="Times New Roman" w:eastAsia="宋体"/>
          <w:szCs w:val="21"/>
        </w:rPr>
      </w:pPr>
      <w:r>
        <w:rPr>
          <w:rFonts w:hint="eastAsia" w:ascii="宋体" w:hAnsi="宋体" w:eastAsia="宋体" w:cs="宋体"/>
          <w:szCs w:val="21"/>
        </w:rPr>
        <w:t>②</w:t>
      </w:r>
      <w:r>
        <w:rPr>
          <w:rFonts w:ascii="Times New Roman" w:hAnsi="Times New Roman" w:eastAsia="宋体"/>
          <w:szCs w:val="21"/>
        </w:rPr>
        <w:t>证明材料要求检验报告的</w:t>
      </w:r>
      <w:r>
        <w:rPr>
          <w:rFonts w:ascii="Times New Roman" w:hAnsi="Times New Roman" w:eastAsia="宋体"/>
        </w:rPr>
        <w:t>，投标人须提供由公安内部检测机构或兵器装备研究所测试试验中心（中国兵器装备特种产品质量监督检测中心）出具的所投产品的合格检验报告（复印件加盖投标人公章）。</w:t>
      </w:r>
    </w:p>
    <w:p>
      <w:pPr>
        <w:ind w:firstLine="420" w:firstLineChars="200"/>
        <w:jc w:val="both"/>
        <w:rPr>
          <w:rFonts w:ascii="宋体" w:hAnsi="宋体" w:eastAsia="宋体" w:cs="宋体"/>
          <w:szCs w:val="21"/>
        </w:rPr>
      </w:pPr>
      <w:r>
        <w:rPr>
          <w:rFonts w:hint="eastAsia" w:ascii="宋体" w:hAnsi="宋体" w:eastAsia="宋体" w:cs="宋体"/>
          <w:szCs w:val="21"/>
        </w:rPr>
        <w:t>③</w:t>
      </w:r>
      <w:r>
        <w:rPr>
          <w:rFonts w:ascii="宋体" w:hAnsi="宋体" w:eastAsia="宋体" w:cs="宋体"/>
          <w:szCs w:val="21"/>
        </w:rPr>
        <w:t>其他证明材料依据“证明材料要求”提供</w:t>
      </w:r>
      <w:r>
        <w:rPr>
          <w:rFonts w:hint="eastAsia" w:ascii="宋体" w:hAnsi="宋体" w:eastAsia="宋体" w:cs="宋体"/>
          <w:szCs w:val="21"/>
        </w:rPr>
        <w:t>；证明材料无具体要求的，以技术规范偏离表为准。</w:t>
      </w:r>
    </w:p>
    <w:p>
      <w:pPr>
        <w:ind w:firstLine="420" w:firstLineChars="200"/>
        <w:jc w:val="both"/>
        <w:rPr>
          <w:rFonts w:ascii="宋体" w:hAnsi="宋体" w:eastAsia="宋体" w:cs="宋体"/>
          <w:szCs w:val="21"/>
        </w:rPr>
      </w:pPr>
      <w:r>
        <w:rPr>
          <w:rFonts w:ascii="宋体" w:hAnsi="宋体" w:eastAsia="宋体" w:cs="宋体"/>
          <w:szCs w:val="21"/>
        </w:rPr>
        <w:t>下述技术参数要求为最低技术要求，投标时提供的所投产品的技术参数应等于或优于下述技术参数要求。</w:t>
      </w:r>
    </w:p>
    <w:p>
      <w:pPr>
        <w:pStyle w:val="4"/>
        <w:keepNext w:val="0"/>
        <w:keepLines w:val="0"/>
        <w:spacing w:before="156"/>
      </w:pPr>
      <w:r>
        <w:rPr>
          <w:rFonts w:eastAsia="宋体"/>
          <w:b/>
          <w:bCs w:val="0"/>
        </w:rPr>
        <w:t>*</w:t>
      </w:r>
      <w:r>
        <w:rPr>
          <w:rFonts w:hint="eastAsia"/>
        </w:rPr>
        <w:t>实质性要求</w:t>
      </w:r>
      <w:r>
        <w:rPr>
          <w:rFonts w:eastAsia="宋体"/>
        </w:rPr>
        <w:t>（实质性要求，不满足将导致投标被拒绝）</w:t>
      </w:r>
    </w:p>
    <w:p>
      <w:pPr>
        <w:pStyle w:val="5"/>
        <w:spacing w:before="156"/>
        <w:rPr>
          <w:rFonts w:asciiTheme="minorEastAsia" w:hAnsiTheme="minorEastAsia" w:eastAsiaTheme="minorEastAsia" w:cstheme="minorEastAsia"/>
          <w:b/>
          <w:bCs w:val="0"/>
          <w:szCs w:val="21"/>
        </w:rPr>
      </w:pPr>
      <w:r>
        <w:rPr>
          <w:rFonts w:hint="eastAsia" w:asciiTheme="minorEastAsia" w:hAnsiTheme="minorEastAsia" w:eastAsiaTheme="minorEastAsia" w:cstheme="minorEastAsia"/>
          <w:szCs w:val="21"/>
        </w:rPr>
        <w:t>第1包 手机取证塔</w:t>
      </w:r>
      <w:r>
        <w:rPr>
          <w:rFonts w:hint="default" w:ascii="Times New Roman" w:hAnsi="Times New Roman" w:cs="Times New Roman" w:eastAsiaTheme="minorEastAsia"/>
          <w:szCs w:val="21"/>
        </w:rPr>
        <w:t>Ⅰ</w:t>
      </w:r>
    </w:p>
    <w:tbl>
      <w:tblPr>
        <w:tblStyle w:val="81"/>
        <w:tblW w:w="465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7"/>
        <w:gridCol w:w="1296"/>
        <w:gridCol w:w="4053"/>
        <w:gridCol w:w="1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szCs w:val="21"/>
                <w:lang w:bidi="ar"/>
              </w:rPr>
              <w:t>序号</w:t>
            </w:r>
          </w:p>
        </w:tc>
        <w:tc>
          <w:tcPr>
            <w:tcW w:w="81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szCs w:val="21"/>
                <w:lang w:bidi="ar"/>
              </w:rPr>
              <w:t>指标项</w:t>
            </w:r>
          </w:p>
        </w:tc>
        <w:tc>
          <w:tcPr>
            <w:tcW w:w="255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szCs w:val="21"/>
                <w:lang w:bidi="ar"/>
              </w:rPr>
              <w:t>指标要求</w:t>
            </w:r>
          </w:p>
        </w:tc>
        <w:tc>
          <w:tcPr>
            <w:tcW w:w="117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szCs w:val="21"/>
                <w:lang w:bidi="ar"/>
              </w:rPr>
              <w:t>证明材料要求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34"/>
              </w:numPr>
              <w:jc w:val="center"/>
              <w:rPr>
                <w:rFonts w:asciiTheme="minorEastAsia" w:hAnsiTheme="minorEastAsia" w:eastAsiaTheme="minorEastAsia" w:cstheme="minorEastAsia"/>
                <w:bCs/>
                <w:color w:val="000000"/>
                <w:szCs w:val="21"/>
              </w:rPr>
            </w:pPr>
          </w:p>
        </w:tc>
        <w:tc>
          <w:tcPr>
            <w:tcW w:w="816"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szCs w:val="21"/>
                <w:lang w:bidi="ar"/>
              </w:rPr>
              <w:t>处理器</w:t>
            </w:r>
          </w:p>
        </w:tc>
        <w:tc>
          <w:tcPr>
            <w:tcW w:w="2552"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szCs w:val="21"/>
                <w:lang w:bidi="ar"/>
              </w:rPr>
              <w:t>不低于24核心32线程，主频不低于3.0GHz</w:t>
            </w:r>
          </w:p>
        </w:tc>
        <w:tc>
          <w:tcPr>
            <w:tcW w:w="117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34"/>
              </w:numPr>
              <w:jc w:val="center"/>
              <w:rPr>
                <w:rFonts w:asciiTheme="minorEastAsia" w:hAnsiTheme="minorEastAsia" w:eastAsiaTheme="minorEastAsia" w:cstheme="minorEastAsia"/>
                <w:bCs/>
                <w:color w:val="000000"/>
                <w:szCs w:val="21"/>
              </w:rPr>
            </w:pPr>
          </w:p>
        </w:tc>
        <w:tc>
          <w:tcPr>
            <w:tcW w:w="816"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szCs w:val="21"/>
                <w:lang w:bidi="ar"/>
              </w:rPr>
              <w:t>内存</w:t>
            </w:r>
          </w:p>
        </w:tc>
        <w:tc>
          <w:tcPr>
            <w:tcW w:w="2552"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szCs w:val="21"/>
                <w:lang w:bidi="ar"/>
              </w:rPr>
              <w:t>不低于64GB内存</w:t>
            </w:r>
          </w:p>
        </w:tc>
        <w:tc>
          <w:tcPr>
            <w:tcW w:w="117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34"/>
              </w:numPr>
              <w:jc w:val="center"/>
              <w:rPr>
                <w:rFonts w:asciiTheme="minorEastAsia" w:hAnsiTheme="minorEastAsia" w:eastAsiaTheme="minorEastAsia" w:cstheme="minorEastAsia"/>
                <w:bCs/>
                <w:color w:val="000000"/>
                <w:szCs w:val="21"/>
              </w:rPr>
            </w:pPr>
          </w:p>
        </w:tc>
        <w:tc>
          <w:tcPr>
            <w:tcW w:w="816"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szCs w:val="21"/>
                <w:lang w:bidi="ar"/>
              </w:rPr>
              <w:t>存储</w:t>
            </w:r>
          </w:p>
        </w:tc>
        <w:tc>
          <w:tcPr>
            <w:tcW w:w="2552"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szCs w:val="21"/>
                <w:lang w:bidi="ar"/>
              </w:rPr>
              <w:t>不低于930GB</w:t>
            </w:r>
            <w:r>
              <w:rPr>
                <w:rFonts w:asciiTheme="minorEastAsia" w:hAnsiTheme="minorEastAsia" w:eastAsiaTheme="minorEastAsia" w:cstheme="minorEastAsia"/>
                <w:bCs/>
                <w:szCs w:val="21"/>
                <w:lang w:bidi="ar"/>
              </w:rPr>
              <w:t xml:space="preserve"> </w:t>
            </w:r>
            <w:r>
              <w:rPr>
                <w:rFonts w:hint="eastAsia" w:asciiTheme="minorEastAsia" w:hAnsiTheme="minorEastAsia" w:eastAsiaTheme="minorEastAsia" w:cstheme="minorEastAsia"/>
                <w:bCs/>
                <w:szCs w:val="21"/>
                <w:lang w:bidi="ar"/>
              </w:rPr>
              <w:t>M.2SSD</w:t>
            </w:r>
            <w:r>
              <w:rPr>
                <w:rFonts w:asciiTheme="minorEastAsia" w:hAnsiTheme="minorEastAsia" w:eastAsiaTheme="minorEastAsia" w:cstheme="minorEastAsia"/>
                <w:bCs/>
                <w:szCs w:val="21"/>
                <w:lang w:bidi="ar"/>
              </w:rPr>
              <w:t xml:space="preserve"> </w:t>
            </w:r>
            <w:r>
              <w:rPr>
                <w:rFonts w:hint="eastAsia" w:asciiTheme="minorEastAsia" w:hAnsiTheme="minorEastAsia" w:eastAsiaTheme="minorEastAsia" w:cstheme="minorEastAsia"/>
                <w:bCs/>
                <w:szCs w:val="21"/>
                <w:lang w:bidi="ar"/>
              </w:rPr>
              <w:t>+7.4TB</w:t>
            </w:r>
            <w:r>
              <w:rPr>
                <w:rFonts w:asciiTheme="minorEastAsia" w:hAnsiTheme="minorEastAsia" w:eastAsiaTheme="minorEastAsia" w:cstheme="minorEastAsia"/>
                <w:bCs/>
                <w:szCs w:val="21"/>
                <w:lang w:bidi="ar"/>
              </w:rPr>
              <w:t xml:space="preserve"> </w:t>
            </w:r>
            <w:r>
              <w:rPr>
                <w:rFonts w:hint="eastAsia" w:asciiTheme="minorEastAsia" w:hAnsiTheme="minorEastAsia" w:eastAsiaTheme="minorEastAsia" w:cstheme="minorEastAsia"/>
                <w:bCs/>
                <w:szCs w:val="21"/>
                <w:lang w:bidi="ar"/>
              </w:rPr>
              <w:t>M.2SSD</w:t>
            </w:r>
            <w:r>
              <w:rPr>
                <w:rFonts w:asciiTheme="minorEastAsia" w:hAnsiTheme="minorEastAsia" w:eastAsiaTheme="minorEastAsia" w:cstheme="minorEastAsia"/>
                <w:bCs/>
                <w:szCs w:val="21"/>
                <w:lang w:bidi="ar"/>
              </w:rPr>
              <w:t xml:space="preserve"> </w:t>
            </w:r>
            <w:r>
              <w:rPr>
                <w:rFonts w:hint="eastAsia" w:asciiTheme="minorEastAsia" w:hAnsiTheme="minorEastAsia" w:eastAsiaTheme="minorEastAsia" w:cstheme="minorEastAsia"/>
                <w:bCs/>
                <w:szCs w:val="21"/>
                <w:lang w:bidi="ar"/>
              </w:rPr>
              <w:t>+7.4TB</w:t>
            </w:r>
            <w:r>
              <w:rPr>
                <w:rFonts w:asciiTheme="minorEastAsia" w:hAnsiTheme="minorEastAsia" w:eastAsiaTheme="minorEastAsia" w:cstheme="minorEastAsia"/>
                <w:bCs/>
                <w:szCs w:val="21"/>
                <w:lang w:bidi="ar"/>
              </w:rPr>
              <w:t xml:space="preserve"> </w:t>
            </w:r>
            <w:r>
              <w:rPr>
                <w:rFonts w:hint="eastAsia" w:asciiTheme="minorEastAsia" w:hAnsiTheme="minorEastAsia" w:eastAsiaTheme="minorEastAsia" w:cstheme="minorEastAsia"/>
                <w:bCs/>
                <w:szCs w:val="21"/>
                <w:lang w:bidi="ar"/>
              </w:rPr>
              <w:t>M.2SSD硬盘</w:t>
            </w:r>
          </w:p>
        </w:tc>
        <w:tc>
          <w:tcPr>
            <w:tcW w:w="117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34"/>
              </w:numPr>
              <w:jc w:val="center"/>
              <w:rPr>
                <w:rFonts w:asciiTheme="minorEastAsia" w:hAnsiTheme="minorEastAsia" w:eastAsiaTheme="minorEastAsia" w:cstheme="minorEastAsia"/>
                <w:bCs/>
                <w:color w:val="000000"/>
                <w:szCs w:val="21"/>
              </w:rPr>
            </w:pPr>
          </w:p>
        </w:tc>
        <w:tc>
          <w:tcPr>
            <w:tcW w:w="816"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szCs w:val="21"/>
                <w:lang w:bidi="ar"/>
              </w:rPr>
              <w:t>显卡</w:t>
            </w:r>
          </w:p>
        </w:tc>
        <w:tc>
          <w:tcPr>
            <w:tcW w:w="2552"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szCs w:val="21"/>
                <w:lang w:bidi="ar"/>
              </w:rPr>
              <w:t>不低于12GB显存</w:t>
            </w:r>
          </w:p>
        </w:tc>
        <w:tc>
          <w:tcPr>
            <w:tcW w:w="117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34"/>
              </w:numPr>
              <w:jc w:val="center"/>
              <w:rPr>
                <w:rFonts w:asciiTheme="minorEastAsia" w:hAnsiTheme="minorEastAsia" w:eastAsiaTheme="minorEastAsia" w:cstheme="minorEastAsia"/>
                <w:bCs/>
                <w:color w:val="000000"/>
                <w:szCs w:val="21"/>
              </w:rPr>
            </w:pPr>
          </w:p>
        </w:tc>
        <w:tc>
          <w:tcPr>
            <w:tcW w:w="816"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color w:val="000000"/>
                <w:kern w:val="0"/>
                <w:szCs w:val="21"/>
              </w:rPr>
            </w:pPr>
            <w:r>
              <w:rPr>
                <w:rFonts w:hint="eastAsia" w:asciiTheme="minorEastAsia" w:hAnsiTheme="minorEastAsia" w:eastAsiaTheme="minorEastAsia" w:cstheme="minorEastAsia"/>
                <w:bCs/>
                <w:szCs w:val="21"/>
                <w:lang w:bidi="ar"/>
              </w:rPr>
              <w:t>显示器</w:t>
            </w:r>
          </w:p>
        </w:tc>
        <w:tc>
          <w:tcPr>
            <w:tcW w:w="255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74"/>
              <w:autoSpaceDE w:val="0"/>
              <w:autoSpaceDN w:val="0"/>
              <w:adjustRightInd w:val="0"/>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color w:val="000000"/>
                <w:sz w:val="21"/>
                <w:szCs w:val="21"/>
                <w:lang w:bidi="ar"/>
              </w:rPr>
              <w:t>不低于34寸</w:t>
            </w:r>
          </w:p>
        </w:tc>
        <w:tc>
          <w:tcPr>
            <w:tcW w:w="1174"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34"/>
              </w:numPr>
              <w:jc w:val="center"/>
              <w:rPr>
                <w:rFonts w:asciiTheme="minorEastAsia" w:hAnsiTheme="minorEastAsia" w:eastAsiaTheme="minorEastAsia" w:cstheme="minorEastAsia"/>
                <w:bCs/>
                <w:color w:val="000000"/>
                <w:szCs w:val="21"/>
              </w:rPr>
            </w:pPr>
          </w:p>
        </w:tc>
        <w:tc>
          <w:tcPr>
            <w:tcW w:w="816"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szCs w:val="21"/>
                <w:lang w:bidi="ar"/>
              </w:rPr>
              <w:t>光驱</w:t>
            </w:r>
          </w:p>
        </w:tc>
        <w:tc>
          <w:tcPr>
            <w:tcW w:w="2552"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szCs w:val="21"/>
                <w:lang w:bidi="ar"/>
              </w:rPr>
              <w:t>不少于1台蓝光刻录机</w:t>
            </w:r>
          </w:p>
        </w:tc>
        <w:tc>
          <w:tcPr>
            <w:tcW w:w="1174"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34"/>
              </w:numPr>
              <w:jc w:val="center"/>
              <w:rPr>
                <w:rFonts w:asciiTheme="minorEastAsia" w:hAnsiTheme="minorEastAsia" w:eastAsiaTheme="minorEastAsia" w:cstheme="minorEastAsia"/>
                <w:bCs/>
                <w:color w:val="000000"/>
                <w:szCs w:val="21"/>
              </w:rPr>
            </w:pPr>
          </w:p>
        </w:tc>
        <w:tc>
          <w:tcPr>
            <w:tcW w:w="816"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szCs w:val="21"/>
                <w:lang w:bidi="ar"/>
              </w:rPr>
              <w:t>接口</w:t>
            </w:r>
          </w:p>
        </w:tc>
        <w:tc>
          <w:tcPr>
            <w:tcW w:w="2552"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color w:val="000000"/>
                <w:kern w:val="0"/>
                <w:szCs w:val="21"/>
              </w:rPr>
            </w:pPr>
            <w:r>
              <w:rPr>
                <w:rFonts w:hint="eastAsia" w:asciiTheme="minorEastAsia" w:hAnsiTheme="minorEastAsia" w:eastAsiaTheme="minorEastAsia" w:cstheme="minorEastAsia"/>
                <w:bCs/>
                <w:szCs w:val="21"/>
                <w:lang w:bidi="ar"/>
              </w:rPr>
              <w:t>不少于12个USB接口，包括USB-TypeC/3.2/3.0/2.0</w:t>
            </w:r>
          </w:p>
        </w:tc>
        <w:tc>
          <w:tcPr>
            <w:tcW w:w="1174"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34"/>
              </w:numPr>
              <w:jc w:val="center"/>
              <w:rPr>
                <w:rFonts w:asciiTheme="minorEastAsia" w:hAnsiTheme="minorEastAsia" w:eastAsiaTheme="minorEastAsia" w:cstheme="minorEastAsia"/>
                <w:bCs/>
                <w:color w:val="000000"/>
                <w:szCs w:val="21"/>
              </w:rPr>
            </w:pPr>
          </w:p>
        </w:tc>
        <w:tc>
          <w:tcPr>
            <w:tcW w:w="816"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szCs w:val="21"/>
                <w:lang w:bidi="ar"/>
              </w:rPr>
              <w:t>网络</w:t>
            </w:r>
          </w:p>
        </w:tc>
        <w:tc>
          <w:tcPr>
            <w:tcW w:w="2552"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color w:val="000000"/>
                <w:kern w:val="0"/>
                <w:szCs w:val="21"/>
              </w:rPr>
            </w:pPr>
            <w:r>
              <w:rPr>
                <w:rFonts w:hint="eastAsia" w:asciiTheme="minorEastAsia" w:hAnsiTheme="minorEastAsia" w:eastAsiaTheme="minorEastAsia" w:cstheme="minorEastAsia"/>
                <w:bCs/>
                <w:szCs w:val="21"/>
                <w:lang w:bidi="ar"/>
              </w:rPr>
              <w:t>不少于1个万兆光口、2个千兆电口</w:t>
            </w:r>
          </w:p>
        </w:tc>
        <w:tc>
          <w:tcPr>
            <w:tcW w:w="1174"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34"/>
              </w:numPr>
              <w:jc w:val="center"/>
              <w:rPr>
                <w:rFonts w:asciiTheme="minorEastAsia" w:hAnsiTheme="minorEastAsia" w:eastAsiaTheme="minorEastAsia" w:cstheme="minorEastAsia"/>
                <w:bCs/>
                <w:color w:val="000000"/>
                <w:szCs w:val="21"/>
              </w:rPr>
            </w:pPr>
          </w:p>
        </w:tc>
        <w:tc>
          <w:tcPr>
            <w:tcW w:w="816"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szCs w:val="21"/>
                <w:lang w:bidi="ar"/>
              </w:rPr>
              <w:t>Wi-Fi取证能力</w:t>
            </w:r>
          </w:p>
        </w:tc>
        <w:tc>
          <w:tcPr>
            <w:tcW w:w="2552"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color w:val="000000"/>
                <w:kern w:val="0"/>
                <w:szCs w:val="21"/>
              </w:rPr>
            </w:pPr>
            <w:r>
              <w:rPr>
                <w:rFonts w:hint="eastAsia" w:asciiTheme="minorEastAsia" w:hAnsiTheme="minorEastAsia" w:eastAsiaTheme="minorEastAsia" w:cstheme="minorEastAsia"/>
                <w:bCs/>
                <w:szCs w:val="21"/>
                <w:lang w:bidi="ar"/>
              </w:rPr>
              <w:t>内置不少于3个箱体隔离的WiFi无线模组</w:t>
            </w:r>
          </w:p>
        </w:tc>
        <w:tc>
          <w:tcPr>
            <w:tcW w:w="1174"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34"/>
              </w:numPr>
              <w:jc w:val="center"/>
              <w:rPr>
                <w:rFonts w:asciiTheme="minorEastAsia" w:hAnsiTheme="minorEastAsia" w:eastAsiaTheme="minorEastAsia" w:cstheme="minorEastAsia"/>
                <w:bCs/>
                <w:color w:val="000000"/>
                <w:szCs w:val="21"/>
              </w:rPr>
            </w:pPr>
          </w:p>
        </w:tc>
        <w:tc>
          <w:tcPr>
            <w:tcW w:w="816"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szCs w:val="21"/>
                <w:lang w:bidi="ar"/>
              </w:rPr>
              <w:t>高拍仪</w:t>
            </w:r>
          </w:p>
        </w:tc>
        <w:tc>
          <w:tcPr>
            <w:tcW w:w="2552"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color w:val="000000"/>
                <w:kern w:val="0"/>
                <w:szCs w:val="21"/>
              </w:rPr>
            </w:pPr>
            <w:r>
              <w:rPr>
                <w:rFonts w:hint="eastAsia" w:asciiTheme="minorEastAsia" w:hAnsiTheme="minorEastAsia" w:eastAsiaTheme="minorEastAsia" w:cstheme="minorEastAsia"/>
                <w:bCs/>
                <w:szCs w:val="21"/>
                <w:lang w:bidi="ar"/>
              </w:rPr>
              <w:t>主机集成可折叠且不低于1600万像素且需具有自动对焦的高拍仪，同时需集成可折叠带刻度的拍摄台面</w:t>
            </w:r>
          </w:p>
        </w:tc>
        <w:tc>
          <w:tcPr>
            <w:tcW w:w="1174"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34"/>
              </w:numPr>
              <w:jc w:val="center"/>
              <w:rPr>
                <w:rFonts w:asciiTheme="minorEastAsia" w:hAnsiTheme="minorEastAsia" w:eastAsiaTheme="minorEastAsia" w:cstheme="minorEastAsia"/>
                <w:bCs/>
                <w:color w:val="000000"/>
                <w:szCs w:val="21"/>
              </w:rPr>
            </w:pPr>
          </w:p>
        </w:tc>
        <w:tc>
          <w:tcPr>
            <w:tcW w:w="81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szCs w:val="21"/>
                <w:lang w:bidi="ar"/>
              </w:rPr>
              <w:t>取证能力</w:t>
            </w:r>
          </w:p>
        </w:tc>
        <w:tc>
          <w:tcPr>
            <w:tcW w:w="2552"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color w:val="000000"/>
                <w:kern w:val="0"/>
                <w:szCs w:val="21"/>
              </w:rPr>
            </w:pPr>
            <w:r>
              <w:rPr>
                <w:rFonts w:hint="eastAsia" w:asciiTheme="minorEastAsia" w:hAnsiTheme="minorEastAsia" w:eastAsiaTheme="minorEastAsia" w:cstheme="minorEastAsia"/>
                <w:bCs/>
                <w:szCs w:val="21"/>
                <w:lang w:bidi="ar"/>
              </w:rPr>
              <w:t>支持不少于4种取证方式，包括镜像取证、文件取证、蓝牙取证、拍照取证等取证方式</w:t>
            </w:r>
          </w:p>
        </w:tc>
        <w:tc>
          <w:tcPr>
            <w:tcW w:w="1174"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34"/>
              </w:numPr>
              <w:jc w:val="center"/>
              <w:rPr>
                <w:rFonts w:asciiTheme="minorEastAsia" w:hAnsiTheme="minorEastAsia" w:eastAsiaTheme="minorEastAsia" w:cstheme="minorEastAsia"/>
                <w:bCs/>
                <w:color w:val="000000"/>
                <w:szCs w:val="21"/>
              </w:rPr>
            </w:pPr>
          </w:p>
        </w:tc>
        <w:tc>
          <w:tcPr>
            <w:tcW w:w="81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2552"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color w:val="000000"/>
                <w:kern w:val="0"/>
                <w:szCs w:val="21"/>
              </w:rPr>
            </w:pPr>
            <w:r>
              <w:rPr>
                <w:rFonts w:hint="eastAsia" w:asciiTheme="minorEastAsia" w:hAnsiTheme="minorEastAsia" w:eastAsiaTheme="minorEastAsia" w:cstheme="minorEastAsia"/>
                <w:bCs/>
                <w:szCs w:val="21"/>
                <w:lang w:bidi="ar"/>
              </w:rPr>
              <w:t>支持在手机取证时可同时处理不少于4种处理方式包括数据浏览、数据搜索、导出报告、数据分析等</w:t>
            </w:r>
          </w:p>
        </w:tc>
        <w:tc>
          <w:tcPr>
            <w:tcW w:w="1174"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34"/>
              </w:numPr>
              <w:jc w:val="center"/>
              <w:rPr>
                <w:rFonts w:asciiTheme="minorEastAsia" w:hAnsiTheme="minorEastAsia" w:eastAsiaTheme="minorEastAsia" w:cstheme="minorEastAsia"/>
                <w:bCs/>
                <w:color w:val="000000"/>
                <w:szCs w:val="21"/>
              </w:rPr>
            </w:pPr>
          </w:p>
        </w:tc>
        <w:tc>
          <w:tcPr>
            <w:tcW w:w="81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2552"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szCs w:val="21"/>
                <w:lang w:bidi="ar"/>
              </w:rPr>
              <w:t>支持不少于以下3种备份文件解析，包括iTunes（iPhone）备份、Android手机备份、VCF备份文件</w:t>
            </w:r>
          </w:p>
        </w:tc>
        <w:tc>
          <w:tcPr>
            <w:tcW w:w="1174"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34"/>
              </w:numPr>
              <w:jc w:val="center"/>
              <w:rPr>
                <w:rFonts w:asciiTheme="minorEastAsia" w:hAnsiTheme="minorEastAsia" w:eastAsiaTheme="minorEastAsia" w:cstheme="minorEastAsia"/>
                <w:bCs/>
                <w:color w:val="000000"/>
                <w:szCs w:val="21"/>
              </w:rPr>
            </w:pPr>
          </w:p>
        </w:tc>
        <w:tc>
          <w:tcPr>
            <w:tcW w:w="81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2552"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szCs w:val="21"/>
                <w:lang w:bidi="ar"/>
              </w:rPr>
              <w:t>支持不少于对3种手机包括Android、iOS、鸿蒙OS手机各类文档的分类取证</w:t>
            </w:r>
          </w:p>
        </w:tc>
        <w:tc>
          <w:tcPr>
            <w:tcW w:w="1174"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34"/>
              </w:numPr>
              <w:jc w:val="center"/>
              <w:rPr>
                <w:rFonts w:asciiTheme="minorEastAsia" w:hAnsiTheme="minorEastAsia" w:eastAsiaTheme="minorEastAsia" w:cstheme="minorEastAsia"/>
                <w:bCs/>
                <w:color w:val="000000"/>
                <w:szCs w:val="21"/>
              </w:rPr>
            </w:pPr>
          </w:p>
        </w:tc>
        <w:tc>
          <w:tcPr>
            <w:tcW w:w="81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2552"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szCs w:val="21"/>
                <w:lang w:bidi="ar"/>
              </w:rPr>
              <w:t>支持不少于2种连接记录包括对手机Wi-Fi、蓝牙连接记录的提取</w:t>
            </w:r>
          </w:p>
        </w:tc>
        <w:tc>
          <w:tcPr>
            <w:tcW w:w="1174"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34"/>
              </w:numPr>
              <w:jc w:val="center"/>
              <w:rPr>
                <w:rFonts w:asciiTheme="minorEastAsia" w:hAnsiTheme="minorEastAsia" w:eastAsiaTheme="minorEastAsia" w:cstheme="minorEastAsia"/>
                <w:bCs/>
                <w:color w:val="000000"/>
                <w:szCs w:val="21"/>
              </w:rPr>
            </w:pPr>
          </w:p>
        </w:tc>
        <w:tc>
          <w:tcPr>
            <w:tcW w:w="81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2552"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szCs w:val="21"/>
                <w:lang w:bidi="ar"/>
              </w:rPr>
              <w:t>支持不少于对5种信息的提取包括对手机GPS、Wi-Fi、基站、照片位置信息及部分应用程序位置信息的提取</w:t>
            </w:r>
          </w:p>
        </w:tc>
        <w:tc>
          <w:tcPr>
            <w:tcW w:w="1174"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34"/>
              </w:numPr>
              <w:jc w:val="center"/>
              <w:rPr>
                <w:rFonts w:asciiTheme="minorEastAsia" w:hAnsiTheme="minorEastAsia" w:eastAsiaTheme="minorEastAsia" w:cstheme="minorEastAsia"/>
                <w:bCs/>
                <w:color w:val="000000"/>
                <w:szCs w:val="21"/>
              </w:rPr>
            </w:pPr>
          </w:p>
        </w:tc>
        <w:tc>
          <w:tcPr>
            <w:tcW w:w="816"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szCs w:val="21"/>
                <w:lang w:bidi="ar"/>
              </w:rPr>
              <w:t>应用程序解析</w:t>
            </w:r>
          </w:p>
        </w:tc>
        <w:tc>
          <w:tcPr>
            <w:tcW w:w="2552"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szCs w:val="21"/>
                <w:lang w:bidi="ar"/>
              </w:rPr>
              <w:t>支持不少于对2种内容的提取包括各种即时通讯软件多媒体文件的转码，并在软件内直接播放；支持微信公众号文章缓存页面重组，可直观查看微信公众号文章</w:t>
            </w:r>
          </w:p>
        </w:tc>
        <w:tc>
          <w:tcPr>
            <w:tcW w:w="117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34"/>
              </w:numPr>
              <w:jc w:val="center"/>
              <w:rPr>
                <w:rFonts w:asciiTheme="minorEastAsia" w:hAnsiTheme="minorEastAsia" w:eastAsiaTheme="minorEastAsia" w:cstheme="minorEastAsia"/>
                <w:bCs/>
                <w:color w:val="000000"/>
                <w:szCs w:val="21"/>
              </w:rPr>
            </w:pPr>
          </w:p>
        </w:tc>
        <w:tc>
          <w:tcPr>
            <w:tcW w:w="816"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szCs w:val="21"/>
                <w:lang w:bidi="ar"/>
              </w:rPr>
              <w:t>物联网管理API</w:t>
            </w:r>
          </w:p>
        </w:tc>
        <w:tc>
          <w:tcPr>
            <w:tcW w:w="2552"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支持不少于2种开放接口对接，包括物联网管理API接口，可供实验室管理系统采集设备工作状态和工作量</w:t>
            </w:r>
          </w:p>
        </w:tc>
        <w:tc>
          <w:tcPr>
            <w:tcW w:w="117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szCs w:val="21"/>
                <w:lang w:bidi="ar"/>
              </w:rPr>
              <w:t>/</w:t>
            </w:r>
          </w:p>
        </w:tc>
      </w:tr>
    </w:tbl>
    <w:p>
      <w:pPr>
        <w:rPr>
          <w:rFonts w:asciiTheme="minorEastAsia" w:hAnsiTheme="minorEastAsia" w:eastAsiaTheme="minorEastAsia" w:cstheme="minorEastAsia"/>
          <w:bCs/>
          <w:szCs w:val="21"/>
        </w:rPr>
      </w:pPr>
    </w:p>
    <w:p>
      <w:pPr>
        <w:pStyle w:val="5"/>
        <w:spacing w:before="156"/>
        <w:rPr>
          <w:rFonts w:asciiTheme="minorEastAsia" w:hAnsiTheme="minorEastAsia" w:eastAsiaTheme="minorEastAsia" w:cstheme="minorEastAsia"/>
          <w:b/>
          <w:bCs w:val="0"/>
          <w:szCs w:val="21"/>
        </w:rPr>
      </w:pPr>
      <w:r>
        <w:rPr>
          <w:rFonts w:hint="eastAsia" w:asciiTheme="minorEastAsia" w:hAnsiTheme="minorEastAsia" w:eastAsiaTheme="minorEastAsia" w:cstheme="minorEastAsia"/>
          <w:szCs w:val="21"/>
        </w:rPr>
        <w:t>第1包 便携式手机取证设备</w:t>
      </w:r>
      <w:r>
        <w:rPr>
          <w:rFonts w:hint="default" w:ascii="Times New Roman" w:hAnsi="Times New Roman" w:cs="Times New Roman" w:eastAsiaTheme="minorEastAsia"/>
          <w:szCs w:val="21"/>
        </w:rPr>
        <w:t>Ⅰ</w:t>
      </w:r>
    </w:p>
    <w:tbl>
      <w:tblPr>
        <w:tblStyle w:val="81"/>
        <w:tblW w:w="4571" w:type="pct"/>
        <w:jc w:val="center"/>
        <w:tblLayout w:type="autofit"/>
        <w:tblCellMar>
          <w:top w:w="0" w:type="dxa"/>
          <w:left w:w="108" w:type="dxa"/>
          <w:bottom w:w="0" w:type="dxa"/>
          <w:right w:w="108" w:type="dxa"/>
        </w:tblCellMar>
      </w:tblPr>
      <w:tblGrid>
        <w:gridCol w:w="653"/>
        <w:gridCol w:w="1535"/>
        <w:gridCol w:w="3881"/>
        <w:gridCol w:w="1722"/>
      </w:tblGrid>
      <w:tr>
        <w:tblPrEx>
          <w:tblCellMar>
            <w:top w:w="0" w:type="dxa"/>
            <w:left w:w="108" w:type="dxa"/>
            <w:bottom w:w="0" w:type="dxa"/>
            <w:right w:w="108" w:type="dxa"/>
          </w:tblCellMar>
        </w:tblPrEx>
        <w:trPr>
          <w:trHeight w:val="300" w:hRule="atLeast"/>
          <w:tblHeader/>
          <w:jc w:val="center"/>
        </w:trPr>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序号</w:t>
            </w:r>
          </w:p>
        </w:tc>
        <w:tc>
          <w:tcPr>
            <w:tcW w:w="9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指标项</w:t>
            </w:r>
          </w:p>
        </w:tc>
        <w:tc>
          <w:tcPr>
            <w:tcW w:w="249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技术要求</w:t>
            </w:r>
          </w:p>
        </w:tc>
        <w:tc>
          <w:tcPr>
            <w:tcW w:w="110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证明材料要求</w:t>
            </w:r>
          </w:p>
        </w:tc>
      </w:tr>
      <w:tr>
        <w:tblPrEx>
          <w:tblCellMar>
            <w:top w:w="0" w:type="dxa"/>
            <w:left w:w="108" w:type="dxa"/>
            <w:bottom w:w="0" w:type="dxa"/>
            <w:right w:w="108" w:type="dxa"/>
          </w:tblCellMar>
        </w:tblPrEx>
        <w:trPr>
          <w:trHeight w:val="300" w:hRule="atLeast"/>
          <w:jc w:val="center"/>
        </w:trPr>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numPr>
                <w:ilvl w:val="0"/>
                <w:numId w:val="35"/>
              </w:numPr>
              <w:jc w:val="center"/>
              <w:textAlignment w:val="center"/>
              <w:rPr>
                <w:rFonts w:asciiTheme="minorEastAsia" w:hAnsiTheme="minorEastAsia" w:eastAsiaTheme="minorEastAsia" w:cstheme="minorEastAsia"/>
                <w:bCs/>
                <w:color w:val="000000"/>
                <w:szCs w:val="21"/>
              </w:rPr>
            </w:pPr>
          </w:p>
        </w:tc>
        <w:tc>
          <w:tcPr>
            <w:tcW w:w="985"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处理器</w:t>
            </w:r>
          </w:p>
        </w:tc>
        <w:tc>
          <w:tcPr>
            <w:tcW w:w="249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不低于24核心32线程，主频不低于2.0GHz</w:t>
            </w:r>
          </w:p>
        </w:tc>
        <w:tc>
          <w:tcPr>
            <w:tcW w:w="110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w:t>
            </w:r>
          </w:p>
        </w:tc>
      </w:tr>
      <w:tr>
        <w:tblPrEx>
          <w:tblCellMar>
            <w:top w:w="0" w:type="dxa"/>
            <w:left w:w="108" w:type="dxa"/>
            <w:bottom w:w="0" w:type="dxa"/>
            <w:right w:w="108" w:type="dxa"/>
          </w:tblCellMar>
        </w:tblPrEx>
        <w:trPr>
          <w:trHeight w:val="300" w:hRule="atLeast"/>
          <w:jc w:val="center"/>
        </w:trPr>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numPr>
                <w:ilvl w:val="0"/>
                <w:numId w:val="35"/>
              </w:numPr>
              <w:jc w:val="center"/>
              <w:textAlignment w:val="center"/>
              <w:rPr>
                <w:rFonts w:asciiTheme="minorEastAsia" w:hAnsiTheme="minorEastAsia" w:eastAsiaTheme="minorEastAsia" w:cstheme="minorEastAsia"/>
                <w:bCs/>
                <w:color w:val="000000"/>
                <w:szCs w:val="21"/>
              </w:rPr>
            </w:pPr>
          </w:p>
        </w:tc>
        <w:tc>
          <w:tcPr>
            <w:tcW w:w="985"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内存</w:t>
            </w:r>
          </w:p>
        </w:tc>
        <w:tc>
          <w:tcPr>
            <w:tcW w:w="249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不低于64GB</w:t>
            </w:r>
          </w:p>
        </w:tc>
        <w:tc>
          <w:tcPr>
            <w:tcW w:w="110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w:t>
            </w:r>
          </w:p>
        </w:tc>
      </w:tr>
      <w:tr>
        <w:tblPrEx>
          <w:tblCellMar>
            <w:top w:w="0" w:type="dxa"/>
            <w:left w:w="108" w:type="dxa"/>
            <w:bottom w:w="0" w:type="dxa"/>
            <w:right w:w="108" w:type="dxa"/>
          </w:tblCellMar>
        </w:tblPrEx>
        <w:trPr>
          <w:trHeight w:val="300" w:hRule="atLeast"/>
          <w:jc w:val="center"/>
        </w:trPr>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numPr>
                <w:ilvl w:val="0"/>
                <w:numId w:val="35"/>
              </w:numPr>
              <w:jc w:val="center"/>
              <w:textAlignment w:val="center"/>
              <w:rPr>
                <w:rFonts w:asciiTheme="minorEastAsia" w:hAnsiTheme="minorEastAsia" w:eastAsiaTheme="minorEastAsia" w:cstheme="minorEastAsia"/>
                <w:bCs/>
                <w:color w:val="000000"/>
                <w:szCs w:val="21"/>
              </w:rPr>
            </w:pPr>
          </w:p>
        </w:tc>
        <w:tc>
          <w:tcPr>
            <w:tcW w:w="985"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存储</w:t>
            </w:r>
          </w:p>
        </w:tc>
        <w:tc>
          <w:tcPr>
            <w:tcW w:w="249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不低于930GBSSD+3.6TBSSD硬盘</w:t>
            </w:r>
          </w:p>
        </w:tc>
        <w:tc>
          <w:tcPr>
            <w:tcW w:w="110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w:t>
            </w:r>
          </w:p>
        </w:tc>
      </w:tr>
      <w:tr>
        <w:tblPrEx>
          <w:tblCellMar>
            <w:top w:w="0" w:type="dxa"/>
            <w:left w:w="108" w:type="dxa"/>
            <w:bottom w:w="0" w:type="dxa"/>
            <w:right w:w="108" w:type="dxa"/>
          </w:tblCellMar>
        </w:tblPrEx>
        <w:trPr>
          <w:trHeight w:val="300" w:hRule="atLeast"/>
          <w:jc w:val="center"/>
        </w:trPr>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numPr>
                <w:ilvl w:val="0"/>
                <w:numId w:val="35"/>
              </w:numPr>
              <w:jc w:val="center"/>
              <w:textAlignment w:val="center"/>
              <w:rPr>
                <w:rFonts w:asciiTheme="minorEastAsia" w:hAnsiTheme="minorEastAsia" w:eastAsiaTheme="minorEastAsia" w:cstheme="minorEastAsia"/>
                <w:bCs/>
                <w:color w:val="000000"/>
                <w:szCs w:val="21"/>
              </w:rPr>
            </w:pPr>
          </w:p>
        </w:tc>
        <w:tc>
          <w:tcPr>
            <w:tcW w:w="985"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显卡</w:t>
            </w:r>
          </w:p>
        </w:tc>
        <w:tc>
          <w:tcPr>
            <w:tcW w:w="249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不低于12GB</w:t>
            </w:r>
          </w:p>
        </w:tc>
        <w:tc>
          <w:tcPr>
            <w:tcW w:w="110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w:t>
            </w:r>
          </w:p>
        </w:tc>
      </w:tr>
      <w:tr>
        <w:tblPrEx>
          <w:tblCellMar>
            <w:top w:w="0" w:type="dxa"/>
            <w:left w:w="108" w:type="dxa"/>
            <w:bottom w:w="0" w:type="dxa"/>
            <w:right w:w="108" w:type="dxa"/>
          </w:tblCellMar>
        </w:tblPrEx>
        <w:trPr>
          <w:trHeight w:val="300" w:hRule="atLeast"/>
          <w:jc w:val="center"/>
        </w:trPr>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numPr>
                <w:ilvl w:val="0"/>
                <w:numId w:val="35"/>
              </w:numPr>
              <w:jc w:val="center"/>
              <w:textAlignment w:val="center"/>
              <w:rPr>
                <w:rFonts w:asciiTheme="minorEastAsia" w:hAnsiTheme="minorEastAsia" w:eastAsiaTheme="minorEastAsia" w:cstheme="minorEastAsia"/>
                <w:bCs/>
                <w:color w:val="000000"/>
                <w:szCs w:val="21"/>
              </w:rPr>
            </w:pPr>
          </w:p>
        </w:tc>
        <w:tc>
          <w:tcPr>
            <w:tcW w:w="985"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显示屏</w:t>
            </w:r>
          </w:p>
        </w:tc>
        <w:tc>
          <w:tcPr>
            <w:tcW w:w="249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不低于15寸</w:t>
            </w:r>
          </w:p>
        </w:tc>
        <w:tc>
          <w:tcPr>
            <w:tcW w:w="110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w:t>
            </w:r>
          </w:p>
        </w:tc>
      </w:tr>
      <w:tr>
        <w:tblPrEx>
          <w:tblCellMar>
            <w:top w:w="0" w:type="dxa"/>
            <w:left w:w="108" w:type="dxa"/>
            <w:bottom w:w="0" w:type="dxa"/>
            <w:right w:w="108" w:type="dxa"/>
          </w:tblCellMar>
        </w:tblPrEx>
        <w:trPr>
          <w:trHeight w:val="300" w:hRule="atLeast"/>
          <w:jc w:val="center"/>
        </w:trPr>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numPr>
                <w:ilvl w:val="0"/>
                <w:numId w:val="35"/>
              </w:numPr>
              <w:jc w:val="center"/>
              <w:textAlignment w:val="center"/>
              <w:rPr>
                <w:rFonts w:asciiTheme="minorEastAsia" w:hAnsiTheme="minorEastAsia" w:eastAsiaTheme="minorEastAsia" w:cstheme="minorEastAsia"/>
                <w:bCs/>
                <w:color w:val="000000"/>
                <w:szCs w:val="21"/>
              </w:rPr>
            </w:pPr>
          </w:p>
        </w:tc>
        <w:tc>
          <w:tcPr>
            <w:tcW w:w="985"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网络</w:t>
            </w:r>
          </w:p>
        </w:tc>
        <w:tc>
          <w:tcPr>
            <w:tcW w:w="249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不低于1千兆电口</w:t>
            </w:r>
          </w:p>
        </w:tc>
        <w:tc>
          <w:tcPr>
            <w:tcW w:w="110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w:t>
            </w:r>
          </w:p>
        </w:tc>
      </w:tr>
      <w:tr>
        <w:tblPrEx>
          <w:tblCellMar>
            <w:top w:w="0" w:type="dxa"/>
            <w:left w:w="108" w:type="dxa"/>
            <w:bottom w:w="0" w:type="dxa"/>
            <w:right w:w="108" w:type="dxa"/>
          </w:tblCellMar>
        </w:tblPrEx>
        <w:trPr>
          <w:trHeight w:val="300" w:hRule="atLeast"/>
          <w:jc w:val="center"/>
        </w:trPr>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numPr>
                <w:ilvl w:val="0"/>
                <w:numId w:val="35"/>
              </w:numPr>
              <w:jc w:val="center"/>
              <w:textAlignment w:val="center"/>
              <w:rPr>
                <w:rFonts w:asciiTheme="minorEastAsia" w:hAnsiTheme="minorEastAsia" w:eastAsiaTheme="minorEastAsia" w:cstheme="minorEastAsia"/>
                <w:bCs/>
                <w:color w:val="000000"/>
                <w:szCs w:val="21"/>
              </w:rPr>
            </w:pPr>
          </w:p>
        </w:tc>
        <w:tc>
          <w:tcPr>
            <w:tcW w:w="985" w:type="pct"/>
            <w:tcBorders>
              <w:top w:val="single" w:color="000000" w:sz="4" w:space="0"/>
              <w:left w:val="single" w:color="000000" w:sz="4" w:space="0"/>
              <w:bottom w:val="single" w:color="auto" w:sz="4" w:space="0"/>
              <w:right w:val="single" w:color="000000"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Wi-Fi取证能力</w:t>
            </w:r>
          </w:p>
        </w:tc>
        <w:tc>
          <w:tcPr>
            <w:tcW w:w="2490" w:type="pct"/>
            <w:tcBorders>
              <w:top w:val="single" w:color="000000" w:sz="4" w:space="0"/>
              <w:left w:val="single" w:color="000000" w:sz="4" w:space="0"/>
              <w:bottom w:val="single" w:color="auto" w:sz="4" w:space="0"/>
              <w:right w:val="single" w:color="000000"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至少集成1路Wi-Fi取证</w:t>
            </w:r>
          </w:p>
        </w:tc>
        <w:tc>
          <w:tcPr>
            <w:tcW w:w="110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w:t>
            </w:r>
          </w:p>
        </w:tc>
      </w:tr>
      <w:tr>
        <w:tblPrEx>
          <w:tblCellMar>
            <w:top w:w="0" w:type="dxa"/>
            <w:left w:w="108" w:type="dxa"/>
            <w:bottom w:w="0" w:type="dxa"/>
            <w:right w:w="108" w:type="dxa"/>
          </w:tblCellMar>
        </w:tblPrEx>
        <w:trPr>
          <w:trHeight w:val="300" w:hRule="atLeast"/>
          <w:jc w:val="center"/>
        </w:trPr>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numPr>
                <w:ilvl w:val="0"/>
                <w:numId w:val="35"/>
              </w:numPr>
              <w:jc w:val="center"/>
              <w:textAlignment w:val="center"/>
              <w:rPr>
                <w:rFonts w:asciiTheme="minorEastAsia" w:hAnsiTheme="minorEastAsia" w:eastAsiaTheme="minorEastAsia" w:cstheme="minorEastAsia"/>
                <w:bCs/>
                <w:color w:val="000000"/>
                <w:szCs w:val="21"/>
              </w:rPr>
            </w:pPr>
          </w:p>
        </w:tc>
        <w:tc>
          <w:tcPr>
            <w:tcW w:w="985"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并行能力</w:t>
            </w:r>
          </w:p>
        </w:tc>
        <w:tc>
          <w:tcPr>
            <w:tcW w:w="2490"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支持不低于4路手机取证，至少包括3路直连取证和1路Wi-Fi取证</w:t>
            </w:r>
          </w:p>
        </w:tc>
        <w:tc>
          <w:tcPr>
            <w:tcW w:w="1105" w:type="pct"/>
            <w:tcBorders>
              <w:top w:val="single" w:color="000000" w:sz="4" w:space="0"/>
              <w:left w:val="single" w:color="auto" w:sz="4" w:space="0"/>
              <w:bottom w:val="single" w:color="000000" w:sz="4" w:space="0"/>
              <w:right w:val="single" w:color="000000"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w:t>
            </w:r>
          </w:p>
        </w:tc>
      </w:tr>
      <w:tr>
        <w:tblPrEx>
          <w:tblCellMar>
            <w:top w:w="0" w:type="dxa"/>
            <w:left w:w="108" w:type="dxa"/>
            <w:bottom w:w="0" w:type="dxa"/>
            <w:right w:w="108" w:type="dxa"/>
          </w:tblCellMar>
        </w:tblPrEx>
        <w:trPr>
          <w:trHeight w:val="300" w:hRule="atLeast"/>
          <w:jc w:val="center"/>
        </w:trPr>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numPr>
                <w:ilvl w:val="0"/>
                <w:numId w:val="35"/>
              </w:numPr>
              <w:jc w:val="center"/>
              <w:textAlignment w:val="center"/>
              <w:rPr>
                <w:rFonts w:asciiTheme="minorEastAsia" w:hAnsiTheme="minorEastAsia" w:eastAsiaTheme="minorEastAsia" w:cstheme="minorEastAsia"/>
                <w:bCs/>
                <w:color w:val="000000"/>
                <w:kern w:val="0"/>
                <w:szCs w:val="21"/>
                <w:lang w:bidi="ar"/>
              </w:rPr>
            </w:pPr>
          </w:p>
        </w:tc>
        <w:tc>
          <w:tcPr>
            <w:tcW w:w="985"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WIFI取证</w:t>
            </w:r>
          </w:p>
        </w:tc>
        <w:tc>
          <w:tcPr>
            <w:tcW w:w="2490"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支持不少于4种手机品牌Wi-Fi手机搬家/克隆方式取证，含小米、华为、OPPO、荣耀</w:t>
            </w:r>
          </w:p>
        </w:tc>
        <w:tc>
          <w:tcPr>
            <w:tcW w:w="1105" w:type="pct"/>
            <w:tcBorders>
              <w:top w:val="single" w:color="000000" w:sz="4" w:space="0"/>
              <w:left w:val="single" w:color="auto" w:sz="4" w:space="0"/>
              <w:bottom w:val="single" w:color="000000" w:sz="4" w:space="0"/>
              <w:right w:val="single" w:color="000000"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w:t>
            </w:r>
          </w:p>
        </w:tc>
      </w:tr>
      <w:tr>
        <w:tblPrEx>
          <w:tblCellMar>
            <w:top w:w="0" w:type="dxa"/>
            <w:left w:w="108" w:type="dxa"/>
            <w:bottom w:w="0" w:type="dxa"/>
            <w:right w:w="108" w:type="dxa"/>
          </w:tblCellMar>
        </w:tblPrEx>
        <w:trPr>
          <w:trHeight w:val="300" w:hRule="atLeast"/>
          <w:jc w:val="center"/>
        </w:trPr>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numPr>
                <w:ilvl w:val="0"/>
                <w:numId w:val="35"/>
              </w:numPr>
              <w:jc w:val="center"/>
              <w:textAlignment w:val="center"/>
              <w:rPr>
                <w:rFonts w:asciiTheme="minorEastAsia" w:hAnsiTheme="minorEastAsia" w:eastAsiaTheme="minorEastAsia" w:cstheme="minorEastAsia"/>
                <w:bCs/>
                <w:color w:val="000000"/>
                <w:kern w:val="0"/>
                <w:szCs w:val="21"/>
                <w:lang w:bidi="ar"/>
              </w:rPr>
            </w:pPr>
          </w:p>
        </w:tc>
        <w:tc>
          <w:tcPr>
            <w:tcW w:w="985" w:type="pct"/>
            <w:vMerge w:val="restart"/>
            <w:tcBorders>
              <w:top w:val="single" w:color="auto"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取证能力</w:t>
            </w:r>
          </w:p>
        </w:tc>
        <w:tc>
          <w:tcPr>
            <w:tcW w:w="2490" w:type="pct"/>
            <w:tcBorders>
              <w:top w:val="single" w:color="auto"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支持手机取证案件的新建、编辑、删除、导入、导出等，支持对取证结果进行数据排重、特殊号码过滤等</w:t>
            </w:r>
          </w:p>
        </w:tc>
        <w:tc>
          <w:tcPr>
            <w:tcW w:w="110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w:t>
            </w:r>
          </w:p>
        </w:tc>
      </w:tr>
      <w:tr>
        <w:tblPrEx>
          <w:tblCellMar>
            <w:top w:w="0" w:type="dxa"/>
            <w:left w:w="108" w:type="dxa"/>
            <w:bottom w:w="0" w:type="dxa"/>
            <w:right w:w="108" w:type="dxa"/>
          </w:tblCellMar>
        </w:tblPrEx>
        <w:trPr>
          <w:trHeight w:val="300" w:hRule="atLeast"/>
          <w:jc w:val="center"/>
        </w:trPr>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numPr>
                <w:ilvl w:val="0"/>
                <w:numId w:val="35"/>
              </w:numPr>
              <w:jc w:val="center"/>
              <w:textAlignment w:val="center"/>
              <w:rPr>
                <w:rFonts w:asciiTheme="minorEastAsia" w:hAnsiTheme="minorEastAsia" w:eastAsiaTheme="minorEastAsia" w:cstheme="minorEastAsia"/>
                <w:bCs/>
                <w:color w:val="000000"/>
                <w:kern w:val="0"/>
                <w:szCs w:val="21"/>
                <w:lang w:bidi="ar"/>
              </w:rPr>
            </w:pPr>
          </w:p>
        </w:tc>
        <w:tc>
          <w:tcPr>
            <w:tcW w:w="9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heme="minorEastAsia" w:hAnsiTheme="minorEastAsia" w:eastAsiaTheme="minorEastAsia" w:cstheme="minorEastAsia"/>
                <w:szCs w:val="21"/>
              </w:rPr>
            </w:pPr>
          </w:p>
        </w:tc>
        <w:tc>
          <w:tcPr>
            <w:tcW w:w="249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支持可直接接入SIM卡进行数据提取和恢复，支持的SIM卡至少包括标准SIM、MicroSIM、NanoSIM接口类型</w:t>
            </w:r>
          </w:p>
        </w:tc>
        <w:tc>
          <w:tcPr>
            <w:tcW w:w="110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w:t>
            </w:r>
          </w:p>
        </w:tc>
      </w:tr>
      <w:tr>
        <w:tblPrEx>
          <w:tblCellMar>
            <w:top w:w="0" w:type="dxa"/>
            <w:left w:w="108" w:type="dxa"/>
            <w:bottom w:w="0" w:type="dxa"/>
            <w:right w:w="108" w:type="dxa"/>
          </w:tblCellMar>
        </w:tblPrEx>
        <w:trPr>
          <w:trHeight w:val="300" w:hRule="atLeast"/>
          <w:jc w:val="center"/>
        </w:trPr>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numPr>
                <w:ilvl w:val="0"/>
                <w:numId w:val="35"/>
              </w:numPr>
              <w:jc w:val="center"/>
              <w:textAlignment w:val="center"/>
              <w:rPr>
                <w:rFonts w:asciiTheme="minorEastAsia" w:hAnsiTheme="minorEastAsia" w:eastAsiaTheme="minorEastAsia" w:cstheme="minorEastAsia"/>
                <w:bCs/>
                <w:color w:val="000000"/>
                <w:kern w:val="0"/>
                <w:szCs w:val="21"/>
                <w:lang w:bidi="ar"/>
              </w:rPr>
            </w:pPr>
          </w:p>
        </w:tc>
        <w:tc>
          <w:tcPr>
            <w:tcW w:w="9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heme="minorEastAsia" w:hAnsiTheme="minorEastAsia" w:eastAsiaTheme="minorEastAsia" w:cstheme="minorEastAsia"/>
                <w:szCs w:val="21"/>
              </w:rPr>
            </w:pPr>
          </w:p>
        </w:tc>
        <w:tc>
          <w:tcPr>
            <w:tcW w:w="249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color w:val="000000"/>
                <w:kern w:val="0"/>
                <w:szCs w:val="21"/>
                <w:lang w:bidi="ar"/>
              </w:rPr>
              <w:t>支持获取手机IMEI、通讯簿、短信、通话记录、位置信息、备忘录、日历、Wi-Fi/蓝牙连接记录、多媒体文件（图片/视频/音频）、系统日志（开关机时间、应用程序使用记录、应用程序使用卸载记录、使用过的手机号码、iOS设备连接过的主机、iOS应用程序通知消息等）和密码密钥等信息，需支持恢复已删除的电话簿、短信、日历等信息</w:t>
            </w:r>
          </w:p>
        </w:tc>
        <w:tc>
          <w:tcPr>
            <w:tcW w:w="110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w:t>
            </w:r>
          </w:p>
        </w:tc>
      </w:tr>
      <w:tr>
        <w:tblPrEx>
          <w:tblCellMar>
            <w:top w:w="0" w:type="dxa"/>
            <w:left w:w="108" w:type="dxa"/>
            <w:bottom w:w="0" w:type="dxa"/>
            <w:right w:w="108" w:type="dxa"/>
          </w:tblCellMar>
        </w:tblPrEx>
        <w:trPr>
          <w:trHeight w:val="300" w:hRule="atLeast"/>
          <w:jc w:val="center"/>
        </w:trPr>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numPr>
                <w:ilvl w:val="0"/>
                <w:numId w:val="35"/>
              </w:numPr>
              <w:jc w:val="center"/>
              <w:textAlignment w:val="center"/>
              <w:rPr>
                <w:rFonts w:asciiTheme="minorEastAsia" w:hAnsiTheme="minorEastAsia" w:eastAsiaTheme="minorEastAsia" w:cstheme="minorEastAsia"/>
                <w:bCs/>
                <w:color w:val="000000"/>
                <w:kern w:val="0"/>
                <w:szCs w:val="21"/>
                <w:lang w:bidi="ar"/>
              </w:rPr>
            </w:pPr>
          </w:p>
        </w:tc>
        <w:tc>
          <w:tcPr>
            <w:tcW w:w="985" w:type="pct"/>
            <w:tcBorders>
              <w:top w:val="single" w:color="000000" w:sz="4" w:space="0"/>
              <w:left w:val="single" w:color="000000" w:sz="4" w:space="0"/>
              <w:bottom w:val="nil"/>
              <w:right w:val="single" w:color="000000" w:sz="4" w:space="0"/>
            </w:tcBorders>
            <w:shd w:val="clear" w:color="auto" w:fill="auto"/>
            <w:vAlign w:val="center"/>
          </w:tcPr>
          <w:p>
            <w:pPr>
              <w:jc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color w:val="000000"/>
                <w:kern w:val="0"/>
                <w:szCs w:val="21"/>
                <w:lang w:bidi="ar"/>
              </w:rPr>
              <w:t>数据提取、恢复和提权</w:t>
            </w:r>
          </w:p>
        </w:tc>
        <w:tc>
          <w:tcPr>
            <w:tcW w:w="249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支持已删除数据的恢复。其中iOS手机可实现删除数据恢复；Android手机可自动ROOT后进行删除数据恢复，在ROOT失败情况下，也能支持Android手机解析和恢复QQ、微信、微博等应用程序数据</w:t>
            </w:r>
          </w:p>
        </w:tc>
        <w:tc>
          <w:tcPr>
            <w:tcW w:w="110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w:t>
            </w:r>
          </w:p>
        </w:tc>
      </w:tr>
      <w:tr>
        <w:tblPrEx>
          <w:tblCellMar>
            <w:top w:w="0" w:type="dxa"/>
            <w:left w:w="108" w:type="dxa"/>
            <w:bottom w:w="0" w:type="dxa"/>
            <w:right w:w="108" w:type="dxa"/>
          </w:tblCellMar>
        </w:tblPrEx>
        <w:trPr>
          <w:trHeight w:val="300" w:hRule="atLeast"/>
          <w:jc w:val="center"/>
        </w:trPr>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numPr>
                <w:ilvl w:val="0"/>
                <w:numId w:val="35"/>
              </w:numPr>
              <w:jc w:val="center"/>
              <w:textAlignment w:val="center"/>
              <w:rPr>
                <w:rFonts w:asciiTheme="minorEastAsia" w:hAnsiTheme="minorEastAsia" w:eastAsiaTheme="minorEastAsia" w:cstheme="minorEastAsia"/>
                <w:bCs/>
                <w:color w:val="000000"/>
                <w:kern w:val="0"/>
                <w:szCs w:val="21"/>
                <w:lang w:bidi="ar"/>
              </w:rPr>
            </w:pPr>
          </w:p>
        </w:tc>
        <w:tc>
          <w:tcPr>
            <w:tcW w:w="985"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物联网管理API</w:t>
            </w:r>
          </w:p>
        </w:tc>
        <w:tc>
          <w:tcPr>
            <w:tcW w:w="2490"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支持开放的物联网管理API接口，可供实验室管理系统采集设备工作状态和工作量</w:t>
            </w:r>
          </w:p>
        </w:tc>
        <w:tc>
          <w:tcPr>
            <w:tcW w:w="110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w:t>
            </w:r>
          </w:p>
        </w:tc>
      </w:tr>
    </w:tbl>
    <w:p>
      <w:pPr>
        <w:rPr>
          <w:rFonts w:asciiTheme="minorEastAsia" w:hAnsiTheme="minorEastAsia" w:eastAsiaTheme="minorEastAsia" w:cstheme="minorEastAsia"/>
          <w:bCs/>
          <w:szCs w:val="21"/>
        </w:rPr>
      </w:pPr>
    </w:p>
    <w:p>
      <w:pPr>
        <w:pStyle w:val="5"/>
        <w:spacing w:before="156"/>
        <w:rPr>
          <w:rFonts w:eastAsiaTheme="minorEastAsia"/>
          <w:szCs w:val="21"/>
        </w:rPr>
      </w:pPr>
      <w:r>
        <w:rPr>
          <w:rFonts w:hint="eastAsia" w:asciiTheme="minorEastAsia" w:hAnsiTheme="minorEastAsia" w:eastAsiaTheme="minorEastAsia" w:cstheme="minorEastAsia"/>
          <w:bCs w:val="0"/>
          <w:szCs w:val="21"/>
        </w:rPr>
        <w:t>第1包</w:t>
      </w:r>
      <w:r>
        <w:rPr>
          <w:rFonts w:asciiTheme="minorEastAsia" w:hAnsiTheme="minorEastAsia" w:eastAsiaTheme="minorEastAsia" w:cstheme="minorEastAsia"/>
          <w:bCs w:val="0"/>
          <w:szCs w:val="21"/>
        </w:rPr>
        <w:t xml:space="preserve"> </w:t>
      </w:r>
      <w:r>
        <w:rPr>
          <w:rFonts w:hint="eastAsia" w:asciiTheme="minorEastAsia" w:hAnsiTheme="minorEastAsia" w:eastAsiaTheme="minorEastAsia" w:cstheme="minorEastAsia"/>
          <w:szCs w:val="21"/>
        </w:rPr>
        <w:t>介质取证塔</w:t>
      </w:r>
      <w:r>
        <w:rPr>
          <w:rFonts w:hint="default" w:ascii="Times New Roman" w:hAnsi="Times New Roman" w:cs="Times New Roman" w:eastAsiaTheme="minorEastAsia"/>
          <w:szCs w:val="21"/>
        </w:rPr>
        <w:t>Ⅰ</w:t>
      </w:r>
    </w:p>
    <w:tbl>
      <w:tblPr>
        <w:tblStyle w:val="81"/>
        <w:tblW w:w="436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3"/>
        <w:gridCol w:w="1678"/>
        <w:gridCol w:w="4338"/>
        <w:gridCol w:w="7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46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序号</w:t>
            </w:r>
          </w:p>
        </w:tc>
        <w:tc>
          <w:tcPr>
            <w:tcW w:w="112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指标项</w:t>
            </w:r>
          </w:p>
        </w:tc>
        <w:tc>
          <w:tcPr>
            <w:tcW w:w="291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指标要求</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证明材料要求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46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36"/>
              </w:numPr>
              <w:jc w:val="center"/>
              <w:textAlignment w:val="center"/>
              <w:rPr>
                <w:rFonts w:asciiTheme="minorEastAsia" w:hAnsiTheme="minorEastAsia" w:eastAsiaTheme="minorEastAsia" w:cstheme="minorEastAsia"/>
                <w:bCs/>
                <w:color w:val="000000"/>
                <w:kern w:val="0"/>
                <w:szCs w:val="21"/>
                <w:lang w:bidi="ar"/>
              </w:rPr>
            </w:pPr>
          </w:p>
        </w:tc>
        <w:tc>
          <w:tcPr>
            <w:tcW w:w="112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szCs w:val="21"/>
                <w:lang w:bidi="ar"/>
              </w:rPr>
              <w:t>处理器</w:t>
            </w:r>
          </w:p>
        </w:tc>
        <w:tc>
          <w:tcPr>
            <w:tcW w:w="2918"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szCs w:val="21"/>
                <w:lang w:bidi="ar"/>
              </w:rPr>
              <w:t>不低于24核心32线程，主频不低于3.0GHz</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46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36"/>
              </w:numPr>
              <w:jc w:val="center"/>
              <w:textAlignment w:val="center"/>
              <w:rPr>
                <w:rFonts w:asciiTheme="minorEastAsia" w:hAnsiTheme="minorEastAsia" w:eastAsiaTheme="minorEastAsia" w:cstheme="minorEastAsia"/>
                <w:bCs/>
                <w:color w:val="000000"/>
                <w:kern w:val="0"/>
                <w:szCs w:val="21"/>
                <w:lang w:bidi="ar"/>
              </w:rPr>
            </w:pPr>
          </w:p>
        </w:tc>
        <w:tc>
          <w:tcPr>
            <w:tcW w:w="112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szCs w:val="21"/>
                <w:lang w:bidi="ar"/>
              </w:rPr>
              <w:t>内存</w:t>
            </w:r>
          </w:p>
        </w:tc>
        <w:tc>
          <w:tcPr>
            <w:tcW w:w="2918"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szCs w:val="21"/>
                <w:lang w:bidi="ar"/>
              </w:rPr>
              <w:t>不低于64GB内存</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46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36"/>
              </w:numPr>
              <w:jc w:val="center"/>
              <w:textAlignment w:val="center"/>
              <w:rPr>
                <w:rFonts w:asciiTheme="minorEastAsia" w:hAnsiTheme="minorEastAsia" w:eastAsiaTheme="minorEastAsia" w:cstheme="minorEastAsia"/>
                <w:bCs/>
                <w:color w:val="000000"/>
                <w:kern w:val="0"/>
                <w:szCs w:val="21"/>
                <w:lang w:bidi="ar"/>
              </w:rPr>
            </w:pPr>
          </w:p>
        </w:tc>
        <w:tc>
          <w:tcPr>
            <w:tcW w:w="112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szCs w:val="21"/>
                <w:lang w:bidi="ar"/>
              </w:rPr>
              <w:t>存储</w:t>
            </w:r>
          </w:p>
        </w:tc>
        <w:tc>
          <w:tcPr>
            <w:tcW w:w="2918"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szCs w:val="21"/>
                <w:lang w:bidi="ar"/>
              </w:rPr>
              <w:t>不低于7.4TBSSD，不低于10.9TB机械硬盘</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46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36"/>
              </w:numPr>
              <w:jc w:val="center"/>
              <w:textAlignment w:val="center"/>
              <w:rPr>
                <w:rFonts w:asciiTheme="minorEastAsia" w:hAnsiTheme="minorEastAsia" w:eastAsiaTheme="minorEastAsia" w:cstheme="minorEastAsia"/>
                <w:bCs/>
                <w:color w:val="000000"/>
                <w:kern w:val="0"/>
                <w:szCs w:val="21"/>
                <w:lang w:bidi="ar"/>
              </w:rPr>
            </w:pPr>
          </w:p>
        </w:tc>
        <w:tc>
          <w:tcPr>
            <w:tcW w:w="112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显卡</w:t>
            </w:r>
          </w:p>
        </w:tc>
        <w:tc>
          <w:tcPr>
            <w:tcW w:w="2918"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kern w:val="0"/>
                <w:szCs w:val="21"/>
                <w:lang w:bidi="ar"/>
              </w:rPr>
            </w:pPr>
            <w:r>
              <w:rPr>
                <w:rFonts w:hint="eastAsia" w:asciiTheme="minorEastAsia" w:hAnsiTheme="minorEastAsia" w:eastAsiaTheme="minorEastAsia" w:cstheme="minorEastAsia"/>
                <w:bCs/>
                <w:szCs w:val="21"/>
                <w:lang w:bidi="ar"/>
              </w:rPr>
              <w:t>不低于2GB显存</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46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36"/>
              </w:numPr>
              <w:jc w:val="center"/>
              <w:textAlignment w:val="center"/>
              <w:rPr>
                <w:rFonts w:asciiTheme="minorEastAsia" w:hAnsiTheme="minorEastAsia" w:eastAsiaTheme="minorEastAsia" w:cstheme="minorEastAsia"/>
                <w:bCs/>
                <w:color w:val="000000"/>
                <w:kern w:val="0"/>
                <w:szCs w:val="21"/>
                <w:lang w:bidi="ar"/>
              </w:rPr>
            </w:pPr>
          </w:p>
        </w:tc>
        <w:tc>
          <w:tcPr>
            <w:tcW w:w="112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显示器</w:t>
            </w:r>
          </w:p>
        </w:tc>
        <w:tc>
          <w:tcPr>
            <w:tcW w:w="2918"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不低于34英寸显示器</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36"/>
              </w:numPr>
              <w:jc w:val="center"/>
              <w:textAlignment w:val="center"/>
              <w:rPr>
                <w:rFonts w:asciiTheme="minorEastAsia" w:hAnsiTheme="minorEastAsia" w:eastAsiaTheme="minorEastAsia" w:cstheme="minorEastAsia"/>
                <w:bCs/>
                <w:color w:val="000000"/>
                <w:kern w:val="0"/>
                <w:szCs w:val="21"/>
                <w:lang w:bidi="ar"/>
              </w:rPr>
            </w:pPr>
          </w:p>
        </w:tc>
        <w:tc>
          <w:tcPr>
            <w:tcW w:w="112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光驱</w:t>
            </w:r>
          </w:p>
        </w:tc>
        <w:tc>
          <w:tcPr>
            <w:tcW w:w="2918"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不少于1个蓝光刻录机</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jc w:val="center"/>
        </w:trPr>
        <w:tc>
          <w:tcPr>
            <w:tcW w:w="46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36"/>
              </w:numPr>
              <w:jc w:val="center"/>
              <w:textAlignment w:val="center"/>
              <w:rPr>
                <w:rFonts w:asciiTheme="minorEastAsia" w:hAnsiTheme="minorEastAsia" w:eastAsiaTheme="minorEastAsia" w:cstheme="minorEastAsia"/>
                <w:bCs/>
                <w:color w:val="000000"/>
                <w:kern w:val="0"/>
                <w:szCs w:val="21"/>
                <w:lang w:bidi="ar"/>
              </w:rPr>
            </w:pPr>
          </w:p>
        </w:tc>
        <w:tc>
          <w:tcPr>
            <w:tcW w:w="112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接口</w:t>
            </w:r>
          </w:p>
        </w:tc>
        <w:tc>
          <w:tcPr>
            <w:tcW w:w="2918"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不少于4个SATA/SAS硬盘只读仓、4个SATA/SAS硬盘读写仓（可切换到只读）；配置只读锁，可满足SATA、USB（2.0/3.0）、IDE和存储卡等各种存储介质只读接入；配置接口转换器，可支持mSATA、M.2/NGFF等特殊SATA协议硬盘接口，支持Apple、M.2NVME等PCIE协议硬盘接口</w:t>
            </w:r>
          </w:p>
        </w:tc>
        <w:tc>
          <w:tcPr>
            <w:tcW w:w="487"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6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36"/>
              </w:numPr>
              <w:jc w:val="center"/>
              <w:textAlignment w:val="center"/>
              <w:rPr>
                <w:rFonts w:asciiTheme="minorEastAsia" w:hAnsiTheme="minorEastAsia" w:eastAsiaTheme="minorEastAsia" w:cstheme="minorEastAsia"/>
                <w:bCs/>
                <w:color w:val="000000"/>
                <w:kern w:val="0"/>
                <w:szCs w:val="21"/>
                <w:lang w:bidi="ar"/>
              </w:rPr>
            </w:pPr>
          </w:p>
        </w:tc>
        <w:tc>
          <w:tcPr>
            <w:tcW w:w="112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网络</w:t>
            </w:r>
          </w:p>
        </w:tc>
        <w:tc>
          <w:tcPr>
            <w:tcW w:w="2918"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不少于1个万兆光口、2个千兆电口</w:t>
            </w:r>
          </w:p>
        </w:tc>
        <w:tc>
          <w:tcPr>
            <w:tcW w:w="487"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46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36"/>
              </w:numPr>
              <w:jc w:val="center"/>
              <w:textAlignment w:val="center"/>
              <w:rPr>
                <w:rFonts w:asciiTheme="minorEastAsia" w:hAnsiTheme="minorEastAsia" w:eastAsiaTheme="minorEastAsia" w:cstheme="minorEastAsia"/>
                <w:bCs/>
                <w:color w:val="000000"/>
                <w:kern w:val="0"/>
                <w:szCs w:val="21"/>
                <w:lang w:bidi="ar"/>
              </w:rPr>
            </w:pPr>
          </w:p>
        </w:tc>
        <w:tc>
          <w:tcPr>
            <w:tcW w:w="1129"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硬盘复制</w:t>
            </w:r>
          </w:p>
        </w:tc>
        <w:tc>
          <w:tcPr>
            <w:tcW w:w="2918"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kern w:val="0"/>
                <w:szCs w:val="21"/>
                <w:lang w:bidi="ar"/>
              </w:rPr>
            </w:pPr>
            <w:r>
              <w:rPr>
                <w:rFonts w:hint="eastAsia" w:asciiTheme="minorEastAsia" w:hAnsiTheme="minorEastAsia" w:eastAsiaTheme="minorEastAsia" w:cstheme="minorEastAsia"/>
                <w:bCs/>
                <w:color w:val="000000"/>
                <w:kern w:val="0"/>
                <w:szCs w:val="21"/>
                <w:lang w:bidi="ar"/>
              </w:rPr>
              <w:t>支持不少于4路硬盘同时复制</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46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36"/>
              </w:numPr>
              <w:jc w:val="center"/>
              <w:textAlignment w:val="center"/>
              <w:rPr>
                <w:rFonts w:asciiTheme="minorEastAsia" w:hAnsiTheme="minorEastAsia" w:eastAsiaTheme="minorEastAsia" w:cstheme="minorEastAsia"/>
                <w:bCs/>
                <w:color w:val="000000"/>
                <w:kern w:val="0"/>
                <w:szCs w:val="21"/>
                <w:lang w:bidi="ar"/>
              </w:rPr>
            </w:pPr>
          </w:p>
        </w:tc>
        <w:tc>
          <w:tcPr>
            <w:tcW w:w="1129"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Theme="minorEastAsia" w:hAnsiTheme="minorEastAsia" w:eastAsiaTheme="minorEastAsia" w:cstheme="minorEastAsia"/>
                <w:szCs w:val="21"/>
              </w:rPr>
            </w:pPr>
          </w:p>
        </w:tc>
        <w:tc>
          <w:tcPr>
            <w:tcW w:w="2918"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color w:val="000000"/>
                <w:kern w:val="0"/>
                <w:szCs w:val="21"/>
                <w:lang w:bidi="ar"/>
              </w:rPr>
              <w:t>支持即时通讯类应用程序聊天信息、好友信息、群组信息的解析，包括但不限于QQ、微信、钉钉、telegram、skype等</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jc w:val="center"/>
        </w:trPr>
        <w:tc>
          <w:tcPr>
            <w:tcW w:w="46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36"/>
              </w:numPr>
              <w:jc w:val="center"/>
              <w:textAlignment w:val="center"/>
              <w:rPr>
                <w:rFonts w:asciiTheme="minorEastAsia" w:hAnsiTheme="minorEastAsia" w:eastAsiaTheme="minorEastAsia" w:cstheme="minorEastAsia"/>
                <w:bCs/>
                <w:kern w:val="0"/>
                <w:szCs w:val="21"/>
                <w:lang w:bidi="ar"/>
              </w:rPr>
            </w:pPr>
          </w:p>
        </w:tc>
        <w:tc>
          <w:tcPr>
            <w:tcW w:w="1129"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Theme="minorEastAsia" w:hAnsiTheme="minorEastAsia" w:eastAsiaTheme="minorEastAsia" w:cstheme="minorEastAsia"/>
                <w:szCs w:val="21"/>
              </w:rPr>
            </w:pPr>
          </w:p>
        </w:tc>
        <w:tc>
          <w:tcPr>
            <w:tcW w:w="2918"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kern w:val="0"/>
                <w:szCs w:val="21"/>
                <w:lang w:bidi="ar"/>
              </w:rPr>
            </w:pPr>
            <w:r>
              <w:rPr>
                <w:rFonts w:hint="eastAsia" w:asciiTheme="minorEastAsia" w:hAnsiTheme="minorEastAsia" w:eastAsiaTheme="minorEastAsia" w:cstheme="minorEastAsia"/>
                <w:bCs/>
                <w:color w:val="000000"/>
                <w:kern w:val="0"/>
                <w:szCs w:val="21"/>
                <w:lang w:bidi="ar"/>
              </w:rPr>
              <w:t>支持MD5、SHA-1、SHA-256等多种哈希值计算</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kern w:val="0"/>
                <w:szCs w:val="21"/>
                <w:lang w:bidi="ar"/>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46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36"/>
              </w:numPr>
              <w:jc w:val="center"/>
              <w:textAlignment w:val="center"/>
              <w:rPr>
                <w:rFonts w:asciiTheme="minorEastAsia" w:hAnsiTheme="minorEastAsia" w:eastAsiaTheme="minorEastAsia" w:cstheme="minorEastAsia"/>
                <w:bCs/>
                <w:szCs w:val="21"/>
              </w:rPr>
            </w:pPr>
          </w:p>
        </w:tc>
        <w:tc>
          <w:tcPr>
            <w:tcW w:w="1129"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Theme="minorEastAsia" w:hAnsiTheme="minorEastAsia" w:eastAsiaTheme="minorEastAsia" w:cstheme="minorEastAsia"/>
                <w:szCs w:val="21"/>
              </w:rPr>
            </w:pPr>
          </w:p>
        </w:tc>
        <w:tc>
          <w:tcPr>
            <w:tcW w:w="2918"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kern w:val="0"/>
                <w:szCs w:val="21"/>
                <w:lang w:bidi="ar"/>
              </w:rPr>
            </w:pPr>
            <w:r>
              <w:rPr>
                <w:rFonts w:hint="eastAsia" w:asciiTheme="minorEastAsia" w:hAnsiTheme="minorEastAsia" w:eastAsiaTheme="minorEastAsia" w:cstheme="minorEastAsia"/>
                <w:bCs/>
                <w:color w:val="000000"/>
                <w:kern w:val="0"/>
                <w:szCs w:val="21"/>
                <w:lang w:bidi="ar"/>
              </w:rPr>
              <w:t>支持对物理磁盘和镜像文件等不少于2种介质存储方式的仿真取证</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kern w:val="0"/>
                <w:szCs w:val="21"/>
                <w:lang w:bidi="ar"/>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46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36"/>
              </w:numPr>
              <w:jc w:val="center"/>
              <w:textAlignment w:val="center"/>
              <w:rPr>
                <w:rFonts w:asciiTheme="minorEastAsia" w:hAnsiTheme="minorEastAsia" w:eastAsiaTheme="minorEastAsia" w:cstheme="minorEastAsia"/>
                <w:bCs/>
                <w:kern w:val="0"/>
                <w:szCs w:val="21"/>
                <w:lang w:bidi="ar"/>
              </w:rPr>
            </w:pPr>
          </w:p>
        </w:tc>
        <w:tc>
          <w:tcPr>
            <w:tcW w:w="1129"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Theme="minorEastAsia" w:hAnsiTheme="minorEastAsia" w:eastAsiaTheme="minorEastAsia" w:cstheme="minorEastAsia"/>
                <w:szCs w:val="21"/>
              </w:rPr>
            </w:pPr>
          </w:p>
        </w:tc>
        <w:tc>
          <w:tcPr>
            <w:tcW w:w="2918"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kern w:val="0"/>
                <w:szCs w:val="21"/>
                <w:lang w:bidi="ar"/>
              </w:rPr>
            </w:pPr>
            <w:r>
              <w:rPr>
                <w:rFonts w:hint="eastAsia" w:asciiTheme="minorEastAsia" w:hAnsiTheme="minorEastAsia" w:eastAsiaTheme="minorEastAsia" w:cstheme="minorEastAsia"/>
                <w:bCs/>
                <w:color w:val="000000"/>
                <w:kern w:val="0"/>
                <w:szCs w:val="21"/>
                <w:lang w:bidi="ar"/>
              </w:rPr>
              <w:t>支持对全盘镜像或分区镜像的仿真取证</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kern w:val="0"/>
                <w:szCs w:val="21"/>
                <w:lang w:bidi="ar"/>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6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36"/>
              </w:numPr>
              <w:jc w:val="center"/>
              <w:textAlignment w:val="center"/>
              <w:rPr>
                <w:rFonts w:asciiTheme="minorEastAsia" w:hAnsiTheme="minorEastAsia" w:eastAsiaTheme="minorEastAsia" w:cstheme="minorEastAsia"/>
                <w:bCs/>
                <w:color w:val="000000"/>
                <w:kern w:val="0"/>
                <w:szCs w:val="21"/>
                <w:lang w:bidi="ar"/>
              </w:rPr>
            </w:pPr>
          </w:p>
        </w:tc>
        <w:tc>
          <w:tcPr>
            <w:tcW w:w="1129" w:type="pct"/>
            <w:tcBorders>
              <w:top w:val="single" w:color="auto" w:sz="4" w:space="0"/>
              <w:left w:val="single" w:color="auto" w:sz="4" w:space="0"/>
              <w:bottom w:val="single" w:color="auto" w:sz="4" w:space="0"/>
              <w:right w:val="single" w:color="auto" w:sz="4" w:space="0"/>
            </w:tcBorders>
            <w:shd w:val="clear" w:color="auto" w:fill="auto"/>
            <w:noWrap/>
            <w:vAlign w:val="center"/>
          </w:tcPr>
          <w:p>
            <w:pPr>
              <w:textAlignment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物联网管理API</w:t>
            </w:r>
          </w:p>
        </w:tc>
        <w:tc>
          <w:tcPr>
            <w:tcW w:w="2918"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支持开放的物联网管理API接口，可供实验室管理系统采集设备工作状态和工作量</w:t>
            </w:r>
          </w:p>
        </w:tc>
        <w:tc>
          <w:tcPr>
            <w:tcW w:w="48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w:t>
            </w:r>
          </w:p>
        </w:tc>
      </w:tr>
    </w:tbl>
    <w:p>
      <w:pPr>
        <w:pStyle w:val="5"/>
        <w:spacing w:before="156"/>
        <w:rPr>
          <w:rFonts w:asciiTheme="minorEastAsia" w:hAnsiTheme="minorEastAsia" w:eastAsiaTheme="minorEastAsia" w:cstheme="minorEastAsia"/>
          <w:b/>
          <w:bCs w:val="0"/>
          <w:szCs w:val="21"/>
        </w:rPr>
      </w:pPr>
      <w:r>
        <w:rPr>
          <w:rFonts w:hint="eastAsia" w:asciiTheme="minorEastAsia" w:hAnsiTheme="minorEastAsia" w:eastAsiaTheme="minorEastAsia" w:cstheme="minorEastAsia"/>
          <w:szCs w:val="21"/>
        </w:rPr>
        <w:t>第1包 一体化电子取证工作站</w:t>
      </w:r>
      <w:r>
        <w:rPr>
          <w:rFonts w:hint="default" w:ascii="Times New Roman" w:hAnsi="Times New Roman" w:cs="Times New Roman" w:eastAsiaTheme="minorEastAsia"/>
          <w:szCs w:val="21"/>
          <w:highlight w:val="none"/>
        </w:rPr>
        <w:t>Ⅰ</w:t>
      </w:r>
    </w:p>
    <w:tbl>
      <w:tblPr>
        <w:tblStyle w:val="81"/>
        <w:tblW w:w="410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7"/>
        <w:gridCol w:w="1678"/>
        <w:gridCol w:w="4041"/>
        <w:gridCol w:w="8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31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序号</w:t>
            </w:r>
          </w:p>
        </w:tc>
        <w:tc>
          <w:tcPr>
            <w:tcW w:w="119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指标项</w:t>
            </w:r>
          </w:p>
        </w:tc>
        <w:tc>
          <w:tcPr>
            <w:tcW w:w="288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指标要求</w:t>
            </w:r>
          </w:p>
        </w:tc>
        <w:tc>
          <w:tcPr>
            <w:tcW w:w="60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证明材料要求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31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37"/>
              </w:numPr>
              <w:jc w:val="center"/>
              <w:textAlignment w:val="center"/>
              <w:rPr>
                <w:rFonts w:asciiTheme="minorEastAsia" w:hAnsiTheme="minorEastAsia" w:eastAsiaTheme="minorEastAsia" w:cstheme="minorEastAsia"/>
                <w:bCs/>
                <w:color w:val="000000"/>
                <w:kern w:val="0"/>
                <w:szCs w:val="21"/>
                <w:lang w:bidi="ar"/>
              </w:rPr>
            </w:pPr>
          </w:p>
        </w:tc>
        <w:tc>
          <w:tcPr>
            <w:tcW w:w="119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szCs w:val="21"/>
                <w:lang w:bidi="ar"/>
              </w:rPr>
              <w:t>处理器</w:t>
            </w:r>
          </w:p>
        </w:tc>
        <w:tc>
          <w:tcPr>
            <w:tcW w:w="2885"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szCs w:val="21"/>
                <w:lang w:bidi="ar"/>
              </w:rPr>
              <w:t>不低于24核心32线程，主频不低于3.0GHz</w:t>
            </w:r>
          </w:p>
        </w:tc>
        <w:tc>
          <w:tcPr>
            <w:tcW w:w="604" w:type="pct"/>
            <w:tcBorders>
              <w:top w:val="single" w:color="auto" w:sz="4" w:space="0"/>
              <w:left w:val="single" w:color="auto" w:sz="4" w:space="0"/>
              <w:bottom w:val="single" w:color="auto" w:sz="4" w:space="0"/>
              <w:right w:val="single" w:color="auto" w:sz="4" w:space="0"/>
            </w:tcBorders>
            <w:shd w:val="clear" w:color="auto" w:fill="auto"/>
          </w:tcPr>
          <w:p>
            <w:pPr>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31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37"/>
              </w:numPr>
              <w:jc w:val="center"/>
              <w:textAlignment w:val="center"/>
              <w:rPr>
                <w:rFonts w:asciiTheme="minorEastAsia" w:hAnsiTheme="minorEastAsia" w:eastAsiaTheme="minorEastAsia" w:cstheme="minorEastAsia"/>
                <w:bCs/>
                <w:color w:val="000000"/>
                <w:kern w:val="0"/>
                <w:szCs w:val="21"/>
                <w:lang w:bidi="ar"/>
              </w:rPr>
            </w:pPr>
          </w:p>
        </w:tc>
        <w:tc>
          <w:tcPr>
            <w:tcW w:w="119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szCs w:val="21"/>
                <w:lang w:bidi="ar"/>
              </w:rPr>
              <w:t>内存</w:t>
            </w:r>
          </w:p>
        </w:tc>
        <w:tc>
          <w:tcPr>
            <w:tcW w:w="2885"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szCs w:val="21"/>
                <w:lang w:bidi="ar"/>
              </w:rPr>
              <w:t>不低于128GB内存</w:t>
            </w:r>
          </w:p>
        </w:tc>
        <w:tc>
          <w:tcPr>
            <w:tcW w:w="604" w:type="pct"/>
            <w:tcBorders>
              <w:top w:val="single" w:color="auto" w:sz="4" w:space="0"/>
              <w:left w:val="single" w:color="auto" w:sz="4" w:space="0"/>
              <w:bottom w:val="single" w:color="auto" w:sz="4" w:space="0"/>
              <w:right w:val="single" w:color="auto" w:sz="4" w:space="0"/>
            </w:tcBorders>
            <w:shd w:val="clear" w:color="auto" w:fill="auto"/>
          </w:tcPr>
          <w:p>
            <w:pPr>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37"/>
              </w:numPr>
              <w:jc w:val="center"/>
              <w:textAlignment w:val="center"/>
              <w:rPr>
                <w:rFonts w:asciiTheme="minorEastAsia" w:hAnsiTheme="minorEastAsia" w:eastAsiaTheme="minorEastAsia" w:cstheme="minorEastAsia"/>
                <w:bCs/>
                <w:color w:val="000000"/>
                <w:kern w:val="0"/>
                <w:szCs w:val="21"/>
                <w:lang w:bidi="ar"/>
              </w:rPr>
            </w:pPr>
          </w:p>
        </w:tc>
        <w:tc>
          <w:tcPr>
            <w:tcW w:w="119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szCs w:val="21"/>
                <w:lang w:bidi="ar"/>
              </w:rPr>
              <w:t>存储</w:t>
            </w:r>
          </w:p>
        </w:tc>
        <w:tc>
          <w:tcPr>
            <w:tcW w:w="2885"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szCs w:val="21"/>
                <w:lang w:bidi="ar"/>
              </w:rPr>
              <w:t>不低于7.4TBSSD+7.4TB*4RAID5阵列数据存储盘</w:t>
            </w:r>
          </w:p>
        </w:tc>
        <w:tc>
          <w:tcPr>
            <w:tcW w:w="604" w:type="pct"/>
            <w:tcBorders>
              <w:top w:val="single" w:color="auto" w:sz="4" w:space="0"/>
              <w:left w:val="single" w:color="auto" w:sz="4" w:space="0"/>
              <w:bottom w:val="single" w:color="auto" w:sz="4" w:space="0"/>
              <w:right w:val="single" w:color="auto" w:sz="4" w:space="0"/>
            </w:tcBorders>
            <w:shd w:val="clear" w:color="auto" w:fill="auto"/>
          </w:tcPr>
          <w:p>
            <w:pPr>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31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37"/>
              </w:numPr>
              <w:jc w:val="center"/>
              <w:textAlignment w:val="center"/>
              <w:rPr>
                <w:rFonts w:asciiTheme="minorEastAsia" w:hAnsiTheme="minorEastAsia" w:eastAsiaTheme="minorEastAsia" w:cstheme="minorEastAsia"/>
                <w:bCs/>
                <w:color w:val="000000"/>
                <w:kern w:val="0"/>
                <w:szCs w:val="21"/>
                <w:lang w:bidi="ar"/>
              </w:rPr>
            </w:pPr>
          </w:p>
        </w:tc>
        <w:tc>
          <w:tcPr>
            <w:tcW w:w="119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显卡</w:t>
            </w:r>
          </w:p>
        </w:tc>
        <w:tc>
          <w:tcPr>
            <w:tcW w:w="2885"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kern w:val="0"/>
                <w:szCs w:val="21"/>
                <w:lang w:bidi="ar"/>
              </w:rPr>
            </w:pPr>
            <w:r>
              <w:rPr>
                <w:rFonts w:hint="eastAsia" w:asciiTheme="minorEastAsia" w:hAnsiTheme="minorEastAsia" w:eastAsiaTheme="minorEastAsia" w:cstheme="minorEastAsia"/>
                <w:bCs/>
                <w:szCs w:val="21"/>
                <w:lang w:bidi="ar"/>
              </w:rPr>
              <w:t>不低于12GB显存显卡</w:t>
            </w:r>
          </w:p>
        </w:tc>
        <w:tc>
          <w:tcPr>
            <w:tcW w:w="604" w:type="pct"/>
            <w:tcBorders>
              <w:top w:val="single" w:color="auto" w:sz="4" w:space="0"/>
              <w:left w:val="single" w:color="auto" w:sz="4" w:space="0"/>
              <w:bottom w:val="single" w:color="auto" w:sz="4" w:space="0"/>
              <w:right w:val="single" w:color="auto" w:sz="4" w:space="0"/>
            </w:tcBorders>
            <w:shd w:val="clear" w:color="auto" w:fill="auto"/>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31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37"/>
              </w:numPr>
              <w:jc w:val="center"/>
              <w:textAlignment w:val="center"/>
              <w:rPr>
                <w:rFonts w:asciiTheme="minorEastAsia" w:hAnsiTheme="minorEastAsia" w:eastAsiaTheme="minorEastAsia" w:cstheme="minorEastAsia"/>
                <w:bCs/>
                <w:color w:val="000000"/>
                <w:kern w:val="0"/>
                <w:szCs w:val="21"/>
                <w:lang w:bidi="ar"/>
              </w:rPr>
            </w:pPr>
          </w:p>
        </w:tc>
        <w:tc>
          <w:tcPr>
            <w:tcW w:w="119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显示器</w:t>
            </w:r>
          </w:p>
        </w:tc>
        <w:tc>
          <w:tcPr>
            <w:tcW w:w="2885"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不少于2个34英寸的显示器</w:t>
            </w:r>
          </w:p>
        </w:tc>
        <w:tc>
          <w:tcPr>
            <w:tcW w:w="604" w:type="pct"/>
            <w:tcBorders>
              <w:top w:val="single" w:color="auto" w:sz="4" w:space="0"/>
              <w:left w:val="single" w:color="auto" w:sz="4" w:space="0"/>
              <w:bottom w:val="single" w:color="auto" w:sz="4" w:space="0"/>
              <w:right w:val="single" w:color="auto" w:sz="4" w:space="0"/>
            </w:tcBorders>
            <w:shd w:val="clear" w:color="auto" w:fill="auto"/>
          </w:tcPr>
          <w:p>
            <w:pPr>
              <w:jc w:val="center"/>
              <w:textAlignment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31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37"/>
              </w:numPr>
              <w:jc w:val="center"/>
              <w:textAlignment w:val="center"/>
              <w:rPr>
                <w:rFonts w:asciiTheme="minorEastAsia" w:hAnsiTheme="minorEastAsia" w:eastAsiaTheme="minorEastAsia" w:cstheme="minorEastAsia"/>
                <w:bCs/>
                <w:szCs w:val="21"/>
              </w:rPr>
            </w:pPr>
          </w:p>
        </w:tc>
        <w:tc>
          <w:tcPr>
            <w:tcW w:w="119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2885"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不少于1个23.8英寸的触控显示器</w:t>
            </w:r>
          </w:p>
        </w:tc>
        <w:tc>
          <w:tcPr>
            <w:tcW w:w="604" w:type="pct"/>
            <w:tcBorders>
              <w:top w:val="single" w:color="auto" w:sz="4" w:space="0"/>
              <w:left w:val="single" w:color="auto" w:sz="4" w:space="0"/>
              <w:bottom w:val="single" w:color="auto" w:sz="4" w:space="0"/>
              <w:right w:val="single" w:color="auto" w:sz="4" w:space="0"/>
            </w:tcBorders>
            <w:shd w:val="clear" w:color="auto" w:fill="auto"/>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31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37"/>
              </w:numPr>
              <w:jc w:val="center"/>
              <w:textAlignment w:val="center"/>
              <w:rPr>
                <w:rFonts w:asciiTheme="minorEastAsia" w:hAnsiTheme="minorEastAsia" w:eastAsiaTheme="minorEastAsia" w:cstheme="minorEastAsia"/>
                <w:bCs/>
                <w:color w:val="000000"/>
                <w:kern w:val="0"/>
                <w:szCs w:val="21"/>
                <w:lang w:bidi="ar"/>
              </w:rPr>
            </w:pPr>
          </w:p>
        </w:tc>
        <w:tc>
          <w:tcPr>
            <w:tcW w:w="119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2885"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不少于1个7英寸的触控显示屏，可用于案件信息显示和硬盘擦除控制等</w:t>
            </w:r>
          </w:p>
        </w:tc>
        <w:tc>
          <w:tcPr>
            <w:tcW w:w="604" w:type="pct"/>
            <w:tcBorders>
              <w:top w:val="single" w:color="auto" w:sz="4" w:space="0"/>
              <w:left w:val="single" w:color="auto" w:sz="4" w:space="0"/>
              <w:bottom w:val="single" w:color="auto" w:sz="4" w:space="0"/>
              <w:right w:val="single" w:color="auto" w:sz="4" w:space="0"/>
            </w:tcBorders>
            <w:shd w:val="clear" w:color="auto" w:fill="auto"/>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37"/>
              </w:numPr>
              <w:jc w:val="center"/>
              <w:textAlignment w:val="center"/>
              <w:rPr>
                <w:rFonts w:asciiTheme="minorEastAsia" w:hAnsiTheme="minorEastAsia" w:eastAsiaTheme="minorEastAsia" w:cstheme="minorEastAsia"/>
                <w:bCs/>
                <w:color w:val="000000"/>
                <w:kern w:val="0"/>
                <w:szCs w:val="21"/>
                <w:lang w:bidi="ar"/>
              </w:rPr>
            </w:pPr>
          </w:p>
        </w:tc>
        <w:tc>
          <w:tcPr>
            <w:tcW w:w="119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光驱</w:t>
            </w:r>
          </w:p>
        </w:tc>
        <w:tc>
          <w:tcPr>
            <w:tcW w:w="2885"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不少于1个蓝光刻录机</w:t>
            </w:r>
          </w:p>
        </w:tc>
        <w:tc>
          <w:tcPr>
            <w:tcW w:w="604" w:type="pct"/>
            <w:tcBorders>
              <w:top w:val="single" w:color="auto" w:sz="4" w:space="0"/>
              <w:left w:val="single" w:color="auto" w:sz="4" w:space="0"/>
              <w:bottom w:val="single" w:color="auto" w:sz="4" w:space="0"/>
              <w:right w:val="single" w:color="auto" w:sz="4" w:space="0"/>
            </w:tcBorders>
            <w:shd w:val="clear" w:color="auto" w:fill="auto"/>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31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37"/>
              </w:numPr>
              <w:jc w:val="center"/>
              <w:textAlignment w:val="center"/>
              <w:rPr>
                <w:rFonts w:asciiTheme="minorEastAsia" w:hAnsiTheme="minorEastAsia" w:eastAsiaTheme="minorEastAsia" w:cstheme="minorEastAsia"/>
                <w:bCs/>
                <w:color w:val="000000"/>
                <w:kern w:val="0"/>
                <w:szCs w:val="21"/>
                <w:lang w:bidi="ar"/>
              </w:rPr>
            </w:pPr>
          </w:p>
        </w:tc>
        <w:tc>
          <w:tcPr>
            <w:tcW w:w="119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接口</w:t>
            </w:r>
          </w:p>
        </w:tc>
        <w:tc>
          <w:tcPr>
            <w:tcW w:w="2885"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不少于8路直通功能的手机取证USB3.0接口；4个SATA/SAS硬盘只读仓、4个SATA/SAS硬盘读写仓（可切换到只读）；配置只读锁，可满足SATA、USB（2.0/3.0）、IDE和存储卡等各种存储介质只读接入；配置接口转换器，可支持mSATA、M.2/NGFF等特殊SATA协议硬盘接口，支持Apple、M.2NVME等PCIE协议硬盘接口；不少于2路的SATA硬盘仓用于硬盘擦除和不少于2路的USB3.0接口用于USB存储介质擦除；不少于2个220V电源接口、4路5V/2.1AUSB充电口、1个无线快充、1个RJ45千兆网络接口、1个电话接口；不少于一个支持3.5/2.5吋的sata硬盘扩展仓；银行卡取证接口（IC芯片、磁条、NFC三种银行卡）、身份证取证接口、三合一SIM卡取证接口</w:t>
            </w:r>
          </w:p>
        </w:tc>
        <w:tc>
          <w:tcPr>
            <w:tcW w:w="604" w:type="pct"/>
            <w:tcBorders>
              <w:top w:val="single" w:color="auto" w:sz="4" w:space="0"/>
              <w:left w:val="single" w:color="auto" w:sz="4" w:space="0"/>
              <w:bottom w:val="single" w:color="auto" w:sz="4" w:space="0"/>
              <w:right w:val="single" w:color="auto" w:sz="4" w:space="0"/>
            </w:tcBorders>
            <w:shd w:val="clear" w:color="auto" w:fill="auto"/>
            <w:noWrap/>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37"/>
              </w:numPr>
              <w:jc w:val="center"/>
              <w:textAlignment w:val="center"/>
              <w:rPr>
                <w:rFonts w:asciiTheme="minorEastAsia" w:hAnsiTheme="minorEastAsia" w:eastAsiaTheme="minorEastAsia" w:cstheme="minorEastAsia"/>
                <w:bCs/>
                <w:color w:val="000000"/>
                <w:kern w:val="0"/>
                <w:szCs w:val="21"/>
                <w:lang w:bidi="ar"/>
              </w:rPr>
            </w:pPr>
          </w:p>
        </w:tc>
        <w:tc>
          <w:tcPr>
            <w:tcW w:w="119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网络</w:t>
            </w:r>
          </w:p>
        </w:tc>
        <w:tc>
          <w:tcPr>
            <w:tcW w:w="2885"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不少于1个万兆光口、2个千兆电口</w:t>
            </w:r>
          </w:p>
        </w:tc>
        <w:tc>
          <w:tcPr>
            <w:tcW w:w="604" w:type="pct"/>
            <w:tcBorders>
              <w:top w:val="single" w:color="auto" w:sz="4" w:space="0"/>
              <w:left w:val="single" w:color="auto" w:sz="4" w:space="0"/>
              <w:bottom w:val="single" w:color="auto" w:sz="4" w:space="0"/>
              <w:right w:val="single" w:color="auto" w:sz="4" w:space="0"/>
            </w:tcBorders>
            <w:shd w:val="clear" w:color="auto" w:fill="auto"/>
            <w:noWrap/>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37"/>
              </w:numPr>
              <w:jc w:val="center"/>
              <w:textAlignment w:val="center"/>
              <w:rPr>
                <w:rFonts w:asciiTheme="minorEastAsia" w:hAnsiTheme="minorEastAsia" w:eastAsiaTheme="minorEastAsia" w:cstheme="minorEastAsia"/>
                <w:bCs/>
                <w:color w:val="000000"/>
                <w:kern w:val="0"/>
                <w:szCs w:val="21"/>
                <w:lang w:bidi="ar"/>
              </w:rPr>
            </w:pPr>
          </w:p>
        </w:tc>
        <w:tc>
          <w:tcPr>
            <w:tcW w:w="119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Wi-Fi取证能力</w:t>
            </w:r>
          </w:p>
        </w:tc>
        <w:tc>
          <w:tcPr>
            <w:tcW w:w="2885"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不少于4个箱体隔离的WiFi无线模组</w:t>
            </w:r>
          </w:p>
        </w:tc>
        <w:tc>
          <w:tcPr>
            <w:tcW w:w="604" w:type="pct"/>
            <w:tcBorders>
              <w:top w:val="single" w:color="auto" w:sz="4" w:space="0"/>
              <w:left w:val="single" w:color="auto" w:sz="4" w:space="0"/>
              <w:bottom w:val="single" w:color="auto" w:sz="4" w:space="0"/>
              <w:right w:val="single" w:color="auto" w:sz="4" w:space="0"/>
            </w:tcBorders>
            <w:shd w:val="clear" w:color="auto" w:fill="auto"/>
            <w:noWrap/>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37"/>
              </w:numPr>
              <w:jc w:val="center"/>
              <w:textAlignment w:val="center"/>
              <w:rPr>
                <w:rFonts w:asciiTheme="minorEastAsia" w:hAnsiTheme="minorEastAsia" w:eastAsiaTheme="minorEastAsia" w:cstheme="minorEastAsia"/>
                <w:bCs/>
                <w:color w:val="000000"/>
                <w:kern w:val="0"/>
                <w:szCs w:val="21"/>
                <w:lang w:bidi="ar"/>
              </w:rPr>
            </w:pPr>
          </w:p>
        </w:tc>
        <w:tc>
          <w:tcPr>
            <w:tcW w:w="119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高拍仪</w:t>
            </w:r>
          </w:p>
        </w:tc>
        <w:tc>
          <w:tcPr>
            <w:tcW w:w="2885"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不少于1个500万像素广角摄像头和不少于1个1300万像素自动对焦的高拍仪摄像头</w:t>
            </w:r>
          </w:p>
        </w:tc>
        <w:tc>
          <w:tcPr>
            <w:tcW w:w="604" w:type="pct"/>
            <w:tcBorders>
              <w:top w:val="single" w:color="auto" w:sz="4" w:space="0"/>
              <w:left w:val="single" w:color="auto" w:sz="4" w:space="0"/>
              <w:bottom w:val="single" w:color="auto" w:sz="4" w:space="0"/>
              <w:right w:val="single" w:color="auto" w:sz="4" w:space="0"/>
            </w:tcBorders>
            <w:shd w:val="clear" w:color="auto" w:fill="auto"/>
            <w:noWrap/>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31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37"/>
              </w:numPr>
              <w:snapToGrid w:val="0"/>
              <w:jc w:val="center"/>
              <w:rPr>
                <w:rFonts w:asciiTheme="minorEastAsia" w:hAnsiTheme="minorEastAsia" w:eastAsiaTheme="minorEastAsia" w:cstheme="minorEastAsia"/>
                <w:bCs/>
                <w:szCs w:val="21"/>
              </w:rPr>
            </w:pPr>
          </w:p>
        </w:tc>
        <w:tc>
          <w:tcPr>
            <w:tcW w:w="1198" w:type="pct"/>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计算机取证</w:t>
            </w:r>
          </w:p>
        </w:tc>
        <w:tc>
          <w:tcPr>
            <w:tcW w:w="2885"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kern w:val="0"/>
                <w:szCs w:val="21"/>
                <w:lang w:bidi="ar"/>
              </w:rPr>
            </w:pPr>
            <w:r>
              <w:rPr>
                <w:rFonts w:hint="eastAsia" w:asciiTheme="minorEastAsia" w:hAnsiTheme="minorEastAsia" w:eastAsiaTheme="minorEastAsia" w:cstheme="minorEastAsia"/>
                <w:bCs/>
                <w:color w:val="000000"/>
                <w:kern w:val="0"/>
                <w:szCs w:val="21"/>
                <w:lang w:bidi="ar"/>
              </w:rPr>
              <w:t>支持8路计算机取证</w:t>
            </w:r>
          </w:p>
        </w:tc>
        <w:tc>
          <w:tcPr>
            <w:tcW w:w="604" w:type="pct"/>
            <w:tcBorders>
              <w:top w:val="single" w:color="auto" w:sz="4" w:space="0"/>
              <w:left w:val="single" w:color="auto" w:sz="4" w:space="0"/>
              <w:bottom w:val="single" w:color="auto" w:sz="4" w:space="0"/>
              <w:right w:val="single" w:color="auto" w:sz="4" w:space="0"/>
            </w:tcBorders>
            <w:shd w:val="clear" w:color="auto" w:fill="auto"/>
          </w:tcPr>
          <w:p>
            <w:pPr>
              <w:jc w:val="center"/>
              <w:textAlignment w:val="center"/>
              <w:rPr>
                <w:rFonts w:asciiTheme="minorEastAsia" w:hAnsiTheme="minorEastAsia" w:eastAsiaTheme="minorEastAsia" w:cstheme="minorEastAsia"/>
                <w:bCs/>
                <w:kern w:val="0"/>
                <w:szCs w:val="21"/>
                <w:lang w:bidi="ar"/>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1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37"/>
              </w:numPr>
              <w:jc w:val="center"/>
              <w:textAlignment w:val="center"/>
              <w:rPr>
                <w:rFonts w:asciiTheme="minorEastAsia" w:hAnsiTheme="minorEastAsia" w:eastAsiaTheme="minorEastAsia" w:cstheme="minorEastAsia"/>
                <w:bCs/>
                <w:color w:val="000000"/>
                <w:kern w:val="0"/>
                <w:szCs w:val="21"/>
                <w:lang w:bidi="ar"/>
              </w:rPr>
            </w:pPr>
          </w:p>
        </w:tc>
        <w:tc>
          <w:tcPr>
            <w:tcW w:w="1198"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硬盘复制</w:t>
            </w:r>
          </w:p>
        </w:tc>
        <w:tc>
          <w:tcPr>
            <w:tcW w:w="2885"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kern w:val="0"/>
                <w:szCs w:val="21"/>
                <w:lang w:bidi="ar"/>
              </w:rPr>
            </w:pPr>
            <w:r>
              <w:rPr>
                <w:rFonts w:hint="eastAsia" w:asciiTheme="minorEastAsia" w:hAnsiTheme="minorEastAsia" w:eastAsiaTheme="minorEastAsia" w:cstheme="minorEastAsia"/>
                <w:bCs/>
                <w:color w:val="000000"/>
                <w:kern w:val="0"/>
                <w:szCs w:val="21"/>
                <w:lang w:bidi="ar"/>
              </w:rPr>
              <w:t>支持不少于4路硬盘同时复制</w:t>
            </w:r>
          </w:p>
        </w:tc>
        <w:tc>
          <w:tcPr>
            <w:tcW w:w="604" w:type="pct"/>
            <w:tcBorders>
              <w:top w:val="single" w:color="auto" w:sz="4" w:space="0"/>
              <w:left w:val="single" w:color="auto" w:sz="4" w:space="0"/>
              <w:bottom w:val="single" w:color="auto" w:sz="4" w:space="0"/>
              <w:right w:val="single" w:color="auto" w:sz="4" w:space="0"/>
            </w:tcBorders>
            <w:shd w:val="clear" w:color="auto" w:fill="auto"/>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31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37"/>
              </w:numPr>
              <w:jc w:val="center"/>
              <w:textAlignment w:val="center"/>
              <w:rPr>
                <w:rFonts w:asciiTheme="minorEastAsia" w:hAnsiTheme="minorEastAsia" w:eastAsiaTheme="minorEastAsia" w:cstheme="minorEastAsia"/>
                <w:bCs/>
                <w:szCs w:val="21"/>
              </w:rPr>
            </w:pPr>
          </w:p>
        </w:tc>
        <w:tc>
          <w:tcPr>
            <w:tcW w:w="1198"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系统仿真</w:t>
            </w:r>
          </w:p>
        </w:tc>
        <w:tc>
          <w:tcPr>
            <w:tcW w:w="2885"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支持对物理磁盘和镜像文件等不少于2种介质存储方式的仿真取证</w:t>
            </w:r>
          </w:p>
        </w:tc>
        <w:tc>
          <w:tcPr>
            <w:tcW w:w="604" w:type="pct"/>
            <w:tcBorders>
              <w:top w:val="single" w:color="auto" w:sz="4" w:space="0"/>
              <w:left w:val="single" w:color="auto" w:sz="4" w:space="0"/>
              <w:bottom w:val="single" w:color="auto" w:sz="4" w:space="0"/>
              <w:right w:val="single" w:color="auto" w:sz="4" w:space="0"/>
            </w:tcBorders>
            <w:shd w:val="clear" w:color="auto" w:fill="auto"/>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31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37"/>
              </w:numPr>
              <w:jc w:val="center"/>
              <w:textAlignment w:val="center"/>
              <w:rPr>
                <w:rFonts w:asciiTheme="minorEastAsia" w:hAnsiTheme="minorEastAsia" w:eastAsiaTheme="minorEastAsia" w:cstheme="minorEastAsia"/>
                <w:bCs/>
                <w:color w:val="000000"/>
                <w:kern w:val="0"/>
                <w:szCs w:val="21"/>
                <w:lang w:bidi="ar"/>
              </w:rPr>
            </w:pPr>
          </w:p>
        </w:tc>
        <w:tc>
          <w:tcPr>
            <w:tcW w:w="1198"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计算机取证</w:t>
            </w:r>
          </w:p>
        </w:tc>
        <w:tc>
          <w:tcPr>
            <w:tcW w:w="2885"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支持不少于5种即时通讯类应用程序聊天信息、好友信息、群组信息的解析，包括但不限于QQ、微信、钉钉、telegram、skype等</w:t>
            </w:r>
          </w:p>
        </w:tc>
        <w:tc>
          <w:tcPr>
            <w:tcW w:w="604" w:type="pct"/>
            <w:tcBorders>
              <w:top w:val="single" w:color="auto" w:sz="4" w:space="0"/>
              <w:left w:val="single" w:color="auto" w:sz="4" w:space="0"/>
              <w:bottom w:val="single" w:color="auto" w:sz="4" w:space="0"/>
              <w:right w:val="single" w:color="auto" w:sz="4" w:space="0"/>
            </w:tcBorders>
            <w:shd w:val="clear" w:color="auto" w:fill="auto"/>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 w:hRule="atLeast"/>
          <w:jc w:val="center"/>
        </w:trPr>
        <w:tc>
          <w:tcPr>
            <w:tcW w:w="31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37"/>
              </w:numPr>
              <w:jc w:val="center"/>
              <w:textAlignment w:val="center"/>
              <w:rPr>
                <w:rFonts w:asciiTheme="minorEastAsia" w:hAnsiTheme="minorEastAsia" w:eastAsiaTheme="minorEastAsia" w:cstheme="minorEastAsia"/>
                <w:bCs/>
                <w:color w:val="000000"/>
                <w:kern w:val="0"/>
                <w:szCs w:val="21"/>
                <w:lang w:bidi="ar"/>
              </w:rPr>
            </w:pPr>
          </w:p>
        </w:tc>
        <w:tc>
          <w:tcPr>
            <w:tcW w:w="1198"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计算机取证</w:t>
            </w:r>
          </w:p>
        </w:tc>
        <w:tc>
          <w:tcPr>
            <w:tcW w:w="2885"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支持MD5、SHA-1、SHA-256等多种哈希值计算</w:t>
            </w:r>
          </w:p>
        </w:tc>
        <w:tc>
          <w:tcPr>
            <w:tcW w:w="604" w:type="pct"/>
            <w:tcBorders>
              <w:top w:val="single" w:color="auto" w:sz="4" w:space="0"/>
              <w:left w:val="single" w:color="auto" w:sz="4" w:space="0"/>
              <w:bottom w:val="single" w:color="auto" w:sz="4" w:space="0"/>
              <w:right w:val="single" w:color="auto" w:sz="4" w:space="0"/>
            </w:tcBorders>
            <w:shd w:val="clear" w:color="auto" w:fill="auto"/>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31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37"/>
              </w:numPr>
              <w:jc w:val="center"/>
              <w:textAlignment w:val="center"/>
              <w:rPr>
                <w:rFonts w:asciiTheme="minorEastAsia" w:hAnsiTheme="minorEastAsia" w:eastAsiaTheme="minorEastAsia" w:cstheme="minorEastAsia"/>
                <w:bCs/>
                <w:color w:val="000000"/>
                <w:kern w:val="0"/>
                <w:szCs w:val="21"/>
                <w:lang w:bidi="ar"/>
              </w:rPr>
            </w:pPr>
          </w:p>
        </w:tc>
        <w:tc>
          <w:tcPr>
            <w:tcW w:w="1198"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手机取证</w:t>
            </w:r>
          </w:p>
        </w:tc>
        <w:tc>
          <w:tcPr>
            <w:tcW w:w="2885"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支持制作Android、iOS、鸿蒙OS系统手机镜像，固定手机数据</w:t>
            </w:r>
          </w:p>
        </w:tc>
        <w:tc>
          <w:tcPr>
            <w:tcW w:w="604" w:type="pct"/>
            <w:tcBorders>
              <w:top w:val="single" w:color="auto" w:sz="4" w:space="0"/>
              <w:left w:val="single" w:color="auto" w:sz="4" w:space="0"/>
              <w:bottom w:val="single" w:color="auto" w:sz="4" w:space="0"/>
              <w:right w:val="single" w:color="auto" w:sz="4" w:space="0"/>
            </w:tcBorders>
            <w:shd w:val="clear" w:color="auto" w:fill="auto"/>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31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37"/>
              </w:numPr>
              <w:jc w:val="center"/>
              <w:textAlignment w:val="center"/>
              <w:rPr>
                <w:rFonts w:asciiTheme="minorEastAsia" w:hAnsiTheme="minorEastAsia" w:eastAsiaTheme="minorEastAsia" w:cstheme="minorEastAsia"/>
                <w:bCs/>
                <w:color w:val="000000"/>
                <w:kern w:val="0"/>
                <w:szCs w:val="21"/>
                <w:lang w:bidi="ar"/>
              </w:rPr>
            </w:pPr>
          </w:p>
        </w:tc>
        <w:tc>
          <w:tcPr>
            <w:tcW w:w="1198"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物联网管理API</w:t>
            </w:r>
          </w:p>
        </w:tc>
        <w:tc>
          <w:tcPr>
            <w:tcW w:w="2885"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支持开放的物联网管理API接口，可供实验室管理系统采集设备工作状态和工作量</w:t>
            </w:r>
          </w:p>
        </w:tc>
        <w:tc>
          <w:tcPr>
            <w:tcW w:w="604" w:type="pct"/>
            <w:tcBorders>
              <w:top w:val="single" w:color="auto" w:sz="4" w:space="0"/>
              <w:left w:val="single" w:color="auto" w:sz="4" w:space="0"/>
              <w:bottom w:val="single" w:color="auto" w:sz="4" w:space="0"/>
              <w:right w:val="single" w:color="auto" w:sz="4" w:space="0"/>
            </w:tcBorders>
            <w:shd w:val="clear" w:color="auto" w:fill="auto"/>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w:t>
            </w:r>
          </w:p>
        </w:tc>
      </w:tr>
    </w:tbl>
    <w:p>
      <w:pPr>
        <w:rPr>
          <w:rFonts w:asciiTheme="minorEastAsia" w:hAnsiTheme="minorEastAsia" w:eastAsiaTheme="minorEastAsia" w:cstheme="minorEastAsia"/>
          <w:szCs w:val="21"/>
        </w:rPr>
      </w:pPr>
    </w:p>
    <w:p>
      <w:pPr>
        <w:pStyle w:val="5"/>
        <w:spacing w:before="156"/>
        <w:rPr>
          <w:rFonts w:asciiTheme="minorEastAsia" w:hAnsiTheme="minorEastAsia" w:eastAsiaTheme="minorEastAsia" w:cstheme="minorEastAsia"/>
          <w:b/>
          <w:bCs w:val="0"/>
          <w:szCs w:val="21"/>
        </w:rPr>
      </w:pPr>
      <w:r>
        <w:rPr>
          <w:rFonts w:hint="eastAsia" w:asciiTheme="minorEastAsia" w:hAnsiTheme="minorEastAsia" w:eastAsiaTheme="minorEastAsia" w:cstheme="minorEastAsia"/>
          <w:szCs w:val="21"/>
        </w:rPr>
        <w:t>第1包 电子物证现场提取设备</w:t>
      </w:r>
      <w:r>
        <w:rPr>
          <w:rFonts w:hint="default" w:ascii="Times New Roman" w:hAnsi="Times New Roman" w:cs="Times New Roman" w:eastAsiaTheme="minorEastAsia"/>
          <w:szCs w:val="21"/>
        </w:rPr>
        <w:t>Ⅰ</w:t>
      </w:r>
    </w:p>
    <w:tbl>
      <w:tblPr>
        <w:tblStyle w:val="81"/>
        <w:tblW w:w="436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5"/>
        <w:gridCol w:w="1679"/>
        <w:gridCol w:w="3854"/>
        <w:gridCol w:w="11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序号</w:t>
            </w:r>
          </w:p>
        </w:tc>
        <w:tc>
          <w:tcPr>
            <w:tcW w:w="112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指标项</w:t>
            </w:r>
          </w:p>
        </w:tc>
        <w:tc>
          <w:tcPr>
            <w:tcW w:w="259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指标要求</w:t>
            </w:r>
          </w:p>
        </w:tc>
        <w:tc>
          <w:tcPr>
            <w:tcW w:w="77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证明材料要求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38"/>
              </w:numPr>
              <w:jc w:val="center"/>
              <w:textAlignment w:val="center"/>
              <w:rPr>
                <w:rFonts w:asciiTheme="minorEastAsia" w:hAnsiTheme="minorEastAsia" w:eastAsiaTheme="minorEastAsia" w:cstheme="minorEastAsia"/>
                <w:bCs/>
                <w:color w:val="000000"/>
                <w:kern w:val="0"/>
                <w:szCs w:val="21"/>
                <w:lang w:bidi="ar"/>
              </w:rPr>
            </w:pPr>
          </w:p>
        </w:tc>
        <w:tc>
          <w:tcPr>
            <w:tcW w:w="112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szCs w:val="21"/>
                <w:lang w:bidi="ar"/>
              </w:rPr>
              <w:t>处理器</w:t>
            </w:r>
          </w:p>
        </w:tc>
        <w:tc>
          <w:tcPr>
            <w:tcW w:w="2592"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szCs w:val="21"/>
                <w:lang w:bidi="ar"/>
              </w:rPr>
              <w:t>不低于4核心8线程，主频不低于3.0GHz</w:t>
            </w:r>
          </w:p>
        </w:tc>
        <w:tc>
          <w:tcPr>
            <w:tcW w:w="77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38"/>
              </w:numPr>
              <w:jc w:val="center"/>
              <w:textAlignment w:val="center"/>
              <w:rPr>
                <w:rFonts w:asciiTheme="minorEastAsia" w:hAnsiTheme="minorEastAsia" w:eastAsiaTheme="minorEastAsia" w:cstheme="minorEastAsia"/>
                <w:bCs/>
                <w:color w:val="000000"/>
                <w:kern w:val="0"/>
                <w:szCs w:val="21"/>
                <w:lang w:bidi="ar"/>
              </w:rPr>
            </w:pPr>
          </w:p>
        </w:tc>
        <w:tc>
          <w:tcPr>
            <w:tcW w:w="112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szCs w:val="21"/>
                <w:lang w:bidi="ar"/>
              </w:rPr>
              <w:t>内存</w:t>
            </w:r>
          </w:p>
        </w:tc>
        <w:tc>
          <w:tcPr>
            <w:tcW w:w="2592"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szCs w:val="21"/>
                <w:lang w:bidi="ar"/>
              </w:rPr>
              <w:t>不低于32GB内存</w:t>
            </w:r>
          </w:p>
        </w:tc>
        <w:tc>
          <w:tcPr>
            <w:tcW w:w="77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38"/>
              </w:numPr>
              <w:jc w:val="center"/>
              <w:textAlignment w:val="center"/>
              <w:rPr>
                <w:rFonts w:asciiTheme="minorEastAsia" w:hAnsiTheme="minorEastAsia" w:eastAsiaTheme="minorEastAsia" w:cstheme="minorEastAsia"/>
                <w:bCs/>
                <w:color w:val="000000"/>
                <w:kern w:val="0"/>
                <w:szCs w:val="21"/>
                <w:lang w:bidi="ar"/>
              </w:rPr>
            </w:pPr>
          </w:p>
        </w:tc>
        <w:tc>
          <w:tcPr>
            <w:tcW w:w="112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szCs w:val="21"/>
                <w:lang w:bidi="ar"/>
              </w:rPr>
              <w:t>存储</w:t>
            </w:r>
          </w:p>
        </w:tc>
        <w:tc>
          <w:tcPr>
            <w:tcW w:w="2592"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szCs w:val="21"/>
                <w:lang w:bidi="ar"/>
              </w:rPr>
              <w:t>不低于890GBSSD硬盘</w:t>
            </w:r>
          </w:p>
        </w:tc>
        <w:tc>
          <w:tcPr>
            <w:tcW w:w="77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38"/>
              </w:numPr>
              <w:jc w:val="center"/>
              <w:textAlignment w:val="center"/>
              <w:rPr>
                <w:rFonts w:asciiTheme="minorEastAsia" w:hAnsiTheme="minorEastAsia" w:eastAsiaTheme="minorEastAsia" w:cstheme="minorEastAsia"/>
                <w:bCs/>
                <w:color w:val="000000"/>
                <w:kern w:val="0"/>
                <w:szCs w:val="21"/>
                <w:lang w:bidi="ar"/>
              </w:rPr>
            </w:pPr>
          </w:p>
        </w:tc>
        <w:tc>
          <w:tcPr>
            <w:tcW w:w="112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显卡</w:t>
            </w:r>
          </w:p>
        </w:tc>
        <w:tc>
          <w:tcPr>
            <w:tcW w:w="2592"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kern w:val="0"/>
                <w:szCs w:val="21"/>
                <w:lang w:bidi="ar"/>
              </w:rPr>
            </w:pPr>
            <w:r>
              <w:rPr>
                <w:rFonts w:hint="eastAsia" w:asciiTheme="minorEastAsia" w:hAnsiTheme="minorEastAsia" w:eastAsiaTheme="minorEastAsia" w:cstheme="minorEastAsia"/>
                <w:bCs/>
                <w:szCs w:val="21"/>
                <w:lang w:bidi="ar"/>
              </w:rPr>
              <w:t>CPU集成显卡</w:t>
            </w:r>
          </w:p>
        </w:tc>
        <w:tc>
          <w:tcPr>
            <w:tcW w:w="77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38"/>
              </w:numPr>
              <w:jc w:val="center"/>
              <w:textAlignment w:val="center"/>
              <w:rPr>
                <w:rFonts w:asciiTheme="minorEastAsia" w:hAnsiTheme="minorEastAsia" w:eastAsiaTheme="minorEastAsia" w:cstheme="minorEastAsia"/>
                <w:bCs/>
                <w:color w:val="000000"/>
                <w:kern w:val="0"/>
                <w:szCs w:val="21"/>
                <w:lang w:bidi="ar"/>
              </w:rPr>
            </w:pPr>
          </w:p>
        </w:tc>
        <w:tc>
          <w:tcPr>
            <w:tcW w:w="112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显示器</w:t>
            </w:r>
          </w:p>
        </w:tc>
        <w:tc>
          <w:tcPr>
            <w:tcW w:w="2592"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不低于11.6英寸电容触控显示屏</w:t>
            </w:r>
          </w:p>
        </w:tc>
        <w:tc>
          <w:tcPr>
            <w:tcW w:w="77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38"/>
              </w:numPr>
              <w:jc w:val="center"/>
              <w:textAlignment w:val="center"/>
              <w:rPr>
                <w:rFonts w:asciiTheme="minorEastAsia" w:hAnsiTheme="minorEastAsia" w:eastAsiaTheme="minorEastAsia" w:cstheme="minorEastAsia"/>
                <w:bCs/>
                <w:color w:val="000000"/>
                <w:kern w:val="0"/>
                <w:szCs w:val="21"/>
                <w:lang w:bidi="ar"/>
              </w:rPr>
            </w:pPr>
          </w:p>
        </w:tc>
        <w:tc>
          <w:tcPr>
            <w:tcW w:w="112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接口</w:t>
            </w:r>
          </w:p>
        </w:tc>
        <w:tc>
          <w:tcPr>
            <w:tcW w:w="2592"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不少于1个SATA/SAS硬盘只读仓、1个SATA/SAS硬盘读写仓；不少于1个SATA、USB（2.0/3.0）、IDE只读接口</w:t>
            </w:r>
          </w:p>
        </w:tc>
        <w:tc>
          <w:tcPr>
            <w:tcW w:w="77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38"/>
              </w:numPr>
              <w:jc w:val="center"/>
              <w:textAlignment w:val="center"/>
              <w:rPr>
                <w:rFonts w:asciiTheme="minorEastAsia" w:hAnsiTheme="minorEastAsia" w:eastAsiaTheme="minorEastAsia" w:cstheme="minorEastAsia"/>
                <w:bCs/>
                <w:color w:val="000000"/>
                <w:kern w:val="0"/>
                <w:szCs w:val="21"/>
                <w:lang w:bidi="ar"/>
              </w:rPr>
            </w:pPr>
          </w:p>
        </w:tc>
        <w:tc>
          <w:tcPr>
            <w:tcW w:w="112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网络</w:t>
            </w:r>
          </w:p>
        </w:tc>
        <w:tc>
          <w:tcPr>
            <w:tcW w:w="2592"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不少于1个万兆光口，1个千兆电口</w:t>
            </w:r>
          </w:p>
        </w:tc>
        <w:tc>
          <w:tcPr>
            <w:tcW w:w="771"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38"/>
              </w:numPr>
              <w:jc w:val="center"/>
              <w:textAlignment w:val="center"/>
              <w:rPr>
                <w:rFonts w:asciiTheme="minorEastAsia" w:hAnsiTheme="minorEastAsia" w:eastAsiaTheme="minorEastAsia" w:cstheme="minorEastAsia"/>
                <w:bCs/>
                <w:szCs w:val="21"/>
              </w:rPr>
            </w:pPr>
          </w:p>
        </w:tc>
        <w:tc>
          <w:tcPr>
            <w:tcW w:w="112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手机采集</w:t>
            </w:r>
          </w:p>
        </w:tc>
        <w:tc>
          <w:tcPr>
            <w:tcW w:w="2592"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支持即时通讯类应用程序聊天信息、好友信息、群组信息的解析，包括但不限于QQ、微信、钉钉、telegram、skype等</w:t>
            </w:r>
          </w:p>
        </w:tc>
        <w:tc>
          <w:tcPr>
            <w:tcW w:w="77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38"/>
              </w:numPr>
              <w:jc w:val="center"/>
              <w:textAlignment w:val="center"/>
              <w:rPr>
                <w:rFonts w:asciiTheme="minorEastAsia" w:hAnsiTheme="minorEastAsia" w:eastAsiaTheme="minorEastAsia" w:cstheme="minorEastAsia"/>
                <w:bCs/>
                <w:color w:val="000000"/>
                <w:kern w:val="0"/>
                <w:szCs w:val="21"/>
                <w:lang w:bidi="ar"/>
              </w:rPr>
            </w:pPr>
          </w:p>
        </w:tc>
        <w:tc>
          <w:tcPr>
            <w:tcW w:w="112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2592"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支持全自动仿真，可一键完成磁盘或镜像的仿真</w:t>
            </w:r>
          </w:p>
        </w:tc>
        <w:tc>
          <w:tcPr>
            <w:tcW w:w="77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38"/>
              </w:numPr>
              <w:jc w:val="center"/>
              <w:textAlignment w:val="center"/>
              <w:rPr>
                <w:rFonts w:asciiTheme="minorEastAsia" w:hAnsiTheme="minorEastAsia" w:eastAsiaTheme="minorEastAsia" w:cstheme="minorEastAsia"/>
                <w:bCs/>
                <w:color w:val="000000"/>
                <w:kern w:val="0"/>
                <w:szCs w:val="21"/>
                <w:lang w:bidi="ar"/>
              </w:rPr>
            </w:pPr>
          </w:p>
        </w:tc>
        <w:tc>
          <w:tcPr>
            <w:tcW w:w="112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2592"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支持QQ、微信等软件信息的解析</w:t>
            </w:r>
          </w:p>
        </w:tc>
        <w:tc>
          <w:tcPr>
            <w:tcW w:w="77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38"/>
              </w:numPr>
              <w:jc w:val="center"/>
              <w:textAlignment w:val="center"/>
              <w:rPr>
                <w:rFonts w:asciiTheme="minorEastAsia" w:hAnsiTheme="minorEastAsia" w:eastAsiaTheme="minorEastAsia" w:cstheme="minorEastAsia"/>
                <w:bCs/>
                <w:color w:val="000000"/>
                <w:kern w:val="0"/>
                <w:szCs w:val="21"/>
                <w:lang w:bidi="ar"/>
              </w:rPr>
            </w:pPr>
          </w:p>
        </w:tc>
        <w:tc>
          <w:tcPr>
            <w:tcW w:w="1129"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计算机取证</w:t>
            </w:r>
          </w:p>
        </w:tc>
        <w:tc>
          <w:tcPr>
            <w:tcW w:w="2592"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支持windows、macOS系统的系统痕迹分析、USB设备使用记录、应用程序运行痕迹、用户最近访问记录、回收站删除记录、远程桌面以及用户痕迹解析</w:t>
            </w:r>
          </w:p>
        </w:tc>
        <w:tc>
          <w:tcPr>
            <w:tcW w:w="77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38"/>
              </w:numPr>
              <w:jc w:val="center"/>
              <w:textAlignment w:val="center"/>
              <w:rPr>
                <w:rFonts w:asciiTheme="minorEastAsia" w:hAnsiTheme="minorEastAsia" w:eastAsiaTheme="minorEastAsia" w:cstheme="minorEastAsia"/>
                <w:bCs/>
                <w:color w:val="000000"/>
                <w:kern w:val="0"/>
                <w:szCs w:val="21"/>
                <w:lang w:bidi="ar"/>
              </w:rPr>
            </w:pPr>
          </w:p>
        </w:tc>
        <w:tc>
          <w:tcPr>
            <w:tcW w:w="1129"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Theme="minorEastAsia" w:hAnsiTheme="minorEastAsia" w:eastAsiaTheme="minorEastAsia" w:cstheme="minorEastAsia"/>
                <w:szCs w:val="21"/>
              </w:rPr>
            </w:pPr>
          </w:p>
        </w:tc>
        <w:tc>
          <w:tcPr>
            <w:tcW w:w="2592"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kern w:val="0"/>
                <w:szCs w:val="21"/>
                <w:lang w:bidi="ar"/>
              </w:rPr>
            </w:pPr>
            <w:r>
              <w:rPr>
                <w:rFonts w:hint="eastAsia" w:asciiTheme="minorEastAsia" w:hAnsiTheme="minorEastAsia" w:eastAsiaTheme="minorEastAsia" w:cstheme="minorEastAsia"/>
                <w:bCs/>
                <w:kern w:val="0"/>
                <w:szCs w:val="21"/>
                <w:lang w:bidi="ar"/>
              </w:rPr>
              <w:t>支持Linux、UOS、银河麒麟系统的系统信息解析、USB设备使用记录、终端命令记录、内置应用以及用户痕迹解析</w:t>
            </w:r>
          </w:p>
        </w:tc>
        <w:tc>
          <w:tcPr>
            <w:tcW w:w="77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38"/>
              </w:numPr>
              <w:jc w:val="center"/>
              <w:textAlignment w:val="center"/>
              <w:rPr>
                <w:rFonts w:asciiTheme="minorEastAsia" w:hAnsiTheme="minorEastAsia" w:eastAsiaTheme="minorEastAsia" w:cstheme="minorEastAsia"/>
                <w:bCs/>
                <w:color w:val="000000"/>
                <w:kern w:val="0"/>
                <w:szCs w:val="21"/>
                <w:lang w:bidi="ar"/>
              </w:rPr>
            </w:pPr>
          </w:p>
        </w:tc>
        <w:tc>
          <w:tcPr>
            <w:tcW w:w="1129"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Theme="minorEastAsia" w:hAnsiTheme="minorEastAsia" w:eastAsiaTheme="minorEastAsia" w:cstheme="minorEastAsia"/>
                <w:szCs w:val="21"/>
              </w:rPr>
            </w:pPr>
          </w:p>
        </w:tc>
        <w:tc>
          <w:tcPr>
            <w:tcW w:w="2592"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kern w:val="0"/>
                <w:szCs w:val="21"/>
                <w:lang w:bidi="ar"/>
              </w:rPr>
            </w:pPr>
            <w:r>
              <w:rPr>
                <w:rFonts w:hint="eastAsia" w:asciiTheme="minorEastAsia" w:hAnsiTheme="minorEastAsia" w:eastAsiaTheme="minorEastAsia" w:cstheme="minorEastAsia"/>
                <w:kern w:val="0"/>
                <w:szCs w:val="21"/>
                <w:lang w:bidi="ar"/>
              </w:rPr>
              <w:t>支持邮箱类应用程序解析，包括但不限于Foxmail、邮箱大师、Office Outlook等</w:t>
            </w:r>
          </w:p>
        </w:tc>
        <w:tc>
          <w:tcPr>
            <w:tcW w:w="77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38"/>
              </w:numPr>
              <w:jc w:val="center"/>
              <w:textAlignment w:val="center"/>
              <w:rPr>
                <w:rFonts w:asciiTheme="minorEastAsia" w:hAnsiTheme="minorEastAsia" w:eastAsiaTheme="minorEastAsia" w:cstheme="minorEastAsia"/>
                <w:bCs/>
                <w:color w:val="000000"/>
                <w:kern w:val="0"/>
                <w:szCs w:val="21"/>
                <w:lang w:bidi="ar"/>
              </w:rPr>
            </w:pPr>
          </w:p>
        </w:tc>
        <w:tc>
          <w:tcPr>
            <w:tcW w:w="1129"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Theme="minorEastAsia" w:hAnsiTheme="minorEastAsia" w:eastAsiaTheme="minorEastAsia" w:cstheme="minorEastAsia"/>
                <w:szCs w:val="21"/>
              </w:rPr>
            </w:pPr>
          </w:p>
        </w:tc>
        <w:tc>
          <w:tcPr>
            <w:tcW w:w="2592"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kern w:val="0"/>
                <w:szCs w:val="21"/>
                <w:lang w:bidi="ar"/>
              </w:rPr>
            </w:pPr>
            <w:r>
              <w:rPr>
                <w:rFonts w:hint="eastAsia" w:asciiTheme="minorEastAsia" w:hAnsiTheme="minorEastAsia" w:eastAsiaTheme="minorEastAsia" w:cstheme="minorEastAsia"/>
                <w:kern w:val="0"/>
                <w:szCs w:val="21"/>
                <w:lang w:bidi="ar"/>
              </w:rPr>
              <w:t>支持即时通讯类应用程序聊天信息、好友信息、群组信息的解析，包括但不限于QQ、微信、钉钉、telegram、skype等</w:t>
            </w:r>
          </w:p>
        </w:tc>
        <w:tc>
          <w:tcPr>
            <w:tcW w:w="77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38"/>
              </w:numPr>
              <w:jc w:val="center"/>
              <w:textAlignment w:val="center"/>
              <w:rPr>
                <w:rFonts w:asciiTheme="minorEastAsia" w:hAnsiTheme="minorEastAsia" w:eastAsiaTheme="minorEastAsia" w:cstheme="minorEastAsia"/>
                <w:bCs/>
                <w:color w:val="000000"/>
                <w:kern w:val="0"/>
                <w:szCs w:val="21"/>
                <w:lang w:bidi="ar"/>
              </w:rPr>
            </w:pPr>
          </w:p>
        </w:tc>
        <w:tc>
          <w:tcPr>
            <w:tcW w:w="1129"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Theme="minorEastAsia" w:hAnsiTheme="minorEastAsia" w:eastAsiaTheme="minorEastAsia" w:cstheme="minorEastAsia"/>
                <w:szCs w:val="21"/>
              </w:rPr>
            </w:pPr>
          </w:p>
        </w:tc>
        <w:tc>
          <w:tcPr>
            <w:tcW w:w="2592"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kern w:val="0"/>
                <w:szCs w:val="21"/>
                <w:lang w:bidi="ar"/>
              </w:rPr>
            </w:pPr>
            <w:r>
              <w:rPr>
                <w:rFonts w:hint="eastAsia" w:asciiTheme="minorEastAsia" w:hAnsiTheme="minorEastAsia" w:eastAsiaTheme="minorEastAsia" w:cstheme="minorEastAsia"/>
                <w:kern w:val="0"/>
                <w:szCs w:val="21"/>
                <w:lang w:bidi="ar"/>
              </w:rPr>
              <w:t>支持网络下载类应用程序下载记录的解析，包括但不限于迅雷、网际快车、电驴、超级旋风、比特彗星、FileZilla、BitTorrent等</w:t>
            </w:r>
          </w:p>
        </w:tc>
        <w:tc>
          <w:tcPr>
            <w:tcW w:w="77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38"/>
              </w:numPr>
              <w:jc w:val="center"/>
              <w:textAlignment w:val="center"/>
              <w:rPr>
                <w:rFonts w:asciiTheme="minorEastAsia" w:hAnsiTheme="minorEastAsia" w:eastAsiaTheme="minorEastAsia" w:cstheme="minorEastAsia"/>
                <w:bCs/>
                <w:color w:val="000000"/>
                <w:kern w:val="0"/>
                <w:szCs w:val="21"/>
                <w:lang w:bidi="ar"/>
              </w:rPr>
            </w:pPr>
          </w:p>
        </w:tc>
        <w:tc>
          <w:tcPr>
            <w:tcW w:w="1129" w:type="pct"/>
            <w:tcBorders>
              <w:top w:val="single" w:color="auto" w:sz="4" w:space="0"/>
              <w:left w:val="single" w:color="auto" w:sz="4" w:space="0"/>
              <w:bottom w:val="single" w:color="auto" w:sz="4" w:space="0"/>
              <w:right w:val="single" w:color="auto" w:sz="4" w:space="0"/>
            </w:tcBorders>
            <w:shd w:val="clear" w:color="auto" w:fill="auto"/>
            <w:noWrap/>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物联网管理API</w:t>
            </w:r>
          </w:p>
        </w:tc>
        <w:tc>
          <w:tcPr>
            <w:tcW w:w="2592"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支持开放的物联网管理API接口，可供实验室管理系统采集设备工作状态和工作量</w:t>
            </w:r>
          </w:p>
        </w:tc>
        <w:tc>
          <w:tcPr>
            <w:tcW w:w="77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w:t>
            </w:r>
          </w:p>
        </w:tc>
      </w:tr>
    </w:tbl>
    <w:p>
      <w:pPr>
        <w:rPr>
          <w:rFonts w:asciiTheme="minorEastAsia" w:hAnsiTheme="minorEastAsia" w:eastAsiaTheme="minorEastAsia" w:cstheme="minorEastAsia"/>
          <w:bCs/>
          <w:szCs w:val="21"/>
        </w:rPr>
      </w:pPr>
    </w:p>
    <w:p>
      <w:pPr>
        <w:pStyle w:val="5"/>
        <w:spacing w:before="156"/>
        <w:rPr>
          <w:rFonts w:asciiTheme="minorEastAsia" w:hAnsiTheme="minorEastAsia" w:eastAsiaTheme="minorEastAsia" w:cstheme="minorEastAsia"/>
          <w:bCs w:val="0"/>
          <w:szCs w:val="21"/>
        </w:rPr>
      </w:pPr>
      <w:r>
        <w:rPr>
          <w:rFonts w:hint="eastAsia" w:asciiTheme="minorEastAsia" w:hAnsiTheme="minorEastAsia" w:eastAsiaTheme="minorEastAsia" w:cstheme="minorEastAsia"/>
          <w:bCs w:val="0"/>
          <w:szCs w:val="21"/>
        </w:rPr>
        <w:t>第1包 电子物证现场提取设备</w:t>
      </w:r>
      <w:r>
        <w:rPr>
          <w:rFonts w:hint="default" w:ascii="Times New Roman" w:hAnsi="Times New Roman" w:cs="Times New Roman" w:eastAsiaTheme="minorEastAsia"/>
          <w:bCs w:val="0"/>
          <w:szCs w:val="21"/>
        </w:rPr>
        <w:t>Ⅱ</w:t>
      </w:r>
    </w:p>
    <w:tbl>
      <w:tblPr>
        <w:tblStyle w:val="82"/>
        <w:tblW w:w="446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3"/>
        <w:gridCol w:w="1438"/>
        <w:gridCol w:w="4119"/>
        <w:gridCol w:w="12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序号</w:t>
            </w:r>
          </w:p>
        </w:tc>
        <w:tc>
          <w:tcPr>
            <w:tcW w:w="945"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指标项</w:t>
            </w:r>
          </w:p>
        </w:tc>
        <w:tc>
          <w:tcPr>
            <w:tcW w:w="2707" w:type="pct"/>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技术要求</w:t>
            </w:r>
          </w:p>
        </w:tc>
        <w:tc>
          <w:tcPr>
            <w:tcW w:w="828" w:type="pct"/>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证明材料要求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74"/>
              <w:numPr>
                <w:ilvl w:val="0"/>
                <w:numId w:val="39"/>
              </w:numPr>
              <w:spacing w:beforeAutospacing="0" w:afterAutospacing="0"/>
              <w:jc w:val="center"/>
              <w:rPr>
                <w:rFonts w:asciiTheme="minorEastAsia" w:hAnsiTheme="minorEastAsia" w:eastAsiaTheme="minorEastAsia" w:cstheme="minorEastAsia"/>
                <w:bCs/>
                <w:sz w:val="21"/>
                <w:szCs w:val="21"/>
              </w:rPr>
            </w:pPr>
          </w:p>
        </w:tc>
        <w:tc>
          <w:tcPr>
            <w:tcW w:w="94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处理器</w:t>
            </w:r>
          </w:p>
        </w:tc>
        <w:tc>
          <w:tcPr>
            <w:tcW w:w="2707" w:type="pct"/>
            <w:tcBorders>
              <w:top w:val="single" w:color="auto" w:sz="4" w:space="0"/>
              <w:left w:val="single" w:color="auto" w:sz="4" w:space="0"/>
              <w:bottom w:val="single" w:color="auto" w:sz="4" w:space="0"/>
              <w:right w:val="single" w:color="auto" w:sz="4" w:space="0"/>
            </w:tcBorders>
            <w:shd w:val="clear" w:color="auto" w:fill="auto"/>
          </w:tcPr>
          <w:p>
            <w:pPr>
              <w:snapToGrid w:val="0"/>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不低于6核心12线程，主频不低于2.6GHz</w:t>
            </w:r>
          </w:p>
        </w:tc>
        <w:tc>
          <w:tcPr>
            <w:tcW w:w="828" w:type="pct"/>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74"/>
              <w:numPr>
                <w:ilvl w:val="0"/>
                <w:numId w:val="39"/>
              </w:numPr>
              <w:spacing w:beforeAutospacing="0" w:afterAutospacing="0"/>
              <w:jc w:val="center"/>
              <w:rPr>
                <w:rFonts w:asciiTheme="minorEastAsia" w:hAnsiTheme="minorEastAsia" w:eastAsiaTheme="minorEastAsia" w:cstheme="minorEastAsia"/>
                <w:bCs/>
                <w:sz w:val="21"/>
                <w:szCs w:val="21"/>
              </w:rPr>
            </w:pPr>
          </w:p>
        </w:tc>
        <w:tc>
          <w:tcPr>
            <w:tcW w:w="94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内存</w:t>
            </w:r>
          </w:p>
        </w:tc>
        <w:tc>
          <w:tcPr>
            <w:tcW w:w="2707" w:type="pct"/>
            <w:tcBorders>
              <w:top w:val="single" w:color="auto" w:sz="4" w:space="0"/>
              <w:left w:val="single" w:color="auto" w:sz="4" w:space="0"/>
              <w:bottom w:val="single" w:color="auto" w:sz="4" w:space="0"/>
              <w:right w:val="single" w:color="auto" w:sz="4" w:space="0"/>
            </w:tcBorders>
            <w:shd w:val="clear" w:color="auto" w:fill="auto"/>
          </w:tcPr>
          <w:p>
            <w:pPr>
              <w:snapToGrid w:val="0"/>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不低于32GB内存</w:t>
            </w:r>
          </w:p>
        </w:tc>
        <w:tc>
          <w:tcPr>
            <w:tcW w:w="828" w:type="pct"/>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74"/>
              <w:numPr>
                <w:ilvl w:val="0"/>
                <w:numId w:val="39"/>
              </w:numPr>
              <w:spacing w:beforeAutospacing="0" w:afterAutospacing="0"/>
              <w:jc w:val="center"/>
              <w:rPr>
                <w:rFonts w:asciiTheme="minorEastAsia" w:hAnsiTheme="minorEastAsia" w:eastAsiaTheme="minorEastAsia" w:cstheme="minorEastAsia"/>
                <w:bCs/>
                <w:sz w:val="21"/>
                <w:szCs w:val="21"/>
              </w:rPr>
            </w:pPr>
          </w:p>
        </w:tc>
        <w:tc>
          <w:tcPr>
            <w:tcW w:w="94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存储</w:t>
            </w:r>
          </w:p>
        </w:tc>
        <w:tc>
          <w:tcPr>
            <w:tcW w:w="2707" w:type="pct"/>
            <w:tcBorders>
              <w:top w:val="single" w:color="auto" w:sz="4" w:space="0"/>
              <w:left w:val="single" w:color="auto" w:sz="4" w:space="0"/>
              <w:bottom w:val="single" w:color="auto" w:sz="4" w:space="0"/>
              <w:right w:val="single" w:color="auto" w:sz="4" w:space="0"/>
            </w:tcBorders>
            <w:shd w:val="clear" w:color="auto" w:fill="auto"/>
          </w:tcPr>
          <w:p>
            <w:pPr>
              <w:snapToGrid w:val="0"/>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不低于1.8TBSSD硬盘</w:t>
            </w:r>
          </w:p>
        </w:tc>
        <w:tc>
          <w:tcPr>
            <w:tcW w:w="828" w:type="pct"/>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74"/>
              <w:numPr>
                <w:ilvl w:val="0"/>
                <w:numId w:val="39"/>
              </w:numPr>
              <w:spacing w:beforeAutospacing="0" w:afterAutospacing="0"/>
              <w:jc w:val="center"/>
              <w:rPr>
                <w:rFonts w:asciiTheme="minorEastAsia" w:hAnsiTheme="minorEastAsia" w:eastAsiaTheme="minorEastAsia" w:cstheme="minorEastAsia"/>
                <w:bCs/>
                <w:sz w:val="21"/>
                <w:szCs w:val="21"/>
              </w:rPr>
            </w:pPr>
          </w:p>
        </w:tc>
        <w:tc>
          <w:tcPr>
            <w:tcW w:w="94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显卡</w:t>
            </w:r>
          </w:p>
        </w:tc>
        <w:tc>
          <w:tcPr>
            <w:tcW w:w="2707" w:type="pct"/>
            <w:tcBorders>
              <w:top w:val="single" w:color="auto" w:sz="4" w:space="0"/>
              <w:left w:val="single" w:color="auto" w:sz="4" w:space="0"/>
              <w:bottom w:val="single" w:color="auto" w:sz="4" w:space="0"/>
              <w:right w:val="single" w:color="auto" w:sz="4" w:space="0"/>
            </w:tcBorders>
            <w:shd w:val="clear" w:color="auto" w:fill="auto"/>
          </w:tcPr>
          <w:p>
            <w:pPr>
              <w:snapToGrid w:val="0"/>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CPU集成显卡</w:t>
            </w:r>
          </w:p>
        </w:tc>
        <w:tc>
          <w:tcPr>
            <w:tcW w:w="828" w:type="pct"/>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74"/>
              <w:numPr>
                <w:ilvl w:val="0"/>
                <w:numId w:val="39"/>
              </w:numPr>
              <w:spacing w:beforeAutospacing="0" w:afterAutospacing="0"/>
              <w:jc w:val="center"/>
              <w:rPr>
                <w:rFonts w:asciiTheme="minorEastAsia" w:hAnsiTheme="minorEastAsia" w:eastAsiaTheme="minorEastAsia" w:cstheme="minorEastAsia"/>
                <w:bCs/>
                <w:sz w:val="21"/>
                <w:szCs w:val="21"/>
              </w:rPr>
            </w:pPr>
          </w:p>
        </w:tc>
        <w:tc>
          <w:tcPr>
            <w:tcW w:w="94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显示屏</w:t>
            </w:r>
          </w:p>
        </w:tc>
        <w:tc>
          <w:tcPr>
            <w:tcW w:w="2707" w:type="pct"/>
            <w:tcBorders>
              <w:top w:val="single" w:color="auto" w:sz="4" w:space="0"/>
              <w:left w:val="single" w:color="auto" w:sz="4" w:space="0"/>
              <w:bottom w:val="single" w:color="auto" w:sz="4" w:space="0"/>
              <w:right w:val="single" w:color="auto" w:sz="4" w:space="0"/>
            </w:tcBorders>
            <w:shd w:val="clear" w:color="auto" w:fill="auto"/>
          </w:tcPr>
          <w:p>
            <w:pPr>
              <w:snapToGrid w:val="0"/>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不低于11.6英寸电容触控显示屏</w:t>
            </w:r>
          </w:p>
        </w:tc>
        <w:tc>
          <w:tcPr>
            <w:tcW w:w="828" w:type="pct"/>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74"/>
              <w:numPr>
                <w:ilvl w:val="0"/>
                <w:numId w:val="39"/>
              </w:numPr>
              <w:spacing w:beforeAutospacing="0" w:afterAutospacing="0"/>
              <w:jc w:val="center"/>
              <w:rPr>
                <w:rFonts w:asciiTheme="minorEastAsia" w:hAnsiTheme="minorEastAsia" w:eastAsiaTheme="minorEastAsia" w:cstheme="minorEastAsia"/>
                <w:bCs/>
                <w:sz w:val="21"/>
                <w:szCs w:val="21"/>
              </w:rPr>
            </w:pPr>
          </w:p>
        </w:tc>
        <w:tc>
          <w:tcPr>
            <w:tcW w:w="94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接口</w:t>
            </w:r>
          </w:p>
        </w:tc>
        <w:tc>
          <w:tcPr>
            <w:tcW w:w="2707" w:type="pct"/>
            <w:tcBorders>
              <w:top w:val="single" w:color="auto" w:sz="4" w:space="0"/>
              <w:left w:val="single" w:color="auto" w:sz="4" w:space="0"/>
              <w:bottom w:val="single" w:color="auto" w:sz="4" w:space="0"/>
              <w:right w:val="single" w:color="auto" w:sz="4" w:space="0"/>
            </w:tcBorders>
            <w:shd w:val="clear" w:color="auto" w:fill="auto"/>
          </w:tcPr>
          <w:p>
            <w:pPr>
              <w:snapToGrid w:val="0"/>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不少于1个SATA/SAS硬盘只读仓、1个SATA/SAS硬盘读写仓；1个USB3.0只读接口，3个手机取证专用USB接口，1个路由器专用USB口，3个普通USB3.0读写口，1个USB3.1Type-C接口，1个M.2接口</w:t>
            </w:r>
          </w:p>
        </w:tc>
        <w:tc>
          <w:tcPr>
            <w:tcW w:w="828" w:type="pct"/>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74"/>
              <w:numPr>
                <w:ilvl w:val="0"/>
                <w:numId w:val="39"/>
              </w:numPr>
              <w:spacing w:beforeAutospacing="0" w:afterAutospacing="0"/>
              <w:jc w:val="center"/>
              <w:rPr>
                <w:rFonts w:asciiTheme="minorEastAsia" w:hAnsiTheme="minorEastAsia" w:eastAsiaTheme="minorEastAsia" w:cstheme="minorEastAsia"/>
                <w:bCs/>
                <w:sz w:val="21"/>
                <w:szCs w:val="21"/>
              </w:rPr>
            </w:pPr>
          </w:p>
        </w:tc>
        <w:tc>
          <w:tcPr>
            <w:tcW w:w="94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网络</w:t>
            </w:r>
          </w:p>
        </w:tc>
        <w:tc>
          <w:tcPr>
            <w:tcW w:w="2707" w:type="pct"/>
            <w:tcBorders>
              <w:top w:val="single" w:color="auto" w:sz="4" w:space="0"/>
              <w:left w:val="single" w:color="auto" w:sz="4" w:space="0"/>
              <w:bottom w:val="single" w:color="auto" w:sz="4" w:space="0"/>
              <w:right w:val="single" w:color="auto" w:sz="4" w:space="0"/>
            </w:tcBorders>
            <w:shd w:val="clear" w:color="auto" w:fill="auto"/>
          </w:tcPr>
          <w:p>
            <w:pPr>
              <w:snapToGrid w:val="0"/>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不少于1个万兆光口，1个千兆电口</w:t>
            </w:r>
          </w:p>
        </w:tc>
        <w:tc>
          <w:tcPr>
            <w:tcW w:w="828" w:type="pct"/>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74"/>
              <w:numPr>
                <w:ilvl w:val="0"/>
                <w:numId w:val="39"/>
              </w:numPr>
              <w:spacing w:beforeAutospacing="0" w:afterAutospacing="0"/>
              <w:jc w:val="center"/>
              <w:rPr>
                <w:rFonts w:asciiTheme="minorEastAsia" w:hAnsiTheme="minorEastAsia" w:eastAsiaTheme="minorEastAsia" w:cstheme="minorEastAsia"/>
                <w:bCs/>
                <w:sz w:val="21"/>
                <w:szCs w:val="21"/>
              </w:rPr>
            </w:pPr>
          </w:p>
        </w:tc>
        <w:tc>
          <w:tcPr>
            <w:tcW w:w="94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电池</w:t>
            </w:r>
          </w:p>
        </w:tc>
        <w:tc>
          <w:tcPr>
            <w:tcW w:w="2707" w:type="pct"/>
            <w:tcBorders>
              <w:top w:val="single" w:color="auto" w:sz="4" w:space="0"/>
              <w:left w:val="single" w:color="auto" w:sz="4" w:space="0"/>
              <w:bottom w:val="single" w:color="auto" w:sz="4" w:space="0"/>
              <w:right w:val="single" w:color="auto" w:sz="4" w:space="0"/>
            </w:tcBorders>
            <w:shd w:val="clear" w:color="auto" w:fill="auto"/>
          </w:tcPr>
          <w:p>
            <w:pPr>
              <w:snapToGrid w:val="0"/>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内置电池，容量不低于9000mAh</w:t>
            </w:r>
          </w:p>
        </w:tc>
        <w:tc>
          <w:tcPr>
            <w:tcW w:w="828" w:type="pct"/>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74"/>
              <w:numPr>
                <w:ilvl w:val="0"/>
                <w:numId w:val="39"/>
              </w:numPr>
              <w:spacing w:beforeAutospacing="0" w:afterAutospacing="0"/>
              <w:jc w:val="center"/>
              <w:rPr>
                <w:rFonts w:asciiTheme="minorEastAsia" w:hAnsiTheme="minorEastAsia" w:eastAsiaTheme="minorEastAsia" w:cstheme="minorEastAsia"/>
                <w:bCs/>
                <w:sz w:val="21"/>
                <w:szCs w:val="21"/>
              </w:rPr>
            </w:pPr>
          </w:p>
        </w:tc>
        <w:tc>
          <w:tcPr>
            <w:tcW w:w="94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硬盘复制</w:t>
            </w:r>
          </w:p>
        </w:tc>
        <w:tc>
          <w:tcPr>
            <w:tcW w:w="2707" w:type="pct"/>
            <w:tcBorders>
              <w:top w:val="single" w:color="auto" w:sz="4" w:space="0"/>
              <w:left w:val="single" w:color="auto" w:sz="4" w:space="0"/>
              <w:bottom w:val="single" w:color="auto" w:sz="4" w:space="0"/>
              <w:right w:val="single" w:color="auto" w:sz="4" w:space="0"/>
            </w:tcBorders>
            <w:shd w:val="clear" w:color="auto" w:fill="auto"/>
          </w:tcPr>
          <w:p>
            <w:pPr>
              <w:pStyle w:val="74"/>
              <w:numPr>
                <w:ilvl w:val="0"/>
                <w:numId w:val="40"/>
              </w:numPr>
              <w:spacing w:beforeAutospacing="0" w:afterAutospacing="0"/>
              <w:jc w:val="both"/>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bidi="ar"/>
              </w:rPr>
              <w:t>支持一对一复制，并提供SATA/SAS免接线直插式只读接口；</w:t>
            </w:r>
          </w:p>
          <w:p>
            <w:pPr>
              <w:pStyle w:val="74"/>
              <w:numPr>
                <w:ilvl w:val="0"/>
                <w:numId w:val="40"/>
              </w:numPr>
              <w:spacing w:beforeAutospacing="0" w:afterAutospacing="0"/>
              <w:jc w:val="both"/>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bidi="ar"/>
              </w:rPr>
              <w:t>支持对目标计算机进行不拆机硬盘镜像；</w:t>
            </w:r>
          </w:p>
          <w:p>
            <w:pPr>
              <w:pStyle w:val="74"/>
              <w:numPr>
                <w:ilvl w:val="0"/>
                <w:numId w:val="40"/>
              </w:numPr>
              <w:spacing w:beforeAutospacing="0" w:afterAutospacing="0"/>
              <w:jc w:val="both"/>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bidi="ar"/>
              </w:rPr>
              <w:t>具备高性能的镜像功能，需支持MD5，SHA1，SHA-256等格式的校验，支持DD镜像、E01镜像、AFF镜像文件制作功能</w:t>
            </w:r>
          </w:p>
        </w:tc>
        <w:tc>
          <w:tcPr>
            <w:tcW w:w="828" w:type="pct"/>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74"/>
              <w:numPr>
                <w:ilvl w:val="0"/>
                <w:numId w:val="39"/>
              </w:numPr>
              <w:spacing w:beforeAutospacing="0" w:afterAutospacing="0"/>
              <w:jc w:val="center"/>
              <w:rPr>
                <w:rFonts w:asciiTheme="minorEastAsia" w:hAnsiTheme="minorEastAsia" w:eastAsiaTheme="minorEastAsia" w:cstheme="minorEastAsia"/>
                <w:bCs/>
                <w:sz w:val="21"/>
                <w:szCs w:val="21"/>
              </w:rPr>
            </w:pPr>
          </w:p>
        </w:tc>
        <w:tc>
          <w:tcPr>
            <w:tcW w:w="94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数据恢复</w:t>
            </w:r>
          </w:p>
        </w:tc>
        <w:tc>
          <w:tcPr>
            <w:tcW w:w="2707" w:type="pct"/>
            <w:tcBorders>
              <w:top w:val="single" w:color="auto" w:sz="4" w:space="0"/>
              <w:left w:val="single" w:color="auto" w:sz="4" w:space="0"/>
              <w:bottom w:val="single" w:color="auto" w:sz="4" w:space="0"/>
              <w:right w:val="single" w:color="auto" w:sz="4" w:space="0"/>
            </w:tcBorders>
            <w:shd w:val="clear" w:color="auto" w:fill="auto"/>
          </w:tcPr>
          <w:p>
            <w:pPr>
              <w:pStyle w:val="74"/>
              <w:numPr>
                <w:ilvl w:val="0"/>
                <w:numId w:val="41"/>
              </w:numPr>
              <w:spacing w:beforeAutospacing="0" w:afterAutospacing="0"/>
              <w:jc w:val="both"/>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bidi="ar"/>
              </w:rPr>
              <w:t>支持简单删除文件恢复、格式化后的文件恢复、被删除的磁盘分区恢复、根据文件头尾特征对被删除文件进行恢复；</w:t>
            </w:r>
          </w:p>
          <w:p>
            <w:pPr>
              <w:pStyle w:val="74"/>
              <w:numPr>
                <w:ilvl w:val="0"/>
                <w:numId w:val="41"/>
              </w:numPr>
              <w:spacing w:beforeAutospacing="0" w:afterAutospacing="0"/>
              <w:jc w:val="both"/>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bidi="ar"/>
              </w:rPr>
              <w:t>支持修复损坏的文件，包括视频、音频、图片、PDF及压缩文档等</w:t>
            </w:r>
          </w:p>
        </w:tc>
        <w:tc>
          <w:tcPr>
            <w:tcW w:w="828" w:type="pct"/>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74"/>
              <w:numPr>
                <w:ilvl w:val="0"/>
                <w:numId w:val="39"/>
              </w:numPr>
              <w:spacing w:beforeAutospacing="0" w:afterAutospacing="0"/>
              <w:jc w:val="center"/>
              <w:rPr>
                <w:rFonts w:asciiTheme="minorEastAsia" w:hAnsiTheme="minorEastAsia" w:eastAsiaTheme="minorEastAsia" w:cstheme="minorEastAsia"/>
                <w:bCs/>
                <w:sz w:val="21"/>
                <w:szCs w:val="21"/>
              </w:rPr>
            </w:pPr>
          </w:p>
        </w:tc>
        <w:tc>
          <w:tcPr>
            <w:tcW w:w="94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计算机取证</w:t>
            </w:r>
          </w:p>
        </w:tc>
        <w:tc>
          <w:tcPr>
            <w:tcW w:w="2707" w:type="pct"/>
            <w:tcBorders>
              <w:top w:val="single" w:color="auto" w:sz="4" w:space="0"/>
              <w:left w:val="single" w:color="auto" w:sz="4" w:space="0"/>
              <w:bottom w:val="single" w:color="auto" w:sz="4" w:space="0"/>
              <w:right w:val="single" w:color="auto" w:sz="4" w:space="0"/>
            </w:tcBorders>
            <w:shd w:val="clear" w:color="auto" w:fill="auto"/>
          </w:tcPr>
          <w:p>
            <w:pPr>
              <w:pStyle w:val="74"/>
              <w:numPr>
                <w:ilvl w:val="1"/>
                <w:numId w:val="42"/>
              </w:numPr>
              <w:spacing w:beforeAutospacing="0" w:afterAutospacing="0"/>
              <w:jc w:val="both"/>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bidi="ar"/>
              </w:rPr>
              <w:t>支持windows、macOS系统的系统痕迹分析、USB设备使用记录、应用程序运行痕迹、用户最近访问记录、回收站删除记录、远程桌面以及用户痕迹解析</w:t>
            </w:r>
          </w:p>
        </w:tc>
        <w:tc>
          <w:tcPr>
            <w:tcW w:w="828" w:type="pct"/>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74"/>
              <w:numPr>
                <w:ilvl w:val="0"/>
                <w:numId w:val="39"/>
              </w:numPr>
              <w:spacing w:beforeAutospacing="0" w:afterAutospacing="0"/>
              <w:jc w:val="center"/>
              <w:rPr>
                <w:rFonts w:asciiTheme="minorEastAsia" w:hAnsiTheme="minorEastAsia" w:eastAsiaTheme="minorEastAsia" w:cstheme="minorEastAsia"/>
                <w:bCs/>
                <w:sz w:val="21"/>
                <w:szCs w:val="21"/>
              </w:rPr>
            </w:pPr>
          </w:p>
        </w:tc>
        <w:tc>
          <w:tcPr>
            <w:tcW w:w="94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szCs w:val="21"/>
              </w:rPr>
            </w:pPr>
          </w:p>
        </w:tc>
        <w:tc>
          <w:tcPr>
            <w:tcW w:w="2707" w:type="pct"/>
            <w:tcBorders>
              <w:top w:val="single" w:color="auto" w:sz="4" w:space="0"/>
              <w:left w:val="single" w:color="auto" w:sz="4" w:space="0"/>
              <w:bottom w:val="single" w:color="auto" w:sz="4" w:space="0"/>
              <w:right w:val="single" w:color="auto" w:sz="4" w:space="0"/>
            </w:tcBorders>
            <w:shd w:val="clear" w:color="auto" w:fill="auto"/>
          </w:tcPr>
          <w:p>
            <w:pPr>
              <w:pStyle w:val="74"/>
              <w:numPr>
                <w:ilvl w:val="1"/>
                <w:numId w:val="42"/>
              </w:numPr>
              <w:spacing w:beforeAutospacing="0" w:afterAutospacing="0"/>
              <w:jc w:val="both"/>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bidi="ar"/>
              </w:rPr>
              <w:t>支持Linux、UOS、银河麒麟系统的系统信息解析、USB设备使用记录、终端命令记录、内置应用以及用户痕迹解析</w:t>
            </w:r>
          </w:p>
        </w:tc>
        <w:tc>
          <w:tcPr>
            <w:tcW w:w="828" w:type="pct"/>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74"/>
              <w:numPr>
                <w:ilvl w:val="0"/>
                <w:numId w:val="39"/>
              </w:numPr>
              <w:spacing w:beforeAutospacing="0" w:afterAutospacing="0"/>
              <w:jc w:val="center"/>
              <w:rPr>
                <w:rFonts w:asciiTheme="minorEastAsia" w:hAnsiTheme="minorEastAsia" w:eastAsiaTheme="minorEastAsia" w:cstheme="minorEastAsia"/>
                <w:bCs/>
                <w:sz w:val="21"/>
                <w:szCs w:val="21"/>
              </w:rPr>
            </w:pPr>
          </w:p>
        </w:tc>
        <w:tc>
          <w:tcPr>
            <w:tcW w:w="94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szCs w:val="21"/>
              </w:rPr>
            </w:pPr>
          </w:p>
        </w:tc>
        <w:tc>
          <w:tcPr>
            <w:tcW w:w="2707" w:type="pct"/>
            <w:tcBorders>
              <w:top w:val="single" w:color="auto" w:sz="4" w:space="0"/>
              <w:left w:val="single" w:color="auto" w:sz="4" w:space="0"/>
              <w:bottom w:val="single" w:color="auto" w:sz="4" w:space="0"/>
              <w:right w:val="single" w:color="auto" w:sz="4" w:space="0"/>
            </w:tcBorders>
            <w:shd w:val="clear" w:color="auto" w:fill="auto"/>
          </w:tcPr>
          <w:p>
            <w:pPr>
              <w:pStyle w:val="74"/>
              <w:numPr>
                <w:ilvl w:val="1"/>
                <w:numId w:val="42"/>
              </w:numPr>
              <w:spacing w:beforeAutospacing="0" w:afterAutospacing="0"/>
              <w:jc w:val="both"/>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bidi="ar"/>
              </w:rPr>
              <w:t>支持邮箱类应用程序解析，包括但不限于Foxmail、邮箱大师、OfficeOutlook等</w:t>
            </w:r>
          </w:p>
        </w:tc>
        <w:tc>
          <w:tcPr>
            <w:tcW w:w="828" w:type="pct"/>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74"/>
              <w:numPr>
                <w:ilvl w:val="0"/>
                <w:numId w:val="39"/>
              </w:numPr>
              <w:spacing w:beforeAutospacing="0" w:afterAutospacing="0"/>
              <w:jc w:val="center"/>
              <w:rPr>
                <w:rFonts w:asciiTheme="minorEastAsia" w:hAnsiTheme="minorEastAsia" w:eastAsiaTheme="minorEastAsia" w:cstheme="minorEastAsia"/>
                <w:bCs/>
                <w:sz w:val="21"/>
                <w:szCs w:val="21"/>
              </w:rPr>
            </w:pPr>
          </w:p>
        </w:tc>
        <w:tc>
          <w:tcPr>
            <w:tcW w:w="94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szCs w:val="21"/>
              </w:rPr>
            </w:pPr>
          </w:p>
        </w:tc>
        <w:tc>
          <w:tcPr>
            <w:tcW w:w="2707" w:type="pct"/>
            <w:tcBorders>
              <w:top w:val="single" w:color="auto" w:sz="4" w:space="0"/>
              <w:left w:val="single" w:color="auto" w:sz="4" w:space="0"/>
              <w:bottom w:val="single" w:color="auto" w:sz="4" w:space="0"/>
              <w:right w:val="single" w:color="auto" w:sz="4" w:space="0"/>
            </w:tcBorders>
            <w:shd w:val="clear" w:color="auto" w:fill="auto"/>
          </w:tcPr>
          <w:p>
            <w:pPr>
              <w:pStyle w:val="74"/>
              <w:numPr>
                <w:ilvl w:val="1"/>
                <w:numId w:val="42"/>
              </w:numPr>
              <w:spacing w:beforeAutospacing="0" w:afterAutospacing="0"/>
              <w:jc w:val="both"/>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bidi="ar"/>
              </w:rPr>
              <w:t>支持即时通讯类应用程序聊天信息、好友信息、群组信息的解析，包括但不限于QQ、微信、钉钉、telegram、skype等</w:t>
            </w:r>
          </w:p>
        </w:tc>
        <w:tc>
          <w:tcPr>
            <w:tcW w:w="828" w:type="pct"/>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74"/>
              <w:numPr>
                <w:ilvl w:val="0"/>
                <w:numId w:val="39"/>
              </w:numPr>
              <w:spacing w:beforeAutospacing="0" w:afterAutospacing="0"/>
              <w:jc w:val="center"/>
              <w:rPr>
                <w:rFonts w:asciiTheme="minorEastAsia" w:hAnsiTheme="minorEastAsia" w:eastAsiaTheme="minorEastAsia" w:cstheme="minorEastAsia"/>
                <w:bCs/>
                <w:sz w:val="21"/>
                <w:szCs w:val="21"/>
              </w:rPr>
            </w:pPr>
          </w:p>
        </w:tc>
        <w:tc>
          <w:tcPr>
            <w:tcW w:w="94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Wi-Fi取证</w:t>
            </w:r>
          </w:p>
        </w:tc>
        <w:tc>
          <w:tcPr>
            <w:tcW w:w="2707" w:type="pct"/>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支持小米、华为、OPPO、荣耀手机Wi-Fi手机搬家/克隆方式取证</w:t>
            </w:r>
          </w:p>
        </w:tc>
        <w:tc>
          <w:tcPr>
            <w:tcW w:w="828" w:type="pct"/>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74"/>
              <w:numPr>
                <w:ilvl w:val="0"/>
                <w:numId w:val="39"/>
              </w:numPr>
              <w:spacing w:beforeAutospacing="0" w:afterAutospacing="0"/>
              <w:jc w:val="center"/>
              <w:rPr>
                <w:rFonts w:asciiTheme="minorEastAsia" w:hAnsiTheme="minorEastAsia" w:eastAsiaTheme="minorEastAsia" w:cstheme="minorEastAsia"/>
                <w:bCs/>
                <w:sz w:val="21"/>
                <w:szCs w:val="21"/>
              </w:rPr>
            </w:pPr>
          </w:p>
        </w:tc>
        <w:tc>
          <w:tcPr>
            <w:tcW w:w="94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物联网管理API</w:t>
            </w:r>
          </w:p>
        </w:tc>
        <w:tc>
          <w:tcPr>
            <w:tcW w:w="2707" w:type="pct"/>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支持开放的物联网管理API接口，可供实验室管理系统采集设备工作状态和工作量</w:t>
            </w:r>
          </w:p>
        </w:tc>
        <w:tc>
          <w:tcPr>
            <w:tcW w:w="828" w:type="pct"/>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w:t>
            </w:r>
          </w:p>
        </w:tc>
      </w:tr>
    </w:tbl>
    <w:p>
      <w:pPr>
        <w:rPr>
          <w:rFonts w:asciiTheme="minorEastAsia" w:hAnsiTheme="minorEastAsia" w:eastAsiaTheme="minorEastAsia" w:cstheme="minorEastAsia"/>
          <w:bCs/>
          <w:szCs w:val="21"/>
        </w:rPr>
      </w:pPr>
    </w:p>
    <w:p>
      <w:pPr>
        <w:pStyle w:val="5"/>
        <w:spacing w:before="156"/>
        <w:rPr>
          <w:rFonts w:asciiTheme="minorEastAsia" w:hAnsiTheme="minorEastAsia" w:eastAsiaTheme="minorEastAsia" w:cstheme="minorEastAsia"/>
          <w:b/>
          <w:szCs w:val="21"/>
        </w:rPr>
      </w:pPr>
      <w:r>
        <w:rPr>
          <w:rFonts w:hint="eastAsia" w:asciiTheme="minorEastAsia" w:hAnsiTheme="minorEastAsia" w:eastAsiaTheme="minorEastAsia" w:cstheme="minorEastAsia"/>
          <w:bCs w:val="0"/>
          <w:szCs w:val="21"/>
        </w:rPr>
        <w:t xml:space="preserve">第1包 </w:t>
      </w:r>
      <w:r>
        <w:rPr>
          <w:rFonts w:hint="eastAsia" w:asciiTheme="minorEastAsia" w:hAnsiTheme="minorEastAsia" w:eastAsiaTheme="minorEastAsia" w:cstheme="minorEastAsia"/>
          <w:szCs w:val="21"/>
        </w:rPr>
        <w:t>云取证工作站</w:t>
      </w:r>
      <w:r>
        <w:rPr>
          <w:rFonts w:hint="default" w:ascii="Times New Roman" w:hAnsi="Times New Roman" w:cs="Times New Roman" w:eastAsiaTheme="minorEastAsia"/>
          <w:szCs w:val="21"/>
        </w:rPr>
        <w:t>Ⅰ</w:t>
      </w:r>
    </w:p>
    <w:tbl>
      <w:tblPr>
        <w:tblStyle w:val="82"/>
        <w:tblW w:w="456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7"/>
        <w:gridCol w:w="922"/>
        <w:gridCol w:w="4217"/>
        <w:gridCol w:w="14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38"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序号</w:t>
            </w:r>
          </w:p>
        </w:tc>
        <w:tc>
          <w:tcPr>
            <w:tcW w:w="59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指标项</w:t>
            </w:r>
          </w:p>
        </w:tc>
        <w:tc>
          <w:tcPr>
            <w:tcW w:w="2712" w:type="pct"/>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技术要求</w:t>
            </w:r>
          </w:p>
        </w:tc>
        <w:tc>
          <w:tcPr>
            <w:tcW w:w="957" w:type="pct"/>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证明材料要求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74"/>
              <w:numPr>
                <w:ilvl w:val="0"/>
                <w:numId w:val="43"/>
              </w:numPr>
              <w:spacing w:beforeAutospacing="0" w:afterAutospacing="0"/>
              <w:jc w:val="center"/>
              <w:rPr>
                <w:rFonts w:asciiTheme="minorEastAsia" w:hAnsiTheme="minorEastAsia" w:eastAsiaTheme="minorEastAsia" w:cstheme="minorEastAsia"/>
                <w:bCs/>
                <w:sz w:val="21"/>
                <w:szCs w:val="21"/>
              </w:rPr>
            </w:pPr>
          </w:p>
        </w:tc>
        <w:tc>
          <w:tcPr>
            <w:tcW w:w="59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处理器</w:t>
            </w:r>
          </w:p>
        </w:tc>
        <w:tc>
          <w:tcPr>
            <w:tcW w:w="2712" w:type="pct"/>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不低于10核心20线程，主频不低于3.0GHz</w:t>
            </w:r>
          </w:p>
        </w:tc>
        <w:tc>
          <w:tcPr>
            <w:tcW w:w="957"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74"/>
              <w:numPr>
                <w:ilvl w:val="0"/>
                <w:numId w:val="43"/>
              </w:numPr>
              <w:spacing w:beforeAutospacing="0" w:afterAutospacing="0"/>
              <w:jc w:val="center"/>
              <w:rPr>
                <w:rFonts w:asciiTheme="minorEastAsia" w:hAnsiTheme="minorEastAsia" w:eastAsiaTheme="minorEastAsia" w:cstheme="minorEastAsia"/>
                <w:bCs/>
                <w:sz w:val="21"/>
                <w:szCs w:val="21"/>
              </w:rPr>
            </w:pPr>
          </w:p>
        </w:tc>
        <w:tc>
          <w:tcPr>
            <w:tcW w:w="59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内存</w:t>
            </w:r>
          </w:p>
        </w:tc>
        <w:tc>
          <w:tcPr>
            <w:tcW w:w="2712" w:type="pct"/>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不低于64GB内存</w:t>
            </w:r>
          </w:p>
        </w:tc>
        <w:tc>
          <w:tcPr>
            <w:tcW w:w="957"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74"/>
              <w:numPr>
                <w:ilvl w:val="0"/>
                <w:numId w:val="43"/>
              </w:numPr>
              <w:spacing w:beforeAutospacing="0" w:afterAutospacing="0"/>
              <w:jc w:val="center"/>
              <w:rPr>
                <w:rFonts w:asciiTheme="minorEastAsia" w:hAnsiTheme="minorEastAsia" w:eastAsiaTheme="minorEastAsia" w:cstheme="minorEastAsia"/>
                <w:bCs/>
                <w:sz w:val="21"/>
                <w:szCs w:val="21"/>
              </w:rPr>
            </w:pPr>
          </w:p>
        </w:tc>
        <w:tc>
          <w:tcPr>
            <w:tcW w:w="59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存储</w:t>
            </w:r>
          </w:p>
        </w:tc>
        <w:tc>
          <w:tcPr>
            <w:tcW w:w="2712" w:type="pct"/>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不低于7.4TBSSD+10.9TB机械盘</w:t>
            </w:r>
          </w:p>
        </w:tc>
        <w:tc>
          <w:tcPr>
            <w:tcW w:w="957"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74"/>
              <w:numPr>
                <w:ilvl w:val="0"/>
                <w:numId w:val="43"/>
              </w:numPr>
              <w:spacing w:beforeAutospacing="0" w:afterAutospacing="0"/>
              <w:jc w:val="center"/>
              <w:rPr>
                <w:rFonts w:asciiTheme="minorEastAsia" w:hAnsiTheme="minorEastAsia" w:eastAsiaTheme="minorEastAsia" w:cstheme="minorEastAsia"/>
                <w:bCs/>
                <w:sz w:val="21"/>
                <w:szCs w:val="21"/>
              </w:rPr>
            </w:pPr>
          </w:p>
        </w:tc>
        <w:tc>
          <w:tcPr>
            <w:tcW w:w="59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显卡</w:t>
            </w:r>
          </w:p>
        </w:tc>
        <w:tc>
          <w:tcPr>
            <w:tcW w:w="2712" w:type="pct"/>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不低于2G显存</w:t>
            </w:r>
          </w:p>
        </w:tc>
        <w:tc>
          <w:tcPr>
            <w:tcW w:w="957"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74"/>
              <w:numPr>
                <w:ilvl w:val="0"/>
                <w:numId w:val="43"/>
              </w:numPr>
              <w:spacing w:beforeAutospacing="0" w:afterAutospacing="0"/>
              <w:jc w:val="center"/>
              <w:rPr>
                <w:rFonts w:asciiTheme="minorEastAsia" w:hAnsiTheme="minorEastAsia" w:eastAsiaTheme="minorEastAsia" w:cstheme="minorEastAsia"/>
                <w:bCs/>
                <w:sz w:val="21"/>
                <w:szCs w:val="21"/>
              </w:rPr>
            </w:pPr>
          </w:p>
        </w:tc>
        <w:tc>
          <w:tcPr>
            <w:tcW w:w="59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显示器</w:t>
            </w:r>
          </w:p>
        </w:tc>
        <w:tc>
          <w:tcPr>
            <w:tcW w:w="2712" w:type="pct"/>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不低于34英寸显示器</w:t>
            </w:r>
          </w:p>
        </w:tc>
        <w:tc>
          <w:tcPr>
            <w:tcW w:w="957"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74"/>
              <w:numPr>
                <w:ilvl w:val="0"/>
                <w:numId w:val="43"/>
              </w:numPr>
              <w:spacing w:beforeAutospacing="0" w:afterAutospacing="0"/>
              <w:jc w:val="center"/>
              <w:rPr>
                <w:rFonts w:asciiTheme="minorEastAsia" w:hAnsiTheme="minorEastAsia" w:eastAsiaTheme="minorEastAsia" w:cstheme="minorEastAsia"/>
                <w:bCs/>
                <w:sz w:val="21"/>
                <w:szCs w:val="21"/>
              </w:rPr>
            </w:pPr>
          </w:p>
        </w:tc>
        <w:tc>
          <w:tcPr>
            <w:tcW w:w="59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光驱</w:t>
            </w:r>
          </w:p>
        </w:tc>
        <w:tc>
          <w:tcPr>
            <w:tcW w:w="2712" w:type="pct"/>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不少于1个蓝光刻录机</w:t>
            </w:r>
          </w:p>
        </w:tc>
        <w:tc>
          <w:tcPr>
            <w:tcW w:w="957"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74"/>
              <w:numPr>
                <w:ilvl w:val="0"/>
                <w:numId w:val="43"/>
              </w:numPr>
              <w:spacing w:beforeAutospacing="0" w:afterAutospacing="0"/>
              <w:jc w:val="center"/>
              <w:rPr>
                <w:rFonts w:asciiTheme="minorEastAsia" w:hAnsiTheme="minorEastAsia" w:eastAsiaTheme="minorEastAsia" w:cstheme="minorEastAsia"/>
                <w:bCs/>
                <w:sz w:val="21"/>
                <w:szCs w:val="21"/>
              </w:rPr>
            </w:pPr>
          </w:p>
        </w:tc>
        <w:tc>
          <w:tcPr>
            <w:tcW w:w="59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接口</w:t>
            </w:r>
          </w:p>
        </w:tc>
        <w:tc>
          <w:tcPr>
            <w:tcW w:w="2712" w:type="pct"/>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不少于4个SATA/SAS硬盘只读仓、4个SATA/SAS硬盘读写仓；配置只读锁，可满足SATA、USB（2.0/3.0）、IDE和存储卡等各种存储介质只读接入</w:t>
            </w:r>
          </w:p>
        </w:tc>
        <w:tc>
          <w:tcPr>
            <w:tcW w:w="957"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74"/>
              <w:numPr>
                <w:ilvl w:val="0"/>
                <w:numId w:val="43"/>
              </w:numPr>
              <w:spacing w:beforeAutospacing="0" w:afterAutospacing="0"/>
              <w:jc w:val="center"/>
              <w:rPr>
                <w:rFonts w:asciiTheme="minorEastAsia" w:hAnsiTheme="minorEastAsia" w:eastAsiaTheme="minorEastAsia" w:cstheme="minorEastAsia"/>
                <w:bCs/>
                <w:sz w:val="21"/>
                <w:szCs w:val="21"/>
              </w:rPr>
            </w:pPr>
          </w:p>
        </w:tc>
        <w:tc>
          <w:tcPr>
            <w:tcW w:w="59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网络</w:t>
            </w:r>
          </w:p>
        </w:tc>
        <w:tc>
          <w:tcPr>
            <w:tcW w:w="2712" w:type="pct"/>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不少于1个万兆光口、2个千兆电口</w:t>
            </w:r>
          </w:p>
        </w:tc>
        <w:tc>
          <w:tcPr>
            <w:tcW w:w="957"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74"/>
              <w:numPr>
                <w:ilvl w:val="0"/>
                <w:numId w:val="43"/>
              </w:numPr>
              <w:spacing w:beforeAutospacing="0" w:afterAutospacing="0"/>
              <w:jc w:val="center"/>
              <w:rPr>
                <w:rFonts w:asciiTheme="minorEastAsia" w:hAnsiTheme="minorEastAsia" w:eastAsiaTheme="minorEastAsia" w:cstheme="minorEastAsia"/>
                <w:bCs/>
                <w:sz w:val="21"/>
                <w:szCs w:val="21"/>
              </w:rPr>
            </w:pPr>
          </w:p>
        </w:tc>
        <w:tc>
          <w:tcPr>
            <w:tcW w:w="59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网页取证</w:t>
            </w:r>
          </w:p>
        </w:tc>
        <w:tc>
          <w:tcPr>
            <w:tcW w:w="2712" w:type="pct"/>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szCs w:val="21"/>
                <w:lang w:bidi="ar"/>
              </w:rPr>
              <w:t>支持网页模板取证，模板类型至少包括短视频平台、社交平台、网页邮箱等</w:t>
            </w:r>
          </w:p>
        </w:tc>
        <w:tc>
          <w:tcPr>
            <w:tcW w:w="957"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74"/>
              <w:numPr>
                <w:ilvl w:val="0"/>
                <w:numId w:val="43"/>
              </w:numPr>
              <w:spacing w:beforeAutospacing="0" w:afterAutospacing="0"/>
              <w:jc w:val="center"/>
              <w:rPr>
                <w:rFonts w:asciiTheme="minorEastAsia" w:hAnsiTheme="minorEastAsia" w:eastAsiaTheme="minorEastAsia" w:cstheme="minorEastAsia"/>
                <w:bCs/>
                <w:sz w:val="21"/>
                <w:szCs w:val="21"/>
              </w:rPr>
            </w:pPr>
          </w:p>
        </w:tc>
        <w:tc>
          <w:tcPr>
            <w:tcW w:w="59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2712" w:type="pct"/>
            <w:tcBorders>
              <w:top w:val="single" w:color="auto" w:sz="4" w:space="0"/>
              <w:left w:val="single" w:color="auto" w:sz="4" w:space="0"/>
              <w:bottom w:val="single" w:color="auto" w:sz="4" w:space="0"/>
              <w:right w:val="single" w:color="auto" w:sz="4" w:space="0"/>
            </w:tcBorders>
            <w:shd w:val="clear" w:color="auto" w:fill="auto"/>
          </w:tcPr>
          <w:p>
            <w:pPr>
              <w:pStyle w:val="74"/>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Cs/>
                <w:sz w:val="21"/>
                <w:szCs w:val="21"/>
                <w:lang w:bidi="ar"/>
              </w:rPr>
              <w:t>支持取证全程录像及分段保存</w:t>
            </w:r>
          </w:p>
        </w:tc>
        <w:tc>
          <w:tcPr>
            <w:tcW w:w="957"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74"/>
              <w:numPr>
                <w:ilvl w:val="0"/>
                <w:numId w:val="43"/>
              </w:numPr>
              <w:spacing w:beforeAutospacing="0" w:afterAutospacing="0"/>
              <w:jc w:val="center"/>
              <w:rPr>
                <w:rFonts w:asciiTheme="minorEastAsia" w:hAnsiTheme="minorEastAsia" w:eastAsiaTheme="minorEastAsia" w:cstheme="minorEastAsia"/>
                <w:bCs/>
                <w:sz w:val="21"/>
                <w:szCs w:val="21"/>
              </w:rPr>
            </w:pPr>
          </w:p>
        </w:tc>
        <w:tc>
          <w:tcPr>
            <w:tcW w:w="59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2712" w:type="pct"/>
            <w:tcBorders>
              <w:top w:val="single" w:color="auto" w:sz="4" w:space="0"/>
              <w:left w:val="single" w:color="auto" w:sz="4" w:space="0"/>
              <w:bottom w:val="single" w:color="auto" w:sz="4" w:space="0"/>
              <w:right w:val="single" w:color="auto" w:sz="4" w:space="0"/>
            </w:tcBorders>
            <w:shd w:val="clear" w:color="auto" w:fill="auto"/>
          </w:tcPr>
          <w:p>
            <w:pPr>
              <w:pStyle w:val="74"/>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Cs/>
                <w:sz w:val="21"/>
                <w:szCs w:val="21"/>
                <w:lang w:bidi="ar"/>
              </w:rPr>
              <w:t>支持多线程并发取证</w:t>
            </w:r>
          </w:p>
        </w:tc>
        <w:tc>
          <w:tcPr>
            <w:tcW w:w="957"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74"/>
              <w:numPr>
                <w:ilvl w:val="0"/>
                <w:numId w:val="43"/>
              </w:numPr>
              <w:spacing w:beforeAutospacing="0" w:afterAutospacing="0"/>
              <w:jc w:val="center"/>
              <w:rPr>
                <w:rFonts w:asciiTheme="minorEastAsia" w:hAnsiTheme="minorEastAsia" w:eastAsiaTheme="minorEastAsia" w:cstheme="minorEastAsia"/>
                <w:bCs/>
                <w:sz w:val="21"/>
                <w:szCs w:val="21"/>
              </w:rPr>
            </w:pPr>
          </w:p>
        </w:tc>
        <w:tc>
          <w:tcPr>
            <w:tcW w:w="59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2712" w:type="pct"/>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lang w:bidi="ar"/>
              </w:rPr>
              <w:t>支持境外网站取证</w:t>
            </w:r>
          </w:p>
        </w:tc>
        <w:tc>
          <w:tcPr>
            <w:tcW w:w="957"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74"/>
              <w:numPr>
                <w:ilvl w:val="0"/>
                <w:numId w:val="43"/>
              </w:numPr>
              <w:spacing w:beforeAutospacing="0" w:afterAutospacing="0"/>
              <w:jc w:val="center"/>
              <w:rPr>
                <w:rFonts w:asciiTheme="minorEastAsia" w:hAnsiTheme="minorEastAsia" w:eastAsiaTheme="minorEastAsia" w:cstheme="minorEastAsia"/>
                <w:bCs/>
                <w:sz w:val="21"/>
                <w:szCs w:val="21"/>
              </w:rPr>
            </w:pPr>
          </w:p>
        </w:tc>
        <w:tc>
          <w:tcPr>
            <w:tcW w:w="59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服务器取证</w:t>
            </w:r>
          </w:p>
        </w:tc>
        <w:tc>
          <w:tcPr>
            <w:tcW w:w="2712" w:type="pct"/>
            <w:tcBorders>
              <w:top w:val="single" w:color="auto" w:sz="4" w:space="0"/>
              <w:left w:val="single" w:color="auto" w:sz="4" w:space="0"/>
              <w:bottom w:val="single" w:color="auto" w:sz="4" w:space="0"/>
              <w:right w:val="single" w:color="auto" w:sz="4" w:space="0"/>
            </w:tcBorders>
            <w:shd w:val="clear" w:color="auto" w:fill="auto"/>
          </w:tcPr>
          <w:p>
            <w:pPr>
              <w:pStyle w:val="74"/>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bidi="ar"/>
              </w:rPr>
              <w:t>支持Windows（包括：WindowsServer2008\2012\2016）和Linux（包括：CentOS、Redhat、Ubuntu、Debian）服务器</w:t>
            </w:r>
          </w:p>
        </w:tc>
        <w:tc>
          <w:tcPr>
            <w:tcW w:w="957"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74"/>
              <w:numPr>
                <w:ilvl w:val="0"/>
                <w:numId w:val="43"/>
              </w:numPr>
              <w:spacing w:beforeAutospacing="0" w:afterAutospacing="0"/>
              <w:jc w:val="center"/>
              <w:rPr>
                <w:rFonts w:asciiTheme="minorEastAsia" w:hAnsiTheme="minorEastAsia" w:eastAsiaTheme="minorEastAsia" w:cstheme="minorEastAsia"/>
                <w:bCs/>
                <w:sz w:val="21"/>
                <w:szCs w:val="21"/>
              </w:rPr>
            </w:pPr>
          </w:p>
        </w:tc>
        <w:tc>
          <w:tcPr>
            <w:tcW w:w="59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2712" w:type="pct"/>
            <w:tcBorders>
              <w:top w:val="single" w:color="auto" w:sz="4" w:space="0"/>
              <w:left w:val="single" w:color="auto" w:sz="4" w:space="0"/>
              <w:bottom w:val="single" w:color="auto" w:sz="4" w:space="0"/>
              <w:right w:val="single" w:color="auto" w:sz="4" w:space="0"/>
            </w:tcBorders>
            <w:shd w:val="clear" w:color="auto" w:fill="auto"/>
          </w:tcPr>
          <w:p>
            <w:pPr>
              <w:pStyle w:val="74"/>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sz w:val="21"/>
                <w:szCs w:val="21"/>
                <w:lang w:bidi="ar"/>
              </w:rPr>
              <w:t>支持Linux以下信息的获取：系统信息、当前用户、网卡信息、磁盘信息、分区信息、挂载信息、自启动项、进程列表、登录日志、定时任务、防火墙规则以及系统时间、时区信息</w:t>
            </w:r>
          </w:p>
        </w:tc>
        <w:tc>
          <w:tcPr>
            <w:tcW w:w="957"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74"/>
              <w:numPr>
                <w:ilvl w:val="0"/>
                <w:numId w:val="43"/>
              </w:numPr>
              <w:spacing w:beforeAutospacing="0" w:afterAutospacing="0"/>
              <w:jc w:val="center"/>
              <w:rPr>
                <w:rFonts w:asciiTheme="minorEastAsia" w:hAnsiTheme="minorEastAsia" w:eastAsiaTheme="minorEastAsia" w:cstheme="minorEastAsia"/>
                <w:bCs/>
                <w:sz w:val="21"/>
                <w:szCs w:val="21"/>
              </w:rPr>
            </w:pPr>
          </w:p>
        </w:tc>
        <w:tc>
          <w:tcPr>
            <w:tcW w:w="59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2712" w:type="pct"/>
            <w:tcBorders>
              <w:top w:val="single" w:color="auto" w:sz="4" w:space="0"/>
              <w:left w:val="single" w:color="auto" w:sz="4" w:space="0"/>
              <w:bottom w:val="single" w:color="auto" w:sz="4" w:space="0"/>
              <w:right w:val="single" w:color="auto" w:sz="4" w:space="0"/>
            </w:tcBorders>
            <w:shd w:val="clear" w:color="auto" w:fill="auto"/>
          </w:tcPr>
          <w:p>
            <w:pPr>
              <w:pStyle w:val="74"/>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sz w:val="21"/>
                <w:szCs w:val="21"/>
                <w:lang w:bidi="ar"/>
              </w:rPr>
              <w:t>支持Windows以下信息的获取：系统信息、用户列表、系统服务、进程/启动项信息、域名缓存信息、系统时间、时区以及登录日志</w:t>
            </w:r>
          </w:p>
        </w:tc>
        <w:tc>
          <w:tcPr>
            <w:tcW w:w="957"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74"/>
              <w:numPr>
                <w:ilvl w:val="0"/>
                <w:numId w:val="43"/>
              </w:numPr>
              <w:spacing w:beforeAutospacing="0" w:afterAutospacing="0"/>
              <w:jc w:val="center"/>
              <w:rPr>
                <w:rFonts w:asciiTheme="minorEastAsia" w:hAnsiTheme="minorEastAsia" w:eastAsiaTheme="minorEastAsia" w:cstheme="minorEastAsia"/>
                <w:bCs/>
                <w:sz w:val="21"/>
                <w:szCs w:val="21"/>
              </w:rPr>
            </w:pPr>
          </w:p>
        </w:tc>
        <w:tc>
          <w:tcPr>
            <w:tcW w:w="59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物联网管理API</w:t>
            </w:r>
          </w:p>
        </w:tc>
        <w:tc>
          <w:tcPr>
            <w:tcW w:w="2712" w:type="pct"/>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支持开放的物联网管理API接口，可供实验室管理系统采集设备工作状态和工作量</w:t>
            </w:r>
          </w:p>
        </w:tc>
        <w:tc>
          <w:tcPr>
            <w:tcW w:w="957"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w:t>
            </w:r>
          </w:p>
        </w:tc>
      </w:tr>
    </w:tbl>
    <w:p>
      <w:pPr>
        <w:pStyle w:val="5"/>
        <w:spacing w:before="156"/>
        <w:rPr>
          <w:rFonts w:asciiTheme="minorEastAsia" w:hAnsiTheme="minorEastAsia" w:eastAsiaTheme="minorEastAsia" w:cstheme="minorEastAsia"/>
          <w:b/>
          <w:bCs w:val="0"/>
          <w:szCs w:val="21"/>
        </w:rPr>
      </w:pPr>
      <w:r>
        <w:rPr>
          <w:rFonts w:hint="eastAsia" w:asciiTheme="minorEastAsia" w:hAnsiTheme="minorEastAsia" w:eastAsiaTheme="minorEastAsia" w:cstheme="minorEastAsia"/>
          <w:szCs w:val="21"/>
        </w:rPr>
        <w:t>第1包 手机云取证设备</w:t>
      </w:r>
      <w:r>
        <w:rPr>
          <w:rFonts w:hint="default" w:ascii="Times New Roman" w:hAnsi="Times New Roman" w:cs="Times New Roman" w:eastAsiaTheme="minorEastAsia"/>
          <w:szCs w:val="21"/>
        </w:rPr>
        <w:t>Ⅰ</w:t>
      </w:r>
    </w:p>
    <w:tbl>
      <w:tblPr>
        <w:tblStyle w:val="81"/>
        <w:tblW w:w="457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8"/>
        <w:gridCol w:w="1426"/>
        <w:gridCol w:w="4450"/>
        <w:gridCol w:w="1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blHeade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序号</w:t>
            </w:r>
          </w:p>
        </w:tc>
        <w:tc>
          <w:tcPr>
            <w:tcW w:w="91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指标项</w:t>
            </w:r>
          </w:p>
        </w:tc>
        <w:tc>
          <w:tcPr>
            <w:tcW w:w="285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技术要求</w:t>
            </w:r>
          </w:p>
        </w:tc>
        <w:tc>
          <w:tcPr>
            <w:tcW w:w="76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证明材料要求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44"/>
              </w:numPr>
              <w:ind w:left="0" w:firstLine="210" w:firstLineChars="100"/>
              <w:jc w:val="center"/>
              <w:rPr>
                <w:rFonts w:asciiTheme="minorEastAsia" w:hAnsiTheme="minorEastAsia" w:eastAsiaTheme="minorEastAsia" w:cstheme="minorEastAsia"/>
                <w:bCs/>
                <w:szCs w:val="21"/>
              </w:rPr>
            </w:pPr>
          </w:p>
        </w:tc>
        <w:tc>
          <w:tcPr>
            <w:tcW w:w="91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处理器</w:t>
            </w:r>
          </w:p>
        </w:tc>
        <w:tc>
          <w:tcPr>
            <w:tcW w:w="2856"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不低于24核心32线程，主频不低于3.0GHz</w:t>
            </w:r>
          </w:p>
        </w:tc>
        <w:tc>
          <w:tcPr>
            <w:tcW w:w="76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44"/>
              </w:numPr>
              <w:ind w:left="0" w:firstLine="210" w:firstLineChars="100"/>
              <w:jc w:val="center"/>
              <w:rPr>
                <w:rFonts w:asciiTheme="minorEastAsia" w:hAnsiTheme="minorEastAsia" w:eastAsiaTheme="minorEastAsia" w:cstheme="minorEastAsia"/>
                <w:bCs/>
                <w:szCs w:val="21"/>
              </w:rPr>
            </w:pPr>
          </w:p>
        </w:tc>
        <w:tc>
          <w:tcPr>
            <w:tcW w:w="91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内存</w:t>
            </w:r>
          </w:p>
        </w:tc>
        <w:tc>
          <w:tcPr>
            <w:tcW w:w="2856"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不低于64GB内存</w:t>
            </w:r>
          </w:p>
        </w:tc>
        <w:tc>
          <w:tcPr>
            <w:tcW w:w="76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44"/>
              </w:numPr>
              <w:ind w:left="0" w:firstLine="210" w:firstLineChars="100"/>
              <w:jc w:val="center"/>
              <w:rPr>
                <w:rFonts w:asciiTheme="minorEastAsia" w:hAnsiTheme="minorEastAsia" w:eastAsiaTheme="minorEastAsia" w:cstheme="minorEastAsia"/>
                <w:bCs/>
                <w:szCs w:val="21"/>
              </w:rPr>
            </w:pPr>
          </w:p>
        </w:tc>
        <w:tc>
          <w:tcPr>
            <w:tcW w:w="91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存储</w:t>
            </w:r>
          </w:p>
        </w:tc>
        <w:tc>
          <w:tcPr>
            <w:tcW w:w="2856"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不低于3.6TBSSD+3.6TBSSD+16.3TBHDD硬盘</w:t>
            </w:r>
          </w:p>
        </w:tc>
        <w:tc>
          <w:tcPr>
            <w:tcW w:w="76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44"/>
              </w:numPr>
              <w:ind w:left="0" w:firstLine="210" w:firstLineChars="100"/>
              <w:jc w:val="center"/>
              <w:rPr>
                <w:rFonts w:asciiTheme="minorEastAsia" w:hAnsiTheme="minorEastAsia" w:eastAsiaTheme="minorEastAsia" w:cstheme="minorEastAsia"/>
                <w:bCs/>
                <w:szCs w:val="21"/>
              </w:rPr>
            </w:pPr>
          </w:p>
        </w:tc>
        <w:tc>
          <w:tcPr>
            <w:tcW w:w="91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显卡</w:t>
            </w:r>
          </w:p>
        </w:tc>
        <w:tc>
          <w:tcPr>
            <w:tcW w:w="2856"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不低于12GB显存</w:t>
            </w:r>
          </w:p>
        </w:tc>
        <w:tc>
          <w:tcPr>
            <w:tcW w:w="76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44"/>
              </w:numPr>
              <w:ind w:left="0" w:firstLine="210" w:firstLineChars="100"/>
              <w:jc w:val="center"/>
              <w:rPr>
                <w:rFonts w:asciiTheme="minorEastAsia" w:hAnsiTheme="minorEastAsia" w:eastAsiaTheme="minorEastAsia" w:cstheme="minorEastAsia"/>
                <w:bCs/>
                <w:szCs w:val="21"/>
              </w:rPr>
            </w:pPr>
          </w:p>
        </w:tc>
        <w:tc>
          <w:tcPr>
            <w:tcW w:w="91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显示器</w:t>
            </w:r>
          </w:p>
        </w:tc>
        <w:tc>
          <w:tcPr>
            <w:tcW w:w="2856"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不低于34英寸显示器</w:t>
            </w:r>
          </w:p>
        </w:tc>
        <w:tc>
          <w:tcPr>
            <w:tcW w:w="76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44"/>
              </w:numPr>
              <w:ind w:left="0" w:firstLine="210" w:firstLineChars="100"/>
              <w:jc w:val="center"/>
              <w:rPr>
                <w:rFonts w:asciiTheme="minorEastAsia" w:hAnsiTheme="minorEastAsia" w:eastAsiaTheme="minorEastAsia" w:cstheme="minorEastAsia"/>
                <w:bCs/>
                <w:szCs w:val="21"/>
              </w:rPr>
            </w:pPr>
          </w:p>
        </w:tc>
        <w:tc>
          <w:tcPr>
            <w:tcW w:w="91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接口</w:t>
            </w:r>
          </w:p>
        </w:tc>
        <w:tc>
          <w:tcPr>
            <w:tcW w:w="2856"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不少于3路USB3.0手机取证接口，1个短信接收模块，1个银行卡读卡器、1个身份证读卡器</w:t>
            </w:r>
          </w:p>
        </w:tc>
        <w:tc>
          <w:tcPr>
            <w:tcW w:w="76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44"/>
              </w:numPr>
              <w:ind w:left="0" w:firstLine="210" w:firstLineChars="100"/>
              <w:jc w:val="center"/>
              <w:rPr>
                <w:rFonts w:asciiTheme="minorEastAsia" w:hAnsiTheme="minorEastAsia" w:eastAsiaTheme="minorEastAsia" w:cstheme="minorEastAsia"/>
                <w:bCs/>
                <w:szCs w:val="21"/>
              </w:rPr>
            </w:pPr>
          </w:p>
        </w:tc>
        <w:tc>
          <w:tcPr>
            <w:tcW w:w="91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光驱</w:t>
            </w:r>
          </w:p>
        </w:tc>
        <w:tc>
          <w:tcPr>
            <w:tcW w:w="2856"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不少于1个蓝光刻录机</w:t>
            </w:r>
          </w:p>
        </w:tc>
        <w:tc>
          <w:tcPr>
            <w:tcW w:w="76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44"/>
              </w:numPr>
              <w:ind w:left="0" w:firstLine="210" w:firstLineChars="100"/>
              <w:jc w:val="center"/>
              <w:rPr>
                <w:rFonts w:asciiTheme="minorEastAsia" w:hAnsiTheme="minorEastAsia" w:eastAsiaTheme="minorEastAsia" w:cstheme="minorEastAsia"/>
                <w:bCs/>
                <w:szCs w:val="21"/>
              </w:rPr>
            </w:pPr>
          </w:p>
        </w:tc>
        <w:tc>
          <w:tcPr>
            <w:tcW w:w="91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网络</w:t>
            </w:r>
          </w:p>
        </w:tc>
        <w:tc>
          <w:tcPr>
            <w:tcW w:w="2856"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不少于1个万兆光口、2个千兆电口</w:t>
            </w:r>
          </w:p>
        </w:tc>
        <w:tc>
          <w:tcPr>
            <w:tcW w:w="76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44"/>
              </w:numPr>
              <w:ind w:left="0" w:firstLine="210" w:firstLineChars="100"/>
              <w:jc w:val="center"/>
              <w:rPr>
                <w:rFonts w:asciiTheme="minorEastAsia" w:hAnsiTheme="minorEastAsia" w:eastAsiaTheme="minorEastAsia" w:cstheme="minorEastAsia"/>
                <w:bCs/>
                <w:szCs w:val="21"/>
              </w:rPr>
            </w:pPr>
          </w:p>
        </w:tc>
        <w:tc>
          <w:tcPr>
            <w:tcW w:w="91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Wi-Fi取证能力</w:t>
            </w:r>
          </w:p>
        </w:tc>
        <w:tc>
          <w:tcPr>
            <w:tcW w:w="2856"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配置至少1路Wi-Fi取证</w:t>
            </w:r>
          </w:p>
        </w:tc>
        <w:tc>
          <w:tcPr>
            <w:tcW w:w="76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44"/>
              </w:numPr>
              <w:ind w:left="0" w:firstLine="210" w:firstLineChars="100"/>
              <w:jc w:val="center"/>
              <w:rPr>
                <w:rFonts w:asciiTheme="minorEastAsia" w:hAnsiTheme="minorEastAsia" w:eastAsiaTheme="minorEastAsia" w:cstheme="minorEastAsia"/>
                <w:bCs/>
                <w:szCs w:val="21"/>
              </w:rPr>
            </w:pPr>
          </w:p>
        </w:tc>
        <w:tc>
          <w:tcPr>
            <w:tcW w:w="91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并行能力</w:t>
            </w:r>
          </w:p>
        </w:tc>
        <w:tc>
          <w:tcPr>
            <w:tcW w:w="2856"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支持不少于三路手机与镜像取证、文件取证、SIM/SD卡取证、拍照取证等并行取证；</w:t>
            </w:r>
          </w:p>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支持镜像取证、文件取证、SIM/SD卡取证、蓝牙取证、拍照取证等取证方式</w:t>
            </w:r>
          </w:p>
        </w:tc>
        <w:tc>
          <w:tcPr>
            <w:tcW w:w="76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44"/>
              </w:numPr>
              <w:ind w:left="0" w:firstLine="210" w:firstLineChars="100"/>
              <w:jc w:val="center"/>
              <w:rPr>
                <w:rFonts w:asciiTheme="minorEastAsia" w:hAnsiTheme="minorEastAsia" w:eastAsiaTheme="minorEastAsia" w:cstheme="minorEastAsia"/>
                <w:bCs/>
                <w:szCs w:val="21"/>
              </w:rPr>
            </w:pPr>
          </w:p>
        </w:tc>
        <w:tc>
          <w:tcPr>
            <w:tcW w:w="91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云取证能力</w:t>
            </w:r>
          </w:p>
        </w:tc>
        <w:tc>
          <w:tcPr>
            <w:tcW w:w="2856"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支持社交类，包括不限于：新浪微博、抖音、QQ空间、LOFTER、陌陌、绿洲、探探、西瓜视频、百度贴吧、快手短视频、天涯社区、爱聊、前程无忧、好看视频、今日头条、网易云音乐、飞书聊天、BOSS直聘、简书；</w:t>
            </w:r>
          </w:p>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支持国外社交类，包括不限于：Twitter、Instagram、Telegram、TeleVPN、FlyChat、XPlus、XChat、Plus、aka、Tinder、Zalo、91短视频</w:t>
            </w:r>
          </w:p>
        </w:tc>
        <w:tc>
          <w:tcPr>
            <w:tcW w:w="76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44"/>
              </w:numPr>
              <w:ind w:left="0" w:firstLine="210" w:firstLineChars="100"/>
              <w:jc w:val="center"/>
              <w:rPr>
                <w:rFonts w:asciiTheme="minorEastAsia" w:hAnsiTheme="minorEastAsia" w:eastAsiaTheme="minorEastAsia" w:cstheme="minorEastAsia"/>
                <w:bCs/>
                <w:szCs w:val="21"/>
              </w:rPr>
            </w:pPr>
          </w:p>
        </w:tc>
        <w:tc>
          <w:tcPr>
            <w:tcW w:w="91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2856"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支持数字货币类，包括不限于：币安、Tether、欧易、火币；</w:t>
            </w:r>
          </w:p>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支持金融借贷类，包括不限于：爱钱进、拍拍贷</w:t>
            </w:r>
          </w:p>
        </w:tc>
        <w:tc>
          <w:tcPr>
            <w:tcW w:w="76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44"/>
              </w:numPr>
              <w:ind w:left="0" w:firstLine="210" w:firstLineChars="100"/>
              <w:jc w:val="center"/>
              <w:rPr>
                <w:rFonts w:asciiTheme="minorEastAsia" w:hAnsiTheme="minorEastAsia" w:eastAsiaTheme="minorEastAsia" w:cstheme="minorEastAsia"/>
                <w:bCs/>
                <w:szCs w:val="21"/>
              </w:rPr>
            </w:pPr>
          </w:p>
        </w:tc>
        <w:tc>
          <w:tcPr>
            <w:tcW w:w="91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2856"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支持快递类，包括不限于：顺丰速运、中通快递、申通快递、圆通速递、货拉拉、货拉拉企业版、UU跑腿、德邦快递、韵达快递、快狗打车；</w:t>
            </w:r>
          </w:p>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支持笔记类，包括不限于：有道云笔记、印象笔记；</w:t>
            </w:r>
          </w:p>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支持通信运营商类，包括不限于：中国移动、电信营业厅、中国联通</w:t>
            </w:r>
          </w:p>
        </w:tc>
        <w:tc>
          <w:tcPr>
            <w:tcW w:w="76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44"/>
              </w:numPr>
              <w:ind w:left="0" w:firstLine="210" w:firstLineChars="100"/>
              <w:jc w:val="center"/>
              <w:rPr>
                <w:rFonts w:asciiTheme="minorEastAsia" w:hAnsiTheme="minorEastAsia" w:eastAsiaTheme="minorEastAsia" w:cstheme="minorEastAsia"/>
                <w:bCs/>
                <w:szCs w:val="21"/>
              </w:rPr>
            </w:pPr>
          </w:p>
        </w:tc>
        <w:tc>
          <w:tcPr>
            <w:tcW w:w="91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Wi-Fi取证</w:t>
            </w:r>
          </w:p>
        </w:tc>
        <w:tc>
          <w:tcPr>
            <w:tcW w:w="2856"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支持小米、华为、OPPO、荣耀手机Wi-Fi手机搬家/克隆方式取证</w:t>
            </w:r>
          </w:p>
        </w:tc>
        <w:tc>
          <w:tcPr>
            <w:tcW w:w="76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44"/>
              </w:numPr>
              <w:ind w:left="0" w:firstLine="210" w:firstLineChars="100"/>
              <w:jc w:val="center"/>
              <w:rPr>
                <w:rFonts w:asciiTheme="minorEastAsia" w:hAnsiTheme="minorEastAsia" w:eastAsiaTheme="minorEastAsia" w:cstheme="minorEastAsia"/>
                <w:bCs/>
                <w:szCs w:val="21"/>
              </w:rPr>
            </w:pPr>
          </w:p>
        </w:tc>
        <w:tc>
          <w:tcPr>
            <w:tcW w:w="91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数据提取、恢复和提权</w:t>
            </w:r>
          </w:p>
        </w:tc>
        <w:tc>
          <w:tcPr>
            <w:tcW w:w="2856"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支持可直接接入SIM卡进行数据提取和恢复，支持的SIM卡包括标准SIM、MicroSIM、NanoSIM接口等类型；</w:t>
            </w:r>
          </w:p>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获取手机IMEI、通讯簿、短信、通话记录、位置信息、备忘录、日历、Wi-Fi/蓝牙连接记录、多媒体文件（图片/视频/音频）、系统日志（开关机时间、应用程序使用记录、应用程序使用卸载记录、使用过的手机号码、iOS设备连接过的主机、iOS应用程序通知消息等）和密码密钥等信息，需支持恢复已删除的电话簿、短信、日历等信息</w:t>
            </w:r>
          </w:p>
        </w:tc>
        <w:tc>
          <w:tcPr>
            <w:tcW w:w="76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44"/>
              </w:numPr>
              <w:ind w:left="0" w:firstLine="210" w:firstLineChars="100"/>
              <w:jc w:val="center"/>
              <w:rPr>
                <w:rFonts w:asciiTheme="minorEastAsia" w:hAnsiTheme="minorEastAsia" w:eastAsiaTheme="minorEastAsia" w:cstheme="minorEastAsia"/>
                <w:bCs/>
                <w:szCs w:val="21"/>
              </w:rPr>
            </w:pPr>
          </w:p>
        </w:tc>
        <w:tc>
          <w:tcPr>
            <w:tcW w:w="91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物联网管理API</w:t>
            </w:r>
          </w:p>
        </w:tc>
        <w:tc>
          <w:tcPr>
            <w:tcW w:w="2856"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支持开放的物联网管理API接口，可供实验室管理系统采集设备工作状态和工作量</w:t>
            </w:r>
          </w:p>
        </w:tc>
        <w:tc>
          <w:tcPr>
            <w:tcW w:w="76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w:t>
            </w:r>
          </w:p>
        </w:tc>
      </w:tr>
    </w:tbl>
    <w:p>
      <w:pPr>
        <w:rPr>
          <w:rFonts w:asciiTheme="minorEastAsia" w:hAnsiTheme="minorEastAsia" w:eastAsiaTheme="minorEastAsia" w:cstheme="minorEastAsia"/>
          <w:bCs/>
          <w:szCs w:val="21"/>
        </w:rPr>
      </w:pPr>
    </w:p>
    <w:p>
      <w:pPr>
        <w:pStyle w:val="5"/>
        <w:spacing w:before="156"/>
        <w:rPr>
          <w:rFonts w:asciiTheme="minorEastAsia" w:hAnsiTheme="minorEastAsia" w:eastAsiaTheme="minorEastAsia" w:cstheme="minorEastAsia"/>
          <w:b/>
          <w:bCs w:val="0"/>
          <w:szCs w:val="21"/>
        </w:rPr>
      </w:pPr>
      <w:r>
        <w:rPr>
          <w:rFonts w:hint="eastAsia" w:asciiTheme="minorEastAsia" w:hAnsiTheme="minorEastAsia" w:eastAsiaTheme="minorEastAsia" w:cstheme="minorEastAsia"/>
          <w:szCs w:val="21"/>
        </w:rPr>
        <w:t>第1包 数据恢复设备</w:t>
      </w:r>
      <w:r>
        <w:rPr>
          <w:rFonts w:hint="default" w:ascii="Times New Roman" w:hAnsi="Times New Roman" w:cs="Times New Roman" w:eastAsiaTheme="minorEastAsia"/>
          <w:szCs w:val="21"/>
        </w:rPr>
        <w:t>Ⅰ</w:t>
      </w:r>
    </w:p>
    <w:tbl>
      <w:tblPr>
        <w:tblStyle w:val="81"/>
        <w:tblW w:w="454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2"/>
        <w:gridCol w:w="1178"/>
        <w:gridCol w:w="4898"/>
        <w:gridCol w:w="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blHeader/>
          <w:jc w:val="center"/>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序号</w:t>
            </w:r>
          </w:p>
        </w:tc>
        <w:tc>
          <w:tcPr>
            <w:tcW w:w="76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指标项</w:t>
            </w:r>
          </w:p>
        </w:tc>
        <w:tc>
          <w:tcPr>
            <w:tcW w:w="316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技术要求</w:t>
            </w:r>
          </w:p>
        </w:tc>
        <w:tc>
          <w:tcPr>
            <w:tcW w:w="57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证明材料要求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45"/>
              </w:numPr>
              <w:ind w:left="0" w:firstLine="210" w:firstLineChars="100"/>
              <w:jc w:val="center"/>
              <w:rPr>
                <w:rFonts w:asciiTheme="minorEastAsia" w:hAnsiTheme="minorEastAsia" w:eastAsiaTheme="minorEastAsia" w:cstheme="minorEastAsia"/>
                <w:bCs/>
                <w:szCs w:val="21"/>
              </w:rPr>
            </w:pPr>
          </w:p>
        </w:tc>
        <w:tc>
          <w:tcPr>
            <w:tcW w:w="76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处理器</w:t>
            </w:r>
          </w:p>
        </w:tc>
        <w:tc>
          <w:tcPr>
            <w:tcW w:w="3165"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不低于16核心24线程，主频不低于2.1GHz</w:t>
            </w:r>
          </w:p>
        </w:tc>
        <w:tc>
          <w:tcPr>
            <w:tcW w:w="57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45"/>
              </w:numPr>
              <w:ind w:left="0" w:firstLine="210" w:firstLineChars="100"/>
              <w:jc w:val="center"/>
              <w:rPr>
                <w:rFonts w:asciiTheme="minorEastAsia" w:hAnsiTheme="minorEastAsia" w:eastAsiaTheme="minorEastAsia" w:cstheme="minorEastAsia"/>
                <w:bCs/>
                <w:szCs w:val="21"/>
              </w:rPr>
            </w:pPr>
          </w:p>
        </w:tc>
        <w:tc>
          <w:tcPr>
            <w:tcW w:w="76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内存</w:t>
            </w:r>
          </w:p>
        </w:tc>
        <w:tc>
          <w:tcPr>
            <w:tcW w:w="3165"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不低于32GB内存</w:t>
            </w:r>
          </w:p>
        </w:tc>
        <w:tc>
          <w:tcPr>
            <w:tcW w:w="57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45"/>
              </w:numPr>
              <w:ind w:left="0" w:firstLine="210" w:firstLineChars="100"/>
              <w:jc w:val="center"/>
              <w:rPr>
                <w:rFonts w:asciiTheme="minorEastAsia" w:hAnsiTheme="minorEastAsia" w:eastAsiaTheme="minorEastAsia" w:cstheme="minorEastAsia"/>
                <w:bCs/>
                <w:szCs w:val="21"/>
              </w:rPr>
            </w:pPr>
          </w:p>
        </w:tc>
        <w:tc>
          <w:tcPr>
            <w:tcW w:w="76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存储</w:t>
            </w:r>
          </w:p>
        </w:tc>
        <w:tc>
          <w:tcPr>
            <w:tcW w:w="3165"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不低于890GB</w:t>
            </w:r>
            <w:r>
              <w:rPr>
                <w:rFonts w:asciiTheme="minorEastAsia" w:hAnsiTheme="minorEastAsia" w:eastAsiaTheme="minorEastAsia" w:cstheme="minorEastAsia"/>
                <w:bCs/>
                <w:color w:val="000000"/>
                <w:kern w:val="0"/>
                <w:szCs w:val="21"/>
                <w:lang w:bidi="ar"/>
              </w:rPr>
              <w:t xml:space="preserve"> </w:t>
            </w:r>
            <w:r>
              <w:rPr>
                <w:rFonts w:hint="eastAsia" w:asciiTheme="minorEastAsia" w:hAnsiTheme="minorEastAsia" w:eastAsiaTheme="minorEastAsia" w:cstheme="minorEastAsia"/>
                <w:bCs/>
                <w:color w:val="000000"/>
                <w:kern w:val="0"/>
                <w:szCs w:val="21"/>
                <w:lang w:bidi="ar"/>
              </w:rPr>
              <w:t>SSD和3.6TB机械盘</w:t>
            </w:r>
          </w:p>
        </w:tc>
        <w:tc>
          <w:tcPr>
            <w:tcW w:w="57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45"/>
              </w:numPr>
              <w:ind w:left="0" w:firstLine="210" w:firstLineChars="100"/>
              <w:jc w:val="center"/>
              <w:rPr>
                <w:rFonts w:asciiTheme="minorEastAsia" w:hAnsiTheme="minorEastAsia" w:eastAsiaTheme="minorEastAsia" w:cstheme="minorEastAsia"/>
                <w:bCs/>
                <w:szCs w:val="21"/>
              </w:rPr>
            </w:pPr>
          </w:p>
        </w:tc>
        <w:tc>
          <w:tcPr>
            <w:tcW w:w="76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显卡</w:t>
            </w:r>
          </w:p>
        </w:tc>
        <w:tc>
          <w:tcPr>
            <w:tcW w:w="3165"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CPU集成显卡</w:t>
            </w:r>
          </w:p>
        </w:tc>
        <w:tc>
          <w:tcPr>
            <w:tcW w:w="57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45"/>
              </w:numPr>
              <w:ind w:left="0" w:firstLine="210" w:firstLineChars="100"/>
              <w:jc w:val="center"/>
              <w:rPr>
                <w:rFonts w:asciiTheme="minorEastAsia" w:hAnsiTheme="minorEastAsia" w:eastAsiaTheme="minorEastAsia" w:cstheme="minorEastAsia"/>
                <w:bCs/>
                <w:szCs w:val="21"/>
              </w:rPr>
            </w:pPr>
          </w:p>
        </w:tc>
        <w:tc>
          <w:tcPr>
            <w:tcW w:w="76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显示器</w:t>
            </w:r>
          </w:p>
        </w:tc>
        <w:tc>
          <w:tcPr>
            <w:tcW w:w="3165"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不低于17.3英寸</w:t>
            </w:r>
          </w:p>
        </w:tc>
        <w:tc>
          <w:tcPr>
            <w:tcW w:w="57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45"/>
              </w:numPr>
              <w:ind w:left="0" w:firstLine="210" w:firstLineChars="100"/>
              <w:jc w:val="center"/>
              <w:rPr>
                <w:rFonts w:asciiTheme="minorEastAsia" w:hAnsiTheme="minorEastAsia" w:eastAsiaTheme="minorEastAsia" w:cstheme="minorEastAsia"/>
                <w:bCs/>
                <w:szCs w:val="21"/>
              </w:rPr>
            </w:pPr>
          </w:p>
        </w:tc>
        <w:tc>
          <w:tcPr>
            <w:tcW w:w="76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接口</w:t>
            </w:r>
          </w:p>
        </w:tc>
        <w:tc>
          <w:tcPr>
            <w:tcW w:w="3165"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不少于2个SATA/SAS只读硬盘仓；1个存储卡只读接口，1个USB3.0只读接口，1个SATA/SAS读写盘硬盘仓，6个USB读写接口，三种SIM卡（标准SIM卡/MicroSIM卡/NanoSIM卡）接口，配件支持1个SATA接口，1个NVMe接口</w:t>
            </w:r>
          </w:p>
        </w:tc>
        <w:tc>
          <w:tcPr>
            <w:tcW w:w="57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45"/>
              </w:numPr>
              <w:ind w:left="0" w:firstLine="210" w:firstLineChars="100"/>
              <w:jc w:val="center"/>
              <w:rPr>
                <w:rFonts w:asciiTheme="minorEastAsia" w:hAnsiTheme="minorEastAsia" w:eastAsiaTheme="minorEastAsia" w:cstheme="minorEastAsia"/>
                <w:bCs/>
                <w:szCs w:val="21"/>
              </w:rPr>
            </w:pPr>
          </w:p>
        </w:tc>
        <w:tc>
          <w:tcPr>
            <w:tcW w:w="76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网络</w:t>
            </w:r>
          </w:p>
        </w:tc>
        <w:tc>
          <w:tcPr>
            <w:tcW w:w="3165"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不少于1个千兆网口</w:t>
            </w:r>
          </w:p>
        </w:tc>
        <w:tc>
          <w:tcPr>
            <w:tcW w:w="57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45"/>
              </w:numPr>
              <w:ind w:left="0" w:firstLine="210" w:firstLineChars="100"/>
              <w:jc w:val="center"/>
              <w:rPr>
                <w:rFonts w:asciiTheme="minorEastAsia" w:hAnsiTheme="minorEastAsia" w:eastAsiaTheme="minorEastAsia" w:cstheme="minorEastAsia"/>
                <w:bCs/>
                <w:szCs w:val="21"/>
              </w:rPr>
            </w:pPr>
          </w:p>
        </w:tc>
        <w:tc>
          <w:tcPr>
            <w:tcW w:w="76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数据恢复</w:t>
            </w:r>
          </w:p>
        </w:tc>
        <w:tc>
          <w:tcPr>
            <w:tcW w:w="3165"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支持删除文件及foxmail、USB插拔记录等数据解析和恢复</w:t>
            </w:r>
          </w:p>
        </w:tc>
        <w:tc>
          <w:tcPr>
            <w:tcW w:w="57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45"/>
              </w:numPr>
              <w:ind w:left="0" w:firstLine="210" w:firstLineChars="100"/>
              <w:jc w:val="center"/>
              <w:rPr>
                <w:rFonts w:asciiTheme="minorEastAsia" w:hAnsiTheme="minorEastAsia" w:eastAsiaTheme="minorEastAsia" w:cstheme="minorEastAsia"/>
                <w:bCs/>
                <w:szCs w:val="21"/>
              </w:rPr>
            </w:pPr>
          </w:p>
        </w:tc>
        <w:tc>
          <w:tcPr>
            <w:tcW w:w="76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3165"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支持Android、iOS系统下短信、通话记录、通讯录数据恢复</w:t>
            </w:r>
          </w:p>
        </w:tc>
        <w:tc>
          <w:tcPr>
            <w:tcW w:w="57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color w:val="000000"/>
                <w:kern w:val="0"/>
                <w:szCs w:val="21"/>
                <w:lang w:bidi="ar"/>
              </w:rPr>
              <w:t>/</w:t>
            </w:r>
          </w:p>
        </w:tc>
      </w:tr>
    </w:tbl>
    <w:p>
      <w:pPr>
        <w:rPr>
          <w:rFonts w:asciiTheme="minorEastAsia" w:hAnsiTheme="minorEastAsia" w:eastAsiaTheme="minorEastAsia" w:cstheme="minorEastAsia"/>
          <w:szCs w:val="21"/>
        </w:rPr>
      </w:pPr>
    </w:p>
    <w:p>
      <w:pPr>
        <w:pStyle w:val="5"/>
        <w:spacing w:before="156"/>
        <w:rPr>
          <w:rFonts w:asciiTheme="minorEastAsia" w:hAnsiTheme="minorEastAsia" w:eastAsiaTheme="minorEastAsia" w:cstheme="minorEastAsia"/>
          <w:b/>
          <w:bCs w:val="0"/>
          <w:szCs w:val="21"/>
        </w:rPr>
      </w:pPr>
      <w:r>
        <w:rPr>
          <w:rFonts w:hint="eastAsia" w:asciiTheme="minorEastAsia" w:hAnsiTheme="minorEastAsia" w:eastAsiaTheme="minorEastAsia" w:cstheme="minorEastAsia"/>
          <w:szCs w:val="21"/>
        </w:rPr>
        <w:t>第1包 密码破解设备</w:t>
      </w:r>
      <w:r>
        <w:rPr>
          <w:rFonts w:hint="default" w:ascii="Times New Roman" w:hAnsi="Times New Roman" w:cs="Times New Roman" w:eastAsiaTheme="minorEastAsia"/>
          <w:szCs w:val="21"/>
        </w:rPr>
        <w:t>Ⅰ</w:t>
      </w:r>
    </w:p>
    <w:tbl>
      <w:tblPr>
        <w:tblStyle w:val="81"/>
        <w:tblW w:w="44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9"/>
        <w:gridCol w:w="921"/>
        <w:gridCol w:w="4706"/>
        <w:gridCol w:w="1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blHeader/>
          <w:jc w:val="center"/>
        </w:trPr>
        <w:tc>
          <w:tcPr>
            <w:tcW w:w="33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序号</w:t>
            </w:r>
          </w:p>
        </w:tc>
        <w:tc>
          <w:tcPr>
            <w:tcW w:w="60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指标项</w:t>
            </w:r>
          </w:p>
        </w:tc>
        <w:tc>
          <w:tcPr>
            <w:tcW w:w="307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技术要求</w:t>
            </w:r>
          </w:p>
        </w:tc>
        <w:tc>
          <w:tcPr>
            <w:tcW w:w="99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证明材料要求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46"/>
              </w:numPr>
              <w:ind w:left="0" w:firstLine="210" w:firstLineChars="100"/>
              <w:jc w:val="center"/>
              <w:rPr>
                <w:rFonts w:asciiTheme="minorEastAsia" w:hAnsiTheme="minorEastAsia" w:eastAsiaTheme="minorEastAsia" w:cstheme="minorEastAsia"/>
                <w:bCs/>
                <w:szCs w:val="21"/>
              </w:rPr>
            </w:pPr>
          </w:p>
        </w:tc>
        <w:tc>
          <w:tcPr>
            <w:tcW w:w="60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显卡</w:t>
            </w:r>
          </w:p>
        </w:tc>
        <w:tc>
          <w:tcPr>
            <w:tcW w:w="3070"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不低于8*48GB显存</w:t>
            </w:r>
          </w:p>
        </w:tc>
        <w:tc>
          <w:tcPr>
            <w:tcW w:w="99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33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46"/>
              </w:numPr>
              <w:ind w:left="0" w:firstLine="210" w:firstLineChars="100"/>
              <w:jc w:val="center"/>
              <w:rPr>
                <w:rFonts w:asciiTheme="minorEastAsia" w:hAnsiTheme="minorEastAsia" w:eastAsiaTheme="minorEastAsia" w:cstheme="minorEastAsia"/>
                <w:bCs/>
                <w:szCs w:val="21"/>
              </w:rPr>
            </w:pPr>
          </w:p>
        </w:tc>
        <w:tc>
          <w:tcPr>
            <w:tcW w:w="60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CPU</w:t>
            </w:r>
          </w:p>
        </w:tc>
        <w:tc>
          <w:tcPr>
            <w:tcW w:w="3070"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不低于2*96核心192线程，单颗处理器基频不低于2.45GHZ</w:t>
            </w:r>
          </w:p>
        </w:tc>
        <w:tc>
          <w:tcPr>
            <w:tcW w:w="99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33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46"/>
              </w:numPr>
              <w:ind w:left="0" w:firstLine="210" w:firstLineChars="100"/>
              <w:jc w:val="center"/>
              <w:rPr>
                <w:rFonts w:asciiTheme="minorEastAsia" w:hAnsiTheme="minorEastAsia" w:eastAsiaTheme="minorEastAsia" w:cstheme="minorEastAsia"/>
                <w:bCs/>
                <w:szCs w:val="21"/>
              </w:rPr>
            </w:pPr>
          </w:p>
        </w:tc>
        <w:tc>
          <w:tcPr>
            <w:tcW w:w="60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硬盘</w:t>
            </w:r>
          </w:p>
        </w:tc>
        <w:tc>
          <w:tcPr>
            <w:tcW w:w="3070"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≥1TB+4*</w:t>
            </w:r>
            <w:r>
              <w:rPr>
                <w:rFonts w:hint="eastAsia" w:asciiTheme="minorEastAsia" w:hAnsiTheme="minorEastAsia" w:eastAsiaTheme="minorEastAsia" w:cstheme="minorEastAsia"/>
                <w:bCs/>
                <w:color w:val="000000"/>
                <w:kern w:val="0"/>
                <w:szCs w:val="21"/>
                <w:highlight w:val="none"/>
                <w:lang w:bidi="ar"/>
              </w:rPr>
              <w:t>7.68T</w:t>
            </w:r>
            <w:r>
              <w:rPr>
                <w:rFonts w:asciiTheme="minorEastAsia" w:hAnsiTheme="minorEastAsia" w:eastAsiaTheme="minorEastAsia" w:cstheme="minorEastAsia"/>
                <w:bCs/>
                <w:color w:val="000000"/>
                <w:kern w:val="0"/>
                <w:szCs w:val="21"/>
                <w:highlight w:val="none"/>
                <w:lang w:bidi="ar"/>
              </w:rPr>
              <w:t xml:space="preserve"> </w:t>
            </w:r>
            <w:r>
              <w:rPr>
                <w:rFonts w:hint="eastAsia" w:asciiTheme="minorEastAsia" w:hAnsiTheme="minorEastAsia" w:eastAsiaTheme="minorEastAsia" w:cstheme="minorEastAsia"/>
                <w:bCs/>
                <w:color w:val="000000"/>
                <w:kern w:val="0"/>
                <w:szCs w:val="21"/>
                <w:highlight w:val="none"/>
                <w:lang w:bidi="ar"/>
              </w:rPr>
              <w:t>SSD</w:t>
            </w:r>
          </w:p>
        </w:tc>
        <w:tc>
          <w:tcPr>
            <w:tcW w:w="99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33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46"/>
              </w:numPr>
              <w:ind w:left="0" w:firstLine="210" w:firstLineChars="100"/>
              <w:jc w:val="center"/>
              <w:rPr>
                <w:rFonts w:asciiTheme="minorEastAsia" w:hAnsiTheme="minorEastAsia" w:eastAsiaTheme="minorEastAsia" w:cstheme="minorEastAsia"/>
                <w:bCs/>
                <w:szCs w:val="21"/>
              </w:rPr>
            </w:pPr>
          </w:p>
        </w:tc>
        <w:tc>
          <w:tcPr>
            <w:tcW w:w="60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内存</w:t>
            </w:r>
          </w:p>
        </w:tc>
        <w:tc>
          <w:tcPr>
            <w:tcW w:w="3070"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≥12*64GB</w:t>
            </w:r>
          </w:p>
        </w:tc>
        <w:tc>
          <w:tcPr>
            <w:tcW w:w="99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46"/>
              </w:numPr>
              <w:ind w:left="0" w:firstLine="210" w:firstLineChars="100"/>
              <w:jc w:val="center"/>
              <w:rPr>
                <w:rFonts w:asciiTheme="minorEastAsia" w:hAnsiTheme="minorEastAsia" w:eastAsiaTheme="minorEastAsia" w:cstheme="minorEastAsia"/>
                <w:bCs/>
                <w:szCs w:val="21"/>
              </w:rPr>
            </w:pPr>
          </w:p>
        </w:tc>
        <w:tc>
          <w:tcPr>
            <w:tcW w:w="60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系统要求</w:t>
            </w:r>
          </w:p>
        </w:tc>
        <w:tc>
          <w:tcPr>
            <w:tcW w:w="3070"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支持分布式运算</w:t>
            </w:r>
          </w:p>
        </w:tc>
        <w:tc>
          <w:tcPr>
            <w:tcW w:w="99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46"/>
              </w:numPr>
              <w:ind w:left="0" w:firstLine="210" w:firstLineChars="100"/>
              <w:jc w:val="center"/>
              <w:rPr>
                <w:rFonts w:asciiTheme="minorEastAsia" w:hAnsiTheme="minorEastAsia" w:eastAsiaTheme="minorEastAsia" w:cstheme="minorEastAsia"/>
                <w:bCs/>
                <w:szCs w:val="21"/>
              </w:rPr>
            </w:pPr>
          </w:p>
        </w:tc>
        <w:tc>
          <w:tcPr>
            <w:tcW w:w="60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3070"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支持B/S模式，可以随时利用Web浏览器登录系统进行操作</w:t>
            </w:r>
          </w:p>
        </w:tc>
        <w:tc>
          <w:tcPr>
            <w:tcW w:w="99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46"/>
              </w:numPr>
              <w:ind w:left="0" w:firstLine="210" w:firstLineChars="100"/>
              <w:jc w:val="center"/>
              <w:rPr>
                <w:rFonts w:asciiTheme="minorEastAsia" w:hAnsiTheme="minorEastAsia" w:eastAsiaTheme="minorEastAsia" w:cstheme="minorEastAsia"/>
                <w:bCs/>
                <w:szCs w:val="21"/>
              </w:rPr>
            </w:pPr>
          </w:p>
        </w:tc>
        <w:tc>
          <w:tcPr>
            <w:tcW w:w="60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3070"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支持用户权限分级管理，不同权限的用户，可调用解密运算资源不一样</w:t>
            </w:r>
          </w:p>
        </w:tc>
        <w:tc>
          <w:tcPr>
            <w:tcW w:w="99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46"/>
              </w:numPr>
              <w:ind w:left="0" w:firstLine="210" w:firstLineChars="100"/>
              <w:jc w:val="center"/>
              <w:rPr>
                <w:rFonts w:asciiTheme="minorEastAsia" w:hAnsiTheme="minorEastAsia" w:eastAsiaTheme="minorEastAsia" w:cstheme="minorEastAsia"/>
                <w:bCs/>
                <w:szCs w:val="21"/>
              </w:rPr>
            </w:pPr>
          </w:p>
        </w:tc>
        <w:tc>
          <w:tcPr>
            <w:tcW w:w="60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3070"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支持多任务并行运算功能，一台机器即可支持同时对不低于3个的任务进行并行运算解密</w:t>
            </w:r>
          </w:p>
        </w:tc>
        <w:tc>
          <w:tcPr>
            <w:tcW w:w="99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color w:val="000000"/>
                <w:kern w:val="0"/>
                <w:szCs w:val="21"/>
                <w:lang w:bidi="ar"/>
              </w:rPr>
              <w:t>/</w:t>
            </w:r>
          </w:p>
        </w:tc>
      </w:tr>
    </w:tbl>
    <w:p>
      <w:pPr>
        <w:rPr>
          <w:rFonts w:asciiTheme="minorEastAsia" w:hAnsiTheme="minorEastAsia" w:eastAsiaTheme="minorEastAsia" w:cstheme="minorEastAsia"/>
          <w:bCs/>
          <w:szCs w:val="21"/>
        </w:rPr>
      </w:pPr>
    </w:p>
    <w:p>
      <w:pPr>
        <w:pStyle w:val="5"/>
        <w:spacing w:before="156"/>
        <w:rPr>
          <w:rFonts w:asciiTheme="minorEastAsia" w:hAnsiTheme="minorEastAsia" w:eastAsiaTheme="minorEastAsia" w:cstheme="minorEastAsia"/>
          <w:bCs w:val="0"/>
          <w:szCs w:val="21"/>
        </w:rPr>
      </w:pPr>
      <w:r>
        <w:rPr>
          <w:rFonts w:hint="eastAsia" w:asciiTheme="minorEastAsia" w:hAnsiTheme="minorEastAsia" w:eastAsiaTheme="minorEastAsia" w:cstheme="minorEastAsia"/>
          <w:bCs w:val="0"/>
          <w:szCs w:val="21"/>
        </w:rPr>
        <w:t>第1包 可视化关联分析系统</w:t>
      </w:r>
      <w:r>
        <w:rPr>
          <w:rFonts w:hint="default" w:ascii="Times New Roman" w:hAnsi="Times New Roman" w:cs="Times New Roman" w:eastAsiaTheme="minorEastAsia"/>
          <w:bCs w:val="0"/>
          <w:szCs w:val="21"/>
        </w:rPr>
        <w:t>Ⅰ</w:t>
      </w:r>
    </w:p>
    <w:tbl>
      <w:tblPr>
        <w:tblStyle w:val="81"/>
        <w:tblW w:w="45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8"/>
        <w:gridCol w:w="1532"/>
        <w:gridCol w:w="3810"/>
        <w:gridCol w:w="17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43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序号</w:t>
            </w:r>
          </w:p>
        </w:tc>
        <w:tc>
          <w:tcPr>
            <w:tcW w:w="98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指标项</w:t>
            </w:r>
          </w:p>
        </w:tc>
        <w:tc>
          <w:tcPr>
            <w:tcW w:w="245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技术要求</w:t>
            </w:r>
          </w:p>
        </w:tc>
        <w:tc>
          <w:tcPr>
            <w:tcW w:w="112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证明材料要求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43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47"/>
              </w:numPr>
              <w:autoSpaceDE w:val="0"/>
              <w:autoSpaceDN w:val="0"/>
              <w:adjustRightInd w:val="0"/>
              <w:spacing w:line="360" w:lineRule="auto"/>
              <w:jc w:val="both"/>
              <w:rPr>
                <w:rFonts w:asciiTheme="minorEastAsia" w:hAnsiTheme="minorEastAsia" w:eastAsiaTheme="minorEastAsia" w:cstheme="minorEastAsia"/>
                <w:bCs/>
                <w:szCs w:val="21"/>
              </w:rPr>
            </w:pPr>
          </w:p>
        </w:tc>
        <w:tc>
          <w:tcPr>
            <w:tcW w:w="98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处理器</w:t>
            </w:r>
          </w:p>
        </w:tc>
        <w:tc>
          <w:tcPr>
            <w:tcW w:w="2457"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不低于16核心24线程，主频不低于2.0GHz</w:t>
            </w:r>
          </w:p>
        </w:tc>
        <w:tc>
          <w:tcPr>
            <w:tcW w:w="112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43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47"/>
              </w:numPr>
              <w:autoSpaceDE w:val="0"/>
              <w:autoSpaceDN w:val="0"/>
              <w:adjustRightInd w:val="0"/>
              <w:spacing w:line="360" w:lineRule="auto"/>
              <w:jc w:val="both"/>
              <w:rPr>
                <w:rFonts w:asciiTheme="minorEastAsia" w:hAnsiTheme="minorEastAsia" w:eastAsiaTheme="minorEastAsia" w:cstheme="minorEastAsia"/>
                <w:bCs/>
                <w:szCs w:val="21"/>
              </w:rPr>
            </w:pPr>
          </w:p>
        </w:tc>
        <w:tc>
          <w:tcPr>
            <w:tcW w:w="98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内存</w:t>
            </w:r>
          </w:p>
        </w:tc>
        <w:tc>
          <w:tcPr>
            <w:tcW w:w="2457"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不低于128GB内存</w:t>
            </w:r>
          </w:p>
        </w:tc>
        <w:tc>
          <w:tcPr>
            <w:tcW w:w="112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43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47"/>
              </w:numPr>
              <w:autoSpaceDE w:val="0"/>
              <w:autoSpaceDN w:val="0"/>
              <w:adjustRightInd w:val="0"/>
              <w:spacing w:line="360" w:lineRule="auto"/>
              <w:jc w:val="both"/>
              <w:rPr>
                <w:rFonts w:asciiTheme="minorEastAsia" w:hAnsiTheme="minorEastAsia" w:eastAsiaTheme="minorEastAsia" w:cstheme="minorEastAsia"/>
                <w:bCs/>
                <w:szCs w:val="21"/>
              </w:rPr>
            </w:pPr>
          </w:p>
        </w:tc>
        <w:tc>
          <w:tcPr>
            <w:tcW w:w="98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存储</w:t>
            </w:r>
          </w:p>
        </w:tc>
        <w:tc>
          <w:tcPr>
            <w:tcW w:w="2457"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不低于1个3.6TBSSD硬盘</w:t>
            </w:r>
          </w:p>
        </w:tc>
        <w:tc>
          <w:tcPr>
            <w:tcW w:w="112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43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47"/>
              </w:numPr>
              <w:autoSpaceDE w:val="0"/>
              <w:autoSpaceDN w:val="0"/>
              <w:adjustRightInd w:val="0"/>
              <w:spacing w:line="360" w:lineRule="auto"/>
              <w:jc w:val="both"/>
              <w:rPr>
                <w:rFonts w:asciiTheme="minorEastAsia" w:hAnsiTheme="minorEastAsia" w:eastAsiaTheme="minorEastAsia" w:cstheme="minorEastAsia"/>
                <w:bCs/>
                <w:szCs w:val="21"/>
              </w:rPr>
            </w:pPr>
          </w:p>
        </w:tc>
        <w:tc>
          <w:tcPr>
            <w:tcW w:w="98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显卡</w:t>
            </w:r>
          </w:p>
        </w:tc>
        <w:tc>
          <w:tcPr>
            <w:tcW w:w="2457"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不低于12GB显存</w:t>
            </w:r>
          </w:p>
        </w:tc>
        <w:tc>
          <w:tcPr>
            <w:tcW w:w="112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color w:val="FF0000"/>
                <w:szCs w:val="21"/>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43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47"/>
              </w:numPr>
              <w:autoSpaceDE w:val="0"/>
              <w:autoSpaceDN w:val="0"/>
              <w:adjustRightInd w:val="0"/>
              <w:spacing w:line="360" w:lineRule="auto"/>
              <w:jc w:val="both"/>
              <w:rPr>
                <w:rFonts w:asciiTheme="minorEastAsia" w:hAnsiTheme="minorEastAsia" w:eastAsiaTheme="minorEastAsia" w:cstheme="minorEastAsia"/>
                <w:bCs/>
                <w:szCs w:val="21"/>
              </w:rPr>
            </w:pPr>
          </w:p>
        </w:tc>
        <w:tc>
          <w:tcPr>
            <w:tcW w:w="98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显示器</w:t>
            </w:r>
          </w:p>
        </w:tc>
        <w:tc>
          <w:tcPr>
            <w:tcW w:w="2457"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不低于15英寸</w:t>
            </w:r>
          </w:p>
        </w:tc>
        <w:tc>
          <w:tcPr>
            <w:tcW w:w="112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43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47"/>
              </w:numPr>
              <w:autoSpaceDE w:val="0"/>
              <w:autoSpaceDN w:val="0"/>
              <w:adjustRightInd w:val="0"/>
              <w:spacing w:line="360" w:lineRule="auto"/>
              <w:jc w:val="both"/>
              <w:rPr>
                <w:rFonts w:asciiTheme="minorEastAsia" w:hAnsiTheme="minorEastAsia" w:eastAsiaTheme="minorEastAsia" w:cstheme="minorEastAsia"/>
                <w:bCs/>
                <w:szCs w:val="21"/>
              </w:rPr>
            </w:pPr>
          </w:p>
        </w:tc>
        <w:tc>
          <w:tcPr>
            <w:tcW w:w="98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网络</w:t>
            </w:r>
          </w:p>
        </w:tc>
        <w:tc>
          <w:tcPr>
            <w:tcW w:w="2457"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不低于1千兆电口</w:t>
            </w:r>
          </w:p>
        </w:tc>
        <w:tc>
          <w:tcPr>
            <w:tcW w:w="112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47"/>
              </w:numPr>
              <w:autoSpaceDE w:val="0"/>
              <w:autoSpaceDN w:val="0"/>
              <w:adjustRightInd w:val="0"/>
              <w:spacing w:line="360" w:lineRule="auto"/>
              <w:jc w:val="both"/>
              <w:rPr>
                <w:rFonts w:asciiTheme="minorEastAsia" w:hAnsiTheme="minorEastAsia" w:eastAsiaTheme="minorEastAsia" w:cstheme="minorEastAsia"/>
                <w:bCs/>
                <w:szCs w:val="21"/>
              </w:rPr>
            </w:pPr>
          </w:p>
        </w:tc>
        <w:tc>
          <w:tcPr>
            <w:tcW w:w="98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基本能力</w:t>
            </w:r>
          </w:p>
        </w:tc>
        <w:tc>
          <w:tcPr>
            <w:tcW w:w="2457"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支持多个文件批量导入；支持不少于百万级数据导入、清洗和分析</w:t>
            </w:r>
          </w:p>
        </w:tc>
        <w:tc>
          <w:tcPr>
            <w:tcW w:w="112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43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47"/>
              </w:numPr>
              <w:autoSpaceDE w:val="0"/>
              <w:autoSpaceDN w:val="0"/>
              <w:adjustRightInd w:val="0"/>
              <w:spacing w:line="360" w:lineRule="auto"/>
              <w:jc w:val="both"/>
              <w:rPr>
                <w:rFonts w:asciiTheme="minorEastAsia" w:hAnsiTheme="minorEastAsia" w:eastAsiaTheme="minorEastAsia" w:cstheme="minorEastAsia"/>
                <w:bCs/>
                <w:szCs w:val="21"/>
              </w:rPr>
            </w:pPr>
          </w:p>
        </w:tc>
        <w:tc>
          <w:tcPr>
            <w:tcW w:w="98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分析能力</w:t>
            </w:r>
          </w:p>
        </w:tc>
        <w:tc>
          <w:tcPr>
            <w:tcW w:w="2457"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szCs w:val="21"/>
                <w:lang w:bidi="ar"/>
              </w:rPr>
              <w:t>支持资金数据自动回填归属地、银行归属行</w:t>
            </w:r>
          </w:p>
        </w:tc>
        <w:tc>
          <w:tcPr>
            <w:tcW w:w="112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43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47"/>
              </w:numPr>
              <w:autoSpaceDE w:val="0"/>
              <w:autoSpaceDN w:val="0"/>
              <w:adjustRightInd w:val="0"/>
              <w:spacing w:line="360" w:lineRule="auto"/>
              <w:jc w:val="both"/>
              <w:rPr>
                <w:rFonts w:asciiTheme="minorEastAsia" w:hAnsiTheme="minorEastAsia" w:eastAsiaTheme="minorEastAsia" w:cstheme="minorEastAsia"/>
                <w:bCs/>
                <w:szCs w:val="21"/>
              </w:rPr>
            </w:pPr>
          </w:p>
        </w:tc>
        <w:tc>
          <w:tcPr>
            <w:tcW w:w="98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2457"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szCs w:val="21"/>
                <w:lang w:bidi="ar"/>
              </w:rPr>
              <w:t>支持通讯数据自动回填基站地址、手机归属地</w:t>
            </w:r>
          </w:p>
        </w:tc>
        <w:tc>
          <w:tcPr>
            <w:tcW w:w="112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43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47"/>
              </w:numPr>
              <w:autoSpaceDE w:val="0"/>
              <w:autoSpaceDN w:val="0"/>
              <w:adjustRightInd w:val="0"/>
              <w:spacing w:line="360" w:lineRule="auto"/>
              <w:jc w:val="both"/>
              <w:rPr>
                <w:rFonts w:asciiTheme="minorEastAsia" w:hAnsiTheme="minorEastAsia" w:eastAsiaTheme="minorEastAsia" w:cstheme="minorEastAsia"/>
                <w:bCs/>
                <w:szCs w:val="21"/>
              </w:rPr>
            </w:pPr>
          </w:p>
        </w:tc>
        <w:tc>
          <w:tcPr>
            <w:tcW w:w="98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2457"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支持资金特征分析：支持针对资金流动情况进行分析，根据对应的计算规则，判断所分析的账户是否为资金来源账户、资金中转账户以及资金沉淀账户</w:t>
            </w:r>
          </w:p>
        </w:tc>
        <w:tc>
          <w:tcPr>
            <w:tcW w:w="112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43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47"/>
              </w:numPr>
              <w:autoSpaceDE w:val="0"/>
              <w:autoSpaceDN w:val="0"/>
              <w:adjustRightInd w:val="0"/>
              <w:spacing w:line="360" w:lineRule="auto"/>
              <w:jc w:val="both"/>
              <w:rPr>
                <w:rFonts w:asciiTheme="minorEastAsia" w:hAnsiTheme="minorEastAsia" w:eastAsiaTheme="minorEastAsia" w:cstheme="minorEastAsia"/>
                <w:bCs/>
                <w:szCs w:val="21"/>
              </w:rPr>
            </w:pPr>
          </w:p>
        </w:tc>
        <w:tc>
          <w:tcPr>
            <w:tcW w:w="98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2457"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szCs w:val="21"/>
                <w:lang w:bidi="ar"/>
              </w:rPr>
              <w:t>支持资金统计：支持统计所有分析对象的交易概况及所有分析对象的对手的交易金额统计，支持详情展示、导出功能</w:t>
            </w:r>
          </w:p>
        </w:tc>
        <w:tc>
          <w:tcPr>
            <w:tcW w:w="112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43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47"/>
              </w:numPr>
              <w:autoSpaceDE w:val="0"/>
              <w:autoSpaceDN w:val="0"/>
              <w:adjustRightInd w:val="0"/>
              <w:spacing w:line="360" w:lineRule="auto"/>
              <w:jc w:val="both"/>
              <w:rPr>
                <w:rFonts w:asciiTheme="minorEastAsia" w:hAnsiTheme="minorEastAsia" w:eastAsiaTheme="minorEastAsia" w:cstheme="minorEastAsia"/>
                <w:bCs/>
                <w:szCs w:val="21"/>
              </w:rPr>
            </w:pPr>
          </w:p>
        </w:tc>
        <w:tc>
          <w:tcPr>
            <w:tcW w:w="98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2457"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集合运算：支持针对多数据集的交、并、差等集合运算，支持运算列及属性列的选择，支持数据详情的穿透</w:t>
            </w:r>
          </w:p>
        </w:tc>
        <w:tc>
          <w:tcPr>
            <w:tcW w:w="112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w:t>
            </w:r>
          </w:p>
        </w:tc>
      </w:tr>
    </w:tbl>
    <w:p>
      <w:pPr>
        <w:pStyle w:val="5"/>
        <w:spacing w:before="156"/>
        <w:rPr>
          <w:rFonts w:asciiTheme="minorEastAsia" w:hAnsiTheme="minorEastAsia" w:eastAsiaTheme="minorEastAsia" w:cstheme="minorEastAsia"/>
          <w:b/>
          <w:bCs w:val="0"/>
          <w:szCs w:val="21"/>
        </w:rPr>
      </w:pPr>
      <w:r>
        <w:rPr>
          <w:rFonts w:hint="eastAsia" w:asciiTheme="minorEastAsia" w:hAnsiTheme="minorEastAsia" w:eastAsiaTheme="minorEastAsia" w:cstheme="minorEastAsia"/>
          <w:szCs w:val="21"/>
        </w:rPr>
        <w:t>第1包 战训一体化平台</w:t>
      </w:r>
      <w:r>
        <w:rPr>
          <w:rFonts w:hint="default" w:ascii="Times New Roman" w:hAnsi="Times New Roman" w:cs="Times New Roman" w:eastAsiaTheme="minorEastAsia"/>
          <w:szCs w:val="21"/>
        </w:rPr>
        <w:t>Ⅰ</w:t>
      </w:r>
    </w:p>
    <w:tbl>
      <w:tblPr>
        <w:tblStyle w:val="82"/>
        <w:tblW w:w="461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344"/>
        <w:gridCol w:w="4741"/>
        <w:gridCol w:w="1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429"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序号</w:t>
            </w:r>
          </w:p>
        </w:tc>
        <w:tc>
          <w:tcPr>
            <w:tcW w:w="854"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指标项</w:t>
            </w:r>
          </w:p>
        </w:tc>
        <w:tc>
          <w:tcPr>
            <w:tcW w:w="3012"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技术要求</w:t>
            </w:r>
          </w:p>
        </w:tc>
        <w:tc>
          <w:tcPr>
            <w:tcW w:w="70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证明材料要求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74"/>
              <w:widowControl/>
              <w:numPr>
                <w:ilvl w:val="0"/>
                <w:numId w:val="48"/>
              </w:numPr>
              <w:spacing w:beforeAutospacing="0" w:afterAutospacing="0"/>
              <w:jc w:val="center"/>
              <w:rPr>
                <w:rFonts w:asciiTheme="minorEastAsia" w:hAnsiTheme="minorEastAsia" w:eastAsiaTheme="minorEastAsia" w:cstheme="minorEastAsia"/>
                <w:bCs/>
                <w:sz w:val="21"/>
                <w:szCs w:val="21"/>
              </w:rPr>
            </w:pPr>
          </w:p>
        </w:tc>
        <w:tc>
          <w:tcPr>
            <w:tcW w:w="85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数据分析服务器配置要求</w:t>
            </w:r>
          </w:p>
        </w:tc>
        <w:tc>
          <w:tcPr>
            <w:tcW w:w="3012" w:type="pct"/>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处理器：不低于2*20核心40线程,主频2.1GHz</w:t>
            </w:r>
          </w:p>
        </w:tc>
        <w:tc>
          <w:tcPr>
            <w:tcW w:w="705"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74"/>
              <w:widowControl/>
              <w:numPr>
                <w:ilvl w:val="0"/>
                <w:numId w:val="48"/>
              </w:numPr>
              <w:spacing w:beforeAutospacing="0" w:afterAutospacing="0"/>
              <w:jc w:val="center"/>
              <w:rPr>
                <w:rFonts w:asciiTheme="minorEastAsia" w:hAnsiTheme="minorEastAsia" w:eastAsiaTheme="minorEastAsia" w:cstheme="minorEastAsia"/>
                <w:bCs/>
                <w:sz w:val="21"/>
                <w:szCs w:val="21"/>
              </w:rPr>
            </w:pPr>
          </w:p>
        </w:tc>
        <w:tc>
          <w:tcPr>
            <w:tcW w:w="85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3012" w:type="pct"/>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内存：不低于512G</w:t>
            </w:r>
          </w:p>
        </w:tc>
        <w:tc>
          <w:tcPr>
            <w:tcW w:w="705"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74"/>
              <w:widowControl/>
              <w:numPr>
                <w:ilvl w:val="0"/>
                <w:numId w:val="48"/>
              </w:numPr>
              <w:spacing w:beforeAutospacing="0" w:afterAutospacing="0"/>
              <w:jc w:val="center"/>
              <w:rPr>
                <w:rFonts w:asciiTheme="minorEastAsia" w:hAnsiTheme="minorEastAsia" w:eastAsiaTheme="minorEastAsia" w:cstheme="minorEastAsia"/>
                <w:bCs/>
                <w:sz w:val="21"/>
                <w:szCs w:val="21"/>
              </w:rPr>
            </w:pPr>
          </w:p>
        </w:tc>
        <w:tc>
          <w:tcPr>
            <w:tcW w:w="85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3012" w:type="pct"/>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硬盘：不低于1块1.6T</w:t>
            </w:r>
            <w:r>
              <w:rPr>
                <w:rFonts w:asciiTheme="minorEastAsia" w:hAnsiTheme="minorEastAsia" w:eastAsiaTheme="minorEastAsia" w:cstheme="minorEastAsia"/>
                <w:bCs/>
                <w:szCs w:val="21"/>
                <w:lang w:bidi="ar"/>
              </w:rPr>
              <w:t xml:space="preserve"> </w:t>
            </w:r>
            <w:r>
              <w:rPr>
                <w:rFonts w:hint="eastAsia" w:asciiTheme="minorEastAsia" w:hAnsiTheme="minorEastAsia" w:eastAsiaTheme="minorEastAsia" w:cstheme="minorEastAsia"/>
                <w:bCs/>
                <w:szCs w:val="21"/>
                <w:lang w:bidi="ar"/>
              </w:rPr>
              <w:t>PCISSD企业级+12块2.4T</w:t>
            </w:r>
            <w:r>
              <w:rPr>
                <w:rFonts w:asciiTheme="minorEastAsia" w:hAnsiTheme="minorEastAsia" w:eastAsiaTheme="minorEastAsia" w:cstheme="minorEastAsia"/>
                <w:bCs/>
                <w:szCs w:val="21"/>
                <w:lang w:bidi="ar"/>
              </w:rPr>
              <w:t xml:space="preserve"> </w:t>
            </w:r>
            <w:r>
              <w:rPr>
                <w:rFonts w:hint="eastAsia" w:asciiTheme="minorEastAsia" w:hAnsiTheme="minorEastAsia" w:eastAsiaTheme="minorEastAsia" w:cstheme="minorEastAsia"/>
                <w:bCs/>
                <w:szCs w:val="21"/>
                <w:lang w:bidi="ar"/>
              </w:rPr>
              <w:t>SAS企业级（2G缓存RAID卡带电容）硬盘</w:t>
            </w:r>
          </w:p>
        </w:tc>
        <w:tc>
          <w:tcPr>
            <w:tcW w:w="705"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74"/>
              <w:widowControl/>
              <w:numPr>
                <w:ilvl w:val="0"/>
                <w:numId w:val="48"/>
              </w:numPr>
              <w:spacing w:beforeAutospacing="0" w:afterAutospacing="0"/>
              <w:jc w:val="center"/>
              <w:rPr>
                <w:rFonts w:asciiTheme="minorEastAsia" w:hAnsiTheme="minorEastAsia" w:eastAsiaTheme="minorEastAsia" w:cstheme="minorEastAsia"/>
                <w:bCs/>
                <w:sz w:val="21"/>
                <w:szCs w:val="21"/>
              </w:rPr>
            </w:pPr>
          </w:p>
        </w:tc>
        <w:tc>
          <w:tcPr>
            <w:tcW w:w="85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3012" w:type="pct"/>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网卡：不低于双口1000MRJ45电口网卡+双口10G光纤网卡</w:t>
            </w:r>
          </w:p>
        </w:tc>
        <w:tc>
          <w:tcPr>
            <w:tcW w:w="705"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74"/>
              <w:widowControl/>
              <w:numPr>
                <w:ilvl w:val="0"/>
                <w:numId w:val="48"/>
              </w:numPr>
              <w:spacing w:beforeAutospacing="0" w:afterAutospacing="0"/>
              <w:jc w:val="center"/>
              <w:rPr>
                <w:rFonts w:asciiTheme="minorEastAsia" w:hAnsiTheme="minorEastAsia" w:eastAsiaTheme="minorEastAsia" w:cstheme="minorEastAsia"/>
                <w:bCs/>
                <w:sz w:val="21"/>
                <w:szCs w:val="21"/>
              </w:rPr>
            </w:pPr>
          </w:p>
        </w:tc>
        <w:tc>
          <w:tcPr>
            <w:tcW w:w="85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数据存储服务器配置要求</w:t>
            </w:r>
          </w:p>
        </w:tc>
        <w:tc>
          <w:tcPr>
            <w:tcW w:w="3012" w:type="pct"/>
            <w:tcBorders>
              <w:top w:val="single" w:color="auto" w:sz="4" w:space="0"/>
              <w:left w:val="single" w:color="auto" w:sz="4" w:space="0"/>
              <w:bottom w:val="single" w:color="auto" w:sz="4" w:space="0"/>
              <w:right w:val="single" w:color="auto" w:sz="4" w:space="0"/>
            </w:tcBorders>
            <w:shd w:val="clear" w:color="auto" w:fill="auto"/>
          </w:tcPr>
          <w:p>
            <w:pPr>
              <w:snapToGrid w:val="0"/>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处理器：不低于2*20核心40线程,主频2.1GHz</w:t>
            </w:r>
          </w:p>
        </w:tc>
        <w:tc>
          <w:tcPr>
            <w:tcW w:w="705"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74"/>
              <w:widowControl/>
              <w:numPr>
                <w:ilvl w:val="0"/>
                <w:numId w:val="48"/>
              </w:numPr>
              <w:spacing w:beforeAutospacing="0" w:afterAutospacing="0"/>
              <w:jc w:val="center"/>
              <w:rPr>
                <w:rFonts w:asciiTheme="minorEastAsia" w:hAnsiTheme="minorEastAsia" w:eastAsiaTheme="minorEastAsia" w:cstheme="minorEastAsia"/>
                <w:bCs/>
                <w:sz w:val="21"/>
                <w:szCs w:val="21"/>
              </w:rPr>
            </w:pPr>
          </w:p>
        </w:tc>
        <w:tc>
          <w:tcPr>
            <w:tcW w:w="85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3012" w:type="pct"/>
            <w:tcBorders>
              <w:top w:val="single" w:color="auto" w:sz="4" w:space="0"/>
              <w:left w:val="single" w:color="auto" w:sz="4" w:space="0"/>
              <w:bottom w:val="single" w:color="auto" w:sz="4" w:space="0"/>
              <w:right w:val="single" w:color="auto" w:sz="4" w:space="0"/>
            </w:tcBorders>
            <w:shd w:val="clear" w:color="auto" w:fill="auto"/>
          </w:tcPr>
          <w:p>
            <w:pPr>
              <w:snapToGrid w:val="0"/>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内存：不低于256G</w:t>
            </w:r>
            <w:r>
              <w:rPr>
                <w:rFonts w:asciiTheme="minorEastAsia" w:hAnsiTheme="minorEastAsia" w:eastAsiaTheme="minorEastAsia" w:cstheme="minorEastAsia"/>
                <w:bCs/>
                <w:szCs w:val="21"/>
              </w:rPr>
              <w:t xml:space="preserve"> </w:t>
            </w:r>
          </w:p>
        </w:tc>
        <w:tc>
          <w:tcPr>
            <w:tcW w:w="705"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74"/>
              <w:widowControl/>
              <w:numPr>
                <w:ilvl w:val="0"/>
                <w:numId w:val="48"/>
              </w:numPr>
              <w:spacing w:beforeAutospacing="0" w:afterAutospacing="0"/>
              <w:jc w:val="center"/>
              <w:rPr>
                <w:rFonts w:asciiTheme="minorEastAsia" w:hAnsiTheme="minorEastAsia" w:eastAsiaTheme="minorEastAsia" w:cstheme="minorEastAsia"/>
                <w:bCs/>
                <w:sz w:val="21"/>
                <w:szCs w:val="21"/>
              </w:rPr>
            </w:pPr>
          </w:p>
        </w:tc>
        <w:tc>
          <w:tcPr>
            <w:tcW w:w="85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3012" w:type="pct"/>
            <w:tcBorders>
              <w:top w:val="single" w:color="auto" w:sz="4" w:space="0"/>
              <w:left w:val="single" w:color="auto" w:sz="4" w:space="0"/>
              <w:bottom w:val="single" w:color="auto" w:sz="4" w:space="0"/>
              <w:right w:val="single" w:color="auto" w:sz="4" w:space="0"/>
            </w:tcBorders>
            <w:shd w:val="clear" w:color="auto" w:fill="auto"/>
          </w:tcPr>
          <w:p>
            <w:pPr>
              <w:snapToGrid w:val="0"/>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硬盘：不低于1块3.84TB</w:t>
            </w:r>
            <w:r>
              <w:rPr>
                <w:rFonts w:asciiTheme="minorEastAsia" w:hAnsiTheme="minorEastAsia" w:eastAsiaTheme="minorEastAsia" w:cstheme="minorEastAsia"/>
                <w:bCs/>
                <w:szCs w:val="21"/>
                <w:lang w:bidi="ar"/>
              </w:rPr>
              <w:t xml:space="preserve"> </w:t>
            </w:r>
            <w:r>
              <w:rPr>
                <w:rFonts w:hint="eastAsia" w:asciiTheme="minorEastAsia" w:hAnsiTheme="minorEastAsia" w:eastAsiaTheme="minorEastAsia" w:cstheme="minorEastAsia"/>
                <w:bCs/>
                <w:szCs w:val="21"/>
                <w:lang w:bidi="ar"/>
              </w:rPr>
              <w:t>2.5寸SATA</w:t>
            </w:r>
            <w:r>
              <w:rPr>
                <w:rFonts w:asciiTheme="minorEastAsia" w:hAnsiTheme="minorEastAsia" w:eastAsiaTheme="minorEastAsia" w:cstheme="minorEastAsia"/>
                <w:bCs/>
                <w:szCs w:val="21"/>
                <w:lang w:bidi="ar"/>
              </w:rPr>
              <w:t xml:space="preserve"> </w:t>
            </w:r>
            <w:r>
              <w:rPr>
                <w:rFonts w:hint="eastAsia" w:asciiTheme="minorEastAsia" w:hAnsiTheme="minorEastAsia" w:eastAsiaTheme="minorEastAsia" w:cstheme="minorEastAsia"/>
                <w:bCs/>
                <w:szCs w:val="21"/>
                <w:lang w:bidi="ar"/>
              </w:rPr>
              <w:t>6Gb</w:t>
            </w:r>
            <w:r>
              <w:rPr>
                <w:rFonts w:asciiTheme="minorEastAsia" w:hAnsiTheme="minorEastAsia" w:eastAsiaTheme="minorEastAsia" w:cstheme="minorEastAsia"/>
                <w:bCs/>
                <w:szCs w:val="21"/>
                <w:lang w:bidi="ar"/>
              </w:rPr>
              <w:t xml:space="preserve"> </w:t>
            </w:r>
            <w:r>
              <w:rPr>
                <w:rFonts w:hint="eastAsia" w:asciiTheme="minorEastAsia" w:hAnsiTheme="minorEastAsia" w:eastAsiaTheme="minorEastAsia" w:cstheme="minorEastAsia"/>
                <w:bCs/>
                <w:szCs w:val="21"/>
                <w:lang w:bidi="ar"/>
              </w:rPr>
              <w:t>SSD+24块18T</w:t>
            </w:r>
            <w:r>
              <w:rPr>
                <w:rFonts w:asciiTheme="minorEastAsia" w:hAnsiTheme="minorEastAsia" w:eastAsiaTheme="minorEastAsia" w:cstheme="minorEastAsia"/>
                <w:bCs/>
                <w:szCs w:val="21"/>
                <w:lang w:bidi="ar"/>
              </w:rPr>
              <w:t xml:space="preserve"> </w:t>
            </w:r>
            <w:r>
              <w:rPr>
                <w:rFonts w:hint="eastAsia" w:asciiTheme="minorEastAsia" w:hAnsiTheme="minorEastAsia" w:eastAsiaTheme="minorEastAsia" w:cstheme="minorEastAsia"/>
                <w:bCs/>
                <w:szCs w:val="21"/>
                <w:lang w:bidi="ar"/>
              </w:rPr>
              <w:t>SATA企业级（2G缓存RAID卡带电容）</w:t>
            </w:r>
          </w:p>
        </w:tc>
        <w:tc>
          <w:tcPr>
            <w:tcW w:w="705"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74"/>
              <w:widowControl/>
              <w:numPr>
                <w:ilvl w:val="0"/>
                <w:numId w:val="48"/>
              </w:numPr>
              <w:spacing w:beforeAutospacing="0" w:afterAutospacing="0"/>
              <w:jc w:val="center"/>
              <w:rPr>
                <w:rFonts w:asciiTheme="minorEastAsia" w:hAnsiTheme="minorEastAsia" w:eastAsiaTheme="minorEastAsia" w:cstheme="minorEastAsia"/>
                <w:bCs/>
                <w:sz w:val="21"/>
                <w:szCs w:val="21"/>
              </w:rPr>
            </w:pPr>
          </w:p>
        </w:tc>
        <w:tc>
          <w:tcPr>
            <w:tcW w:w="85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3012" w:type="pct"/>
            <w:tcBorders>
              <w:top w:val="single" w:color="auto" w:sz="4" w:space="0"/>
              <w:left w:val="single" w:color="auto" w:sz="4" w:space="0"/>
              <w:bottom w:val="single" w:color="auto" w:sz="4" w:space="0"/>
              <w:right w:val="single" w:color="auto" w:sz="4" w:space="0"/>
            </w:tcBorders>
            <w:shd w:val="clear" w:color="auto" w:fill="auto"/>
          </w:tcPr>
          <w:p>
            <w:pPr>
              <w:snapToGrid w:val="0"/>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GPU：不低于1块48GB图形处理器</w:t>
            </w:r>
          </w:p>
        </w:tc>
        <w:tc>
          <w:tcPr>
            <w:tcW w:w="705"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74"/>
              <w:widowControl/>
              <w:numPr>
                <w:ilvl w:val="0"/>
                <w:numId w:val="48"/>
              </w:numPr>
              <w:spacing w:beforeAutospacing="0" w:afterAutospacing="0"/>
              <w:jc w:val="center"/>
              <w:rPr>
                <w:rFonts w:asciiTheme="minorEastAsia" w:hAnsiTheme="minorEastAsia" w:eastAsiaTheme="minorEastAsia" w:cstheme="minorEastAsia"/>
                <w:bCs/>
                <w:sz w:val="21"/>
                <w:szCs w:val="21"/>
              </w:rPr>
            </w:pPr>
          </w:p>
        </w:tc>
        <w:tc>
          <w:tcPr>
            <w:tcW w:w="85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3012" w:type="pct"/>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网卡：不低于双口1000M</w:t>
            </w:r>
            <w:r>
              <w:rPr>
                <w:rFonts w:asciiTheme="minorEastAsia" w:hAnsiTheme="minorEastAsia" w:eastAsiaTheme="minorEastAsia" w:cstheme="minorEastAsia"/>
                <w:bCs/>
                <w:szCs w:val="21"/>
                <w:lang w:bidi="ar"/>
              </w:rPr>
              <w:t xml:space="preserve"> </w:t>
            </w:r>
            <w:r>
              <w:rPr>
                <w:rFonts w:hint="eastAsia" w:asciiTheme="minorEastAsia" w:hAnsiTheme="minorEastAsia" w:eastAsiaTheme="minorEastAsia" w:cstheme="minorEastAsia"/>
                <w:bCs/>
                <w:szCs w:val="21"/>
                <w:lang w:bidi="ar"/>
              </w:rPr>
              <w:t>RJ45电口网卡+双口10G光纤网卡</w:t>
            </w:r>
          </w:p>
        </w:tc>
        <w:tc>
          <w:tcPr>
            <w:tcW w:w="705"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74"/>
              <w:widowControl/>
              <w:numPr>
                <w:ilvl w:val="0"/>
                <w:numId w:val="48"/>
              </w:numPr>
              <w:spacing w:beforeAutospacing="0" w:afterAutospacing="0"/>
              <w:jc w:val="center"/>
              <w:rPr>
                <w:rFonts w:asciiTheme="minorEastAsia" w:hAnsiTheme="minorEastAsia" w:eastAsiaTheme="minorEastAsia" w:cstheme="minorEastAsia"/>
                <w:bCs/>
                <w:sz w:val="21"/>
                <w:szCs w:val="21"/>
              </w:rPr>
            </w:pPr>
          </w:p>
        </w:tc>
        <w:tc>
          <w:tcPr>
            <w:tcW w:w="85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交换机配置要求</w:t>
            </w:r>
          </w:p>
        </w:tc>
        <w:tc>
          <w:tcPr>
            <w:tcW w:w="3012" w:type="pct"/>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万兆交换机，24个10GESFP+端口+4个40GEQSFP端口</w:t>
            </w:r>
          </w:p>
        </w:tc>
        <w:tc>
          <w:tcPr>
            <w:tcW w:w="705"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74"/>
              <w:widowControl/>
              <w:numPr>
                <w:ilvl w:val="0"/>
                <w:numId w:val="48"/>
              </w:numPr>
              <w:spacing w:beforeAutospacing="0" w:afterAutospacing="0"/>
              <w:jc w:val="center"/>
              <w:rPr>
                <w:rFonts w:asciiTheme="minorEastAsia" w:hAnsiTheme="minorEastAsia" w:eastAsiaTheme="minorEastAsia" w:cstheme="minorEastAsia"/>
                <w:bCs/>
                <w:sz w:val="21"/>
                <w:szCs w:val="21"/>
              </w:rPr>
            </w:pPr>
          </w:p>
        </w:tc>
        <w:tc>
          <w:tcPr>
            <w:tcW w:w="85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3012" w:type="pct"/>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不低于5个光模块</w:t>
            </w:r>
          </w:p>
        </w:tc>
        <w:tc>
          <w:tcPr>
            <w:tcW w:w="705"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74"/>
              <w:widowControl/>
              <w:numPr>
                <w:ilvl w:val="0"/>
                <w:numId w:val="48"/>
              </w:numPr>
              <w:spacing w:beforeAutospacing="0" w:afterAutospacing="0"/>
              <w:jc w:val="center"/>
              <w:rPr>
                <w:rFonts w:asciiTheme="minorEastAsia" w:hAnsiTheme="minorEastAsia" w:eastAsiaTheme="minorEastAsia" w:cstheme="minorEastAsia"/>
                <w:bCs/>
                <w:sz w:val="21"/>
                <w:szCs w:val="21"/>
              </w:rPr>
            </w:pPr>
          </w:p>
        </w:tc>
        <w:tc>
          <w:tcPr>
            <w:tcW w:w="854"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机柜配置要求</w:t>
            </w:r>
          </w:p>
        </w:tc>
        <w:tc>
          <w:tcPr>
            <w:tcW w:w="3012" w:type="pct"/>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42U机柜（600*1000*2000），包含4个机柜专用PDU（16A/3200W/8位国标孔）</w:t>
            </w:r>
          </w:p>
        </w:tc>
        <w:tc>
          <w:tcPr>
            <w:tcW w:w="705"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74"/>
              <w:widowControl/>
              <w:numPr>
                <w:ilvl w:val="0"/>
                <w:numId w:val="48"/>
              </w:numPr>
              <w:spacing w:beforeAutospacing="0" w:afterAutospacing="0"/>
              <w:jc w:val="center"/>
              <w:rPr>
                <w:rFonts w:asciiTheme="minorEastAsia" w:hAnsiTheme="minorEastAsia" w:eastAsiaTheme="minorEastAsia" w:cstheme="minorEastAsia"/>
                <w:bCs/>
                <w:sz w:val="21"/>
                <w:szCs w:val="21"/>
              </w:rPr>
            </w:pPr>
          </w:p>
        </w:tc>
        <w:tc>
          <w:tcPr>
            <w:tcW w:w="854"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基本能力</w:t>
            </w:r>
          </w:p>
        </w:tc>
        <w:tc>
          <w:tcPr>
            <w:tcW w:w="3012" w:type="pct"/>
            <w:tcBorders>
              <w:top w:val="single" w:color="auto" w:sz="4" w:space="0"/>
              <w:left w:val="single" w:color="auto" w:sz="4" w:space="0"/>
              <w:bottom w:val="single" w:color="auto" w:sz="4" w:space="0"/>
              <w:right w:val="single" w:color="auto" w:sz="4" w:space="0"/>
            </w:tcBorders>
            <w:shd w:val="clear" w:color="auto" w:fill="auto"/>
          </w:tcPr>
          <w:p>
            <w:pPr>
              <w:pStyle w:val="74"/>
              <w:widowControl/>
              <w:adjustRightInd w:val="0"/>
              <w:snapToGrid w:val="0"/>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bidi="ar"/>
              </w:rPr>
              <w:t>支持统一的用户登录、门户首页、系统管理、系统配置；支持基础信息的管理，包括区域管理、单位管理、系统用户管理、角色管理、操作日志等不少于5种基础配置信息的管理</w:t>
            </w:r>
          </w:p>
        </w:tc>
        <w:tc>
          <w:tcPr>
            <w:tcW w:w="705"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74"/>
              <w:widowControl/>
              <w:numPr>
                <w:ilvl w:val="0"/>
                <w:numId w:val="48"/>
              </w:numPr>
              <w:spacing w:beforeAutospacing="0" w:afterAutospacing="0"/>
              <w:jc w:val="center"/>
              <w:rPr>
                <w:rFonts w:asciiTheme="minorEastAsia" w:hAnsiTheme="minorEastAsia" w:eastAsiaTheme="minorEastAsia" w:cstheme="minorEastAsia"/>
                <w:bCs/>
                <w:sz w:val="21"/>
                <w:szCs w:val="21"/>
              </w:rPr>
            </w:pPr>
          </w:p>
        </w:tc>
        <w:tc>
          <w:tcPr>
            <w:tcW w:w="854"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lang w:bidi="ar"/>
              </w:rPr>
            </w:pPr>
            <w:r>
              <w:rPr>
                <w:rFonts w:hint="eastAsia" w:asciiTheme="minorEastAsia" w:hAnsiTheme="minorEastAsia" w:eastAsiaTheme="minorEastAsia" w:cstheme="minorEastAsia"/>
                <w:szCs w:val="21"/>
                <w:lang w:bidi="ar"/>
              </w:rPr>
              <w:t>数据挖掘1</w:t>
            </w:r>
          </w:p>
        </w:tc>
        <w:tc>
          <w:tcPr>
            <w:tcW w:w="3012" w:type="pct"/>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rPr>
                <w:rFonts w:asciiTheme="minorEastAsia" w:hAnsiTheme="minorEastAsia" w:eastAsiaTheme="minorEastAsia" w:cstheme="minorEastAsia"/>
                <w:bCs/>
                <w:szCs w:val="21"/>
              </w:rPr>
            </w:pPr>
            <w:r>
              <w:rPr>
                <w:rFonts w:hint="eastAsia" w:asciiTheme="minorEastAsia" w:hAnsiTheme="minorEastAsia" w:eastAsiaTheme="minorEastAsia" w:cstheme="minorEastAsia"/>
                <w:szCs w:val="21"/>
                <w:lang w:bidi="ar"/>
              </w:rPr>
              <w:t>支持实体对象识别挖掘，包括身份证、银行卡、车牌、手机号、邮箱账号、虚拟账号、二维码内容等不低于7种实体数据的挖掘和提取</w:t>
            </w:r>
          </w:p>
        </w:tc>
        <w:tc>
          <w:tcPr>
            <w:tcW w:w="705"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74"/>
              <w:widowControl/>
              <w:numPr>
                <w:ilvl w:val="0"/>
                <w:numId w:val="48"/>
              </w:numPr>
              <w:spacing w:beforeAutospacing="0" w:afterAutospacing="0"/>
              <w:jc w:val="center"/>
              <w:rPr>
                <w:rFonts w:asciiTheme="minorEastAsia" w:hAnsiTheme="minorEastAsia" w:eastAsiaTheme="minorEastAsia" w:cstheme="minorEastAsia"/>
                <w:bCs/>
                <w:sz w:val="21"/>
                <w:szCs w:val="21"/>
              </w:rPr>
            </w:pPr>
          </w:p>
        </w:tc>
        <w:tc>
          <w:tcPr>
            <w:tcW w:w="854"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lang w:bidi="ar"/>
              </w:rPr>
            </w:pPr>
            <w:r>
              <w:rPr>
                <w:rFonts w:hint="eastAsia" w:asciiTheme="minorEastAsia" w:hAnsiTheme="minorEastAsia" w:eastAsiaTheme="minorEastAsia" w:cstheme="minorEastAsia"/>
                <w:szCs w:val="21"/>
                <w:lang w:bidi="ar"/>
              </w:rPr>
              <w:t>数据挖掘2</w:t>
            </w:r>
          </w:p>
        </w:tc>
        <w:tc>
          <w:tcPr>
            <w:tcW w:w="3012" w:type="pct"/>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rPr>
                <w:rFonts w:asciiTheme="minorEastAsia" w:hAnsiTheme="minorEastAsia" w:eastAsiaTheme="minorEastAsia" w:cstheme="minorEastAsia"/>
                <w:bCs/>
                <w:szCs w:val="21"/>
              </w:rPr>
            </w:pPr>
            <w:r>
              <w:rPr>
                <w:rFonts w:hint="eastAsia" w:asciiTheme="minorEastAsia" w:hAnsiTheme="minorEastAsia" w:eastAsiaTheme="minorEastAsia" w:cstheme="minorEastAsia"/>
                <w:szCs w:val="21"/>
                <w:lang w:bidi="ar"/>
              </w:rPr>
              <w:t>支持图片识别挖掘，支持对涉案数据中的图片进行OCR识别，不低于3种图片格式的OCR识别</w:t>
            </w:r>
          </w:p>
        </w:tc>
        <w:tc>
          <w:tcPr>
            <w:tcW w:w="705"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74"/>
              <w:widowControl/>
              <w:numPr>
                <w:ilvl w:val="0"/>
                <w:numId w:val="48"/>
              </w:numPr>
              <w:spacing w:beforeAutospacing="0" w:afterAutospacing="0"/>
              <w:jc w:val="center"/>
              <w:rPr>
                <w:rFonts w:asciiTheme="minorEastAsia" w:hAnsiTheme="minorEastAsia" w:eastAsiaTheme="minorEastAsia" w:cstheme="minorEastAsia"/>
                <w:bCs/>
                <w:sz w:val="21"/>
                <w:szCs w:val="21"/>
              </w:rPr>
            </w:pPr>
          </w:p>
        </w:tc>
        <w:tc>
          <w:tcPr>
            <w:tcW w:w="854"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lang w:bidi="ar"/>
              </w:rPr>
            </w:pPr>
            <w:r>
              <w:rPr>
                <w:rFonts w:hint="eastAsia" w:asciiTheme="minorEastAsia" w:hAnsiTheme="minorEastAsia" w:eastAsiaTheme="minorEastAsia" w:cstheme="minorEastAsia"/>
                <w:szCs w:val="21"/>
                <w:lang w:bidi="ar"/>
              </w:rPr>
              <w:t>其他分析</w:t>
            </w:r>
          </w:p>
        </w:tc>
        <w:tc>
          <w:tcPr>
            <w:tcW w:w="3012" w:type="pct"/>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rPr>
                <w:rFonts w:asciiTheme="minorEastAsia" w:hAnsiTheme="minorEastAsia" w:eastAsiaTheme="minorEastAsia" w:cstheme="minorEastAsia"/>
                <w:szCs w:val="21"/>
                <w:lang w:bidi="ar"/>
              </w:rPr>
            </w:pPr>
            <w:r>
              <w:rPr>
                <w:rFonts w:hint="eastAsia" w:asciiTheme="minorEastAsia" w:hAnsiTheme="minorEastAsia" w:eastAsiaTheme="minorEastAsia" w:cstheme="minorEastAsia"/>
                <w:szCs w:val="21"/>
                <w:lang w:bidi="ar"/>
              </w:rPr>
              <w:t>支持时序分析、地理分析、通联分析等不少于3三种分析技战法</w:t>
            </w:r>
          </w:p>
        </w:tc>
        <w:tc>
          <w:tcPr>
            <w:tcW w:w="705"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bCs/>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74"/>
              <w:widowControl/>
              <w:numPr>
                <w:ilvl w:val="0"/>
                <w:numId w:val="48"/>
              </w:numPr>
              <w:spacing w:beforeAutospacing="0" w:afterAutospacing="0"/>
              <w:jc w:val="center"/>
              <w:rPr>
                <w:rFonts w:asciiTheme="minorEastAsia" w:hAnsiTheme="minorEastAsia" w:eastAsiaTheme="minorEastAsia" w:cstheme="minorEastAsia"/>
                <w:bCs/>
                <w:sz w:val="21"/>
                <w:szCs w:val="21"/>
              </w:rPr>
            </w:pPr>
          </w:p>
        </w:tc>
        <w:tc>
          <w:tcPr>
            <w:tcW w:w="854"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数据API接口</w:t>
            </w:r>
          </w:p>
        </w:tc>
        <w:tc>
          <w:tcPr>
            <w:tcW w:w="3012" w:type="pct"/>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支持开放的数据API接口，供大数据系统抽取本系统内数据</w:t>
            </w:r>
          </w:p>
        </w:tc>
        <w:tc>
          <w:tcPr>
            <w:tcW w:w="705"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w:t>
            </w:r>
          </w:p>
        </w:tc>
      </w:tr>
    </w:tbl>
    <w:p>
      <w:pPr>
        <w:rPr>
          <w:rFonts w:asciiTheme="minorEastAsia" w:hAnsiTheme="minorEastAsia" w:eastAsiaTheme="minorEastAsia" w:cstheme="minorEastAsia"/>
          <w:bCs/>
          <w:szCs w:val="21"/>
        </w:rPr>
      </w:pPr>
    </w:p>
    <w:p>
      <w:pPr>
        <w:pStyle w:val="5"/>
        <w:spacing w:before="156"/>
        <w:rPr>
          <w:rFonts w:asciiTheme="minorEastAsia" w:hAnsiTheme="minorEastAsia" w:eastAsiaTheme="minorEastAsia" w:cstheme="minorEastAsia"/>
          <w:b/>
          <w:bCs w:val="0"/>
          <w:szCs w:val="21"/>
        </w:rPr>
      </w:pPr>
      <w:r>
        <w:rPr>
          <w:rFonts w:hint="eastAsia" w:asciiTheme="minorEastAsia" w:hAnsiTheme="minorEastAsia" w:eastAsiaTheme="minorEastAsia" w:cstheme="minorEastAsia"/>
          <w:szCs w:val="21"/>
        </w:rPr>
        <w:t>第1包 实验室管理系统</w:t>
      </w:r>
      <w:r>
        <w:rPr>
          <w:rFonts w:hint="default" w:ascii="Times New Roman" w:hAnsi="Times New Roman" w:cs="Times New Roman" w:eastAsiaTheme="minorEastAsia"/>
          <w:szCs w:val="21"/>
        </w:rPr>
        <w:t>Ⅰ</w:t>
      </w:r>
    </w:p>
    <w:tbl>
      <w:tblPr>
        <w:tblStyle w:val="81"/>
        <w:tblW w:w="46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1330"/>
        <w:gridCol w:w="4483"/>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blHeader/>
          <w:jc w:val="center"/>
        </w:trPr>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序号</w:t>
            </w:r>
          </w:p>
        </w:tc>
        <w:tc>
          <w:tcPr>
            <w:tcW w:w="83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lang w:bidi="ar"/>
              </w:rPr>
              <w:t>指标项</w:t>
            </w:r>
          </w:p>
        </w:tc>
        <w:tc>
          <w:tcPr>
            <w:tcW w:w="282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lang w:bidi="ar"/>
              </w:rPr>
              <w:t>技术要求</w:t>
            </w:r>
          </w:p>
        </w:tc>
        <w:tc>
          <w:tcPr>
            <w:tcW w:w="79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lang w:bidi="ar"/>
              </w:rPr>
              <w:t>证明材料要求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blHeader/>
          <w:jc w:val="center"/>
        </w:trPr>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49"/>
              </w:numPr>
              <w:jc w:val="center"/>
              <w:textAlignment w:val="center"/>
              <w:rPr>
                <w:rFonts w:asciiTheme="minorEastAsia" w:hAnsiTheme="minorEastAsia" w:eastAsiaTheme="minorEastAsia" w:cstheme="minorEastAsia"/>
                <w:bCs/>
                <w:color w:val="000000"/>
                <w:kern w:val="0"/>
                <w:szCs w:val="21"/>
                <w:lang w:bidi="ar"/>
              </w:rPr>
            </w:pPr>
          </w:p>
        </w:tc>
        <w:tc>
          <w:tcPr>
            <w:tcW w:w="83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CPU</w:t>
            </w:r>
          </w:p>
        </w:tc>
        <w:tc>
          <w:tcPr>
            <w:tcW w:w="2829"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≥2*12核心，≥2*24线程，主频不低于2.2GHz</w:t>
            </w:r>
          </w:p>
        </w:tc>
        <w:tc>
          <w:tcPr>
            <w:tcW w:w="79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blHeader/>
          <w:jc w:val="center"/>
        </w:trPr>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49"/>
              </w:numPr>
              <w:jc w:val="center"/>
              <w:textAlignment w:val="center"/>
              <w:rPr>
                <w:rFonts w:asciiTheme="minorEastAsia" w:hAnsiTheme="minorEastAsia" w:eastAsiaTheme="minorEastAsia" w:cstheme="minorEastAsia"/>
                <w:bCs/>
                <w:color w:val="000000"/>
                <w:kern w:val="0"/>
                <w:szCs w:val="21"/>
                <w:lang w:bidi="ar"/>
              </w:rPr>
            </w:pPr>
          </w:p>
        </w:tc>
        <w:tc>
          <w:tcPr>
            <w:tcW w:w="83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内存</w:t>
            </w:r>
          </w:p>
        </w:tc>
        <w:tc>
          <w:tcPr>
            <w:tcW w:w="2829"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≥64G内存</w:t>
            </w:r>
          </w:p>
        </w:tc>
        <w:tc>
          <w:tcPr>
            <w:tcW w:w="79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blHeader/>
          <w:jc w:val="center"/>
        </w:trPr>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49"/>
              </w:numPr>
              <w:jc w:val="center"/>
              <w:textAlignment w:val="center"/>
              <w:rPr>
                <w:rFonts w:asciiTheme="minorEastAsia" w:hAnsiTheme="minorEastAsia" w:eastAsiaTheme="minorEastAsia" w:cstheme="minorEastAsia"/>
                <w:bCs/>
                <w:color w:val="000000"/>
                <w:kern w:val="0"/>
                <w:szCs w:val="21"/>
                <w:lang w:bidi="ar"/>
              </w:rPr>
            </w:pPr>
          </w:p>
        </w:tc>
        <w:tc>
          <w:tcPr>
            <w:tcW w:w="83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存储</w:t>
            </w:r>
          </w:p>
        </w:tc>
        <w:tc>
          <w:tcPr>
            <w:tcW w:w="2829"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≥2*1.2TB</w:t>
            </w:r>
            <w:r>
              <w:rPr>
                <w:rFonts w:asciiTheme="minorEastAsia" w:hAnsiTheme="minorEastAsia" w:eastAsiaTheme="minorEastAsia" w:cstheme="minorEastAsia"/>
                <w:bCs/>
                <w:color w:val="000000"/>
                <w:kern w:val="0"/>
                <w:szCs w:val="21"/>
                <w:lang w:bidi="ar"/>
              </w:rPr>
              <w:t xml:space="preserve"> </w:t>
            </w:r>
            <w:r>
              <w:rPr>
                <w:rFonts w:hint="eastAsia" w:asciiTheme="minorEastAsia" w:hAnsiTheme="minorEastAsia" w:eastAsiaTheme="minorEastAsia" w:cstheme="minorEastAsia"/>
                <w:bCs/>
                <w:color w:val="000000"/>
                <w:kern w:val="0"/>
                <w:szCs w:val="21"/>
                <w:lang w:bidi="ar"/>
              </w:rPr>
              <w:t>SAS</w:t>
            </w:r>
            <w:r>
              <w:rPr>
                <w:rFonts w:asciiTheme="minorEastAsia" w:hAnsiTheme="minorEastAsia" w:eastAsiaTheme="minorEastAsia" w:cstheme="minorEastAsia"/>
                <w:bCs/>
                <w:color w:val="000000"/>
                <w:kern w:val="0"/>
                <w:szCs w:val="21"/>
                <w:lang w:bidi="ar"/>
              </w:rPr>
              <w:t xml:space="preserve"> </w:t>
            </w:r>
            <w:r>
              <w:rPr>
                <w:rFonts w:hint="eastAsia" w:asciiTheme="minorEastAsia" w:hAnsiTheme="minorEastAsia" w:eastAsiaTheme="minorEastAsia" w:cstheme="minorEastAsia"/>
                <w:bCs/>
                <w:color w:val="000000"/>
                <w:kern w:val="0"/>
                <w:szCs w:val="21"/>
                <w:lang w:bidi="ar"/>
              </w:rPr>
              <w:t>10K</w:t>
            </w:r>
            <w:r>
              <w:rPr>
                <w:rFonts w:asciiTheme="minorEastAsia" w:hAnsiTheme="minorEastAsia" w:eastAsiaTheme="minorEastAsia" w:cstheme="minorEastAsia"/>
                <w:bCs/>
                <w:color w:val="000000"/>
                <w:kern w:val="0"/>
                <w:szCs w:val="21"/>
                <w:lang w:bidi="ar"/>
              </w:rPr>
              <w:t xml:space="preserve"> </w:t>
            </w:r>
            <w:r>
              <w:rPr>
                <w:rFonts w:hint="eastAsia" w:asciiTheme="minorEastAsia" w:hAnsiTheme="minorEastAsia" w:eastAsiaTheme="minorEastAsia" w:cstheme="minorEastAsia"/>
                <w:bCs/>
                <w:color w:val="000000"/>
                <w:kern w:val="0"/>
                <w:szCs w:val="21"/>
                <w:lang w:bidi="ar"/>
              </w:rPr>
              <w:t>2.5”+12*4TB</w:t>
            </w:r>
            <w:r>
              <w:rPr>
                <w:rFonts w:asciiTheme="minorEastAsia" w:hAnsiTheme="minorEastAsia" w:eastAsiaTheme="minorEastAsia" w:cstheme="minorEastAsia"/>
                <w:bCs/>
                <w:color w:val="000000"/>
                <w:kern w:val="0"/>
                <w:szCs w:val="21"/>
                <w:lang w:bidi="ar"/>
              </w:rPr>
              <w:t xml:space="preserve"> </w:t>
            </w:r>
            <w:r>
              <w:rPr>
                <w:rFonts w:hint="eastAsia" w:asciiTheme="minorEastAsia" w:hAnsiTheme="minorEastAsia" w:eastAsiaTheme="minorEastAsia" w:cstheme="minorEastAsia"/>
                <w:bCs/>
                <w:color w:val="000000"/>
                <w:kern w:val="0"/>
                <w:szCs w:val="21"/>
                <w:lang w:bidi="ar"/>
              </w:rPr>
              <w:t>NL-SAS</w:t>
            </w:r>
            <w:r>
              <w:rPr>
                <w:rFonts w:asciiTheme="minorEastAsia" w:hAnsiTheme="minorEastAsia" w:eastAsiaTheme="minorEastAsia" w:cstheme="minorEastAsia"/>
                <w:bCs/>
                <w:color w:val="000000"/>
                <w:kern w:val="0"/>
                <w:szCs w:val="21"/>
                <w:lang w:bidi="ar"/>
              </w:rPr>
              <w:t xml:space="preserve"> </w:t>
            </w:r>
            <w:r>
              <w:rPr>
                <w:rFonts w:hint="eastAsia" w:asciiTheme="minorEastAsia" w:hAnsiTheme="minorEastAsia" w:eastAsiaTheme="minorEastAsia" w:cstheme="minorEastAsia"/>
                <w:bCs/>
                <w:color w:val="000000"/>
                <w:kern w:val="0"/>
                <w:szCs w:val="21"/>
                <w:lang w:bidi="ar"/>
              </w:rPr>
              <w:t>7.2K</w:t>
            </w:r>
            <w:r>
              <w:rPr>
                <w:rFonts w:asciiTheme="minorEastAsia" w:hAnsiTheme="minorEastAsia" w:eastAsiaTheme="minorEastAsia" w:cstheme="minorEastAsia"/>
                <w:bCs/>
                <w:color w:val="000000"/>
                <w:kern w:val="0"/>
                <w:szCs w:val="21"/>
                <w:lang w:bidi="ar"/>
              </w:rPr>
              <w:t xml:space="preserve"> </w:t>
            </w:r>
            <w:r>
              <w:rPr>
                <w:rFonts w:hint="eastAsia" w:asciiTheme="minorEastAsia" w:hAnsiTheme="minorEastAsia" w:eastAsiaTheme="minorEastAsia" w:cstheme="minorEastAsia"/>
                <w:bCs/>
                <w:color w:val="000000"/>
                <w:kern w:val="0"/>
                <w:szCs w:val="21"/>
                <w:lang w:bidi="ar"/>
              </w:rPr>
              <w:t>3.5”存储硬盘</w:t>
            </w:r>
          </w:p>
        </w:tc>
        <w:tc>
          <w:tcPr>
            <w:tcW w:w="79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blHeader/>
          <w:jc w:val="center"/>
        </w:trPr>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49"/>
              </w:numPr>
              <w:jc w:val="center"/>
              <w:textAlignment w:val="center"/>
              <w:rPr>
                <w:rFonts w:asciiTheme="minorEastAsia" w:hAnsiTheme="minorEastAsia" w:eastAsiaTheme="minorEastAsia" w:cstheme="minorEastAsia"/>
                <w:bCs/>
                <w:color w:val="000000"/>
                <w:kern w:val="0"/>
                <w:szCs w:val="21"/>
                <w:lang w:bidi="ar"/>
              </w:rPr>
            </w:pPr>
          </w:p>
        </w:tc>
        <w:tc>
          <w:tcPr>
            <w:tcW w:w="83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网卡</w:t>
            </w:r>
          </w:p>
        </w:tc>
        <w:tc>
          <w:tcPr>
            <w:tcW w:w="2829"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≥双口1000M</w:t>
            </w:r>
            <w:r>
              <w:rPr>
                <w:rFonts w:asciiTheme="minorEastAsia" w:hAnsiTheme="minorEastAsia" w:eastAsiaTheme="minorEastAsia" w:cstheme="minorEastAsia"/>
                <w:bCs/>
                <w:color w:val="000000"/>
                <w:kern w:val="0"/>
                <w:szCs w:val="21"/>
                <w:lang w:bidi="ar"/>
              </w:rPr>
              <w:t xml:space="preserve"> </w:t>
            </w:r>
            <w:r>
              <w:rPr>
                <w:rFonts w:hint="eastAsia" w:asciiTheme="minorEastAsia" w:hAnsiTheme="minorEastAsia" w:eastAsiaTheme="minorEastAsia" w:cstheme="minorEastAsia"/>
                <w:bCs/>
                <w:color w:val="000000"/>
                <w:kern w:val="0"/>
                <w:szCs w:val="21"/>
                <w:lang w:bidi="ar"/>
              </w:rPr>
              <w:t>RJ45电口网卡+双口10G光纤网卡</w:t>
            </w:r>
          </w:p>
        </w:tc>
        <w:tc>
          <w:tcPr>
            <w:tcW w:w="79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blHeader/>
          <w:jc w:val="center"/>
        </w:trPr>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49"/>
              </w:numPr>
              <w:jc w:val="center"/>
              <w:textAlignment w:val="center"/>
              <w:rPr>
                <w:rFonts w:asciiTheme="minorEastAsia" w:hAnsiTheme="minorEastAsia" w:eastAsiaTheme="minorEastAsia" w:cstheme="minorEastAsia"/>
                <w:bCs/>
                <w:color w:val="000000"/>
                <w:kern w:val="0"/>
                <w:szCs w:val="21"/>
                <w:lang w:bidi="ar"/>
              </w:rPr>
            </w:pPr>
          </w:p>
        </w:tc>
        <w:tc>
          <w:tcPr>
            <w:tcW w:w="83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阵列卡</w:t>
            </w:r>
          </w:p>
        </w:tc>
        <w:tc>
          <w:tcPr>
            <w:tcW w:w="2829"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≥RAID_2G_12Gbps带超级电容</w:t>
            </w:r>
          </w:p>
        </w:tc>
        <w:tc>
          <w:tcPr>
            <w:tcW w:w="79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blHeader/>
          <w:jc w:val="center"/>
        </w:trPr>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49"/>
              </w:numPr>
              <w:jc w:val="center"/>
              <w:textAlignment w:val="center"/>
              <w:rPr>
                <w:rFonts w:asciiTheme="minorEastAsia" w:hAnsiTheme="minorEastAsia" w:eastAsiaTheme="minorEastAsia" w:cstheme="minorEastAsia"/>
                <w:bCs/>
                <w:color w:val="000000"/>
                <w:kern w:val="0"/>
                <w:szCs w:val="21"/>
                <w:lang w:bidi="ar"/>
              </w:rPr>
            </w:pPr>
          </w:p>
        </w:tc>
        <w:tc>
          <w:tcPr>
            <w:tcW w:w="83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szCs w:val="21"/>
                <w:lang w:bidi="ar"/>
              </w:rPr>
              <w:t>统计与数据管理</w:t>
            </w:r>
          </w:p>
        </w:tc>
        <w:tc>
          <w:tcPr>
            <w:tcW w:w="2829"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szCs w:val="21"/>
                <w:lang w:bidi="ar"/>
              </w:rPr>
              <w:t>支持首页按人员角色统计和展示待办事项，支持案件、人员、检材、装备的数量等不低于4种维度统计</w:t>
            </w:r>
          </w:p>
        </w:tc>
        <w:tc>
          <w:tcPr>
            <w:tcW w:w="79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blHeader/>
          <w:jc w:val="center"/>
        </w:trPr>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49"/>
              </w:numPr>
              <w:jc w:val="center"/>
              <w:textAlignment w:val="center"/>
              <w:rPr>
                <w:rFonts w:asciiTheme="minorEastAsia" w:hAnsiTheme="minorEastAsia" w:eastAsiaTheme="minorEastAsia" w:cstheme="minorEastAsia"/>
                <w:bCs/>
                <w:color w:val="000000"/>
                <w:kern w:val="0"/>
                <w:szCs w:val="21"/>
                <w:lang w:bidi="ar"/>
              </w:rPr>
            </w:pPr>
          </w:p>
        </w:tc>
        <w:tc>
          <w:tcPr>
            <w:tcW w:w="839"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2829"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kern w:val="0"/>
                <w:szCs w:val="21"/>
                <w:lang w:bidi="ar"/>
              </w:rPr>
            </w:pPr>
            <w:r>
              <w:rPr>
                <w:rFonts w:hint="eastAsia" w:asciiTheme="minorEastAsia" w:hAnsiTheme="minorEastAsia" w:eastAsiaTheme="minorEastAsia" w:cstheme="minorEastAsia"/>
                <w:bCs/>
                <w:kern w:val="0"/>
                <w:szCs w:val="21"/>
                <w:lang w:bidi="ar"/>
              </w:rPr>
              <w:t>支持委托编号、检材编号的等不低于2种自定义配置</w:t>
            </w:r>
          </w:p>
        </w:tc>
        <w:tc>
          <w:tcPr>
            <w:tcW w:w="79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blHeader/>
          <w:jc w:val="center"/>
        </w:trPr>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49"/>
              </w:numPr>
              <w:jc w:val="center"/>
              <w:textAlignment w:val="center"/>
              <w:rPr>
                <w:rFonts w:asciiTheme="minorEastAsia" w:hAnsiTheme="minorEastAsia" w:eastAsiaTheme="minorEastAsia" w:cstheme="minorEastAsia"/>
                <w:bCs/>
                <w:color w:val="000000"/>
                <w:kern w:val="0"/>
                <w:szCs w:val="21"/>
                <w:lang w:bidi="ar"/>
              </w:rPr>
            </w:pPr>
          </w:p>
        </w:tc>
        <w:tc>
          <w:tcPr>
            <w:tcW w:w="83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系统与用户管理能力</w:t>
            </w:r>
          </w:p>
        </w:tc>
        <w:tc>
          <w:tcPr>
            <w:tcW w:w="2829"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kern w:val="0"/>
                <w:szCs w:val="21"/>
                <w:lang w:bidi="ar"/>
              </w:rPr>
            </w:pPr>
            <w:r>
              <w:rPr>
                <w:rFonts w:hint="eastAsia" w:asciiTheme="minorEastAsia" w:hAnsiTheme="minorEastAsia" w:eastAsiaTheme="minorEastAsia" w:cstheme="minorEastAsia"/>
                <w:bCs/>
                <w:kern w:val="0"/>
                <w:szCs w:val="21"/>
                <w:lang w:bidi="ar"/>
              </w:rPr>
              <w:t>支持用户信息管理，多个用户可以同时登录系统，支持一人多案、多人一案的工作模式，支持人员信息关联人员培训记录、人员监督记录等不低于2种记录方式</w:t>
            </w:r>
          </w:p>
        </w:tc>
        <w:tc>
          <w:tcPr>
            <w:tcW w:w="79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blHeader/>
          <w:jc w:val="center"/>
        </w:trPr>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49"/>
              </w:numPr>
              <w:jc w:val="center"/>
              <w:textAlignment w:val="center"/>
              <w:rPr>
                <w:rFonts w:asciiTheme="minorEastAsia" w:hAnsiTheme="minorEastAsia" w:eastAsiaTheme="minorEastAsia" w:cstheme="minorEastAsia"/>
                <w:bCs/>
                <w:color w:val="000000"/>
                <w:kern w:val="0"/>
                <w:szCs w:val="21"/>
                <w:lang w:bidi="ar"/>
              </w:rPr>
            </w:pPr>
          </w:p>
        </w:tc>
        <w:tc>
          <w:tcPr>
            <w:tcW w:w="83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2829"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kern w:val="0"/>
                <w:szCs w:val="21"/>
                <w:lang w:bidi="ar"/>
              </w:rPr>
            </w:pPr>
            <w:r>
              <w:rPr>
                <w:rFonts w:hint="eastAsia" w:asciiTheme="minorEastAsia" w:hAnsiTheme="minorEastAsia" w:eastAsiaTheme="minorEastAsia" w:cstheme="minorEastAsia"/>
                <w:kern w:val="0"/>
                <w:szCs w:val="21"/>
                <w:lang w:bidi="ar"/>
              </w:rPr>
              <w:t>支持委托单位、联系人等不低于2种管理</w:t>
            </w:r>
          </w:p>
        </w:tc>
        <w:tc>
          <w:tcPr>
            <w:tcW w:w="79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blHeader/>
          <w:jc w:val="center"/>
        </w:trPr>
        <w:tc>
          <w:tcPr>
            <w:tcW w:w="53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49"/>
              </w:numPr>
              <w:jc w:val="center"/>
              <w:textAlignment w:val="center"/>
              <w:rPr>
                <w:rFonts w:asciiTheme="minorEastAsia" w:hAnsiTheme="minorEastAsia" w:eastAsiaTheme="minorEastAsia" w:cstheme="minorEastAsia"/>
                <w:bCs/>
                <w:color w:val="000000"/>
                <w:kern w:val="0"/>
                <w:szCs w:val="21"/>
                <w:lang w:bidi="ar"/>
              </w:rPr>
            </w:pPr>
          </w:p>
        </w:tc>
        <w:tc>
          <w:tcPr>
            <w:tcW w:w="83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数据接口</w:t>
            </w:r>
          </w:p>
        </w:tc>
        <w:tc>
          <w:tcPr>
            <w:tcW w:w="2829"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开放系统数据库权限，供大数据系统抽取本系统内数据</w:t>
            </w:r>
          </w:p>
        </w:tc>
        <w:tc>
          <w:tcPr>
            <w:tcW w:w="79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w:t>
            </w:r>
          </w:p>
        </w:tc>
      </w:tr>
    </w:tbl>
    <w:p>
      <w:pPr>
        <w:pStyle w:val="5"/>
        <w:spacing w:before="15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第2包 手机取证塔</w:t>
      </w:r>
      <w:r>
        <w:rPr>
          <w:rFonts w:hint="default" w:ascii="Times New Roman" w:hAnsi="Times New Roman" w:cs="Times New Roman" w:eastAsiaTheme="minorEastAsia"/>
          <w:szCs w:val="21"/>
        </w:rPr>
        <w:t>Ⅱ</w:t>
      </w:r>
    </w:p>
    <w:tbl>
      <w:tblPr>
        <w:tblStyle w:val="81"/>
        <w:tblW w:w="476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3"/>
        <w:gridCol w:w="853"/>
        <w:gridCol w:w="5645"/>
        <w:gridCol w:w="1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blHeader/>
          <w:jc w:val="center"/>
        </w:trPr>
        <w:tc>
          <w:tcPr>
            <w:tcW w:w="328" w:type="pct"/>
            <w:shd w:val="clear" w:color="auto" w:fill="auto"/>
            <w:vAlign w:val="center"/>
          </w:tcPr>
          <w:p>
            <w:pPr>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b/>
                <w:bCs/>
                <w:color w:val="000000"/>
                <w:kern w:val="0"/>
                <w:szCs w:val="21"/>
                <w:lang w:bidi="ar"/>
              </w:rPr>
              <w:t>序号</w:t>
            </w:r>
          </w:p>
        </w:tc>
        <w:tc>
          <w:tcPr>
            <w:tcW w:w="525" w:type="pct"/>
            <w:shd w:val="clear" w:color="auto" w:fill="auto"/>
            <w:vAlign w:val="center"/>
          </w:tcPr>
          <w:p>
            <w:pPr>
              <w:jc w:val="center"/>
              <w:textAlignment w:val="center"/>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kern w:val="0"/>
                <w:szCs w:val="21"/>
                <w:lang w:bidi="ar"/>
              </w:rPr>
              <w:t>指标项</w:t>
            </w:r>
          </w:p>
        </w:tc>
        <w:tc>
          <w:tcPr>
            <w:tcW w:w="3475" w:type="pct"/>
            <w:shd w:val="clear" w:color="auto" w:fill="auto"/>
            <w:vAlign w:val="center"/>
          </w:tcPr>
          <w:p>
            <w:pPr>
              <w:jc w:val="center"/>
              <w:textAlignment w:val="center"/>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kern w:val="0"/>
                <w:szCs w:val="21"/>
                <w:lang w:bidi="ar"/>
              </w:rPr>
              <w:t>技术要求</w:t>
            </w:r>
          </w:p>
        </w:tc>
        <w:tc>
          <w:tcPr>
            <w:tcW w:w="672" w:type="pct"/>
            <w:shd w:val="clear" w:color="auto" w:fill="auto"/>
            <w:vAlign w:val="center"/>
          </w:tcPr>
          <w:p>
            <w:pPr>
              <w:jc w:val="center"/>
              <w:textAlignment w:val="center"/>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kern w:val="0"/>
                <w:szCs w:val="21"/>
                <w:lang w:bidi="ar"/>
              </w:rPr>
              <w:t>证明材料要求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328" w:type="pct"/>
            <w:shd w:val="clear" w:color="auto" w:fill="auto"/>
            <w:vAlign w:val="center"/>
          </w:tcPr>
          <w:p>
            <w:pPr>
              <w:tabs>
                <w:tab w:val="left" w:pos="420"/>
              </w:tabs>
              <w:jc w:val="center"/>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szCs w:val="21"/>
              </w:rPr>
              <w:t>1</w:t>
            </w:r>
          </w:p>
        </w:tc>
        <w:tc>
          <w:tcPr>
            <w:tcW w:w="525"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处理器</w:t>
            </w:r>
          </w:p>
        </w:tc>
        <w:tc>
          <w:tcPr>
            <w:tcW w:w="3475"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CPU不低于16核24线程</w:t>
            </w:r>
          </w:p>
        </w:tc>
        <w:tc>
          <w:tcPr>
            <w:tcW w:w="672"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328" w:type="pct"/>
            <w:shd w:val="clear" w:color="auto" w:fill="auto"/>
            <w:vAlign w:val="center"/>
          </w:tcPr>
          <w:p>
            <w:pPr>
              <w:tabs>
                <w:tab w:val="left" w:pos="420"/>
              </w:tabs>
              <w:jc w:val="center"/>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szCs w:val="21"/>
              </w:rPr>
              <w:t>2</w:t>
            </w:r>
          </w:p>
        </w:tc>
        <w:tc>
          <w:tcPr>
            <w:tcW w:w="525"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内存</w:t>
            </w:r>
          </w:p>
        </w:tc>
        <w:tc>
          <w:tcPr>
            <w:tcW w:w="3475"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需配置不低于64GB内存</w:t>
            </w:r>
          </w:p>
        </w:tc>
        <w:tc>
          <w:tcPr>
            <w:tcW w:w="672"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328" w:type="pct"/>
            <w:shd w:val="clear" w:color="auto" w:fill="auto"/>
            <w:vAlign w:val="center"/>
          </w:tcPr>
          <w:p>
            <w:pPr>
              <w:tabs>
                <w:tab w:val="left" w:pos="420"/>
              </w:tabs>
              <w:jc w:val="center"/>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szCs w:val="21"/>
              </w:rPr>
              <w:t>3</w:t>
            </w:r>
          </w:p>
        </w:tc>
        <w:tc>
          <w:tcPr>
            <w:tcW w:w="525"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存储</w:t>
            </w:r>
          </w:p>
        </w:tc>
        <w:tc>
          <w:tcPr>
            <w:tcW w:w="3475"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需配置不低于8TB SSD + 18TB*3 SATA硬盘</w:t>
            </w:r>
          </w:p>
        </w:tc>
        <w:tc>
          <w:tcPr>
            <w:tcW w:w="672"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328" w:type="pct"/>
            <w:shd w:val="clear" w:color="auto" w:fill="auto"/>
            <w:vAlign w:val="center"/>
          </w:tcPr>
          <w:p>
            <w:pPr>
              <w:tabs>
                <w:tab w:val="left" w:pos="420"/>
              </w:tabs>
              <w:jc w:val="center"/>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szCs w:val="21"/>
              </w:rPr>
              <w:t>4</w:t>
            </w:r>
          </w:p>
        </w:tc>
        <w:tc>
          <w:tcPr>
            <w:tcW w:w="525"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显卡</w:t>
            </w:r>
          </w:p>
        </w:tc>
        <w:tc>
          <w:tcPr>
            <w:tcW w:w="3475" w:type="pct"/>
            <w:shd w:val="clear" w:color="auto" w:fill="auto"/>
            <w:vAlign w:val="center"/>
          </w:tcPr>
          <w:p>
            <w:pPr>
              <w:textAlignment w:val="center"/>
              <w:rPr>
                <w:rFonts w:asciiTheme="minorEastAsia" w:hAnsiTheme="minorEastAsia" w:eastAsiaTheme="minorEastAsia" w:cstheme="minorEastAsia"/>
                <w:color w:val="000000"/>
                <w:kern w:val="0"/>
                <w:szCs w:val="21"/>
                <w:lang w:val="en-US" w:bidi="ar"/>
              </w:rPr>
            </w:pPr>
            <w:r>
              <w:rPr>
                <w:rFonts w:hint="eastAsia" w:asciiTheme="minorEastAsia" w:hAnsiTheme="minorEastAsia" w:eastAsiaTheme="minorEastAsia" w:cstheme="minorEastAsia"/>
                <w:color w:val="000000"/>
                <w:kern w:val="0"/>
                <w:szCs w:val="21"/>
                <w:lang w:bidi="ar"/>
              </w:rPr>
              <w:t>算力不低于</w:t>
            </w:r>
            <w:r>
              <w:rPr>
                <w:rFonts w:hint="eastAsia" w:asciiTheme="minorEastAsia" w:hAnsiTheme="minorEastAsia" w:eastAsiaTheme="minorEastAsia" w:cstheme="minorEastAsia"/>
                <w:color w:val="000000"/>
                <w:kern w:val="0"/>
                <w:szCs w:val="21"/>
                <w:lang w:val="en-US" w:bidi="ar"/>
              </w:rPr>
              <w:t>706 AI TOPS</w:t>
            </w:r>
          </w:p>
        </w:tc>
        <w:tc>
          <w:tcPr>
            <w:tcW w:w="672" w:type="pct"/>
            <w:shd w:val="clear" w:color="auto" w:fill="auto"/>
          </w:tcPr>
          <w:p>
            <w:pPr>
              <w:jc w:val="center"/>
              <w:rPr>
                <w:rFonts w:asciiTheme="minorEastAsia" w:hAnsiTheme="minorEastAsia" w:eastAsiaTheme="minorEastAsia" w:cstheme="minorEastAsia"/>
                <w:color w:val="000000"/>
                <w:szCs w:val="21"/>
                <w:lang w:val="en-US"/>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28" w:type="pct"/>
            <w:shd w:val="clear" w:color="auto" w:fill="auto"/>
            <w:vAlign w:val="center"/>
          </w:tcPr>
          <w:p>
            <w:pPr>
              <w:tabs>
                <w:tab w:val="left" w:pos="420"/>
              </w:tabs>
              <w:jc w:val="center"/>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szCs w:val="21"/>
              </w:rPr>
              <w:t>5</w:t>
            </w:r>
          </w:p>
        </w:tc>
        <w:tc>
          <w:tcPr>
            <w:tcW w:w="525"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显示器</w:t>
            </w:r>
          </w:p>
        </w:tc>
        <w:tc>
          <w:tcPr>
            <w:tcW w:w="3475"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 xml:space="preserve">≥34英寸 3440 </w:t>
            </w:r>
            <w:r>
              <w:rPr>
                <w:rFonts w:asciiTheme="minorEastAsia" w:hAnsiTheme="minorEastAsia" w:eastAsiaTheme="minorEastAsia" w:cstheme="minorEastAsia"/>
                <w:color w:val="000000"/>
                <w:kern w:val="0"/>
                <w:szCs w:val="21"/>
                <w:lang w:bidi="ar"/>
              </w:rPr>
              <w:t>*</w:t>
            </w:r>
            <w:r>
              <w:rPr>
                <w:rFonts w:hint="eastAsia" w:asciiTheme="minorEastAsia" w:hAnsiTheme="minorEastAsia" w:eastAsiaTheme="minorEastAsia" w:cstheme="minorEastAsia"/>
                <w:color w:val="000000"/>
                <w:kern w:val="0"/>
                <w:szCs w:val="21"/>
                <w:lang w:bidi="ar"/>
              </w:rPr>
              <w:t>1440 (WQHD) 曲面 21:9 75Hz</w:t>
            </w:r>
          </w:p>
        </w:tc>
        <w:tc>
          <w:tcPr>
            <w:tcW w:w="672"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328" w:type="pct"/>
            <w:shd w:val="clear" w:color="auto" w:fill="auto"/>
            <w:vAlign w:val="center"/>
          </w:tcPr>
          <w:p>
            <w:pPr>
              <w:tabs>
                <w:tab w:val="left" w:pos="420"/>
              </w:tabs>
              <w:jc w:val="center"/>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szCs w:val="21"/>
              </w:rPr>
              <w:t>6</w:t>
            </w:r>
          </w:p>
        </w:tc>
        <w:tc>
          <w:tcPr>
            <w:tcW w:w="525"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网口</w:t>
            </w:r>
          </w:p>
        </w:tc>
        <w:tc>
          <w:tcPr>
            <w:tcW w:w="3475"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≥2.5G（2500M）RJ45 网口</w:t>
            </w:r>
          </w:p>
        </w:tc>
        <w:tc>
          <w:tcPr>
            <w:tcW w:w="672"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328" w:type="pct"/>
            <w:shd w:val="clear" w:color="auto" w:fill="auto"/>
            <w:vAlign w:val="center"/>
          </w:tcPr>
          <w:p>
            <w:pPr>
              <w:tabs>
                <w:tab w:val="left" w:pos="420"/>
              </w:tabs>
              <w:jc w:val="center"/>
              <w:textAlignment w:val="center"/>
              <w:rPr>
                <w:rFonts w:hint="eastAsia" w:asciiTheme="minorEastAsia" w:hAnsiTheme="minorEastAsia" w:eastAsiaTheme="minorEastAsia" w:cstheme="minorEastAsia"/>
                <w:b/>
                <w:bCs/>
                <w:color w:val="000000"/>
                <w:kern w:val="0"/>
                <w:szCs w:val="21"/>
                <w:lang w:eastAsia="zh-CN" w:bidi="ar"/>
              </w:rPr>
            </w:pPr>
            <w:r>
              <w:rPr>
                <w:rFonts w:hint="eastAsia" w:asciiTheme="minorEastAsia" w:hAnsiTheme="minorEastAsia" w:eastAsiaTheme="minorEastAsia" w:cstheme="minorEastAsia"/>
                <w:color w:val="000000"/>
                <w:szCs w:val="21"/>
                <w:lang w:val="en-US" w:eastAsia="zh-CN"/>
              </w:rPr>
              <w:t>7</w:t>
            </w:r>
          </w:p>
        </w:tc>
        <w:tc>
          <w:tcPr>
            <w:tcW w:w="525" w:type="pct"/>
            <w:vMerge w:val="restar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并行能力</w:t>
            </w:r>
          </w:p>
        </w:tc>
        <w:tc>
          <w:tcPr>
            <w:tcW w:w="3475"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至少具备多台手机并行提取解析能力。同时提取的手机数量不少于8台且同品牌、同型号手机不会互相冲突。同时提取时无提取方式限制</w:t>
            </w:r>
          </w:p>
        </w:tc>
        <w:tc>
          <w:tcPr>
            <w:tcW w:w="672"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328" w:type="pct"/>
            <w:shd w:val="clear" w:color="auto" w:fill="auto"/>
            <w:vAlign w:val="center"/>
          </w:tcPr>
          <w:p>
            <w:pPr>
              <w:tabs>
                <w:tab w:val="left" w:pos="420"/>
              </w:tabs>
              <w:jc w:val="center"/>
              <w:textAlignment w:val="center"/>
              <w:rPr>
                <w:rFonts w:hint="eastAsia" w:asciiTheme="minorEastAsia" w:hAnsiTheme="minorEastAsia" w:eastAsiaTheme="minorEastAsia" w:cstheme="minorEastAsia"/>
                <w:b/>
                <w:bCs/>
                <w:color w:val="000000"/>
                <w:kern w:val="0"/>
                <w:szCs w:val="21"/>
                <w:lang w:eastAsia="zh-CN" w:bidi="ar"/>
              </w:rPr>
            </w:pPr>
            <w:r>
              <w:rPr>
                <w:rFonts w:hint="eastAsia" w:asciiTheme="minorEastAsia" w:hAnsiTheme="minorEastAsia" w:eastAsiaTheme="minorEastAsia" w:cstheme="minorEastAsia"/>
                <w:color w:val="000000"/>
                <w:szCs w:val="21"/>
                <w:lang w:val="en-US" w:eastAsia="zh-CN"/>
              </w:rPr>
              <w:t>8</w:t>
            </w:r>
          </w:p>
        </w:tc>
        <w:tc>
          <w:tcPr>
            <w:tcW w:w="525" w:type="pct"/>
            <w:vMerge w:val="continue"/>
            <w:shd w:val="clear" w:color="auto" w:fill="auto"/>
            <w:vAlign w:val="center"/>
          </w:tcPr>
          <w:p>
            <w:pPr>
              <w:textAlignment w:val="center"/>
              <w:rPr>
                <w:rFonts w:asciiTheme="minorEastAsia" w:hAnsiTheme="minorEastAsia" w:eastAsiaTheme="minorEastAsia" w:cstheme="minorEastAsia"/>
                <w:color w:val="000000"/>
                <w:kern w:val="0"/>
                <w:szCs w:val="21"/>
                <w:lang w:bidi="ar"/>
              </w:rPr>
            </w:pPr>
          </w:p>
        </w:tc>
        <w:tc>
          <w:tcPr>
            <w:tcW w:w="3475"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具备并行解析能力，并行数量无上限。提取与解析任务分离，解析时能够脱离对目标手机的依赖</w:t>
            </w:r>
          </w:p>
        </w:tc>
        <w:tc>
          <w:tcPr>
            <w:tcW w:w="672"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328" w:type="pct"/>
            <w:shd w:val="clear" w:color="auto" w:fill="auto"/>
            <w:vAlign w:val="center"/>
          </w:tcPr>
          <w:p>
            <w:pPr>
              <w:tabs>
                <w:tab w:val="left" w:pos="420"/>
              </w:tabs>
              <w:jc w:val="center"/>
              <w:textAlignment w:val="center"/>
              <w:rPr>
                <w:rFonts w:hint="eastAsia" w:asciiTheme="minorEastAsia" w:hAnsiTheme="minorEastAsia" w:eastAsiaTheme="minorEastAsia" w:cstheme="minorEastAsia"/>
                <w:b/>
                <w:bCs/>
                <w:color w:val="000000"/>
                <w:kern w:val="0"/>
                <w:szCs w:val="21"/>
                <w:lang w:eastAsia="zh-CN" w:bidi="ar"/>
              </w:rPr>
            </w:pPr>
            <w:r>
              <w:rPr>
                <w:rFonts w:hint="eastAsia" w:asciiTheme="minorEastAsia" w:hAnsiTheme="minorEastAsia" w:eastAsiaTheme="minorEastAsia" w:cstheme="minorEastAsia"/>
                <w:color w:val="000000"/>
                <w:szCs w:val="21"/>
                <w:lang w:val="en-US" w:eastAsia="zh-CN"/>
              </w:rPr>
              <w:t>9</w:t>
            </w:r>
          </w:p>
        </w:tc>
        <w:tc>
          <w:tcPr>
            <w:tcW w:w="525" w:type="pct"/>
            <w:vMerge w:val="restar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取证能力</w:t>
            </w:r>
          </w:p>
        </w:tc>
        <w:tc>
          <w:tcPr>
            <w:tcW w:w="3475"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具备苹果iOS系统手机设备数据提取能力，提取方式包括但不限于iTunes备份、提权提取。支持iPhone 4及更新机型，最高支持型号至少为iPhone 15 Pro Max。系统需支持iOS 7.0及以上操作系统、最高支系统至少为iOS 18 Beta系统</w:t>
            </w:r>
          </w:p>
        </w:tc>
        <w:tc>
          <w:tcPr>
            <w:tcW w:w="672"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328" w:type="pct"/>
            <w:shd w:val="clear" w:color="auto" w:fill="auto"/>
            <w:vAlign w:val="center"/>
          </w:tcPr>
          <w:p>
            <w:pPr>
              <w:tabs>
                <w:tab w:val="left" w:pos="420"/>
              </w:tabs>
              <w:jc w:val="center"/>
              <w:textAlignment w:val="center"/>
              <w:rPr>
                <w:rFonts w:hint="eastAsia" w:asciiTheme="minorEastAsia" w:hAnsiTheme="minorEastAsia" w:eastAsiaTheme="minorEastAsia" w:cstheme="minorEastAsia"/>
                <w:b/>
                <w:bCs/>
                <w:color w:val="000000"/>
                <w:kern w:val="0"/>
                <w:szCs w:val="21"/>
                <w:lang w:eastAsia="zh-CN" w:bidi="ar"/>
              </w:rPr>
            </w:pPr>
            <w:r>
              <w:rPr>
                <w:rFonts w:hint="eastAsia" w:asciiTheme="minorEastAsia" w:hAnsiTheme="minorEastAsia" w:eastAsiaTheme="minorEastAsia" w:cstheme="minorEastAsia"/>
                <w:color w:val="000000"/>
                <w:szCs w:val="21"/>
              </w:rPr>
              <w:t>1</w:t>
            </w:r>
            <w:r>
              <w:rPr>
                <w:rFonts w:hint="eastAsia" w:asciiTheme="minorEastAsia" w:hAnsiTheme="minorEastAsia" w:eastAsiaTheme="minorEastAsia" w:cstheme="minorEastAsia"/>
                <w:color w:val="000000"/>
                <w:szCs w:val="21"/>
                <w:lang w:val="en-US" w:eastAsia="zh-CN"/>
              </w:rPr>
              <w:t>0</w:t>
            </w:r>
          </w:p>
        </w:tc>
        <w:tc>
          <w:tcPr>
            <w:tcW w:w="525" w:type="pct"/>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3475"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具备Android系统手机设备数据提取能力，提取方式包括但不限于手机厂商备份、高级备份、WIFI高级备份、临时提权提取等。支持机型至少包括华为、OPPO、VIVO、小米、三星、红米、荣耀等市场常见品牌。支持Android 4.0及以上系统，最高支持系统至少为Android 14。支持提取Android设备中的APP安装文件。提取过程能够基于自动点击做到自动化。支持提取设备中的APP安装文件</w:t>
            </w:r>
          </w:p>
        </w:tc>
        <w:tc>
          <w:tcPr>
            <w:tcW w:w="672"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328" w:type="pct"/>
            <w:shd w:val="clear" w:color="auto" w:fill="auto"/>
            <w:vAlign w:val="center"/>
          </w:tcPr>
          <w:p>
            <w:pPr>
              <w:tabs>
                <w:tab w:val="left" w:pos="420"/>
              </w:tabs>
              <w:jc w:val="center"/>
              <w:textAlignment w:val="center"/>
              <w:rPr>
                <w:rFonts w:hint="default" w:asciiTheme="minorEastAsia" w:hAnsiTheme="minorEastAsia" w:eastAsiaTheme="minorEastAsia" w:cstheme="minorEastAsia"/>
                <w:b/>
                <w:bCs/>
                <w:color w:val="000000"/>
                <w:kern w:val="0"/>
                <w:szCs w:val="21"/>
                <w:lang w:val="en-US" w:eastAsia="zh-CN" w:bidi="ar"/>
              </w:rPr>
            </w:pPr>
            <w:r>
              <w:rPr>
                <w:rFonts w:hint="eastAsia" w:asciiTheme="minorEastAsia" w:hAnsiTheme="minorEastAsia" w:eastAsiaTheme="minorEastAsia" w:cstheme="minorEastAsia"/>
                <w:color w:val="000000"/>
                <w:szCs w:val="21"/>
                <w:lang w:val="en-US" w:eastAsia="zh-CN"/>
              </w:rPr>
              <w:t>11</w:t>
            </w:r>
          </w:p>
        </w:tc>
        <w:tc>
          <w:tcPr>
            <w:tcW w:w="525" w:type="pct"/>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3475"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具备鸿蒙系统手机设备数据提取能力，支持HarmonyOS 2.0及以上系统，最高支持系统至少为HarmonyOS 4.0</w:t>
            </w:r>
          </w:p>
        </w:tc>
        <w:tc>
          <w:tcPr>
            <w:tcW w:w="672"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328" w:type="pct"/>
            <w:shd w:val="clear" w:color="auto" w:fill="auto"/>
            <w:vAlign w:val="center"/>
          </w:tcPr>
          <w:p>
            <w:pPr>
              <w:tabs>
                <w:tab w:val="left" w:pos="420"/>
              </w:tabs>
              <w:jc w:val="center"/>
              <w:textAlignment w:val="center"/>
              <w:rPr>
                <w:rFonts w:hint="default" w:asciiTheme="minorEastAsia" w:hAnsiTheme="minorEastAsia" w:eastAsiaTheme="minorEastAsia" w:cstheme="minorEastAsia"/>
                <w:b/>
                <w:bCs/>
                <w:color w:val="000000"/>
                <w:kern w:val="0"/>
                <w:szCs w:val="21"/>
                <w:lang w:val="en-US" w:eastAsia="zh-CN" w:bidi="ar"/>
              </w:rPr>
            </w:pPr>
            <w:r>
              <w:rPr>
                <w:rFonts w:hint="eastAsia" w:asciiTheme="minorEastAsia" w:hAnsiTheme="minorEastAsia" w:eastAsiaTheme="minorEastAsia" w:cstheme="minorEastAsia"/>
                <w:color w:val="000000"/>
                <w:szCs w:val="21"/>
                <w:lang w:val="en-US" w:eastAsia="zh-CN"/>
              </w:rPr>
              <w:t>12</w:t>
            </w:r>
          </w:p>
        </w:tc>
        <w:tc>
          <w:tcPr>
            <w:tcW w:w="525" w:type="pct"/>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3475"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支持提取卫星通话、卫星短信数据，支持包括但不限于华为Mate60系列、X5等具备卫星通话功能的手机设备</w:t>
            </w:r>
          </w:p>
        </w:tc>
        <w:tc>
          <w:tcPr>
            <w:tcW w:w="672"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328" w:type="pct"/>
            <w:shd w:val="clear" w:color="auto" w:fill="auto"/>
            <w:vAlign w:val="center"/>
          </w:tcPr>
          <w:p>
            <w:pPr>
              <w:tabs>
                <w:tab w:val="left" w:pos="420"/>
              </w:tabs>
              <w:jc w:val="center"/>
              <w:textAlignment w:val="center"/>
              <w:rPr>
                <w:rFonts w:hint="default" w:asciiTheme="minorEastAsia" w:hAnsiTheme="minorEastAsia" w:eastAsiaTheme="minorEastAsia" w:cstheme="minorEastAsia"/>
                <w:b/>
                <w:bCs/>
                <w:color w:val="000000"/>
                <w:kern w:val="0"/>
                <w:szCs w:val="21"/>
                <w:lang w:val="en-US" w:eastAsia="zh-CN" w:bidi="ar"/>
              </w:rPr>
            </w:pPr>
            <w:r>
              <w:rPr>
                <w:rFonts w:hint="eastAsia" w:asciiTheme="minorEastAsia" w:hAnsiTheme="minorEastAsia" w:eastAsiaTheme="minorEastAsia" w:cstheme="minorEastAsia"/>
                <w:color w:val="000000"/>
                <w:szCs w:val="21"/>
                <w:lang w:val="en-US" w:eastAsia="zh-CN"/>
              </w:rPr>
              <w:t>13</w:t>
            </w:r>
          </w:p>
        </w:tc>
        <w:tc>
          <w:tcPr>
            <w:tcW w:w="525" w:type="pct"/>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3475"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具备独立工具，能够支持对Android设备内部存储空间进行独立提取</w:t>
            </w:r>
          </w:p>
        </w:tc>
        <w:tc>
          <w:tcPr>
            <w:tcW w:w="672"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328" w:type="pct"/>
            <w:shd w:val="clear" w:color="auto" w:fill="auto"/>
            <w:vAlign w:val="center"/>
          </w:tcPr>
          <w:p>
            <w:pPr>
              <w:tabs>
                <w:tab w:val="left" w:pos="420"/>
              </w:tabs>
              <w:jc w:val="center"/>
              <w:textAlignment w:val="center"/>
              <w:rPr>
                <w:rFonts w:hint="default" w:asciiTheme="minorEastAsia" w:hAnsiTheme="minorEastAsia" w:eastAsiaTheme="minorEastAsia" w:cstheme="minorEastAsia"/>
                <w:b/>
                <w:bCs/>
                <w:color w:val="000000"/>
                <w:kern w:val="0"/>
                <w:szCs w:val="21"/>
                <w:lang w:val="en-US" w:eastAsia="zh-CN" w:bidi="ar"/>
              </w:rPr>
            </w:pPr>
            <w:r>
              <w:rPr>
                <w:rFonts w:hint="eastAsia" w:asciiTheme="minorEastAsia" w:hAnsiTheme="minorEastAsia" w:eastAsiaTheme="minorEastAsia" w:cstheme="minorEastAsia"/>
                <w:color w:val="000000"/>
                <w:szCs w:val="21"/>
                <w:lang w:val="en-US" w:eastAsia="zh-CN"/>
              </w:rPr>
              <w:t>14</w:t>
            </w:r>
          </w:p>
        </w:tc>
        <w:tc>
          <w:tcPr>
            <w:tcW w:w="525" w:type="pct"/>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3475"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具备独立工具，能够支持对苹果手机日志文件进行独立提取</w:t>
            </w:r>
          </w:p>
        </w:tc>
        <w:tc>
          <w:tcPr>
            <w:tcW w:w="672"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28" w:type="pct"/>
            <w:shd w:val="clear" w:color="auto" w:fill="auto"/>
            <w:vAlign w:val="center"/>
          </w:tcPr>
          <w:p>
            <w:pPr>
              <w:tabs>
                <w:tab w:val="left" w:pos="420"/>
              </w:tabs>
              <w:jc w:val="center"/>
              <w:textAlignment w:val="center"/>
              <w:rPr>
                <w:rFonts w:hint="default" w:asciiTheme="minorEastAsia" w:hAnsiTheme="minorEastAsia" w:eastAsiaTheme="minorEastAsia" w:cstheme="minorEastAsia"/>
                <w:b/>
                <w:bCs/>
                <w:color w:val="000000"/>
                <w:kern w:val="0"/>
                <w:szCs w:val="21"/>
                <w:lang w:val="en-US" w:eastAsia="zh-CN" w:bidi="ar"/>
              </w:rPr>
            </w:pPr>
            <w:r>
              <w:rPr>
                <w:rFonts w:hint="eastAsia" w:asciiTheme="minorEastAsia" w:hAnsiTheme="minorEastAsia" w:eastAsiaTheme="minorEastAsia" w:cstheme="minorEastAsia"/>
                <w:color w:val="000000"/>
                <w:szCs w:val="21"/>
                <w:lang w:val="en-US" w:eastAsia="zh-CN"/>
              </w:rPr>
              <w:t>15</w:t>
            </w:r>
          </w:p>
        </w:tc>
        <w:tc>
          <w:tcPr>
            <w:tcW w:w="525" w:type="pct"/>
            <w:vMerge w:val="restar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提权能力</w:t>
            </w:r>
          </w:p>
        </w:tc>
        <w:tc>
          <w:tcPr>
            <w:tcW w:w="3475"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具备针对苹果手机的iTunes备份密码提取能力,支持iPhone 5s及以上型号的手机，最高至少能够支持到iPhone 12 pro max。支持iOS 9.0及以上操作系统，最高系统至少支持到iOS 14.8.1</w:t>
            </w:r>
          </w:p>
        </w:tc>
        <w:tc>
          <w:tcPr>
            <w:tcW w:w="672"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328" w:type="pct"/>
            <w:shd w:val="clear" w:color="auto" w:fill="auto"/>
            <w:vAlign w:val="center"/>
          </w:tcPr>
          <w:p>
            <w:pPr>
              <w:tabs>
                <w:tab w:val="left" w:pos="420"/>
              </w:tabs>
              <w:jc w:val="center"/>
              <w:textAlignment w:val="center"/>
              <w:rPr>
                <w:rFonts w:hint="default" w:asciiTheme="minorEastAsia" w:hAnsiTheme="minorEastAsia" w:eastAsiaTheme="minorEastAsia" w:cstheme="minorEastAsia"/>
                <w:b/>
                <w:bCs/>
                <w:color w:val="000000"/>
                <w:kern w:val="0"/>
                <w:szCs w:val="21"/>
                <w:lang w:val="en-US" w:eastAsia="zh-CN" w:bidi="ar"/>
              </w:rPr>
            </w:pPr>
            <w:r>
              <w:rPr>
                <w:rFonts w:hint="eastAsia" w:asciiTheme="minorEastAsia" w:hAnsiTheme="minorEastAsia" w:eastAsiaTheme="minorEastAsia" w:cstheme="minorEastAsia"/>
                <w:color w:val="000000"/>
                <w:szCs w:val="21"/>
                <w:lang w:val="en-US" w:eastAsia="zh-CN"/>
              </w:rPr>
              <w:t>16</w:t>
            </w:r>
          </w:p>
        </w:tc>
        <w:tc>
          <w:tcPr>
            <w:tcW w:w="525" w:type="pct"/>
            <w:vMerge w:val="continue"/>
            <w:shd w:val="clear" w:color="auto" w:fill="auto"/>
            <w:vAlign w:val="center"/>
          </w:tcPr>
          <w:p>
            <w:pPr>
              <w:textAlignment w:val="center"/>
              <w:rPr>
                <w:rFonts w:asciiTheme="minorEastAsia" w:hAnsiTheme="minorEastAsia" w:eastAsiaTheme="minorEastAsia" w:cstheme="minorEastAsia"/>
                <w:color w:val="000000"/>
                <w:kern w:val="0"/>
                <w:szCs w:val="21"/>
                <w:lang w:bidi="ar"/>
              </w:rPr>
            </w:pPr>
          </w:p>
        </w:tc>
        <w:tc>
          <w:tcPr>
            <w:tcW w:w="3475"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具备Android系统提权提取能力，通过临时提权(免拆机刷机)的方式提取镜像(完整的文件系统)或物理镜像。支持Android 6及以上系统，最高支持系统至少为Android 14</w:t>
            </w:r>
          </w:p>
        </w:tc>
        <w:tc>
          <w:tcPr>
            <w:tcW w:w="672"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328" w:type="pct"/>
            <w:shd w:val="clear" w:color="auto" w:fill="auto"/>
            <w:vAlign w:val="center"/>
          </w:tcPr>
          <w:p>
            <w:pPr>
              <w:tabs>
                <w:tab w:val="left" w:pos="420"/>
              </w:tabs>
              <w:jc w:val="center"/>
              <w:textAlignment w:val="center"/>
              <w:rPr>
                <w:rFonts w:hint="default" w:asciiTheme="minorEastAsia" w:hAnsiTheme="minorEastAsia" w:eastAsiaTheme="minorEastAsia" w:cstheme="minorEastAsia"/>
                <w:b/>
                <w:bCs/>
                <w:color w:val="000000"/>
                <w:kern w:val="0"/>
                <w:szCs w:val="21"/>
                <w:lang w:val="en-US" w:eastAsia="zh-CN" w:bidi="ar"/>
              </w:rPr>
            </w:pPr>
            <w:r>
              <w:rPr>
                <w:rFonts w:hint="eastAsia" w:asciiTheme="minorEastAsia" w:hAnsiTheme="minorEastAsia" w:eastAsiaTheme="minorEastAsia" w:cstheme="minorEastAsia"/>
                <w:color w:val="000000"/>
                <w:szCs w:val="21"/>
                <w:lang w:val="en-US" w:eastAsia="zh-CN"/>
              </w:rPr>
              <w:t>17</w:t>
            </w:r>
          </w:p>
        </w:tc>
        <w:tc>
          <w:tcPr>
            <w:tcW w:w="525" w:type="pct"/>
            <w:vMerge w:val="continue"/>
            <w:shd w:val="clear" w:color="auto" w:fill="auto"/>
            <w:vAlign w:val="center"/>
          </w:tcPr>
          <w:p>
            <w:pPr>
              <w:textAlignment w:val="center"/>
              <w:rPr>
                <w:rFonts w:asciiTheme="minorEastAsia" w:hAnsiTheme="minorEastAsia" w:eastAsiaTheme="minorEastAsia" w:cstheme="minorEastAsia"/>
                <w:color w:val="000000"/>
                <w:kern w:val="0"/>
                <w:szCs w:val="21"/>
                <w:lang w:bidi="ar"/>
              </w:rPr>
            </w:pPr>
          </w:p>
        </w:tc>
        <w:tc>
          <w:tcPr>
            <w:tcW w:w="3475"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具备华为鸿蒙系统手机提权提取能力，支持鸿蒙2.0及鸿蒙3.0</w:t>
            </w:r>
          </w:p>
        </w:tc>
        <w:tc>
          <w:tcPr>
            <w:tcW w:w="672"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328" w:type="pct"/>
            <w:shd w:val="clear" w:color="auto" w:fill="auto"/>
            <w:vAlign w:val="center"/>
          </w:tcPr>
          <w:p>
            <w:pPr>
              <w:tabs>
                <w:tab w:val="left" w:pos="420"/>
              </w:tabs>
              <w:jc w:val="center"/>
              <w:textAlignment w:val="center"/>
              <w:rPr>
                <w:rFonts w:hint="default" w:asciiTheme="minorEastAsia" w:hAnsiTheme="minorEastAsia" w:eastAsiaTheme="minorEastAsia" w:cstheme="minorEastAsia"/>
                <w:b/>
                <w:bCs/>
                <w:color w:val="000000"/>
                <w:kern w:val="0"/>
                <w:szCs w:val="21"/>
                <w:lang w:val="en-US" w:eastAsia="zh-CN" w:bidi="ar"/>
              </w:rPr>
            </w:pPr>
            <w:r>
              <w:rPr>
                <w:rFonts w:hint="eastAsia" w:asciiTheme="minorEastAsia" w:hAnsiTheme="minorEastAsia" w:eastAsiaTheme="minorEastAsia" w:cstheme="minorEastAsia"/>
                <w:color w:val="000000"/>
                <w:szCs w:val="21"/>
                <w:lang w:val="en-US" w:eastAsia="zh-CN"/>
              </w:rPr>
              <w:t>18</w:t>
            </w:r>
          </w:p>
        </w:tc>
        <w:tc>
          <w:tcPr>
            <w:tcW w:w="525" w:type="pct"/>
            <w:vMerge w:val="continue"/>
            <w:shd w:val="clear" w:color="auto" w:fill="auto"/>
            <w:vAlign w:val="center"/>
          </w:tcPr>
          <w:p>
            <w:pPr>
              <w:textAlignment w:val="center"/>
              <w:rPr>
                <w:rFonts w:asciiTheme="minorEastAsia" w:hAnsiTheme="minorEastAsia" w:eastAsiaTheme="minorEastAsia" w:cstheme="minorEastAsia"/>
                <w:color w:val="000000"/>
                <w:kern w:val="0"/>
                <w:szCs w:val="21"/>
                <w:lang w:bidi="ar"/>
              </w:rPr>
            </w:pPr>
          </w:p>
        </w:tc>
        <w:tc>
          <w:tcPr>
            <w:tcW w:w="3475"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具备华为Android系统手机提权提取能力，支持Android 8及以上操作系统，最高支持操作系统至少为Android 14</w:t>
            </w:r>
          </w:p>
        </w:tc>
        <w:tc>
          <w:tcPr>
            <w:tcW w:w="672"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328" w:type="pct"/>
            <w:shd w:val="clear" w:color="auto" w:fill="auto"/>
            <w:vAlign w:val="center"/>
          </w:tcPr>
          <w:p>
            <w:pPr>
              <w:tabs>
                <w:tab w:val="left" w:pos="420"/>
              </w:tabs>
              <w:jc w:val="center"/>
              <w:textAlignment w:val="center"/>
              <w:rPr>
                <w:rFonts w:hint="default" w:asciiTheme="minorEastAsia" w:hAnsiTheme="minorEastAsia" w:eastAsiaTheme="minorEastAsia" w:cstheme="minorEastAsia"/>
                <w:b/>
                <w:bCs/>
                <w:color w:val="000000"/>
                <w:kern w:val="0"/>
                <w:szCs w:val="21"/>
                <w:lang w:val="en-US" w:eastAsia="zh-CN" w:bidi="ar"/>
              </w:rPr>
            </w:pPr>
            <w:r>
              <w:rPr>
                <w:rFonts w:hint="eastAsia" w:asciiTheme="minorEastAsia" w:hAnsiTheme="minorEastAsia" w:eastAsiaTheme="minorEastAsia" w:cstheme="minorEastAsia"/>
                <w:color w:val="000000"/>
                <w:szCs w:val="21"/>
                <w:lang w:val="en-US" w:eastAsia="zh-CN"/>
              </w:rPr>
              <w:t>19</w:t>
            </w:r>
          </w:p>
        </w:tc>
        <w:tc>
          <w:tcPr>
            <w:tcW w:w="525" w:type="pct"/>
            <w:vMerge w:val="continue"/>
            <w:shd w:val="clear" w:color="auto" w:fill="auto"/>
            <w:vAlign w:val="center"/>
          </w:tcPr>
          <w:p>
            <w:pPr>
              <w:textAlignment w:val="center"/>
              <w:rPr>
                <w:rFonts w:asciiTheme="minorEastAsia" w:hAnsiTheme="minorEastAsia" w:eastAsiaTheme="minorEastAsia" w:cstheme="minorEastAsia"/>
                <w:color w:val="000000"/>
                <w:kern w:val="0"/>
                <w:szCs w:val="21"/>
                <w:lang w:bidi="ar"/>
              </w:rPr>
            </w:pPr>
          </w:p>
        </w:tc>
        <w:tc>
          <w:tcPr>
            <w:tcW w:w="3475"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具备三星手机的提权提取能力，对设备进行全盘数据提取。支持Android 8及以上操作系统，最高支持操作系统不低于Android 13</w:t>
            </w:r>
          </w:p>
        </w:tc>
        <w:tc>
          <w:tcPr>
            <w:tcW w:w="672"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328" w:type="pct"/>
            <w:shd w:val="clear" w:color="auto" w:fill="auto"/>
            <w:vAlign w:val="center"/>
          </w:tcPr>
          <w:p>
            <w:pPr>
              <w:tabs>
                <w:tab w:val="left" w:pos="420"/>
              </w:tabs>
              <w:jc w:val="center"/>
              <w:textAlignment w:val="center"/>
              <w:rPr>
                <w:rFonts w:hint="eastAsia" w:asciiTheme="minorEastAsia" w:hAnsiTheme="minorEastAsia" w:eastAsiaTheme="minorEastAsia" w:cstheme="minorEastAsia"/>
                <w:b/>
                <w:bCs/>
                <w:color w:val="000000"/>
                <w:kern w:val="0"/>
                <w:szCs w:val="21"/>
                <w:lang w:eastAsia="zh-CN" w:bidi="ar"/>
              </w:rPr>
            </w:pPr>
            <w:r>
              <w:rPr>
                <w:rFonts w:hint="eastAsia" w:asciiTheme="minorEastAsia" w:hAnsiTheme="minorEastAsia" w:eastAsiaTheme="minorEastAsia" w:cstheme="minorEastAsia"/>
                <w:color w:val="000000"/>
                <w:szCs w:val="21"/>
              </w:rPr>
              <w:t>2</w:t>
            </w:r>
            <w:r>
              <w:rPr>
                <w:rFonts w:hint="eastAsia" w:asciiTheme="minorEastAsia" w:hAnsiTheme="minorEastAsia" w:eastAsiaTheme="minorEastAsia" w:cstheme="minorEastAsia"/>
                <w:color w:val="000000"/>
                <w:szCs w:val="21"/>
                <w:lang w:val="en-US" w:eastAsia="zh-CN"/>
              </w:rPr>
              <w:t>0</w:t>
            </w:r>
          </w:p>
        </w:tc>
        <w:tc>
          <w:tcPr>
            <w:tcW w:w="525" w:type="pct"/>
            <w:vMerge w:val="continue"/>
            <w:shd w:val="clear" w:color="auto" w:fill="auto"/>
            <w:vAlign w:val="center"/>
          </w:tcPr>
          <w:p>
            <w:pPr>
              <w:textAlignment w:val="center"/>
              <w:rPr>
                <w:rFonts w:asciiTheme="minorEastAsia" w:hAnsiTheme="minorEastAsia" w:eastAsiaTheme="minorEastAsia" w:cstheme="minorEastAsia"/>
                <w:color w:val="000000"/>
                <w:kern w:val="0"/>
                <w:szCs w:val="21"/>
                <w:lang w:bidi="ar"/>
              </w:rPr>
            </w:pPr>
          </w:p>
        </w:tc>
        <w:tc>
          <w:tcPr>
            <w:tcW w:w="3475"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具备VIVO手机的提权提取能力， 最高支持操作系统版本不低于Android 14</w:t>
            </w:r>
          </w:p>
        </w:tc>
        <w:tc>
          <w:tcPr>
            <w:tcW w:w="672"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328" w:type="pct"/>
            <w:shd w:val="clear" w:color="auto" w:fill="auto"/>
            <w:vAlign w:val="center"/>
          </w:tcPr>
          <w:p>
            <w:pPr>
              <w:tabs>
                <w:tab w:val="left" w:pos="420"/>
              </w:tabs>
              <w:jc w:val="center"/>
              <w:textAlignment w:val="center"/>
              <w:rPr>
                <w:rFonts w:hint="default" w:asciiTheme="minorEastAsia" w:hAnsiTheme="minorEastAsia" w:eastAsiaTheme="minorEastAsia" w:cstheme="minorEastAsia"/>
                <w:b/>
                <w:bCs/>
                <w:color w:val="000000"/>
                <w:kern w:val="0"/>
                <w:szCs w:val="21"/>
                <w:lang w:val="en-US" w:eastAsia="zh-CN" w:bidi="ar"/>
              </w:rPr>
            </w:pPr>
            <w:r>
              <w:rPr>
                <w:rFonts w:hint="eastAsia" w:asciiTheme="minorEastAsia" w:hAnsiTheme="minorEastAsia" w:eastAsiaTheme="minorEastAsia" w:cstheme="minorEastAsia"/>
                <w:color w:val="000000"/>
                <w:szCs w:val="21"/>
                <w:lang w:val="en-US" w:eastAsia="zh-CN"/>
              </w:rPr>
              <w:t>21</w:t>
            </w:r>
          </w:p>
        </w:tc>
        <w:tc>
          <w:tcPr>
            <w:tcW w:w="525" w:type="pct"/>
            <w:vMerge w:val="continue"/>
            <w:shd w:val="clear" w:color="auto" w:fill="auto"/>
            <w:vAlign w:val="center"/>
          </w:tcPr>
          <w:p>
            <w:pPr>
              <w:textAlignment w:val="center"/>
              <w:rPr>
                <w:rFonts w:asciiTheme="minorEastAsia" w:hAnsiTheme="minorEastAsia" w:eastAsiaTheme="minorEastAsia" w:cstheme="minorEastAsia"/>
                <w:color w:val="000000"/>
                <w:kern w:val="0"/>
                <w:szCs w:val="21"/>
                <w:lang w:bidi="ar"/>
              </w:rPr>
            </w:pPr>
          </w:p>
        </w:tc>
        <w:tc>
          <w:tcPr>
            <w:tcW w:w="3475"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具备OPPO手机的提权提取能力， 最高支持操作系统版本不低于Android 14</w:t>
            </w:r>
          </w:p>
        </w:tc>
        <w:tc>
          <w:tcPr>
            <w:tcW w:w="672"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328" w:type="pct"/>
            <w:shd w:val="clear" w:color="auto" w:fill="auto"/>
            <w:vAlign w:val="center"/>
          </w:tcPr>
          <w:p>
            <w:pPr>
              <w:tabs>
                <w:tab w:val="left" w:pos="420"/>
              </w:tabs>
              <w:jc w:val="center"/>
              <w:textAlignment w:val="center"/>
              <w:rPr>
                <w:rFonts w:hint="default" w:asciiTheme="minorEastAsia" w:hAnsiTheme="minorEastAsia" w:eastAsiaTheme="minorEastAsia" w:cstheme="minorEastAsia"/>
                <w:b/>
                <w:bCs/>
                <w:color w:val="000000"/>
                <w:kern w:val="0"/>
                <w:szCs w:val="21"/>
                <w:lang w:val="en-US" w:eastAsia="zh-CN" w:bidi="ar"/>
              </w:rPr>
            </w:pPr>
            <w:r>
              <w:rPr>
                <w:rFonts w:hint="eastAsia" w:asciiTheme="minorEastAsia" w:hAnsiTheme="minorEastAsia" w:eastAsiaTheme="minorEastAsia" w:cstheme="minorEastAsia"/>
                <w:color w:val="000000"/>
                <w:szCs w:val="21"/>
                <w:lang w:val="en-US" w:eastAsia="zh-CN"/>
              </w:rPr>
              <w:t>22</w:t>
            </w:r>
          </w:p>
        </w:tc>
        <w:tc>
          <w:tcPr>
            <w:tcW w:w="525" w:type="pct"/>
            <w:vMerge w:val="continue"/>
            <w:shd w:val="clear" w:color="auto" w:fill="auto"/>
            <w:vAlign w:val="center"/>
          </w:tcPr>
          <w:p>
            <w:pPr>
              <w:textAlignment w:val="center"/>
              <w:rPr>
                <w:rFonts w:asciiTheme="minorEastAsia" w:hAnsiTheme="minorEastAsia" w:eastAsiaTheme="minorEastAsia" w:cstheme="minorEastAsia"/>
                <w:color w:val="000000"/>
                <w:kern w:val="0"/>
                <w:szCs w:val="21"/>
                <w:lang w:bidi="ar"/>
              </w:rPr>
            </w:pPr>
          </w:p>
        </w:tc>
        <w:tc>
          <w:tcPr>
            <w:tcW w:w="3475"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具备小米手机的提权提取能力， 最高支持操作系统版本不低于Android 14</w:t>
            </w:r>
          </w:p>
        </w:tc>
        <w:tc>
          <w:tcPr>
            <w:tcW w:w="672"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328" w:type="pct"/>
            <w:shd w:val="clear" w:color="auto" w:fill="auto"/>
            <w:vAlign w:val="center"/>
          </w:tcPr>
          <w:p>
            <w:pPr>
              <w:tabs>
                <w:tab w:val="left" w:pos="420"/>
              </w:tabs>
              <w:jc w:val="center"/>
              <w:textAlignment w:val="center"/>
              <w:rPr>
                <w:rFonts w:hint="default" w:asciiTheme="minorEastAsia" w:hAnsiTheme="minorEastAsia" w:eastAsiaTheme="minorEastAsia" w:cstheme="minorEastAsia"/>
                <w:b/>
                <w:bCs/>
                <w:color w:val="000000"/>
                <w:kern w:val="0"/>
                <w:szCs w:val="21"/>
                <w:lang w:val="en-US" w:eastAsia="zh-CN" w:bidi="ar"/>
              </w:rPr>
            </w:pPr>
            <w:r>
              <w:rPr>
                <w:rFonts w:hint="eastAsia" w:asciiTheme="minorEastAsia" w:hAnsiTheme="minorEastAsia" w:eastAsiaTheme="minorEastAsia" w:cstheme="minorEastAsia"/>
                <w:color w:val="000000"/>
                <w:szCs w:val="21"/>
                <w:lang w:val="en-US" w:eastAsia="zh-CN"/>
              </w:rPr>
              <w:t>23</w:t>
            </w:r>
          </w:p>
        </w:tc>
        <w:tc>
          <w:tcPr>
            <w:tcW w:w="525" w:type="pct"/>
            <w:vMerge w:val="restar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破解能力</w:t>
            </w:r>
          </w:p>
        </w:tc>
        <w:tc>
          <w:tcPr>
            <w:tcW w:w="3475"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具备Android设备屏幕破解能力。手机品牌支持包括但不限于华为、OPPO、vivo、小米等</w:t>
            </w:r>
          </w:p>
        </w:tc>
        <w:tc>
          <w:tcPr>
            <w:tcW w:w="672"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328" w:type="pct"/>
            <w:shd w:val="clear" w:color="auto" w:fill="auto"/>
            <w:vAlign w:val="center"/>
          </w:tcPr>
          <w:p>
            <w:pPr>
              <w:tabs>
                <w:tab w:val="left" w:pos="420"/>
              </w:tabs>
              <w:jc w:val="center"/>
              <w:textAlignment w:val="center"/>
              <w:rPr>
                <w:rFonts w:hint="default" w:asciiTheme="minorEastAsia" w:hAnsiTheme="minorEastAsia" w:eastAsiaTheme="minorEastAsia" w:cstheme="minorEastAsia"/>
                <w:b/>
                <w:bCs/>
                <w:color w:val="000000"/>
                <w:kern w:val="0"/>
                <w:szCs w:val="21"/>
                <w:lang w:val="en-US" w:eastAsia="zh-CN" w:bidi="ar"/>
              </w:rPr>
            </w:pPr>
            <w:r>
              <w:rPr>
                <w:rFonts w:hint="eastAsia" w:asciiTheme="minorEastAsia" w:hAnsiTheme="minorEastAsia" w:eastAsiaTheme="minorEastAsia" w:cstheme="minorEastAsia"/>
                <w:color w:val="000000"/>
                <w:szCs w:val="21"/>
                <w:lang w:val="en-US" w:eastAsia="zh-CN"/>
              </w:rPr>
              <w:t>24</w:t>
            </w:r>
          </w:p>
        </w:tc>
        <w:tc>
          <w:tcPr>
            <w:tcW w:w="525" w:type="pct"/>
            <w:vMerge w:val="continue"/>
            <w:shd w:val="clear" w:color="auto" w:fill="auto"/>
            <w:vAlign w:val="center"/>
          </w:tcPr>
          <w:p>
            <w:pPr>
              <w:textAlignment w:val="center"/>
              <w:rPr>
                <w:rFonts w:asciiTheme="minorEastAsia" w:hAnsiTheme="minorEastAsia" w:eastAsiaTheme="minorEastAsia" w:cstheme="minorEastAsia"/>
                <w:color w:val="000000"/>
                <w:kern w:val="0"/>
                <w:szCs w:val="21"/>
                <w:lang w:bidi="ar"/>
              </w:rPr>
            </w:pPr>
          </w:p>
        </w:tc>
        <w:tc>
          <w:tcPr>
            <w:tcW w:w="3475"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具备华为隐私空间密码破解能力</w:t>
            </w:r>
          </w:p>
        </w:tc>
        <w:tc>
          <w:tcPr>
            <w:tcW w:w="672"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328" w:type="pct"/>
            <w:shd w:val="clear" w:color="auto" w:fill="auto"/>
            <w:vAlign w:val="center"/>
          </w:tcPr>
          <w:p>
            <w:pPr>
              <w:tabs>
                <w:tab w:val="left" w:pos="420"/>
              </w:tabs>
              <w:jc w:val="center"/>
              <w:textAlignment w:val="center"/>
              <w:rPr>
                <w:rFonts w:hint="default" w:asciiTheme="minorEastAsia" w:hAnsiTheme="minorEastAsia" w:eastAsiaTheme="minorEastAsia" w:cstheme="minorEastAsia"/>
                <w:b/>
                <w:bCs/>
                <w:color w:val="000000"/>
                <w:kern w:val="0"/>
                <w:szCs w:val="21"/>
                <w:lang w:val="en-US" w:eastAsia="zh-CN" w:bidi="ar"/>
              </w:rPr>
            </w:pPr>
            <w:r>
              <w:rPr>
                <w:rFonts w:hint="eastAsia" w:asciiTheme="minorEastAsia" w:hAnsiTheme="minorEastAsia" w:eastAsiaTheme="minorEastAsia" w:cstheme="minorEastAsia"/>
                <w:color w:val="000000"/>
                <w:szCs w:val="21"/>
                <w:lang w:val="en-US" w:eastAsia="zh-CN"/>
              </w:rPr>
              <w:t>25</w:t>
            </w:r>
          </w:p>
        </w:tc>
        <w:tc>
          <w:tcPr>
            <w:tcW w:w="525" w:type="pct"/>
            <w:vMerge w:val="continue"/>
            <w:shd w:val="clear" w:color="auto" w:fill="auto"/>
            <w:vAlign w:val="center"/>
          </w:tcPr>
          <w:p>
            <w:pPr>
              <w:textAlignment w:val="center"/>
              <w:rPr>
                <w:rFonts w:asciiTheme="minorEastAsia" w:hAnsiTheme="minorEastAsia" w:eastAsiaTheme="minorEastAsia" w:cstheme="minorEastAsia"/>
                <w:color w:val="000000"/>
                <w:kern w:val="0"/>
                <w:szCs w:val="21"/>
                <w:lang w:bidi="ar"/>
              </w:rPr>
            </w:pPr>
          </w:p>
        </w:tc>
        <w:tc>
          <w:tcPr>
            <w:tcW w:w="3475"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具备Android设备应用锁/隐私密码绕过或禁用能力，手机品牌支持包括但不限于华为、OPPO、vivo、小米等</w:t>
            </w:r>
          </w:p>
        </w:tc>
        <w:tc>
          <w:tcPr>
            <w:tcW w:w="672"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328" w:type="pct"/>
            <w:shd w:val="clear" w:color="auto" w:fill="auto"/>
            <w:vAlign w:val="center"/>
          </w:tcPr>
          <w:p>
            <w:pPr>
              <w:tabs>
                <w:tab w:val="left" w:pos="420"/>
              </w:tabs>
              <w:jc w:val="center"/>
              <w:textAlignment w:val="center"/>
              <w:rPr>
                <w:rFonts w:hint="default" w:asciiTheme="minorEastAsia" w:hAnsiTheme="minorEastAsia" w:eastAsiaTheme="minorEastAsia" w:cstheme="minorEastAsia"/>
                <w:b/>
                <w:bCs/>
                <w:color w:val="000000"/>
                <w:kern w:val="0"/>
                <w:szCs w:val="21"/>
                <w:lang w:val="en-US" w:eastAsia="zh-CN" w:bidi="ar"/>
              </w:rPr>
            </w:pPr>
            <w:r>
              <w:rPr>
                <w:rFonts w:hint="eastAsia" w:asciiTheme="minorEastAsia" w:hAnsiTheme="minorEastAsia" w:eastAsiaTheme="minorEastAsia" w:cstheme="minorEastAsia"/>
                <w:color w:val="000000"/>
                <w:szCs w:val="21"/>
                <w:lang w:val="en-US" w:eastAsia="zh-CN"/>
              </w:rPr>
              <w:t>26</w:t>
            </w:r>
          </w:p>
        </w:tc>
        <w:tc>
          <w:tcPr>
            <w:tcW w:w="525" w:type="pct"/>
            <w:vMerge w:val="continue"/>
            <w:shd w:val="clear" w:color="auto" w:fill="auto"/>
            <w:vAlign w:val="center"/>
          </w:tcPr>
          <w:p>
            <w:pPr>
              <w:textAlignment w:val="center"/>
              <w:rPr>
                <w:rFonts w:asciiTheme="minorEastAsia" w:hAnsiTheme="minorEastAsia" w:eastAsiaTheme="minorEastAsia" w:cstheme="minorEastAsia"/>
                <w:color w:val="000000"/>
                <w:kern w:val="0"/>
                <w:szCs w:val="21"/>
                <w:lang w:bidi="ar"/>
              </w:rPr>
            </w:pPr>
          </w:p>
        </w:tc>
        <w:tc>
          <w:tcPr>
            <w:tcW w:w="3475"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具备AirDrop相关日志中手机号哈希值破解还原的能力</w:t>
            </w:r>
          </w:p>
        </w:tc>
        <w:tc>
          <w:tcPr>
            <w:tcW w:w="672"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328" w:type="pct"/>
            <w:shd w:val="clear" w:color="auto" w:fill="auto"/>
            <w:vAlign w:val="center"/>
          </w:tcPr>
          <w:p>
            <w:pPr>
              <w:tabs>
                <w:tab w:val="left" w:pos="420"/>
              </w:tabs>
              <w:jc w:val="center"/>
              <w:textAlignment w:val="center"/>
              <w:rPr>
                <w:rFonts w:hint="default" w:asciiTheme="minorEastAsia" w:hAnsiTheme="minorEastAsia" w:eastAsiaTheme="minorEastAsia" w:cstheme="minorEastAsia"/>
                <w:b/>
                <w:bCs/>
                <w:color w:val="000000"/>
                <w:kern w:val="0"/>
                <w:szCs w:val="21"/>
                <w:lang w:val="en-US" w:eastAsia="zh-CN" w:bidi="ar"/>
              </w:rPr>
            </w:pPr>
            <w:r>
              <w:rPr>
                <w:rFonts w:hint="eastAsia" w:asciiTheme="minorEastAsia" w:hAnsiTheme="minorEastAsia" w:eastAsiaTheme="minorEastAsia" w:cstheme="minorEastAsia"/>
                <w:color w:val="000000"/>
                <w:szCs w:val="21"/>
                <w:lang w:val="en-US" w:eastAsia="zh-CN"/>
              </w:rPr>
              <w:t>27</w:t>
            </w:r>
          </w:p>
        </w:tc>
        <w:tc>
          <w:tcPr>
            <w:tcW w:w="525"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解析引擎兼容</w:t>
            </w:r>
          </w:p>
        </w:tc>
        <w:tc>
          <w:tcPr>
            <w:tcW w:w="3475"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导入各类常见手机镜像/备份进行数据解析。支持来源包括但限于iTunes备份、苹果完整文件系统、安卓完整文件系统（提权提取）、安卓物理镜像（提权提取）、YunOS备份、OPPO备份、VIVO备份、小米备份、魅族备份、ADB备份、华为备份等。支持格式包括但不限于TAR文件、ZIP文件、DD镜像文件、目录（文件集合）等格式</w:t>
            </w:r>
          </w:p>
        </w:tc>
        <w:tc>
          <w:tcPr>
            <w:tcW w:w="672"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328" w:type="pct"/>
            <w:shd w:val="clear" w:color="auto" w:fill="auto"/>
            <w:vAlign w:val="center"/>
          </w:tcPr>
          <w:p>
            <w:pPr>
              <w:tabs>
                <w:tab w:val="left" w:pos="420"/>
              </w:tabs>
              <w:jc w:val="center"/>
              <w:textAlignment w:val="center"/>
              <w:rPr>
                <w:rFonts w:hint="default" w:asciiTheme="minorEastAsia" w:hAnsiTheme="minorEastAsia" w:eastAsiaTheme="minorEastAsia" w:cstheme="minorEastAsia"/>
                <w:b/>
                <w:bCs/>
                <w:color w:val="000000"/>
                <w:kern w:val="0"/>
                <w:szCs w:val="21"/>
                <w:lang w:val="en-US" w:eastAsia="zh-CN" w:bidi="ar"/>
              </w:rPr>
            </w:pPr>
            <w:r>
              <w:rPr>
                <w:rFonts w:hint="eastAsia" w:asciiTheme="minorEastAsia" w:hAnsiTheme="minorEastAsia" w:eastAsiaTheme="minorEastAsia" w:cstheme="minorEastAsia"/>
                <w:color w:val="000000"/>
                <w:szCs w:val="21"/>
                <w:lang w:val="en-US" w:eastAsia="zh-CN"/>
              </w:rPr>
              <w:t>28</w:t>
            </w:r>
          </w:p>
        </w:tc>
        <w:tc>
          <w:tcPr>
            <w:tcW w:w="525" w:type="pct"/>
            <w:vMerge w:val="restar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系统数据分析</w:t>
            </w:r>
          </w:p>
        </w:tc>
        <w:tc>
          <w:tcPr>
            <w:tcW w:w="3475"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需支持解析设备主要硬件信息与唯一标识等，包括手机厂商、型号、芯片、系统版本、IMEI、MEID、是否root、硬件平台等的相关信息，iOS设备额外需支持IDFA、UDID的解析</w:t>
            </w:r>
          </w:p>
        </w:tc>
        <w:tc>
          <w:tcPr>
            <w:tcW w:w="672"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328" w:type="pct"/>
            <w:shd w:val="clear" w:color="auto" w:fill="auto"/>
            <w:vAlign w:val="center"/>
          </w:tcPr>
          <w:p>
            <w:pPr>
              <w:tabs>
                <w:tab w:val="left" w:pos="420"/>
              </w:tabs>
              <w:jc w:val="center"/>
              <w:textAlignment w:val="center"/>
              <w:rPr>
                <w:rFonts w:hint="default" w:asciiTheme="minorEastAsia" w:hAnsiTheme="minorEastAsia" w:eastAsiaTheme="minorEastAsia" w:cstheme="minorEastAsia"/>
                <w:b/>
                <w:bCs/>
                <w:color w:val="000000"/>
                <w:kern w:val="0"/>
                <w:szCs w:val="21"/>
                <w:lang w:val="en-US" w:eastAsia="zh-CN" w:bidi="ar"/>
              </w:rPr>
            </w:pPr>
            <w:r>
              <w:rPr>
                <w:rFonts w:hint="eastAsia" w:asciiTheme="minorEastAsia" w:hAnsiTheme="minorEastAsia" w:eastAsiaTheme="minorEastAsia" w:cstheme="minorEastAsia"/>
                <w:color w:val="000000"/>
                <w:szCs w:val="21"/>
                <w:lang w:val="en-US" w:eastAsia="zh-CN"/>
              </w:rPr>
              <w:t>29</w:t>
            </w:r>
          </w:p>
        </w:tc>
        <w:tc>
          <w:tcPr>
            <w:tcW w:w="525" w:type="pct"/>
            <w:vMerge w:val="continue"/>
            <w:shd w:val="clear" w:color="auto" w:fill="auto"/>
            <w:vAlign w:val="center"/>
          </w:tcPr>
          <w:p>
            <w:pPr>
              <w:textAlignment w:val="center"/>
              <w:rPr>
                <w:rFonts w:asciiTheme="minorEastAsia" w:hAnsiTheme="minorEastAsia" w:eastAsiaTheme="minorEastAsia" w:cstheme="minorEastAsia"/>
                <w:color w:val="000000"/>
                <w:kern w:val="0"/>
                <w:szCs w:val="21"/>
                <w:lang w:bidi="ar"/>
              </w:rPr>
            </w:pPr>
          </w:p>
        </w:tc>
        <w:tc>
          <w:tcPr>
            <w:tcW w:w="3475"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需支持解析系统基本信息，包括但不限于通讯录、短彩信、通话记录、多媒体(拍摄的文件，包含缩略图)、日历、录音、备忘录、书签、、SIM卡记录、系统输入法等，iOS设备还需支持特有的iMessage消息及语音备忘录</w:t>
            </w:r>
          </w:p>
        </w:tc>
        <w:tc>
          <w:tcPr>
            <w:tcW w:w="672"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328" w:type="pct"/>
            <w:shd w:val="clear" w:color="auto" w:fill="auto"/>
            <w:vAlign w:val="center"/>
          </w:tcPr>
          <w:p>
            <w:pPr>
              <w:tabs>
                <w:tab w:val="left" w:pos="420"/>
              </w:tabs>
              <w:jc w:val="center"/>
              <w:textAlignment w:val="center"/>
              <w:rPr>
                <w:rFonts w:hint="eastAsia" w:asciiTheme="minorEastAsia" w:hAnsiTheme="minorEastAsia" w:eastAsiaTheme="minorEastAsia" w:cstheme="minorEastAsia"/>
                <w:b/>
                <w:bCs/>
                <w:color w:val="000000"/>
                <w:kern w:val="0"/>
                <w:szCs w:val="21"/>
                <w:lang w:eastAsia="zh-CN" w:bidi="ar"/>
              </w:rPr>
            </w:pPr>
            <w:r>
              <w:rPr>
                <w:rFonts w:hint="eastAsia" w:asciiTheme="minorEastAsia" w:hAnsiTheme="minorEastAsia" w:eastAsiaTheme="minorEastAsia" w:cstheme="minorEastAsia"/>
                <w:color w:val="000000"/>
                <w:szCs w:val="21"/>
              </w:rPr>
              <w:t>3</w:t>
            </w:r>
            <w:r>
              <w:rPr>
                <w:rFonts w:hint="eastAsia" w:asciiTheme="minorEastAsia" w:hAnsiTheme="minorEastAsia" w:eastAsiaTheme="minorEastAsia" w:cstheme="minorEastAsia"/>
                <w:color w:val="000000"/>
                <w:szCs w:val="21"/>
                <w:lang w:val="en-US" w:eastAsia="zh-CN"/>
              </w:rPr>
              <w:t>0</w:t>
            </w:r>
          </w:p>
        </w:tc>
        <w:tc>
          <w:tcPr>
            <w:tcW w:w="525" w:type="pct"/>
            <w:vMerge w:val="restart"/>
            <w:shd w:val="clear" w:color="auto" w:fill="auto"/>
            <w:vAlign w:val="center"/>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应用程序分析</w:t>
            </w:r>
          </w:p>
        </w:tc>
        <w:tc>
          <w:tcPr>
            <w:tcW w:w="3475"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需支持解析即时消息类应用痕迹，包括但不限于微信、蝙蝠、QQ、钉钉、BF、Blued、城信、DeBox、Enigma、飞书、绯讯、会玩、Letstalk、聊呗极速版、陌陌、默往、如流、事密达、多卡宝、Soul、探探、他趣、TT语音、旺信、企业微信、闲聊、小天才、野火IM、叮咚、易信、有信、与你、YY、知乎等</w:t>
            </w:r>
          </w:p>
        </w:tc>
        <w:tc>
          <w:tcPr>
            <w:tcW w:w="672"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328" w:type="pct"/>
            <w:shd w:val="clear" w:color="auto" w:fill="auto"/>
            <w:vAlign w:val="center"/>
          </w:tcPr>
          <w:p>
            <w:pPr>
              <w:tabs>
                <w:tab w:val="left" w:pos="420"/>
              </w:tabs>
              <w:jc w:val="center"/>
              <w:textAlignment w:val="center"/>
              <w:rPr>
                <w:rFonts w:hint="default" w:asciiTheme="minorEastAsia" w:hAnsiTheme="minorEastAsia" w:eastAsiaTheme="minorEastAsia" w:cstheme="minorEastAsia"/>
                <w:b/>
                <w:bCs/>
                <w:color w:val="000000"/>
                <w:kern w:val="0"/>
                <w:szCs w:val="21"/>
                <w:lang w:val="en-US" w:eastAsia="zh-CN" w:bidi="ar"/>
              </w:rPr>
            </w:pPr>
            <w:r>
              <w:rPr>
                <w:rFonts w:hint="eastAsia" w:asciiTheme="minorEastAsia" w:hAnsiTheme="minorEastAsia" w:eastAsiaTheme="minorEastAsia" w:cstheme="minorEastAsia"/>
                <w:color w:val="000000"/>
                <w:szCs w:val="21"/>
                <w:lang w:val="en-US" w:eastAsia="zh-CN"/>
              </w:rPr>
              <w:t>31</w:t>
            </w:r>
          </w:p>
        </w:tc>
        <w:tc>
          <w:tcPr>
            <w:tcW w:w="525" w:type="pct"/>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3475"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需支持解析浏览器类应用痕迹，包括但不限于百度浏览器、手机百度极速版、手机百度、Chrome浏览器、Safari、华为浏览器、小米浏览器、OPPO浏览器、vivo浏览器、联想浏览器、三星浏览器、火狐浏览器、欧朋浏览器、QQ浏览器、夸克浏览器、UC浏览器等</w:t>
            </w:r>
          </w:p>
        </w:tc>
        <w:tc>
          <w:tcPr>
            <w:tcW w:w="672"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328" w:type="pct"/>
            <w:shd w:val="clear" w:color="auto" w:fill="auto"/>
            <w:vAlign w:val="center"/>
          </w:tcPr>
          <w:p>
            <w:pPr>
              <w:tabs>
                <w:tab w:val="left" w:pos="420"/>
              </w:tabs>
              <w:jc w:val="center"/>
              <w:textAlignment w:val="center"/>
              <w:rPr>
                <w:rFonts w:hint="default" w:asciiTheme="minorEastAsia" w:hAnsiTheme="minorEastAsia" w:eastAsiaTheme="minorEastAsia" w:cstheme="minorEastAsia"/>
                <w:b/>
                <w:bCs/>
                <w:color w:val="000000"/>
                <w:kern w:val="0"/>
                <w:szCs w:val="21"/>
                <w:lang w:val="en-US" w:eastAsia="zh-CN" w:bidi="ar"/>
              </w:rPr>
            </w:pPr>
            <w:r>
              <w:rPr>
                <w:rFonts w:hint="eastAsia" w:asciiTheme="minorEastAsia" w:hAnsiTheme="minorEastAsia" w:eastAsiaTheme="minorEastAsia" w:cstheme="minorEastAsia"/>
                <w:color w:val="000000"/>
                <w:szCs w:val="21"/>
                <w:lang w:val="en-US" w:eastAsia="zh-CN"/>
              </w:rPr>
              <w:t>32</w:t>
            </w:r>
          </w:p>
        </w:tc>
        <w:tc>
          <w:tcPr>
            <w:tcW w:w="525" w:type="pct"/>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3475"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需支持解析微博社区类应用痕迹，包括但不限于新浪微博、百度贴吧、小红书等</w:t>
            </w:r>
          </w:p>
        </w:tc>
        <w:tc>
          <w:tcPr>
            <w:tcW w:w="672"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328" w:type="pct"/>
            <w:shd w:val="clear" w:color="auto" w:fill="auto"/>
            <w:vAlign w:val="center"/>
          </w:tcPr>
          <w:p>
            <w:pPr>
              <w:tabs>
                <w:tab w:val="left" w:pos="420"/>
              </w:tabs>
              <w:jc w:val="center"/>
              <w:textAlignment w:val="center"/>
              <w:rPr>
                <w:rFonts w:hint="default" w:asciiTheme="minorEastAsia" w:hAnsiTheme="minorEastAsia" w:eastAsiaTheme="minorEastAsia" w:cstheme="minorEastAsia"/>
                <w:b/>
                <w:bCs/>
                <w:color w:val="000000"/>
                <w:kern w:val="0"/>
                <w:szCs w:val="21"/>
                <w:lang w:val="en-US" w:eastAsia="zh-CN" w:bidi="ar"/>
              </w:rPr>
            </w:pPr>
            <w:r>
              <w:rPr>
                <w:rFonts w:hint="eastAsia" w:asciiTheme="minorEastAsia" w:hAnsiTheme="minorEastAsia" w:eastAsiaTheme="minorEastAsia" w:cstheme="minorEastAsia"/>
                <w:color w:val="000000"/>
                <w:szCs w:val="21"/>
                <w:lang w:val="en-US" w:eastAsia="zh-CN"/>
              </w:rPr>
              <w:t>33</w:t>
            </w:r>
          </w:p>
        </w:tc>
        <w:tc>
          <w:tcPr>
            <w:tcW w:w="525" w:type="pct"/>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3475"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需支持解析电子邮件类应用痕迹，包括但不限于系统邮箱、谷歌邮箱、网易邮箱大师、网易邮箱、Proton Mail、QQ邮箱等</w:t>
            </w:r>
          </w:p>
        </w:tc>
        <w:tc>
          <w:tcPr>
            <w:tcW w:w="672"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328" w:type="pct"/>
            <w:shd w:val="clear" w:color="auto" w:fill="auto"/>
            <w:vAlign w:val="center"/>
          </w:tcPr>
          <w:p>
            <w:pPr>
              <w:tabs>
                <w:tab w:val="left" w:pos="420"/>
              </w:tabs>
              <w:jc w:val="center"/>
              <w:textAlignment w:val="center"/>
              <w:rPr>
                <w:rFonts w:hint="default" w:asciiTheme="minorEastAsia" w:hAnsiTheme="minorEastAsia" w:eastAsiaTheme="minorEastAsia" w:cstheme="minorEastAsia"/>
                <w:b/>
                <w:bCs/>
                <w:color w:val="000000"/>
                <w:kern w:val="0"/>
                <w:szCs w:val="21"/>
                <w:lang w:val="en-US" w:eastAsia="zh-CN" w:bidi="ar"/>
              </w:rPr>
            </w:pPr>
            <w:r>
              <w:rPr>
                <w:rFonts w:hint="eastAsia" w:asciiTheme="minorEastAsia" w:hAnsiTheme="minorEastAsia" w:eastAsiaTheme="minorEastAsia" w:cstheme="minorEastAsia"/>
                <w:color w:val="000000"/>
                <w:szCs w:val="21"/>
                <w:lang w:val="en-US" w:eastAsia="zh-CN"/>
              </w:rPr>
              <w:t>34</w:t>
            </w:r>
          </w:p>
        </w:tc>
        <w:tc>
          <w:tcPr>
            <w:tcW w:w="525" w:type="pct"/>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3475"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需支持解析电子商务类应用痕迹，包括但不限于支付宝、淘宝、京东、拼多多、千牛（iOS）、天猫（Android）、闲鱼、转转等</w:t>
            </w:r>
          </w:p>
        </w:tc>
        <w:tc>
          <w:tcPr>
            <w:tcW w:w="672"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328" w:type="pct"/>
            <w:shd w:val="clear" w:color="auto" w:fill="auto"/>
            <w:vAlign w:val="center"/>
          </w:tcPr>
          <w:p>
            <w:pPr>
              <w:tabs>
                <w:tab w:val="left" w:pos="420"/>
              </w:tabs>
              <w:jc w:val="center"/>
              <w:textAlignment w:val="center"/>
              <w:rPr>
                <w:rFonts w:hint="default" w:asciiTheme="minorEastAsia" w:hAnsiTheme="minorEastAsia" w:eastAsiaTheme="minorEastAsia" w:cstheme="minorEastAsia"/>
                <w:b/>
                <w:bCs/>
                <w:color w:val="000000"/>
                <w:kern w:val="0"/>
                <w:szCs w:val="21"/>
                <w:lang w:val="en-US" w:eastAsia="zh-CN" w:bidi="ar"/>
              </w:rPr>
            </w:pPr>
            <w:r>
              <w:rPr>
                <w:rFonts w:hint="eastAsia" w:asciiTheme="minorEastAsia" w:hAnsiTheme="minorEastAsia" w:eastAsiaTheme="minorEastAsia" w:cstheme="minorEastAsia"/>
                <w:color w:val="000000"/>
                <w:szCs w:val="21"/>
                <w:lang w:val="en-US" w:eastAsia="zh-CN"/>
              </w:rPr>
              <w:t>35</w:t>
            </w:r>
          </w:p>
        </w:tc>
        <w:tc>
          <w:tcPr>
            <w:tcW w:w="525" w:type="pct"/>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3475"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需支持解析地图出行类应用痕迹，包括但不限于高德地图、百度地图、携程旅行、谷歌地图、去哪儿、铁路12306、搜狗地图、腾讯地图、航旅纵横等</w:t>
            </w:r>
          </w:p>
        </w:tc>
        <w:tc>
          <w:tcPr>
            <w:tcW w:w="672"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328" w:type="pct"/>
            <w:shd w:val="clear" w:color="auto" w:fill="auto"/>
            <w:vAlign w:val="center"/>
          </w:tcPr>
          <w:p>
            <w:pPr>
              <w:tabs>
                <w:tab w:val="left" w:pos="420"/>
              </w:tabs>
              <w:jc w:val="center"/>
              <w:textAlignment w:val="center"/>
              <w:rPr>
                <w:rFonts w:hint="default" w:asciiTheme="minorEastAsia" w:hAnsiTheme="minorEastAsia" w:eastAsiaTheme="minorEastAsia" w:cstheme="minorEastAsia"/>
                <w:b/>
                <w:bCs/>
                <w:color w:val="000000"/>
                <w:kern w:val="0"/>
                <w:szCs w:val="21"/>
                <w:lang w:val="en-US" w:eastAsia="zh-CN" w:bidi="ar"/>
              </w:rPr>
            </w:pPr>
            <w:r>
              <w:rPr>
                <w:rFonts w:hint="eastAsia" w:asciiTheme="minorEastAsia" w:hAnsiTheme="minorEastAsia" w:eastAsiaTheme="minorEastAsia" w:cstheme="minorEastAsia"/>
                <w:color w:val="000000"/>
                <w:szCs w:val="21"/>
                <w:lang w:val="en-US" w:eastAsia="zh-CN"/>
              </w:rPr>
              <w:t>36</w:t>
            </w:r>
          </w:p>
        </w:tc>
        <w:tc>
          <w:tcPr>
            <w:tcW w:w="525" w:type="pct"/>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3475"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需支持解析网盘类应用痕迹，包括但不限于百度网盘等</w:t>
            </w:r>
          </w:p>
        </w:tc>
        <w:tc>
          <w:tcPr>
            <w:tcW w:w="672"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328" w:type="pct"/>
            <w:shd w:val="clear" w:color="auto" w:fill="auto"/>
            <w:vAlign w:val="center"/>
          </w:tcPr>
          <w:p>
            <w:pPr>
              <w:tabs>
                <w:tab w:val="left" w:pos="420"/>
              </w:tabs>
              <w:jc w:val="center"/>
              <w:textAlignment w:val="center"/>
              <w:rPr>
                <w:rFonts w:hint="default" w:asciiTheme="minorEastAsia" w:hAnsiTheme="minorEastAsia" w:eastAsiaTheme="minorEastAsia" w:cstheme="minorEastAsia"/>
                <w:b/>
                <w:bCs/>
                <w:color w:val="000000"/>
                <w:kern w:val="0"/>
                <w:szCs w:val="21"/>
                <w:lang w:val="en-US" w:eastAsia="zh-CN" w:bidi="ar"/>
              </w:rPr>
            </w:pPr>
            <w:r>
              <w:rPr>
                <w:rFonts w:hint="eastAsia" w:asciiTheme="minorEastAsia" w:hAnsiTheme="minorEastAsia" w:eastAsiaTheme="minorEastAsia" w:cstheme="minorEastAsia"/>
                <w:color w:val="000000"/>
                <w:szCs w:val="21"/>
                <w:lang w:val="en-US" w:eastAsia="zh-CN"/>
              </w:rPr>
              <w:t>37</w:t>
            </w:r>
          </w:p>
        </w:tc>
        <w:tc>
          <w:tcPr>
            <w:tcW w:w="525" w:type="pct"/>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3475"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需支持解析工具类应用痕迹，包括但不限于茄子快传、快牙、迷雾通、小爱视觉（Android）、ShadowRocket、SSR、向日葵、快连VPN等</w:t>
            </w:r>
          </w:p>
        </w:tc>
        <w:tc>
          <w:tcPr>
            <w:tcW w:w="672"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328" w:type="pct"/>
            <w:shd w:val="clear" w:color="auto" w:fill="auto"/>
            <w:vAlign w:val="center"/>
          </w:tcPr>
          <w:p>
            <w:pPr>
              <w:tabs>
                <w:tab w:val="left" w:pos="420"/>
              </w:tabs>
              <w:jc w:val="center"/>
              <w:textAlignment w:val="center"/>
              <w:rPr>
                <w:rFonts w:hint="default" w:asciiTheme="minorEastAsia" w:hAnsiTheme="minorEastAsia" w:eastAsiaTheme="minorEastAsia" w:cstheme="minorEastAsia"/>
                <w:b/>
                <w:bCs/>
                <w:color w:val="000000"/>
                <w:kern w:val="0"/>
                <w:szCs w:val="21"/>
                <w:lang w:val="en-US" w:eastAsia="zh-CN" w:bidi="ar"/>
              </w:rPr>
            </w:pPr>
            <w:r>
              <w:rPr>
                <w:rFonts w:hint="eastAsia" w:asciiTheme="minorEastAsia" w:hAnsiTheme="minorEastAsia" w:eastAsiaTheme="minorEastAsia" w:cstheme="minorEastAsia"/>
                <w:color w:val="000000"/>
                <w:szCs w:val="21"/>
                <w:lang w:val="en-US" w:eastAsia="zh-CN"/>
              </w:rPr>
              <w:t>38</w:t>
            </w:r>
          </w:p>
        </w:tc>
        <w:tc>
          <w:tcPr>
            <w:tcW w:w="525" w:type="pct"/>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3475"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需支持解析影音娱乐类应用痕迹，包括但不限于抖音、抖音极速版、抖音火山版、火山小视频、快手、全民K歌、YouTube等</w:t>
            </w:r>
          </w:p>
        </w:tc>
        <w:tc>
          <w:tcPr>
            <w:tcW w:w="672"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328" w:type="pct"/>
            <w:shd w:val="clear" w:color="auto" w:fill="auto"/>
            <w:vAlign w:val="center"/>
          </w:tcPr>
          <w:p>
            <w:pPr>
              <w:tabs>
                <w:tab w:val="left" w:pos="420"/>
              </w:tabs>
              <w:jc w:val="center"/>
              <w:textAlignment w:val="center"/>
              <w:rPr>
                <w:rFonts w:hint="default" w:asciiTheme="minorEastAsia" w:hAnsiTheme="minorEastAsia" w:eastAsiaTheme="minorEastAsia" w:cstheme="minorEastAsia"/>
                <w:b/>
                <w:bCs/>
                <w:color w:val="000000"/>
                <w:kern w:val="0"/>
                <w:szCs w:val="21"/>
                <w:lang w:val="en-US" w:eastAsia="zh-CN" w:bidi="ar"/>
              </w:rPr>
            </w:pPr>
            <w:r>
              <w:rPr>
                <w:rFonts w:hint="eastAsia" w:asciiTheme="minorEastAsia" w:hAnsiTheme="minorEastAsia" w:eastAsiaTheme="minorEastAsia" w:cstheme="minorEastAsia"/>
                <w:color w:val="000000"/>
                <w:szCs w:val="21"/>
                <w:lang w:val="en-US" w:eastAsia="zh-CN"/>
              </w:rPr>
              <w:t>39</w:t>
            </w:r>
          </w:p>
        </w:tc>
        <w:tc>
          <w:tcPr>
            <w:tcW w:w="525" w:type="pct"/>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3475"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需支持解析手机安全类应用痕迹，包括但不限于360安全卫士、华为拦截等</w:t>
            </w:r>
          </w:p>
        </w:tc>
        <w:tc>
          <w:tcPr>
            <w:tcW w:w="672"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328" w:type="pct"/>
            <w:shd w:val="clear" w:color="auto" w:fill="auto"/>
            <w:vAlign w:val="center"/>
          </w:tcPr>
          <w:p>
            <w:pPr>
              <w:tabs>
                <w:tab w:val="left" w:pos="420"/>
              </w:tabs>
              <w:jc w:val="center"/>
              <w:textAlignment w:val="center"/>
              <w:rPr>
                <w:rFonts w:hint="eastAsia" w:asciiTheme="minorEastAsia" w:hAnsiTheme="minorEastAsia" w:eastAsiaTheme="minorEastAsia" w:cstheme="minorEastAsia"/>
                <w:b/>
                <w:bCs/>
                <w:color w:val="000000"/>
                <w:kern w:val="0"/>
                <w:szCs w:val="21"/>
                <w:lang w:eastAsia="zh-CN" w:bidi="ar"/>
              </w:rPr>
            </w:pPr>
            <w:r>
              <w:rPr>
                <w:rFonts w:hint="eastAsia" w:asciiTheme="minorEastAsia" w:hAnsiTheme="minorEastAsia" w:eastAsiaTheme="minorEastAsia" w:cstheme="minorEastAsia"/>
                <w:color w:val="000000"/>
                <w:szCs w:val="21"/>
              </w:rPr>
              <w:t>4</w:t>
            </w:r>
            <w:r>
              <w:rPr>
                <w:rFonts w:hint="eastAsia" w:asciiTheme="minorEastAsia" w:hAnsiTheme="minorEastAsia" w:eastAsiaTheme="minorEastAsia" w:cstheme="minorEastAsia"/>
                <w:color w:val="000000"/>
                <w:szCs w:val="21"/>
                <w:lang w:val="en-US" w:eastAsia="zh-CN"/>
              </w:rPr>
              <w:t>0</w:t>
            </w:r>
          </w:p>
        </w:tc>
        <w:tc>
          <w:tcPr>
            <w:tcW w:w="525" w:type="pct"/>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3475"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需支持解析文档类应用痕迹，包括但不限于谷歌文档、谷歌表格、WPS等</w:t>
            </w:r>
          </w:p>
        </w:tc>
        <w:tc>
          <w:tcPr>
            <w:tcW w:w="672"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328" w:type="pct"/>
            <w:shd w:val="clear" w:color="auto" w:fill="auto"/>
            <w:vAlign w:val="center"/>
          </w:tcPr>
          <w:p>
            <w:pPr>
              <w:tabs>
                <w:tab w:val="left" w:pos="420"/>
              </w:tabs>
              <w:jc w:val="center"/>
              <w:textAlignment w:val="center"/>
              <w:rPr>
                <w:rFonts w:hint="default" w:asciiTheme="minorEastAsia" w:hAnsiTheme="minorEastAsia" w:eastAsiaTheme="minorEastAsia" w:cstheme="minorEastAsia"/>
                <w:b/>
                <w:bCs/>
                <w:color w:val="000000"/>
                <w:kern w:val="0"/>
                <w:szCs w:val="21"/>
                <w:lang w:val="en-US" w:eastAsia="zh-CN" w:bidi="ar"/>
              </w:rPr>
            </w:pPr>
            <w:r>
              <w:rPr>
                <w:rFonts w:hint="eastAsia" w:asciiTheme="minorEastAsia" w:hAnsiTheme="minorEastAsia" w:eastAsiaTheme="minorEastAsia" w:cstheme="minorEastAsia"/>
                <w:color w:val="000000"/>
                <w:szCs w:val="21"/>
                <w:lang w:val="en-US" w:eastAsia="zh-CN"/>
              </w:rPr>
              <w:t>41</w:t>
            </w:r>
          </w:p>
        </w:tc>
        <w:tc>
          <w:tcPr>
            <w:tcW w:w="525" w:type="pct"/>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3475"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需支持解析生活类应用痕迹，包括但不限于华为智慧生活、锦食送、美团、米家、食派士等</w:t>
            </w:r>
          </w:p>
        </w:tc>
        <w:tc>
          <w:tcPr>
            <w:tcW w:w="672"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328" w:type="pct"/>
            <w:shd w:val="clear" w:color="auto" w:fill="auto"/>
            <w:vAlign w:val="center"/>
          </w:tcPr>
          <w:p>
            <w:pPr>
              <w:tabs>
                <w:tab w:val="left" w:pos="420"/>
              </w:tabs>
              <w:jc w:val="center"/>
              <w:textAlignment w:val="center"/>
              <w:rPr>
                <w:rFonts w:hint="default" w:asciiTheme="minorEastAsia" w:hAnsiTheme="minorEastAsia" w:eastAsiaTheme="minorEastAsia" w:cstheme="minorEastAsia"/>
                <w:b/>
                <w:bCs/>
                <w:color w:val="000000"/>
                <w:kern w:val="0"/>
                <w:szCs w:val="21"/>
                <w:lang w:val="en-US" w:eastAsia="zh-CN" w:bidi="ar"/>
              </w:rPr>
            </w:pPr>
            <w:r>
              <w:rPr>
                <w:rFonts w:hint="eastAsia" w:asciiTheme="minorEastAsia" w:hAnsiTheme="minorEastAsia" w:eastAsiaTheme="minorEastAsia" w:cstheme="minorEastAsia"/>
                <w:color w:val="000000"/>
                <w:szCs w:val="21"/>
                <w:lang w:val="en-US" w:eastAsia="zh-CN"/>
              </w:rPr>
              <w:t>42</w:t>
            </w:r>
          </w:p>
        </w:tc>
        <w:tc>
          <w:tcPr>
            <w:tcW w:w="525" w:type="pct"/>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3475"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需支持解析笔记类应用痕迹，包括但不限于系统备忘录记事本、印象笔记等</w:t>
            </w:r>
          </w:p>
        </w:tc>
        <w:tc>
          <w:tcPr>
            <w:tcW w:w="672"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328" w:type="pct"/>
            <w:shd w:val="clear" w:color="auto" w:fill="auto"/>
            <w:vAlign w:val="center"/>
          </w:tcPr>
          <w:p>
            <w:pPr>
              <w:tabs>
                <w:tab w:val="left" w:pos="420"/>
              </w:tabs>
              <w:jc w:val="center"/>
              <w:textAlignment w:val="center"/>
              <w:rPr>
                <w:rFonts w:hint="default" w:asciiTheme="minorEastAsia" w:hAnsiTheme="minorEastAsia" w:eastAsiaTheme="minorEastAsia" w:cstheme="minorEastAsia"/>
                <w:b/>
                <w:bCs/>
                <w:color w:val="000000"/>
                <w:kern w:val="0"/>
                <w:szCs w:val="21"/>
                <w:lang w:val="en-US" w:eastAsia="zh-CN" w:bidi="ar"/>
              </w:rPr>
            </w:pPr>
            <w:r>
              <w:rPr>
                <w:rFonts w:hint="eastAsia" w:asciiTheme="minorEastAsia" w:hAnsiTheme="minorEastAsia" w:eastAsiaTheme="minorEastAsia" w:cstheme="minorEastAsia"/>
                <w:color w:val="000000"/>
                <w:szCs w:val="21"/>
                <w:lang w:val="en-US" w:eastAsia="zh-CN"/>
              </w:rPr>
              <w:t>43</w:t>
            </w:r>
          </w:p>
        </w:tc>
        <w:tc>
          <w:tcPr>
            <w:tcW w:w="525" w:type="pct"/>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3475"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需支持解析iOS推送消息，显示推送消息的主题、内容、来源、时间、阅读日期等</w:t>
            </w:r>
          </w:p>
        </w:tc>
        <w:tc>
          <w:tcPr>
            <w:tcW w:w="672" w:type="pct"/>
            <w:shd w:val="clear" w:color="auto" w:fill="auto"/>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328" w:type="pct"/>
            <w:shd w:val="clear" w:color="auto" w:fill="auto"/>
            <w:vAlign w:val="center"/>
          </w:tcPr>
          <w:p>
            <w:pPr>
              <w:tabs>
                <w:tab w:val="left" w:pos="420"/>
              </w:tabs>
              <w:jc w:val="center"/>
              <w:textAlignment w:val="center"/>
              <w:rPr>
                <w:rFonts w:hint="default" w:asciiTheme="minorEastAsia" w:hAnsiTheme="minorEastAsia" w:eastAsiaTheme="minorEastAsia" w:cstheme="minorEastAsia"/>
                <w:b/>
                <w:bCs/>
                <w:color w:val="000000"/>
                <w:kern w:val="0"/>
                <w:szCs w:val="21"/>
                <w:lang w:val="en-US" w:eastAsia="zh-CN" w:bidi="ar"/>
              </w:rPr>
            </w:pPr>
            <w:r>
              <w:rPr>
                <w:rFonts w:hint="eastAsia" w:asciiTheme="minorEastAsia" w:hAnsiTheme="minorEastAsia" w:eastAsiaTheme="minorEastAsia" w:cstheme="minorEastAsia"/>
                <w:color w:val="000000"/>
                <w:szCs w:val="21"/>
                <w:lang w:val="en-US" w:eastAsia="zh-CN"/>
              </w:rPr>
              <w:t>44</w:t>
            </w:r>
          </w:p>
        </w:tc>
        <w:tc>
          <w:tcPr>
            <w:tcW w:w="525" w:type="pct"/>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3475"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需支持解析手机卡包，iOS钱包分析，如手机卡、登机牌等</w:t>
            </w:r>
          </w:p>
        </w:tc>
        <w:tc>
          <w:tcPr>
            <w:tcW w:w="672" w:type="pct"/>
            <w:shd w:val="clear" w:color="auto" w:fill="auto"/>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328" w:type="pct"/>
            <w:shd w:val="clear" w:color="auto" w:fill="auto"/>
            <w:vAlign w:val="center"/>
          </w:tcPr>
          <w:p>
            <w:pPr>
              <w:tabs>
                <w:tab w:val="left" w:pos="420"/>
              </w:tabs>
              <w:jc w:val="center"/>
              <w:textAlignment w:val="center"/>
              <w:rPr>
                <w:rFonts w:hint="default" w:asciiTheme="minorEastAsia" w:hAnsiTheme="minorEastAsia" w:eastAsiaTheme="minorEastAsia" w:cstheme="minorEastAsia"/>
                <w:b/>
                <w:bCs/>
                <w:color w:val="000000"/>
                <w:kern w:val="0"/>
                <w:szCs w:val="21"/>
                <w:lang w:val="en-US" w:eastAsia="zh-CN" w:bidi="ar"/>
              </w:rPr>
            </w:pPr>
            <w:r>
              <w:rPr>
                <w:rFonts w:hint="eastAsia" w:asciiTheme="minorEastAsia" w:hAnsiTheme="minorEastAsia" w:eastAsiaTheme="minorEastAsia" w:cstheme="minorEastAsia"/>
                <w:color w:val="000000"/>
                <w:szCs w:val="21"/>
                <w:lang w:val="en-US" w:eastAsia="zh-CN"/>
              </w:rPr>
              <w:t>45</w:t>
            </w:r>
          </w:p>
        </w:tc>
        <w:tc>
          <w:tcPr>
            <w:tcW w:w="525" w:type="pct"/>
            <w:vMerge w:val="restart"/>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数据恢复</w:t>
            </w:r>
          </w:p>
        </w:tc>
        <w:tc>
          <w:tcPr>
            <w:tcW w:w="3475"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需支持删除恢复，恢复已删除的记录。支持但不限于：通讯录、通话记录、短彩信、多媒体(基于缩略图的恢复)、备忘录、录音、微信、企业微信、QQ、支付宝、钉钉、陌陌、默往、探探、闲聊、Blued、Letstalk、soul、城信、微博、易信、Twitter、Line、sugram、viber、Chrome浏览器、火狐浏览器、QQ浏览器、夸克浏览器、手机百度、抖音、QQ邮箱、高德地图、携程、淘宝、京东、百度贴吧、多卡宝等应用痕迹</w:t>
            </w:r>
          </w:p>
        </w:tc>
        <w:tc>
          <w:tcPr>
            <w:tcW w:w="672"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328" w:type="pct"/>
            <w:shd w:val="clear" w:color="auto" w:fill="auto"/>
            <w:vAlign w:val="center"/>
          </w:tcPr>
          <w:p>
            <w:pPr>
              <w:tabs>
                <w:tab w:val="left" w:pos="420"/>
              </w:tabs>
              <w:jc w:val="center"/>
              <w:textAlignment w:val="center"/>
              <w:rPr>
                <w:rFonts w:hint="default" w:asciiTheme="minorEastAsia" w:hAnsiTheme="minorEastAsia" w:eastAsiaTheme="minorEastAsia" w:cstheme="minorEastAsia"/>
                <w:b/>
                <w:bCs/>
                <w:color w:val="000000"/>
                <w:kern w:val="0"/>
                <w:szCs w:val="21"/>
                <w:lang w:val="en-US" w:eastAsia="zh-CN" w:bidi="ar"/>
              </w:rPr>
            </w:pPr>
            <w:r>
              <w:rPr>
                <w:rFonts w:hint="eastAsia" w:asciiTheme="minorEastAsia" w:hAnsiTheme="minorEastAsia" w:eastAsiaTheme="minorEastAsia" w:cstheme="minorEastAsia"/>
                <w:color w:val="000000"/>
                <w:szCs w:val="21"/>
                <w:lang w:val="en-US" w:eastAsia="zh-CN"/>
              </w:rPr>
              <w:t>46</w:t>
            </w:r>
          </w:p>
        </w:tc>
        <w:tc>
          <w:tcPr>
            <w:tcW w:w="525" w:type="pct"/>
            <w:vMerge w:val="continue"/>
            <w:shd w:val="clear" w:color="auto" w:fill="auto"/>
            <w:vAlign w:val="center"/>
          </w:tcPr>
          <w:p>
            <w:pPr>
              <w:rPr>
                <w:rFonts w:asciiTheme="minorEastAsia" w:hAnsiTheme="minorEastAsia" w:eastAsiaTheme="minorEastAsia" w:cstheme="minorEastAsia"/>
                <w:color w:val="000000"/>
                <w:szCs w:val="21"/>
              </w:rPr>
            </w:pPr>
          </w:p>
        </w:tc>
        <w:tc>
          <w:tcPr>
            <w:tcW w:w="3475"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系统界面需能够直观区分正常和已删除记录</w:t>
            </w:r>
          </w:p>
        </w:tc>
        <w:tc>
          <w:tcPr>
            <w:tcW w:w="672"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328" w:type="pct"/>
            <w:shd w:val="clear" w:color="auto" w:fill="auto"/>
            <w:vAlign w:val="center"/>
          </w:tcPr>
          <w:p>
            <w:pPr>
              <w:tabs>
                <w:tab w:val="left" w:pos="420"/>
              </w:tabs>
              <w:jc w:val="center"/>
              <w:textAlignment w:val="center"/>
              <w:rPr>
                <w:rFonts w:hint="default" w:asciiTheme="minorEastAsia" w:hAnsiTheme="minorEastAsia" w:eastAsiaTheme="minorEastAsia" w:cstheme="minorEastAsia"/>
                <w:b/>
                <w:bCs/>
                <w:color w:val="000000"/>
                <w:kern w:val="0"/>
                <w:szCs w:val="21"/>
                <w:lang w:val="en-US" w:eastAsia="zh-CN" w:bidi="ar"/>
              </w:rPr>
            </w:pPr>
            <w:r>
              <w:rPr>
                <w:rFonts w:hint="eastAsia" w:asciiTheme="minorEastAsia" w:hAnsiTheme="minorEastAsia" w:eastAsiaTheme="minorEastAsia" w:cstheme="minorEastAsia"/>
                <w:color w:val="000000"/>
                <w:szCs w:val="21"/>
                <w:lang w:val="en-US" w:eastAsia="zh-CN"/>
              </w:rPr>
              <w:t>47</w:t>
            </w:r>
          </w:p>
        </w:tc>
        <w:tc>
          <w:tcPr>
            <w:tcW w:w="525" w:type="pct"/>
            <w:vMerge w:val="restart"/>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智能分析</w:t>
            </w:r>
          </w:p>
        </w:tc>
        <w:tc>
          <w:tcPr>
            <w:tcW w:w="3475"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需具备全局关键字搜索能力。支持通过搜索结果一键定位至原始数据位置</w:t>
            </w:r>
          </w:p>
        </w:tc>
        <w:tc>
          <w:tcPr>
            <w:tcW w:w="672"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328" w:type="pct"/>
            <w:shd w:val="clear" w:color="auto" w:fill="auto"/>
            <w:vAlign w:val="center"/>
          </w:tcPr>
          <w:p>
            <w:pPr>
              <w:tabs>
                <w:tab w:val="left" w:pos="420"/>
              </w:tabs>
              <w:jc w:val="center"/>
              <w:textAlignment w:val="center"/>
              <w:rPr>
                <w:rFonts w:hint="default" w:asciiTheme="minorEastAsia" w:hAnsiTheme="minorEastAsia" w:eastAsiaTheme="minorEastAsia" w:cstheme="minorEastAsia"/>
                <w:b/>
                <w:bCs/>
                <w:color w:val="000000"/>
                <w:kern w:val="0"/>
                <w:szCs w:val="21"/>
                <w:lang w:val="en-US" w:eastAsia="zh-CN" w:bidi="ar"/>
              </w:rPr>
            </w:pPr>
            <w:r>
              <w:rPr>
                <w:rFonts w:hint="eastAsia" w:asciiTheme="minorEastAsia" w:hAnsiTheme="minorEastAsia" w:eastAsiaTheme="minorEastAsia" w:cstheme="minorEastAsia"/>
                <w:color w:val="000000"/>
                <w:szCs w:val="21"/>
                <w:lang w:val="en-US" w:eastAsia="zh-CN"/>
              </w:rPr>
              <w:t>48</w:t>
            </w:r>
          </w:p>
        </w:tc>
        <w:tc>
          <w:tcPr>
            <w:tcW w:w="525" w:type="pct"/>
            <w:vMerge w:val="continue"/>
            <w:shd w:val="clear" w:color="auto" w:fill="auto"/>
            <w:vAlign w:val="center"/>
          </w:tcPr>
          <w:p>
            <w:pPr>
              <w:rPr>
                <w:rFonts w:asciiTheme="minorEastAsia" w:hAnsiTheme="minorEastAsia" w:eastAsiaTheme="minorEastAsia" w:cstheme="minorEastAsia"/>
                <w:color w:val="000000"/>
                <w:szCs w:val="21"/>
              </w:rPr>
            </w:pPr>
          </w:p>
        </w:tc>
        <w:tc>
          <w:tcPr>
            <w:tcW w:w="3475"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需支持汇聚涉及位置信息的解析结果，可以在地图中集中可视化展示。可以根据需要，选择一定范围的地理信息，按时间进行轨迹展示</w:t>
            </w:r>
          </w:p>
        </w:tc>
        <w:tc>
          <w:tcPr>
            <w:tcW w:w="672"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328" w:type="pct"/>
            <w:shd w:val="clear" w:color="auto" w:fill="auto"/>
            <w:vAlign w:val="center"/>
          </w:tcPr>
          <w:p>
            <w:pPr>
              <w:tabs>
                <w:tab w:val="left" w:pos="420"/>
              </w:tabs>
              <w:jc w:val="center"/>
              <w:textAlignment w:val="center"/>
              <w:rPr>
                <w:rFonts w:hint="default" w:asciiTheme="minorEastAsia" w:hAnsiTheme="minorEastAsia" w:eastAsiaTheme="minorEastAsia" w:cstheme="minorEastAsia"/>
                <w:b/>
                <w:bCs/>
                <w:color w:val="000000"/>
                <w:kern w:val="0"/>
                <w:szCs w:val="21"/>
                <w:lang w:val="en-US" w:eastAsia="zh-CN" w:bidi="ar"/>
              </w:rPr>
            </w:pPr>
            <w:r>
              <w:rPr>
                <w:rFonts w:hint="eastAsia" w:asciiTheme="minorEastAsia" w:hAnsiTheme="minorEastAsia" w:eastAsiaTheme="minorEastAsia" w:cstheme="minorEastAsia"/>
                <w:color w:val="000000"/>
                <w:szCs w:val="21"/>
                <w:lang w:val="en-US" w:eastAsia="zh-CN"/>
              </w:rPr>
              <w:t>49</w:t>
            </w:r>
          </w:p>
        </w:tc>
        <w:tc>
          <w:tcPr>
            <w:tcW w:w="525" w:type="pct"/>
            <w:vMerge w:val="continue"/>
            <w:shd w:val="clear" w:color="auto" w:fill="auto"/>
            <w:vAlign w:val="center"/>
          </w:tcPr>
          <w:p>
            <w:pPr>
              <w:rPr>
                <w:rFonts w:asciiTheme="minorEastAsia" w:hAnsiTheme="minorEastAsia" w:eastAsiaTheme="minorEastAsia" w:cstheme="minorEastAsia"/>
                <w:color w:val="000000"/>
                <w:szCs w:val="21"/>
              </w:rPr>
            </w:pPr>
          </w:p>
        </w:tc>
        <w:tc>
          <w:tcPr>
            <w:tcW w:w="3475"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需支持对常见文件进行分拣。文件分类包括但不限于：视频、音频、图片、数据库、办公文档、压缩文件等。同时支持各应用的多媒体文件分类</w:t>
            </w:r>
          </w:p>
        </w:tc>
        <w:tc>
          <w:tcPr>
            <w:tcW w:w="672"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328" w:type="pct"/>
            <w:shd w:val="clear" w:color="auto" w:fill="auto"/>
            <w:vAlign w:val="center"/>
          </w:tcPr>
          <w:p>
            <w:pPr>
              <w:tabs>
                <w:tab w:val="left" w:pos="420"/>
              </w:tabs>
              <w:jc w:val="center"/>
              <w:textAlignment w:val="center"/>
              <w:rPr>
                <w:rFonts w:hint="eastAsia" w:asciiTheme="minorEastAsia" w:hAnsiTheme="minorEastAsia" w:eastAsiaTheme="minorEastAsia" w:cstheme="minorEastAsia"/>
                <w:b/>
                <w:bCs/>
                <w:color w:val="000000"/>
                <w:kern w:val="0"/>
                <w:szCs w:val="21"/>
                <w:lang w:eastAsia="zh-CN" w:bidi="ar"/>
              </w:rPr>
            </w:pPr>
            <w:r>
              <w:rPr>
                <w:rFonts w:hint="eastAsia" w:asciiTheme="minorEastAsia" w:hAnsiTheme="minorEastAsia" w:eastAsiaTheme="minorEastAsia" w:cstheme="minorEastAsia"/>
                <w:color w:val="000000"/>
                <w:szCs w:val="21"/>
              </w:rPr>
              <w:t>5</w:t>
            </w:r>
            <w:r>
              <w:rPr>
                <w:rFonts w:hint="eastAsia" w:asciiTheme="minorEastAsia" w:hAnsiTheme="minorEastAsia" w:eastAsiaTheme="minorEastAsia" w:cstheme="minorEastAsia"/>
                <w:color w:val="000000"/>
                <w:szCs w:val="21"/>
                <w:lang w:val="en-US" w:eastAsia="zh-CN"/>
              </w:rPr>
              <w:t>0</w:t>
            </w:r>
          </w:p>
        </w:tc>
        <w:tc>
          <w:tcPr>
            <w:tcW w:w="525" w:type="pct"/>
            <w:vMerge w:val="continue"/>
            <w:shd w:val="clear" w:color="auto" w:fill="auto"/>
            <w:vAlign w:val="center"/>
          </w:tcPr>
          <w:p>
            <w:pPr>
              <w:rPr>
                <w:rFonts w:asciiTheme="minorEastAsia" w:hAnsiTheme="minorEastAsia" w:eastAsiaTheme="minorEastAsia" w:cstheme="minorEastAsia"/>
                <w:color w:val="000000"/>
                <w:szCs w:val="21"/>
              </w:rPr>
            </w:pPr>
          </w:p>
        </w:tc>
        <w:tc>
          <w:tcPr>
            <w:tcW w:w="3475"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需支持单个标签页（单个数据表）的数据局部导出，支持个是包括但不限于HTML、Excel、CSV等</w:t>
            </w:r>
          </w:p>
        </w:tc>
        <w:tc>
          <w:tcPr>
            <w:tcW w:w="672"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328" w:type="pct"/>
            <w:shd w:val="clear" w:color="auto" w:fill="auto"/>
            <w:vAlign w:val="center"/>
          </w:tcPr>
          <w:p>
            <w:pPr>
              <w:tabs>
                <w:tab w:val="left" w:pos="420"/>
              </w:tabs>
              <w:jc w:val="center"/>
              <w:textAlignment w:val="center"/>
              <w:rPr>
                <w:rFonts w:hint="default" w:asciiTheme="minorEastAsia" w:hAnsiTheme="minorEastAsia" w:eastAsiaTheme="minorEastAsia" w:cstheme="minorEastAsia"/>
                <w:b/>
                <w:bCs/>
                <w:color w:val="000000"/>
                <w:kern w:val="0"/>
                <w:szCs w:val="21"/>
                <w:lang w:val="en-US" w:eastAsia="zh-CN" w:bidi="ar"/>
              </w:rPr>
            </w:pPr>
            <w:r>
              <w:rPr>
                <w:rFonts w:hint="eastAsia" w:asciiTheme="minorEastAsia" w:hAnsiTheme="minorEastAsia" w:eastAsiaTheme="minorEastAsia" w:cstheme="minorEastAsia"/>
                <w:color w:val="000000"/>
                <w:szCs w:val="21"/>
                <w:lang w:val="en-US" w:eastAsia="zh-CN"/>
              </w:rPr>
              <w:t>51</w:t>
            </w:r>
          </w:p>
        </w:tc>
        <w:tc>
          <w:tcPr>
            <w:tcW w:w="525" w:type="pct"/>
            <w:vMerge w:val="continue"/>
            <w:shd w:val="clear" w:color="auto" w:fill="auto"/>
            <w:vAlign w:val="center"/>
          </w:tcPr>
          <w:p>
            <w:pPr>
              <w:rPr>
                <w:rFonts w:asciiTheme="minorEastAsia" w:hAnsiTheme="minorEastAsia" w:eastAsiaTheme="minorEastAsia" w:cstheme="minorEastAsia"/>
                <w:color w:val="000000"/>
                <w:szCs w:val="21"/>
              </w:rPr>
            </w:pPr>
          </w:p>
        </w:tc>
        <w:tc>
          <w:tcPr>
            <w:tcW w:w="3475"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需支持部标BCP数据包导出，支持批量导出BCP数据包</w:t>
            </w:r>
          </w:p>
        </w:tc>
        <w:tc>
          <w:tcPr>
            <w:tcW w:w="672"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328" w:type="pct"/>
            <w:shd w:val="clear" w:color="auto" w:fill="auto"/>
            <w:vAlign w:val="center"/>
          </w:tcPr>
          <w:p>
            <w:pPr>
              <w:tabs>
                <w:tab w:val="left" w:pos="420"/>
              </w:tabs>
              <w:jc w:val="center"/>
              <w:textAlignment w:val="center"/>
              <w:rPr>
                <w:rFonts w:hint="default" w:asciiTheme="minorEastAsia" w:hAnsiTheme="minorEastAsia" w:eastAsiaTheme="minorEastAsia" w:cstheme="minorEastAsia"/>
                <w:b/>
                <w:bCs/>
                <w:color w:val="000000"/>
                <w:kern w:val="0"/>
                <w:szCs w:val="21"/>
                <w:lang w:val="en-US" w:eastAsia="zh-CN" w:bidi="ar"/>
              </w:rPr>
            </w:pPr>
            <w:r>
              <w:rPr>
                <w:rFonts w:hint="eastAsia" w:asciiTheme="minorEastAsia" w:hAnsiTheme="minorEastAsia" w:eastAsiaTheme="minorEastAsia" w:cstheme="minorEastAsia"/>
                <w:color w:val="000000"/>
                <w:szCs w:val="21"/>
                <w:lang w:val="en-US" w:eastAsia="zh-CN"/>
              </w:rPr>
              <w:t>52</w:t>
            </w:r>
          </w:p>
        </w:tc>
        <w:tc>
          <w:tcPr>
            <w:tcW w:w="525" w:type="pct"/>
            <w:vMerge w:val="continue"/>
            <w:shd w:val="clear" w:color="auto" w:fill="auto"/>
            <w:vAlign w:val="center"/>
          </w:tcPr>
          <w:p>
            <w:pPr>
              <w:rPr>
                <w:rFonts w:asciiTheme="minorEastAsia" w:hAnsiTheme="minorEastAsia" w:eastAsiaTheme="minorEastAsia" w:cstheme="minorEastAsia"/>
                <w:color w:val="000000"/>
                <w:szCs w:val="21"/>
              </w:rPr>
            </w:pPr>
          </w:p>
        </w:tc>
        <w:tc>
          <w:tcPr>
            <w:tcW w:w="3475"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需具备收支分析能力：进行多维度的经济信息分析，包括收支统计和资金往来等，以筛选可疑经济行为。支持时间轴显示</w:t>
            </w:r>
          </w:p>
        </w:tc>
        <w:tc>
          <w:tcPr>
            <w:tcW w:w="672"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328" w:type="pct"/>
            <w:shd w:val="clear" w:color="auto" w:fill="auto"/>
            <w:vAlign w:val="center"/>
          </w:tcPr>
          <w:p>
            <w:pPr>
              <w:tabs>
                <w:tab w:val="left" w:pos="420"/>
              </w:tabs>
              <w:jc w:val="center"/>
              <w:textAlignment w:val="center"/>
              <w:rPr>
                <w:rFonts w:hint="default" w:asciiTheme="minorEastAsia" w:hAnsiTheme="minorEastAsia" w:eastAsiaTheme="minorEastAsia" w:cstheme="minorEastAsia"/>
                <w:b/>
                <w:bCs/>
                <w:color w:val="000000"/>
                <w:kern w:val="0"/>
                <w:szCs w:val="21"/>
                <w:lang w:val="en-US" w:eastAsia="zh-CN" w:bidi="ar"/>
              </w:rPr>
            </w:pPr>
            <w:r>
              <w:rPr>
                <w:rFonts w:hint="eastAsia" w:asciiTheme="minorEastAsia" w:hAnsiTheme="minorEastAsia" w:eastAsiaTheme="minorEastAsia" w:cstheme="minorEastAsia"/>
                <w:color w:val="000000"/>
                <w:szCs w:val="21"/>
                <w:lang w:val="en-US" w:eastAsia="zh-CN"/>
              </w:rPr>
              <w:t>53</w:t>
            </w:r>
          </w:p>
        </w:tc>
        <w:tc>
          <w:tcPr>
            <w:tcW w:w="525" w:type="pct"/>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物联网管理API</w:t>
            </w:r>
          </w:p>
        </w:tc>
        <w:tc>
          <w:tcPr>
            <w:tcW w:w="3475"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支持开放的物联网管理API接口，供实验室管理系统采集设备工作状态和工作量</w:t>
            </w:r>
          </w:p>
        </w:tc>
        <w:tc>
          <w:tcPr>
            <w:tcW w:w="672"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bl>
    <w:p>
      <w:pPr>
        <w:pStyle w:val="5"/>
        <w:spacing w:before="156"/>
        <w:rPr>
          <w:rFonts w:eastAsiaTheme="minorEastAsia"/>
          <w:szCs w:val="21"/>
        </w:rPr>
      </w:pPr>
      <w:r>
        <w:rPr>
          <w:rFonts w:hint="eastAsia" w:asciiTheme="minorEastAsia" w:hAnsiTheme="minorEastAsia" w:eastAsiaTheme="minorEastAsia" w:cstheme="minorEastAsia"/>
          <w:szCs w:val="21"/>
        </w:rPr>
        <w:t>第2包 便携式手机取证设备</w:t>
      </w:r>
      <w:r>
        <w:rPr>
          <w:rFonts w:hint="default" w:ascii="Times New Roman" w:hAnsi="Times New Roman" w:cs="Times New Roman" w:eastAsiaTheme="minorEastAsia"/>
          <w:szCs w:val="21"/>
        </w:rPr>
        <w:t>Ⅱ</w:t>
      </w:r>
    </w:p>
    <w:tbl>
      <w:tblPr>
        <w:tblStyle w:val="81"/>
        <w:tblW w:w="477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4"/>
        <w:gridCol w:w="8"/>
        <w:gridCol w:w="837"/>
        <w:gridCol w:w="8"/>
        <w:gridCol w:w="5701"/>
        <w:gridCol w:w="8"/>
        <w:gridCol w:w="1036"/>
        <w:gridCol w:w="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blHeader/>
          <w:jc w:val="center"/>
        </w:trPr>
        <w:tc>
          <w:tcPr>
            <w:tcW w:w="327" w:type="pct"/>
            <w:gridSpan w:val="2"/>
            <w:shd w:val="clear" w:color="auto" w:fill="auto"/>
            <w:vAlign w:val="center"/>
          </w:tcPr>
          <w:p>
            <w:pPr>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b/>
                <w:bCs/>
                <w:color w:val="000000"/>
                <w:kern w:val="0"/>
                <w:szCs w:val="21"/>
                <w:lang w:bidi="ar"/>
              </w:rPr>
              <w:t>序号</w:t>
            </w:r>
          </w:p>
        </w:tc>
        <w:tc>
          <w:tcPr>
            <w:tcW w:w="520" w:type="pct"/>
            <w:gridSpan w:val="2"/>
            <w:shd w:val="clear" w:color="auto" w:fill="auto"/>
            <w:vAlign w:val="center"/>
          </w:tcPr>
          <w:p>
            <w:pPr>
              <w:jc w:val="center"/>
              <w:textAlignment w:val="center"/>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kern w:val="0"/>
                <w:szCs w:val="21"/>
                <w:lang w:bidi="ar"/>
              </w:rPr>
              <w:t>指标项</w:t>
            </w:r>
          </w:p>
        </w:tc>
        <w:tc>
          <w:tcPr>
            <w:tcW w:w="3511" w:type="pct"/>
            <w:gridSpan w:val="2"/>
            <w:shd w:val="clear" w:color="auto" w:fill="auto"/>
            <w:vAlign w:val="center"/>
          </w:tcPr>
          <w:p>
            <w:pPr>
              <w:jc w:val="center"/>
              <w:textAlignment w:val="center"/>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kern w:val="0"/>
                <w:szCs w:val="21"/>
                <w:lang w:bidi="ar"/>
              </w:rPr>
              <w:t>技术要求</w:t>
            </w:r>
          </w:p>
        </w:tc>
        <w:tc>
          <w:tcPr>
            <w:tcW w:w="642" w:type="pct"/>
            <w:gridSpan w:val="2"/>
            <w:shd w:val="clear" w:color="auto" w:fill="auto"/>
          </w:tcPr>
          <w:p>
            <w:pPr>
              <w:jc w:val="center"/>
              <w:textAlignment w:val="center"/>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Cs/>
                <w:color w:val="000000"/>
                <w:kern w:val="0"/>
                <w:szCs w:val="21"/>
                <w:lang w:bidi="ar"/>
              </w:rPr>
              <w:t>证明材料要求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327" w:type="pct"/>
            <w:gridSpan w:val="2"/>
            <w:shd w:val="clear" w:color="auto" w:fill="auto"/>
            <w:vAlign w:val="center"/>
          </w:tcPr>
          <w:p>
            <w:pPr>
              <w:widowControl w:val="0"/>
              <w:numPr>
                <w:ilvl w:val="0"/>
                <w:numId w:val="50"/>
              </w:numPr>
              <w:jc w:val="center"/>
              <w:textAlignment w:val="center"/>
              <w:rPr>
                <w:rFonts w:asciiTheme="minorEastAsia" w:hAnsiTheme="minorEastAsia" w:eastAsiaTheme="minorEastAsia" w:cstheme="minorEastAsia"/>
                <w:b/>
                <w:bCs/>
                <w:color w:val="000000"/>
                <w:kern w:val="0"/>
                <w:szCs w:val="21"/>
                <w:lang w:bidi="ar"/>
              </w:rPr>
            </w:pPr>
          </w:p>
        </w:tc>
        <w:tc>
          <w:tcPr>
            <w:tcW w:w="520" w:type="pct"/>
            <w:gridSpan w:val="2"/>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处理器</w:t>
            </w:r>
          </w:p>
        </w:tc>
        <w:tc>
          <w:tcPr>
            <w:tcW w:w="3511" w:type="pct"/>
            <w:gridSpan w:val="2"/>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CPU不低于12核20线程</w:t>
            </w:r>
          </w:p>
        </w:tc>
        <w:tc>
          <w:tcPr>
            <w:tcW w:w="642" w:type="pct"/>
            <w:gridSpan w:val="2"/>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327" w:type="pct"/>
            <w:gridSpan w:val="2"/>
            <w:shd w:val="clear" w:color="auto" w:fill="auto"/>
            <w:vAlign w:val="center"/>
          </w:tcPr>
          <w:p>
            <w:pPr>
              <w:widowControl w:val="0"/>
              <w:numPr>
                <w:ilvl w:val="0"/>
                <w:numId w:val="50"/>
              </w:numPr>
              <w:jc w:val="center"/>
              <w:textAlignment w:val="center"/>
              <w:rPr>
                <w:rFonts w:asciiTheme="minorEastAsia" w:hAnsiTheme="minorEastAsia" w:eastAsiaTheme="minorEastAsia" w:cstheme="minorEastAsia"/>
                <w:b/>
                <w:bCs/>
                <w:color w:val="000000"/>
                <w:kern w:val="0"/>
                <w:szCs w:val="21"/>
                <w:lang w:bidi="ar"/>
              </w:rPr>
            </w:pPr>
          </w:p>
        </w:tc>
        <w:tc>
          <w:tcPr>
            <w:tcW w:w="520" w:type="pct"/>
            <w:gridSpan w:val="2"/>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内存</w:t>
            </w:r>
          </w:p>
        </w:tc>
        <w:tc>
          <w:tcPr>
            <w:tcW w:w="3511" w:type="pct"/>
            <w:gridSpan w:val="2"/>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不低于DDR4 32GB内存</w:t>
            </w:r>
          </w:p>
        </w:tc>
        <w:tc>
          <w:tcPr>
            <w:tcW w:w="642" w:type="pct"/>
            <w:gridSpan w:val="2"/>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327" w:type="pct"/>
            <w:gridSpan w:val="2"/>
            <w:shd w:val="clear" w:color="auto" w:fill="auto"/>
            <w:vAlign w:val="center"/>
          </w:tcPr>
          <w:p>
            <w:pPr>
              <w:widowControl w:val="0"/>
              <w:numPr>
                <w:ilvl w:val="0"/>
                <w:numId w:val="50"/>
              </w:numPr>
              <w:jc w:val="center"/>
              <w:textAlignment w:val="center"/>
              <w:rPr>
                <w:rFonts w:asciiTheme="minorEastAsia" w:hAnsiTheme="minorEastAsia" w:eastAsiaTheme="minorEastAsia" w:cstheme="minorEastAsia"/>
                <w:b/>
                <w:bCs/>
                <w:color w:val="000000"/>
                <w:kern w:val="0"/>
                <w:szCs w:val="21"/>
                <w:lang w:bidi="ar"/>
              </w:rPr>
            </w:pPr>
          </w:p>
        </w:tc>
        <w:tc>
          <w:tcPr>
            <w:tcW w:w="520" w:type="pct"/>
            <w:gridSpan w:val="2"/>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存储</w:t>
            </w:r>
          </w:p>
        </w:tc>
        <w:tc>
          <w:tcPr>
            <w:tcW w:w="3511" w:type="pct"/>
            <w:gridSpan w:val="2"/>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不低于2T SDD</w:t>
            </w:r>
          </w:p>
        </w:tc>
        <w:tc>
          <w:tcPr>
            <w:tcW w:w="642" w:type="pct"/>
            <w:gridSpan w:val="2"/>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327" w:type="pct"/>
            <w:gridSpan w:val="2"/>
            <w:shd w:val="clear" w:color="auto" w:fill="auto"/>
            <w:vAlign w:val="center"/>
          </w:tcPr>
          <w:p>
            <w:pPr>
              <w:widowControl w:val="0"/>
              <w:numPr>
                <w:ilvl w:val="0"/>
                <w:numId w:val="50"/>
              </w:numPr>
              <w:jc w:val="center"/>
              <w:textAlignment w:val="center"/>
              <w:rPr>
                <w:rFonts w:asciiTheme="minorEastAsia" w:hAnsiTheme="minorEastAsia" w:eastAsiaTheme="minorEastAsia" w:cstheme="minorEastAsia"/>
                <w:b/>
                <w:bCs/>
                <w:color w:val="000000"/>
                <w:kern w:val="0"/>
                <w:szCs w:val="21"/>
                <w:lang w:bidi="ar"/>
              </w:rPr>
            </w:pPr>
          </w:p>
        </w:tc>
        <w:tc>
          <w:tcPr>
            <w:tcW w:w="520" w:type="pct"/>
            <w:gridSpan w:val="2"/>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显卡</w:t>
            </w:r>
          </w:p>
        </w:tc>
        <w:tc>
          <w:tcPr>
            <w:tcW w:w="3511" w:type="pct"/>
            <w:gridSpan w:val="2"/>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不低于4G独显</w:t>
            </w:r>
          </w:p>
        </w:tc>
        <w:tc>
          <w:tcPr>
            <w:tcW w:w="642" w:type="pct"/>
            <w:gridSpan w:val="2"/>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27" w:type="pct"/>
            <w:gridSpan w:val="2"/>
            <w:shd w:val="clear" w:color="auto" w:fill="auto"/>
            <w:vAlign w:val="center"/>
          </w:tcPr>
          <w:p>
            <w:pPr>
              <w:widowControl w:val="0"/>
              <w:numPr>
                <w:ilvl w:val="0"/>
                <w:numId w:val="50"/>
              </w:numPr>
              <w:jc w:val="center"/>
              <w:textAlignment w:val="center"/>
              <w:rPr>
                <w:rFonts w:asciiTheme="minorEastAsia" w:hAnsiTheme="minorEastAsia" w:eastAsiaTheme="minorEastAsia" w:cstheme="minorEastAsia"/>
                <w:b/>
                <w:bCs/>
                <w:color w:val="000000"/>
                <w:kern w:val="0"/>
                <w:szCs w:val="21"/>
                <w:lang w:bidi="ar"/>
              </w:rPr>
            </w:pPr>
          </w:p>
        </w:tc>
        <w:tc>
          <w:tcPr>
            <w:tcW w:w="520" w:type="pct"/>
            <w:gridSpan w:val="2"/>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显示器</w:t>
            </w:r>
          </w:p>
        </w:tc>
        <w:tc>
          <w:tcPr>
            <w:tcW w:w="3511" w:type="pct"/>
            <w:gridSpan w:val="2"/>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不低于15.6英寸、分辨率不低于1920 × 1080（FHD）</w:t>
            </w:r>
          </w:p>
        </w:tc>
        <w:tc>
          <w:tcPr>
            <w:tcW w:w="642" w:type="pct"/>
            <w:gridSpan w:val="2"/>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90" w:hRule="atLeast"/>
          <w:jc w:val="center"/>
        </w:trPr>
        <w:tc>
          <w:tcPr>
            <w:tcW w:w="322" w:type="pct"/>
            <w:shd w:val="clear" w:color="auto" w:fill="auto"/>
            <w:vAlign w:val="center"/>
          </w:tcPr>
          <w:p>
            <w:pPr>
              <w:widowControl w:val="0"/>
              <w:numPr>
                <w:ilvl w:val="0"/>
                <w:numId w:val="50"/>
              </w:numPr>
              <w:jc w:val="center"/>
              <w:textAlignment w:val="center"/>
              <w:rPr>
                <w:rFonts w:asciiTheme="minorEastAsia" w:hAnsiTheme="minorEastAsia" w:eastAsiaTheme="minorEastAsia" w:cstheme="minorEastAsia"/>
                <w:b/>
                <w:bCs/>
                <w:color w:val="000000"/>
                <w:kern w:val="0"/>
                <w:szCs w:val="21"/>
                <w:lang w:bidi="ar"/>
              </w:rPr>
            </w:pPr>
          </w:p>
        </w:tc>
        <w:tc>
          <w:tcPr>
            <w:tcW w:w="520" w:type="pct"/>
            <w:gridSpan w:val="2"/>
            <w:vMerge w:val="restart"/>
            <w:shd w:val="clear" w:color="auto" w:fill="auto"/>
            <w:vAlign w:val="center"/>
          </w:tcPr>
          <w:p>
            <w:pPr>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提取能力</w:t>
            </w:r>
          </w:p>
        </w:tc>
        <w:tc>
          <w:tcPr>
            <w:tcW w:w="3511" w:type="pct"/>
            <w:gridSpan w:val="2"/>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支持用户自主决定数据提取内容，可以根据实际情况勾选需要采集的信息，便于特殊情况下面针对性内容的获取</w:t>
            </w:r>
          </w:p>
        </w:tc>
        <w:tc>
          <w:tcPr>
            <w:tcW w:w="642" w:type="pct"/>
            <w:gridSpan w:val="2"/>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350" w:hRule="atLeast"/>
          <w:jc w:val="center"/>
        </w:trPr>
        <w:tc>
          <w:tcPr>
            <w:tcW w:w="322" w:type="pct"/>
            <w:shd w:val="clear" w:color="auto" w:fill="auto"/>
            <w:vAlign w:val="center"/>
          </w:tcPr>
          <w:p>
            <w:pPr>
              <w:widowControl w:val="0"/>
              <w:numPr>
                <w:ilvl w:val="0"/>
                <w:numId w:val="50"/>
              </w:numPr>
              <w:jc w:val="center"/>
              <w:textAlignment w:val="center"/>
              <w:rPr>
                <w:rFonts w:asciiTheme="minorEastAsia" w:hAnsiTheme="minorEastAsia" w:eastAsiaTheme="minorEastAsia" w:cstheme="minorEastAsia"/>
                <w:b/>
                <w:bCs/>
                <w:color w:val="000000"/>
                <w:kern w:val="0"/>
                <w:szCs w:val="21"/>
                <w:lang w:bidi="ar"/>
              </w:rPr>
            </w:pPr>
          </w:p>
        </w:tc>
        <w:tc>
          <w:tcPr>
            <w:tcW w:w="520" w:type="pct"/>
            <w:gridSpan w:val="2"/>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3511" w:type="pct"/>
            <w:gridSpan w:val="2"/>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支持主流APP云端数据静默提取，即在无需用户名、密码或扫描二维码前提下，提取部分APP的云端数据，包括但不限于微信、支付宝、QQ、京东、淘宝、天猫、滴滴出行、高德地图、百度地图、携程、12306、交管12123、饿了么、美团、大众点评、美团外卖、美团打车、摩拜单车、哈啰单车、百度云盘、闲鱼、QQ邮箱、网易邮箱大师、UC浏览器、QQ浏览器、抖音、快手、陌陌、探探、What's APP等</w:t>
            </w:r>
          </w:p>
        </w:tc>
        <w:tc>
          <w:tcPr>
            <w:tcW w:w="642" w:type="pct"/>
            <w:gridSpan w:val="2"/>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350" w:hRule="atLeast"/>
          <w:jc w:val="center"/>
        </w:trPr>
        <w:tc>
          <w:tcPr>
            <w:tcW w:w="322" w:type="pct"/>
            <w:shd w:val="clear" w:color="auto" w:fill="auto"/>
            <w:vAlign w:val="center"/>
          </w:tcPr>
          <w:p>
            <w:pPr>
              <w:widowControl w:val="0"/>
              <w:numPr>
                <w:ilvl w:val="0"/>
                <w:numId w:val="50"/>
              </w:numPr>
              <w:jc w:val="center"/>
              <w:textAlignment w:val="center"/>
              <w:rPr>
                <w:rFonts w:asciiTheme="minorEastAsia" w:hAnsiTheme="minorEastAsia" w:eastAsiaTheme="minorEastAsia" w:cstheme="minorEastAsia"/>
                <w:b/>
                <w:bCs/>
                <w:color w:val="000000"/>
                <w:kern w:val="0"/>
                <w:szCs w:val="21"/>
                <w:lang w:bidi="ar"/>
              </w:rPr>
            </w:pPr>
          </w:p>
        </w:tc>
        <w:tc>
          <w:tcPr>
            <w:tcW w:w="520" w:type="pct"/>
            <w:gridSpan w:val="2"/>
            <w:vMerge w:val="restart"/>
            <w:shd w:val="clear" w:color="auto" w:fill="auto"/>
            <w:vAlign w:val="center"/>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兼容性</w:t>
            </w:r>
          </w:p>
        </w:tc>
        <w:tc>
          <w:tcPr>
            <w:tcW w:w="3511" w:type="pct"/>
            <w:gridSpan w:val="2"/>
            <w:shd w:val="clear" w:color="auto" w:fill="auto"/>
            <w:vAlign w:val="center"/>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支持电子取证实验室各类结构化数据接入，支持基于接入的电子数据的各类身份，建立涉案人员身份库</w:t>
            </w:r>
          </w:p>
        </w:tc>
        <w:tc>
          <w:tcPr>
            <w:tcW w:w="642" w:type="pct"/>
            <w:gridSpan w:val="2"/>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350" w:hRule="atLeast"/>
          <w:jc w:val="center"/>
        </w:trPr>
        <w:tc>
          <w:tcPr>
            <w:tcW w:w="322" w:type="pct"/>
            <w:shd w:val="clear" w:color="auto" w:fill="auto"/>
            <w:vAlign w:val="center"/>
          </w:tcPr>
          <w:p>
            <w:pPr>
              <w:widowControl w:val="0"/>
              <w:numPr>
                <w:ilvl w:val="0"/>
                <w:numId w:val="50"/>
              </w:numPr>
              <w:jc w:val="center"/>
              <w:textAlignment w:val="center"/>
              <w:rPr>
                <w:rFonts w:asciiTheme="minorEastAsia" w:hAnsiTheme="minorEastAsia" w:eastAsiaTheme="minorEastAsia" w:cstheme="minorEastAsia"/>
                <w:b/>
                <w:bCs/>
                <w:color w:val="000000"/>
                <w:kern w:val="0"/>
                <w:szCs w:val="21"/>
                <w:lang w:bidi="ar"/>
              </w:rPr>
            </w:pPr>
          </w:p>
        </w:tc>
        <w:tc>
          <w:tcPr>
            <w:tcW w:w="520" w:type="pct"/>
            <w:gridSpan w:val="2"/>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3511" w:type="pct"/>
            <w:gridSpan w:val="2"/>
            <w:shd w:val="clear" w:color="auto" w:fill="auto"/>
            <w:vAlign w:val="center"/>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支持外部数据与系统中社交关系对象的比对分析，支持导入外部关系数据与关系节点碰撞，支持可视化展示碰撞结果</w:t>
            </w:r>
          </w:p>
        </w:tc>
        <w:tc>
          <w:tcPr>
            <w:tcW w:w="642" w:type="pct"/>
            <w:gridSpan w:val="2"/>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1050" w:hRule="atLeast"/>
          <w:jc w:val="center"/>
        </w:trPr>
        <w:tc>
          <w:tcPr>
            <w:tcW w:w="322" w:type="pct"/>
            <w:shd w:val="clear" w:color="auto" w:fill="auto"/>
            <w:vAlign w:val="center"/>
          </w:tcPr>
          <w:p>
            <w:pPr>
              <w:widowControl w:val="0"/>
              <w:numPr>
                <w:ilvl w:val="0"/>
                <w:numId w:val="50"/>
              </w:numPr>
              <w:jc w:val="center"/>
              <w:textAlignment w:val="center"/>
              <w:rPr>
                <w:rFonts w:asciiTheme="minorEastAsia" w:hAnsiTheme="minorEastAsia" w:eastAsiaTheme="minorEastAsia" w:cstheme="minorEastAsia"/>
                <w:b/>
                <w:bCs/>
                <w:color w:val="000000"/>
                <w:kern w:val="0"/>
                <w:szCs w:val="21"/>
                <w:lang w:bidi="ar"/>
              </w:rPr>
            </w:pPr>
          </w:p>
        </w:tc>
        <w:tc>
          <w:tcPr>
            <w:tcW w:w="520" w:type="pct"/>
            <w:gridSpan w:val="2"/>
            <w:vMerge w:val="restart"/>
            <w:shd w:val="clear" w:color="auto" w:fill="auto"/>
            <w:vAlign w:val="center"/>
          </w:tcPr>
          <w:p>
            <w:pPr>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聚合分析</w:t>
            </w:r>
          </w:p>
        </w:tc>
        <w:tc>
          <w:tcPr>
            <w:tcW w:w="3511" w:type="pct"/>
            <w:gridSpan w:val="2"/>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支持多个对象的共同通联对象分析，可以知晓多个共同分析对象之间存在的共同通联对象；支持包含通讯、社交、经济、APP等多维度通联扩线</w:t>
            </w:r>
          </w:p>
        </w:tc>
        <w:tc>
          <w:tcPr>
            <w:tcW w:w="642" w:type="pct"/>
            <w:gridSpan w:val="2"/>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1050" w:hRule="atLeast"/>
          <w:jc w:val="center"/>
        </w:trPr>
        <w:tc>
          <w:tcPr>
            <w:tcW w:w="322" w:type="pct"/>
            <w:shd w:val="clear" w:color="auto" w:fill="auto"/>
            <w:vAlign w:val="center"/>
          </w:tcPr>
          <w:p>
            <w:pPr>
              <w:widowControl w:val="0"/>
              <w:numPr>
                <w:ilvl w:val="0"/>
                <w:numId w:val="50"/>
              </w:numPr>
              <w:jc w:val="center"/>
              <w:textAlignment w:val="center"/>
              <w:rPr>
                <w:rFonts w:asciiTheme="minorEastAsia" w:hAnsiTheme="minorEastAsia" w:eastAsiaTheme="minorEastAsia" w:cstheme="minorEastAsia"/>
                <w:b/>
                <w:bCs/>
                <w:color w:val="000000"/>
                <w:kern w:val="0"/>
                <w:szCs w:val="21"/>
                <w:lang w:bidi="ar"/>
              </w:rPr>
            </w:pPr>
          </w:p>
        </w:tc>
        <w:tc>
          <w:tcPr>
            <w:tcW w:w="520" w:type="pct"/>
            <w:gridSpan w:val="2"/>
            <w:vMerge w:val="continue"/>
            <w:shd w:val="clear" w:color="auto" w:fill="auto"/>
            <w:vAlign w:val="center"/>
          </w:tcPr>
          <w:p>
            <w:pPr>
              <w:jc w:val="center"/>
              <w:textAlignment w:val="center"/>
              <w:rPr>
                <w:rFonts w:asciiTheme="minorEastAsia" w:hAnsiTheme="minorEastAsia" w:eastAsiaTheme="minorEastAsia" w:cstheme="minorEastAsia"/>
                <w:color w:val="000000"/>
                <w:kern w:val="0"/>
                <w:szCs w:val="21"/>
                <w:lang w:bidi="ar"/>
              </w:rPr>
            </w:pPr>
          </w:p>
        </w:tc>
        <w:tc>
          <w:tcPr>
            <w:tcW w:w="3511" w:type="pct"/>
            <w:gridSpan w:val="2"/>
            <w:shd w:val="clear" w:color="auto" w:fill="auto"/>
            <w:vAlign w:val="center"/>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支持共同对象微信、QQ、通讯录备注分析，对共同对象在各嫌疑人中的备注进行集中展示，支持导出下载功能</w:t>
            </w:r>
          </w:p>
        </w:tc>
        <w:tc>
          <w:tcPr>
            <w:tcW w:w="642" w:type="pct"/>
            <w:gridSpan w:val="2"/>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1050" w:hRule="atLeast"/>
          <w:jc w:val="center"/>
        </w:trPr>
        <w:tc>
          <w:tcPr>
            <w:tcW w:w="322" w:type="pct"/>
            <w:shd w:val="clear" w:color="auto" w:fill="auto"/>
            <w:vAlign w:val="center"/>
          </w:tcPr>
          <w:p>
            <w:pPr>
              <w:widowControl w:val="0"/>
              <w:numPr>
                <w:ilvl w:val="0"/>
                <w:numId w:val="50"/>
              </w:numPr>
              <w:jc w:val="center"/>
              <w:textAlignment w:val="center"/>
              <w:rPr>
                <w:rFonts w:asciiTheme="minorEastAsia" w:hAnsiTheme="minorEastAsia" w:eastAsiaTheme="minorEastAsia" w:cstheme="minorEastAsia"/>
                <w:b/>
                <w:bCs/>
                <w:color w:val="000000"/>
                <w:kern w:val="0"/>
                <w:szCs w:val="21"/>
                <w:lang w:bidi="ar"/>
              </w:rPr>
            </w:pPr>
          </w:p>
        </w:tc>
        <w:tc>
          <w:tcPr>
            <w:tcW w:w="520" w:type="pct"/>
            <w:gridSpan w:val="2"/>
            <w:vMerge w:val="continue"/>
            <w:shd w:val="clear" w:color="auto" w:fill="auto"/>
            <w:vAlign w:val="center"/>
          </w:tcPr>
          <w:p>
            <w:pPr>
              <w:jc w:val="center"/>
              <w:textAlignment w:val="center"/>
              <w:rPr>
                <w:rFonts w:asciiTheme="minorEastAsia" w:hAnsiTheme="minorEastAsia" w:eastAsiaTheme="minorEastAsia" w:cstheme="minorEastAsia"/>
                <w:color w:val="000000"/>
                <w:kern w:val="0"/>
                <w:szCs w:val="21"/>
                <w:lang w:bidi="ar"/>
              </w:rPr>
            </w:pPr>
          </w:p>
        </w:tc>
        <w:tc>
          <w:tcPr>
            <w:tcW w:w="3511" w:type="pct"/>
            <w:gridSpan w:val="2"/>
            <w:shd w:val="clear" w:color="auto" w:fill="auto"/>
            <w:vAlign w:val="center"/>
          </w:tcPr>
          <w:p>
            <w:pPr>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支持共同对象分析结果中的自身账号分析，对属于嫌疑人的账号进行重点标注</w:t>
            </w:r>
          </w:p>
        </w:tc>
        <w:tc>
          <w:tcPr>
            <w:tcW w:w="642" w:type="pct"/>
            <w:gridSpan w:val="2"/>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1050" w:hRule="atLeast"/>
          <w:jc w:val="center"/>
        </w:trPr>
        <w:tc>
          <w:tcPr>
            <w:tcW w:w="322" w:type="pct"/>
            <w:shd w:val="clear" w:color="auto" w:fill="auto"/>
            <w:vAlign w:val="center"/>
          </w:tcPr>
          <w:p>
            <w:pPr>
              <w:widowControl w:val="0"/>
              <w:numPr>
                <w:ilvl w:val="0"/>
                <w:numId w:val="50"/>
              </w:numPr>
              <w:jc w:val="center"/>
              <w:textAlignment w:val="center"/>
              <w:rPr>
                <w:rFonts w:asciiTheme="minorEastAsia" w:hAnsiTheme="minorEastAsia" w:eastAsiaTheme="minorEastAsia" w:cstheme="minorEastAsia"/>
                <w:b/>
                <w:bCs/>
                <w:color w:val="000000"/>
                <w:kern w:val="0"/>
                <w:szCs w:val="21"/>
                <w:lang w:bidi="ar"/>
              </w:rPr>
            </w:pPr>
          </w:p>
        </w:tc>
        <w:tc>
          <w:tcPr>
            <w:tcW w:w="520" w:type="pct"/>
            <w:gridSpan w:val="2"/>
            <w:vMerge w:val="continue"/>
            <w:shd w:val="clear" w:color="auto" w:fill="auto"/>
            <w:vAlign w:val="center"/>
          </w:tcPr>
          <w:p>
            <w:pPr>
              <w:jc w:val="center"/>
              <w:textAlignment w:val="center"/>
              <w:rPr>
                <w:rFonts w:asciiTheme="minorEastAsia" w:hAnsiTheme="minorEastAsia" w:eastAsiaTheme="minorEastAsia" w:cstheme="minorEastAsia"/>
                <w:color w:val="000000"/>
                <w:kern w:val="0"/>
                <w:szCs w:val="21"/>
                <w:lang w:bidi="ar"/>
              </w:rPr>
            </w:pPr>
          </w:p>
        </w:tc>
        <w:tc>
          <w:tcPr>
            <w:tcW w:w="3511" w:type="pct"/>
            <w:gridSpan w:val="2"/>
            <w:shd w:val="clear" w:color="auto" w:fill="auto"/>
            <w:vAlign w:val="center"/>
          </w:tcPr>
          <w:p>
            <w:pPr>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支持分析多个对象的内部关系网络，包括彼此间的好友关系、通联情况、联系方式、联系时间等；支持添加和删除对象；支持按照微信、QQ、通讯录等通联方式以及聊天、经济、通话等关系类型筛选；支持切换矩阵图列表、节点图等可视化展示，支持一版化</w:t>
            </w:r>
          </w:p>
        </w:tc>
        <w:tc>
          <w:tcPr>
            <w:tcW w:w="642" w:type="pct"/>
            <w:gridSpan w:val="2"/>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1050" w:hRule="atLeast"/>
          <w:jc w:val="center"/>
        </w:trPr>
        <w:tc>
          <w:tcPr>
            <w:tcW w:w="322" w:type="pct"/>
            <w:shd w:val="clear" w:color="auto" w:fill="auto"/>
            <w:vAlign w:val="center"/>
          </w:tcPr>
          <w:p>
            <w:pPr>
              <w:widowControl w:val="0"/>
              <w:numPr>
                <w:ilvl w:val="0"/>
                <w:numId w:val="50"/>
              </w:numPr>
              <w:jc w:val="center"/>
              <w:textAlignment w:val="center"/>
              <w:rPr>
                <w:rFonts w:asciiTheme="minorEastAsia" w:hAnsiTheme="minorEastAsia" w:eastAsiaTheme="minorEastAsia" w:cstheme="minorEastAsia"/>
                <w:b/>
                <w:bCs/>
                <w:color w:val="000000"/>
                <w:kern w:val="0"/>
                <w:szCs w:val="21"/>
                <w:lang w:bidi="ar"/>
              </w:rPr>
            </w:pPr>
          </w:p>
        </w:tc>
        <w:tc>
          <w:tcPr>
            <w:tcW w:w="520" w:type="pct"/>
            <w:gridSpan w:val="2"/>
            <w:vMerge w:val="continue"/>
            <w:shd w:val="clear" w:color="auto" w:fill="auto"/>
            <w:vAlign w:val="center"/>
          </w:tcPr>
          <w:p>
            <w:pPr>
              <w:jc w:val="center"/>
              <w:textAlignment w:val="center"/>
              <w:rPr>
                <w:rFonts w:asciiTheme="minorEastAsia" w:hAnsiTheme="minorEastAsia" w:eastAsiaTheme="minorEastAsia" w:cstheme="minorEastAsia"/>
                <w:color w:val="000000"/>
                <w:kern w:val="0"/>
                <w:szCs w:val="21"/>
                <w:lang w:bidi="ar"/>
              </w:rPr>
            </w:pPr>
          </w:p>
        </w:tc>
        <w:tc>
          <w:tcPr>
            <w:tcW w:w="3511" w:type="pct"/>
            <w:gridSpan w:val="2"/>
            <w:shd w:val="clear" w:color="auto" w:fill="auto"/>
            <w:vAlign w:val="center"/>
          </w:tcPr>
          <w:p>
            <w:pPr>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支持多个对象和某一个或多个已知对象之间的微信、QQ、短消息一体化分析；支持多个对象和某一个或多个已知对象之间的社交情况，包括社交密度、社交内容，社交内容所涉及的敏感信息，如身份、经济、位置等快捷分析，支持对音频、视频、文件、快递等筛选</w:t>
            </w:r>
          </w:p>
        </w:tc>
        <w:tc>
          <w:tcPr>
            <w:tcW w:w="642" w:type="pct"/>
            <w:gridSpan w:val="2"/>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1050" w:hRule="atLeast"/>
          <w:jc w:val="center"/>
        </w:trPr>
        <w:tc>
          <w:tcPr>
            <w:tcW w:w="322" w:type="pct"/>
            <w:shd w:val="clear" w:color="auto" w:fill="auto"/>
            <w:vAlign w:val="center"/>
          </w:tcPr>
          <w:p>
            <w:pPr>
              <w:widowControl w:val="0"/>
              <w:numPr>
                <w:ilvl w:val="0"/>
                <w:numId w:val="50"/>
              </w:numPr>
              <w:jc w:val="center"/>
              <w:textAlignment w:val="center"/>
              <w:rPr>
                <w:rFonts w:asciiTheme="minorEastAsia" w:hAnsiTheme="minorEastAsia" w:eastAsiaTheme="minorEastAsia" w:cstheme="minorEastAsia"/>
                <w:b/>
                <w:bCs/>
                <w:color w:val="000000"/>
                <w:kern w:val="0"/>
                <w:szCs w:val="21"/>
                <w:lang w:bidi="ar"/>
              </w:rPr>
            </w:pPr>
          </w:p>
        </w:tc>
        <w:tc>
          <w:tcPr>
            <w:tcW w:w="520" w:type="pct"/>
            <w:gridSpan w:val="2"/>
            <w:vMerge w:val="continue"/>
            <w:shd w:val="clear" w:color="auto" w:fill="auto"/>
            <w:vAlign w:val="center"/>
          </w:tcPr>
          <w:p>
            <w:pPr>
              <w:jc w:val="center"/>
              <w:textAlignment w:val="center"/>
              <w:rPr>
                <w:rFonts w:asciiTheme="minorEastAsia" w:hAnsiTheme="minorEastAsia" w:eastAsiaTheme="minorEastAsia" w:cstheme="minorEastAsia"/>
                <w:color w:val="000000"/>
                <w:kern w:val="0"/>
                <w:szCs w:val="21"/>
                <w:lang w:bidi="ar"/>
              </w:rPr>
            </w:pPr>
          </w:p>
        </w:tc>
        <w:tc>
          <w:tcPr>
            <w:tcW w:w="3511" w:type="pct"/>
            <w:gridSpan w:val="2"/>
            <w:shd w:val="clear" w:color="auto" w:fill="auto"/>
            <w:vAlign w:val="center"/>
          </w:tcPr>
          <w:p>
            <w:pPr>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支持可视化分析收支金额、交易次数趋势；支持可视化分析单个对象的主要的交易金额额度、主要的交易对象金额、主要交易账户；支持可视化分析收支时间习惯，包括节假日、平时、白天、夜晚、工作日、周末；支持账单各类型不同展现形式的流水、金额、排行统计</w:t>
            </w:r>
          </w:p>
        </w:tc>
        <w:tc>
          <w:tcPr>
            <w:tcW w:w="642" w:type="pct"/>
            <w:gridSpan w:val="2"/>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1050" w:hRule="atLeast"/>
          <w:jc w:val="center"/>
        </w:trPr>
        <w:tc>
          <w:tcPr>
            <w:tcW w:w="322" w:type="pct"/>
            <w:shd w:val="clear" w:color="auto" w:fill="auto"/>
            <w:vAlign w:val="center"/>
          </w:tcPr>
          <w:p>
            <w:pPr>
              <w:widowControl w:val="0"/>
              <w:numPr>
                <w:ilvl w:val="0"/>
                <w:numId w:val="50"/>
              </w:numPr>
              <w:jc w:val="center"/>
              <w:textAlignment w:val="center"/>
              <w:rPr>
                <w:rFonts w:asciiTheme="minorEastAsia" w:hAnsiTheme="minorEastAsia" w:eastAsiaTheme="minorEastAsia" w:cstheme="minorEastAsia"/>
                <w:b/>
                <w:bCs/>
                <w:color w:val="000000"/>
                <w:kern w:val="0"/>
                <w:szCs w:val="21"/>
                <w:lang w:bidi="ar"/>
              </w:rPr>
            </w:pPr>
          </w:p>
        </w:tc>
        <w:tc>
          <w:tcPr>
            <w:tcW w:w="520" w:type="pct"/>
            <w:gridSpan w:val="2"/>
            <w:vMerge w:val="continue"/>
            <w:shd w:val="clear" w:color="auto" w:fill="auto"/>
            <w:vAlign w:val="center"/>
          </w:tcPr>
          <w:p>
            <w:pPr>
              <w:jc w:val="center"/>
              <w:textAlignment w:val="center"/>
              <w:rPr>
                <w:rFonts w:asciiTheme="minorEastAsia" w:hAnsiTheme="minorEastAsia" w:eastAsiaTheme="minorEastAsia" w:cstheme="minorEastAsia"/>
                <w:color w:val="000000"/>
                <w:kern w:val="0"/>
                <w:szCs w:val="21"/>
                <w:lang w:bidi="ar"/>
              </w:rPr>
            </w:pPr>
          </w:p>
        </w:tc>
        <w:tc>
          <w:tcPr>
            <w:tcW w:w="3511" w:type="pct"/>
            <w:gridSpan w:val="2"/>
            <w:shd w:val="clear" w:color="auto" w:fill="auto"/>
            <w:vAlign w:val="center"/>
          </w:tcPr>
          <w:p>
            <w:pPr>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支持单个/多个对象进行多维度分析手机采集好的数据，维度主要分为关系类侧写，区域类侧写，经济类侧写，时序类侧写，社交类侧写；关系类可包含各类高频的主动、被动对象分析</w:t>
            </w:r>
          </w:p>
        </w:tc>
        <w:tc>
          <w:tcPr>
            <w:tcW w:w="642" w:type="pct"/>
            <w:gridSpan w:val="2"/>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1050" w:hRule="atLeast"/>
          <w:jc w:val="center"/>
        </w:trPr>
        <w:tc>
          <w:tcPr>
            <w:tcW w:w="322" w:type="pct"/>
            <w:shd w:val="clear" w:color="auto" w:fill="auto"/>
            <w:vAlign w:val="center"/>
          </w:tcPr>
          <w:p>
            <w:pPr>
              <w:widowControl w:val="0"/>
              <w:numPr>
                <w:ilvl w:val="0"/>
                <w:numId w:val="50"/>
              </w:numPr>
              <w:jc w:val="center"/>
              <w:textAlignment w:val="center"/>
              <w:rPr>
                <w:rFonts w:asciiTheme="minorEastAsia" w:hAnsiTheme="minorEastAsia" w:eastAsiaTheme="minorEastAsia" w:cstheme="minorEastAsia"/>
                <w:b/>
                <w:bCs/>
                <w:color w:val="000000"/>
                <w:kern w:val="0"/>
                <w:szCs w:val="21"/>
                <w:lang w:bidi="ar"/>
              </w:rPr>
            </w:pPr>
          </w:p>
        </w:tc>
        <w:tc>
          <w:tcPr>
            <w:tcW w:w="520" w:type="pct"/>
            <w:gridSpan w:val="2"/>
            <w:vMerge w:val="continue"/>
            <w:shd w:val="clear" w:color="auto" w:fill="auto"/>
            <w:vAlign w:val="center"/>
          </w:tcPr>
          <w:p>
            <w:pPr>
              <w:jc w:val="center"/>
              <w:textAlignment w:val="center"/>
              <w:rPr>
                <w:rFonts w:asciiTheme="minorEastAsia" w:hAnsiTheme="minorEastAsia" w:eastAsiaTheme="minorEastAsia" w:cstheme="minorEastAsia"/>
                <w:color w:val="000000"/>
                <w:kern w:val="0"/>
                <w:szCs w:val="21"/>
                <w:lang w:bidi="ar"/>
              </w:rPr>
            </w:pPr>
          </w:p>
        </w:tc>
        <w:tc>
          <w:tcPr>
            <w:tcW w:w="3511" w:type="pct"/>
            <w:gridSpan w:val="2"/>
            <w:shd w:val="clear" w:color="auto" w:fill="auto"/>
            <w:vAlign w:val="center"/>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支持提供涉恐、涉黄、经济、涉毒和异常行为预警功能，涉恐支持对敏感区域、敏感文件、涉恐国家等行为支持预警</w:t>
            </w:r>
          </w:p>
        </w:tc>
        <w:tc>
          <w:tcPr>
            <w:tcW w:w="642" w:type="pct"/>
            <w:gridSpan w:val="2"/>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1050" w:hRule="atLeast"/>
          <w:jc w:val="center"/>
        </w:trPr>
        <w:tc>
          <w:tcPr>
            <w:tcW w:w="322" w:type="pct"/>
            <w:shd w:val="clear" w:color="auto" w:fill="auto"/>
            <w:vAlign w:val="center"/>
          </w:tcPr>
          <w:p>
            <w:pPr>
              <w:widowControl w:val="0"/>
              <w:numPr>
                <w:ilvl w:val="0"/>
                <w:numId w:val="50"/>
              </w:numPr>
              <w:jc w:val="center"/>
              <w:textAlignment w:val="center"/>
              <w:rPr>
                <w:rFonts w:asciiTheme="minorEastAsia" w:hAnsiTheme="minorEastAsia" w:eastAsiaTheme="minorEastAsia" w:cstheme="minorEastAsia"/>
                <w:b/>
                <w:bCs/>
                <w:color w:val="000000"/>
                <w:kern w:val="0"/>
                <w:szCs w:val="21"/>
                <w:lang w:bidi="ar"/>
              </w:rPr>
            </w:pPr>
          </w:p>
        </w:tc>
        <w:tc>
          <w:tcPr>
            <w:tcW w:w="520" w:type="pct"/>
            <w:gridSpan w:val="2"/>
            <w:vMerge w:val="continue"/>
            <w:shd w:val="clear" w:color="auto" w:fill="auto"/>
            <w:vAlign w:val="center"/>
          </w:tcPr>
          <w:p>
            <w:pPr>
              <w:jc w:val="center"/>
              <w:textAlignment w:val="center"/>
              <w:rPr>
                <w:rFonts w:asciiTheme="minorEastAsia" w:hAnsiTheme="minorEastAsia" w:eastAsiaTheme="minorEastAsia" w:cstheme="minorEastAsia"/>
                <w:color w:val="000000"/>
                <w:kern w:val="0"/>
                <w:szCs w:val="21"/>
                <w:lang w:bidi="ar"/>
              </w:rPr>
            </w:pPr>
          </w:p>
        </w:tc>
        <w:tc>
          <w:tcPr>
            <w:tcW w:w="3511" w:type="pct"/>
            <w:gridSpan w:val="2"/>
            <w:shd w:val="clear" w:color="auto" w:fill="auto"/>
            <w:vAlign w:val="center"/>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具备一版化分析能力，支持单行为聚合其他行为，智能聚合强关联信息、弱关联信息，进行其他多个维度的一版化分析</w:t>
            </w:r>
          </w:p>
        </w:tc>
        <w:tc>
          <w:tcPr>
            <w:tcW w:w="642" w:type="pct"/>
            <w:gridSpan w:val="2"/>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354" w:hRule="atLeast"/>
          <w:jc w:val="center"/>
        </w:trPr>
        <w:tc>
          <w:tcPr>
            <w:tcW w:w="322" w:type="pct"/>
            <w:shd w:val="clear" w:color="auto" w:fill="auto"/>
            <w:vAlign w:val="center"/>
          </w:tcPr>
          <w:p>
            <w:pPr>
              <w:widowControl w:val="0"/>
              <w:numPr>
                <w:ilvl w:val="0"/>
                <w:numId w:val="50"/>
              </w:numPr>
              <w:jc w:val="center"/>
              <w:textAlignment w:val="center"/>
              <w:rPr>
                <w:rFonts w:asciiTheme="minorEastAsia" w:hAnsiTheme="minorEastAsia" w:eastAsiaTheme="minorEastAsia" w:cstheme="minorEastAsia"/>
                <w:b/>
                <w:bCs/>
                <w:color w:val="000000"/>
                <w:kern w:val="0"/>
                <w:szCs w:val="21"/>
                <w:lang w:bidi="ar"/>
              </w:rPr>
            </w:pPr>
          </w:p>
        </w:tc>
        <w:tc>
          <w:tcPr>
            <w:tcW w:w="520" w:type="pct"/>
            <w:gridSpan w:val="2"/>
            <w:vMerge w:val="continue"/>
            <w:shd w:val="clear" w:color="auto" w:fill="auto"/>
            <w:vAlign w:val="center"/>
          </w:tcPr>
          <w:p>
            <w:pPr>
              <w:jc w:val="center"/>
              <w:textAlignment w:val="center"/>
              <w:rPr>
                <w:rFonts w:asciiTheme="minorEastAsia" w:hAnsiTheme="minorEastAsia" w:eastAsiaTheme="minorEastAsia" w:cstheme="minorEastAsia"/>
                <w:color w:val="000000"/>
                <w:kern w:val="0"/>
                <w:szCs w:val="21"/>
                <w:lang w:bidi="ar"/>
              </w:rPr>
            </w:pPr>
          </w:p>
        </w:tc>
        <w:tc>
          <w:tcPr>
            <w:tcW w:w="3511" w:type="pct"/>
            <w:gridSpan w:val="2"/>
            <w:shd w:val="clear" w:color="auto" w:fill="auto"/>
            <w:vAlign w:val="center"/>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支持各类原始提取证据数据浏览功能，包含通讯录、通话记录、短信息、账号信息、网页内容、定位信息、社交聊天、应用信息、邮件、经济信息、媒体信息、已删除等；支持展示手机中短信和通话的归属SIM卡序列号展示，支持手机中短信和通话的归属SIM卡手机号展示</w:t>
            </w:r>
          </w:p>
        </w:tc>
        <w:tc>
          <w:tcPr>
            <w:tcW w:w="642" w:type="pct"/>
            <w:gridSpan w:val="2"/>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1050" w:hRule="atLeast"/>
          <w:jc w:val="center"/>
        </w:trPr>
        <w:tc>
          <w:tcPr>
            <w:tcW w:w="322" w:type="pct"/>
            <w:shd w:val="clear" w:color="auto" w:fill="auto"/>
            <w:vAlign w:val="center"/>
          </w:tcPr>
          <w:p>
            <w:pPr>
              <w:widowControl w:val="0"/>
              <w:numPr>
                <w:ilvl w:val="0"/>
                <w:numId w:val="50"/>
              </w:numPr>
              <w:jc w:val="center"/>
              <w:textAlignment w:val="center"/>
              <w:rPr>
                <w:rFonts w:asciiTheme="minorEastAsia" w:hAnsiTheme="minorEastAsia" w:eastAsiaTheme="minorEastAsia" w:cstheme="minorEastAsia"/>
                <w:b/>
                <w:bCs/>
                <w:color w:val="000000"/>
                <w:kern w:val="0"/>
                <w:szCs w:val="21"/>
                <w:lang w:bidi="ar"/>
              </w:rPr>
            </w:pPr>
          </w:p>
        </w:tc>
        <w:tc>
          <w:tcPr>
            <w:tcW w:w="520" w:type="pct"/>
            <w:gridSpan w:val="2"/>
            <w:vMerge w:val="continue"/>
            <w:shd w:val="clear" w:color="auto" w:fill="auto"/>
            <w:vAlign w:val="center"/>
          </w:tcPr>
          <w:p>
            <w:pPr>
              <w:jc w:val="center"/>
              <w:textAlignment w:val="center"/>
              <w:rPr>
                <w:rFonts w:asciiTheme="minorEastAsia" w:hAnsiTheme="minorEastAsia" w:eastAsiaTheme="minorEastAsia" w:cstheme="minorEastAsia"/>
                <w:color w:val="000000"/>
                <w:kern w:val="0"/>
                <w:szCs w:val="21"/>
                <w:lang w:bidi="ar"/>
              </w:rPr>
            </w:pPr>
          </w:p>
        </w:tc>
        <w:tc>
          <w:tcPr>
            <w:tcW w:w="3511" w:type="pct"/>
            <w:gridSpan w:val="2"/>
            <w:shd w:val="clear" w:color="auto" w:fill="auto"/>
            <w:vAlign w:val="center"/>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支持多个对象的共同通联、通讯、微信、QQ、收支、共同app对象分析，可以知晓多个共同分析对象之间存在的共同通联对象；支持包含通讯、社交、经济、APP等多维度通联扩线，同时支持一版化展示分析</w:t>
            </w:r>
          </w:p>
        </w:tc>
        <w:tc>
          <w:tcPr>
            <w:tcW w:w="642" w:type="pct"/>
            <w:gridSpan w:val="2"/>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1050" w:hRule="atLeast"/>
          <w:jc w:val="center"/>
        </w:trPr>
        <w:tc>
          <w:tcPr>
            <w:tcW w:w="322" w:type="pct"/>
            <w:shd w:val="clear" w:color="auto" w:fill="auto"/>
            <w:vAlign w:val="center"/>
          </w:tcPr>
          <w:p>
            <w:pPr>
              <w:widowControl w:val="0"/>
              <w:numPr>
                <w:ilvl w:val="0"/>
                <w:numId w:val="50"/>
              </w:numPr>
              <w:jc w:val="center"/>
              <w:textAlignment w:val="center"/>
              <w:rPr>
                <w:rFonts w:asciiTheme="minorEastAsia" w:hAnsiTheme="minorEastAsia" w:eastAsiaTheme="minorEastAsia" w:cstheme="minorEastAsia"/>
                <w:b/>
                <w:bCs/>
                <w:color w:val="000000"/>
                <w:kern w:val="0"/>
                <w:szCs w:val="21"/>
                <w:lang w:bidi="ar"/>
              </w:rPr>
            </w:pPr>
          </w:p>
        </w:tc>
        <w:tc>
          <w:tcPr>
            <w:tcW w:w="520" w:type="pct"/>
            <w:gridSpan w:val="2"/>
            <w:vMerge w:val="continue"/>
            <w:shd w:val="clear" w:color="auto" w:fill="auto"/>
            <w:vAlign w:val="center"/>
          </w:tcPr>
          <w:p>
            <w:pPr>
              <w:jc w:val="center"/>
              <w:textAlignment w:val="center"/>
              <w:rPr>
                <w:rFonts w:asciiTheme="minorEastAsia" w:hAnsiTheme="minorEastAsia" w:eastAsiaTheme="minorEastAsia" w:cstheme="minorEastAsia"/>
                <w:color w:val="000000"/>
                <w:kern w:val="0"/>
                <w:szCs w:val="21"/>
                <w:lang w:bidi="ar"/>
              </w:rPr>
            </w:pPr>
          </w:p>
        </w:tc>
        <w:tc>
          <w:tcPr>
            <w:tcW w:w="3511" w:type="pct"/>
            <w:gridSpan w:val="2"/>
            <w:shd w:val="clear" w:color="auto" w:fill="auto"/>
            <w:vAlign w:val="center"/>
          </w:tcPr>
          <w:p>
            <w:pPr>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支持共同对象微信、QQ、通讯录备注分析，对共同对象在各嫌疑人中的备注进行集中展示，支持导出下载功能</w:t>
            </w:r>
          </w:p>
        </w:tc>
        <w:tc>
          <w:tcPr>
            <w:tcW w:w="642" w:type="pct"/>
            <w:gridSpan w:val="2"/>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1050" w:hRule="atLeast"/>
          <w:jc w:val="center"/>
        </w:trPr>
        <w:tc>
          <w:tcPr>
            <w:tcW w:w="322" w:type="pct"/>
            <w:shd w:val="clear" w:color="auto" w:fill="auto"/>
            <w:vAlign w:val="center"/>
          </w:tcPr>
          <w:p>
            <w:pPr>
              <w:widowControl w:val="0"/>
              <w:numPr>
                <w:ilvl w:val="0"/>
                <w:numId w:val="50"/>
              </w:numPr>
              <w:jc w:val="center"/>
              <w:textAlignment w:val="center"/>
              <w:rPr>
                <w:rFonts w:asciiTheme="minorEastAsia" w:hAnsiTheme="minorEastAsia" w:eastAsiaTheme="minorEastAsia" w:cstheme="minorEastAsia"/>
                <w:b/>
                <w:bCs/>
                <w:color w:val="000000"/>
                <w:kern w:val="0"/>
                <w:szCs w:val="21"/>
                <w:lang w:bidi="ar"/>
              </w:rPr>
            </w:pPr>
          </w:p>
        </w:tc>
        <w:tc>
          <w:tcPr>
            <w:tcW w:w="520" w:type="pct"/>
            <w:gridSpan w:val="2"/>
            <w:vMerge w:val="continue"/>
            <w:shd w:val="clear" w:color="auto" w:fill="auto"/>
            <w:vAlign w:val="center"/>
          </w:tcPr>
          <w:p>
            <w:pPr>
              <w:jc w:val="center"/>
              <w:textAlignment w:val="center"/>
              <w:rPr>
                <w:rFonts w:asciiTheme="minorEastAsia" w:hAnsiTheme="minorEastAsia" w:eastAsiaTheme="minorEastAsia" w:cstheme="minorEastAsia"/>
                <w:color w:val="000000"/>
                <w:kern w:val="0"/>
                <w:szCs w:val="21"/>
                <w:lang w:bidi="ar"/>
              </w:rPr>
            </w:pPr>
          </w:p>
        </w:tc>
        <w:tc>
          <w:tcPr>
            <w:tcW w:w="3511" w:type="pct"/>
            <w:gridSpan w:val="2"/>
            <w:shd w:val="clear" w:color="auto" w:fill="auto"/>
            <w:vAlign w:val="center"/>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支持共同对象分析结果中的自身账号分析，对属于嫌疑人的账号进行重点标注</w:t>
            </w:r>
          </w:p>
        </w:tc>
        <w:tc>
          <w:tcPr>
            <w:tcW w:w="642" w:type="pct"/>
            <w:gridSpan w:val="2"/>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1050" w:hRule="atLeast"/>
          <w:jc w:val="center"/>
        </w:trPr>
        <w:tc>
          <w:tcPr>
            <w:tcW w:w="322" w:type="pct"/>
            <w:shd w:val="clear" w:color="auto" w:fill="auto"/>
            <w:vAlign w:val="center"/>
          </w:tcPr>
          <w:p>
            <w:pPr>
              <w:widowControl w:val="0"/>
              <w:numPr>
                <w:ilvl w:val="0"/>
                <w:numId w:val="50"/>
              </w:numPr>
              <w:jc w:val="center"/>
              <w:textAlignment w:val="center"/>
              <w:rPr>
                <w:rFonts w:asciiTheme="minorEastAsia" w:hAnsiTheme="minorEastAsia" w:eastAsiaTheme="minorEastAsia" w:cstheme="minorEastAsia"/>
                <w:b/>
                <w:bCs/>
                <w:color w:val="000000"/>
                <w:kern w:val="0"/>
                <w:szCs w:val="21"/>
                <w:lang w:bidi="ar"/>
              </w:rPr>
            </w:pPr>
          </w:p>
        </w:tc>
        <w:tc>
          <w:tcPr>
            <w:tcW w:w="520" w:type="pct"/>
            <w:gridSpan w:val="2"/>
            <w:vMerge w:val="continue"/>
            <w:shd w:val="clear" w:color="auto" w:fill="auto"/>
            <w:vAlign w:val="center"/>
          </w:tcPr>
          <w:p>
            <w:pPr>
              <w:jc w:val="center"/>
              <w:textAlignment w:val="center"/>
              <w:rPr>
                <w:rFonts w:asciiTheme="minorEastAsia" w:hAnsiTheme="minorEastAsia" w:eastAsiaTheme="minorEastAsia" w:cstheme="minorEastAsia"/>
                <w:color w:val="000000"/>
                <w:kern w:val="0"/>
                <w:szCs w:val="21"/>
                <w:lang w:bidi="ar"/>
              </w:rPr>
            </w:pPr>
          </w:p>
        </w:tc>
        <w:tc>
          <w:tcPr>
            <w:tcW w:w="3511" w:type="pct"/>
            <w:gridSpan w:val="2"/>
            <w:shd w:val="clear" w:color="auto" w:fill="auto"/>
            <w:vAlign w:val="center"/>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支持分析多个对象的共同轨迹、共同出没地、事件时序分析功能</w:t>
            </w:r>
          </w:p>
        </w:tc>
        <w:tc>
          <w:tcPr>
            <w:tcW w:w="642" w:type="pct"/>
            <w:gridSpan w:val="2"/>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1050" w:hRule="atLeast"/>
          <w:jc w:val="center"/>
        </w:trPr>
        <w:tc>
          <w:tcPr>
            <w:tcW w:w="322" w:type="pct"/>
            <w:shd w:val="clear" w:color="auto" w:fill="auto"/>
            <w:vAlign w:val="center"/>
          </w:tcPr>
          <w:p>
            <w:pPr>
              <w:widowControl w:val="0"/>
              <w:numPr>
                <w:ilvl w:val="0"/>
                <w:numId w:val="50"/>
              </w:numPr>
              <w:jc w:val="center"/>
              <w:textAlignment w:val="center"/>
              <w:rPr>
                <w:rFonts w:asciiTheme="minorEastAsia" w:hAnsiTheme="minorEastAsia" w:eastAsiaTheme="minorEastAsia" w:cstheme="minorEastAsia"/>
                <w:b/>
                <w:bCs/>
                <w:color w:val="000000"/>
                <w:kern w:val="0"/>
                <w:szCs w:val="21"/>
                <w:lang w:bidi="ar"/>
              </w:rPr>
            </w:pPr>
          </w:p>
        </w:tc>
        <w:tc>
          <w:tcPr>
            <w:tcW w:w="520" w:type="pct"/>
            <w:gridSpan w:val="2"/>
            <w:vMerge w:val="continue"/>
            <w:shd w:val="clear" w:color="auto" w:fill="auto"/>
            <w:vAlign w:val="center"/>
          </w:tcPr>
          <w:p>
            <w:pPr>
              <w:jc w:val="center"/>
              <w:textAlignment w:val="center"/>
              <w:rPr>
                <w:rFonts w:asciiTheme="minorEastAsia" w:hAnsiTheme="minorEastAsia" w:eastAsiaTheme="minorEastAsia" w:cstheme="minorEastAsia"/>
                <w:color w:val="000000"/>
                <w:kern w:val="0"/>
                <w:szCs w:val="21"/>
                <w:lang w:bidi="ar"/>
              </w:rPr>
            </w:pPr>
          </w:p>
        </w:tc>
        <w:tc>
          <w:tcPr>
            <w:tcW w:w="3511" w:type="pct"/>
            <w:gridSpan w:val="2"/>
            <w:shd w:val="clear" w:color="auto" w:fill="auto"/>
            <w:vAlign w:val="center"/>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支持单个对象的通联密度分析，支持按通联类型分类标识，支持自定义选择具体通联类型进行分析，支持通联类型、频次、时段、快速时段、小时区间、历史查询筛选</w:t>
            </w:r>
          </w:p>
        </w:tc>
        <w:tc>
          <w:tcPr>
            <w:tcW w:w="642" w:type="pct"/>
            <w:gridSpan w:val="2"/>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1050" w:hRule="atLeast"/>
          <w:jc w:val="center"/>
        </w:trPr>
        <w:tc>
          <w:tcPr>
            <w:tcW w:w="322" w:type="pct"/>
            <w:shd w:val="clear" w:color="auto" w:fill="auto"/>
            <w:vAlign w:val="center"/>
          </w:tcPr>
          <w:p>
            <w:pPr>
              <w:widowControl w:val="0"/>
              <w:numPr>
                <w:ilvl w:val="0"/>
                <w:numId w:val="50"/>
              </w:numPr>
              <w:jc w:val="center"/>
              <w:textAlignment w:val="center"/>
              <w:rPr>
                <w:rFonts w:asciiTheme="minorEastAsia" w:hAnsiTheme="minorEastAsia" w:eastAsiaTheme="minorEastAsia" w:cstheme="minorEastAsia"/>
                <w:b/>
                <w:bCs/>
                <w:color w:val="000000"/>
                <w:kern w:val="0"/>
                <w:szCs w:val="21"/>
                <w:lang w:bidi="ar"/>
              </w:rPr>
            </w:pPr>
          </w:p>
        </w:tc>
        <w:tc>
          <w:tcPr>
            <w:tcW w:w="520" w:type="pct"/>
            <w:gridSpan w:val="2"/>
            <w:vMerge w:val="continue"/>
            <w:shd w:val="clear" w:color="auto" w:fill="auto"/>
            <w:vAlign w:val="center"/>
          </w:tcPr>
          <w:p>
            <w:pPr>
              <w:jc w:val="center"/>
              <w:textAlignment w:val="center"/>
              <w:rPr>
                <w:rFonts w:asciiTheme="minorEastAsia" w:hAnsiTheme="minorEastAsia" w:eastAsiaTheme="minorEastAsia" w:cstheme="minorEastAsia"/>
                <w:color w:val="000000"/>
                <w:kern w:val="0"/>
                <w:szCs w:val="21"/>
                <w:lang w:bidi="ar"/>
              </w:rPr>
            </w:pPr>
          </w:p>
        </w:tc>
        <w:tc>
          <w:tcPr>
            <w:tcW w:w="3511" w:type="pct"/>
            <w:gridSpan w:val="2"/>
            <w:shd w:val="clear" w:color="auto" w:fill="auto"/>
            <w:vAlign w:val="center"/>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支持在可视化关系节点图中添加自定义节点，支持添加节点的账号、昵称、备注等信息</w:t>
            </w:r>
          </w:p>
        </w:tc>
        <w:tc>
          <w:tcPr>
            <w:tcW w:w="642" w:type="pct"/>
            <w:gridSpan w:val="2"/>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700" w:hRule="atLeast"/>
          <w:jc w:val="center"/>
        </w:trPr>
        <w:tc>
          <w:tcPr>
            <w:tcW w:w="322" w:type="pct"/>
            <w:shd w:val="clear" w:color="auto" w:fill="auto"/>
            <w:vAlign w:val="center"/>
          </w:tcPr>
          <w:p>
            <w:pPr>
              <w:widowControl w:val="0"/>
              <w:numPr>
                <w:ilvl w:val="0"/>
                <w:numId w:val="50"/>
              </w:numPr>
              <w:jc w:val="center"/>
              <w:textAlignment w:val="center"/>
              <w:rPr>
                <w:rFonts w:asciiTheme="minorEastAsia" w:hAnsiTheme="minorEastAsia" w:eastAsiaTheme="minorEastAsia" w:cstheme="minorEastAsia"/>
                <w:b/>
                <w:bCs/>
                <w:color w:val="000000"/>
                <w:kern w:val="0"/>
                <w:szCs w:val="21"/>
                <w:lang w:bidi="ar"/>
              </w:rPr>
            </w:pPr>
          </w:p>
        </w:tc>
        <w:tc>
          <w:tcPr>
            <w:tcW w:w="520" w:type="pct"/>
            <w:gridSpan w:val="2"/>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3511" w:type="pct"/>
            <w:gridSpan w:val="2"/>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支持社交对象白名单，屏蔽与研判分析无关的社交对象，支持在可视化关系节图点中将节点加入白名单，支持白名单管理</w:t>
            </w:r>
          </w:p>
        </w:tc>
        <w:tc>
          <w:tcPr>
            <w:tcW w:w="642" w:type="pct"/>
            <w:gridSpan w:val="2"/>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706" w:hRule="atLeast"/>
          <w:jc w:val="center"/>
        </w:trPr>
        <w:tc>
          <w:tcPr>
            <w:tcW w:w="322" w:type="pct"/>
            <w:shd w:val="clear" w:color="auto" w:fill="auto"/>
            <w:vAlign w:val="center"/>
          </w:tcPr>
          <w:p>
            <w:pPr>
              <w:widowControl w:val="0"/>
              <w:numPr>
                <w:ilvl w:val="0"/>
                <w:numId w:val="50"/>
              </w:numPr>
              <w:jc w:val="center"/>
              <w:textAlignment w:val="center"/>
              <w:rPr>
                <w:rFonts w:asciiTheme="minorEastAsia" w:hAnsiTheme="minorEastAsia" w:eastAsiaTheme="minorEastAsia" w:cstheme="minorEastAsia"/>
                <w:b/>
                <w:bCs/>
                <w:color w:val="000000"/>
                <w:kern w:val="0"/>
                <w:szCs w:val="21"/>
                <w:lang w:bidi="ar"/>
              </w:rPr>
            </w:pPr>
          </w:p>
        </w:tc>
        <w:tc>
          <w:tcPr>
            <w:tcW w:w="520" w:type="pct"/>
            <w:gridSpan w:val="2"/>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3511" w:type="pct"/>
            <w:gridSpan w:val="2"/>
            <w:shd w:val="clear" w:color="auto" w:fill="auto"/>
            <w:vAlign w:val="center"/>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支持重点人员库功能，支持在可视化关系节点中将节点加入重点人员库，支持重点人员库的快捷编辑</w:t>
            </w:r>
          </w:p>
        </w:tc>
        <w:tc>
          <w:tcPr>
            <w:tcW w:w="642" w:type="pct"/>
            <w:gridSpan w:val="2"/>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700" w:hRule="atLeast"/>
          <w:jc w:val="center"/>
        </w:trPr>
        <w:tc>
          <w:tcPr>
            <w:tcW w:w="322" w:type="pct"/>
            <w:shd w:val="clear" w:color="auto" w:fill="auto"/>
            <w:vAlign w:val="center"/>
          </w:tcPr>
          <w:p>
            <w:pPr>
              <w:widowControl w:val="0"/>
              <w:numPr>
                <w:ilvl w:val="0"/>
                <w:numId w:val="50"/>
              </w:numPr>
              <w:jc w:val="center"/>
              <w:textAlignment w:val="center"/>
              <w:rPr>
                <w:rFonts w:asciiTheme="minorEastAsia" w:hAnsiTheme="minorEastAsia" w:eastAsiaTheme="minorEastAsia" w:cstheme="minorEastAsia"/>
                <w:b/>
                <w:bCs/>
                <w:color w:val="000000"/>
                <w:kern w:val="0"/>
                <w:szCs w:val="21"/>
                <w:lang w:bidi="ar"/>
              </w:rPr>
            </w:pPr>
          </w:p>
        </w:tc>
        <w:tc>
          <w:tcPr>
            <w:tcW w:w="520" w:type="pct"/>
            <w:gridSpan w:val="2"/>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3511" w:type="pct"/>
            <w:gridSpan w:val="2"/>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支持微信经济与微信聊天内容、手机短信内容、手机通话记录的聚合分析，支持微信经济与微信聊天内容、手机短信内容、手机通话记录的智能关联，支持在一版化页面中查看详情</w:t>
            </w:r>
          </w:p>
        </w:tc>
        <w:tc>
          <w:tcPr>
            <w:tcW w:w="642" w:type="pct"/>
            <w:gridSpan w:val="2"/>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700" w:hRule="atLeast"/>
          <w:jc w:val="center"/>
        </w:trPr>
        <w:tc>
          <w:tcPr>
            <w:tcW w:w="322" w:type="pct"/>
            <w:shd w:val="clear" w:color="auto" w:fill="auto"/>
            <w:vAlign w:val="center"/>
          </w:tcPr>
          <w:p>
            <w:pPr>
              <w:widowControl w:val="0"/>
              <w:numPr>
                <w:ilvl w:val="0"/>
                <w:numId w:val="50"/>
              </w:numPr>
              <w:jc w:val="center"/>
              <w:textAlignment w:val="center"/>
              <w:rPr>
                <w:rFonts w:asciiTheme="minorEastAsia" w:hAnsiTheme="minorEastAsia" w:eastAsiaTheme="minorEastAsia" w:cstheme="minorEastAsia"/>
                <w:b/>
                <w:bCs/>
                <w:color w:val="000000"/>
                <w:kern w:val="0"/>
                <w:szCs w:val="21"/>
                <w:lang w:bidi="ar"/>
              </w:rPr>
            </w:pPr>
          </w:p>
        </w:tc>
        <w:tc>
          <w:tcPr>
            <w:tcW w:w="520" w:type="pct"/>
            <w:gridSpan w:val="2"/>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3511" w:type="pct"/>
            <w:gridSpan w:val="2"/>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支持在账单日历模式下标识化形象展示</w:t>
            </w:r>
          </w:p>
        </w:tc>
        <w:tc>
          <w:tcPr>
            <w:tcW w:w="642" w:type="pct"/>
            <w:gridSpan w:val="2"/>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700" w:hRule="atLeast"/>
          <w:jc w:val="center"/>
        </w:trPr>
        <w:tc>
          <w:tcPr>
            <w:tcW w:w="322" w:type="pct"/>
            <w:shd w:val="clear" w:color="auto" w:fill="auto"/>
            <w:vAlign w:val="center"/>
          </w:tcPr>
          <w:p>
            <w:pPr>
              <w:widowControl w:val="0"/>
              <w:numPr>
                <w:ilvl w:val="0"/>
                <w:numId w:val="50"/>
              </w:numPr>
              <w:jc w:val="center"/>
              <w:textAlignment w:val="center"/>
              <w:rPr>
                <w:rFonts w:asciiTheme="minorEastAsia" w:hAnsiTheme="minorEastAsia" w:eastAsiaTheme="minorEastAsia" w:cstheme="minorEastAsia"/>
                <w:b/>
                <w:bCs/>
                <w:color w:val="000000"/>
                <w:kern w:val="0"/>
                <w:szCs w:val="21"/>
                <w:lang w:bidi="ar"/>
              </w:rPr>
            </w:pPr>
          </w:p>
        </w:tc>
        <w:tc>
          <w:tcPr>
            <w:tcW w:w="520" w:type="pct"/>
            <w:gridSpan w:val="2"/>
            <w:vMerge w:val="restart"/>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资金分析</w:t>
            </w:r>
          </w:p>
        </w:tc>
        <w:tc>
          <w:tcPr>
            <w:tcW w:w="3511" w:type="pct"/>
            <w:gridSpan w:val="2"/>
            <w:shd w:val="clear" w:color="auto" w:fill="auto"/>
            <w:vAlign w:val="center"/>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支持对所有经济账号的整合一版化智能统计分析，支持将所有经济账号的经济信息整合到一个账单中分析，包括支付宝，微信和银行卡</w:t>
            </w:r>
          </w:p>
        </w:tc>
        <w:tc>
          <w:tcPr>
            <w:tcW w:w="642" w:type="pct"/>
            <w:gridSpan w:val="2"/>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350" w:hRule="atLeast"/>
          <w:jc w:val="center"/>
        </w:trPr>
        <w:tc>
          <w:tcPr>
            <w:tcW w:w="322" w:type="pct"/>
            <w:shd w:val="clear" w:color="auto" w:fill="auto"/>
            <w:vAlign w:val="center"/>
          </w:tcPr>
          <w:p>
            <w:pPr>
              <w:widowControl w:val="0"/>
              <w:numPr>
                <w:ilvl w:val="0"/>
                <w:numId w:val="50"/>
              </w:numPr>
              <w:jc w:val="center"/>
              <w:textAlignment w:val="center"/>
              <w:rPr>
                <w:rFonts w:asciiTheme="minorEastAsia" w:hAnsiTheme="minorEastAsia" w:eastAsiaTheme="minorEastAsia" w:cstheme="minorEastAsia"/>
                <w:b/>
                <w:bCs/>
                <w:color w:val="000000"/>
                <w:kern w:val="0"/>
                <w:szCs w:val="21"/>
                <w:lang w:bidi="ar"/>
              </w:rPr>
            </w:pPr>
          </w:p>
        </w:tc>
        <w:tc>
          <w:tcPr>
            <w:tcW w:w="520" w:type="pct"/>
            <w:gridSpan w:val="2"/>
            <w:vMerge w:val="continue"/>
            <w:shd w:val="clear" w:color="auto" w:fill="auto"/>
            <w:vAlign w:val="center"/>
          </w:tcPr>
          <w:p>
            <w:pPr>
              <w:rPr>
                <w:rFonts w:asciiTheme="minorEastAsia" w:hAnsiTheme="minorEastAsia" w:eastAsiaTheme="minorEastAsia" w:cstheme="minorEastAsia"/>
                <w:color w:val="000000"/>
                <w:szCs w:val="21"/>
              </w:rPr>
            </w:pPr>
          </w:p>
        </w:tc>
        <w:tc>
          <w:tcPr>
            <w:tcW w:w="3511" w:type="pct"/>
            <w:gridSpan w:val="2"/>
            <w:shd w:val="clear" w:color="auto" w:fill="auto"/>
            <w:vAlign w:val="center"/>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支持依据单笔资金交易对象，提供基于该条资金交易对象的全库筛选分析能力，一键聚合涉嫌人员与该对象的资金交易，支持自定义设定筛选时间与该笔资金交易发生时间的前后偏移量</w:t>
            </w:r>
          </w:p>
        </w:tc>
        <w:tc>
          <w:tcPr>
            <w:tcW w:w="642" w:type="pct"/>
            <w:gridSpan w:val="2"/>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700" w:hRule="atLeast"/>
          <w:jc w:val="center"/>
        </w:trPr>
        <w:tc>
          <w:tcPr>
            <w:tcW w:w="322" w:type="pct"/>
            <w:shd w:val="clear" w:color="auto" w:fill="auto"/>
            <w:vAlign w:val="center"/>
          </w:tcPr>
          <w:p>
            <w:pPr>
              <w:widowControl w:val="0"/>
              <w:numPr>
                <w:ilvl w:val="0"/>
                <w:numId w:val="50"/>
              </w:numPr>
              <w:jc w:val="center"/>
              <w:textAlignment w:val="center"/>
              <w:rPr>
                <w:rFonts w:asciiTheme="minorEastAsia" w:hAnsiTheme="minorEastAsia" w:eastAsiaTheme="minorEastAsia" w:cstheme="minorEastAsia"/>
                <w:b/>
                <w:bCs/>
                <w:color w:val="000000"/>
                <w:kern w:val="0"/>
                <w:szCs w:val="21"/>
                <w:lang w:bidi="ar"/>
              </w:rPr>
            </w:pPr>
          </w:p>
        </w:tc>
        <w:tc>
          <w:tcPr>
            <w:tcW w:w="520" w:type="pct"/>
            <w:gridSpan w:val="2"/>
            <w:vMerge w:val="continue"/>
            <w:shd w:val="clear" w:color="auto" w:fill="auto"/>
            <w:vAlign w:val="center"/>
          </w:tcPr>
          <w:p>
            <w:pPr>
              <w:rPr>
                <w:rFonts w:asciiTheme="minorEastAsia" w:hAnsiTheme="minorEastAsia" w:eastAsiaTheme="minorEastAsia" w:cstheme="minorEastAsia"/>
                <w:color w:val="000000"/>
                <w:szCs w:val="21"/>
              </w:rPr>
            </w:pPr>
          </w:p>
        </w:tc>
        <w:tc>
          <w:tcPr>
            <w:tcW w:w="3511" w:type="pct"/>
            <w:gridSpan w:val="2"/>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支持依据单笔资金发生的规律特征，提供基于该条资金特征的比对分析能力，支持规律特征进行自定义设置，动态调整分析结果，进行有效的数据二次分析</w:t>
            </w:r>
          </w:p>
        </w:tc>
        <w:tc>
          <w:tcPr>
            <w:tcW w:w="642" w:type="pct"/>
            <w:gridSpan w:val="2"/>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350" w:hRule="atLeast"/>
          <w:jc w:val="center"/>
        </w:trPr>
        <w:tc>
          <w:tcPr>
            <w:tcW w:w="322" w:type="pct"/>
            <w:shd w:val="clear" w:color="auto" w:fill="auto"/>
            <w:vAlign w:val="center"/>
          </w:tcPr>
          <w:p>
            <w:pPr>
              <w:widowControl w:val="0"/>
              <w:numPr>
                <w:ilvl w:val="0"/>
                <w:numId w:val="50"/>
              </w:numPr>
              <w:jc w:val="center"/>
              <w:textAlignment w:val="center"/>
              <w:rPr>
                <w:rFonts w:asciiTheme="minorEastAsia" w:hAnsiTheme="minorEastAsia" w:eastAsiaTheme="minorEastAsia" w:cstheme="minorEastAsia"/>
                <w:b/>
                <w:bCs/>
                <w:color w:val="000000"/>
                <w:kern w:val="0"/>
                <w:szCs w:val="21"/>
                <w:lang w:bidi="ar"/>
              </w:rPr>
            </w:pPr>
          </w:p>
        </w:tc>
        <w:tc>
          <w:tcPr>
            <w:tcW w:w="520" w:type="pct"/>
            <w:gridSpan w:val="2"/>
            <w:shd w:val="clear" w:color="auto" w:fill="auto"/>
            <w:vAlign w:val="center"/>
          </w:tcPr>
          <w:p>
            <w:pPr>
              <w:jc w:val="center"/>
              <w:rPr>
                <w:rFonts w:asciiTheme="minorEastAsia" w:hAnsiTheme="minorEastAsia" w:eastAsiaTheme="minorEastAsia" w:cstheme="minorEastAsia"/>
                <w:kern w:val="0"/>
                <w:szCs w:val="21"/>
                <w:lang w:bidi="ar"/>
              </w:rPr>
            </w:pPr>
            <w:r>
              <w:rPr>
                <w:rFonts w:hint="eastAsia" w:asciiTheme="minorEastAsia" w:hAnsiTheme="minorEastAsia" w:eastAsiaTheme="minorEastAsia" w:cstheme="minorEastAsia"/>
                <w:szCs w:val="21"/>
              </w:rPr>
              <w:t>物联网管理 API</w:t>
            </w:r>
          </w:p>
        </w:tc>
        <w:tc>
          <w:tcPr>
            <w:tcW w:w="3511" w:type="pct"/>
            <w:gridSpan w:val="2"/>
            <w:shd w:val="clear" w:color="auto" w:fill="auto"/>
            <w:vAlign w:val="center"/>
          </w:tcPr>
          <w:p>
            <w:pPr>
              <w:textAlignment w:val="center"/>
              <w:rPr>
                <w:rFonts w:asciiTheme="minorEastAsia" w:hAnsiTheme="minorEastAsia" w:eastAsiaTheme="minorEastAsia" w:cstheme="minorEastAsia"/>
                <w:kern w:val="0"/>
                <w:szCs w:val="21"/>
                <w:lang w:bidi="ar"/>
              </w:rPr>
            </w:pPr>
            <w:r>
              <w:rPr>
                <w:rFonts w:hint="eastAsia" w:asciiTheme="minorEastAsia" w:hAnsiTheme="minorEastAsia" w:eastAsiaTheme="minorEastAsia" w:cstheme="minorEastAsia"/>
                <w:kern w:val="0"/>
                <w:szCs w:val="21"/>
                <w:lang w:bidi="ar"/>
              </w:rPr>
              <w:t>支持开放的物联网管理API接口，供实验室管理系统采集设备工作状态和工作量</w:t>
            </w:r>
          </w:p>
        </w:tc>
        <w:tc>
          <w:tcPr>
            <w:tcW w:w="642" w:type="pct"/>
            <w:gridSpan w:val="2"/>
            <w:shd w:val="clear" w:color="auto" w:fill="auto"/>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bCs/>
                <w:color w:val="000000"/>
                <w:kern w:val="0"/>
                <w:szCs w:val="21"/>
                <w:lang w:bidi="ar"/>
              </w:rPr>
              <w:t>/</w:t>
            </w:r>
          </w:p>
        </w:tc>
      </w:tr>
    </w:tbl>
    <w:p>
      <w:pPr>
        <w:rPr>
          <w:rFonts w:asciiTheme="minorEastAsia" w:hAnsiTheme="minorEastAsia" w:eastAsiaTheme="minorEastAsia" w:cstheme="minorEastAsia"/>
          <w:szCs w:val="21"/>
        </w:rPr>
      </w:pPr>
    </w:p>
    <w:p>
      <w:pPr>
        <w:pStyle w:val="5"/>
        <w:spacing w:before="15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第2包 便携式手机取证设备</w:t>
      </w:r>
      <w:r>
        <w:rPr>
          <w:rFonts w:hint="default" w:ascii="Times New Roman" w:hAnsi="Times New Roman" w:cs="Times New Roman" w:eastAsiaTheme="minorEastAsia"/>
          <w:szCs w:val="21"/>
        </w:rPr>
        <w:t>Ⅲ</w:t>
      </w:r>
    </w:p>
    <w:tbl>
      <w:tblPr>
        <w:tblStyle w:val="81"/>
        <w:tblW w:w="476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7"/>
        <w:gridCol w:w="850"/>
        <w:gridCol w:w="5683"/>
        <w:gridCol w:w="1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blHeader/>
          <w:jc w:val="center"/>
        </w:trPr>
        <w:tc>
          <w:tcPr>
            <w:tcW w:w="306" w:type="pct"/>
            <w:shd w:val="clear" w:color="auto" w:fill="auto"/>
            <w:vAlign w:val="center"/>
          </w:tcPr>
          <w:p>
            <w:pPr>
              <w:jc w:val="center"/>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b/>
                <w:bCs/>
                <w:color w:val="000000"/>
                <w:kern w:val="0"/>
                <w:szCs w:val="21"/>
                <w:lang w:bidi="ar"/>
              </w:rPr>
              <w:t>序号</w:t>
            </w:r>
          </w:p>
        </w:tc>
        <w:tc>
          <w:tcPr>
            <w:tcW w:w="523" w:type="pct"/>
            <w:shd w:val="clear" w:color="auto" w:fill="auto"/>
            <w:vAlign w:val="center"/>
          </w:tcPr>
          <w:p>
            <w:pPr>
              <w:jc w:val="center"/>
              <w:textAlignment w:val="center"/>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kern w:val="0"/>
                <w:szCs w:val="21"/>
                <w:lang w:bidi="ar"/>
              </w:rPr>
              <w:t>指标项</w:t>
            </w:r>
          </w:p>
        </w:tc>
        <w:tc>
          <w:tcPr>
            <w:tcW w:w="3496" w:type="pct"/>
            <w:shd w:val="clear" w:color="auto" w:fill="auto"/>
            <w:vAlign w:val="center"/>
          </w:tcPr>
          <w:p>
            <w:pPr>
              <w:jc w:val="center"/>
              <w:textAlignment w:val="center"/>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kern w:val="0"/>
                <w:szCs w:val="21"/>
                <w:lang w:bidi="ar"/>
              </w:rPr>
              <w:t>技术要求</w:t>
            </w:r>
          </w:p>
        </w:tc>
        <w:tc>
          <w:tcPr>
            <w:tcW w:w="675" w:type="pct"/>
            <w:shd w:val="clear" w:color="auto" w:fill="auto"/>
          </w:tcPr>
          <w:p>
            <w:pPr>
              <w:jc w:val="center"/>
              <w:textAlignment w:val="center"/>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Cs/>
                <w:color w:val="000000"/>
                <w:kern w:val="0"/>
                <w:szCs w:val="21"/>
                <w:lang w:bidi="ar"/>
              </w:rPr>
              <w:t>证明材料要求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306" w:type="pct"/>
            <w:shd w:val="clear" w:color="auto" w:fill="auto"/>
            <w:vAlign w:val="center"/>
          </w:tcPr>
          <w:p>
            <w:pPr>
              <w:widowControl w:val="0"/>
              <w:numPr>
                <w:ilvl w:val="0"/>
                <w:numId w:val="51"/>
              </w:numPr>
              <w:jc w:val="center"/>
              <w:textAlignment w:val="center"/>
              <w:rPr>
                <w:rFonts w:asciiTheme="minorEastAsia" w:hAnsiTheme="minorEastAsia" w:eastAsiaTheme="minorEastAsia" w:cstheme="minorEastAsia"/>
                <w:b/>
                <w:bCs/>
                <w:color w:val="000000"/>
                <w:kern w:val="0"/>
                <w:szCs w:val="21"/>
                <w:lang w:bidi="ar"/>
              </w:rPr>
            </w:pPr>
          </w:p>
        </w:tc>
        <w:tc>
          <w:tcPr>
            <w:tcW w:w="523" w:type="pct"/>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处理器</w:t>
            </w:r>
          </w:p>
        </w:tc>
        <w:tc>
          <w:tcPr>
            <w:tcW w:w="3496" w:type="pct"/>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CPU不低于12核20线程</w:t>
            </w:r>
          </w:p>
        </w:tc>
        <w:tc>
          <w:tcPr>
            <w:tcW w:w="675"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306" w:type="pct"/>
            <w:shd w:val="clear" w:color="auto" w:fill="auto"/>
            <w:vAlign w:val="center"/>
          </w:tcPr>
          <w:p>
            <w:pPr>
              <w:widowControl w:val="0"/>
              <w:numPr>
                <w:ilvl w:val="0"/>
                <w:numId w:val="51"/>
              </w:numPr>
              <w:jc w:val="center"/>
              <w:textAlignment w:val="center"/>
              <w:rPr>
                <w:rFonts w:asciiTheme="minorEastAsia" w:hAnsiTheme="minorEastAsia" w:eastAsiaTheme="minorEastAsia" w:cstheme="minorEastAsia"/>
                <w:b/>
                <w:bCs/>
                <w:color w:val="000000"/>
                <w:kern w:val="0"/>
                <w:szCs w:val="21"/>
                <w:lang w:bidi="ar"/>
              </w:rPr>
            </w:pPr>
          </w:p>
        </w:tc>
        <w:tc>
          <w:tcPr>
            <w:tcW w:w="523" w:type="pct"/>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内存</w:t>
            </w:r>
          </w:p>
        </w:tc>
        <w:tc>
          <w:tcPr>
            <w:tcW w:w="3496" w:type="pct"/>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不低于32GB</w:t>
            </w:r>
          </w:p>
        </w:tc>
        <w:tc>
          <w:tcPr>
            <w:tcW w:w="675"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306" w:type="pct"/>
            <w:shd w:val="clear" w:color="auto" w:fill="auto"/>
            <w:vAlign w:val="center"/>
          </w:tcPr>
          <w:p>
            <w:pPr>
              <w:widowControl w:val="0"/>
              <w:numPr>
                <w:ilvl w:val="0"/>
                <w:numId w:val="51"/>
              </w:numPr>
              <w:jc w:val="center"/>
              <w:textAlignment w:val="center"/>
              <w:rPr>
                <w:rFonts w:asciiTheme="minorEastAsia" w:hAnsiTheme="minorEastAsia" w:eastAsiaTheme="minorEastAsia" w:cstheme="minorEastAsia"/>
                <w:b/>
                <w:bCs/>
                <w:color w:val="000000"/>
                <w:kern w:val="0"/>
                <w:szCs w:val="21"/>
                <w:lang w:bidi="ar"/>
              </w:rPr>
            </w:pPr>
          </w:p>
        </w:tc>
        <w:tc>
          <w:tcPr>
            <w:tcW w:w="523" w:type="pct"/>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存储</w:t>
            </w:r>
          </w:p>
        </w:tc>
        <w:tc>
          <w:tcPr>
            <w:tcW w:w="3496" w:type="pct"/>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不低于2TB SSD硬盘</w:t>
            </w:r>
          </w:p>
        </w:tc>
        <w:tc>
          <w:tcPr>
            <w:tcW w:w="675"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306" w:type="pct"/>
            <w:shd w:val="clear" w:color="auto" w:fill="auto"/>
            <w:vAlign w:val="center"/>
          </w:tcPr>
          <w:p>
            <w:pPr>
              <w:widowControl w:val="0"/>
              <w:numPr>
                <w:ilvl w:val="0"/>
                <w:numId w:val="51"/>
              </w:numPr>
              <w:jc w:val="center"/>
              <w:textAlignment w:val="center"/>
              <w:rPr>
                <w:rFonts w:asciiTheme="minorEastAsia" w:hAnsiTheme="minorEastAsia" w:eastAsiaTheme="minorEastAsia" w:cstheme="minorEastAsia"/>
                <w:b/>
                <w:bCs/>
                <w:color w:val="000000"/>
                <w:kern w:val="0"/>
                <w:szCs w:val="21"/>
                <w:lang w:bidi="ar"/>
              </w:rPr>
            </w:pPr>
          </w:p>
        </w:tc>
        <w:tc>
          <w:tcPr>
            <w:tcW w:w="523" w:type="pct"/>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显卡</w:t>
            </w:r>
          </w:p>
        </w:tc>
        <w:tc>
          <w:tcPr>
            <w:tcW w:w="3496" w:type="pct"/>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不低于4G独显</w:t>
            </w:r>
          </w:p>
        </w:tc>
        <w:tc>
          <w:tcPr>
            <w:tcW w:w="675"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06" w:type="pct"/>
            <w:shd w:val="clear" w:color="auto" w:fill="auto"/>
            <w:vAlign w:val="center"/>
          </w:tcPr>
          <w:p>
            <w:pPr>
              <w:widowControl w:val="0"/>
              <w:numPr>
                <w:ilvl w:val="0"/>
                <w:numId w:val="51"/>
              </w:numPr>
              <w:jc w:val="center"/>
              <w:textAlignment w:val="center"/>
              <w:rPr>
                <w:rFonts w:asciiTheme="minorEastAsia" w:hAnsiTheme="minorEastAsia" w:eastAsiaTheme="minorEastAsia" w:cstheme="minorEastAsia"/>
                <w:b/>
                <w:bCs/>
                <w:color w:val="000000"/>
                <w:kern w:val="0"/>
                <w:szCs w:val="21"/>
                <w:lang w:bidi="ar"/>
              </w:rPr>
            </w:pPr>
          </w:p>
        </w:tc>
        <w:tc>
          <w:tcPr>
            <w:tcW w:w="523" w:type="pct"/>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显示器</w:t>
            </w:r>
          </w:p>
        </w:tc>
        <w:tc>
          <w:tcPr>
            <w:tcW w:w="3496" w:type="pct"/>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不低于15.6英寸、分辨率不低于1920 × 1080（FHD）</w:t>
            </w:r>
          </w:p>
        </w:tc>
        <w:tc>
          <w:tcPr>
            <w:tcW w:w="675"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306" w:type="pct"/>
            <w:shd w:val="clear" w:color="auto" w:fill="auto"/>
            <w:vAlign w:val="center"/>
          </w:tcPr>
          <w:p>
            <w:pPr>
              <w:widowControl w:val="0"/>
              <w:numPr>
                <w:ilvl w:val="0"/>
                <w:numId w:val="51"/>
              </w:numPr>
              <w:jc w:val="center"/>
              <w:textAlignment w:val="center"/>
              <w:rPr>
                <w:rFonts w:asciiTheme="minorEastAsia" w:hAnsiTheme="minorEastAsia" w:eastAsiaTheme="minorEastAsia" w:cstheme="minorEastAsia"/>
                <w:b/>
                <w:bCs/>
                <w:color w:val="000000"/>
                <w:kern w:val="0"/>
                <w:szCs w:val="21"/>
                <w:lang w:bidi="ar"/>
              </w:rPr>
            </w:pPr>
          </w:p>
        </w:tc>
        <w:tc>
          <w:tcPr>
            <w:tcW w:w="523" w:type="pct"/>
            <w:vMerge w:val="restart"/>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并行能力</w:t>
            </w:r>
          </w:p>
        </w:tc>
        <w:tc>
          <w:tcPr>
            <w:tcW w:w="3496"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具备多台手机并行提取解析能力。同时提取的手机数量不少于8台且同品牌、同型号手机不会互相冲突</w:t>
            </w:r>
          </w:p>
        </w:tc>
        <w:tc>
          <w:tcPr>
            <w:tcW w:w="675"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306" w:type="pct"/>
            <w:shd w:val="clear" w:color="auto" w:fill="auto"/>
            <w:vAlign w:val="center"/>
          </w:tcPr>
          <w:p>
            <w:pPr>
              <w:widowControl w:val="0"/>
              <w:numPr>
                <w:ilvl w:val="0"/>
                <w:numId w:val="51"/>
              </w:numPr>
              <w:jc w:val="center"/>
              <w:textAlignment w:val="center"/>
              <w:rPr>
                <w:rFonts w:asciiTheme="minorEastAsia" w:hAnsiTheme="minorEastAsia" w:eastAsiaTheme="minorEastAsia" w:cstheme="minorEastAsia"/>
                <w:b/>
                <w:bCs/>
                <w:color w:val="000000"/>
                <w:kern w:val="0"/>
                <w:szCs w:val="21"/>
                <w:lang w:bidi="ar"/>
              </w:rPr>
            </w:pPr>
          </w:p>
        </w:tc>
        <w:tc>
          <w:tcPr>
            <w:tcW w:w="523" w:type="pct"/>
            <w:vMerge w:val="continue"/>
            <w:shd w:val="clear" w:color="auto" w:fill="auto"/>
            <w:vAlign w:val="center"/>
          </w:tcPr>
          <w:p>
            <w:pPr>
              <w:rPr>
                <w:rFonts w:asciiTheme="minorEastAsia" w:hAnsiTheme="minorEastAsia" w:eastAsiaTheme="minorEastAsia" w:cstheme="minorEastAsia"/>
                <w:color w:val="000000"/>
                <w:szCs w:val="21"/>
              </w:rPr>
            </w:pPr>
          </w:p>
        </w:tc>
        <w:tc>
          <w:tcPr>
            <w:tcW w:w="3496"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具备并行解析能力，并行数量无上限。提取与解析任务分离，解析时能够脱离对目标手机的依赖</w:t>
            </w:r>
          </w:p>
        </w:tc>
        <w:tc>
          <w:tcPr>
            <w:tcW w:w="675"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306" w:type="pct"/>
            <w:shd w:val="clear" w:color="auto" w:fill="auto"/>
            <w:vAlign w:val="center"/>
          </w:tcPr>
          <w:p>
            <w:pPr>
              <w:widowControl w:val="0"/>
              <w:numPr>
                <w:ilvl w:val="0"/>
                <w:numId w:val="51"/>
              </w:numPr>
              <w:jc w:val="center"/>
              <w:textAlignment w:val="center"/>
              <w:rPr>
                <w:rFonts w:asciiTheme="minorEastAsia" w:hAnsiTheme="minorEastAsia" w:eastAsiaTheme="minorEastAsia" w:cstheme="minorEastAsia"/>
                <w:b/>
                <w:bCs/>
                <w:color w:val="000000"/>
                <w:kern w:val="0"/>
                <w:szCs w:val="21"/>
                <w:lang w:bidi="ar"/>
              </w:rPr>
            </w:pPr>
          </w:p>
        </w:tc>
        <w:tc>
          <w:tcPr>
            <w:tcW w:w="523" w:type="pct"/>
            <w:vMerge w:val="restart"/>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取证能力</w:t>
            </w:r>
          </w:p>
        </w:tc>
        <w:tc>
          <w:tcPr>
            <w:tcW w:w="3496"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具备苹果iOS系统手机设备数据提取能力，提取方式包括但不限于iTunes备份、提权提取。支持iPhone 4及更新机型，最高支持型号至少为iPhone 15 Pro Max。系统需支持iOS 7.0及以上操作系统、最高支系统至少为iOS 18 Beta系统</w:t>
            </w:r>
          </w:p>
        </w:tc>
        <w:tc>
          <w:tcPr>
            <w:tcW w:w="675"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306" w:type="pct"/>
            <w:shd w:val="clear" w:color="auto" w:fill="auto"/>
            <w:vAlign w:val="center"/>
          </w:tcPr>
          <w:p>
            <w:pPr>
              <w:widowControl w:val="0"/>
              <w:numPr>
                <w:ilvl w:val="0"/>
                <w:numId w:val="51"/>
              </w:numPr>
              <w:jc w:val="center"/>
              <w:textAlignment w:val="center"/>
              <w:rPr>
                <w:rFonts w:asciiTheme="minorEastAsia" w:hAnsiTheme="minorEastAsia" w:eastAsiaTheme="minorEastAsia" w:cstheme="minorEastAsia"/>
                <w:b/>
                <w:bCs/>
                <w:color w:val="000000"/>
                <w:kern w:val="0"/>
                <w:szCs w:val="21"/>
                <w:lang w:bidi="ar"/>
              </w:rPr>
            </w:pPr>
          </w:p>
        </w:tc>
        <w:tc>
          <w:tcPr>
            <w:tcW w:w="523" w:type="pct"/>
            <w:vMerge w:val="continue"/>
            <w:shd w:val="clear" w:color="auto" w:fill="auto"/>
            <w:vAlign w:val="center"/>
          </w:tcPr>
          <w:p>
            <w:pPr>
              <w:rPr>
                <w:rFonts w:asciiTheme="minorEastAsia" w:hAnsiTheme="minorEastAsia" w:eastAsiaTheme="minorEastAsia" w:cstheme="minorEastAsia"/>
                <w:color w:val="000000"/>
                <w:szCs w:val="21"/>
              </w:rPr>
            </w:pPr>
          </w:p>
        </w:tc>
        <w:tc>
          <w:tcPr>
            <w:tcW w:w="3496"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具备Android系统手机设备数据提取能力，提取方式包括但不限于手机厂商备份、高级备份、WIFI高级备份、临时提权提取等。支持机型至少包括华为、OPPO、VIVO、小米、三星、红米、荣耀等市场常见品牌。支持Android 4.0及以上系统，最高支持系统至少为Android 14。支持提取Android设备中的APP安装文件。提取过程能够基于自动点击做到自动化。支持提取设备中的APP安装文件</w:t>
            </w:r>
          </w:p>
        </w:tc>
        <w:tc>
          <w:tcPr>
            <w:tcW w:w="675"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306" w:type="pct"/>
            <w:shd w:val="clear" w:color="auto" w:fill="auto"/>
            <w:vAlign w:val="center"/>
          </w:tcPr>
          <w:p>
            <w:pPr>
              <w:widowControl w:val="0"/>
              <w:numPr>
                <w:ilvl w:val="0"/>
                <w:numId w:val="51"/>
              </w:numPr>
              <w:jc w:val="center"/>
              <w:textAlignment w:val="center"/>
              <w:rPr>
                <w:rFonts w:asciiTheme="minorEastAsia" w:hAnsiTheme="minorEastAsia" w:eastAsiaTheme="minorEastAsia" w:cstheme="minorEastAsia"/>
                <w:b/>
                <w:bCs/>
                <w:color w:val="000000"/>
                <w:kern w:val="0"/>
                <w:szCs w:val="21"/>
                <w:lang w:bidi="ar"/>
              </w:rPr>
            </w:pPr>
          </w:p>
        </w:tc>
        <w:tc>
          <w:tcPr>
            <w:tcW w:w="523" w:type="pct"/>
            <w:vMerge w:val="continue"/>
            <w:shd w:val="clear" w:color="auto" w:fill="auto"/>
            <w:vAlign w:val="center"/>
          </w:tcPr>
          <w:p>
            <w:pPr>
              <w:rPr>
                <w:rFonts w:asciiTheme="minorEastAsia" w:hAnsiTheme="minorEastAsia" w:eastAsiaTheme="minorEastAsia" w:cstheme="minorEastAsia"/>
                <w:color w:val="000000"/>
                <w:szCs w:val="21"/>
              </w:rPr>
            </w:pPr>
          </w:p>
        </w:tc>
        <w:tc>
          <w:tcPr>
            <w:tcW w:w="3496"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具备鸿蒙系统手机设备数据提取能力，支持HarmonyOS 2.0及以上系统，最高支持系统至少为HarmonyOS 4.0</w:t>
            </w:r>
          </w:p>
        </w:tc>
        <w:tc>
          <w:tcPr>
            <w:tcW w:w="675"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306" w:type="pct"/>
            <w:shd w:val="clear" w:color="auto" w:fill="auto"/>
            <w:vAlign w:val="center"/>
          </w:tcPr>
          <w:p>
            <w:pPr>
              <w:widowControl w:val="0"/>
              <w:numPr>
                <w:ilvl w:val="0"/>
                <w:numId w:val="51"/>
              </w:numPr>
              <w:jc w:val="center"/>
              <w:textAlignment w:val="center"/>
              <w:rPr>
                <w:rFonts w:asciiTheme="minorEastAsia" w:hAnsiTheme="minorEastAsia" w:eastAsiaTheme="minorEastAsia" w:cstheme="minorEastAsia"/>
                <w:b/>
                <w:bCs/>
                <w:color w:val="000000"/>
                <w:kern w:val="0"/>
                <w:szCs w:val="21"/>
                <w:lang w:bidi="ar"/>
              </w:rPr>
            </w:pPr>
          </w:p>
        </w:tc>
        <w:tc>
          <w:tcPr>
            <w:tcW w:w="523" w:type="pct"/>
            <w:vMerge w:val="continue"/>
            <w:shd w:val="clear" w:color="auto" w:fill="auto"/>
            <w:vAlign w:val="center"/>
          </w:tcPr>
          <w:p>
            <w:pPr>
              <w:rPr>
                <w:rFonts w:asciiTheme="minorEastAsia" w:hAnsiTheme="minorEastAsia" w:eastAsiaTheme="minorEastAsia" w:cstheme="minorEastAsia"/>
                <w:color w:val="000000"/>
                <w:szCs w:val="21"/>
              </w:rPr>
            </w:pPr>
          </w:p>
        </w:tc>
        <w:tc>
          <w:tcPr>
            <w:tcW w:w="3496"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支持提取卫星通话、卫星短信数据，支持包括但不限于华为Mate60系列、X5等具备卫星通话功能的手机设备</w:t>
            </w:r>
          </w:p>
        </w:tc>
        <w:tc>
          <w:tcPr>
            <w:tcW w:w="675"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306" w:type="pct"/>
            <w:shd w:val="clear" w:color="auto" w:fill="auto"/>
            <w:vAlign w:val="center"/>
          </w:tcPr>
          <w:p>
            <w:pPr>
              <w:widowControl w:val="0"/>
              <w:numPr>
                <w:ilvl w:val="0"/>
                <w:numId w:val="51"/>
              </w:numPr>
              <w:jc w:val="center"/>
              <w:textAlignment w:val="center"/>
              <w:rPr>
                <w:rFonts w:asciiTheme="minorEastAsia" w:hAnsiTheme="minorEastAsia" w:eastAsiaTheme="minorEastAsia" w:cstheme="minorEastAsia"/>
                <w:b/>
                <w:bCs/>
                <w:color w:val="000000"/>
                <w:kern w:val="0"/>
                <w:szCs w:val="21"/>
                <w:lang w:bidi="ar"/>
              </w:rPr>
            </w:pPr>
          </w:p>
        </w:tc>
        <w:tc>
          <w:tcPr>
            <w:tcW w:w="523" w:type="pct"/>
            <w:vMerge w:val="continue"/>
            <w:shd w:val="clear" w:color="auto" w:fill="auto"/>
            <w:vAlign w:val="center"/>
          </w:tcPr>
          <w:p>
            <w:pPr>
              <w:rPr>
                <w:rFonts w:asciiTheme="minorEastAsia" w:hAnsiTheme="minorEastAsia" w:eastAsiaTheme="minorEastAsia" w:cstheme="minorEastAsia"/>
                <w:color w:val="000000"/>
                <w:szCs w:val="21"/>
              </w:rPr>
            </w:pPr>
          </w:p>
        </w:tc>
        <w:tc>
          <w:tcPr>
            <w:tcW w:w="3496"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具备独立工具，能够支持对Android设备内部存储空间进行独立提取</w:t>
            </w:r>
          </w:p>
        </w:tc>
        <w:tc>
          <w:tcPr>
            <w:tcW w:w="675"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306" w:type="pct"/>
            <w:shd w:val="clear" w:color="auto" w:fill="auto"/>
            <w:vAlign w:val="center"/>
          </w:tcPr>
          <w:p>
            <w:pPr>
              <w:widowControl w:val="0"/>
              <w:numPr>
                <w:ilvl w:val="0"/>
                <w:numId w:val="51"/>
              </w:numPr>
              <w:jc w:val="center"/>
              <w:textAlignment w:val="center"/>
              <w:rPr>
                <w:rFonts w:asciiTheme="minorEastAsia" w:hAnsiTheme="minorEastAsia" w:eastAsiaTheme="minorEastAsia" w:cstheme="minorEastAsia"/>
                <w:b/>
                <w:bCs/>
                <w:color w:val="000000"/>
                <w:kern w:val="0"/>
                <w:szCs w:val="21"/>
                <w:lang w:bidi="ar"/>
              </w:rPr>
            </w:pPr>
          </w:p>
        </w:tc>
        <w:tc>
          <w:tcPr>
            <w:tcW w:w="523" w:type="pct"/>
            <w:vMerge w:val="continue"/>
            <w:shd w:val="clear" w:color="auto" w:fill="auto"/>
            <w:vAlign w:val="center"/>
          </w:tcPr>
          <w:p>
            <w:pPr>
              <w:rPr>
                <w:rFonts w:asciiTheme="minorEastAsia" w:hAnsiTheme="minorEastAsia" w:eastAsiaTheme="minorEastAsia" w:cstheme="minorEastAsia"/>
                <w:color w:val="000000"/>
                <w:szCs w:val="21"/>
              </w:rPr>
            </w:pPr>
          </w:p>
        </w:tc>
        <w:tc>
          <w:tcPr>
            <w:tcW w:w="3496"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具备独立工具，能够支持对苹果手机日志文件进行独立提取</w:t>
            </w:r>
          </w:p>
        </w:tc>
        <w:tc>
          <w:tcPr>
            <w:tcW w:w="675"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306" w:type="pct"/>
            <w:shd w:val="clear" w:color="auto" w:fill="auto"/>
            <w:vAlign w:val="center"/>
          </w:tcPr>
          <w:p>
            <w:pPr>
              <w:widowControl w:val="0"/>
              <w:numPr>
                <w:ilvl w:val="0"/>
                <w:numId w:val="51"/>
              </w:numPr>
              <w:jc w:val="center"/>
              <w:textAlignment w:val="center"/>
              <w:rPr>
                <w:rFonts w:asciiTheme="minorEastAsia" w:hAnsiTheme="minorEastAsia" w:eastAsiaTheme="minorEastAsia" w:cstheme="minorEastAsia"/>
                <w:b/>
                <w:bCs/>
                <w:color w:val="000000"/>
                <w:kern w:val="0"/>
                <w:szCs w:val="21"/>
                <w:lang w:bidi="ar"/>
              </w:rPr>
            </w:pPr>
          </w:p>
        </w:tc>
        <w:tc>
          <w:tcPr>
            <w:tcW w:w="523" w:type="pct"/>
            <w:vMerge w:val="restart"/>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提权能力</w:t>
            </w:r>
          </w:p>
        </w:tc>
        <w:tc>
          <w:tcPr>
            <w:tcW w:w="3496"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具备针对苹果手机的iTunes备份密码提取能力,支持iPhone 5s及以上型号的手机，最高至少能够支持到iPhone 12 pro max。支持iOS 9.0及以上操作系统，最高系统至少支持到iOS 14.8.1</w:t>
            </w:r>
          </w:p>
        </w:tc>
        <w:tc>
          <w:tcPr>
            <w:tcW w:w="675"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306" w:type="pct"/>
            <w:shd w:val="clear" w:color="auto" w:fill="auto"/>
            <w:vAlign w:val="center"/>
          </w:tcPr>
          <w:p>
            <w:pPr>
              <w:widowControl w:val="0"/>
              <w:numPr>
                <w:ilvl w:val="0"/>
                <w:numId w:val="51"/>
              </w:numPr>
              <w:jc w:val="center"/>
              <w:textAlignment w:val="center"/>
              <w:rPr>
                <w:rFonts w:asciiTheme="minorEastAsia" w:hAnsiTheme="minorEastAsia" w:eastAsiaTheme="minorEastAsia" w:cstheme="minorEastAsia"/>
                <w:b/>
                <w:bCs/>
                <w:color w:val="000000"/>
                <w:kern w:val="0"/>
                <w:szCs w:val="21"/>
                <w:lang w:bidi="ar"/>
              </w:rPr>
            </w:pPr>
          </w:p>
        </w:tc>
        <w:tc>
          <w:tcPr>
            <w:tcW w:w="523" w:type="pct"/>
            <w:vMerge w:val="continue"/>
            <w:shd w:val="clear" w:color="auto" w:fill="auto"/>
            <w:vAlign w:val="center"/>
          </w:tcPr>
          <w:p>
            <w:pPr>
              <w:textAlignment w:val="center"/>
              <w:rPr>
                <w:rFonts w:asciiTheme="minorEastAsia" w:hAnsiTheme="minorEastAsia" w:eastAsiaTheme="minorEastAsia" w:cstheme="minorEastAsia"/>
                <w:color w:val="000000"/>
                <w:kern w:val="0"/>
                <w:szCs w:val="21"/>
                <w:lang w:bidi="ar"/>
              </w:rPr>
            </w:pPr>
          </w:p>
        </w:tc>
        <w:tc>
          <w:tcPr>
            <w:tcW w:w="3496"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具备Android系统提权提取能力，通过临时提权(免拆机刷机)的方式提取镜像(完整的文件系统)或物理镜像。支持Android 6及以上系统，最高支持系统至少为Android 14</w:t>
            </w:r>
          </w:p>
        </w:tc>
        <w:tc>
          <w:tcPr>
            <w:tcW w:w="675"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306" w:type="pct"/>
            <w:shd w:val="clear" w:color="auto" w:fill="auto"/>
            <w:vAlign w:val="center"/>
          </w:tcPr>
          <w:p>
            <w:pPr>
              <w:widowControl w:val="0"/>
              <w:numPr>
                <w:ilvl w:val="0"/>
                <w:numId w:val="51"/>
              </w:numPr>
              <w:jc w:val="center"/>
              <w:textAlignment w:val="center"/>
              <w:rPr>
                <w:rFonts w:asciiTheme="minorEastAsia" w:hAnsiTheme="minorEastAsia" w:eastAsiaTheme="minorEastAsia" w:cstheme="minorEastAsia"/>
                <w:b/>
                <w:bCs/>
                <w:color w:val="000000"/>
                <w:kern w:val="0"/>
                <w:szCs w:val="21"/>
                <w:lang w:bidi="ar"/>
              </w:rPr>
            </w:pPr>
          </w:p>
        </w:tc>
        <w:tc>
          <w:tcPr>
            <w:tcW w:w="523" w:type="pct"/>
            <w:vMerge w:val="continue"/>
            <w:shd w:val="clear" w:color="auto" w:fill="auto"/>
            <w:vAlign w:val="center"/>
          </w:tcPr>
          <w:p>
            <w:pPr>
              <w:textAlignment w:val="center"/>
              <w:rPr>
                <w:rFonts w:asciiTheme="minorEastAsia" w:hAnsiTheme="minorEastAsia" w:eastAsiaTheme="minorEastAsia" w:cstheme="minorEastAsia"/>
                <w:color w:val="000000"/>
                <w:kern w:val="0"/>
                <w:szCs w:val="21"/>
                <w:lang w:bidi="ar"/>
              </w:rPr>
            </w:pPr>
          </w:p>
        </w:tc>
        <w:tc>
          <w:tcPr>
            <w:tcW w:w="3496"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具备华为鸿蒙系统手机提权提取能力，支持鸿蒙2.0及鸿蒙3.0</w:t>
            </w:r>
          </w:p>
        </w:tc>
        <w:tc>
          <w:tcPr>
            <w:tcW w:w="675"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306" w:type="pct"/>
            <w:shd w:val="clear" w:color="auto" w:fill="auto"/>
            <w:vAlign w:val="center"/>
          </w:tcPr>
          <w:p>
            <w:pPr>
              <w:widowControl w:val="0"/>
              <w:numPr>
                <w:ilvl w:val="0"/>
                <w:numId w:val="51"/>
              </w:numPr>
              <w:jc w:val="center"/>
              <w:textAlignment w:val="center"/>
              <w:rPr>
                <w:rFonts w:asciiTheme="minorEastAsia" w:hAnsiTheme="minorEastAsia" w:eastAsiaTheme="minorEastAsia" w:cstheme="minorEastAsia"/>
                <w:b/>
                <w:bCs/>
                <w:color w:val="000000"/>
                <w:kern w:val="0"/>
                <w:szCs w:val="21"/>
                <w:lang w:bidi="ar"/>
              </w:rPr>
            </w:pPr>
          </w:p>
        </w:tc>
        <w:tc>
          <w:tcPr>
            <w:tcW w:w="523" w:type="pct"/>
            <w:vMerge w:val="continue"/>
            <w:shd w:val="clear" w:color="auto" w:fill="auto"/>
            <w:vAlign w:val="center"/>
          </w:tcPr>
          <w:p>
            <w:pPr>
              <w:rPr>
                <w:rFonts w:asciiTheme="minorEastAsia" w:hAnsiTheme="minorEastAsia" w:eastAsiaTheme="minorEastAsia" w:cstheme="minorEastAsia"/>
                <w:color w:val="000000"/>
                <w:szCs w:val="21"/>
              </w:rPr>
            </w:pPr>
          </w:p>
        </w:tc>
        <w:tc>
          <w:tcPr>
            <w:tcW w:w="3496"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具备华为Android系统手机提权提取能力，支持Android 8及以上操作系统，最高支持操作系统至少为Android 14</w:t>
            </w:r>
          </w:p>
        </w:tc>
        <w:tc>
          <w:tcPr>
            <w:tcW w:w="675"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306" w:type="pct"/>
            <w:shd w:val="clear" w:color="auto" w:fill="auto"/>
            <w:vAlign w:val="center"/>
          </w:tcPr>
          <w:p>
            <w:pPr>
              <w:widowControl w:val="0"/>
              <w:numPr>
                <w:ilvl w:val="0"/>
                <w:numId w:val="51"/>
              </w:numPr>
              <w:jc w:val="center"/>
              <w:textAlignment w:val="center"/>
              <w:rPr>
                <w:rFonts w:asciiTheme="minorEastAsia" w:hAnsiTheme="minorEastAsia" w:eastAsiaTheme="minorEastAsia" w:cstheme="minorEastAsia"/>
                <w:b/>
                <w:bCs/>
                <w:color w:val="000000"/>
                <w:kern w:val="0"/>
                <w:szCs w:val="21"/>
                <w:lang w:bidi="ar"/>
              </w:rPr>
            </w:pPr>
          </w:p>
        </w:tc>
        <w:tc>
          <w:tcPr>
            <w:tcW w:w="523" w:type="pct"/>
            <w:vMerge w:val="continue"/>
            <w:shd w:val="clear" w:color="auto" w:fill="auto"/>
            <w:vAlign w:val="center"/>
          </w:tcPr>
          <w:p>
            <w:pPr>
              <w:rPr>
                <w:rFonts w:asciiTheme="minorEastAsia" w:hAnsiTheme="minorEastAsia" w:eastAsiaTheme="minorEastAsia" w:cstheme="minorEastAsia"/>
                <w:color w:val="000000"/>
                <w:szCs w:val="21"/>
              </w:rPr>
            </w:pPr>
          </w:p>
        </w:tc>
        <w:tc>
          <w:tcPr>
            <w:tcW w:w="3496"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具备三星手机的提权提取能力，对设备进行全盘数据提取。支持Android 8及以上操作系统，最高支持操作系统不低于Android 13</w:t>
            </w:r>
          </w:p>
        </w:tc>
        <w:tc>
          <w:tcPr>
            <w:tcW w:w="675"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306" w:type="pct"/>
            <w:shd w:val="clear" w:color="auto" w:fill="auto"/>
            <w:vAlign w:val="center"/>
          </w:tcPr>
          <w:p>
            <w:pPr>
              <w:widowControl w:val="0"/>
              <w:numPr>
                <w:ilvl w:val="0"/>
                <w:numId w:val="51"/>
              </w:numPr>
              <w:jc w:val="center"/>
              <w:textAlignment w:val="center"/>
              <w:rPr>
                <w:rFonts w:asciiTheme="minorEastAsia" w:hAnsiTheme="minorEastAsia" w:eastAsiaTheme="minorEastAsia" w:cstheme="minorEastAsia"/>
                <w:b/>
                <w:bCs/>
                <w:color w:val="000000"/>
                <w:kern w:val="0"/>
                <w:szCs w:val="21"/>
                <w:lang w:bidi="ar"/>
              </w:rPr>
            </w:pPr>
          </w:p>
        </w:tc>
        <w:tc>
          <w:tcPr>
            <w:tcW w:w="523" w:type="pct"/>
            <w:vMerge w:val="continue"/>
            <w:shd w:val="clear" w:color="auto" w:fill="auto"/>
            <w:vAlign w:val="center"/>
          </w:tcPr>
          <w:p>
            <w:pPr>
              <w:rPr>
                <w:rFonts w:asciiTheme="minorEastAsia" w:hAnsiTheme="minorEastAsia" w:eastAsiaTheme="minorEastAsia" w:cstheme="minorEastAsia"/>
                <w:color w:val="000000"/>
                <w:szCs w:val="21"/>
              </w:rPr>
            </w:pPr>
          </w:p>
        </w:tc>
        <w:tc>
          <w:tcPr>
            <w:tcW w:w="3496"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具备VIVO手机的提权提取能力， 最高支持操作系统版本不低于Android 14</w:t>
            </w:r>
          </w:p>
        </w:tc>
        <w:tc>
          <w:tcPr>
            <w:tcW w:w="675"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306" w:type="pct"/>
            <w:shd w:val="clear" w:color="auto" w:fill="auto"/>
            <w:vAlign w:val="center"/>
          </w:tcPr>
          <w:p>
            <w:pPr>
              <w:widowControl w:val="0"/>
              <w:numPr>
                <w:ilvl w:val="0"/>
                <w:numId w:val="51"/>
              </w:numPr>
              <w:jc w:val="center"/>
              <w:textAlignment w:val="center"/>
              <w:rPr>
                <w:rFonts w:asciiTheme="minorEastAsia" w:hAnsiTheme="minorEastAsia" w:eastAsiaTheme="minorEastAsia" w:cstheme="minorEastAsia"/>
                <w:b/>
                <w:bCs/>
                <w:color w:val="000000"/>
                <w:kern w:val="0"/>
                <w:szCs w:val="21"/>
                <w:lang w:bidi="ar"/>
              </w:rPr>
            </w:pPr>
          </w:p>
        </w:tc>
        <w:tc>
          <w:tcPr>
            <w:tcW w:w="523" w:type="pct"/>
            <w:vMerge w:val="continue"/>
            <w:shd w:val="clear" w:color="auto" w:fill="auto"/>
            <w:vAlign w:val="center"/>
          </w:tcPr>
          <w:p>
            <w:pPr>
              <w:rPr>
                <w:rFonts w:asciiTheme="minorEastAsia" w:hAnsiTheme="minorEastAsia" w:eastAsiaTheme="minorEastAsia" w:cstheme="minorEastAsia"/>
                <w:color w:val="000000"/>
                <w:szCs w:val="21"/>
              </w:rPr>
            </w:pPr>
          </w:p>
        </w:tc>
        <w:tc>
          <w:tcPr>
            <w:tcW w:w="3496"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具备OPPO手机的提权提取能力， 最高支持操作系统版本不低于Android 14</w:t>
            </w:r>
          </w:p>
        </w:tc>
        <w:tc>
          <w:tcPr>
            <w:tcW w:w="675"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306" w:type="pct"/>
            <w:shd w:val="clear" w:color="auto" w:fill="auto"/>
            <w:vAlign w:val="center"/>
          </w:tcPr>
          <w:p>
            <w:pPr>
              <w:widowControl w:val="0"/>
              <w:numPr>
                <w:ilvl w:val="0"/>
                <w:numId w:val="51"/>
              </w:numPr>
              <w:jc w:val="center"/>
              <w:textAlignment w:val="center"/>
              <w:rPr>
                <w:rFonts w:asciiTheme="minorEastAsia" w:hAnsiTheme="minorEastAsia" w:eastAsiaTheme="minorEastAsia" w:cstheme="minorEastAsia"/>
                <w:b/>
                <w:bCs/>
                <w:color w:val="000000"/>
                <w:kern w:val="0"/>
                <w:szCs w:val="21"/>
                <w:lang w:bidi="ar"/>
              </w:rPr>
            </w:pPr>
          </w:p>
        </w:tc>
        <w:tc>
          <w:tcPr>
            <w:tcW w:w="523" w:type="pct"/>
            <w:vMerge w:val="continue"/>
            <w:shd w:val="clear" w:color="auto" w:fill="auto"/>
            <w:vAlign w:val="center"/>
          </w:tcPr>
          <w:p>
            <w:pPr>
              <w:rPr>
                <w:rFonts w:asciiTheme="minorEastAsia" w:hAnsiTheme="minorEastAsia" w:eastAsiaTheme="minorEastAsia" w:cstheme="minorEastAsia"/>
                <w:color w:val="000000"/>
                <w:szCs w:val="21"/>
              </w:rPr>
            </w:pPr>
          </w:p>
        </w:tc>
        <w:tc>
          <w:tcPr>
            <w:tcW w:w="3496"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具备小米手机的提权提取能力， 最高支持操作系统版本不低于Android 14</w:t>
            </w:r>
          </w:p>
        </w:tc>
        <w:tc>
          <w:tcPr>
            <w:tcW w:w="675"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306" w:type="pct"/>
            <w:shd w:val="clear" w:color="auto" w:fill="auto"/>
            <w:vAlign w:val="center"/>
          </w:tcPr>
          <w:p>
            <w:pPr>
              <w:widowControl w:val="0"/>
              <w:numPr>
                <w:ilvl w:val="0"/>
                <w:numId w:val="51"/>
              </w:numPr>
              <w:jc w:val="center"/>
              <w:textAlignment w:val="center"/>
              <w:rPr>
                <w:rFonts w:asciiTheme="minorEastAsia" w:hAnsiTheme="minorEastAsia" w:eastAsiaTheme="minorEastAsia" w:cstheme="minorEastAsia"/>
                <w:b/>
                <w:bCs/>
                <w:color w:val="000000"/>
                <w:kern w:val="0"/>
                <w:szCs w:val="21"/>
                <w:lang w:bidi="ar"/>
              </w:rPr>
            </w:pPr>
          </w:p>
        </w:tc>
        <w:tc>
          <w:tcPr>
            <w:tcW w:w="523" w:type="pct"/>
            <w:vMerge w:val="restart"/>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破解能力</w:t>
            </w:r>
          </w:p>
          <w:p>
            <w:pPr>
              <w:rPr>
                <w:rFonts w:asciiTheme="minorEastAsia" w:hAnsiTheme="minorEastAsia" w:eastAsiaTheme="minorEastAsia" w:cstheme="minorEastAsia"/>
                <w:color w:val="000000"/>
                <w:szCs w:val="21"/>
              </w:rPr>
            </w:pPr>
          </w:p>
        </w:tc>
        <w:tc>
          <w:tcPr>
            <w:tcW w:w="3496"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具备Android设备屏幕破解能力。手机品牌支持包括但不限于华为、OPPO、vivo、小米等</w:t>
            </w:r>
          </w:p>
        </w:tc>
        <w:tc>
          <w:tcPr>
            <w:tcW w:w="675"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306" w:type="pct"/>
            <w:shd w:val="clear" w:color="auto" w:fill="auto"/>
            <w:vAlign w:val="center"/>
          </w:tcPr>
          <w:p>
            <w:pPr>
              <w:widowControl w:val="0"/>
              <w:numPr>
                <w:ilvl w:val="0"/>
                <w:numId w:val="51"/>
              </w:numPr>
              <w:jc w:val="center"/>
              <w:textAlignment w:val="center"/>
              <w:rPr>
                <w:rFonts w:asciiTheme="minorEastAsia" w:hAnsiTheme="minorEastAsia" w:eastAsiaTheme="minorEastAsia" w:cstheme="minorEastAsia"/>
                <w:b/>
                <w:bCs/>
                <w:color w:val="000000"/>
                <w:kern w:val="0"/>
                <w:szCs w:val="21"/>
                <w:lang w:bidi="ar"/>
              </w:rPr>
            </w:pPr>
          </w:p>
        </w:tc>
        <w:tc>
          <w:tcPr>
            <w:tcW w:w="523" w:type="pct"/>
            <w:vMerge w:val="continue"/>
            <w:shd w:val="clear" w:color="auto" w:fill="auto"/>
            <w:vAlign w:val="center"/>
          </w:tcPr>
          <w:p>
            <w:pPr>
              <w:rPr>
                <w:rFonts w:asciiTheme="minorEastAsia" w:hAnsiTheme="minorEastAsia" w:eastAsiaTheme="minorEastAsia" w:cstheme="minorEastAsia"/>
                <w:color w:val="000000"/>
                <w:szCs w:val="21"/>
              </w:rPr>
            </w:pPr>
          </w:p>
        </w:tc>
        <w:tc>
          <w:tcPr>
            <w:tcW w:w="3496"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具备华为隐私空间密码破解能力</w:t>
            </w:r>
          </w:p>
        </w:tc>
        <w:tc>
          <w:tcPr>
            <w:tcW w:w="675"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306" w:type="pct"/>
            <w:shd w:val="clear" w:color="auto" w:fill="auto"/>
            <w:vAlign w:val="center"/>
          </w:tcPr>
          <w:p>
            <w:pPr>
              <w:widowControl w:val="0"/>
              <w:numPr>
                <w:ilvl w:val="0"/>
                <w:numId w:val="51"/>
              </w:numPr>
              <w:jc w:val="center"/>
              <w:textAlignment w:val="center"/>
              <w:rPr>
                <w:rFonts w:asciiTheme="minorEastAsia" w:hAnsiTheme="minorEastAsia" w:eastAsiaTheme="minorEastAsia" w:cstheme="minorEastAsia"/>
                <w:b/>
                <w:bCs/>
                <w:color w:val="000000"/>
                <w:kern w:val="0"/>
                <w:szCs w:val="21"/>
                <w:lang w:bidi="ar"/>
              </w:rPr>
            </w:pPr>
          </w:p>
        </w:tc>
        <w:tc>
          <w:tcPr>
            <w:tcW w:w="523" w:type="pct"/>
            <w:vMerge w:val="continue"/>
            <w:shd w:val="clear" w:color="auto" w:fill="auto"/>
            <w:vAlign w:val="center"/>
          </w:tcPr>
          <w:p>
            <w:pPr>
              <w:rPr>
                <w:rFonts w:asciiTheme="minorEastAsia" w:hAnsiTheme="minorEastAsia" w:eastAsiaTheme="minorEastAsia" w:cstheme="minorEastAsia"/>
                <w:color w:val="000000"/>
                <w:szCs w:val="21"/>
              </w:rPr>
            </w:pPr>
          </w:p>
        </w:tc>
        <w:tc>
          <w:tcPr>
            <w:tcW w:w="3496"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具备Android设备应用锁/隐私密码绕过或禁用能力，手机品牌支持包括但不限于华为、OPPO、vivo、小米等</w:t>
            </w:r>
          </w:p>
        </w:tc>
        <w:tc>
          <w:tcPr>
            <w:tcW w:w="675"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306" w:type="pct"/>
            <w:shd w:val="clear" w:color="auto" w:fill="auto"/>
            <w:vAlign w:val="center"/>
          </w:tcPr>
          <w:p>
            <w:pPr>
              <w:widowControl w:val="0"/>
              <w:numPr>
                <w:ilvl w:val="0"/>
                <w:numId w:val="51"/>
              </w:numPr>
              <w:jc w:val="center"/>
              <w:textAlignment w:val="center"/>
              <w:rPr>
                <w:rFonts w:asciiTheme="minorEastAsia" w:hAnsiTheme="minorEastAsia" w:eastAsiaTheme="minorEastAsia" w:cstheme="minorEastAsia"/>
                <w:b/>
                <w:bCs/>
                <w:color w:val="000000"/>
                <w:kern w:val="0"/>
                <w:szCs w:val="21"/>
                <w:lang w:bidi="ar"/>
              </w:rPr>
            </w:pPr>
          </w:p>
        </w:tc>
        <w:tc>
          <w:tcPr>
            <w:tcW w:w="523" w:type="pct"/>
            <w:vMerge w:val="continue"/>
            <w:shd w:val="clear" w:color="auto" w:fill="auto"/>
            <w:vAlign w:val="center"/>
          </w:tcPr>
          <w:p>
            <w:pPr>
              <w:rPr>
                <w:rFonts w:asciiTheme="minorEastAsia" w:hAnsiTheme="minorEastAsia" w:eastAsiaTheme="minorEastAsia" w:cstheme="minorEastAsia"/>
                <w:color w:val="000000"/>
                <w:szCs w:val="21"/>
              </w:rPr>
            </w:pPr>
          </w:p>
        </w:tc>
        <w:tc>
          <w:tcPr>
            <w:tcW w:w="3496"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具备AirDrop相关日志中手机号哈希值破解还原的能力</w:t>
            </w:r>
          </w:p>
        </w:tc>
        <w:tc>
          <w:tcPr>
            <w:tcW w:w="675"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06" w:type="pct"/>
            <w:shd w:val="clear" w:color="auto" w:fill="auto"/>
            <w:vAlign w:val="center"/>
          </w:tcPr>
          <w:p>
            <w:pPr>
              <w:widowControl w:val="0"/>
              <w:numPr>
                <w:ilvl w:val="0"/>
                <w:numId w:val="51"/>
              </w:numPr>
              <w:jc w:val="center"/>
              <w:textAlignment w:val="center"/>
              <w:rPr>
                <w:rFonts w:asciiTheme="minorEastAsia" w:hAnsiTheme="minorEastAsia" w:eastAsiaTheme="minorEastAsia" w:cstheme="minorEastAsia"/>
                <w:b/>
                <w:bCs/>
                <w:color w:val="000000"/>
                <w:kern w:val="0"/>
                <w:szCs w:val="21"/>
                <w:lang w:bidi="ar"/>
              </w:rPr>
            </w:pPr>
          </w:p>
        </w:tc>
        <w:tc>
          <w:tcPr>
            <w:tcW w:w="523" w:type="pct"/>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解析引擎兼容</w:t>
            </w:r>
          </w:p>
        </w:tc>
        <w:tc>
          <w:tcPr>
            <w:tcW w:w="3496"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导入各类常见手机镜像/备份进行数据解析。支持来源包括但限于iTunes备份、苹果完整文件系统、安卓完整文件系统（提权提取）、安卓物理镜像（提权提取）、YunOS备份、OPPO备份、VIVO备份、小米备份、魅族备份、ADB备份、华为备份等。支持格式包括但不限于TAR文件、ZIP文件、DD镜像文件、目录（文件集合）等格式</w:t>
            </w:r>
          </w:p>
        </w:tc>
        <w:tc>
          <w:tcPr>
            <w:tcW w:w="675"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306" w:type="pct"/>
            <w:shd w:val="clear" w:color="auto" w:fill="auto"/>
            <w:vAlign w:val="center"/>
          </w:tcPr>
          <w:p>
            <w:pPr>
              <w:widowControl w:val="0"/>
              <w:numPr>
                <w:ilvl w:val="0"/>
                <w:numId w:val="51"/>
              </w:numPr>
              <w:jc w:val="center"/>
              <w:textAlignment w:val="center"/>
              <w:rPr>
                <w:rFonts w:asciiTheme="minorEastAsia" w:hAnsiTheme="minorEastAsia" w:eastAsiaTheme="minorEastAsia" w:cstheme="minorEastAsia"/>
                <w:b/>
                <w:bCs/>
                <w:color w:val="000000"/>
                <w:kern w:val="0"/>
                <w:szCs w:val="21"/>
                <w:lang w:bidi="ar"/>
              </w:rPr>
            </w:pPr>
          </w:p>
        </w:tc>
        <w:tc>
          <w:tcPr>
            <w:tcW w:w="523" w:type="pct"/>
            <w:vMerge w:val="restart"/>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系统数据分析</w:t>
            </w:r>
          </w:p>
        </w:tc>
        <w:tc>
          <w:tcPr>
            <w:tcW w:w="3496"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支持解析设备主要硬件信息与唯一标识等，包括手机厂商、型号、芯片、系统版本、IMEI、MEID、是否root、硬件平台等的相关信息，iOS设备额外需支持IDFA、UDID的解析</w:t>
            </w:r>
          </w:p>
        </w:tc>
        <w:tc>
          <w:tcPr>
            <w:tcW w:w="675"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306" w:type="pct"/>
            <w:shd w:val="clear" w:color="auto" w:fill="auto"/>
            <w:vAlign w:val="center"/>
          </w:tcPr>
          <w:p>
            <w:pPr>
              <w:widowControl w:val="0"/>
              <w:numPr>
                <w:ilvl w:val="0"/>
                <w:numId w:val="51"/>
              </w:numPr>
              <w:jc w:val="center"/>
              <w:textAlignment w:val="center"/>
              <w:rPr>
                <w:rFonts w:asciiTheme="minorEastAsia" w:hAnsiTheme="minorEastAsia" w:eastAsiaTheme="minorEastAsia" w:cstheme="minorEastAsia"/>
                <w:b/>
                <w:bCs/>
                <w:color w:val="000000"/>
                <w:kern w:val="0"/>
                <w:szCs w:val="21"/>
                <w:lang w:bidi="ar"/>
              </w:rPr>
            </w:pPr>
          </w:p>
        </w:tc>
        <w:tc>
          <w:tcPr>
            <w:tcW w:w="523" w:type="pct"/>
            <w:vMerge w:val="continue"/>
            <w:shd w:val="clear" w:color="auto" w:fill="auto"/>
            <w:vAlign w:val="center"/>
          </w:tcPr>
          <w:p>
            <w:pPr>
              <w:rPr>
                <w:rFonts w:asciiTheme="minorEastAsia" w:hAnsiTheme="minorEastAsia" w:eastAsiaTheme="minorEastAsia" w:cstheme="minorEastAsia"/>
                <w:color w:val="000000"/>
                <w:szCs w:val="21"/>
              </w:rPr>
            </w:pPr>
          </w:p>
        </w:tc>
        <w:tc>
          <w:tcPr>
            <w:tcW w:w="3496"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支持解析系统基本信息，包括但不限于通讯录、短彩信、通话记录、多媒体(拍摄的文件，包含缩略图)、日历、录音、备忘录、书签、、SIM卡记录、系统输入法等，iOS设备还需支持特有的iMessage消息及语音备忘录</w:t>
            </w:r>
          </w:p>
        </w:tc>
        <w:tc>
          <w:tcPr>
            <w:tcW w:w="675"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306" w:type="pct"/>
            <w:shd w:val="clear" w:color="auto" w:fill="auto"/>
            <w:vAlign w:val="center"/>
          </w:tcPr>
          <w:p>
            <w:pPr>
              <w:widowControl w:val="0"/>
              <w:numPr>
                <w:ilvl w:val="0"/>
                <w:numId w:val="51"/>
              </w:numPr>
              <w:jc w:val="center"/>
              <w:textAlignment w:val="center"/>
              <w:rPr>
                <w:rFonts w:asciiTheme="minorEastAsia" w:hAnsiTheme="minorEastAsia" w:eastAsiaTheme="minorEastAsia" w:cstheme="minorEastAsia"/>
                <w:b/>
                <w:bCs/>
                <w:color w:val="000000"/>
                <w:kern w:val="0"/>
                <w:szCs w:val="21"/>
                <w:lang w:bidi="ar"/>
              </w:rPr>
            </w:pPr>
          </w:p>
        </w:tc>
        <w:tc>
          <w:tcPr>
            <w:tcW w:w="523" w:type="pct"/>
            <w:vMerge w:val="restart"/>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应用程序分析</w:t>
            </w:r>
          </w:p>
        </w:tc>
        <w:tc>
          <w:tcPr>
            <w:tcW w:w="3496"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解析即时消息类应用痕迹，包括但不限于微信、蝙蝠、QQ、钉钉、BF、Blued、城信、DeBox、Enigma、飞书、绯讯、会玩、Letstalk、聊呗极速版、陌陌、默往、如流、事密达、多卡宝、Soul、探探、他趣、TT语音、旺信、企业微信、闲聊、小天才、野火IM、叮咚、易信、有信、与你、YY、知乎等</w:t>
            </w:r>
          </w:p>
        </w:tc>
        <w:tc>
          <w:tcPr>
            <w:tcW w:w="675"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306" w:type="pct"/>
            <w:shd w:val="clear" w:color="auto" w:fill="auto"/>
            <w:vAlign w:val="center"/>
          </w:tcPr>
          <w:p>
            <w:pPr>
              <w:widowControl w:val="0"/>
              <w:numPr>
                <w:ilvl w:val="0"/>
                <w:numId w:val="51"/>
              </w:numPr>
              <w:jc w:val="center"/>
              <w:textAlignment w:val="center"/>
              <w:rPr>
                <w:rFonts w:asciiTheme="minorEastAsia" w:hAnsiTheme="minorEastAsia" w:eastAsiaTheme="minorEastAsia" w:cstheme="minorEastAsia"/>
                <w:b/>
                <w:bCs/>
                <w:color w:val="000000"/>
                <w:kern w:val="0"/>
                <w:szCs w:val="21"/>
                <w:lang w:bidi="ar"/>
              </w:rPr>
            </w:pPr>
          </w:p>
        </w:tc>
        <w:tc>
          <w:tcPr>
            <w:tcW w:w="523" w:type="pct"/>
            <w:vMerge w:val="continue"/>
            <w:shd w:val="clear" w:color="auto" w:fill="auto"/>
            <w:vAlign w:val="center"/>
          </w:tcPr>
          <w:p>
            <w:pPr>
              <w:rPr>
                <w:rFonts w:asciiTheme="minorEastAsia" w:hAnsiTheme="minorEastAsia" w:eastAsiaTheme="minorEastAsia" w:cstheme="minorEastAsia"/>
                <w:color w:val="000000"/>
                <w:szCs w:val="21"/>
              </w:rPr>
            </w:pPr>
          </w:p>
        </w:tc>
        <w:tc>
          <w:tcPr>
            <w:tcW w:w="3496"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解析浏览器类应用痕迹，包括但不限于百度浏览器、手机百度极速版、手机百度、Chrome浏览器、Safari、华为浏览器、小米浏览器、OPPO浏览器、vivo浏览器、联想浏览器、三星浏览器、火狐浏览器、欧朋浏览器、QQ浏览器、夸克浏览器、UC浏览器等</w:t>
            </w:r>
          </w:p>
        </w:tc>
        <w:tc>
          <w:tcPr>
            <w:tcW w:w="675"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306" w:type="pct"/>
            <w:shd w:val="clear" w:color="auto" w:fill="auto"/>
            <w:vAlign w:val="center"/>
          </w:tcPr>
          <w:p>
            <w:pPr>
              <w:widowControl w:val="0"/>
              <w:numPr>
                <w:ilvl w:val="0"/>
                <w:numId w:val="51"/>
              </w:numPr>
              <w:jc w:val="center"/>
              <w:textAlignment w:val="center"/>
              <w:rPr>
                <w:rFonts w:asciiTheme="minorEastAsia" w:hAnsiTheme="minorEastAsia" w:eastAsiaTheme="minorEastAsia" w:cstheme="minorEastAsia"/>
                <w:b/>
                <w:bCs/>
                <w:color w:val="000000"/>
                <w:kern w:val="0"/>
                <w:szCs w:val="21"/>
                <w:lang w:bidi="ar"/>
              </w:rPr>
            </w:pPr>
          </w:p>
        </w:tc>
        <w:tc>
          <w:tcPr>
            <w:tcW w:w="523" w:type="pct"/>
            <w:vMerge w:val="continue"/>
            <w:shd w:val="clear" w:color="auto" w:fill="auto"/>
            <w:vAlign w:val="center"/>
          </w:tcPr>
          <w:p>
            <w:pPr>
              <w:rPr>
                <w:rFonts w:asciiTheme="minorEastAsia" w:hAnsiTheme="minorEastAsia" w:eastAsiaTheme="minorEastAsia" w:cstheme="minorEastAsia"/>
                <w:color w:val="000000"/>
                <w:szCs w:val="21"/>
              </w:rPr>
            </w:pPr>
          </w:p>
        </w:tc>
        <w:tc>
          <w:tcPr>
            <w:tcW w:w="3496"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支持解析微博社区类应用痕迹，包括但不限于新浪微博、百度贴吧、小红书等</w:t>
            </w:r>
          </w:p>
        </w:tc>
        <w:tc>
          <w:tcPr>
            <w:tcW w:w="675"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306" w:type="pct"/>
            <w:shd w:val="clear" w:color="auto" w:fill="auto"/>
            <w:vAlign w:val="center"/>
          </w:tcPr>
          <w:p>
            <w:pPr>
              <w:widowControl w:val="0"/>
              <w:numPr>
                <w:ilvl w:val="0"/>
                <w:numId w:val="51"/>
              </w:numPr>
              <w:jc w:val="center"/>
              <w:textAlignment w:val="center"/>
              <w:rPr>
                <w:rFonts w:asciiTheme="minorEastAsia" w:hAnsiTheme="minorEastAsia" w:eastAsiaTheme="minorEastAsia" w:cstheme="minorEastAsia"/>
                <w:b/>
                <w:bCs/>
                <w:color w:val="000000"/>
                <w:kern w:val="0"/>
                <w:szCs w:val="21"/>
                <w:lang w:bidi="ar"/>
              </w:rPr>
            </w:pPr>
          </w:p>
        </w:tc>
        <w:tc>
          <w:tcPr>
            <w:tcW w:w="523" w:type="pct"/>
            <w:vMerge w:val="continue"/>
            <w:shd w:val="clear" w:color="auto" w:fill="auto"/>
            <w:vAlign w:val="center"/>
          </w:tcPr>
          <w:p>
            <w:pPr>
              <w:rPr>
                <w:rFonts w:asciiTheme="minorEastAsia" w:hAnsiTheme="minorEastAsia" w:eastAsiaTheme="minorEastAsia" w:cstheme="minorEastAsia"/>
                <w:color w:val="000000"/>
                <w:szCs w:val="21"/>
              </w:rPr>
            </w:pPr>
          </w:p>
        </w:tc>
        <w:tc>
          <w:tcPr>
            <w:tcW w:w="3496"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支持解析电子邮件类应用痕迹，包括但不限于系统邮箱、谷歌邮箱、网易邮箱大师、网易邮箱、Proton Mail、QQ邮箱等</w:t>
            </w:r>
          </w:p>
        </w:tc>
        <w:tc>
          <w:tcPr>
            <w:tcW w:w="675"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306" w:type="pct"/>
            <w:shd w:val="clear" w:color="auto" w:fill="auto"/>
            <w:vAlign w:val="center"/>
          </w:tcPr>
          <w:p>
            <w:pPr>
              <w:widowControl w:val="0"/>
              <w:numPr>
                <w:ilvl w:val="0"/>
                <w:numId w:val="51"/>
              </w:numPr>
              <w:jc w:val="center"/>
              <w:textAlignment w:val="center"/>
              <w:rPr>
                <w:rFonts w:asciiTheme="minorEastAsia" w:hAnsiTheme="minorEastAsia" w:eastAsiaTheme="minorEastAsia" w:cstheme="minorEastAsia"/>
                <w:b/>
                <w:bCs/>
                <w:color w:val="000000"/>
                <w:kern w:val="0"/>
                <w:szCs w:val="21"/>
                <w:lang w:bidi="ar"/>
              </w:rPr>
            </w:pPr>
          </w:p>
        </w:tc>
        <w:tc>
          <w:tcPr>
            <w:tcW w:w="523" w:type="pct"/>
            <w:vMerge w:val="continue"/>
            <w:shd w:val="clear" w:color="auto" w:fill="auto"/>
            <w:vAlign w:val="center"/>
          </w:tcPr>
          <w:p>
            <w:pPr>
              <w:rPr>
                <w:rFonts w:asciiTheme="minorEastAsia" w:hAnsiTheme="minorEastAsia" w:eastAsiaTheme="minorEastAsia" w:cstheme="minorEastAsia"/>
                <w:color w:val="000000"/>
                <w:szCs w:val="21"/>
              </w:rPr>
            </w:pPr>
          </w:p>
        </w:tc>
        <w:tc>
          <w:tcPr>
            <w:tcW w:w="3496"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支持解析电子商务类应用痕迹，包括但不限于支付宝、淘宝、京东、拼多多、千牛（iOS）、天猫（Android）、闲鱼、转转等</w:t>
            </w:r>
          </w:p>
        </w:tc>
        <w:tc>
          <w:tcPr>
            <w:tcW w:w="675"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306" w:type="pct"/>
            <w:shd w:val="clear" w:color="auto" w:fill="auto"/>
            <w:vAlign w:val="center"/>
          </w:tcPr>
          <w:p>
            <w:pPr>
              <w:widowControl w:val="0"/>
              <w:numPr>
                <w:ilvl w:val="0"/>
                <w:numId w:val="51"/>
              </w:numPr>
              <w:jc w:val="center"/>
              <w:textAlignment w:val="center"/>
              <w:rPr>
                <w:rFonts w:asciiTheme="minorEastAsia" w:hAnsiTheme="minorEastAsia" w:eastAsiaTheme="minorEastAsia" w:cstheme="minorEastAsia"/>
                <w:b/>
                <w:bCs/>
                <w:color w:val="000000"/>
                <w:kern w:val="0"/>
                <w:szCs w:val="21"/>
                <w:lang w:bidi="ar"/>
              </w:rPr>
            </w:pPr>
          </w:p>
        </w:tc>
        <w:tc>
          <w:tcPr>
            <w:tcW w:w="523" w:type="pct"/>
            <w:vMerge w:val="continue"/>
            <w:shd w:val="clear" w:color="auto" w:fill="auto"/>
            <w:vAlign w:val="center"/>
          </w:tcPr>
          <w:p>
            <w:pPr>
              <w:rPr>
                <w:rFonts w:asciiTheme="minorEastAsia" w:hAnsiTheme="minorEastAsia" w:eastAsiaTheme="minorEastAsia" w:cstheme="minorEastAsia"/>
                <w:color w:val="000000"/>
                <w:szCs w:val="21"/>
              </w:rPr>
            </w:pPr>
          </w:p>
        </w:tc>
        <w:tc>
          <w:tcPr>
            <w:tcW w:w="3496"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支持解析地图出行类应用痕迹，包括但不限于高德地图、百度地图、携程旅行、谷歌地图、去哪儿、铁路12306、搜狗地图、腾讯地图、航旅纵横等</w:t>
            </w:r>
          </w:p>
        </w:tc>
        <w:tc>
          <w:tcPr>
            <w:tcW w:w="675"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306" w:type="pct"/>
            <w:shd w:val="clear" w:color="auto" w:fill="auto"/>
            <w:vAlign w:val="center"/>
          </w:tcPr>
          <w:p>
            <w:pPr>
              <w:widowControl w:val="0"/>
              <w:numPr>
                <w:ilvl w:val="0"/>
                <w:numId w:val="51"/>
              </w:numPr>
              <w:jc w:val="center"/>
              <w:textAlignment w:val="center"/>
              <w:rPr>
                <w:rFonts w:asciiTheme="minorEastAsia" w:hAnsiTheme="minorEastAsia" w:eastAsiaTheme="minorEastAsia" w:cstheme="minorEastAsia"/>
                <w:b/>
                <w:bCs/>
                <w:color w:val="000000"/>
                <w:kern w:val="0"/>
                <w:szCs w:val="21"/>
                <w:lang w:bidi="ar"/>
              </w:rPr>
            </w:pPr>
          </w:p>
        </w:tc>
        <w:tc>
          <w:tcPr>
            <w:tcW w:w="523" w:type="pct"/>
            <w:vMerge w:val="continue"/>
            <w:shd w:val="clear" w:color="auto" w:fill="auto"/>
            <w:vAlign w:val="center"/>
          </w:tcPr>
          <w:p>
            <w:pPr>
              <w:rPr>
                <w:rFonts w:asciiTheme="minorEastAsia" w:hAnsiTheme="minorEastAsia" w:eastAsiaTheme="minorEastAsia" w:cstheme="minorEastAsia"/>
                <w:color w:val="000000"/>
                <w:szCs w:val="21"/>
              </w:rPr>
            </w:pPr>
          </w:p>
        </w:tc>
        <w:tc>
          <w:tcPr>
            <w:tcW w:w="3496"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支持解析网盘类应用痕迹，包括但不限于百度网盘等</w:t>
            </w:r>
          </w:p>
        </w:tc>
        <w:tc>
          <w:tcPr>
            <w:tcW w:w="675"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306" w:type="pct"/>
            <w:shd w:val="clear" w:color="auto" w:fill="auto"/>
            <w:vAlign w:val="center"/>
          </w:tcPr>
          <w:p>
            <w:pPr>
              <w:widowControl w:val="0"/>
              <w:numPr>
                <w:ilvl w:val="0"/>
                <w:numId w:val="51"/>
              </w:numPr>
              <w:jc w:val="center"/>
              <w:textAlignment w:val="center"/>
              <w:rPr>
                <w:rFonts w:asciiTheme="minorEastAsia" w:hAnsiTheme="minorEastAsia" w:eastAsiaTheme="minorEastAsia" w:cstheme="minorEastAsia"/>
                <w:b/>
                <w:bCs/>
                <w:color w:val="000000"/>
                <w:kern w:val="0"/>
                <w:szCs w:val="21"/>
                <w:lang w:bidi="ar"/>
              </w:rPr>
            </w:pPr>
          </w:p>
        </w:tc>
        <w:tc>
          <w:tcPr>
            <w:tcW w:w="523" w:type="pct"/>
            <w:vMerge w:val="continue"/>
            <w:shd w:val="clear" w:color="auto" w:fill="auto"/>
            <w:vAlign w:val="center"/>
          </w:tcPr>
          <w:p>
            <w:pPr>
              <w:rPr>
                <w:rFonts w:asciiTheme="minorEastAsia" w:hAnsiTheme="minorEastAsia" w:eastAsiaTheme="minorEastAsia" w:cstheme="minorEastAsia"/>
                <w:color w:val="000000"/>
                <w:szCs w:val="21"/>
              </w:rPr>
            </w:pPr>
          </w:p>
        </w:tc>
        <w:tc>
          <w:tcPr>
            <w:tcW w:w="3496"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支持解析工具类应用痕迹，包括但不限于茄子快传、快牙、迷雾通、小爱视觉（Android）、ShadowRocket、SSR、向日葵、快连VPN等</w:t>
            </w:r>
          </w:p>
        </w:tc>
        <w:tc>
          <w:tcPr>
            <w:tcW w:w="675"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306" w:type="pct"/>
            <w:shd w:val="clear" w:color="auto" w:fill="auto"/>
            <w:vAlign w:val="center"/>
          </w:tcPr>
          <w:p>
            <w:pPr>
              <w:widowControl w:val="0"/>
              <w:numPr>
                <w:ilvl w:val="0"/>
                <w:numId w:val="51"/>
              </w:numPr>
              <w:jc w:val="center"/>
              <w:textAlignment w:val="center"/>
              <w:rPr>
                <w:rFonts w:asciiTheme="minorEastAsia" w:hAnsiTheme="minorEastAsia" w:eastAsiaTheme="minorEastAsia" w:cstheme="minorEastAsia"/>
                <w:b/>
                <w:bCs/>
                <w:color w:val="000000"/>
                <w:kern w:val="0"/>
                <w:szCs w:val="21"/>
                <w:lang w:bidi="ar"/>
              </w:rPr>
            </w:pPr>
          </w:p>
        </w:tc>
        <w:tc>
          <w:tcPr>
            <w:tcW w:w="523" w:type="pct"/>
            <w:vMerge w:val="continue"/>
            <w:shd w:val="clear" w:color="auto" w:fill="auto"/>
            <w:vAlign w:val="center"/>
          </w:tcPr>
          <w:p>
            <w:pPr>
              <w:rPr>
                <w:rFonts w:asciiTheme="minorEastAsia" w:hAnsiTheme="minorEastAsia" w:eastAsiaTheme="minorEastAsia" w:cstheme="minorEastAsia"/>
                <w:color w:val="000000"/>
                <w:szCs w:val="21"/>
              </w:rPr>
            </w:pPr>
          </w:p>
        </w:tc>
        <w:tc>
          <w:tcPr>
            <w:tcW w:w="3496"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支持解析影音娱乐类应用痕迹，包括但不限于抖音、抖音极速版、抖音火山版、火山小视频、快手、全民K歌、YouTube等</w:t>
            </w:r>
          </w:p>
        </w:tc>
        <w:tc>
          <w:tcPr>
            <w:tcW w:w="675"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306" w:type="pct"/>
            <w:shd w:val="clear" w:color="auto" w:fill="auto"/>
            <w:vAlign w:val="center"/>
          </w:tcPr>
          <w:p>
            <w:pPr>
              <w:widowControl w:val="0"/>
              <w:numPr>
                <w:ilvl w:val="0"/>
                <w:numId w:val="51"/>
              </w:numPr>
              <w:jc w:val="center"/>
              <w:textAlignment w:val="center"/>
              <w:rPr>
                <w:rFonts w:asciiTheme="minorEastAsia" w:hAnsiTheme="minorEastAsia" w:eastAsiaTheme="minorEastAsia" w:cstheme="minorEastAsia"/>
                <w:b/>
                <w:bCs/>
                <w:color w:val="000000"/>
                <w:kern w:val="0"/>
                <w:szCs w:val="21"/>
                <w:lang w:bidi="ar"/>
              </w:rPr>
            </w:pPr>
          </w:p>
        </w:tc>
        <w:tc>
          <w:tcPr>
            <w:tcW w:w="523" w:type="pct"/>
            <w:vMerge w:val="continue"/>
            <w:shd w:val="clear" w:color="auto" w:fill="auto"/>
            <w:vAlign w:val="center"/>
          </w:tcPr>
          <w:p>
            <w:pPr>
              <w:rPr>
                <w:rFonts w:asciiTheme="minorEastAsia" w:hAnsiTheme="minorEastAsia" w:eastAsiaTheme="minorEastAsia" w:cstheme="minorEastAsia"/>
                <w:color w:val="000000"/>
                <w:szCs w:val="21"/>
              </w:rPr>
            </w:pPr>
          </w:p>
        </w:tc>
        <w:tc>
          <w:tcPr>
            <w:tcW w:w="3496"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支持解析手机安全类应用痕迹，包括但不限于360安全卫士、华为拦截等</w:t>
            </w:r>
          </w:p>
        </w:tc>
        <w:tc>
          <w:tcPr>
            <w:tcW w:w="675"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306" w:type="pct"/>
            <w:shd w:val="clear" w:color="auto" w:fill="auto"/>
            <w:vAlign w:val="center"/>
          </w:tcPr>
          <w:p>
            <w:pPr>
              <w:widowControl w:val="0"/>
              <w:numPr>
                <w:ilvl w:val="0"/>
                <w:numId w:val="51"/>
              </w:numPr>
              <w:jc w:val="center"/>
              <w:textAlignment w:val="center"/>
              <w:rPr>
                <w:rFonts w:asciiTheme="minorEastAsia" w:hAnsiTheme="minorEastAsia" w:eastAsiaTheme="minorEastAsia" w:cstheme="minorEastAsia"/>
                <w:b/>
                <w:bCs/>
                <w:color w:val="000000"/>
                <w:kern w:val="0"/>
                <w:szCs w:val="21"/>
                <w:lang w:bidi="ar"/>
              </w:rPr>
            </w:pPr>
          </w:p>
        </w:tc>
        <w:tc>
          <w:tcPr>
            <w:tcW w:w="523" w:type="pct"/>
            <w:vMerge w:val="continue"/>
            <w:shd w:val="clear" w:color="auto" w:fill="auto"/>
            <w:vAlign w:val="center"/>
          </w:tcPr>
          <w:p>
            <w:pPr>
              <w:rPr>
                <w:rFonts w:asciiTheme="minorEastAsia" w:hAnsiTheme="minorEastAsia" w:eastAsiaTheme="minorEastAsia" w:cstheme="minorEastAsia"/>
                <w:color w:val="000000"/>
                <w:szCs w:val="21"/>
              </w:rPr>
            </w:pPr>
          </w:p>
        </w:tc>
        <w:tc>
          <w:tcPr>
            <w:tcW w:w="3496"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支持解析文档类应用痕迹，包括但不限于谷歌文档、谷歌表格、WPS等</w:t>
            </w:r>
          </w:p>
        </w:tc>
        <w:tc>
          <w:tcPr>
            <w:tcW w:w="675"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306" w:type="pct"/>
            <w:shd w:val="clear" w:color="auto" w:fill="auto"/>
            <w:vAlign w:val="center"/>
          </w:tcPr>
          <w:p>
            <w:pPr>
              <w:widowControl w:val="0"/>
              <w:numPr>
                <w:ilvl w:val="0"/>
                <w:numId w:val="51"/>
              </w:numPr>
              <w:jc w:val="center"/>
              <w:textAlignment w:val="center"/>
              <w:rPr>
                <w:rFonts w:asciiTheme="minorEastAsia" w:hAnsiTheme="minorEastAsia" w:eastAsiaTheme="minorEastAsia" w:cstheme="minorEastAsia"/>
                <w:b/>
                <w:bCs/>
                <w:color w:val="000000"/>
                <w:kern w:val="0"/>
                <w:szCs w:val="21"/>
                <w:lang w:bidi="ar"/>
              </w:rPr>
            </w:pPr>
          </w:p>
        </w:tc>
        <w:tc>
          <w:tcPr>
            <w:tcW w:w="523" w:type="pct"/>
            <w:vMerge w:val="continue"/>
            <w:shd w:val="clear" w:color="auto" w:fill="auto"/>
            <w:vAlign w:val="center"/>
          </w:tcPr>
          <w:p>
            <w:pPr>
              <w:rPr>
                <w:rFonts w:asciiTheme="minorEastAsia" w:hAnsiTheme="minorEastAsia" w:eastAsiaTheme="minorEastAsia" w:cstheme="minorEastAsia"/>
                <w:color w:val="000000"/>
                <w:szCs w:val="21"/>
              </w:rPr>
            </w:pPr>
          </w:p>
        </w:tc>
        <w:tc>
          <w:tcPr>
            <w:tcW w:w="3496"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支持解析生活类应用痕迹，包括但不限于华为智慧生活、锦食送、美团、米家、食派士等</w:t>
            </w:r>
          </w:p>
        </w:tc>
        <w:tc>
          <w:tcPr>
            <w:tcW w:w="675"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306" w:type="pct"/>
            <w:shd w:val="clear" w:color="auto" w:fill="auto"/>
            <w:vAlign w:val="center"/>
          </w:tcPr>
          <w:p>
            <w:pPr>
              <w:widowControl w:val="0"/>
              <w:numPr>
                <w:ilvl w:val="0"/>
                <w:numId w:val="51"/>
              </w:numPr>
              <w:jc w:val="center"/>
              <w:textAlignment w:val="center"/>
              <w:rPr>
                <w:rFonts w:asciiTheme="minorEastAsia" w:hAnsiTheme="minorEastAsia" w:eastAsiaTheme="minorEastAsia" w:cstheme="minorEastAsia"/>
                <w:b/>
                <w:bCs/>
                <w:color w:val="000000"/>
                <w:kern w:val="0"/>
                <w:szCs w:val="21"/>
                <w:lang w:bidi="ar"/>
              </w:rPr>
            </w:pPr>
          </w:p>
        </w:tc>
        <w:tc>
          <w:tcPr>
            <w:tcW w:w="523" w:type="pct"/>
            <w:vMerge w:val="continue"/>
            <w:shd w:val="clear" w:color="auto" w:fill="auto"/>
            <w:vAlign w:val="center"/>
          </w:tcPr>
          <w:p>
            <w:pPr>
              <w:rPr>
                <w:rFonts w:asciiTheme="minorEastAsia" w:hAnsiTheme="minorEastAsia" w:eastAsiaTheme="minorEastAsia" w:cstheme="minorEastAsia"/>
                <w:color w:val="000000"/>
                <w:szCs w:val="21"/>
              </w:rPr>
            </w:pPr>
          </w:p>
        </w:tc>
        <w:tc>
          <w:tcPr>
            <w:tcW w:w="3496"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支持解析笔记类应用痕迹，包括但不限于系统备忘录记事本、印象笔记等</w:t>
            </w:r>
          </w:p>
        </w:tc>
        <w:tc>
          <w:tcPr>
            <w:tcW w:w="675"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306" w:type="pct"/>
            <w:shd w:val="clear" w:color="auto" w:fill="auto"/>
            <w:vAlign w:val="center"/>
          </w:tcPr>
          <w:p>
            <w:pPr>
              <w:widowControl w:val="0"/>
              <w:numPr>
                <w:ilvl w:val="0"/>
                <w:numId w:val="51"/>
              </w:numPr>
              <w:jc w:val="center"/>
              <w:textAlignment w:val="center"/>
              <w:rPr>
                <w:rFonts w:asciiTheme="minorEastAsia" w:hAnsiTheme="minorEastAsia" w:eastAsiaTheme="minorEastAsia" w:cstheme="minorEastAsia"/>
                <w:b/>
                <w:bCs/>
                <w:color w:val="000000"/>
                <w:kern w:val="0"/>
                <w:szCs w:val="21"/>
                <w:lang w:bidi="ar"/>
              </w:rPr>
            </w:pPr>
          </w:p>
        </w:tc>
        <w:tc>
          <w:tcPr>
            <w:tcW w:w="523" w:type="pct"/>
            <w:vMerge w:val="continue"/>
            <w:shd w:val="clear" w:color="auto" w:fill="auto"/>
            <w:vAlign w:val="center"/>
          </w:tcPr>
          <w:p>
            <w:pPr>
              <w:rPr>
                <w:rFonts w:asciiTheme="minorEastAsia" w:hAnsiTheme="minorEastAsia" w:eastAsiaTheme="minorEastAsia" w:cstheme="minorEastAsia"/>
                <w:color w:val="000000"/>
                <w:szCs w:val="21"/>
              </w:rPr>
            </w:pPr>
          </w:p>
        </w:tc>
        <w:tc>
          <w:tcPr>
            <w:tcW w:w="3496"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 xml:space="preserve">支持解析iOS推送消息，显示推送消息的主题、内容、来源、时间、阅读日期等 </w:t>
            </w:r>
          </w:p>
        </w:tc>
        <w:tc>
          <w:tcPr>
            <w:tcW w:w="675"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6" w:type="pct"/>
            <w:shd w:val="clear" w:color="auto" w:fill="auto"/>
            <w:vAlign w:val="center"/>
          </w:tcPr>
          <w:p>
            <w:pPr>
              <w:widowControl w:val="0"/>
              <w:numPr>
                <w:ilvl w:val="0"/>
                <w:numId w:val="51"/>
              </w:numPr>
              <w:jc w:val="center"/>
              <w:textAlignment w:val="center"/>
              <w:rPr>
                <w:rFonts w:asciiTheme="minorEastAsia" w:hAnsiTheme="minorEastAsia" w:eastAsiaTheme="minorEastAsia" w:cstheme="minorEastAsia"/>
                <w:b/>
                <w:bCs/>
                <w:color w:val="000000"/>
                <w:kern w:val="0"/>
                <w:szCs w:val="21"/>
                <w:lang w:bidi="ar"/>
              </w:rPr>
            </w:pPr>
          </w:p>
        </w:tc>
        <w:tc>
          <w:tcPr>
            <w:tcW w:w="523" w:type="pct"/>
            <w:vMerge w:val="continue"/>
            <w:shd w:val="clear" w:color="auto" w:fill="auto"/>
            <w:vAlign w:val="center"/>
          </w:tcPr>
          <w:p>
            <w:pPr>
              <w:rPr>
                <w:rFonts w:asciiTheme="minorEastAsia" w:hAnsiTheme="minorEastAsia" w:eastAsiaTheme="minorEastAsia" w:cstheme="minorEastAsia"/>
                <w:color w:val="000000"/>
                <w:szCs w:val="21"/>
              </w:rPr>
            </w:pPr>
          </w:p>
        </w:tc>
        <w:tc>
          <w:tcPr>
            <w:tcW w:w="3496"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支持解析手机卡包，iOS钱包分析，如手机卡、登机牌等</w:t>
            </w:r>
          </w:p>
        </w:tc>
        <w:tc>
          <w:tcPr>
            <w:tcW w:w="675"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306" w:type="pct"/>
            <w:shd w:val="clear" w:color="auto" w:fill="auto"/>
            <w:vAlign w:val="center"/>
          </w:tcPr>
          <w:p>
            <w:pPr>
              <w:widowControl w:val="0"/>
              <w:numPr>
                <w:ilvl w:val="0"/>
                <w:numId w:val="51"/>
              </w:numPr>
              <w:jc w:val="center"/>
              <w:textAlignment w:val="center"/>
              <w:rPr>
                <w:rFonts w:asciiTheme="minorEastAsia" w:hAnsiTheme="minorEastAsia" w:eastAsiaTheme="minorEastAsia" w:cstheme="minorEastAsia"/>
                <w:b/>
                <w:bCs/>
                <w:color w:val="000000"/>
                <w:kern w:val="0"/>
                <w:szCs w:val="21"/>
                <w:lang w:bidi="ar"/>
              </w:rPr>
            </w:pPr>
          </w:p>
        </w:tc>
        <w:tc>
          <w:tcPr>
            <w:tcW w:w="523" w:type="pct"/>
            <w:vMerge w:val="restart"/>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数据恢复</w:t>
            </w:r>
          </w:p>
        </w:tc>
        <w:tc>
          <w:tcPr>
            <w:tcW w:w="3496"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删除恢复，恢复已删除的记录。支持但不限于：通讯录、通话记录、短彩信、多媒体(基于缩略图的恢复)、备忘录、录音、微信、企业微信、QQ、支付宝、钉钉、陌陌、默往、探探、闲聊、Blued、Letstalk、soul、城信、微博、易信、Twitter、Line、sugram、viber、Chrome浏览器、火狐浏览器、QQ浏览器、夸克浏览器、手机百度、抖音、QQ邮箱、高德地图、携程、淘宝、京东、百度贴吧、多卡宝等应用痕迹</w:t>
            </w:r>
          </w:p>
        </w:tc>
        <w:tc>
          <w:tcPr>
            <w:tcW w:w="675"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306" w:type="pct"/>
            <w:shd w:val="clear" w:color="auto" w:fill="auto"/>
            <w:vAlign w:val="center"/>
          </w:tcPr>
          <w:p>
            <w:pPr>
              <w:widowControl w:val="0"/>
              <w:numPr>
                <w:ilvl w:val="0"/>
                <w:numId w:val="51"/>
              </w:numPr>
              <w:jc w:val="center"/>
              <w:textAlignment w:val="center"/>
              <w:rPr>
                <w:rFonts w:asciiTheme="minorEastAsia" w:hAnsiTheme="minorEastAsia" w:eastAsiaTheme="minorEastAsia" w:cstheme="minorEastAsia"/>
                <w:b/>
                <w:bCs/>
                <w:color w:val="000000"/>
                <w:kern w:val="0"/>
                <w:szCs w:val="21"/>
                <w:lang w:bidi="ar"/>
              </w:rPr>
            </w:pPr>
          </w:p>
        </w:tc>
        <w:tc>
          <w:tcPr>
            <w:tcW w:w="523" w:type="pct"/>
            <w:vMerge w:val="continue"/>
            <w:shd w:val="clear" w:color="auto" w:fill="auto"/>
            <w:vAlign w:val="center"/>
          </w:tcPr>
          <w:p>
            <w:pPr>
              <w:rPr>
                <w:rFonts w:asciiTheme="minorEastAsia" w:hAnsiTheme="minorEastAsia" w:eastAsiaTheme="minorEastAsia" w:cstheme="minorEastAsia"/>
                <w:color w:val="000000"/>
                <w:szCs w:val="21"/>
              </w:rPr>
            </w:pPr>
          </w:p>
        </w:tc>
        <w:tc>
          <w:tcPr>
            <w:tcW w:w="3496"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系统界面需能够直观区分正常和已删除记录</w:t>
            </w:r>
          </w:p>
        </w:tc>
        <w:tc>
          <w:tcPr>
            <w:tcW w:w="675"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306" w:type="pct"/>
            <w:shd w:val="clear" w:color="auto" w:fill="auto"/>
            <w:vAlign w:val="center"/>
          </w:tcPr>
          <w:p>
            <w:pPr>
              <w:widowControl w:val="0"/>
              <w:numPr>
                <w:ilvl w:val="0"/>
                <w:numId w:val="51"/>
              </w:numPr>
              <w:jc w:val="center"/>
              <w:textAlignment w:val="center"/>
              <w:rPr>
                <w:rFonts w:asciiTheme="minorEastAsia" w:hAnsiTheme="minorEastAsia" w:eastAsiaTheme="minorEastAsia" w:cstheme="minorEastAsia"/>
                <w:b/>
                <w:bCs/>
                <w:color w:val="000000"/>
                <w:kern w:val="0"/>
                <w:szCs w:val="21"/>
                <w:lang w:bidi="ar"/>
              </w:rPr>
            </w:pPr>
          </w:p>
        </w:tc>
        <w:tc>
          <w:tcPr>
            <w:tcW w:w="523" w:type="pct"/>
            <w:vMerge w:val="restart"/>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智能分析</w:t>
            </w:r>
          </w:p>
        </w:tc>
        <w:tc>
          <w:tcPr>
            <w:tcW w:w="3496"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具备全局关键字搜索能力。支持通过搜索结果一键定位至原始数据位置，以快捷查看上下文</w:t>
            </w:r>
          </w:p>
        </w:tc>
        <w:tc>
          <w:tcPr>
            <w:tcW w:w="675"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306" w:type="pct"/>
            <w:shd w:val="clear" w:color="auto" w:fill="auto"/>
            <w:vAlign w:val="center"/>
          </w:tcPr>
          <w:p>
            <w:pPr>
              <w:widowControl w:val="0"/>
              <w:numPr>
                <w:ilvl w:val="0"/>
                <w:numId w:val="51"/>
              </w:numPr>
              <w:jc w:val="center"/>
              <w:textAlignment w:val="center"/>
              <w:rPr>
                <w:rFonts w:asciiTheme="minorEastAsia" w:hAnsiTheme="minorEastAsia" w:eastAsiaTheme="minorEastAsia" w:cstheme="minorEastAsia"/>
                <w:b/>
                <w:bCs/>
                <w:color w:val="000000"/>
                <w:kern w:val="0"/>
                <w:szCs w:val="21"/>
                <w:lang w:bidi="ar"/>
              </w:rPr>
            </w:pPr>
          </w:p>
        </w:tc>
        <w:tc>
          <w:tcPr>
            <w:tcW w:w="523" w:type="pct"/>
            <w:vMerge w:val="continue"/>
            <w:shd w:val="clear" w:color="auto" w:fill="auto"/>
            <w:vAlign w:val="center"/>
          </w:tcPr>
          <w:p>
            <w:pPr>
              <w:rPr>
                <w:rFonts w:asciiTheme="minorEastAsia" w:hAnsiTheme="minorEastAsia" w:eastAsiaTheme="minorEastAsia" w:cstheme="minorEastAsia"/>
                <w:color w:val="000000"/>
                <w:szCs w:val="21"/>
              </w:rPr>
            </w:pPr>
          </w:p>
        </w:tc>
        <w:tc>
          <w:tcPr>
            <w:tcW w:w="3496"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支持汇聚涉及位置信息的解析结果，可以在地图中集中可视化展示。可以根据需要，选择一定范围的地理信息，按时间进行轨迹展示</w:t>
            </w:r>
          </w:p>
        </w:tc>
        <w:tc>
          <w:tcPr>
            <w:tcW w:w="675"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306" w:type="pct"/>
            <w:shd w:val="clear" w:color="auto" w:fill="auto"/>
            <w:vAlign w:val="center"/>
          </w:tcPr>
          <w:p>
            <w:pPr>
              <w:widowControl w:val="0"/>
              <w:numPr>
                <w:ilvl w:val="0"/>
                <w:numId w:val="51"/>
              </w:numPr>
              <w:jc w:val="center"/>
              <w:textAlignment w:val="center"/>
              <w:rPr>
                <w:rFonts w:asciiTheme="minorEastAsia" w:hAnsiTheme="minorEastAsia" w:eastAsiaTheme="minorEastAsia" w:cstheme="minorEastAsia"/>
                <w:b/>
                <w:bCs/>
                <w:color w:val="000000"/>
                <w:kern w:val="0"/>
                <w:szCs w:val="21"/>
                <w:lang w:bidi="ar"/>
              </w:rPr>
            </w:pPr>
          </w:p>
        </w:tc>
        <w:tc>
          <w:tcPr>
            <w:tcW w:w="523" w:type="pct"/>
            <w:vMerge w:val="continue"/>
            <w:shd w:val="clear" w:color="auto" w:fill="auto"/>
            <w:vAlign w:val="center"/>
          </w:tcPr>
          <w:p>
            <w:pPr>
              <w:rPr>
                <w:rFonts w:asciiTheme="minorEastAsia" w:hAnsiTheme="minorEastAsia" w:eastAsiaTheme="minorEastAsia" w:cstheme="minorEastAsia"/>
                <w:color w:val="000000"/>
                <w:szCs w:val="21"/>
              </w:rPr>
            </w:pPr>
          </w:p>
        </w:tc>
        <w:tc>
          <w:tcPr>
            <w:tcW w:w="3496"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支持对常见文件进行分拣。文件分类包括但不限于：视频、音频、图片、数据库、办公文档、压缩文件等。同时支持各应用的多媒体文件分类</w:t>
            </w:r>
          </w:p>
        </w:tc>
        <w:tc>
          <w:tcPr>
            <w:tcW w:w="675"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306" w:type="pct"/>
            <w:shd w:val="clear" w:color="auto" w:fill="auto"/>
            <w:vAlign w:val="center"/>
          </w:tcPr>
          <w:p>
            <w:pPr>
              <w:widowControl w:val="0"/>
              <w:numPr>
                <w:ilvl w:val="0"/>
                <w:numId w:val="51"/>
              </w:numPr>
              <w:jc w:val="center"/>
              <w:textAlignment w:val="center"/>
              <w:rPr>
                <w:rFonts w:asciiTheme="minorEastAsia" w:hAnsiTheme="minorEastAsia" w:eastAsiaTheme="minorEastAsia" w:cstheme="minorEastAsia"/>
                <w:b/>
                <w:bCs/>
                <w:color w:val="000000"/>
                <w:kern w:val="0"/>
                <w:szCs w:val="21"/>
                <w:lang w:bidi="ar"/>
              </w:rPr>
            </w:pPr>
          </w:p>
        </w:tc>
        <w:tc>
          <w:tcPr>
            <w:tcW w:w="523" w:type="pct"/>
            <w:vMerge w:val="continue"/>
            <w:shd w:val="clear" w:color="auto" w:fill="auto"/>
            <w:vAlign w:val="center"/>
          </w:tcPr>
          <w:p>
            <w:pPr>
              <w:rPr>
                <w:rFonts w:asciiTheme="minorEastAsia" w:hAnsiTheme="minorEastAsia" w:eastAsiaTheme="minorEastAsia" w:cstheme="minorEastAsia"/>
                <w:color w:val="000000"/>
                <w:szCs w:val="21"/>
              </w:rPr>
            </w:pPr>
          </w:p>
        </w:tc>
        <w:tc>
          <w:tcPr>
            <w:tcW w:w="3496"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支持单个标签页（单个数据表）的数据局部导出，支持个是包括但不限于HTML、Excel、CSV等</w:t>
            </w:r>
          </w:p>
        </w:tc>
        <w:tc>
          <w:tcPr>
            <w:tcW w:w="675"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306" w:type="pct"/>
            <w:shd w:val="clear" w:color="auto" w:fill="auto"/>
            <w:vAlign w:val="center"/>
          </w:tcPr>
          <w:p>
            <w:pPr>
              <w:widowControl w:val="0"/>
              <w:numPr>
                <w:ilvl w:val="0"/>
                <w:numId w:val="51"/>
              </w:numPr>
              <w:jc w:val="center"/>
              <w:textAlignment w:val="center"/>
              <w:rPr>
                <w:rFonts w:asciiTheme="minorEastAsia" w:hAnsiTheme="minorEastAsia" w:eastAsiaTheme="minorEastAsia" w:cstheme="minorEastAsia"/>
                <w:b/>
                <w:bCs/>
                <w:color w:val="000000"/>
                <w:kern w:val="0"/>
                <w:szCs w:val="21"/>
                <w:lang w:bidi="ar"/>
              </w:rPr>
            </w:pPr>
          </w:p>
        </w:tc>
        <w:tc>
          <w:tcPr>
            <w:tcW w:w="523" w:type="pct"/>
            <w:vMerge w:val="continue"/>
            <w:shd w:val="clear" w:color="auto" w:fill="auto"/>
            <w:vAlign w:val="center"/>
          </w:tcPr>
          <w:p>
            <w:pPr>
              <w:rPr>
                <w:rFonts w:asciiTheme="minorEastAsia" w:hAnsiTheme="minorEastAsia" w:eastAsiaTheme="minorEastAsia" w:cstheme="minorEastAsia"/>
                <w:color w:val="000000"/>
                <w:szCs w:val="21"/>
              </w:rPr>
            </w:pPr>
          </w:p>
        </w:tc>
        <w:tc>
          <w:tcPr>
            <w:tcW w:w="3496"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支持部标BCP数据包导出，支持批量导出BCP数据包</w:t>
            </w:r>
          </w:p>
        </w:tc>
        <w:tc>
          <w:tcPr>
            <w:tcW w:w="675"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306" w:type="pct"/>
            <w:shd w:val="clear" w:color="auto" w:fill="auto"/>
            <w:vAlign w:val="center"/>
          </w:tcPr>
          <w:p>
            <w:pPr>
              <w:widowControl w:val="0"/>
              <w:numPr>
                <w:ilvl w:val="0"/>
                <w:numId w:val="51"/>
              </w:numPr>
              <w:jc w:val="center"/>
              <w:textAlignment w:val="center"/>
              <w:rPr>
                <w:rFonts w:asciiTheme="minorEastAsia" w:hAnsiTheme="minorEastAsia" w:eastAsiaTheme="minorEastAsia" w:cstheme="minorEastAsia"/>
                <w:b/>
                <w:bCs/>
                <w:color w:val="000000"/>
                <w:kern w:val="0"/>
                <w:szCs w:val="21"/>
                <w:lang w:bidi="ar"/>
              </w:rPr>
            </w:pPr>
          </w:p>
        </w:tc>
        <w:tc>
          <w:tcPr>
            <w:tcW w:w="523" w:type="pct"/>
            <w:vMerge w:val="continue"/>
            <w:shd w:val="clear" w:color="auto" w:fill="auto"/>
            <w:vAlign w:val="center"/>
          </w:tcPr>
          <w:p>
            <w:pPr>
              <w:rPr>
                <w:rFonts w:asciiTheme="minorEastAsia" w:hAnsiTheme="minorEastAsia" w:eastAsiaTheme="minorEastAsia" w:cstheme="minorEastAsia"/>
                <w:color w:val="000000"/>
                <w:szCs w:val="21"/>
              </w:rPr>
            </w:pPr>
          </w:p>
        </w:tc>
        <w:tc>
          <w:tcPr>
            <w:tcW w:w="3496"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具备收支分析能力：进行多维度的经济信息分析，包括收支统计和资金往来等，以筛选可疑经济行为。支持时间轴显示</w:t>
            </w:r>
          </w:p>
        </w:tc>
        <w:tc>
          <w:tcPr>
            <w:tcW w:w="675"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306" w:type="pct"/>
            <w:shd w:val="clear" w:color="auto" w:fill="auto"/>
            <w:vAlign w:val="center"/>
          </w:tcPr>
          <w:p>
            <w:pPr>
              <w:widowControl w:val="0"/>
              <w:numPr>
                <w:ilvl w:val="0"/>
                <w:numId w:val="51"/>
              </w:numPr>
              <w:jc w:val="center"/>
              <w:textAlignment w:val="center"/>
              <w:rPr>
                <w:rFonts w:asciiTheme="minorEastAsia" w:hAnsiTheme="minorEastAsia" w:eastAsiaTheme="minorEastAsia" w:cstheme="minorEastAsia"/>
                <w:b/>
                <w:bCs/>
                <w:color w:val="000000"/>
                <w:kern w:val="0"/>
                <w:szCs w:val="21"/>
                <w:lang w:bidi="ar"/>
              </w:rPr>
            </w:pPr>
          </w:p>
        </w:tc>
        <w:tc>
          <w:tcPr>
            <w:tcW w:w="523" w:type="pct"/>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物联网管理A</w:t>
            </w:r>
            <w:r>
              <w:rPr>
                <w:rFonts w:asciiTheme="minorEastAsia" w:hAnsiTheme="minorEastAsia" w:eastAsiaTheme="minorEastAsia" w:cstheme="minorEastAsia"/>
                <w:color w:val="000000"/>
                <w:szCs w:val="21"/>
              </w:rPr>
              <w:t>PI</w:t>
            </w:r>
          </w:p>
        </w:tc>
        <w:tc>
          <w:tcPr>
            <w:tcW w:w="3496"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支持开放的物联网管理API接口，供实验室管理系统采集设备工作状态和工作量</w:t>
            </w:r>
          </w:p>
        </w:tc>
        <w:tc>
          <w:tcPr>
            <w:tcW w:w="675"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bl>
    <w:p>
      <w:pPr>
        <w:rPr>
          <w:rFonts w:asciiTheme="minorEastAsia" w:hAnsiTheme="minorEastAsia" w:eastAsiaTheme="minorEastAsia" w:cstheme="minorEastAsia"/>
          <w:szCs w:val="21"/>
        </w:rPr>
      </w:pPr>
    </w:p>
    <w:p>
      <w:pPr>
        <w:pStyle w:val="5"/>
        <w:spacing w:before="15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第2包 介质取证塔</w:t>
      </w:r>
      <w:r>
        <w:rPr>
          <w:rFonts w:hint="default" w:ascii="Times New Roman" w:hAnsi="Times New Roman" w:cs="Times New Roman" w:eastAsiaTheme="minorEastAsia"/>
          <w:szCs w:val="21"/>
        </w:rPr>
        <w:t>Ⅱ</w:t>
      </w:r>
    </w:p>
    <w:tbl>
      <w:tblPr>
        <w:tblStyle w:val="81"/>
        <w:tblW w:w="475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9"/>
        <w:gridCol w:w="883"/>
        <w:gridCol w:w="5571"/>
        <w:gridCol w:w="1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blHeader/>
          <w:jc w:val="center"/>
        </w:trPr>
        <w:tc>
          <w:tcPr>
            <w:tcW w:w="333" w:type="pct"/>
            <w:shd w:val="clear" w:color="auto" w:fill="auto"/>
            <w:vAlign w:val="center"/>
          </w:tcPr>
          <w:p>
            <w:pPr>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b/>
                <w:bCs/>
                <w:color w:val="000000"/>
                <w:kern w:val="0"/>
                <w:szCs w:val="21"/>
                <w:lang w:bidi="ar"/>
              </w:rPr>
              <w:t>序号</w:t>
            </w:r>
          </w:p>
        </w:tc>
        <w:tc>
          <w:tcPr>
            <w:tcW w:w="545" w:type="pct"/>
            <w:shd w:val="clear" w:color="auto" w:fill="auto"/>
            <w:vAlign w:val="center"/>
          </w:tcPr>
          <w:p>
            <w:pPr>
              <w:jc w:val="center"/>
              <w:textAlignment w:val="center"/>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kern w:val="0"/>
                <w:szCs w:val="21"/>
                <w:lang w:bidi="ar"/>
              </w:rPr>
              <w:t>指标项</w:t>
            </w:r>
          </w:p>
        </w:tc>
        <w:tc>
          <w:tcPr>
            <w:tcW w:w="3440" w:type="pct"/>
            <w:shd w:val="clear" w:color="auto" w:fill="auto"/>
            <w:vAlign w:val="center"/>
          </w:tcPr>
          <w:p>
            <w:pPr>
              <w:jc w:val="center"/>
              <w:textAlignment w:val="center"/>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kern w:val="0"/>
                <w:szCs w:val="21"/>
                <w:lang w:bidi="ar"/>
              </w:rPr>
              <w:t>技术要求</w:t>
            </w:r>
          </w:p>
        </w:tc>
        <w:tc>
          <w:tcPr>
            <w:tcW w:w="682" w:type="pct"/>
            <w:shd w:val="clear" w:color="auto" w:fill="auto"/>
          </w:tcPr>
          <w:p>
            <w:pPr>
              <w:jc w:val="center"/>
              <w:textAlignment w:val="center"/>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Cs/>
                <w:color w:val="000000"/>
                <w:kern w:val="0"/>
                <w:szCs w:val="21"/>
                <w:lang w:bidi="ar"/>
              </w:rPr>
              <w:t>证明材料要求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333" w:type="pct"/>
            <w:shd w:val="clear" w:color="auto" w:fill="auto"/>
            <w:vAlign w:val="center"/>
          </w:tcPr>
          <w:p>
            <w:pPr>
              <w:widowControl w:val="0"/>
              <w:numPr>
                <w:ilvl w:val="0"/>
                <w:numId w:val="52"/>
              </w:numPr>
              <w:jc w:val="center"/>
              <w:textAlignment w:val="center"/>
              <w:rPr>
                <w:rFonts w:asciiTheme="minorEastAsia" w:hAnsiTheme="minorEastAsia" w:eastAsiaTheme="minorEastAsia" w:cstheme="minorEastAsia"/>
                <w:b/>
                <w:bCs/>
                <w:color w:val="000000"/>
                <w:kern w:val="0"/>
                <w:szCs w:val="21"/>
                <w:lang w:bidi="ar"/>
              </w:rPr>
            </w:pPr>
          </w:p>
        </w:tc>
        <w:tc>
          <w:tcPr>
            <w:tcW w:w="545" w:type="pct"/>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处理器</w:t>
            </w:r>
          </w:p>
        </w:tc>
        <w:tc>
          <w:tcPr>
            <w:tcW w:w="3440" w:type="pct"/>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CPU不低于16核24线程</w:t>
            </w:r>
          </w:p>
        </w:tc>
        <w:tc>
          <w:tcPr>
            <w:tcW w:w="682"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333" w:type="pct"/>
            <w:shd w:val="clear" w:color="auto" w:fill="auto"/>
            <w:vAlign w:val="center"/>
          </w:tcPr>
          <w:p>
            <w:pPr>
              <w:widowControl w:val="0"/>
              <w:numPr>
                <w:ilvl w:val="0"/>
                <w:numId w:val="52"/>
              </w:numPr>
              <w:jc w:val="center"/>
              <w:textAlignment w:val="center"/>
              <w:rPr>
                <w:rFonts w:asciiTheme="minorEastAsia" w:hAnsiTheme="minorEastAsia" w:eastAsiaTheme="minorEastAsia" w:cstheme="minorEastAsia"/>
                <w:b/>
                <w:bCs/>
                <w:color w:val="000000"/>
                <w:kern w:val="0"/>
                <w:szCs w:val="21"/>
                <w:lang w:bidi="ar"/>
              </w:rPr>
            </w:pPr>
          </w:p>
        </w:tc>
        <w:tc>
          <w:tcPr>
            <w:tcW w:w="545" w:type="pct"/>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内存</w:t>
            </w:r>
          </w:p>
        </w:tc>
        <w:tc>
          <w:tcPr>
            <w:tcW w:w="3440" w:type="pct"/>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不低于DDR5 64GB内存</w:t>
            </w:r>
          </w:p>
        </w:tc>
        <w:tc>
          <w:tcPr>
            <w:tcW w:w="682"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333" w:type="pct"/>
            <w:shd w:val="clear" w:color="auto" w:fill="auto"/>
            <w:vAlign w:val="center"/>
          </w:tcPr>
          <w:p>
            <w:pPr>
              <w:widowControl w:val="0"/>
              <w:numPr>
                <w:ilvl w:val="0"/>
                <w:numId w:val="52"/>
              </w:numPr>
              <w:jc w:val="center"/>
              <w:textAlignment w:val="center"/>
              <w:rPr>
                <w:rFonts w:asciiTheme="minorEastAsia" w:hAnsiTheme="minorEastAsia" w:eastAsiaTheme="minorEastAsia" w:cstheme="minorEastAsia"/>
                <w:b/>
                <w:bCs/>
                <w:color w:val="000000"/>
                <w:kern w:val="0"/>
                <w:szCs w:val="21"/>
                <w:lang w:bidi="ar"/>
              </w:rPr>
            </w:pPr>
          </w:p>
        </w:tc>
        <w:tc>
          <w:tcPr>
            <w:tcW w:w="545" w:type="pct"/>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存储</w:t>
            </w:r>
          </w:p>
        </w:tc>
        <w:tc>
          <w:tcPr>
            <w:tcW w:w="3440" w:type="pct"/>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不低于8T SDD、总硬盘容量不低于24TB</w:t>
            </w:r>
          </w:p>
        </w:tc>
        <w:tc>
          <w:tcPr>
            <w:tcW w:w="682"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333" w:type="pct"/>
            <w:shd w:val="clear" w:color="auto" w:fill="auto"/>
            <w:vAlign w:val="center"/>
          </w:tcPr>
          <w:p>
            <w:pPr>
              <w:widowControl w:val="0"/>
              <w:numPr>
                <w:ilvl w:val="0"/>
                <w:numId w:val="52"/>
              </w:numPr>
              <w:jc w:val="center"/>
              <w:textAlignment w:val="center"/>
              <w:rPr>
                <w:rFonts w:asciiTheme="minorEastAsia" w:hAnsiTheme="minorEastAsia" w:eastAsiaTheme="minorEastAsia" w:cstheme="minorEastAsia"/>
                <w:b/>
                <w:bCs/>
                <w:color w:val="000000"/>
                <w:kern w:val="0"/>
                <w:szCs w:val="21"/>
                <w:lang w:bidi="ar"/>
              </w:rPr>
            </w:pPr>
          </w:p>
        </w:tc>
        <w:tc>
          <w:tcPr>
            <w:tcW w:w="545" w:type="pct"/>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显卡</w:t>
            </w:r>
          </w:p>
        </w:tc>
        <w:tc>
          <w:tcPr>
            <w:tcW w:w="3440" w:type="pct"/>
            <w:shd w:val="clear" w:color="auto" w:fill="auto"/>
            <w:vAlign w:val="center"/>
          </w:tcPr>
          <w:p>
            <w:pPr>
              <w:textAlignment w:val="center"/>
              <w:rPr>
                <w:rFonts w:asciiTheme="minorEastAsia" w:hAnsiTheme="minorEastAsia" w:eastAsiaTheme="minorEastAsia" w:cstheme="minorEastAsia"/>
                <w:color w:val="000000"/>
                <w:szCs w:val="21"/>
                <w:lang w:val="en-US"/>
              </w:rPr>
            </w:pPr>
            <w:r>
              <w:rPr>
                <w:rFonts w:hint="eastAsia" w:asciiTheme="minorEastAsia" w:hAnsiTheme="minorEastAsia" w:eastAsiaTheme="minorEastAsia" w:cstheme="minorEastAsia"/>
                <w:color w:val="000000"/>
                <w:kern w:val="0"/>
                <w:szCs w:val="21"/>
                <w:lang w:bidi="ar"/>
              </w:rPr>
              <w:t>算力不低于</w:t>
            </w:r>
            <w:r>
              <w:rPr>
                <w:rFonts w:hint="eastAsia" w:asciiTheme="minorEastAsia" w:hAnsiTheme="minorEastAsia" w:eastAsiaTheme="minorEastAsia" w:cstheme="minorEastAsia"/>
                <w:color w:val="000000"/>
                <w:kern w:val="0"/>
                <w:szCs w:val="21"/>
                <w:lang w:val="en-US" w:bidi="ar"/>
              </w:rPr>
              <w:t>706 AI TOPS</w:t>
            </w:r>
          </w:p>
        </w:tc>
        <w:tc>
          <w:tcPr>
            <w:tcW w:w="682" w:type="pct"/>
            <w:shd w:val="clear" w:color="auto" w:fill="auto"/>
          </w:tcPr>
          <w:p>
            <w:pPr>
              <w:jc w:val="center"/>
              <w:rPr>
                <w:rFonts w:asciiTheme="minorEastAsia" w:hAnsiTheme="minorEastAsia" w:eastAsiaTheme="minorEastAsia" w:cstheme="minorEastAsia"/>
                <w:color w:val="000000"/>
                <w:szCs w:val="21"/>
                <w:lang w:val="en-US"/>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33" w:type="pct"/>
            <w:shd w:val="clear" w:color="auto" w:fill="auto"/>
            <w:vAlign w:val="center"/>
          </w:tcPr>
          <w:p>
            <w:pPr>
              <w:widowControl w:val="0"/>
              <w:numPr>
                <w:ilvl w:val="0"/>
                <w:numId w:val="52"/>
              </w:numPr>
              <w:jc w:val="center"/>
              <w:textAlignment w:val="center"/>
              <w:rPr>
                <w:rFonts w:asciiTheme="minorEastAsia" w:hAnsiTheme="minorEastAsia" w:eastAsiaTheme="minorEastAsia" w:cstheme="minorEastAsia"/>
                <w:b/>
                <w:bCs/>
                <w:color w:val="000000"/>
                <w:kern w:val="0"/>
                <w:szCs w:val="21"/>
                <w:lang w:val="en-US" w:bidi="ar"/>
              </w:rPr>
            </w:pPr>
          </w:p>
        </w:tc>
        <w:tc>
          <w:tcPr>
            <w:tcW w:w="545" w:type="pct"/>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显示器</w:t>
            </w:r>
          </w:p>
        </w:tc>
        <w:tc>
          <w:tcPr>
            <w:tcW w:w="3440" w:type="pct"/>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≥34英寸 3440 × 1440 (WQHD) 曲面 21:9 75Hz</w:t>
            </w:r>
          </w:p>
        </w:tc>
        <w:tc>
          <w:tcPr>
            <w:tcW w:w="682"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333" w:type="pct"/>
            <w:shd w:val="clear" w:color="auto" w:fill="auto"/>
            <w:vAlign w:val="center"/>
          </w:tcPr>
          <w:p>
            <w:pPr>
              <w:widowControl w:val="0"/>
              <w:numPr>
                <w:ilvl w:val="0"/>
                <w:numId w:val="52"/>
              </w:numPr>
              <w:jc w:val="center"/>
              <w:textAlignment w:val="center"/>
              <w:rPr>
                <w:rFonts w:asciiTheme="minorEastAsia" w:hAnsiTheme="minorEastAsia" w:eastAsiaTheme="minorEastAsia" w:cstheme="minorEastAsia"/>
                <w:b/>
                <w:bCs/>
                <w:color w:val="000000"/>
                <w:kern w:val="0"/>
                <w:szCs w:val="21"/>
                <w:lang w:bidi="ar"/>
              </w:rPr>
            </w:pPr>
          </w:p>
        </w:tc>
        <w:tc>
          <w:tcPr>
            <w:tcW w:w="545" w:type="pct"/>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接口</w:t>
            </w:r>
          </w:p>
        </w:tc>
        <w:tc>
          <w:tcPr>
            <w:tcW w:w="3440" w:type="pct"/>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不少于4个支持SATA/SAS接口的只读盘仓和读写盘仓，并且均需支持热插拔；不少于4个USB3.0接口；</w:t>
            </w:r>
          </w:p>
        </w:tc>
        <w:tc>
          <w:tcPr>
            <w:tcW w:w="682"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333" w:type="pct"/>
            <w:shd w:val="clear" w:color="auto" w:fill="auto"/>
            <w:vAlign w:val="center"/>
          </w:tcPr>
          <w:p>
            <w:pPr>
              <w:widowControl w:val="0"/>
              <w:numPr>
                <w:ilvl w:val="0"/>
                <w:numId w:val="52"/>
              </w:numPr>
              <w:jc w:val="center"/>
              <w:textAlignment w:val="center"/>
              <w:rPr>
                <w:rFonts w:asciiTheme="minorEastAsia" w:hAnsiTheme="minorEastAsia" w:eastAsiaTheme="minorEastAsia" w:cstheme="minorEastAsia"/>
                <w:b/>
                <w:bCs/>
                <w:color w:val="000000"/>
                <w:kern w:val="0"/>
                <w:szCs w:val="21"/>
                <w:lang w:bidi="ar"/>
              </w:rPr>
            </w:pPr>
          </w:p>
        </w:tc>
        <w:tc>
          <w:tcPr>
            <w:tcW w:w="545" w:type="pct"/>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光驱</w:t>
            </w:r>
          </w:p>
        </w:tc>
        <w:tc>
          <w:tcPr>
            <w:tcW w:w="3440" w:type="pct"/>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不少于1台蓝光刻录机</w:t>
            </w:r>
          </w:p>
        </w:tc>
        <w:tc>
          <w:tcPr>
            <w:tcW w:w="682"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333" w:type="pct"/>
            <w:shd w:val="clear" w:color="auto" w:fill="auto"/>
            <w:vAlign w:val="center"/>
          </w:tcPr>
          <w:p>
            <w:pPr>
              <w:widowControl w:val="0"/>
              <w:numPr>
                <w:ilvl w:val="0"/>
                <w:numId w:val="52"/>
              </w:numPr>
              <w:jc w:val="center"/>
              <w:textAlignment w:val="center"/>
              <w:rPr>
                <w:rFonts w:asciiTheme="minorEastAsia" w:hAnsiTheme="minorEastAsia" w:eastAsiaTheme="minorEastAsia" w:cstheme="minorEastAsia"/>
                <w:b/>
                <w:bCs/>
                <w:color w:val="000000"/>
                <w:kern w:val="0"/>
                <w:szCs w:val="21"/>
                <w:lang w:bidi="ar"/>
              </w:rPr>
            </w:pPr>
          </w:p>
        </w:tc>
        <w:tc>
          <w:tcPr>
            <w:tcW w:w="545" w:type="pct"/>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网络</w:t>
            </w:r>
          </w:p>
        </w:tc>
        <w:tc>
          <w:tcPr>
            <w:tcW w:w="3440" w:type="pct"/>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不低于1个2.5G（2500M）电口</w:t>
            </w:r>
          </w:p>
        </w:tc>
        <w:tc>
          <w:tcPr>
            <w:tcW w:w="682"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333" w:type="pct"/>
            <w:shd w:val="clear" w:color="auto" w:fill="auto"/>
            <w:vAlign w:val="center"/>
          </w:tcPr>
          <w:p>
            <w:pPr>
              <w:widowControl w:val="0"/>
              <w:numPr>
                <w:ilvl w:val="0"/>
                <w:numId w:val="52"/>
              </w:numPr>
              <w:jc w:val="center"/>
              <w:textAlignment w:val="center"/>
              <w:rPr>
                <w:rFonts w:asciiTheme="minorEastAsia" w:hAnsiTheme="minorEastAsia" w:eastAsiaTheme="minorEastAsia" w:cstheme="minorEastAsia"/>
                <w:b/>
                <w:bCs/>
                <w:color w:val="000000"/>
                <w:kern w:val="0"/>
                <w:szCs w:val="21"/>
                <w:lang w:bidi="ar"/>
              </w:rPr>
            </w:pPr>
          </w:p>
        </w:tc>
        <w:tc>
          <w:tcPr>
            <w:tcW w:w="545" w:type="pct"/>
            <w:vMerge w:val="restart"/>
            <w:shd w:val="clear" w:color="auto" w:fill="auto"/>
            <w:vAlign w:val="center"/>
          </w:tcPr>
          <w:p>
            <w:pPr>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分析能力</w:t>
            </w:r>
          </w:p>
        </w:tc>
        <w:tc>
          <w:tcPr>
            <w:tcW w:w="3440" w:type="pct"/>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支持物理存储设备、镜像文件、文件/文件夹、磁盘阵列（RAID）的加载分析；镜像文件格式包含DD、E01、AFF、001、ISO、DMG、VHD、VMDK、QCOW2</w:t>
            </w:r>
          </w:p>
        </w:tc>
        <w:tc>
          <w:tcPr>
            <w:tcW w:w="682"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333" w:type="pct"/>
            <w:shd w:val="clear" w:color="auto" w:fill="auto"/>
            <w:vAlign w:val="center"/>
          </w:tcPr>
          <w:p>
            <w:pPr>
              <w:widowControl w:val="0"/>
              <w:numPr>
                <w:ilvl w:val="0"/>
                <w:numId w:val="52"/>
              </w:numPr>
              <w:jc w:val="center"/>
              <w:textAlignment w:val="center"/>
              <w:rPr>
                <w:rFonts w:asciiTheme="minorEastAsia" w:hAnsiTheme="minorEastAsia" w:eastAsiaTheme="minorEastAsia" w:cstheme="minorEastAsia"/>
                <w:b/>
                <w:bCs/>
                <w:color w:val="000000"/>
                <w:kern w:val="0"/>
                <w:szCs w:val="21"/>
                <w:lang w:bidi="ar"/>
              </w:rPr>
            </w:pPr>
          </w:p>
        </w:tc>
        <w:tc>
          <w:tcPr>
            <w:tcW w:w="545" w:type="pct"/>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3440" w:type="pct"/>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支持Windows、macOS、Linux、Kylin、UOS等系统的基本信息解析</w:t>
            </w:r>
          </w:p>
        </w:tc>
        <w:tc>
          <w:tcPr>
            <w:tcW w:w="682"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333" w:type="pct"/>
            <w:shd w:val="clear" w:color="auto" w:fill="auto"/>
            <w:vAlign w:val="center"/>
          </w:tcPr>
          <w:p>
            <w:pPr>
              <w:widowControl w:val="0"/>
              <w:numPr>
                <w:ilvl w:val="0"/>
                <w:numId w:val="52"/>
              </w:numPr>
              <w:jc w:val="center"/>
              <w:textAlignment w:val="center"/>
              <w:rPr>
                <w:rFonts w:asciiTheme="minorEastAsia" w:hAnsiTheme="minorEastAsia" w:eastAsiaTheme="minorEastAsia" w:cstheme="minorEastAsia"/>
                <w:b/>
                <w:bCs/>
                <w:color w:val="000000"/>
                <w:kern w:val="0"/>
                <w:szCs w:val="21"/>
                <w:lang w:bidi="ar"/>
              </w:rPr>
            </w:pPr>
          </w:p>
        </w:tc>
        <w:tc>
          <w:tcPr>
            <w:tcW w:w="545" w:type="pct"/>
            <w:vMerge w:val="restart"/>
            <w:shd w:val="clear" w:color="auto" w:fill="auto"/>
            <w:vAlign w:val="center"/>
          </w:tcPr>
          <w:p>
            <w:pPr>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应用程序分析</w:t>
            </w:r>
          </w:p>
        </w:tc>
        <w:tc>
          <w:tcPr>
            <w:tcW w:w="3440" w:type="pct"/>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支持即时通讯类的应用痕迹解析，至少包含微信、企业微信、QQ、钉钉、Skype、Signal、telegram等类型应用；</w:t>
            </w:r>
          </w:p>
        </w:tc>
        <w:tc>
          <w:tcPr>
            <w:tcW w:w="682"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333" w:type="pct"/>
            <w:shd w:val="clear" w:color="auto" w:fill="auto"/>
            <w:vAlign w:val="center"/>
          </w:tcPr>
          <w:p>
            <w:pPr>
              <w:widowControl w:val="0"/>
              <w:numPr>
                <w:ilvl w:val="0"/>
                <w:numId w:val="52"/>
              </w:numPr>
              <w:jc w:val="center"/>
              <w:textAlignment w:val="center"/>
              <w:rPr>
                <w:rFonts w:asciiTheme="minorEastAsia" w:hAnsiTheme="minorEastAsia" w:eastAsiaTheme="minorEastAsia" w:cstheme="minorEastAsia"/>
                <w:b/>
                <w:bCs/>
                <w:color w:val="000000"/>
                <w:kern w:val="0"/>
                <w:szCs w:val="21"/>
                <w:lang w:bidi="ar"/>
              </w:rPr>
            </w:pPr>
          </w:p>
        </w:tc>
        <w:tc>
          <w:tcPr>
            <w:tcW w:w="545" w:type="pct"/>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3440" w:type="pct"/>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支持浏览器痕迹解析，至少包含Chrome、Internet Explorer、360安全浏览器、QQ浏览器、Edge、Safari、搜狗浏览器、FireFox、Opera等类型应用</w:t>
            </w:r>
          </w:p>
        </w:tc>
        <w:tc>
          <w:tcPr>
            <w:tcW w:w="682"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333" w:type="pct"/>
            <w:shd w:val="clear" w:color="auto" w:fill="auto"/>
            <w:vAlign w:val="center"/>
          </w:tcPr>
          <w:p>
            <w:pPr>
              <w:widowControl w:val="0"/>
              <w:numPr>
                <w:ilvl w:val="0"/>
                <w:numId w:val="52"/>
              </w:numPr>
              <w:jc w:val="center"/>
              <w:textAlignment w:val="center"/>
              <w:rPr>
                <w:rFonts w:asciiTheme="minorEastAsia" w:hAnsiTheme="minorEastAsia" w:eastAsiaTheme="minorEastAsia" w:cstheme="minorEastAsia"/>
                <w:b/>
                <w:bCs/>
                <w:color w:val="000000"/>
                <w:kern w:val="0"/>
                <w:szCs w:val="21"/>
                <w:lang w:bidi="ar"/>
              </w:rPr>
            </w:pPr>
          </w:p>
        </w:tc>
        <w:tc>
          <w:tcPr>
            <w:tcW w:w="545" w:type="pct"/>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3440" w:type="pct"/>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支持客户端邮件痕迹解析，至少包含Outlook、FoxMail、Notes Mail、Win10Mail等类型应用</w:t>
            </w:r>
          </w:p>
        </w:tc>
        <w:tc>
          <w:tcPr>
            <w:tcW w:w="682"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333" w:type="pct"/>
            <w:shd w:val="clear" w:color="auto" w:fill="auto"/>
            <w:vAlign w:val="center"/>
          </w:tcPr>
          <w:p>
            <w:pPr>
              <w:widowControl w:val="0"/>
              <w:numPr>
                <w:ilvl w:val="0"/>
                <w:numId w:val="52"/>
              </w:numPr>
              <w:jc w:val="center"/>
              <w:textAlignment w:val="center"/>
              <w:rPr>
                <w:rFonts w:asciiTheme="minorEastAsia" w:hAnsiTheme="minorEastAsia" w:eastAsiaTheme="minorEastAsia" w:cstheme="minorEastAsia"/>
                <w:b/>
                <w:bCs/>
                <w:color w:val="000000"/>
                <w:kern w:val="0"/>
                <w:szCs w:val="21"/>
                <w:lang w:bidi="ar"/>
              </w:rPr>
            </w:pPr>
          </w:p>
        </w:tc>
        <w:tc>
          <w:tcPr>
            <w:tcW w:w="545" w:type="pct"/>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3440" w:type="pct"/>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支持网盘类应用痕迹解析，至少包含百度网盘、360云盘、iCloud、腾讯微云、OneDrive等类型应用</w:t>
            </w:r>
          </w:p>
        </w:tc>
        <w:tc>
          <w:tcPr>
            <w:tcW w:w="682"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333" w:type="pct"/>
            <w:shd w:val="clear" w:color="auto" w:fill="auto"/>
            <w:vAlign w:val="center"/>
          </w:tcPr>
          <w:p>
            <w:pPr>
              <w:widowControl w:val="0"/>
              <w:numPr>
                <w:ilvl w:val="0"/>
                <w:numId w:val="52"/>
              </w:numPr>
              <w:jc w:val="center"/>
              <w:textAlignment w:val="center"/>
              <w:rPr>
                <w:rFonts w:asciiTheme="minorEastAsia" w:hAnsiTheme="minorEastAsia" w:eastAsiaTheme="minorEastAsia" w:cstheme="minorEastAsia"/>
                <w:b/>
                <w:bCs/>
                <w:color w:val="000000"/>
                <w:kern w:val="0"/>
                <w:szCs w:val="21"/>
                <w:lang w:bidi="ar"/>
              </w:rPr>
            </w:pPr>
          </w:p>
        </w:tc>
        <w:tc>
          <w:tcPr>
            <w:tcW w:w="545" w:type="pct"/>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3440" w:type="pct"/>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支持运维类工具痕迹解析，至少包含向日葵、Todesk、Navicat、SecureCRT、Xshell、Putty、DBeaver、TeamViewer、SSR、宝塔面板等类型应用痕迹解析</w:t>
            </w:r>
          </w:p>
        </w:tc>
        <w:tc>
          <w:tcPr>
            <w:tcW w:w="682"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333" w:type="pct"/>
            <w:shd w:val="clear" w:color="auto" w:fill="auto"/>
            <w:vAlign w:val="center"/>
          </w:tcPr>
          <w:p>
            <w:pPr>
              <w:widowControl w:val="0"/>
              <w:numPr>
                <w:ilvl w:val="0"/>
                <w:numId w:val="52"/>
              </w:numPr>
              <w:jc w:val="center"/>
              <w:textAlignment w:val="center"/>
              <w:rPr>
                <w:rFonts w:asciiTheme="minorEastAsia" w:hAnsiTheme="minorEastAsia" w:eastAsiaTheme="minorEastAsia" w:cstheme="minorEastAsia"/>
                <w:b/>
                <w:bCs/>
                <w:color w:val="000000"/>
                <w:kern w:val="0"/>
                <w:szCs w:val="21"/>
                <w:lang w:bidi="ar"/>
              </w:rPr>
            </w:pPr>
          </w:p>
        </w:tc>
        <w:tc>
          <w:tcPr>
            <w:tcW w:w="545" w:type="pct"/>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文件分析</w:t>
            </w:r>
          </w:p>
        </w:tc>
        <w:tc>
          <w:tcPr>
            <w:tcW w:w="3440" w:type="pct"/>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支持对检材文件的文件特征分析，能够识别文件扩展名是否被篡改、文件是否加密、文件特征是否损坏、文件是否完整</w:t>
            </w:r>
          </w:p>
        </w:tc>
        <w:tc>
          <w:tcPr>
            <w:tcW w:w="682"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333" w:type="pct"/>
            <w:shd w:val="clear" w:color="auto" w:fill="auto"/>
            <w:vAlign w:val="center"/>
          </w:tcPr>
          <w:p>
            <w:pPr>
              <w:widowControl w:val="0"/>
              <w:numPr>
                <w:ilvl w:val="0"/>
                <w:numId w:val="52"/>
              </w:numPr>
              <w:jc w:val="center"/>
              <w:textAlignment w:val="center"/>
              <w:rPr>
                <w:rFonts w:asciiTheme="minorEastAsia" w:hAnsiTheme="minorEastAsia" w:eastAsiaTheme="minorEastAsia" w:cstheme="minorEastAsia"/>
                <w:b/>
                <w:bCs/>
                <w:color w:val="000000"/>
                <w:kern w:val="0"/>
                <w:szCs w:val="21"/>
                <w:lang w:bidi="ar"/>
              </w:rPr>
            </w:pPr>
          </w:p>
        </w:tc>
        <w:tc>
          <w:tcPr>
            <w:tcW w:w="545" w:type="pct"/>
            <w:shd w:val="clear" w:color="auto" w:fill="auto"/>
            <w:vAlign w:val="center"/>
          </w:tcPr>
          <w:p>
            <w:pPr>
              <w:rPr>
                <w:rFonts w:asciiTheme="minorEastAsia" w:hAnsiTheme="minorEastAsia" w:eastAsiaTheme="minorEastAsia" w:cstheme="minorEastAsia"/>
                <w:color w:val="000000"/>
                <w:szCs w:val="21"/>
              </w:rPr>
            </w:pPr>
          </w:p>
        </w:tc>
        <w:tc>
          <w:tcPr>
            <w:tcW w:w="3440" w:type="pct"/>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支持自动对检材文件进行文件分类；支持各类文档、图片、视频等文件进行预览</w:t>
            </w:r>
          </w:p>
        </w:tc>
        <w:tc>
          <w:tcPr>
            <w:tcW w:w="682"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333" w:type="pct"/>
            <w:shd w:val="clear" w:color="auto" w:fill="auto"/>
            <w:vAlign w:val="center"/>
          </w:tcPr>
          <w:p>
            <w:pPr>
              <w:widowControl w:val="0"/>
              <w:numPr>
                <w:ilvl w:val="0"/>
                <w:numId w:val="52"/>
              </w:numPr>
              <w:jc w:val="center"/>
              <w:textAlignment w:val="center"/>
              <w:rPr>
                <w:rFonts w:asciiTheme="minorEastAsia" w:hAnsiTheme="minorEastAsia" w:eastAsiaTheme="minorEastAsia" w:cstheme="minorEastAsia"/>
                <w:b/>
                <w:bCs/>
                <w:color w:val="000000"/>
                <w:kern w:val="0"/>
                <w:szCs w:val="21"/>
                <w:lang w:bidi="ar"/>
              </w:rPr>
            </w:pPr>
          </w:p>
        </w:tc>
        <w:tc>
          <w:tcPr>
            <w:tcW w:w="545" w:type="pct"/>
            <w:shd w:val="clear" w:color="auto" w:fill="auto"/>
            <w:vAlign w:val="center"/>
          </w:tcPr>
          <w:p>
            <w:pPr>
              <w:rPr>
                <w:rFonts w:asciiTheme="minorEastAsia" w:hAnsiTheme="minorEastAsia" w:eastAsiaTheme="minorEastAsia" w:cstheme="minorEastAsia"/>
                <w:color w:val="000000"/>
                <w:szCs w:val="21"/>
              </w:rPr>
            </w:pPr>
          </w:p>
        </w:tc>
        <w:tc>
          <w:tcPr>
            <w:tcW w:w="3440" w:type="pct"/>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支持基于文件特征对已删除的文件进行特征恢复，包含办公文档、图片、视频、数据库等类型文件；支持对已删除的分区进行分区恢复</w:t>
            </w:r>
          </w:p>
        </w:tc>
        <w:tc>
          <w:tcPr>
            <w:tcW w:w="682"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333" w:type="pct"/>
            <w:shd w:val="clear" w:color="auto" w:fill="auto"/>
            <w:vAlign w:val="center"/>
          </w:tcPr>
          <w:p>
            <w:pPr>
              <w:widowControl w:val="0"/>
              <w:numPr>
                <w:ilvl w:val="0"/>
                <w:numId w:val="52"/>
              </w:numPr>
              <w:jc w:val="center"/>
              <w:textAlignment w:val="center"/>
              <w:rPr>
                <w:rFonts w:asciiTheme="minorEastAsia" w:hAnsiTheme="minorEastAsia" w:eastAsiaTheme="minorEastAsia" w:cstheme="minorEastAsia"/>
                <w:b/>
                <w:bCs/>
                <w:color w:val="000000"/>
                <w:kern w:val="0"/>
                <w:szCs w:val="21"/>
                <w:lang w:bidi="ar"/>
              </w:rPr>
            </w:pPr>
          </w:p>
        </w:tc>
        <w:tc>
          <w:tcPr>
            <w:tcW w:w="545" w:type="pct"/>
            <w:shd w:val="clear" w:color="auto" w:fill="auto"/>
            <w:vAlign w:val="center"/>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取证报告</w:t>
            </w:r>
          </w:p>
        </w:tc>
        <w:tc>
          <w:tcPr>
            <w:tcW w:w="3440" w:type="pct"/>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支持对取证结果生成Html报告和阅读器报告</w:t>
            </w:r>
          </w:p>
        </w:tc>
        <w:tc>
          <w:tcPr>
            <w:tcW w:w="682"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33" w:type="pct"/>
            <w:shd w:val="clear" w:color="auto" w:fill="auto"/>
            <w:vAlign w:val="center"/>
          </w:tcPr>
          <w:p>
            <w:pPr>
              <w:widowControl w:val="0"/>
              <w:numPr>
                <w:ilvl w:val="0"/>
                <w:numId w:val="52"/>
              </w:numPr>
              <w:jc w:val="center"/>
              <w:textAlignment w:val="center"/>
              <w:rPr>
                <w:rFonts w:asciiTheme="minorEastAsia" w:hAnsiTheme="minorEastAsia" w:eastAsiaTheme="minorEastAsia" w:cstheme="minorEastAsia"/>
                <w:b/>
                <w:bCs/>
                <w:color w:val="000000"/>
                <w:kern w:val="0"/>
                <w:szCs w:val="21"/>
                <w:lang w:bidi="ar"/>
              </w:rPr>
            </w:pPr>
          </w:p>
        </w:tc>
        <w:tc>
          <w:tcPr>
            <w:tcW w:w="545" w:type="pct"/>
            <w:vMerge w:val="restart"/>
            <w:shd w:val="clear" w:color="auto" w:fill="auto"/>
            <w:vAlign w:val="center"/>
          </w:tcPr>
          <w:p>
            <w:pPr>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仿真能力</w:t>
            </w:r>
          </w:p>
        </w:tc>
        <w:tc>
          <w:tcPr>
            <w:tcW w:w="3440" w:type="pct"/>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支持物理磁盘、镜像文件和虚拟磁盘仿真</w:t>
            </w:r>
          </w:p>
        </w:tc>
        <w:tc>
          <w:tcPr>
            <w:tcW w:w="682"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333" w:type="pct"/>
            <w:shd w:val="clear" w:color="auto" w:fill="auto"/>
            <w:vAlign w:val="center"/>
          </w:tcPr>
          <w:p>
            <w:pPr>
              <w:widowControl w:val="0"/>
              <w:numPr>
                <w:ilvl w:val="0"/>
                <w:numId w:val="52"/>
              </w:numPr>
              <w:jc w:val="center"/>
              <w:textAlignment w:val="center"/>
              <w:rPr>
                <w:rFonts w:asciiTheme="minorEastAsia" w:hAnsiTheme="minorEastAsia" w:eastAsiaTheme="minorEastAsia" w:cstheme="minorEastAsia"/>
                <w:b/>
                <w:bCs/>
                <w:color w:val="000000"/>
                <w:kern w:val="0"/>
                <w:szCs w:val="21"/>
                <w:lang w:bidi="ar"/>
              </w:rPr>
            </w:pPr>
          </w:p>
        </w:tc>
        <w:tc>
          <w:tcPr>
            <w:tcW w:w="545" w:type="pct"/>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3440" w:type="pct"/>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支持Windows、macOS、Linux、Kylin、UOS等系统仿真；并且Windows和Linux系统需要支持对单分区表的系统仿真</w:t>
            </w:r>
          </w:p>
        </w:tc>
        <w:tc>
          <w:tcPr>
            <w:tcW w:w="682"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333" w:type="pct"/>
            <w:shd w:val="clear" w:color="auto" w:fill="auto"/>
            <w:vAlign w:val="center"/>
          </w:tcPr>
          <w:p>
            <w:pPr>
              <w:widowControl w:val="0"/>
              <w:numPr>
                <w:ilvl w:val="0"/>
                <w:numId w:val="52"/>
              </w:numPr>
              <w:jc w:val="center"/>
              <w:textAlignment w:val="center"/>
              <w:rPr>
                <w:rFonts w:asciiTheme="minorEastAsia" w:hAnsiTheme="minorEastAsia" w:eastAsiaTheme="minorEastAsia" w:cstheme="minorEastAsia"/>
                <w:b/>
                <w:bCs/>
                <w:color w:val="000000"/>
                <w:kern w:val="0"/>
                <w:szCs w:val="21"/>
                <w:lang w:bidi="ar"/>
              </w:rPr>
            </w:pPr>
          </w:p>
        </w:tc>
        <w:tc>
          <w:tcPr>
            <w:tcW w:w="545" w:type="pct"/>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3440" w:type="pct"/>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支持X86、ARM架构的系统仿真</w:t>
            </w:r>
          </w:p>
        </w:tc>
        <w:tc>
          <w:tcPr>
            <w:tcW w:w="682"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333" w:type="pct"/>
            <w:shd w:val="clear" w:color="auto" w:fill="auto"/>
            <w:vAlign w:val="center"/>
          </w:tcPr>
          <w:p>
            <w:pPr>
              <w:widowControl w:val="0"/>
              <w:numPr>
                <w:ilvl w:val="0"/>
                <w:numId w:val="52"/>
              </w:numPr>
              <w:jc w:val="center"/>
              <w:textAlignment w:val="center"/>
              <w:rPr>
                <w:rFonts w:asciiTheme="minorEastAsia" w:hAnsiTheme="minorEastAsia" w:eastAsiaTheme="minorEastAsia" w:cstheme="minorEastAsia"/>
                <w:b/>
                <w:bCs/>
                <w:color w:val="000000"/>
                <w:kern w:val="0"/>
                <w:szCs w:val="21"/>
                <w:lang w:bidi="ar"/>
              </w:rPr>
            </w:pPr>
          </w:p>
        </w:tc>
        <w:tc>
          <w:tcPr>
            <w:tcW w:w="545" w:type="pct"/>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3440" w:type="pct"/>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支持带有FileValut2加密的APFS镜像仿真，以及带有4K扇区的macOS系统仿真</w:t>
            </w:r>
          </w:p>
        </w:tc>
        <w:tc>
          <w:tcPr>
            <w:tcW w:w="682"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333" w:type="pct"/>
            <w:shd w:val="clear" w:color="auto" w:fill="auto"/>
            <w:vAlign w:val="center"/>
          </w:tcPr>
          <w:p>
            <w:pPr>
              <w:widowControl w:val="0"/>
              <w:numPr>
                <w:ilvl w:val="0"/>
                <w:numId w:val="52"/>
              </w:numPr>
              <w:jc w:val="center"/>
              <w:textAlignment w:val="center"/>
              <w:rPr>
                <w:rFonts w:asciiTheme="minorEastAsia" w:hAnsiTheme="minorEastAsia" w:eastAsiaTheme="minorEastAsia" w:cstheme="minorEastAsia"/>
                <w:b/>
                <w:bCs/>
                <w:color w:val="000000"/>
                <w:kern w:val="0"/>
                <w:szCs w:val="21"/>
                <w:lang w:bidi="ar"/>
              </w:rPr>
            </w:pPr>
          </w:p>
        </w:tc>
        <w:tc>
          <w:tcPr>
            <w:tcW w:w="545" w:type="pct"/>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3440" w:type="pct"/>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支持对仿真的系统进行密码绕过</w:t>
            </w:r>
          </w:p>
        </w:tc>
        <w:tc>
          <w:tcPr>
            <w:tcW w:w="682"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333" w:type="pct"/>
            <w:shd w:val="clear" w:color="auto" w:fill="auto"/>
            <w:vAlign w:val="center"/>
          </w:tcPr>
          <w:p>
            <w:pPr>
              <w:widowControl w:val="0"/>
              <w:numPr>
                <w:ilvl w:val="0"/>
                <w:numId w:val="52"/>
              </w:numPr>
              <w:jc w:val="center"/>
              <w:textAlignment w:val="center"/>
              <w:rPr>
                <w:rFonts w:asciiTheme="minorEastAsia" w:hAnsiTheme="minorEastAsia" w:eastAsiaTheme="minorEastAsia" w:cstheme="minorEastAsia"/>
                <w:b/>
                <w:bCs/>
                <w:color w:val="000000"/>
                <w:kern w:val="0"/>
                <w:szCs w:val="21"/>
                <w:lang w:bidi="ar"/>
              </w:rPr>
            </w:pPr>
          </w:p>
        </w:tc>
        <w:tc>
          <w:tcPr>
            <w:tcW w:w="545" w:type="pct"/>
            <w:shd w:val="clear" w:color="auto" w:fill="auto"/>
            <w:vAlign w:val="center"/>
          </w:tcPr>
          <w:p>
            <w:pPr>
              <w:jc w:val="center"/>
              <w:rPr>
                <w:rFonts w:asciiTheme="minorEastAsia" w:hAnsiTheme="minorEastAsia" w:eastAsiaTheme="minorEastAsia" w:cstheme="minorEastAsia"/>
                <w:kern w:val="0"/>
                <w:szCs w:val="21"/>
                <w:lang w:bidi="ar"/>
              </w:rPr>
            </w:pPr>
            <w:r>
              <w:rPr>
                <w:rFonts w:hint="eastAsia" w:asciiTheme="minorEastAsia" w:hAnsiTheme="minorEastAsia" w:eastAsiaTheme="minorEastAsia" w:cstheme="minorEastAsia"/>
                <w:szCs w:val="21"/>
              </w:rPr>
              <w:t>物联网管理 API</w:t>
            </w:r>
          </w:p>
        </w:tc>
        <w:tc>
          <w:tcPr>
            <w:tcW w:w="3440" w:type="pct"/>
            <w:shd w:val="clear" w:color="auto" w:fill="auto"/>
            <w:vAlign w:val="center"/>
          </w:tcPr>
          <w:p>
            <w:pPr>
              <w:textAlignment w:val="center"/>
              <w:rPr>
                <w:rFonts w:asciiTheme="minorEastAsia" w:hAnsiTheme="minorEastAsia" w:eastAsiaTheme="minorEastAsia" w:cstheme="minorEastAsia"/>
                <w:kern w:val="0"/>
                <w:szCs w:val="21"/>
                <w:lang w:bidi="ar"/>
              </w:rPr>
            </w:pPr>
            <w:r>
              <w:rPr>
                <w:rFonts w:hint="eastAsia" w:asciiTheme="minorEastAsia" w:hAnsiTheme="minorEastAsia" w:eastAsiaTheme="minorEastAsia" w:cstheme="minorEastAsia"/>
                <w:kern w:val="0"/>
                <w:szCs w:val="21"/>
                <w:lang w:bidi="ar"/>
              </w:rPr>
              <w:t>支持开放的物联网管理API接口，供实验室管理系统采集设备工作状态和工作量</w:t>
            </w:r>
          </w:p>
        </w:tc>
        <w:tc>
          <w:tcPr>
            <w:tcW w:w="682"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bl>
    <w:p>
      <w:pPr>
        <w:rPr>
          <w:rFonts w:asciiTheme="minorEastAsia" w:hAnsiTheme="minorEastAsia" w:eastAsiaTheme="minorEastAsia" w:cstheme="minorEastAsia"/>
          <w:szCs w:val="21"/>
        </w:rPr>
      </w:pPr>
    </w:p>
    <w:p>
      <w:pPr>
        <w:pStyle w:val="5"/>
        <w:spacing w:before="15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第2包 云取证工作站</w:t>
      </w:r>
      <w:r>
        <w:rPr>
          <w:rFonts w:hint="default" w:ascii="Times New Roman" w:hAnsi="Times New Roman" w:cs="Times New Roman" w:eastAsiaTheme="minorEastAsia"/>
          <w:szCs w:val="21"/>
        </w:rPr>
        <w:t>Ⅱ</w:t>
      </w:r>
    </w:p>
    <w:tbl>
      <w:tblPr>
        <w:tblStyle w:val="81"/>
        <w:tblW w:w="477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3"/>
        <w:gridCol w:w="835"/>
        <w:gridCol w:w="10"/>
        <w:gridCol w:w="5647"/>
        <w:gridCol w:w="1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blHeader/>
          <w:jc w:val="center"/>
        </w:trPr>
        <w:tc>
          <w:tcPr>
            <w:tcW w:w="328" w:type="pct"/>
            <w:shd w:val="clear" w:color="auto" w:fill="auto"/>
            <w:vAlign w:val="center"/>
          </w:tcPr>
          <w:p>
            <w:pPr>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b/>
                <w:bCs/>
                <w:color w:val="000000"/>
                <w:kern w:val="0"/>
                <w:szCs w:val="21"/>
                <w:lang w:bidi="ar"/>
              </w:rPr>
              <w:t>序号</w:t>
            </w:r>
          </w:p>
        </w:tc>
        <w:tc>
          <w:tcPr>
            <w:tcW w:w="519" w:type="pct"/>
            <w:gridSpan w:val="2"/>
            <w:shd w:val="clear" w:color="auto" w:fill="auto"/>
            <w:vAlign w:val="center"/>
          </w:tcPr>
          <w:p>
            <w:pPr>
              <w:jc w:val="center"/>
              <w:textAlignment w:val="center"/>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kern w:val="0"/>
                <w:szCs w:val="21"/>
                <w:lang w:bidi="ar"/>
              </w:rPr>
              <w:t>指标项</w:t>
            </w:r>
          </w:p>
        </w:tc>
        <w:tc>
          <w:tcPr>
            <w:tcW w:w="3471" w:type="pct"/>
            <w:shd w:val="clear" w:color="auto" w:fill="auto"/>
            <w:vAlign w:val="center"/>
          </w:tcPr>
          <w:p>
            <w:pPr>
              <w:jc w:val="center"/>
              <w:textAlignment w:val="center"/>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kern w:val="0"/>
                <w:szCs w:val="21"/>
                <w:lang w:bidi="ar"/>
              </w:rPr>
              <w:t>技术要求</w:t>
            </w:r>
          </w:p>
        </w:tc>
        <w:tc>
          <w:tcPr>
            <w:tcW w:w="682" w:type="pct"/>
            <w:shd w:val="clear" w:color="auto" w:fill="auto"/>
          </w:tcPr>
          <w:p>
            <w:pPr>
              <w:jc w:val="center"/>
              <w:textAlignment w:val="center"/>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Cs/>
                <w:color w:val="000000"/>
                <w:kern w:val="0"/>
                <w:szCs w:val="21"/>
                <w:lang w:bidi="ar"/>
              </w:rPr>
              <w:t>证明材料要求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328" w:type="pct"/>
            <w:shd w:val="clear" w:color="auto" w:fill="auto"/>
            <w:vAlign w:val="center"/>
          </w:tcPr>
          <w:p>
            <w:pPr>
              <w:widowControl w:val="0"/>
              <w:numPr>
                <w:ilvl w:val="0"/>
                <w:numId w:val="53"/>
              </w:numPr>
              <w:jc w:val="center"/>
              <w:textAlignment w:val="center"/>
              <w:rPr>
                <w:rFonts w:asciiTheme="minorEastAsia" w:hAnsiTheme="minorEastAsia" w:eastAsiaTheme="minorEastAsia" w:cstheme="minorEastAsia"/>
                <w:b/>
                <w:bCs/>
                <w:color w:val="000000"/>
                <w:kern w:val="0"/>
                <w:szCs w:val="21"/>
                <w:lang w:bidi="ar"/>
              </w:rPr>
            </w:pPr>
          </w:p>
        </w:tc>
        <w:tc>
          <w:tcPr>
            <w:tcW w:w="519" w:type="pct"/>
            <w:gridSpan w:val="2"/>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处理器</w:t>
            </w:r>
          </w:p>
        </w:tc>
        <w:tc>
          <w:tcPr>
            <w:tcW w:w="3471" w:type="pct"/>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CPU不低于12核20线程</w:t>
            </w:r>
          </w:p>
        </w:tc>
        <w:tc>
          <w:tcPr>
            <w:tcW w:w="682"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328" w:type="pct"/>
            <w:shd w:val="clear" w:color="auto" w:fill="auto"/>
            <w:vAlign w:val="center"/>
          </w:tcPr>
          <w:p>
            <w:pPr>
              <w:widowControl w:val="0"/>
              <w:numPr>
                <w:ilvl w:val="0"/>
                <w:numId w:val="53"/>
              </w:numPr>
              <w:jc w:val="center"/>
              <w:textAlignment w:val="center"/>
              <w:rPr>
                <w:rFonts w:asciiTheme="minorEastAsia" w:hAnsiTheme="minorEastAsia" w:eastAsiaTheme="minorEastAsia" w:cstheme="minorEastAsia"/>
                <w:b/>
                <w:bCs/>
                <w:color w:val="000000"/>
                <w:kern w:val="0"/>
                <w:szCs w:val="21"/>
                <w:lang w:bidi="ar"/>
              </w:rPr>
            </w:pPr>
          </w:p>
        </w:tc>
        <w:tc>
          <w:tcPr>
            <w:tcW w:w="519" w:type="pct"/>
            <w:gridSpan w:val="2"/>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内存</w:t>
            </w:r>
          </w:p>
        </w:tc>
        <w:tc>
          <w:tcPr>
            <w:tcW w:w="3471" w:type="pct"/>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不低于DDR5 64GB内存</w:t>
            </w:r>
          </w:p>
        </w:tc>
        <w:tc>
          <w:tcPr>
            <w:tcW w:w="682"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328" w:type="pct"/>
            <w:shd w:val="clear" w:color="auto" w:fill="auto"/>
            <w:vAlign w:val="center"/>
          </w:tcPr>
          <w:p>
            <w:pPr>
              <w:widowControl w:val="0"/>
              <w:numPr>
                <w:ilvl w:val="0"/>
                <w:numId w:val="53"/>
              </w:numPr>
              <w:jc w:val="center"/>
              <w:textAlignment w:val="center"/>
              <w:rPr>
                <w:rFonts w:asciiTheme="minorEastAsia" w:hAnsiTheme="minorEastAsia" w:eastAsiaTheme="minorEastAsia" w:cstheme="minorEastAsia"/>
                <w:b/>
                <w:bCs/>
                <w:color w:val="000000"/>
                <w:kern w:val="0"/>
                <w:szCs w:val="21"/>
                <w:lang w:bidi="ar"/>
              </w:rPr>
            </w:pPr>
          </w:p>
        </w:tc>
        <w:tc>
          <w:tcPr>
            <w:tcW w:w="519" w:type="pct"/>
            <w:gridSpan w:val="2"/>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存储</w:t>
            </w:r>
          </w:p>
        </w:tc>
        <w:tc>
          <w:tcPr>
            <w:tcW w:w="3471" w:type="pct"/>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不低于8T SDD</w:t>
            </w:r>
          </w:p>
        </w:tc>
        <w:tc>
          <w:tcPr>
            <w:tcW w:w="682"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328" w:type="pct"/>
            <w:shd w:val="clear" w:color="auto" w:fill="auto"/>
            <w:vAlign w:val="center"/>
          </w:tcPr>
          <w:p>
            <w:pPr>
              <w:widowControl w:val="0"/>
              <w:numPr>
                <w:ilvl w:val="0"/>
                <w:numId w:val="53"/>
              </w:numPr>
              <w:jc w:val="center"/>
              <w:textAlignment w:val="center"/>
              <w:rPr>
                <w:rFonts w:asciiTheme="minorEastAsia" w:hAnsiTheme="minorEastAsia" w:eastAsiaTheme="minorEastAsia" w:cstheme="minorEastAsia"/>
                <w:b/>
                <w:bCs/>
                <w:color w:val="000000"/>
                <w:kern w:val="0"/>
                <w:szCs w:val="21"/>
                <w:lang w:bidi="ar"/>
              </w:rPr>
            </w:pPr>
          </w:p>
        </w:tc>
        <w:tc>
          <w:tcPr>
            <w:tcW w:w="519" w:type="pct"/>
            <w:gridSpan w:val="2"/>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显卡</w:t>
            </w:r>
          </w:p>
        </w:tc>
        <w:tc>
          <w:tcPr>
            <w:tcW w:w="3471" w:type="pct"/>
            <w:shd w:val="clear" w:color="auto" w:fill="auto"/>
            <w:vAlign w:val="center"/>
          </w:tcPr>
          <w:p>
            <w:pPr>
              <w:textAlignment w:val="center"/>
              <w:rPr>
                <w:rFonts w:asciiTheme="minorEastAsia" w:hAnsiTheme="minorEastAsia" w:eastAsiaTheme="minorEastAsia" w:cstheme="minorEastAsia"/>
                <w:color w:val="000000"/>
                <w:szCs w:val="21"/>
                <w:lang w:val="en-US"/>
              </w:rPr>
            </w:pPr>
            <w:r>
              <w:rPr>
                <w:rFonts w:hint="eastAsia" w:asciiTheme="minorEastAsia" w:hAnsiTheme="minorEastAsia" w:eastAsiaTheme="minorEastAsia" w:cstheme="minorEastAsia"/>
                <w:color w:val="000000"/>
                <w:kern w:val="0"/>
                <w:szCs w:val="21"/>
                <w:lang w:bidi="ar"/>
              </w:rPr>
              <w:t>算力不低于</w:t>
            </w:r>
            <w:r>
              <w:rPr>
                <w:rFonts w:hint="eastAsia" w:asciiTheme="minorEastAsia" w:hAnsiTheme="minorEastAsia" w:eastAsiaTheme="minorEastAsia" w:cstheme="minorEastAsia"/>
                <w:color w:val="000000"/>
                <w:kern w:val="0"/>
                <w:szCs w:val="21"/>
                <w:lang w:val="en-US" w:bidi="ar"/>
              </w:rPr>
              <w:t>706 AI TOPS</w:t>
            </w:r>
          </w:p>
        </w:tc>
        <w:tc>
          <w:tcPr>
            <w:tcW w:w="682" w:type="pct"/>
            <w:shd w:val="clear" w:color="auto" w:fill="auto"/>
          </w:tcPr>
          <w:p>
            <w:pPr>
              <w:jc w:val="center"/>
              <w:rPr>
                <w:rFonts w:asciiTheme="minorEastAsia" w:hAnsiTheme="minorEastAsia" w:eastAsiaTheme="minorEastAsia" w:cstheme="minorEastAsia"/>
                <w:color w:val="000000"/>
                <w:szCs w:val="21"/>
                <w:lang w:val="en-US"/>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28" w:type="pct"/>
            <w:shd w:val="clear" w:color="auto" w:fill="auto"/>
            <w:vAlign w:val="center"/>
          </w:tcPr>
          <w:p>
            <w:pPr>
              <w:widowControl w:val="0"/>
              <w:numPr>
                <w:ilvl w:val="0"/>
                <w:numId w:val="53"/>
              </w:numPr>
              <w:jc w:val="center"/>
              <w:textAlignment w:val="center"/>
              <w:rPr>
                <w:rFonts w:asciiTheme="minorEastAsia" w:hAnsiTheme="minorEastAsia" w:eastAsiaTheme="minorEastAsia" w:cstheme="minorEastAsia"/>
                <w:b/>
                <w:bCs/>
                <w:color w:val="000000"/>
                <w:kern w:val="0"/>
                <w:szCs w:val="21"/>
                <w:lang w:val="en-US" w:bidi="ar"/>
              </w:rPr>
            </w:pPr>
          </w:p>
        </w:tc>
        <w:tc>
          <w:tcPr>
            <w:tcW w:w="519" w:type="pct"/>
            <w:gridSpan w:val="2"/>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显示器</w:t>
            </w:r>
          </w:p>
        </w:tc>
        <w:tc>
          <w:tcPr>
            <w:tcW w:w="3471" w:type="pct"/>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≥34英寸 3440 × 1440 (WQHD) 曲面 21:9 75Hz</w:t>
            </w:r>
          </w:p>
        </w:tc>
        <w:tc>
          <w:tcPr>
            <w:tcW w:w="682"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328" w:type="pct"/>
            <w:shd w:val="clear" w:color="auto" w:fill="auto"/>
            <w:vAlign w:val="center"/>
          </w:tcPr>
          <w:p>
            <w:pPr>
              <w:widowControl w:val="0"/>
              <w:numPr>
                <w:ilvl w:val="0"/>
                <w:numId w:val="53"/>
              </w:numPr>
              <w:jc w:val="center"/>
              <w:textAlignment w:val="center"/>
              <w:rPr>
                <w:rFonts w:asciiTheme="minorEastAsia" w:hAnsiTheme="minorEastAsia" w:eastAsiaTheme="minorEastAsia" w:cstheme="minorEastAsia"/>
                <w:b/>
                <w:bCs/>
                <w:color w:val="000000"/>
                <w:kern w:val="0"/>
                <w:szCs w:val="21"/>
                <w:lang w:bidi="ar"/>
              </w:rPr>
            </w:pPr>
          </w:p>
        </w:tc>
        <w:tc>
          <w:tcPr>
            <w:tcW w:w="519" w:type="pct"/>
            <w:gridSpan w:val="2"/>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接口</w:t>
            </w:r>
          </w:p>
        </w:tc>
        <w:tc>
          <w:tcPr>
            <w:tcW w:w="3471" w:type="pct"/>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不少于</w:t>
            </w:r>
            <w:r>
              <w:rPr>
                <w:rFonts w:hint="eastAsia" w:asciiTheme="minorEastAsia" w:hAnsiTheme="minorEastAsia" w:eastAsiaTheme="minorEastAsia" w:cstheme="minorEastAsia"/>
                <w:szCs w:val="21"/>
              </w:rPr>
              <w:t>1个3.5寸硬盘仓；8个USB3.0接口</w:t>
            </w:r>
          </w:p>
        </w:tc>
        <w:tc>
          <w:tcPr>
            <w:tcW w:w="682"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328" w:type="pct"/>
            <w:shd w:val="clear" w:color="auto" w:fill="auto"/>
            <w:vAlign w:val="center"/>
          </w:tcPr>
          <w:p>
            <w:pPr>
              <w:widowControl w:val="0"/>
              <w:numPr>
                <w:ilvl w:val="0"/>
                <w:numId w:val="53"/>
              </w:numPr>
              <w:jc w:val="center"/>
              <w:textAlignment w:val="center"/>
              <w:rPr>
                <w:rFonts w:asciiTheme="minorEastAsia" w:hAnsiTheme="minorEastAsia" w:eastAsiaTheme="minorEastAsia" w:cstheme="minorEastAsia"/>
                <w:b/>
                <w:bCs/>
                <w:color w:val="000000"/>
                <w:kern w:val="0"/>
                <w:szCs w:val="21"/>
                <w:lang w:bidi="ar"/>
              </w:rPr>
            </w:pPr>
          </w:p>
        </w:tc>
        <w:tc>
          <w:tcPr>
            <w:tcW w:w="519" w:type="pct"/>
            <w:gridSpan w:val="2"/>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网络</w:t>
            </w:r>
          </w:p>
        </w:tc>
        <w:tc>
          <w:tcPr>
            <w:tcW w:w="3471" w:type="pct"/>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不低于</w:t>
            </w:r>
            <w:r>
              <w:rPr>
                <w:rFonts w:hint="eastAsia" w:asciiTheme="minorEastAsia" w:hAnsiTheme="minorEastAsia" w:eastAsiaTheme="minorEastAsia" w:cstheme="minorEastAsia"/>
                <w:szCs w:val="21"/>
              </w:rPr>
              <w:t>网口：2.5G（2500M）RJ45 网口（后面板）</w:t>
            </w:r>
          </w:p>
        </w:tc>
        <w:tc>
          <w:tcPr>
            <w:tcW w:w="682"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328" w:type="pct"/>
            <w:shd w:val="clear" w:color="auto" w:fill="auto"/>
            <w:vAlign w:val="center"/>
          </w:tcPr>
          <w:p>
            <w:pPr>
              <w:widowControl w:val="0"/>
              <w:numPr>
                <w:ilvl w:val="0"/>
                <w:numId w:val="53"/>
              </w:numPr>
              <w:jc w:val="center"/>
              <w:textAlignment w:val="center"/>
              <w:rPr>
                <w:rFonts w:asciiTheme="minorEastAsia" w:hAnsiTheme="minorEastAsia" w:eastAsiaTheme="minorEastAsia" w:cstheme="minorEastAsia"/>
                <w:b/>
                <w:bCs/>
                <w:color w:val="000000"/>
                <w:kern w:val="0"/>
                <w:szCs w:val="21"/>
                <w:lang w:bidi="ar"/>
              </w:rPr>
            </w:pPr>
          </w:p>
        </w:tc>
        <w:tc>
          <w:tcPr>
            <w:tcW w:w="513" w:type="pct"/>
            <w:shd w:val="clear" w:color="auto" w:fill="auto"/>
            <w:vAlign w:val="center"/>
          </w:tcPr>
          <w:p>
            <w:pPr>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案件管理</w:t>
            </w:r>
          </w:p>
        </w:tc>
        <w:tc>
          <w:tcPr>
            <w:tcW w:w="3477" w:type="pct"/>
            <w:gridSpan w:val="2"/>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历史案件的删除、数据浏览与检材管理，支持对历史案件信息的搜索和排序</w:t>
            </w:r>
          </w:p>
        </w:tc>
        <w:tc>
          <w:tcPr>
            <w:tcW w:w="682"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328" w:type="pct"/>
            <w:shd w:val="clear" w:color="auto" w:fill="auto"/>
            <w:vAlign w:val="center"/>
          </w:tcPr>
          <w:p>
            <w:pPr>
              <w:widowControl w:val="0"/>
              <w:numPr>
                <w:ilvl w:val="0"/>
                <w:numId w:val="53"/>
              </w:numPr>
              <w:jc w:val="center"/>
              <w:textAlignment w:val="center"/>
              <w:rPr>
                <w:rFonts w:asciiTheme="minorEastAsia" w:hAnsiTheme="minorEastAsia" w:eastAsiaTheme="minorEastAsia" w:cstheme="minorEastAsia"/>
                <w:b/>
                <w:bCs/>
                <w:color w:val="000000"/>
                <w:kern w:val="0"/>
                <w:szCs w:val="21"/>
                <w:lang w:bidi="ar"/>
              </w:rPr>
            </w:pPr>
          </w:p>
        </w:tc>
        <w:tc>
          <w:tcPr>
            <w:tcW w:w="513" w:type="pct"/>
            <w:vMerge w:val="restart"/>
            <w:shd w:val="clear" w:color="auto" w:fill="auto"/>
            <w:vAlign w:val="center"/>
          </w:tcPr>
          <w:p>
            <w:pPr>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提取能力</w:t>
            </w:r>
          </w:p>
        </w:tc>
        <w:tc>
          <w:tcPr>
            <w:tcW w:w="3477" w:type="pct"/>
            <w:gridSpan w:val="2"/>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支持CentOS、Ubuntu、Debian、Windows Server等系统远程勘验</w:t>
            </w:r>
          </w:p>
        </w:tc>
        <w:tc>
          <w:tcPr>
            <w:tcW w:w="682"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328" w:type="pct"/>
            <w:shd w:val="clear" w:color="auto" w:fill="auto"/>
            <w:vAlign w:val="center"/>
          </w:tcPr>
          <w:p>
            <w:pPr>
              <w:widowControl w:val="0"/>
              <w:numPr>
                <w:ilvl w:val="0"/>
                <w:numId w:val="53"/>
              </w:numPr>
              <w:jc w:val="center"/>
              <w:textAlignment w:val="center"/>
              <w:rPr>
                <w:rFonts w:asciiTheme="minorEastAsia" w:hAnsiTheme="minorEastAsia" w:eastAsiaTheme="minorEastAsia" w:cstheme="minorEastAsia"/>
                <w:b/>
                <w:bCs/>
                <w:color w:val="000000"/>
                <w:kern w:val="0"/>
                <w:szCs w:val="21"/>
                <w:lang w:bidi="ar"/>
              </w:rPr>
            </w:pPr>
          </w:p>
        </w:tc>
        <w:tc>
          <w:tcPr>
            <w:tcW w:w="513" w:type="pct"/>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3477" w:type="pct"/>
            <w:gridSpan w:val="2"/>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支持对目标设备制作全盘镜像，包含DD、E01等格式；支持对目标设备的文件或文件夹提取至本地，并且生成提取日志</w:t>
            </w:r>
          </w:p>
        </w:tc>
        <w:tc>
          <w:tcPr>
            <w:tcW w:w="682"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328" w:type="pct"/>
            <w:shd w:val="clear" w:color="auto" w:fill="auto"/>
            <w:vAlign w:val="center"/>
          </w:tcPr>
          <w:p>
            <w:pPr>
              <w:widowControl w:val="0"/>
              <w:numPr>
                <w:ilvl w:val="0"/>
                <w:numId w:val="53"/>
              </w:numPr>
              <w:jc w:val="center"/>
              <w:textAlignment w:val="center"/>
              <w:rPr>
                <w:rFonts w:asciiTheme="minorEastAsia" w:hAnsiTheme="minorEastAsia" w:eastAsiaTheme="minorEastAsia" w:cstheme="minorEastAsia"/>
                <w:b/>
                <w:bCs/>
                <w:color w:val="000000"/>
                <w:kern w:val="0"/>
                <w:szCs w:val="21"/>
                <w:lang w:bidi="ar"/>
              </w:rPr>
            </w:pPr>
          </w:p>
        </w:tc>
        <w:tc>
          <w:tcPr>
            <w:tcW w:w="513" w:type="pct"/>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3477" w:type="pct"/>
            <w:gridSpan w:val="2"/>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支持使用系统代理、SSH、HTTP代理、Socks4/5代理对远程服务器进行远勘</w:t>
            </w:r>
          </w:p>
        </w:tc>
        <w:tc>
          <w:tcPr>
            <w:tcW w:w="682"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328" w:type="pct"/>
            <w:shd w:val="clear" w:color="auto" w:fill="auto"/>
            <w:vAlign w:val="center"/>
          </w:tcPr>
          <w:p>
            <w:pPr>
              <w:widowControl w:val="0"/>
              <w:numPr>
                <w:ilvl w:val="0"/>
                <w:numId w:val="53"/>
              </w:numPr>
              <w:jc w:val="center"/>
              <w:textAlignment w:val="center"/>
              <w:rPr>
                <w:rFonts w:asciiTheme="minorEastAsia" w:hAnsiTheme="minorEastAsia" w:eastAsiaTheme="minorEastAsia" w:cstheme="minorEastAsia"/>
                <w:b/>
                <w:bCs/>
                <w:color w:val="000000"/>
                <w:kern w:val="0"/>
                <w:szCs w:val="21"/>
                <w:lang w:bidi="ar"/>
              </w:rPr>
            </w:pPr>
          </w:p>
        </w:tc>
        <w:tc>
          <w:tcPr>
            <w:tcW w:w="513" w:type="pct"/>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3477" w:type="pct"/>
            <w:gridSpan w:val="2"/>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支持将远程服务器存储设备映射到本地</w:t>
            </w:r>
          </w:p>
        </w:tc>
        <w:tc>
          <w:tcPr>
            <w:tcW w:w="682"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328" w:type="pct"/>
            <w:shd w:val="clear" w:color="auto" w:fill="auto"/>
            <w:vAlign w:val="center"/>
          </w:tcPr>
          <w:p>
            <w:pPr>
              <w:widowControl w:val="0"/>
              <w:numPr>
                <w:ilvl w:val="0"/>
                <w:numId w:val="53"/>
              </w:numPr>
              <w:jc w:val="center"/>
              <w:textAlignment w:val="center"/>
              <w:rPr>
                <w:rFonts w:asciiTheme="minorEastAsia" w:hAnsiTheme="minorEastAsia" w:eastAsiaTheme="minorEastAsia" w:cstheme="minorEastAsia"/>
                <w:b/>
                <w:bCs/>
                <w:color w:val="000000"/>
                <w:kern w:val="0"/>
                <w:szCs w:val="21"/>
                <w:lang w:bidi="ar"/>
              </w:rPr>
            </w:pPr>
          </w:p>
        </w:tc>
        <w:tc>
          <w:tcPr>
            <w:tcW w:w="513" w:type="pct"/>
            <w:vMerge w:val="restart"/>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分析能力</w:t>
            </w:r>
          </w:p>
        </w:tc>
        <w:tc>
          <w:tcPr>
            <w:tcW w:w="3477" w:type="pct"/>
            <w:gridSpan w:val="2"/>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支持获取Linux系统计算机主机名、系统类型及版本、时区、内存大小、运行时长、MAC地址和IP地址信息；支持获取Linux系统计算机存储硬盘的大小、挂载点和逻辑驱动器大小及状态信息</w:t>
            </w:r>
          </w:p>
        </w:tc>
        <w:tc>
          <w:tcPr>
            <w:tcW w:w="682"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328" w:type="pct"/>
            <w:shd w:val="clear" w:color="auto" w:fill="auto"/>
            <w:vAlign w:val="center"/>
          </w:tcPr>
          <w:p>
            <w:pPr>
              <w:widowControl w:val="0"/>
              <w:numPr>
                <w:ilvl w:val="0"/>
                <w:numId w:val="53"/>
              </w:numPr>
              <w:jc w:val="center"/>
              <w:textAlignment w:val="center"/>
              <w:rPr>
                <w:rFonts w:asciiTheme="minorEastAsia" w:hAnsiTheme="minorEastAsia" w:eastAsiaTheme="minorEastAsia" w:cstheme="minorEastAsia"/>
                <w:b/>
                <w:bCs/>
                <w:color w:val="000000"/>
                <w:kern w:val="0"/>
                <w:szCs w:val="21"/>
                <w:lang w:bidi="ar"/>
              </w:rPr>
            </w:pPr>
          </w:p>
        </w:tc>
        <w:tc>
          <w:tcPr>
            <w:tcW w:w="513" w:type="pct"/>
            <w:vMerge w:val="continue"/>
            <w:shd w:val="clear" w:color="auto" w:fill="auto"/>
            <w:vAlign w:val="center"/>
          </w:tcPr>
          <w:p>
            <w:pPr>
              <w:rPr>
                <w:rFonts w:asciiTheme="minorEastAsia" w:hAnsiTheme="minorEastAsia" w:eastAsiaTheme="minorEastAsia" w:cstheme="minorEastAsia"/>
                <w:color w:val="000000"/>
                <w:szCs w:val="21"/>
              </w:rPr>
            </w:pPr>
          </w:p>
        </w:tc>
        <w:tc>
          <w:tcPr>
            <w:tcW w:w="3477" w:type="pct"/>
            <w:gridSpan w:val="2"/>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 xml:space="preserve"> 支持获取Windows Server系统计算机网络连接、网络接口、DNS缓存表、路由表、ARP表信息</w:t>
            </w:r>
          </w:p>
        </w:tc>
        <w:tc>
          <w:tcPr>
            <w:tcW w:w="682"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328" w:type="pct"/>
            <w:shd w:val="clear" w:color="auto" w:fill="auto"/>
            <w:vAlign w:val="center"/>
          </w:tcPr>
          <w:p>
            <w:pPr>
              <w:widowControl w:val="0"/>
              <w:numPr>
                <w:ilvl w:val="0"/>
                <w:numId w:val="53"/>
              </w:numPr>
              <w:jc w:val="center"/>
              <w:textAlignment w:val="center"/>
              <w:rPr>
                <w:rFonts w:asciiTheme="minorEastAsia" w:hAnsiTheme="minorEastAsia" w:eastAsiaTheme="minorEastAsia" w:cstheme="minorEastAsia"/>
                <w:b/>
                <w:bCs/>
                <w:color w:val="000000"/>
                <w:kern w:val="0"/>
                <w:szCs w:val="21"/>
                <w:lang w:bidi="ar"/>
              </w:rPr>
            </w:pPr>
          </w:p>
        </w:tc>
        <w:tc>
          <w:tcPr>
            <w:tcW w:w="513" w:type="pct"/>
            <w:vMerge w:val="continue"/>
            <w:shd w:val="clear" w:color="auto" w:fill="auto"/>
            <w:vAlign w:val="center"/>
          </w:tcPr>
          <w:p>
            <w:pPr>
              <w:rPr>
                <w:rFonts w:asciiTheme="minorEastAsia" w:hAnsiTheme="minorEastAsia" w:eastAsiaTheme="minorEastAsia" w:cstheme="minorEastAsia"/>
                <w:color w:val="000000"/>
                <w:szCs w:val="21"/>
              </w:rPr>
            </w:pPr>
          </w:p>
        </w:tc>
        <w:tc>
          <w:tcPr>
            <w:tcW w:w="3477" w:type="pct"/>
            <w:gridSpan w:val="2"/>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支持获取宝塔面板信息及绑定的手机号；支持获取宝塔日志文件信息</w:t>
            </w:r>
          </w:p>
        </w:tc>
        <w:tc>
          <w:tcPr>
            <w:tcW w:w="682"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328" w:type="pct"/>
            <w:shd w:val="clear" w:color="auto" w:fill="auto"/>
            <w:vAlign w:val="center"/>
          </w:tcPr>
          <w:p>
            <w:pPr>
              <w:widowControl w:val="0"/>
              <w:numPr>
                <w:ilvl w:val="0"/>
                <w:numId w:val="53"/>
              </w:numPr>
              <w:jc w:val="center"/>
              <w:textAlignment w:val="center"/>
              <w:rPr>
                <w:rFonts w:asciiTheme="minorEastAsia" w:hAnsiTheme="minorEastAsia" w:eastAsiaTheme="minorEastAsia" w:cstheme="minorEastAsia"/>
                <w:b/>
                <w:bCs/>
                <w:color w:val="000000"/>
                <w:kern w:val="0"/>
                <w:szCs w:val="21"/>
                <w:lang w:bidi="ar"/>
              </w:rPr>
            </w:pPr>
          </w:p>
        </w:tc>
        <w:tc>
          <w:tcPr>
            <w:tcW w:w="513" w:type="pct"/>
            <w:vMerge w:val="continue"/>
            <w:shd w:val="clear" w:color="auto" w:fill="auto"/>
            <w:vAlign w:val="center"/>
          </w:tcPr>
          <w:p>
            <w:pPr>
              <w:rPr>
                <w:rFonts w:asciiTheme="minorEastAsia" w:hAnsiTheme="minorEastAsia" w:eastAsiaTheme="minorEastAsia" w:cstheme="minorEastAsia"/>
                <w:color w:val="000000"/>
                <w:szCs w:val="21"/>
              </w:rPr>
            </w:pPr>
          </w:p>
        </w:tc>
        <w:tc>
          <w:tcPr>
            <w:tcW w:w="3477" w:type="pct"/>
            <w:gridSpan w:val="2"/>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支持对宝塔面板进行自定义修改密码，清除登录限制</w:t>
            </w:r>
          </w:p>
        </w:tc>
        <w:tc>
          <w:tcPr>
            <w:tcW w:w="682"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328" w:type="pct"/>
            <w:shd w:val="clear" w:color="auto" w:fill="auto"/>
            <w:vAlign w:val="center"/>
          </w:tcPr>
          <w:p>
            <w:pPr>
              <w:widowControl w:val="0"/>
              <w:numPr>
                <w:ilvl w:val="0"/>
                <w:numId w:val="53"/>
              </w:numPr>
              <w:jc w:val="center"/>
              <w:textAlignment w:val="center"/>
              <w:rPr>
                <w:rFonts w:asciiTheme="minorEastAsia" w:hAnsiTheme="minorEastAsia" w:eastAsiaTheme="minorEastAsia" w:cstheme="minorEastAsia"/>
                <w:b/>
                <w:bCs/>
                <w:color w:val="000000"/>
                <w:kern w:val="0"/>
                <w:szCs w:val="21"/>
                <w:lang w:bidi="ar"/>
              </w:rPr>
            </w:pPr>
          </w:p>
        </w:tc>
        <w:tc>
          <w:tcPr>
            <w:tcW w:w="513" w:type="pct"/>
            <w:vMerge w:val="continue"/>
            <w:shd w:val="clear" w:color="auto" w:fill="auto"/>
            <w:vAlign w:val="center"/>
          </w:tcPr>
          <w:p>
            <w:pPr>
              <w:rPr>
                <w:rFonts w:asciiTheme="minorEastAsia" w:hAnsiTheme="minorEastAsia" w:eastAsiaTheme="minorEastAsia" w:cstheme="minorEastAsia"/>
                <w:color w:val="000000"/>
                <w:szCs w:val="21"/>
              </w:rPr>
            </w:pPr>
          </w:p>
        </w:tc>
        <w:tc>
          <w:tcPr>
            <w:tcW w:w="3477" w:type="pct"/>
            <w:gridSpan w:val="2"/>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支持对服务器上的配置文件、代码文件、文本文件进行文件内容搜索</w:t>
            </w:r>
          </w:p>
        </w:tc>
        <w:tc>
          <w:tcPr>
            <w:tcW w:w="682"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328" w:type="pct"/>
            <w:shd w:val="clear" w:color="auto" w:fill="auto"/>
            <w:vAlign w:val="center"/>
          </w:tcPr>
          <w:p>
            <w:pPr>
              <w:widowControl w:val="0"/>
              <w:numPr>
                <w:ilvl w:val="0"/>
                <w:numId w:val="53"/>
              </w:numPr>
              <w:jc w:val="center"/>
              <w:textAlignment w:val="center"/>
              <w:rPr>
                <w:rFonts w:asciiTheme="minorEastAsia" w:hAnsiTheme="minorEastAsia" w:eastAsiaTheme="minorEastAsia" w:cstheme="minorEastAsia"/>
                <w:b/>
                <w:bCs/>
                <w:color w:val="000000"/>
                <w:kern w:val="0"/>
                <w:szCs w:val="21"/>
                <w:lang w:bidi="ar"/>
              </w:rPr>
            </w:pPr>
          </w:p>
        </w:tc>
        <w:tc>
          <w:tcPr>
            <w:tcW w:w="513" w:type="pct"/>
            <w:vMerge w:val="continue"/>
            <w:shd w:val="clear" w:color="auto" w:fill="auto"/>
            <w:vAlign w:val="center"/>
          </w:tcPr>
          <w:p>
            <w:pPr>
              <w:rPr>
                <w:rFonts w:asciiTheme="minorEastAsia" w:hAnsiTheme="minorEastAsia" w:eastAsiaTheme="minorEastAsia" w:cstheme="minorEastAsia"/>
                <w:color w:val="000000"/>
                <w:szCs w:val="21"/>
              </w:rPr>
            </w:pPr>
          </w:p>
        </w:tc>
        <w:tc>
          <w:tcPr>
            <w:tcW w:w="3477" w:type="pct"/>
            <w:gridSpan w:val="2"/>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 xml:space="preserve"> 支持自动检测计算机中的数据库，提取数据文件或者远程连接数据库，提取数据库表中记录信息</w:t>
            </w:r>
          </w:p>
        </w:tc>
        <w:tc>
          <w:tcPr>
            <w:tcW w:w="682"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328" w:type="pct"/>
            <w:shd w:val="clear" w:color="auto" w:fill="auto"/>
            <w:vAlign w:val="center"/>
          </w:tcPr>
          <w:p>
            <w:pPr>
              <w:widowControl w:val="0"/>
              <w:numPr>
                <w:ilvl w:val="0"/>
                <w:numId w:val="53"/>
              </w:numPr>
              <w:jc w:val="center"/>
              <w:textAlignment w:val="center"/>
              <w:rPr>
                <w:rFonts w:asciiTheme="minorEastAsia" w:hAnsiTheme="minorEastAsia" w:eastAsiaTheme="minorEastAsia" w:cstheme="minorEastAsia"/>
                <w:b/>
                <w:bCs/>
                <w:color w:val="000000"/>
                <w:kern w:val="0"/>
                <w:szCs w:val="21"/>
                <w:lang w:bidi="ar"/>
              </w:rPr>
            </w:pPr>
          </w:p>
        </w:tc>
        <w:tc>
          <w:tcPr>
            <w:tcW w:w="513" w:type="pct"/>
            <w:vMerge w:val="continue"/>
            <w:shd w:val="clear" w:color="auto" w:fill="auto"/>
            <w:vAlign w:val="center"/>
          </w:tcPr>
          <w:p>
            <w:pPr>
              <w:rPr>
                <w:rFonts w:asciiTheme="minorEastAsia" w:hAnsiTheme="minorEastAsia" w:eastAsiaTheme="minorEastAsia" w:cstheme="minorEastAsia"/>
                <w:color w:val="000000"/>
                <w:szCs w:val="21"/>
              </w:rPr>
            </w:pPr>
          </w:p>
        </w:tc>
        <w:tc>
          <w:tcPr>
            <w:tcW w:w="3477" w:type="pct"/>
            <w:gridSpan w:val="2"/>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支持自动检测使用Nginx、Apache部署的网站代码、日志信息</w:t>
            </w:r>
          </w:p>
        </w:tc>
        <w:tc>
          <w:tcPr>
            <w:tcW w:w="682"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328" w:type="pct"/>
            <w:shd w:val="clear" w:color="auto" w:fill="auto"/>
            <w:vAlign w:val="center"/>
          </w:tcPr>
          <w:p>
            <w:pPr>
              <w:widowControl w:val="0"/>
              <w:numPr>
                <w:ilvl w:val="0"/>
                <w:numId w:val="53"/>
              </w:numPr>
              <w:jc w:val="center"/>
              <w:textAlignment w:val="center"/>
              <w:rPr>
                <w:rFonts w:asciiTheme="minorEastAsia" w:hAnsiTheme="minorEastAsia" w:eastAsiaTheme="minorEastAsia" w:cstheme="minorEastAsia"/>
                <w:b/>
                <w:bCs/>
                <w:color w:val="000000"/>
                <w:kern w:val="0"/>
                <w:szCs w:val="21"/>
                <w:lang w:bidi="ar"/>
              </w:rPr>
            </w:pPr>
          </w:p>
        </w:tc>
        <w:tc>
          <w:tcPr>
            <w:tcW w:w="513" w:type="pct"/>
            <w:vMerge w:val="continue"/>
            <w:shd w:val="clear" w:color="auto" w:fill="auto"/>
            <w:vAlign w:val="center"/>
          </w:tcPr>
          <w:p>
            <w:pPr>
              <w:rPr>
                <w:rFonts w:asciiTheme="minorEastAsia" w:hAnsiTheme="minorEastAsia" w:eastAsiaTheme="minorEastAsia" w:cstheme="minorEastAsia"/>
                <w:color w:val="000000"/>
                <w:szCs w:val="21"/>
              </w:rPr>
            </w:pPr>
          </w:p>
        </w:tc>
        <w:tc>
          <w:tcPr>
            <w:tcW w:w="3477" w:type="pct"/>
            <w:gridSpan w:val="2"/>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支持实时检测本地网络状态，远程计算机网络状态以及远程计算机的连接状态</w:t>
            </w:r>
          </w:p>
        </w:tc>
        <w:tc>
          <w:tcPr>
            <w:tcW w:w="682"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328" w:type="pct"/>
            <w:shd w:val="clear" w:color="auto" w:fill="auto"/>
            <w:vAlign w:val="center"/>
          </w:tcPr>
          <w:p>
            <w:pPr>
              <w:widowControl w:val="0"/>
              <w:numPr>
                <w:ilvl w:val="0"/>
                <w:numId w:val="53"/>
              </w:numPr>
              <w:jc w:val="center"/>
              <w:textAlignment w:val="center"/>
              <w:rPr>
                <w:rFonts w:asciiTheme="minorEastAsia" w:hAnsiTheme="minorEastAsia" w:eastAsiaTheme="minorEastAsia" w:cstheme="minorEastAsia"/>
                <w:b/>
                <w:bCs/>
                <w:color w:val="000000"/>
                <w:kern w:val="0"/>
                <w:szCs w:val="21"/>
                <w:lang w:bidi="ar"/>
              </w:rPr>
            </w:pPr>
          </w:p>
        </w:tc>
        <w:tc>
          <w:tcPr>
            <w:tcW w:w="513" w:type="pct"/>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分析报告</w:t>
            </w:r>
          </w:p>
        </w:tc>
        <w:tc>
          <w:tcPr>
            <w:tcW w:w="3477" w:type="pct"/>
            <w:gridSpan w:val="2"/>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支持生成自带检索功能的阅读器取证报告</w:t>
            </w:r>
          </w:p>
        </w:tc>
        <w:tc>
          <w:tcPr>
            <w:tcW w:w="682"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328" w:type="pct"/>
            <w:shd w:val="clear" w:color="auto" w:fill="auto"/>
            <w:vAlign w:val="center"/>
          </w:tcPr>
          <w:p>
            <w:pPr>
              <w:widowControl w:val="0"/>
              <w:numPr>
                <w:ilvl w:val="0"/>
                <w:numId w:val="53"/>
              </w:numPr>
              <w:jc w:val="center"/>
              <w:textAlignment w:val="center"/>
              <w:rPr>
                <w:rFonts w:asciiTheme="minorEastAsia" w:hAnsiTheme="minorEastAsia" w:eastAsiaTheme="minorEastAsia" w:cstheme="minorEastAsia"/>
                <w:b/>
                <w:bCs/>
                <w:color w:val="000000"/>
                <w:kern w:val="0"/>
                <w:szCs w:val="21"/>
                <w:lang w:bidi="ar"/>
              </w:rPr>
            </w:pPr>
          </w:p>
        </w:tc>
        <w:tc>
          <w:tcPr>
            <w:tcW w:w="513" w:type="pct"/>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物联网管理API</w:t>
            </w:r>
          </w:p>
        </w:tc>
        <w:tc>
          <w:tcPr>
            <w:tcW w:w="3477" w:type="pct"/>
            <w:gridSpan w:val="2"/>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支持开放的物联网管理API接口，供实验室管理系统采集设备工作状态和工作量</w:t>
            </w:r>
          </w:p>
        </w:tc>
        <w:tc>
          <w:tcPr>
            <w:tcW w:w="682" w:type="pct"/>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bl>
    <w:p>
      <w:pPr>
        <w:rPr>
          <w:rFonts w:asciiTheme="minorEastAsia" w:hAnsiTheme="minorEastAsia" w:eastAsiaTheme="minorEastAsia" w:cstheme="minorEastAsia"/>
          <w:szCs w:val="21"/>
        </w:rPr>
      </w:pPr>
    </w:p>
    <w:p>
      <w:pPr>
        <w:pStyle w:val="5"/>
        <w:spacing w:before="15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第2包 手机云取证设备</w:t>
      </w:r>
      <w:r>
        <w:rPr>
          <w:rFonts w:hint="default" w:ascii="Times New Roman" w:hAnsi="Times New Roman" w:cs="Times New Roman" w:eastAsiaTheme="minorEastAsia"/>
          <w:szCs w:val="21"/>
        </w:rPr>
        <w:t>Ⅱ</w:t>
      </w:r>
    </w:p>
    <w:tbl>
      <w:tblPr>
        <w:tblStyle w:val="81"/>
        <w:tblW w:w="4764" w:type="pct"/>
        <w:jc w:val="center"/>
        <w:tblLayout w:type="autofit"/>
        <w:tblCellMar>
          <w:top w:w="0" w:type="dxa"/>
          <w:left w:w="108" w:type="dxa"/>
          <w:bottom w:w="0" w:type="dxa"/>
          <w:right w:w="108" w:type="dxa"/>
        </w:tblCellMar>
      </w:tblPr>
      <w:tblGrid>
        <w:gridCol w:w="537"/>
        <w:gridCol w:w="851"/>
        <w:gridCol w:w="5639"/>
        <w:gridCol w:w="1093"/>
      </w:tblGrid>
      <w:tr>
        <w:tblPrEx>
          <w:tblCellMar>
            <w:top w:w="0" w:type="dxa"/>
            <w:left w:w="108" w:type="dxa"/>
            <w:bottom w:w="0" w:type="dxa"/>
            <w:right w:w="108" w:type="dxa"/>
          </w:tblCellMar>
        </w:tblPrEx>
        <w:trPr>
          <w:trHeight w:val="600" w:hRule="atLeast"/>
          <w:tblHeader/>
          <w:jc w:val="center"/>
        </w:trPr>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b/>
                <w:bCs/>
                <w:color w:val="000000"/>
                <w:kern w:val="0"/>
                <w:szCs w:val="21"/>
                <w:lang w:bidi="ar"/>
              </w:rPr>
              <w:t>序号</w:t>
            </w: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kern w:val="0"/>
                <w:szCs w:val="21"/>
                <w:lang w:bidi="ar"/>
              </w:rPr>
              <w:t>指标项</w:t>
            </w:r>
          </w:p>
        </w:tc>
        <w:tc>
          <w:tcPr>
            <w:tcW w:w="34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kern w:val="0"/>
                <w:szCs w:val="21"/>
                <w:lang w:bidi="ar"/>
              </w:rPr>
              <w:t>技术要求</w:t>
            </w:r>
          </w:p>
        </w:tc>
        <w:tc>
          <w:tcPr>
            <w:tcW w:w="673" w:type="pct"/>
            <w:tcBorders>
              <w:top w:val="single" w:color="000000" w:sz="4" w:space="0"/>
              <w:left w:val="single" w:color="000000" w:sz="4" w:space="0"/>
              <w:bottom w:val="single" w:color="000000" w:sz="4" w:space="0"/>
              <w:right w:val="single" w:color="000000" w:sz="4" w:space="0"/>
            </w:tcBorders>
            <w:shd w:val="clear" w:color="auto" w:fill="auto"/>
          </w:tcPr>
          <w:p>
            <w:pPr>
              <w:jc w:val="center"/>
              <w:textAlignment w:val="center"/>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Cs/>
                <w:color w:val="000000"/>
                <w:kern w:val="0"/>
                <w:szCs w:val="21"/>
                <w:lang w:bidi="ar"/>
              </w:rPr>
              <w:t>证明材料要求</w:t>
            </w:r>
          </w:p>
        </w:tc>
      </w:tr>
      <w:tr>
        <w:tblPrEx>
          <w:tblCellMar>
            <w:top w:w="0" w:type="dxa"/>
            <w:left w:w="108" w:type="dxa"/>
            <w:bottom w:w="0" w:type="dxa"/>
            <w:right w:w="108" w:type="dxa"/>
          </w:tblCellMar>
        </w:tblPrEx>
        <w:trPr>
          <w:trHeight w:val="350" w:hRule="atLeast"/>
          <w:jc w:val="center"/>
        </w:trPr>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0"/>
              </w:tabs>
              <w:jc w:val="center"/>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szCs w:val="21"/>
              </w:rPr>
              <w:t>1</w:t>
            </w: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处理器</w:t>
            </w:r>
          </w:p>
        </w:tc>
        <w:tc>
          <w:tcPr>
            <w:tcW w:w="3472"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CPU不低于16核24线程</w:t>
            </w:r>
          </w:p>
        </w:tc>
        <w:tc>
          <w:tcPr>
            <w:tcW w:w="673" w:type="pct"/>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CellMar>
            <w:top w:w="0" w:type="dxa"/>
            <w:left w:w="108" w:type="dxa"/>
            <w:bottom w:w="0" w:type="dxa"/>
            <w:right w:w="108" w:type="dxa"/>
          </w:tblCellMar>
        </w:tblPrEx>
        <w:trPr>
          <w:trHeight w:val="350" w:hRule="atLeast"/>
          <w:jc w:val="center"/>
        </w:trPr>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0"/>
              </w:tabs>
              <w:jc w:val="center"/>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szCs w:val="21"/>
              </w:rPr>
              <w:t>2</w:t>
            </w: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内存</w:t>
            </w:r>
          </w:p>
        </w:tc>
        <w:tc>
          <w:tcPr>
            <w:tcW w:w="3472"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需配置不低于64GB内存</w:t>
            </w:r>
          </w:p>
        </w:tc>
        <w:tc>
          <w:tcPr>
            <w:tcW w:w="673" w:type="pct"/>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CellMar>
            <w:top w:w="0" w:type="dxa"/>
            <w:left w:w="108" w:type="dxa"/>
            <w:bottom w:w="0" w:type="dxa"/>
            <w:right w:w="108" w:type="dxa"/>
          </w:tblCellMar>
        </w:tblPrEx>
        <w:trPr>
          <w:trHeight w:val="350" w:hRule="atLeast"/>
          <w:jc w:val="center"/>
        </w:trPr>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0"/>
              </w:tabs>
              <w:jc w:val="center"/>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szCs w:val="21"/>
              </w:rPr>
              <w:t>3</w:t>
            </w: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存储</w:t>
            </w:r>
          </w:p>
        </w:tc>
        <w:tc>
          <w:tcPr>
            <w:tcW w:w="3472"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需配置不低于8TB SSD + 18TB*3 SATA硬盘</w:t>
            </w:r>
          </w:p>
        </w:tc>
        <w:tc>
          <w:tcPr>
            <w:tcW w:w="673" w:type="pct"/>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CellMar>
            <w:top w:w="0" w:type="dxa"/>
            <w:left w:w="108" w:type="dxa"/>
            <w:bottom w:w="0" w:type="dxa"/>
            <w:right w:w="108" w:type="dxa"/>
          </w:tblCellMar>
        </w:tblPrEx>
        <w:trPr>
          <w:trHeight w:val="350" w:hRule="atLeast"/>
          <w:jc w:val="center"/>
        </w:trPr>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0"/>
              </w:tabs>
              <w:jc w:val="center"/>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szCs w:val="21"/>
              </w:rPr>
              <w:t>4</w:t>
            </w: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显卡</w:t>
            </w:r>
          </w:p>
        </w:tc>
        <w:tc>
          <w:tcPr>
            <w:tcW w:w="3472"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val="en-US" w:bidi="ar"/>
              </w:rPr>
            </w:pPr>
            <w:r>
              <w:rPr>
                <w:rFonts w:hint="eastAsia" w:asciiTheme="minorEastAsia" w:hAnsiTheme="minorEastAsia" w:eastAsiaTheme="minorEastAsia" w:cstheme="minorEastAsia"/>
                <w:color w:val="000000"/>
                <w:kern w:val="0"/>
                <w:szCs w:val="21"/>
                <w:lang w:bidi="ar"/>
              </w:rPr>
              <w:t>算力不低于</w:t>
            </w:r>
            <w:r>
              <w:rPr>
                <w:rFonts w:hint="eastAsia" w:asciiTheme="minorEastAsia" w:hAnsiTheme="minorEastAsia" w:eastAsiaTheme="minorEastAsia" w:cstheme="minorEastAsia"/>
                <w:color w:val="000000"/>
                <w:kern w:val="0"/>
                <w:szCs w:val="21"/>
                <w:lang w:val="en-US" w:bidi="ar"/>
              </w:rPr>
              <w:t>706 AI TOPS</w:t>
            </w:r>
          </w:p>
        </w:tc>
        <w:tc>
          <w:tcPr>
            <w:tcW w:w="673" w:type="pct"/>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heme="minorEastAsia" w:hAnsiTheme="minorEastAsia" w:eastAsiaTheme="minorEastAsia" w:cstheme="minorEastAsia"/>
                <w:color w:val="000000"/>
                <w:szCs w:val="21"/>
                <w:lang w:val="en-US"/>
              </w:rPr>
            </w:pPr>
            <w:r>
              <w:rPr>
                <w:rFonts w:hint="eastAsia" w:asciiTheme="minorEastAsia" w:hAnsiTheme="minorEastAsia" w:eastAsiaTheme="minorEastAsia" w:cstheme="minorEastAsia"/>
                <w:bCs/>
                <w:color w:val="000000"/>
                <w:kern w:val="0"/>
                <w:szCs w:val="21"/>
                <w:lang w:bidi="ar"/>
              </w:rPr>
              <w:t>/</w:t>
            </w:r>
          </w:p>
        </w:tc>
      </w:tr>
      <w:tr>
        <w:tblPrEx>
          <w:tblCellMar>
            <w:top w:w="0" w:type="dxa"/>
            <w:left w:w="108" w:type="dxa"/>
            <w:bottom w:w="0" w:type="dxa"/>
            <w:right w:w="108" w:type="dxa"/>
          </w:tblCellMar>
        </w:tblPrEx>
        <w:trPr>
          <w:trHeight w:val="300" w:hRule="atLeast"/>
          <w:jc w:val="center"/>
        </w:trPr>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0"/>
              </w:tabs>
              <w:jc w:val="center"/>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szCs w:val="21"/>
              </w:rPr>
              <w:t>5</w:t>
            </w: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显示器</w:t>
            </w:r>
          </w:p>
        </w:tc>
        <w:tc>
          <w:tcPr>
            <w:tcW w:w="3472"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 xml:space="preserve">≥34英寸 3440 </w:t>
            </w:r>
            <w:r>
              <w:rPr>
                <w:rFonts w:asciiTheme="minorEastAsia" w:hAnsiTheme="minorEastAsia" w:eastAsiaTheme="minorEastAsia" w:cstheme="minorEastAsia"/>
                <w:color w:val="000000"/>
                <w:kern w:val="0"/>
                <w:szCs w:val="21"/>
                <w:lang w:bidi="ar"/>
              </w:rPr>
              <w:t>*</w:t>
            </w:r>
            <w:r>
              <w:rPr>
                <w:rFonts w:hint="eastAsia" w:asciiTheme="minorEastAsia" w:hAnsiTheme="minorEastAsia" w:eastAsiaTheme="minorEastAsia" w:cstheme="minorEastAsia"/>
                <w:color w:val="000000"/>
                <w:kern w:val="0"/>
                <w:szCs w:val="21"/>
                <w:lang w:bidi="ar"/>
              </w:rPr>
              <w:t xml:space="preserve"> 1440 (WQHD) 曲面 21:9 75Hz</w:t>
            </w:r>
          </w:p>
        </w:tc>
        <w:tc>
          <w:tcPr>
            <w:tcW w:w="673" w:type="pct"/>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CellMar>
            <w:top w:w="0" w:type="dxa"/>
            <w:left w:w="108" w:type="dxa"/>
            <w:bottom w:w="0" w:type="dxa"/>
            <w:right w:w="108" w:type="dxa"/>
          </w:tblCellMar>
        </w:tblPrEx>
        <w:trPr>
          <w:trHeight w:val="350" w:hRule="atLeast"/>
          <w:jc w:val="center"/>
        </w:trPr>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0"/>
              </w:tabs>
              <w:jc w:val="center"/>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szCs w:val="21"/>
              </w:rPr>
              <w:t>6</w:t>
            </w: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网口</w:t>
            </w:r>
          </w:p>
        </w:tc>
        <w:tc>
          <w:tcPr>
            <w:tcW w:w="3472"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≥2.5G（2500M）RJ45 网口（后面板）</w:t>
            </w:r>
          </w:p>
        </w:tc>
        <w:tc>
          <w:tcPr>
            <w:tcW w:w="673" w:type="pct"/>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CellMar>
            <w:top w:w="0" w:type="dxa"/>
            <w:left w:w="108" w:type="dxa"/>
            <w:bottom w:w="0" w:type="dxa"/>
            <w:right w:w="108" w:type="dxa"/>
          </w:tblCellMar>
        </w:tblPrEx>
        <w:trPr>
          <w:trHeight w:val="700" w:hRule="atLeast"/>
          <w:jc w:val="center"/>
        </w:trPr>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0"/>
              </w:tabs>
              <w:jc w:val="center"/>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szCs w:val="21"/>
              </w:rPr>
              <w:t>7</w:t>
            </w: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登录方式</w:t>
            </w:r>
          </w:p>
        </w:tc>
        <w:tc>
          <w:tcPr>
            <w:tcW w:w="3472"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全面的云端登录方案，支持包括二维码扫描、手机号+验证码、账密、账密+验证、原生登录等</w:t>
            </w:r>
          </w:p>
        </w:tc>
        <w:tc>
          <w:tcPr>
            <w:tcW w:w="673" w:type="pct"/>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CellMar>
            <w:top w:w="0" w:type="dxa"/>
            <w:left w:w="108" w:type="dxa"/>
            <w:bottom w:w="0" w:type="dxa"/>
            <w:right w:w="108" w:type="dxa"/>
          </w:tblCellMar>
        </w:tblPrEx>
        <w:trPr>
          <w:trHeight w:val="1050" w:hRule="atLeast"/>
          <w:jc w:val="center"/>
        </w:trPr>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0"/>
              </w:tabs>
              <w:jc w:val="center"/>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szCs w:val="21"/>
              </w:rPr>
              <w:t>8</w:t>
            </w:r>
          </w:p>
        </w:tc>
        <w:tc>
          <w:tcPr>
            <w:tcW w:w="5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数据提取与分析</w:t>
            </w:r>
          </w:p>
        </w:tc>
        <w:tc>
          <w:tcPr>
            <w:tcW w:w="3472"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电商支付类应用包括但不限于：支付宝（账号信息、订单信息、商品信息、收货地址等）、微信账单（Android账单）、淘宝（账号信息、订单信息、商品信息、收货地址等）、京东（解析银行卡、订单、商品信息、资产中心（小金库）、白条、收货地址等）</w:t>
            </w:r>
          </w:p>
        </w:tc>
        <w:tc>
          <w:tcPr>
            <w:tcW w:w="673" w:type="pct"/>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CellMar>
            <w:top w:w="0" w:type="dxa"/>
            <w:left w:w="108" w:type="dxa"/>
            <w:bottom w:w="0" w:type="dxa"/>
            <w:right w:w="108" w:type="dxa"/>
          </w:tblCellMar>
        </w:tblPrEx>
        <w:trPr>
          <w:trHeight w:val="700" w:hRule="atLeast"/>
          <w:jc w:val="center"/>
        </w:trPr>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0"/>
              </w:tabs>
              <w:jc w:val="center"/>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szCs w:val="21"/>
              </w:rPr>
              <w:t>9</w:t>
            </w:r>
          </w:p>
        </w:tc>
        <w:tc>
          <w:tcPr>
            <w:tcW w:w="5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heme="minorEastAsia" w:hAnsiTheme="minorEastAsia" w:eastAsiaTheme="minorEastAsia" w:cstheme="minorEastAsia"/>
                <w:color w:val="000000"/>
                <w:szCs w:val="21"/>
              </w:rPr>
            </w:pPr>
          </w:p>
        </w:tc>
        <w:tc>
          <w:tcPr>
            <w:tcW w:w="3472"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支持社交通讯类应用包括但不限于：Telegram（账号信息、通讯录、聊天记录）、Skype（账号信息、联系人、通话记录、聊天记录、群组信息、群组聊天）、今日头条（账号信息、视频、文章）</w:t>
            </w:r>
          </w:p>
        </w:tc>
        <w:tc>
          <w:tcPr>
            <w:tcW w:w="673" w:type="pct"/>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CellMar>
            <w:top w:w="0" w:type="dxa"/>
            <w:left w:w="108" w:type="dxa"/>
            <w:bottom w:w="0" w:type="dxa"/>
            <w:right w:w="108" w:type="dxa"/>
          </w:tblCellMar>
        </w:tblPrEx>
        <w:trPr>
          <w:trHeight w:val="700" w:hRule="atLeast"/>
          <w:jc w:val="center"/>
        </w:trPr>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0"/>
              </w:tabs>
              <w:jc w:val="center"/>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szCs w:val="21"/>
              </w:rPr>
              <w:t>10</w:t>
            </w:r>
          </w:p>
        </w:tc>
        <w:tc>
          <w:tcPr>
            <w:tcW w:w="5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heme="minorEastAsia" w:hAnsiTheme="minorEastAsia" w:eastAsiaTheme="minorEastAsia" w:cstheme="minorEastAsia"/>
                <w:color w:val="000000"/>
                <w:szCs w:val="21"/>
              </w:rPr>
            </w:pPr>
          </w:p>
        </w:tc>
        <w:tc>
          <w:tcPr>
            <w:tcW w:w="3472"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云盘备份类应用包括但不限于：iCloud（账号信息、通讯录/联系人、照片、日程/日历、备忘录/提醒事项、网盘文件等）、小米云（账号信息、联系人、便签、录音、短信、云相册等）、OPPO云（相册、便签、短信、联系人等）、VIVO云（联系人、短信、云相册、浏览器书签、便签、回收站便签、应用信息、黑名单、网盘文件等）、腾讯微云（账号信息、网盘文件等）、蓝凑云（账号信息、网盘文件等）、天翼云盘（账号信息、网盘文件等）、OneDrive（账号信息、网盘文件等）、Dropbox（账号信息、照片、文本、其他文件等）</w:t>
            </w:r>
          </w:p>
        </w:tc>
        <w:tc>
          <w:tcPr>
            <w:tcW w:w="673" w:type="pct"/>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CellMar>
            <w:top w:w="0" w:type="dxa"/>
            <w:left w:w="108" w:type="dxa"/>
            <w:bottom w:w="0" w:type="dxa"/>
            <w:right w:w="108" w:type="dxa"/>
          </w:tblCellMar>
        </w:tblPrEx>
        <w:trPr>
          <w:trHeight w:val="700" w:hRule="atLeast"/>
          <w:jc w:val="center"/>
        </w:trPr>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0"/>
              </w:tabs>
              <w:jc w:val="center"/>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szCs w:val="21"/>
              </w:rPr>
              <w:t>11</w:t>
            </w:r>
          </w:p>
        </w:tc>
        <w:tc>
          <w:tcPr>
            <w:tcW w:w="5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heme="minorEastAsia" w:hAnsiTheme="minorEastAsia" w:eastAsiaTheme="minorEastAsia" w:cstheme="minorEastAsia"/>
                <w:color w:val="000000"/>
                <w:szCs w:val="21"/>
              </w:rPr>
            </w:pPr>
          </w:p>
        </w:tc>
        <w:tc>
          <w:tcPr>
            <w:tcW w:w="3472"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交通出行类应用包括但不限于：滴滴出行（账号信息、行程信息等）、携程旅行（账号信息）、铁路12306（个人信息、订单、行程信息、搜索历史、常用联系人、车票快递地址等）、去哪儿（个人信息、旅客信息、机票信息、酒店信息）、航旅纵横（个人账号、历史订单）</w:t>
            </w:r>
          </w:p>
        </w:tc>
        <w:tc>
          <w:tcPr>
            <w:tcW w:w="673" w:type="pct"/>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CellMar>
            <w:top w:w="0" w:type="dxa"/>
            <w:left w:w="108" w:type="dxa"/>
            <w:bottom w:w="0" w:type="dxa"/>
            <w:right w:w="108" w:type="dxa"/>
          </w:tblCellMar>
        </w:tblPrEx>
        <w:trPr>
          <w:trHeight w:val="700" w:hRule="atLeast"/>
          <w:jc w:val="center"/>
        </w:trPr>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0"/>
              </w:tabs>
              <w:jc w:val="center"/>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szCs w:val="21"/>
              </w:rPr>
              <w:t>12</w:t>
            </w:r>
          </w:p>
        </w:tc>
        <w:tc>
          <w:tcPr>
            <w:tcW w:w="5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heme="minorEastAsia" w:hAnsiTheme="minorEastAsia" w:eastAsiaTheme="minorEastAsia" w:cstheme="minorEastAsia"/>
                <w:color w:val="000000"/>
                <w:szCs w:val="21"/>
              </w:rPr>
            </w:pPr>
          </w:p>
        </w:tc>
        <w:tc>
          <w:tcPr>
            <w:tcW w:w="3472"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支持快递外卖应用的提取，包含饿了么、申通快递、中通快递等</w:t>
            </w:r>
          </w:p>
        </w:tc>
        <w:tc>
          <w:tcPr>
            <w:tcW w:w="673" w:type="pct"/>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CellMar>
            <w:top w:w="0" w:type="dxa"/>
            <w:left w:w="108" w:type="dxa"/>
            <w:bottom w:w="0" w:type="dxa"/>
            <w:right w:w="108" w:type="dxa"/>
          </w:tblCellMar>
        </w:tblPrEx>
        <w:trPr>
          <w:trHeight w:val="700" w:hRule="atLeast"/>
          <w:jc w:val="center"/>
        </w:trPr>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0"/>
              </w:tabs>
              <w:jc w:val="center"/>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szCs w:val="21"/>
              </w:rPr>
              <w:t>13</w:t>
            </w:r>
          </w:p>
        </w:tc>
        <w:tc>
          <w:tcPr>
            <w:tcW w:w="5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heme="minorEastAsia" w:hAnsiTheme="minorEastAsia" w:eastAsiaTheme="minorEastAsia" w:cstheme="minorEastAsia"/>
                <w:color w:val="000000"/>
                <w:szCs w:val="21"/>
              </w:rPr>
            </w:pPr>
          </w:p>
        </w:tc>
        <w:tc>
          <w:tcPr>
            <w:tcW w:w="3472"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其他应用支持包括但不限于：印象笔记（账号、记录文本、图片、视频）、QQ同步助手（通讯录、短信、软件列表、通话记录等）</w:t>
            </w:r>
          </w:p>
        </w:tc>
        <w:tc>
          <w:tcPr>
            <w:tcW w:w="673" w:type="pct"/>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CellMar>
            <w:top w:w="0" w:type="dxa"/>
            <w:left w:w="108" w:type="dxa"/>
            <w:bottom w:w="0" w:type="dxa"/>
            <w:right w:w="108" w:type="dxa"/>
          </w:tblCellMar>
        </w:tblPrEx>
        <w:trPr>
          <w:trHeight w:val="700" w:hRule="atLeast"/>
          <w:jc w:val="center"/>
        </w:trPr>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0"/>
              </w:tabs>
              <w:jc w:val="center"/>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szCs w:val="21"/>
              </w:rPr>
              <w:t>14</w:t>
            </w: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扫描能力</w:t>
            </w:r>
          </w:p>
        </w:tc>
        <w:tc>
          <w:tcPr>
            <w:tcW w:w="3472"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支持通过手机号对应用注册情况进行扫描，输出注册或未注册的识别结果</w:t>
            </w:r>
          </w:p>
        </w:tc>
        <w:tc>
          <w:tcPr>
            <w:tcW w:w="673" w:type="pct"/>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CellMar>
            <w:top w:w="0" w:type="dxa"/>
            <w:left w:w="108" w:type="dxa"/>
            <w:bottom w:w="0" w:type="dxa"/>
            <w:right w:w="108" w:type="dxa"/>
          </w:tblCellMar>
        </w:tblPrEx>
        <w:trPr>
          <w:trHeight w:val="350" w:hRule="atLeast"/>
          <w:jc w:val="center"/>
        </w:trPr>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0"/>
              </w:tabs>
              <w:jc w:val="center"/>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szCs w:val="21"/>
              </w:rPr>
              <w:t>15</w:t>
            </w:r>
          </w:p>
        </w:tc>
        <w:tc>
          <w:tcPr>
            <w:tcW w:w="524" w:type="pct"/>
            <w:vMerge w:val="restart"/>
            <w:tcBorders>
              <w:top w:val="single" w:color="000000" w:sz="4" w:space="0"/>
              <w:left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并行能力</w:t>
            </w:r>
          </w:p>
        </w:tc>
        <w:tc>
          <w:tcPr>
            <w:tcW w:w="3472"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可同时对多个APP、多个帐号进行并行取证</w:t>
            </w:r>
          </w:p>
        </w:tc>
        <w:tc>
          <w:tcPr>
            <w:tcW w:w="673" w:type="pct"/>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CellMar>
            <w:top w:w="0" w:type="dxa"/>
            <w:left w:w="108" w:type="dxa"/>
            <w:bottom w:w="0" w:type="dxa"/>
            <w:right w:w="108" w:type="dxa"/>
          </w:tblCellMar>
        </w:tblPrEx>
        <w:trPr>
          <w:trHeight w:val="350" w:hRule="atLeast"/>
          <w:jc w:val="center"/>
        </w:trPr>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0"/>
              </w:tabs>
              <w:jc w:val="center"/>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szCs w:val="21"/>
              </w:rPr>
              <w:t>16</w:t>
            </w:r>
          </w:p>
        </w:tc>
        <w:tc>
          <w:tcPr>
            <w:tcW w:w="524" w:type="pct"/>
            <w:vMerge w:val="continue"/>
            <w:tcBorders>
              <w:top w:val="single" w:color="000000" w:sz="4" w:space="0"/>
              <w:left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p>
        </w:tc>
        <w:tc>
          <w:tcPr>
            <w:tcW w:w="3472"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要求至少具备多台手机并行提取解析能力。同时提取的手机数量不少于8台且同品牌、同型号手机不会互相冲突。同时提取时无提取方式限制</w:t>
            </w:r>
          </w:p>
        </w:tc>
        <w:tc>
          <w:tcPr>
            <w:tcW w:w="673" w:type="pct"/>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CellMar>
            <w:top w:w="0" w:type="dxa"/>
            <w:left w:w="108" w:type="dxa"/>
            <w:bottom w:w="0" w:type="dxa"/>
            <w:right w:w="108" w:type="dxa"/>
          </w:tblCellMar>
        </w:tblPrEx>
        <w:trPr>
          <w:trHeight w:val="350" w:hRule="atLeast"/>
          <w:jc w:val="center"/>
        </w:trPr>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0"/>
              </w:tabs>
              <w:jc w:val="center"/>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szCs w:val="21"/>
              </w:rPr>
              <w:t>17</w:t>
            </w:r>
          </w:p>
        </w:tc>
        <w:tc>
          <w:tcPr>
            <w:tcW w:w="524" w:type="pct"/>
            <w:vMerge w:val="continue"/>
            <w:tcBorders>
              <w:top w:val="single" w:color="000000" w:sz="4" w:space="0"/>
              <w:left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p>
        </w:tc>
        <w:tc>
          <w:tcPr>
            <w:tcW w:w="3472"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具备并行解析能力，并行数量无上限。提取与解析任务分离，解析时能够脱离对目标手机的依赖</w:t>
            </w:r>
          </w:p>
        </w:tc>
        <w:tc>
          <w:tcPr>
            <w:tcW w:w="673" w:type="pct"/>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CellMar>
            <w:top w:w="0" w:type="dxa"/>
            <w:left w:w="108" w:type="dxa"/>
            <w:bottom w:w="0" w:type="dxa"/>
            <w:right w:w="108" w:type="dxa"/>
          </w:tblCellMar>
        </w:tblPrEx>
        <w:trPr>
          <w:trHeight w:val="350" w:hRule="atLeast"/>
          <w:jc w:val="center"/>
        </w:trPr>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0"/>
              </w:tabs>
              <w:jc w:val="center"/>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szCs w:val="21"/>
              </w:rPr>
              <w:t>18</w:t>
            </w:r>
          </w:p>
        </w:tc>
        <w:tc>
          <w:tcPr>
            <w:tcW w:w="524" w:type="pct"/>
            <w:vMerge w:val="restart"/>
            <w:tcBorders>
              <w:top w:val="single" w:color="000000" w:sz="4" w:space="0"/>
              <w:left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取证能力</w:t>
            </w:r>
          </w:p>
        </w:tc>
        <w:tc>
          <w:tcPr>
            <w:tcW w:w="3472"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具备苹果iOS系统手机设备数据提取能力，提取方式包括但不限于iTunes备份、提权提取。支持iPhone 4及更新机型，最高支持型号至少为iPhone 15 Pro Max。系统需支持iOS 7.0及以上操作系统、最高支系统至少为iOS 18 Beta系统</w:t>
            </w:r>
          </w:p>
        </w:tc>
        <w:tc>
          <w:tcPr>
            <w:tcW w:w="673" w:type="pct"/>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CellMar>
            <w:top w:w="0" w:type="dxa"/>
            <w:left w:w="108" w:type="dxa"/>
            <w:bottom w:w="0" w:type="dxa"/>
            <w:right w:w="108" w:type="dxa"/>
          </w:tblCellMar>
        </w:tblPrEx>
        <w:trPr>
          <w:trHeight w:val="350" w:hRule="atLeast"/>
          <w:jc w:val="center"/>
        </w:trPr>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0"/>
              </w:tabs>
              <w:jc w:val="center"/>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szCs w:val="21"/>
              </w:rPr>
              <w:t>19</w:t>
            </w:r>
          </w:p>
        </w:tc>
        <w:tc>
          <w:tcPr>
            <w:tcW w:w="524" w:type="pct"/>
            <w:vMerge w:val="continue"/>
            <w:tcBorders>
              <w:left w:val="single" w:color="000000" w:sz="4" w:space="0"/>
              <w:right w:val="single" w:color="000000" w:sz="4" w:space="0"/>
            </w:tcBorders>
            <w:shd w:val="clear" w:color="auto" w:fill="auto"/>
            <w:vAlign w:val="center"/>
          </w:tcPr>
          <w:p>
            <w:pPr>
              <w:jc w:val="center"/>
              <w:rPr>
                <w:rFonts w:asciiTheme="minorEastAsia" w:hAnsiTheme="minorEastAsia" w:eastAsiaTheme="minorEastAsia" w:cstheme="minorEastAsia"/>
                <w:color w:val="000000"/>
                <w:szCs w:val="21"/>
              </w:rPr>
            </w:pPr>
          </w:p>
        </w:tc>
        <w:tc>
          <w:tcPr>
            <w:tcW w:w="3472"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具备Android系统手机设备数据提取能力，提取方式包括但不限于手机厂商备份、高级备份、WIFI高级备份、临时提权提取等。支持机型至少包括华为、OPPO、VIVO、小米、三星、红米、荣耀等市场常见品牌。支持Android 4.0及以上系统，最高支持系统至少为Android 14。支持提取Android设备中的APP安装文件。提取过程能够基于自动点击做到自动化。支持提取设备中的APP安装文件</w:t>
            </w:r>
          </w:p>
        </w:tc>
        <w:tc>
          <w:tcPr>
            <w:tcW w:w="673" w:type="pct"/>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CellMar>
            <w:top w:w="0" w:type="dxa"/>
            <w:left w:w="108" w:type="dxa"/>
            <w:bottom w:w="0" w:type="dxa"/>
            <w:right w:w="108" w:type="dxa"/>
          </w:tblCellMar>
        </w:tblPrEx>
        <w:trPr>
          <w:trHeight w:val="350" w:hRule="atLeast"/>
          <w:jc w:val="center"/>
        </w:trPr>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0"/>
              </w:tabs>
              <w:jc w:val="center"/>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szCs w:val="21"/>
              </w:rPr>
              <w:t>20</w:t>
            </w:r>
          </w:p>
        </w:tc>
        <w:tc>
          <w:tcPr>
            <w:tcW w:w="524" w:type="pct"/>
            <w:vMerge w:val="continue"/>
            <w:tcBorders>
              <w:left w:val="single" w:color="000000" w:sz="4" w:space="0"/>
              <w:right w:val="single" w:color="000000" w:sz="4" w:space="0"/>
            </w:tcBorders>
            <w:shd w:val="clear" w:color="auto" w:fill="auto"/>
            <w:vAlign w:val="center"/>
          </w:tcPr>
          <w:p>
            <w:pPr>
              <w:jc w:val="center"/>
              <w:rPr>
                <w:rFonts w:asciiTheme="minorEastAsia" w:hAnsiTheme="minorEastAsia" w:eastAsiaTheme="minorEastAsia" w:cstheme="minorEastAsia"/>
                <w:color w:val="000000"/>
                <w:szCs w:val="21"/>
              </w:rPr>
            </w:pPr>
          </w:p>
        </w:tc>
        <w:tc>
          <w:tcPr>
            <w:tcW w:w="3472"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具备鸿蒙系统手机设备数据提取能力，支持HarmonyOS 2.0及以上系统，最高支持系统至少为HarmonyOS 4.0</w:t>
            </w:r>
          </w:p>
        </w:tc>
        <w:tc>
          <w:tcPr>
            <w:tcW w:w="673" w:type="pct"/>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CellMar>
            <w:top w:w="0" w:type="dxa"/>
            <w:left w:w="108" w:type="dxa"/>
            <w:bottom w:w="0" w:type="dxa"/>
            <w:right w:w="108" w:type="dxa"/>
          </w:tblCellMar>
        </w:tblPrEx>
        <w:trPr>
          <w:trHeight w:val="350" w:hRule="atLeast"/>
          <w:jc w:val="center"/>
        </w:trPr>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0"/>
              </w:tabs>
              <w:jc w:val="center"/>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szCs w:val="21"/>
              </w:rPr>
              <w:t>21</w:t>
            </w:r>
          </w:p>
        </w:tc>
        <w:tc>
          <w:tcPr>
            <w:tcW w:w="524" w:type="pct"/>
            <w:vMerge w:val="continue"/>
            <w:tcBorders>
              <w:left w:val="single" w:color="000000" w:sz="4" w:space="0"/>
              <w:right w:val="single" w:color="000000" w:sz="4" w:space="0"/>
            </w:tcBorders>
            <w:shd w:val="clear" w:color="auto" w:fill="auto"/>
            <w:vAlign w:val="center"/>
          </w:tcPr>
          <w:p>
            <w:pPr>
              <w:jc w:val="center"/>
              <w:rPr>
                <w:rFonts w:asciiTheme="minorEastAsia" w:hAnsiTheme="minorEastAsia" w:eastAsiaTheme="minorEastAsia" w:cstheme="minorEastAsia"/>
                <w:color w:val="000000"/>
                <w:szCs w:val="21"/>
              </w:rPr>
            </w:pPr>
          </w:p>
        </w:tc>
        <w:tc>
          <w:tcPr>
            <w:tcW w:w="3472"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支持提取卫星通话、卫星短信数据，支持包括但不限于华为Mate60系列、X5等具备卫星通话功能的手机设备</w:t>
            </w:r>
          </w:p>
        </w:tc>
        <w:tc>
          <w:tcPr>
            <w:tcW w:w="673" w:type="pct"/>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CellMar>
            <w:top w:w="0" w:type="dxa"/>
            <w:left w:w="108" w:type="dxa"/>
            <w:bottom w:w="0" w:type="dxa"/>
            <w:right w:w="108" w:type="dxa"/>
          </w:tblCellMar>
        </w:tblPrEx>
        <w:trPr>
          <w:trHeight w:val="350" w:hRule="atLeast"/>
          <w:jc w:val="center"/>
        </w:trPr>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0"/>
              </w:tabs>
              <w:jc w:val="center"/>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szCs w:val="21"/>
              </w:rPr>
              <w:t>22</w:t>
            </w:r>
          </w:p>
        </w:tc>
        <w:tc>
          <w:tcPr>
            <w:tcW w:w="524" w:type="pct"/>
            <w:vMerge w:val="continue"/>
            <w:tcBorders>
              <w:left w:val="single" w:color="000000" w:sz="4" w:space="0"/>
              <w:right w:val="single" w:color="000000" w:sz="4" w:space="0"/>
            </w:tcBorders>
            <w:shd w:val="clear" w:color="auto" w:fill="auto"/>
            <w:vAlign w:val="center"/>
          </w:tcPr>
          <w:p>
            <w:pPr>
              <w:jc w:val="center"/>
              <w:rPr>
                <w:rFonts w:asciiTheme="minorEastAsia" w:hAnsiTheme="minorEastAsia" w:eastAsiaTheme="minorEastAsia" w:cstheme="minorEastAsia"/>
                <w:color w:val="000000"/>
                <w:szCs w:val="21"/>
              </w:rPr>
            </w:pPr>
          </w:p>
        </w:tc>
        <w:tc>
          <w:tcPr>
            <w:tcW w:w="3472"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具备独立工具，能够支持对Android设备内部存储空间进行独立提取；</w:t>
            </w:r>
          </w:p>
        </w:tc>
        <w:tc>
          <w:tcPr>
            <w:tcW w:w="673" w:type="pct"/>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CellMar>
            <w:top w:w="0" w:type="dxa"/>
            <w:left w:w="108" w:type="dxa"/>
            <w:bottom w:w="0" w:type="dxa"/>
            <w:right w:w="108" w:type="dxa"/>
          </w:tblCellMar>
        </w:tblPrEx>
        <w:trPr>
          <w:trHeight w:val="350" w:hRule="atLeast"/>
          <w:jc w:val="center"/>
        </w:trPr>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0"/>
              </w:tabs>
              <w:jc w:val="center"/>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szCs w:val="21"/>
              </w:rPr>
              <w:t>23</w:t>
            </w:r>
          </w:p>
        </w:tc>
        <w:tc>
          <w:tcPr>
            <w:tcW w:w="524" w:type="pct"/>
            <w:vMerge w:val="continue"/>
            <w:tcBorders>
              <w:left w:val="single" w:color="000000" w:sz="4" w:space="0"/>
              <w:bottom w:val="single" w:color="000000" w:sz="4" w:space="0"/>
              <w:right w:val="single" w:color="000000" w:sz="4" w:space="0"/>
            </w:tcBorders>
            <w:shd w:val="clear" w:color="auto" w:fill="auto"/>
            <w:vAlign w:val="center"/>
          </w:tcPr>
          <w:p>
            <w:pPr>
              <w:jc w:val="center"/>
              <w:rPr>
                <w:rFonts w:asciiTheme="minorEastAsia" w:hAnsiTheme="minorEastAsia" w:eastAsiaTheme="minorEastAsia" w:cstheme="minorEastAsia"/>
                <w:color w:val="000000"/>
                <w:szCs w:val="21"/>
              </w:rPr>
            </w:pPr>
          </w:p>
        </w:tc>
        <w:tc>
          <w:tcPr>
            <w:tcW w:w="3472"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具备独立工具，能够支持对苹果手机日志文件进行独立提取</w:t>
            </w:r>
          </w:p>
        </w:tc>
        <w:tc>
          <w:tcPr>
            <w:tcW w:w="673" w:type="pct"/>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CellMar>
            <w:top w:w="0" w:type="dxa"/>
            <w:left w:w="108" w:type="dxa"/>
            <w:bottom w:w="0" w:type="dxa"/>
            <w:right w:w="108" w:type="dxa"/>
          </w:tblCellMar>
        </w:tblPrEx>
        <w:trPr>
          <w:trHeight w:val="238" w:hRule="atLeast"/>
          <w:jc w:val="center"/>
        </w:trPr>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0"/>
              </w:tabs>
              <w:jc w:val="center"/>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szCs w:val="21"/>
              </w:rPr>
              <w:t>24</w:t>
            </w:r>
          </w:p>
        </w:tc>
        <w:tc>
          <w:tcPr>
            <w:tcW w:w="5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提权能力</w:t>
            </w:r>
          </w:p>
        </w:tc>
        <w:tc>
          <w:tcPr>
            <w:tcW w:w="3472"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具备针对苹果手机的iTunes备份密码提取能力,支持iPhone 5s及以上型号的手机，最高至少能够支持到iPhone 12 pro max。支持iOS 9.0及以上操作系统，最高系统至少支持到iOS 14.8.1</w:t>
            </w:r>
          </w:p>
        </w:tc>
        <w:tc>
          <w:tcPr>
            <w:tcW w:w="673" w:type="pct"/>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CellMar>
            <w:top w:w="0" w:type="dxa"/>
            <w:left w:w="108" w:type="dxa"/>
            <w:bottom w:w="0" w:type="dxa"/>
            <w:right w:w="108" w:type="dxa"/>
          </w:tblCellMar>
        </w:tblPrEx>
        <w:trPr>
          <w:trHeight w:val="700" w:hRule="atLeast"/>
          <w:jc w:val="center"/>
        </w:trPr>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0"/>
              </w:tabs>
              <w:jc w:val="center"/>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szCs w:val="21"/>
              </w:rPr>
              <w:t>25</w:t>
            </w:r>
          </w:p>
        </w:tc>
        <w:tc>
          <w:tcPr>
            <w:tcW w:w="5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p>
        </w:tc>
        <w:tc>
          <w:tcPr>
            <w:tcW w:w="3472"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具备Android系统提权提取能力，通过临时提权(免拆机刷机)的方式提取镜像(完整的文件系统)或物理镜像。支持Android 6及以上系统，最高支持系统至少为Android 14</w:t>
            </w:r>
          </w:p>
        </w:tc>
        <w:tc>
          <w:tcPr>
            <w:tcW w:w="673" w:type="pct"/>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CellMar>
            <w:top w:w="0" w:type="dxa"/>
            <w:left w:w="108" w:type="dxa"/>
            <w:bottom w:w="0" w:type="dxa"/>
            <w:right w:w="108" w:type="dxa"/>
          </w:tblCellMar>
        </w:tblPrEx>
        <w:trPr>
          <w:trHeight w:val="700" w:hRule="atLeast"/>
          <w:jc w:val="center"/>
        </w:trPr>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0"/>
              </w:tabs>
              <w:jc w:val="center"/>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szCs w:val="21"/>
              </w:rPr>
              <w:t>26</w:t>
            </w:r>
          </w:p>
        </w:tc>
        <w:tc>
          <w:tcPr>
            <w:tcW w:w="5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p>
        </w:tc>
        <w:tc>
          <w:tcPr>
            <w:tcW w:w="3472"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具备华为鸿蒙系统手机提权提取能力，支持鸿蒙2.0及鸿蒙3.0</w:t>
            </w:r>
          </w:p>
        </w:tc>
        <w:tc>
          <w:tcPr>
            <w:tcW w:w="673" w:type="pct"/>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CellMar>
            <w:top w:w="0" w:type="dxa"/>
            <w:left w:w="108" w:type="dxa"/>
            <w:bottom w:w="0" w:type="dxa"/>
            <w:right w:w="108" w:type="dxa"/>
          </w:tblCellMar>
        </w:tblPrEx>
        <w:trPr>
          <w:trHeight w:val="700" w:hRule="atLeast"/>
          <w:jc w:val="center"/>
        </w:trPr>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0"/>
              </w:tabs>
              <w:jc w:val="center"/>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szCs w:val="21"/>
              </w:rPr>
              <w:t>27</w:t>
            </w:r>
          </w:p>
        </w:tc>
        <w:tc>
          <w:tcPr>
            <w:tcW w:w="5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p>
        </w:tc>
        <w:tc>
          <w:tcPr>
            <w:tcW w:w="3472"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具备华为Android系统手机提权提取能力，支持Android 8及以上操作系统，最高支持操作系统至少为Android 14</w:t>
            </w:r>
          </w:p>
        </w:tc>
        <w:tc>
          <w:tcPr>
            <w:tcW w:w="673" w:type="pct"/>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CellMar>
            <w:top w:w="0" w:type="dxa"/>
            <w:left w:w="108" w:type="dxa"/>
            <w:bottom w:w="0" w:type="dxa"/>
            <w:right w:w="108" w:type="dxa"/>
          </w:tblCellMar>
        </w:tblPrEx>
        <w:trPr>
          <w:trHeight w:val="700" w:hRule="atLeast"/>
          <w:jc w:val="center"/>
        </w:trPr>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0"/>
              </w:tabs>
              <w:jc w:val="center"/>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szCs w:val="21"/>
              </w:rPr>
              <w:t>28</w:t>
            </w:r>
          </w:p>
        </w:tc>
        <w:tc>
          <w:tcPr>
            <w:tcW w:w="5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p>
        </w:tc>
        <w:tc>
          <w:tcPr>
            <w:tcW w:w="3472"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具备三星手机的提权提取能力，对设备进行全盘数据提取。支持Android 8及以上操作系统，最高支持操作系统不低于Android 13</w:t>
            </w:r>
          </w:p>
        </w:tc>
        <w:tc>
          <w:tcPr>
            <w:tcW w:w="673" w:type="pct"/>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CellMar>
            <w:top w:w="0" w:type="dxa"/>
            <w:left w:w="108" w:type="dxa"/>
            <w:bottom w:w="0" w:type="dxa"/>
            <w:right w:w="108" w:type="dxa"/>
          </w:tblCellMar>
        </w:tblPrEx>
        <w:trPr>
          <w:trHeight w:val="350" w:hRule="atLeast"/>
          <w:jc w:val="center"/>
        </w:trPr>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0"/>
              </w:tabs>
              <w:jc w:val="center"/>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szCs w:val="21"/>
              </w:rPr>
              <w:t>29</w:t>
            </w:r>
          </w:p>
        </w:tc>
        <w:tc>
          <w:tcPr>
            <w:tcW w:w="5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p>
        </w:tc>
        <w:tc>
          <w:tcPr>
            <w:tcW w:w="3472"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具备VIVO手机的提权提取能力， 最高支持操作系统版本不低于Android 14</w:t>
            </w:r>
          </w:p>
        </w:tc>
        <w:tc>
          <w:tcPr>
            <w:tcW w:w="673" w:type="pct"/>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CellMar>
            <w:top w:w="0" w:type="dxa"/>
            <w:left w:w="108" w:type="dxa"/>
            <w:bottom w:w="0" w:type="dxa"/>
            <w:right w:w="108" w:type="dxa"/>
          </w:tblCellMar>
        </w:tblPrEx>
        <w:trPr>
          <w:trHeight w:val="350" w:hRule="atLeast"/>
          <w:jc w:val="center"/>
        </w:trPr>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0"/>
              </w:tabs>
              <w:jc w:val="center"/>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szCs w:val="21"/>
              </w:rPr>
              <w:t>30</w:t>
            </w:r>
          </w:p>
        </w:tc>
        <w:tc>
          <w:tcPr>
            <w:tcW w:w="5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p>
        </w:tc>
        <w:tc>
          <w:tcPr>
            <w:tcW w:w="3472"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具备OPPO手机的提权提取能力， 最高支持操作系统版本不低于Android 14</w:t>
            </w:r>
          </w:p>
        </w:tc>
        <w:tc>
          <w:tcPr>
            <w:tcW w:w="673" w:type="pct"/>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CellMar>
            <w:top w:w="0" w:type="dxa"/>
            <w:left w:w="108" w:type="dxa"/>
            <w:bottom w:w="0" w:type="dxa"/>
            <w:right w:w="108" w:type="dxa"/>
          </w:tblCellMar>
        </w:tblPrEx>
        <w:trPr>
          <w:trHeight w:val="700" w:hRule="atLeast"/>
          <w:jc w:val="center"/>
        </w:trPr>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0"/>
              </w:tabs>
              <w:jc w:val="center"/>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szCs w:val="21"/>
              </w:rPr>
              <w:t>31</w:t>
            </w:r>
          </w:p>
        </w:tc>
        <w:tc>
          <w:tcPr>
            <w:tcW w:w="5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p>
        </w:tc>
        <w:tc>
          <w:tcPr>
            <w:tcW w:w="3472"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具备小米手机的提权提取能力， 最高支持操作系统版本不低于Android 14</w:t>
            </w:r>
          </w:p>
        </w:tc>
        <w:tc>
          <w:tcPr>
            <w:tcW w:w="673" w:type="pct"/>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CellMar>
            <w:top w:w="0" w:type="dxa"/>
            <w:left w:w="108" w:type="dxa"/>
            <w:bottom w:w="0" w:type="dxa"/>
            <w:right w:w="108" w:type="dxa"/>
          </w:tblCellMar>
        </w:tblPrEx>
        <w:trPr>
          <w:trHeight w:val="700" w:hRule="atLeast"/>
          <w:jc w:val="center"/>
        </w:trPr>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0"/>
              </w:tabs>
              <w:jc w:val="center"/>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szCs w:val="21"/>
              </w:rPr>
              <w:t>32</w:t>
            </w:r>
          </w:p>
        </w:tc>
        <w:tc>
          <w:tcPr>
            <w:tcW w:w="524" w:type="pct"/>
            <w:vMerge w:val="restart"/>
            <w:tcBorders>
              <w:top w:val="single" w:color="000000" w:sz="4" w:space="0"/>
              <w:left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破解能力</w:t>
            </w:r>
          </w:p>
        </w:tc>
        <w:tc>
          <w:tcPr>
            <w:tcW w:w="3472"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具备Android设备屏幕破解能力。手机品牌支持包括但不限于华为、OPPO、vivo、小米等</w:t>
            </w:r>
          </w:p>
        </w:tc>
        <w:tc>
          <w:tcPr>
            <w:tcW w:w="673" w:type="pct"/>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CellMar>
            <w:top w:w="0" w:type="dxa"/>
            <w:left w:w="108" w:type="dxa"/>
            <w:bottom w:w="0" w:type="dxa"/>
            <w:right w:w="108" w:type="dxa"/>
          </w:tblCellMar>
        </w:tblPrEx>
        <w:trPr>
          <w:trHeight w:val="349" w:hRule="atLeast"/>
          <w:jc w:val="center"/>
        </w:trPr>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0"/>
              </w:tabs>
              <w:jc w:val="center"/>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szCs w:val="21"/>
              </w:rPr>
              <w:t>33</w:t>
            </w:r>
          </w:p>
        </w:tc>
        <w:tc>
          <w:tcPr>
            <w:tcW w:w="524" w:type="pct"/>
            <w:vMerge w:val="continue"/>
            <w:tcBorders>
              <w:left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p>
        </w:tc>
        <w:tc>
          <w:tcPr>
            <w:tcW w:w="3472"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具备华为隐私空间密码破解能力</w:t>
            </w:r>
          </w:p>
        </w:tc>
        <w:tc>
          <w:tcPr>
            <w:tcW w:w="673" w:type="pct"/>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CellMar>
            <w:top w:w="0" w:type="dxa"/>
            <w:left w:w="108" w:type="dxa"/>
            <w:bottom w:w="0" w:type="dxa"/>
            <w:right w:w="108" w:type="dxa"/>
          </w:tblCellMar>
        </w:tblPrEx>
        <w:trPr>
          <w:trHeight w:val="700" w:hRule="atLeast"/>
          <w:jc w:val="center"/>
        </w:trPr>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0"/>
              </w:tabs>
              <w:jc w:val="center"/>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szCs w:val="21"/>
              </w:rPr>
              <w:t>34</w:t>
            </w:r>
          </w:p>
        </w:tc>
        <w:tc>
          <w:tcPr>
            <w:tcW w:w="524" w:type="pct"/>
            <w:vMerge w:val="continue"/>
            <w:tcBorders>
              <w:left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p>
        </w:tc>
        <w:tc>
          <w:tcPr>
            <w:tcW w:w="3472"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具备Android设备应用锁/隐私密码绕过或禁用能力，手机品牌支持包括但不限于华为、OPPO、vivo、小米等</w:t>
            </w:r>
          </w:p>
        </w:tc>
        <w:tc>
          <w:tcPr>
            <w:tcW w:w="673" w:type="pct"/>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CellMar>
            <w:top w:w="0" w:type="dxa"/>
            <w:left w:w="108" w:type="dxa"/>
            <w:bottom w:w="0" w:type="dxa"/>
            <w:right w:w="108" w:type="dxa"/>
          </w:tblCellMar>
        </w:tblPrEx>
        <w:trPr>
          <w:trHeight w:val="700" w:hRule="atLeast"/>
          <w:jc w:val="center"/>
        </w:trPr>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0"/>
              </w:tabs>
              <w:jc w:val="center"/>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szCs w:val="21"/>
              </w:rPr>
              <w:t>35</w:t>
            </w:r>
          </w:p>
        </w:tc>
        <w:tc>
          <w:tcPr>
            <w:tcW w:w="524" w:type="pct"/>
            <w:vMerge w:val="continue"/>
            <w:tcBorders>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p>
        </w:tc>
        <w:tc>
          <w:tcPr>
            <w:tcW w:w="3472"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具备AirDrop相关日志中手机号哈希值破解还原的能力</w:t>
            </w:r>
          </w:p>
        </w:tc>
        <w:tc>
          <w:tcPr>
            <w:tcW w:w="673" w:type="pct"/>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CellMar>
            <w:top w:w="0" w:type="dxa"/>
            <w:left w:w="108" w:type="dxa"/>
            <w:bottom w:w="0" w:type="dxa"/>
            <w:right w:w="108" w:type="dxa"/>
          </w:tblCellMar>
        </w:tblPrEx>
        <w:trPr>
          <w:trHeight w:val="700" w:hRule="atLeast"/>
          <w:jc w:val="center"/>
        </w:trPr>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0"/>
              </w:tabs>
              <w:jc w:val="center"/>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szCs w:val="21"/>
              </w:rPr>
              <w:t>36</w:t>
            </w:r>
          </w:p>
        </w:tc>
        <w:tc>
          <w:tcPr>
            <w:tcW w:w="524"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解析引擎兼容</w:t>
            </w:r>
          </w:p>
        </w:tc>
        <w:tc>
          <w:tcPr>
            <w:tcW w:w="3472"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导入各类常见手机镜像/备份进行数据解析。支持来源包括但限于iTunes备份、苹果完整文件系统、安卓完整文件系统（提权提取）、安卓物理镜像（提权提取）、YunOS备份、OPPO备份、VIVO备份、小米备份、魅族备份、ADB备份、华为备份等。支持格式包括但不限于TAR文件、ZIP文件、DD镜像文件、目录（文件集合）等格式</w:t>
            </w:r>
          </w:p>
        </w:tc>
        <w:tc>
          <w:tcPr>
            <w:tcW w:w="673" w:type="pct"/>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CellMar>
            <w:top w:w="0" w:type="dxa"/>
            <w:left w:w="108" w:type="dxa"/>
            <w:bottom w:w="0" w:type="dxa"/>
            <w:right w:w="108" w:type="dxa"/>
          </w:tblCellMar>
        </w:tblPrEx>
        <w:trPr>
          <w:trHeight w:val="700" w:hRule="atLeast"/>
          <w:jc w:val="center"/>
        </w:trPr>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0"/>
              </w:tabs>
              <w:jc w:val="center"/>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szCs w:val="21"/>
              </w:rPr>
              <w:t>37</w:t>
            </w:r>
          </w:p>
        </w:tc>
        <w:tc>
          <w:tcPr>
            <w:tcW w:w="524" w:type="pct"/>
            <w:vMerge w:val="restart"/>
            <w:tcBorders>
              <w:top w:val="single" w:color="000000" w:sz="4" w:space="0"/>
              <w:left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系统数据分析</w:t>
            </w:r>
          </w:p>
        </w:tc>
        <w:tc>
          <w:tcPr>
            <w:tcW w:w="3472"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需支持解析设备主要硬件信息与唯一标识等，包括手机厂商、型号、芯片、系统版本、IMEI、MEID、是否root、硬件平台等的相关信息，iOS设备额外需支持IDFA、UDID的解析</w:t>
            </w:r>
          </w:p>
        </w:tc>
        <w:tc>
          <w:tcPr>
            <w:tcW w:w="673" w:type="pct"/>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CellMar>
            <w:top w:w="0" w:type="dxa"/>
            <w:left w:w="108" w:type="dxa"/>
            <w:bottom w:w="0" w:type="dxa"/>
            <w:right w:w="108" w:type="dxa"/>
          </w:tblCellMar>
        </w:tblPrEx>
        <w:trPr>
          <w:trHeight w:val="700" w:hRule="atLeast"/>
          <w:jc w:val="center"/>
        </w:trPr>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0"/>
              </w:tabs>
              <w:jc w:val="center"/>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szCs w:val="21"/>
              </w:rPr>
              <w:t>38</w:t>
            </w:r>
          </w:p>
        </w:tc>
        <w:tc>
          <w:tcPr>
            <w:tcW w:w="524" w:type="pct"/>
            <w:vMerge w:val="continue"/>
            <w:tcBorders>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p>
        </w:tc>
        <w:tc>
          <w:tcPr>
            <w:tcW w:w="3472"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需支持解析系统基本信息，包括但不限于通讯录、短彩信、通话记录、多媒体(拍摄的文件，包含缩略图)、日历、录音、备忘录、书签、SIM卡记录、系统输入法等，iOS设备还需支持特有的iMessage消息及语音备忘录</w:t>
            </w:r>
          </w:p>
        </w:tc>
        <w:tc>
          <w:tcPr>
            <w:tcW w:w="673" w:type="pct"/>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CellMar>
            <w:top w:w="0" w:type="dxa"/>
            <w:left w:w="108" w:type="dxa"/>
            <w:bottom w:w="0" w:type="dxa"/>
            <w:right w:w="108" w:type="dxa"/>
          </w:tblCellMar>
        </w:tblPrEx>
        <w:trPr>
          <w:trHeight w:val="700" w:hRule="atLeast"/>
          <w:jc w:val="center"/>
        </w:trPr>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0"/>
              </w:tabs>
              <w:jc w:val="center"/>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szCs w:val="21"/>
              </w:rPr>
              <w:t>39</w:t>
            </w:r>
          </w:p>
        </w:tc>
        <w:tc>
          <w:tcPr>
            <w:tcW w:w="524" w:type="pct"/>
            <w:vMerge w:val="restart"/>
            <w:tcBorders>
              <w:top w:val="single" w:color="000000" w:sz="4" w:space="0"/>
              <w:left w:val="single" w:color="000000" w:sz="4" w:space="0"/>
              <w:right w:val="single" w:color="000000" w:sz="4" w:space="0"/>
            </w:tcBorders>
            <w:shd w:val="clear" w:color="auto" w:fill="auto"/>
            <w:vAlign w:val="center"/>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应用程序分析</w:t>
            </w:r>
          </w:p>
        </w:tc>
        <w:tc>
          <w:tcPr>
            <w:tcW w:w="3472"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需支持解析即时消息类应用痕迹，包括但不限于微信、蝙蝠、QQ、钉钉、BF、Blued、城信、DeBox、Enigma、飞书、绯讯、会玩、Letstalk、聊呗极速版、陌陌、默往、如流、事密达、多卡宝、Soul、探探、他趣、TT语音、旺信、企业微信、闲聊、小天才、野火IM、叮咚、易信、有信、与你、YY、知乎等</w:t>
            </w:r>
          </w:p>
        </w:tc>
        <w:tc>
          <w:tcPr>
            <w:tcW w:w="673" w:type="pct"/>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CellMar>
            <w:top w:w="0" w:type="dxa"/>
            <w:left w:w="108" w:type="dxa"/>
            <w:bottom w:w="0" w:type="dxa"/>
            <w:right w:w="108" w:type="dxa"/>
          </w:tblCellMar>
        </w:tblPrEx>
        <w:trPr>
          <w:trHeight w:val="700" w:hRule="atLeast"/>
          <w:jc w:val="center"/>
        </w:trPr>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0"/>
              </w:tabs>
              <w:jc w:val="center"/>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szCs w:val="21"/>
              </w:rPr>
              <w:t>40</w:t>
            </w:r>
          </w:p>
        </w:tc>
        <w:tc>
          <w:tcPr>
            <w:tcW w:w="524" w:type="pct"/>
            <w:vMerge w:val="continue"/>
            <w:tcBorders>
              <w:left w:val="single" w:color="000000" w:sz="4" w:space="0"/>
              <w:right w:val="single" w:color="000000" w:sz="4" w:space="0"/>
            </w:tcBorders>
            <w:shd w:val="clear" w:color="auto" w:fill="auto"/>
            <w:vAlign w:val="center"/>
          </w:tcPr>
          <w:p>
            <w:pPr>
              <w:jc w:val="center"/>
              <w:rPr>
                <w:rFonts w:asciiTheme="minorEastAsia" w:hAnsiTheme="minorEastAsia" w:eastAsiaTheme="minorEastAsia" w:cstheme="minorEastAsia"/>
                <w:color w:val="000000"/>
                <w:szCs w:val="21"/>
              </w:rPr>
            </w:pPr>
          </w:p>
        </w:tc>
        <w:tc>
          <w:tcPr>
            <w:tcW w:w="3472"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需支持解析浏览器类应用痕迹，包括但不限于百度浏览器、手机百度极速版、手机百度、Chrome浏览器、Safari、华为浏览器、小米浏览器、OPPO浏览器、vivo浏览器、联想浏览器、三星浏览器、火狐浏览器、欧朋浏览器、QQ浏览器、夸克浏览器、UC浏览器等</w:t>
            </w:r>
          </w:p>
        </w:tc>
        <w:tc>
          <w:tcPr>
            <w:tcW w:w="673" w:type="pct"/>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CellMar>
            <w:top w:w="0" w:type="dxa"/>
            <w:left w:w="108" w:type="dxa"/>
            <w:bottom w:w="0" w:type="dxa"/>
            <w:right w:w="108" w:type="dxa"/>
          </w:tblCellMar>
        </w:tblPrEx>
        <w:trPr>
          <w:trHeight w:val="700" w:hRule="atLeast"/>
          <w:jc w:val="center"/>
        </w:trPr>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0"/>
              </w:tabs>
              <w:jc w:val="center"/>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szCs w:val="21"/>
              </w:rPr>
              <w:t>41</w:t>
            </w:r>
          </w:p>
        </w:tc>
        <w:tc>
          <w:tcPr>
            <w:tcW w:w="524" w:type="pct"/>
            <w:vMerge w:val="continue"/>
            <w:tcBorders>
              <w:left w:val="single" w:color="000000" w:sz="4" w:space="0"/>
              <w:right w:val="single" w:color="000000" w:sz="4" w:space="0"/>
            </w:tcBorders>
            <w:shd w:val="clear" w:color="auto" w:fill="auto"/>
            <w:vAlign w:val="center"/>
          </w:tcPr>
          <w:p>
            <w:pPr>
              <w:jc w:val="center"/>
              <w:rPr>
                <w:rFonts w:asciiTheme="minorEastAsia" w:hAnsiTheme="minorEastAsia" w:eastAsiaTheme="minorEastAsia" w:cstheme="minorEastAsia"/>
                <w:color w:val="000000"/>
                <w:szCs w:val="21"/>
              </w:rPr>
            </w:pPr>
          </w:p>
        </w:tc>
        <w:tc>
          <w:tcPr>
            <w:tcW w:w="3472"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需支持解析微博社区类应用痕迹，包括但不限于新浪微博、百度贴吧、小红书等</w:t>
            </w:r>
          </w:p>
        </w:tc>
        <w:tc>
          <w:tcPr>
            <w:tcW w:w="673" w:type="pct"/>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CellMar>
            <w:top w:w="0" w:type="dxa"/>
            <w:left w:w="108" w:type="dxa"/>
            <w:bottom w:w="0" w:type="dxa"/>
            <w:right w:w="108" w:type="dxa"/>
          </w:tblCellMar>
        </w:tblPrEx>
        <w:trPr>
          <w:trHeight w:val="700" w:hRule="atLeast"/>
          <w:jc w:val="center"/>
        </w:trPr>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0"/>
              </w:tabs>
              <w:jc w:val="center"/>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szCs w:val="21"/>
              </w:rPr>
              <w:t>42</w:t>
            </w:r>
          </w:p>
        </w:tc>
        <w:tc>
          <w:tcPr>
            <w:tcW w:w="524" w:type="pct"/>
            <w:vMerge w:val="continue"/>
            <w:tcBorders>
              <w:left w:val="single" w:color="000000" w:sz="4" w:space="0"/>
              <w:right w:val="single" w:color="000000" w:sz="4" w:space="0"/>
            </w:tcBorders>
            <w:shd w:val="clear" w:color="auto" w:fill="auto"/>
            <w:vAlign w:val="center"/>
          </w:tcPr>
          <w:p>
            <w:pPr>
              <w:jc w:val="center"/>
              <w:rPr>
                <w:rFonts w:asciiTheme="minorEastAsia" w:hAnsiTheme="minorEastAsia" w:eastAsiaTheme="minorEastAsia" w:cstheme="minorEastAsia"/>
                <w:color w:val="000000"/>
                <w:szCs w:val="21"/>
              </w:rPr>
            </w:pPr>
          </w:p>
        </w:tc>
        <w:tc>
          <w:tcPr>
            <w:tcW w:w="3472"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需支持解析电子邮件类应用痕迹，包括但不限于系统邮箱、谷歌邮箱、网易邮箱大师、网易邮箱、Proton Mail、QQ邮箱等</w:t>
            </w:r>
          </w:p>
        </w:tc>
        <w:tc>
          <w:tcPr>
            <w:tcW w:w="673" w:type="pct"/>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CellMar>
            <w:top w:w="0" w:type="dxa"/>
            <w:left w:w="108" w:type="dxa"/>
            <w:bottom w:w="0" w:type="dxa"/>
            <w:right w:w="108" w:type="dxa"/>
          </w:tblCellMar>
        </w:tblPrEx>
        <w:trPr>
          <w:trHeight w:val="700" w:hRule="atLeast"/>
          <w:jc w:val="center"/>
        </w:trPr>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0"/>
              </w:tabs>
              <w:jc w:val="center"/>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szCs w:val="21"/>
              </w:rPr>
              <w:t>43</w:t>
            </w:r>
          </w:p>
        </w:tc>
        <w:tc>
          <w:tcPr>
            <w:tcW w:w="524" w:type="pct"/>
            <w:vMerge w:val="continue"/>
            <w:tcBorders>
              <w:left w:val="single" w:color="000000" w:sz="4" w:space="0"/>
              <w:right w:val="single" w:color="000000" w:sz="4" w:space="0"/>
            </w:tcBorders>
            <w:shd w:val="clear" w:color="auto" w:fill="auto"/>
            <w:vAlign w:val="center"/>
          </w:tcPr>
          <w:p>
            <w:pPr>
              <w:jc w:val="center"/>
              <w:rPr>
                <w:rFonts w:asciiTheme="minorEastAsia" w:hAnsiTheme="minorEastAsia" w:eastAsiaTheme="minorEastAsia" w:cstheme="minorEastAsia"/>
                <w:color w:val="000000"/>
                <w:szCs w:val="21"/>
              </w:rPr>
            </w:pPr>
          </w:p>
        </w:tc>
        <w:tc>
          <w:tcPr>
            <w:tcW w:w="3472"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需支持解析电子商务类应用痕迹，包括但不限于支付宝、淘宝、京东、拼多多、千牛（iOS）、天猫（Android）、闲鱼、转转等</w:t>
            </w:r>
          </w:p>
        </w:tc>
        <w:tc>
          <w:tcPr>
            <w:tcW w:w="673" w:type="pct"/>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CellMar>
            <w:top w:w="0" w:type="dxa"/>
            <w:left w:w="108" w:type="dxa"/>
            <w:bottom w:w="0" w:type="dxa"/>
            <w:right w:w="108" w:type="dxa"/>
          </w:tblCellMar>
        </w:tblPrEx>
        <w:trPr>
          <w:trHeight w:val="700" w:hRule="atLeast"/>
          <w:jc w:val="center"/>
        </w:trPr>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0"/>
              </w:tabs>
              <w:jc w:val="center"/>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szCs w:val="21"/>
              </w:rPr>
              <w:t>44</w:t>
            </w:r>
          </w:p>
        </w:tc>
        <w:tc>
          <w:tcPr>
            <w:tcW w:w="524" w:type="pct"/>
            <w:vMerge w:val="continue"/>
            <w:tcBorders>
              <w:left w:val="single" w:color="000000" w:sz="4" w:space="0"/>
              <w:right w:val="single" w:color="000000" w:sz="4" w:space="0"/>
            </w:tcBorders>
            <w:shd w:val="clear" w:color="auto" w:fill="auto"/>
            <w:vAlign w:val="center"/>
          </w:tcPr>
          <w:p>
            <w:pPr>
              <w:jc w:val="center"/>
              <w:rPr>
                <w:rFonts w:asciiTheme="minorEastAsia" w:hAnsiTheme="minorEastAsia" w:eastAsiaTheme="minorEastAsia" w:cstheme="minorEastAsia"/>
                <w:color w:val="000000"/>
                <w:szCs w:val="21"/>
              </w:rPr>
            </w:pPr>
          </w:p>
        </w:tc>
        <w:tc>
          <w:tcPr>
            <w:tcW w:w="3472"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需支持解析地图出行类应用痕迹，包括但不限于高德地图、百度地图、携程旅行、谷歌地图、去哪儿、铁路12306、搜狗地图、腾讯地图、航旅纵横等</w:t>
            </w:r>
          </w:p>
        </w:tc>
        <w:tc>
          <w:tcPr>
            <w:tcW w:w="673" w:type="pct"/>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CellMar>
            <w:top w:w="0" w:type="dxa"/>
            <w:left w:w="108" w:type="dxa"/>
            <w:bottom w:w="0" w:type="dxa"/>
            <w:right w:w="108" w:type="dxa"/>
          </w:tblCellMar>
        </w:tblPrEx>
        <w:trPr>
          <w:trHeight w:val="537" w:hRule="atLeast"/>
          <w:jc w:val="center"/>
        </w:trPr>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0"/>
              </w:tabs>
              <w:jc w:val="center"/>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szCs w:val="21"/>
              </w:rPr>
              <w:t>45</w:t>
            </w:r>
          </w:p>
        </w:tc>
        <w:tc>
          <w:tcPr>
            <w:tcW w:w="524" w:type="pct"/>
            <w:vMerge w:val="continue"/>
            <w:tcBorders>
              <w:left w:val="single" w:color="000000" w:sz="4" w:space="0"/>
              <w:right w:val="single" w:color="000000" w:sz="4" w:space="0"/>
            </w:tcBorders>
            <w:shd w:val="clear" w:color="auto" w:fill="auto"/>
            <w:vAlign w:val="center"/>
          </w:tcPr>
          <w:p>
            <w:pPr>
              <w:jc w:val="center"/>
              <w:rPr>
                <w:rFonts w:asciiTheme="minorEastAsia" w:hAnsiTheme="minorEastAsia" w:eastAsiaTheme="minorEastAsia" w:cstheme="minorEastAsia"/>
                <w:color w:val="000000"/>
                <w:szCs w:val="21"/>
              </w:rPr>
            </w:pPr>
          </w:p>
        </w:tc>
        <w:tc>
          <w:tcPr>
            <w:tcW w:w="3472"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需支持解析网盘类应用痕迹，包括但不限于百度网盘等</w:t>
            </w:r>
          </w:p>
        </w:tc>
        <w:tc>
          <w:tcPr>
            <w:tcW w:w="673" w:type="pct"/>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CellMar>
            <w:top w:w="0" w:type="dxa"/>
            <w:left w:w="108" w:type="dxa"/>
            <w:bottom w:w="0" w:type="dxa"/>
            <w:right w:w="108" w:type="dxa"/>
          </w:tblCellMar>
        </w:tblPrEx>
        <w:trPr>
          <w:trHeight w:val="700" w:hRule="atLeast"/>
          <w:jc w:val="center"/>
        </w:trPr>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0"/>
              </w:tabs>
              <w:jc w:val="center"/>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szCs w:val="21"/>
              </w:rPr>
              <w:t>46</w:t>
            </w:r>
          </w:p>
        </w:tc>
        <w:tc>
          <w:tcPr>
            <w:tcW w:w="524" w:type="pct"/>
            <w:vMerge w:val="continue"/>
            <w:tcBorders>
              <w:left w:val="single" w:color="000000" w:sz="4" w:space="0"/>
              <w:right w:val="single" w:color="000000" w:sz="4" w:space="0"/>
            </w:tcBorders>
            <w:shd w:val="clear" w:color="auto" w:fill="auto"/>
            <w:vAlign w:val="center"/>
          </w:tcPr>
          <w:p>
            <w:pPr>
              <w:jc w:val="center"/>
              <w:rPr>
                <w:rFonts w:asciiTheme="minorEastAsia" w:hAnsiTheme="minorEastAsia" w:eastAsiaTheme="minorEastAsia" w:cstheme="minorEastAsia"/>
                <w:color w:val="000000"/>
                <w:szCs w:val="21"/>
              </w:rPr>
            </w:pPr>
          </w:p>
        </w:tc>
        <w:tc>
          <w:tcPr>
            <w:tcW w:w="3472"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需支持解析工具类应用痕迹，包括但不限于茄子快传、快牙、迷雾通、小爱视觉（Android）、ShadowRocket、SSR、向日葵、快连VPN等</w:t>
            </w:r>
          </w:p>
        </w:tc>
        <w:tc>
          <w:tcPr>
            <w:tcW w:w="673" w:type="pct"/>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CellMar>
            <w:top w:w="0" w:type="dxa"/>
            <w:left w:w="108" w:type="dxa"/>
            <w:bottom w:w="0" w:type="dxa"/>
            <w:right w:w="108" w:type="dxa"/>
          </w:tblCellMar>
        </w:tblPrEx>
        <w:trPr>
          <w:trHeight w:val="700" w:hRule="atLeast"/>
          <w:jc w:val="center"/>
        </w:trPr>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0"/>
              </w:tabs>
              <w:jc w:val="center"/>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szCs w:val="21"/>
              </w:rPr>
              <w:t>47</w:t>
            </w:r>
          </w:p>
        </w:tc>
        <w:tc>
          <w:tcPr>
            <w:tcW w:w="524" w:type="pct"/>
            <w:vMerge w:val="continue"/>
            <w:tcBorders>
              <w:left w:val="single" w:color="000000" w:sz="4" w:space="0"/>
              <w:right w:val="single" w:color="000000" w:sz="4" w:space="0"/>
            </w:tcBorders>
            <w:shd w:val="clear" w:color="auto" w:fill="auto"/>
            <w:vAlign w:val="center"/>
          </w:tcPr>
          <w:p>
            <w:pPr>
              <w:jc w:val="center"/>
              <w:rPr>
                <w:rFonts w:asciiTheme="minorEastAsia" w:hAnsiTheme="minorEastAsia" w:eastAsiaTheme="minorEastAsia" w:cstheme="minorEastAsia"/>
                <w:color w:val="000000"/>
                <w:szCs w:val="21"/>
              </w:rPr>
            </w:pPr>
          </w:p>
        </w:tc>
        <w:tc>
          <w:tcPr>
            <w:tcW w:w="3472"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需支持解析影音娱乐类应用痕迹，包括但不限于抖音、抖音极速版、抖音火山版、火山小视频、快手、全民K歌、YouTube等</w:t>
            </w:r>
          </w:p>
        </w:tc>
        <w:tc>
          <w:tcPr>
            <w:tcW w:w="673" w:type="pct"/>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CellMar>
            <w:top w:w="0" w:type="dxa"/>
            <w:left w:w="108" w:type="dxa"/>
            <w:bottom w:w="0" w:type="dxa"/>
            <w:right w:w="108" w:type="dxa"/>
          </w:tblCellMar>
        </w:tblPrEx>
        <w:trPr>
          <w:trHeight w:val="700" w:hRule="atLeast"/>
          <w:jc w:val="center"/>
        </w:trPr>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0"/>
              </w:tabs>
              <w:jc w:val="center"/>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szCs w:val="21"/>
              </w:rPr>
              <w:t>48</w:t>
            </w:r>
          </w:p>
        </w:tc>
        <w:tc>
          <w:tcPr>
            <w:tcW w:w="524" w:type="pct"/>
            <w:vMerge w:val="continue"/>
            <w:tcBorders>
              <w:left w:val="single" w:color="000000" w:sz="4" w:space="0"/>
              <w:right w:val="single" w:color="000000" w:sz="4" w:space="0"/>
            </w:tcBorders>
            <w:shd w:val="clear" w:color="auto" w:fill="auto"/>
            <w:vAlign w:val="center"/>
          </w:tcPr>
          <w:p>
            <w:pPr>
              <w:jc w:val="center"/>
              <w:rPr>
                <w:rFonts w:asciiTheme="minorEastAsia" w:hAnsiTheme="minorEastAsia" w:eastAsiaTheme="minorEastAsia" w:cstheme="minorEastAsia"/>
                <w:color w:val="000000"/>
                <w:szCs w:val="21"/>
              </w:rPr>
            </w:pPr>
          </w:p>
        </w:tc>
        <w:tc>
          <w:tcPr>
            <w:tcW w:w="3472"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需支持解析手机安全类应用痕迹，包括但不限于360安全卫士、华为拦截等</w:t>
            </w:r>
          </w:p>
        </w:tc>
        <w:tc>
          <w:tcPr>
            <w:tcW w:w="673" w:type="pct"/>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CellMar>
            <w:top w:w="0" w:type="dxa"/>
            <w:left w:w="108" w:type="dxa"/>
            <w:bottom w:w="0" w:type="dxa"/>
            <w:right w:w="108" w:type="dxa"/>
          </w:tblCellMar>
        </w:tblPrEx>
        <w:trPr>
          <w:trHeight w:val="700" w:hRule="atLeast"/>
          <w:jc w:val="center"/>
        </w:trPr>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0"/>
              </w:tabs>
              <w:jc w:val="center"/>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szCs w:val="21"/>
              </w:rPr>
              <w:t>49</w:t>
            </w:r>
          </w:p>
        </w:tc>
        <w:tc>
          <w:tcPr>
            <w:tcW w:w="524" w:type="pct"/>
            <w:vMerge w:val="continue"/>
            <w:tcBorders>
              <w:left w:val="single" w:color="000000" w:sz="4" w:space="0"/>
              <w:right w:val="single" w:color="000000" w:sz="4" w:space="0"/>
            </w:tcBorders>
            <w:shd w:val="clear" w:color="auto" w:fill="auto"/>
            <w:vAlign w:val="center"/>
          </w:tcPr>
          <w:p>
            <w:pPr>
              <w:jc w:val="center"/>
              <w:rPr>
                <w:rFonts w:asciiTheme="minorEastAsia" w:hAnsiTheme="minorEastAsia" w:eastAsiaTheme="minorEastAsia" w:cstheme="minorEastAsia"/>
                <w:color w:val="000000"/>
                <w:szCs w:val="21"/>
              </w:rPr>
            </w:pPr>
          </w:p>
        </w:tc>
        <w:tc>
          <w:tcPr>
            <w:tcW w:w="3472"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需支持解析文档类应用痕迹，包括但不限于谷歌文档、谷歌表格、WPS等</w:t>
            </w:r>
          </w:p>
        </w:tc>
        <w:tc>
          <w:tcPr>
            <w:tcW w:w="673" w:type="pct"/>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CellMar>
            <w:top w:w="0" w:type="dxa"/>
            <w:left w:w="108" w:type="dxa"/>
            <w:bottom w:w="0" w:type="dxa"/>
            <w:right w:w="108" w:type="dxa"/>
          </w:tblCellMar>
        </w:tblPrEx>
        <w:trPr>
          <w:trHeight w:val="700" w:hRule="atLeast"/>
          <w:jc w:val="center"/>
        </w:trPr>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0"/>
              </w:tabs>
              <w:jc w:val="center"/>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szCs w:val="21"/>
              </w:rPr>
              <w:t>50</w:t>
            </w:r>
          </w:p>
        </w:tc>
        <w:tc>
          <w:tcPr>
            <w:tcW w:w="524" w:type="pct"/>
            <w:vMerge w:val="continue"/>
            <w:tcBorders>
              <w:left w:val="single" w:color="000000" w:sz="4" w:space="0"/>
              <w:right w:val="single" w:color="000000" w:sz="4" w:space="0"/>
            </w:tcBorders>
            <w:shd w:val="clear" w:color="auto" w:fill="auto"/>
            <w:vAlign w:val="center"/>
          </w:tcPr>
          <w:p>
            <w:pPr>
              <w:jc w:val="center"/>
              <w:rPr>
                <w:rFonts w:asciiTheme="minorEastAsia" w:hAnsiTheme="minorEastAsia" w:eastAsiaTheme="minorEastAsia" w:cstheme="minorEastAsia"/>
                <w:color w:val="000000"/>
                <w:szCs w:val="21"/>
              </w:rPr>
            </w:pPr>
          </w:p>
        </w:tc>
        <w:tc>
          <w:tcPr>
            <w:tcW w:w="3472"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需支持解析生活类应用痕迹，包括但不限于华为智慧生活、锦食送、美团、米家、食派士等</w:t>
            </w:r>
          </w:p>
        </w:tc>
        <w:tc>
          <w:tcPr>
            <w:tcW w:w="673" w:type="pct"/>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CellMar>
            <w:top w:w="0" w:type="dxa"/>
            <w:left w:w="108" w:type="dxa"/>
            <w:bottom w:w="0" w:type="dxa"/>
            <w:right w:w="108" w:type="dxa"/>
          </w:tblCellMar>
        </w:tblPrEx>
        <w:trPr>
          <w:trHeight w:val="700" w:hRule="atLeast"/>
          <w:jc w:val="center"/>
        </w:trPr>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0"/>
              </w:tabs>
              <w:jc w:val="center"/>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szCs w:val="21"/>
              </w:rPr>
              <w:t>51</w:t>
            </w:r>
          </w:p>
        </w:tc>
        <w:tc>
          <w:tcPr>
            <w:tcW w:w="524" w:type="pct"/>
            <w:vMerge w:val="continue"/>
            <w:tcBorders>
              <w:left w:val="single" w:color="000000" w:sz="4" w:space="0"/>
              <w:right w:val="single" w:color="000000" w:sz="4" w:space="0"/>
            </w:tcBorders>
            <w:shd w:val="clear" w:color="auto" w:fill="auto"/>
            <w:vAlign w:val="center"/>
          </w:tcPr>
          <w:p>
            <w:pPr>
              <w:jc w:val="center"/>
              <w:rPr>
                <w:rFonts w:asciiTheme="minorEastAsia" w:hAnsiTheme="minorEastAsia" w:eastAsiaTheme="minorEastAsia" w:cstheme="minorEastAsia"/>
                <w:color w:val="000000"/>
                <w:szCs w:val="21"/>
              </w:rPr>
            </w:pPr>
          </w:p>
        </w:tc>
        <w:tc>
          <w:tcPr>
            <w:tcW w:w="3472"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需支持解析笔记类应用痕迹，包括但不限于系统备忘录记事本、印象笔记等</w:t>
            </w:r>
          </w:p>
        </w:tc>
        <w:tc>
          <w:tcPr>
            <w:tcW w:w="673" w:type="pct"/>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CellMar>
            <w:top w:w="0" w:type="dxa"/>
            <w:left w:w="108" w:type="dxa"/>
            <w:bottom w:w="0" w:type="dxa"/>
            <w:right w:w="108" w:type="dxa"/>
          </w:tblCellMar>
        </w:tblPrEx>
        <w:trPr>
          <w:trHeight w:val="700" w:hRule="atLeast"/>
          <w:jc w:val="center"/>
        </w:trPr>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0"/>
              </w:tabs>
              <w:jc w:val="center"/>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szCs w:val="21"/>
              </w:rPr>
              <w:t>52</w:t>
            </w:r>
          </w:p>
        </w:tc>
        <w:tc>
          <w:tcPr>
            <w:tcW w:w="524" w:type="pct"/>
            <w:vMerge w:val="continue"/>
            <w:tcBorders>
              <w:left w:val="single" w:color="000000" w:sz="4" w:space="0"/>
              <w:right w:val="single" w:color="000000" w:sz="4" w:space="0"/>
            </w:tcBorders>
            <w:shd w:val="clear" w:color="auto" w:fill="auto"/>
            <w:vAlign w:val="center"/>
          </w:tcPr>
          <w:p>
            <w:pPr>
              <w:jc w:val="center"/>
              <w:rPr>
                <w:rFonts w:asciiTheme="minorEastAsia" w:hAnsiTheme="minorEastAsia" w:eastAsiaTheme="minorEastAsia" w:cstheme="minorEastAsia"/>
                <w:color w:val="000000"/>
                <w:szCs w:val="21"/>
              </w:rPr>
            </w:pPr>
          </w:p>
        </w:tc>
        <w:tc>
          <w:tcPr>
            <w:tcW w:w="3472"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需支持解析iOS推送消息，显示推送消息的主题、内容、来源、时间、阅读日期等</w:t>
            </w:r>
          </w:p>
        </w:tc>
        <w:tc>
          <w:tcPr>
            <w:tcW w:w="673" w:type="pct"/>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CellMar>
            <w:top w:w="0" w:type="dxa"/>
            <w:left w:w="108" w:type="dxa"/>
            <w:bottom w:w="0" w:type="dxa"/>
            <w:right w:w="108" w:type="dxa"/>
          </w:tblCellMar>
        </w:tblPrEx>
        <w:trPr>
          <w:trHeight w:val="700" w:hRule="atLeast"/>
          <w:jc w:val="center"/>
        </w:trPr>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0"/>
              </w:tabs>
              <w:jc w:val="center"/>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szCs w:val="21"/>
              </w:rPr>
              <w:t>53</w:t>
            </w:r>
          </w:p>
        </w:tc>
        <w:tc>
          <w:tcPr>
            <w:tcW w:w="524" w:type="pct"/>
            <w:vMerge w:val="continue"/>
            <w:tcBorders>
              <w:left w:val="single" w:color="000000" w:sz="4" w:space="0"/>
              <w:bottom w:val="single" w:color="000000" w:sz="4" w:space="0"/>
              <w:right w:val="single" w:color="000000" w:sz="4" w:space="0"/>
            </w:tcBorders>
            <w:shd w:val="clear" w:color="auto" w:fill="auto"/>
            <w:vAlign w:val="center"/>
          </w:tcPr>
          <w:p>
            <w:pPr>
              <w:jc w:val="center"/>
              <w:rPr>
                <w:rFonts w:asciiTheme="minorEastAsia" w:hAnsiTheme="minorEastAsia" w:eastAsiaTheme="minorEastAsia" w:cstheme="minorEastAsia"/>
                <w:color w:val="000000"/>
                <w:szCs w:val="21"/>
              </w:rPr>
            </w:pPr>
          </w:p>
        </w:tc>
        <w:tc>
          <w:tcPr>
            <w:tcW w:w="3472"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需支持解析手机卡包，iOS钱包分析，如手机卡、登机牌等</w:t>
            </w:r>
          </w:p>
        </w:tc>
        <w:tc>
          <w:tcPr>
            <w:tcW w:w="673" w:type="pct"/>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CellMar>
            <w:top w:w="0" w:type="dxa"/>
            <w:left w:w="108" w:type="dxa"/>
            <w:bottom w:w="0" w:type="dxa"/>
            <w:right w:w="108" w:type="dxa"/>
          </w:tblCellMar>
        </w:tblPrEx>
        <w:trPr>
          <w:trHeight w:val="700" w:hRule="atLeast"/>
          <w:jc w:val="center"/>
        </w:trPr>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0"/>
              </w:tabs>
              <w:jc w:val="center"/>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szCs w:val="21"/>
              </w:rPr>
              <w:t>54</w:t>
            </w:r>
          </w:p>
        </w:tc>
        <w:tc>
          <w:tcPr>
            <w:tcW w:w="5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数据恢复</w:t>
            </w:r>
          </w:p>
        </w:tc>
        <w:tc>
          <w:tcPr>
            <w:tcW w:w="3472"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需支持删除恢复，恢复已删除的记录。支持但不限于：通讯录、通话记录、短彩信、多媒体(基于缩略图的恢复)、备忘录、录音、微信、企业微信、QQ、支付宝、钉钉、陌陌、默往、探探、闲聊、Blued、Letstalk、soul、城信、微博、易信、Twitter、Line、sugram、viber、Chrome浏览器、火狐浏览器、QQ浏览器、夸克浏览器、手机百度、抖音、QQ邮箱、高德地图、携程、淘宝、京东、百度贴吧、多卡宝等应用痕迹</w:t>
            </w:r>
          </w:p>
        </w:tc>
        <w:tc>
          <w:tcPr>
            <w:tcW w:w="673" w:type="pct"/>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CellMar>
            <w:top w:w="0" w:type="dxa"/>
            <w:left w:w="108" w:type="dxa"/>
            <w:bottom w:w="0" w:type="dxa"/>
            <w:right w:w="108" w:type="dxa"/>
          </w:tblCellMar>
        </w:tblPrEx>
        <w:trPr>
          <w:trHeight w:val="399" w:hRule="atLeast"/>
          <w:jc w:val="center"/>
        </w:trPr>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0"/>
              </w:tabs>
              <w:jc w:val="center"/>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szCs w:val="21"/>
              </w:rPr>
              <w:t>55</w:t>
            </w:r>
          </w:p>
        </w:tc>
        <w:tc>
          <w:tcPr>
            <w:tcW w:w="524" w:type="pct"/>
            <w:vMerge w:val="continue"/>
            <w:tcBorders>
              <w:left w:val="single" w:color="000000" w:sz="4" w:space="0"/>
              <w:bottom w:val="single" w:color="000000" w:sz="4" w:space="0"/>
              <w:right w:val="single" w:color="000000" w:sz="4" w:space="0"/>
            </w:tcBorders>
            <w:shd w:val="clear" w:color="auto" w:fill="auto"/>
            <w:vAlign w:val="center"/>
          </w:tcPr>
          <w:p>
            <w:pPr>
              <w:rPr>
                <w:rFonts w:asciiTheme="minorEastAsia" w:hAnsiTheme="minorEastAsia" w:eastAsiaTheme="minorEastAsia" w:cstheme="minorEastAsia"/>
                <w:color w:val="000000"/>
                <w:szCs w:val="21"/>
              </w:rPr>
            </w:pPr>
          </w:p>
        </w:tc>
        <w:tc>
          <w:tcPr>
            <w:tcW w:w="3472"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系统界面需能够直观区分正常和已删除记录</w:t>
            </w:r>
          </w:p>
        </w:tc>
        <w:tc>
          <w:tcPr>
            <w:tcW w:w="673" w:type="pct"/>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CellMar>
            <w:top w:w="0" w:type="dxa"/>
            <w:left w:w="108" w:type="dxa"/>
            <w:bottom w:w="0" w:type="dxa"/>
            <w:right w:w="108" w:type="dxa"/>
          </w:tblCellMar>
        </w:tblPrEx>
        <w:trPr>
          <w:trHeight w:val="700" w:hRule="atLeast"/>
          <w:jc w:val="center"/>
        </w:trPr>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0"/>
              </w:tabs>
              <w:jc w:val="center"/>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szCs w:val="21"/>
              </w:rPr>
              <w:t>56</w:t>
            </w:r>
          </w:p>
        </w:tc>
        <w:tc>
          <w:tcPr>
            <w:tcW w:w="5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智能分析</w:t>
            </w:r>
          </w:p>
        </w:tc>
        <w:tc>
          <w:tcPr>
            <w:tcW w:w="3472"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需具备全局关键字搜索能力。支持通过搜索结果一键定位至原始数据位置，以快捷查看上下文</w:t>
            </w:r>
          </w:p>
        </w:tc>
        <w:tc>
          <w:tcPr>
            <w:tcW w:w="673" w:type="pct"/>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CellMar>
            <w:top w:w="0" w:type="dxa"/>
            <w:left w:w="108" w:type="dxa"/>
            <w:bottom w:w="0" w:type="dxa"/>
            <w:right w:w="108" w:type="dxa"/>
          </w:tblCellMar>
        </w:tblPrEx>
        <w:trPr>
          <w:trHeight w:val="700" w:hRule="atLeast"/>
          <w:jc w:val="center"/>
        </w:trPr>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0"/>
              </w:tabs>
              <w:jc w:val="center"/>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szCs w:val="21"/>
              </w:rPr>
              <w:t>57</w:t>
            </w:r>
          </w:p>
        </w:tc>
        <w:tc>
          <w:tcPr>
            <w:tcW w:w="524" w:type="pct"/>
            <w:vMerge w:val="continue"/>
            <w:tcBorders>
              <w:left w:val="single" w:color="000000" w:sz="4" w:space="0"/>
              <w:bottom w:val="single" w:color="000000" w:sz="4" w:space="0"/>
              <w:right w:val="single" w:color="000000" w:sz="4" w:space="0"/>
            </w:tcBorders>
            <w:shd w:val="clear" w:color="auto" w:fill="auto"/>
            <w:vAlign w:val="center"/>
          </w:tcPr>
          <w:p>
            <w:pPr>
              <w:rPr>
                <w:rFonts w:asciiTheme="minorEastAsia" w:hAnsiTheme="minorEastAsia" w:eastAsiaTheme="minorEastAsia" w:cstheme="minorEastAsia"/>
                <w:color w:val="000000"/>
                <w:szCs w:val="21"/>
              </w:rPr>
            </w:pPr>
          </w:p>
        </w:tc>
        <w:tc>
          <w:tcPr>
            <w:tcW w:w="3472"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需支持汇聚涉及位置信息的解析结果，可以在地图中集中可视化展示。可以根据需要，选择一定范围的地理信息，按时间进行轨迹展示</w:t>
            </w:r>
          </w:p>
        </w:tc>
        <w:tc>
          <w:tcPr>
            <w:tcW w:w="673" w:type="pct"/>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CellMar>
            <w:top w:w="0" w:type="dxa"/>
            <w:left w:w="108" w:type="dxa"/>
            <w:bottom w:w="0" w:type="dxa"/>
            <w:right w:w="108" w:type="dxa"/>
          </w:tblCellMar>
        </w:tblPrEx>
        <w:trPr>
          <w:trHeight w:val="700" w:hRule="atLeast"/>
          <w:jc w:val="center"/>
        </w:trPr>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0"/>
              </w:tabs>
              <w:jc w:val="center"/>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szCs w:val="21"/>
              </w:rPr>
              <w:t>58</w:t>
            </w:r>
          </w:p>
        </w:tc>
        <w:tc>
          <w:tcPr>
            <w:tcW w:w="524" w:type="pct"/>
            <w:vMerge w:val="continue"/>
            <w:tcBorders>
              <w:left w:val="single" w:color="000000" w:sz="4" w:space="0"/>
              <w:bottom w:val="single" w:color="000000" w:sz="4" w:space="0"/>
              <w:right w:val="single" w:color="000000" w:sz="4" w:space="0"/>
            </w:tcBorders>
            <w:shd w:val="clear" w:color="auto" w:fill="auto"/>
            <w:vAlign w:val="center"/>
          </w:tcPr>
          <w:p>
            <w:pPr>
              <w:rPr>
                <w:rFonts w:asciiTheme="minorEastAsia" w:hAnsiTheme="minorEastAsia" w:eastAsiaTheme="minorEastAsia" w:cstheme="minorEastAsia"/>
                <w:color w:val="000000"/>
                <w:szCs w:val="21"/>
              </w:rPr>
            </w:pPr>
          </w:p>
        </w:tc>
        <w:tc>
          <w:tcPr>
            <w:tcW w:w="3472"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需支持对常见文件进行分拣。文件分类包括但不限于：视频、音频、图片、数据库、办公文档、压缩文件等。同时支持各应用的多媒体文件分类</w:t>
            </w:r>
          </w:p>
        </w:tc>
        <w:tc>
          <w:tcPr>
            <w:tcW w:w="673" w:type="pct"/>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CellMar>
            <w:top w:w="0" w:type="dxa"/>
            <w:left w:w="108" w:type="dxa"/>
            <w:bottom w:w="0" w:type="dxa"/>
            <w:right w:w="108" w:type="dxa"/>
          </w:tblCellMar>
        </w:tblPrEx>
        <w:trPr>
          <w:trHeight w:val="700" w:hRule="atLeast"/>
          <w:jc w:val="center"/>
        </w:trPr>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0"/>
              </w:tabs>
              <w:jc w:val="center"/>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szCs w:val="21"/>
              </w:rPr>
              <w:t>59</w:t>
            </w:r>
          </w:p>
        </w:tc>
        <w:tc>
          <w:tcPr>
            <w:tcW w:w="524" w:type="pct"/>
            <w:vMerge w:val="continue"/>
            <w:tcBorders>
              <w:left w:val="single" w:color="000000" w:sz="4" w:space="0"/>
              <w:bottom w:val="single" w:color="000000" w:sz="4" w:space="0"/>
              <w:right w:val="single" w:color="000000" w:sz="4" w:space="0"/>
            </w:tcBorders>
            <w:shd w:val="clear" w:color="auto" w:fill="auto"/>
            <w:vAlign w:val="center"/>
          </w:tcPr>
          <w:p>
            <w:pPr>
              <w:rPr>
                <w:rFonts w:asciiTheme="minorEastAsia" w:hAnsiTheme="minorEastAsia" w:eastAsiaTheme="minorEastAsia" w:cstheme="minorEastAsia"/>
                <w:color w:val="000000"/>
                <w:szCs w:val="21"/>
              </w:rPr>
            </w:pPr>
          </w:p>
        </w:tc>
        <w:tc>
          <w:tcPr>
            <w:tcW w:w="3472"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需支持单个标签页（单个数据表）的数据局部导出，支持个是包括但不限于HTML、Excel、CSV等</w:t>
            </w:r>
          </w:p>
        </w:tc>
        <w:tc>
          <w:tcPr>
            <w:tcW w:w="673" w:type="pct"/>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CellMar>
            <w:top w:w="0" w:type="dxa"/>
            <w:left w:w="108" w:type="dxa"/>
            <w:bottom w:w="0" w:type="dxa"/>
            <w:right w:w="108" w:type="dxa"/>
          </w:tblCellMar>
        </w:tblPrEx>
        <w:trPr>
          <w:trHeight w:val="491" w:hRule="atLeast"/>
          <w:jc w:val="center"/>
        </w:trPr>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0"/>
              </w:tabs>
              <w:jc w:val="center"/>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szCs w:val="21"/>
              </w:rPr>
              <w:t>60</w:t>
            </w:r>
          </w:p>
        </w:tc>
        <w:tc>
          <w:tcPr>
            <w:tcW w:w="524" w:type="pct"/>
            <w:vMerge w:val="continue"/>
            <w:tcBorders>
              <w:left w:val="single" w:color="000000" w:sz="4" w:space="0"/>
              <w:bottom w:val="single" w:color="000000" w:sz="4" w:space="0"/>
              <w:right w:val="single" w:color="000000" w:sz="4" w:space="0"/>
            </w:tcBorders>
            <w:shd w:val="clear" w:color="auto" w:fill="auto"/>
            <w:vAlign w:val="center"/>
          </w:tcPr>
          <w:p>
            <w:pPr>
              <w:rPr>
                <w:rFonts w:asciiTheme="minorEastAsia" w:hAnsiTheme="minorEastAsia" w:eastAsiaTheme="minorEastAsia" w:cstheme="minorEastAsia"/>
                <w:color w:val="000000"/>
                <w:szCs w:val="21"/>
              </w:rPr>
            </w:pPr>
          </w:p>
        </w:tc>
        <w:tc>
          <w:tcPr>
            <w:tcW w:w="3472"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需支持部标BCP数据包导出，支持批量导出BCP数据包</w:t>
            </w:r>
          </w:p>
        </w:tc>
        <w:tc>
          <w:tcPr>
            <w:tcW w:w="673" w:type="pct"/>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CellMar>
            <w:top w:w="0" w:type="dxa"/>
            <w:left w:w="108" w:type="dxa"/>
            <w:bottom w:w="0" w:type="dxa"/>
            <w:right w:w="108" w:type="dxa"/>
          </w:tblCellMar>
        </w:tblPrEx>
        <w:trPr>
          <w:trHeight w:val="700" w:hRule="atLeast"/>
          <w:jc w:val="center"/>
        </w:trPr>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0"/>
              </w:tabs>
              <w:jc w:val="center"/>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szCs w:val="21"/>
              </w:rPr>
              <w:t>61</w:t>
            </w:r>
          </w:p>
        </w:tc>
        <w:tc>
          <w:tcPr>
            <w:tcW w:w="524" w:type="pct"/>
            <w:vMerge w:val="continue"/>
            <w:tcBorders>
              <w:left w:val="single" w:color="000000" w:sz="4" w:space="0"/>
              <w:bottom w:val="single" w:color="000000" w:sz="4" w:space="0"/>
              <w:right w:val="single" w:color="000000" w:sz="4" w:space="0"/>
            </w:tcBorders>
            <w:shd w:val="clear" w:color="auto" w:fill="auto"/>
            <w:vAlign w:val="center"/>
          </w:tcPr>
          <w:p>
            <w:pPr>
              <w:rPr>
                <w:rFonts w:asciiTheme="minorEastAsia" w:hAnsiTheme="minorEastAsia" w:eastAsiaTheme="minorEastAsia" w:cstheme="minorEastAsia"/>
                <w:color w:val="000000"/>
                <w:szCs w:val="21"/>
              </w:rPr>
            </w:pPr>
          </w:p>
        </w:tc>
        <w:tc>
          <w:tcPr>
            <w:tcW w:w="3472"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需具备收支分析能力：进行多维度的经济信息分析，包括收支统计和资金往来等，以筛选可疑经济行为。支持时间轴显示</w:t>
            </w:r>
          </w:p>
        </w:tc>
        <w:tc>
          <w:tcPr>
            <w:tcW w:w="673" w:type="pct"/>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r>
        <w:tblPrEx>
          <w:tblCellMar>
            <w:top w:w="0" w:type="dxa"/>
            <w:left w:w="108" w:type="dxa"/>
            <w:bottom w:w="0" w:type="dxa"/>
            <w:right w:w="108" w:type="dxa"/>
          </w:tblCellMar>
        </w:tblPrEx>
        <w:trPr>
          <w:trHeight w:val="880" w:hRule="atLeast"/>
          <w:jc w:val="center"/>
        </w:trPr>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tabs>
                <w:tab w:val="left" w:pos="420"/>
              </w:tabs>
              <w:jc w:val="center"/>
              <w:textAlignment w:val="center"/>
              <w:rPr>
                <w:rFonts w:hint="eastAsia" w:asciiTheme="minorEastAsia" w:hAnsiTheme="minorEastAsia" w:eastAsiaTheme="minorEastAsia" w:cstheme="minorEastAsia"/>
                <w:color w:val="000000"/>
                <w:szCs w:val="21"/>
                <w:lang w:eastAsia="zh-CN"/>
              </w:rPr>
            </w:pPr>
            <w:r>
              <w:rPr>
                <w:rFonts w:hint="eastAsia" w:asciiTheme="minorEastAsia" w:hAnsiTheme="minorEastAsia" w:eastAsiaTheme="minorEastAsia" w:cstheme="minorEastAsia"/>
                <w:color w:val="000000"/>
                <w:szCs w:val="21"/>
              </w:rPr>
              <w:t>6</w:t>
            </w:r>
            <w:r>
              <w:rPr>
                <w:rFonts w:hint="eastAsia" w:asciiTheme="minorEastAsia" w:hAnsiTheme="minorEastAsia" w:eastAsiaTheme="minorEastAsia" w:cstheme="minorEastAsia"/>
                <w:color w:val="000000"/>
                <w:szCs w:val="21"/>
                <w:lang w:val="en-US" w:eastAsia="zh-CN"/>
              </w:rPr>
              <w:t>2</w:t>
            </w:r>
          </w:p>
        </w:tc>
        <w:tc>
          <w:tcPr>
            <w:tcW w:w="524" w:type="pct"/>
            <w:tcBorders>
              <w:left w:val="single" w:color="000000" w:sz="4" w:space="0"/>
              <w:bottom w:val="single" w:color="000000" w:sz="4" w:space="0"/>
              <w:right w:val="single" w:color="000000" w:sz="4" w:space="0"/>
            </w:tcBorders>
            <w:shd w:val="clear" w:color="auto" w:fill="auto"/>
            <w:vAlign w:val="center"/>
          </w:tcPr>
          <w:p>
            <w:pPr>
              <w:jc w:val="center"/>
              <w:rPr>
                <w:rFonts w:asciiTheme="minorEastAsia" w:hAnsiTheme="minorEastAsia" w:eastAsiaTheme="minorEastAsia" w:cstheme="minorEastAsia"/>
                <w:kern w:val="0"/>
                <w:szCs w:val="21"/>
                <w:lang w:bidi="ar"/>
              </w:rPr>
            </w:pPr>
            <w:r>
              <w:rPr>
                <w:rFonts w:hint="eastAsia" w:asciiTheme="minorEastAsia" w:hAnsiTheme="minorEastAsia" w:eastAsiaTheme="minorEastAsia" w:cstheme="minorEastAsia"/>
                <w:szCs w:val="21"/>
              </w:rPr>
              <w:t>物联网管理 API</w:t>
            </w:r>
          </w:p>
        </w:tc>
        <w:tc>
          <w:tcPr>
            <w:tcW w:w="3472"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kern w:val="0"/>
                <w:szCs w:val="21"/>
                <w:lang w:bidi="ar"/>
              </w:rPr>
            </w:pPr>
            <w:r>
              <w:rPr>
                <w:rFonts w:hint="eastAsia" w:asciiTheme="minorEastAsia" w:hAnsiTheme="minorEastAsia" w:eastAsiaTheme="minorEastAsia" w:cstheme="minorEastAsia"/>
                <w:kern w:val="0"/>
                <w:szCs w:val="21"/>
                <w:lang w:bidi="ar"/>
              </w:rPr>
              <w:t>支持开放的物联网管理API接口，供实验室管理系统采集设备工作状态和工作量</w:t>
            </w:r>
          </w:p>
        </w:tc>
        <w:tc>
          <w:tcPr>
            <w:tcW w:w="673" w:type="pct"/>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bCs/>
                <w:color w:val="000000"/>
                <w:kern w:val="0"/>
                <w:szCs w:val="21"/>
                <w:lang w:bidi="ar"/>
              </w:rPr>
              <w:t>/</w:t>
            </w:r>
          </w:p>
        </w:tc>
      </w:tr>
    </w:tbl>
    <w:p>
      <w:pPr>
        <w:rPr>
          <w:rFonts w:asciiTheme="minorEastAsia" w:hAnsiTheme="minorEastAsia" w:eastAsiaTheme="minorEastAsia" w:cstheme="minorEastAsia"/>
          <w:szCs w:val="21"/>
        </w:rPr>
      </w:pPr>
    </w:p>
    <w:p>
      <w:pPr>
        <w:pStyle w:val="5"/>
        <w:spacing w:before="15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第2包 手机云取证设备</w:t>
      </w:r>
      <w:r>
        <w:rPr>
          <w:rFonts w:hint="default" w:ascii="Times New Roman" w:hAnsi="Times New Roman" w:cs="Times New Roman" w:eastAsiaTheme="minorEastAsia"/>
          <w:szCs w:val="21"/>
        </w:rPr>
        <w:t>Ⅲ</w:t>
      </w:r>
    </w:p>
    <w:tbl>
      <w:tblPr>
        <w:tblStyle w:val="81"/>
        <w:tblW w:w="81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2"/>
        <w:gridCol w:w="1134"/>
        <w:gridCol w:w="4536"/>
        <w:gridCol w:w="1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blHeader/>
          <w:jc w:val="center"/>
        </w:trPr>
        <w:tc>
          <w:tcPr>
            <w:tcW w:w="692"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序号</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b/>
                <w:szCs w:val="21"/>
              </w:rPr>
            </w:pPr>
            <w:r>
              <w:rPr>
                <w:rFonts w:hint="eastAsia" w:asciiTheme="minorEastAsia" w:hAnsiTheme="minorEastAsia" w:eastAsiaTheme="minorEastAsia" w:cstheme="minorEastAsia"/>
                <w:bCs/>
                <w:szCs w:val="21"/>
              </w:rPr>
              <w:t>指标项</w:t>
            </w:r>
          </w:p>
        </w:tc>
        <w:tc>
          <w:tcPr>
            <w:tcW w:w="4536"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b/>
                <w:szCs w:val="21"/>
              </w:rPr>
            </w:pPr>
            <w:r>
              <w:rPr>
                <w:rFonts w:hint="eastAsia" w:asciiTheme="minorEastAsia" w:hAnsiTheme="minorEastAsia" w:eastAsiaTheme="minorEastAsia" w:cstheme="minorEastAsia"/>
                <w:bCs/>
                <w:szCs w:val="21"/>
              </w:rPr>
              <w:t>技术要求</w:t>
            </w:r>
          </w:p>
        </w:tc>
        <w:tc>
          <w:tcPr>
            <w:tcW w:w="1740" w:type="dxa"/>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stheme="minorEastAsia"/>
                <w:b/>
                <w:szCs w:val="21"/>
              </w:rPr>
            </w:pPr>
            <w:r>
              <w:rPr>
                <w:rFonts w:hint="eastAsia" w:asciiTheme="minorEastAsia" w:hAnsiTheme="minorEastAsia" w:eastAsiaTheme="minorEastAsia" w:cstheme="minorEastAsia"/>
                <w:bCs/>
                <w:color w:val="000000"/>
                <w:kern w:val="0"/>
                <w:szCs w:val="21"/>
                <w:lang w:bidi="ar"/>
              </w:rPr>
              <w:t>证明材料要求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tcBorders>
              <w:top w:val="single" w:color="auto" w:sz="4" w:space="0"/>
              <w:left w:val="single" w:color="auto" w:sz="4" w:space="0"/>
              <w:bottom w:val="single" w:color="auto" w:sz="4" w:space="0"/>
              <w:right w:val="single" w:color="auto" w:sz="4" w:space="0"/>
            </w:tcBorders>
            <w:vAlign w:val="center"/>
          </w:tcPr>
          <w:p>
            <w:pPr>
              <w:widowControl w:val="0"/>
              <w:numPr>
                <w:ilvl w:val="0"/>
                <w:numId w:val="54"/>
              </w:numPr>
              <w:ind w:left="0" w:firstLine="210" w:firstLineChars="100"/>
              <w:jc w:val="center"/>
              <w:rPr>
                <w:rFonts w:asciiTheme="minorEastAsia" w:hAnsiTheme="minorEastAsia" w:eastAsiaTheme="minorEastAsia" w:cstheme="minorEastAsia"/>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处理器</w:t>
            </w:r>
          </w:p>
        </w:tc>
        <w:tc>
          <w:tcPr>
            <w:tcW w:w="4536" w:type="dxa"/>
            <w:tcBorders>
              <w:top w:val="single" w:color="auto" w:sz="4" w:space="0"/>
              <w:left w:val="single" w:color="auto" w:sz="4" w:space="0"/>
              <w:bottom w:val="single" w:color="auto" w:sz="4" w:space="0"/>
              <w:right w:val="single" w:color="auto" w:sz="4" w:space="0"/>
            </w:tcBorders>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CPU不低于14核，20线程</w:t>
            </w:r>
          </w:p>
        </w:tc>
        <w:tc>
          <w:tcPr>
            <w:tcW w:w="1740" w:type="dxa"/>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tcBorders>
              <w:top w:val="single" w:color="auto" w:sz="4" w:space="0"/>
              <w:left w:val="single" w:color="auto" w:sz="4" w:space="0"/>
              <w:bottom w:val="single" w:color="auto" w:sz="4" w:space="0"/>
              <w:right w:val="single" w:color="auto" w:sz="4" w:space="0"/>
            </w:tcBorders>
            <w:vAlign w:val="center"/>
          </w:tcPr>
          <w:p>
            <w:pPr>
              <w:widowControl w:val="0"/>
              <w:numPr>
                <w:ilvl w:val="0"/>
                <w:numId w:val="54"/>
              </w:numPr>
              <w:ind w:left="0" w:firstLine="210" w:firstLineChars="100"/>
              <w:jc w:val="center"/>
              <w:rPr>
                <w:rFonts w:asciiTheme="minorEastAsia" w:hAnsiTheme="minorEastAsia" w:eastAsiaTheme="minorEastAsia" w:cstheme="minorEastAsia"/>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内存</w:t>
            </w:r>
          </w:p>
        </w:tc>
        <w:tc>
          <w:tcPr>
            <w:tcW w:w="4536" w:type="dxa"/>
            <w:tcBorders>
              <w:top w:val="single" w:color="auto" w:sz="4" w:space="0"/>
              <w:left w:val="single" w:color="auto" w:sz="4" w:space="0"/>
              <w:bottom w:val="single" w:color="auto" w:sz="4" w:space="0"/>
              <w:right w:val="single" w:color="auto" w:sz="4" w:space="0"/>
            </w:tcBorders>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不低于32GB DDR5</w:t>
            </w:r>
          </w:p>
        </w:tc>
        <w:tc>
          <w:tcPr>
            <w:tcW w:w="1740" w:type="dxa"/>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tcBorders>
              <w:top w:val="single" w:color="auto" w:sz="4" w:space="0"/>
              <w:left w:val="single" w:color="auto" w:sz="4" w:space="0"/>
              <w:bottom w:val="single" w:color="auto" w:sz="4" w:space="0"/>
              <w:right w:val="single" w:color="auto" w:sz="4" w:space="0"/>
            </w:tcBorders>
            <w:vAlign w:val="center"/>
          </w:tcPr>
          <w:p>
            <w:pPr>
              <w:widowControl w:val="0"/>
              <w:numPr>
                <w:ilvl w:val="0"/>
                <w:numId w:val="54"/>
              </w:numPr>
              <w:ind w:left="0" w:firstLine="210" w:firstLineChars="100"/>
              <w:jc w:val="center"/>
              <w:rPr>
                <w:rFonts w:asciiTheme="minorEastAsia" w:hAnsiTheme="minorEastAsia" w:eastAsiaTheme="minorEastAsia" w:cstheme="minorEastAsia"/>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存储</w:t>
            </w:r>
          </w:p>
        </w:tc>
        <w:tc>
          <w:tcPr>
            <w:tcW w:w="4536" w:type="dxa"/>
            <w:tcBorders>
              <w:top w:val="single" w:color="auto" w:sz="4" w:space="0"/>
              <w:left w:val="single" w:color="auto" w:sz="4" w:space="0"/>
              <w:bottom w:val="single" w:color="auto" w:sz="4" w:space="0"/>
              <w:right w:val="single" w:color="auto" w:sz="4" w:space="0"/>
            </w:tcBorders>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不低于2TB SSD硬盘</w:t>
            </w:r>
          </w:p>
        </w:tc>
        <w:tc>
          <w:tcPr>
            <w:tcW w:w="1740" w:type="dxa"/>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tcBorders>
              <w:top w:val="single" w:color="auto" w:sz="4" w:space="0"/>
              <w:left w:val="single" w:color="auto" w:sz="4" w:space="0"/>
              <w:bottom w:val="single" w:color="auto" w:sz="4" w:space="0"/>
              <w:right w:val="single" w:color="auto" w:sz="4" w:space="0"/>
            </w:tcBorders>
            <w:vAlign w:val="center"/>
          </w:tcPr>
          <w:p>
            <w:pPr>
              <w:widowControl w:val="0"/>
              <w:numPr>
                <w:ilvl w:val="0"/>
                <w:numId w:val="54"/>
              </w:numPr>
              <w:ind w:left="0" w:firstLine="210" w:firstLineChars="100"/>
              <w:jc w:val="center"/>
              <w:rPr>
                <w:rFonts w:asciiTheme="minorEastAsia" w:hAnsiTheme="minorEastAsia" w:eastAsiaTheme="minorEastAsia" w:cstheme="minorEastAsia"/>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显卡</w:t>
            </w:r>
          </w:p>
        </w:tc>
        <w:tc>
          <w:tcPr>
            <w:tcW w:w="4536" w:type="dxa"/>
            <w:tcBorders>
              <w:top w:val="single" w:color="auto" w:sz="4" w:space="0"/>
              <w:left w:val="single" w:color="auto" w:sz="4" w:space="0"/>
              <w:bottom w:val="single" w:color="auto" w:sz="4" w:space="0"/>
              <w:right w:val="single" w:color="auto" w:sz="4" w:space="0"/>
            </w:tcBorders>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不低于4G独显</w:t>
            </w:r>
          </w:p>
        </w:tc>
        <w:tc>
          <w:tcPr>
            <w:tcW w:w="1740" w:type="dxa"/>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tcBorders>
              <w:top w:val="single" w:color="auto" w:sz="4" w:space="0"/>
              <w:left w:val="single" w:color="auto" w:sz="4" w:space="0"/>
              <w:bottom w:val="single" w:color="auto" w:sz="4" w:space="0"/>
              <w:right w:val="single" w:color="auto" w:sz="4" w:space="0"/>
            </w:tcBorders>
            <w:vAlign w:val="center"/>
          </w:tcPr>
          <w:p>
            <w:pPr>
              <w:widowControl w:val="0"/>
              <w:numPr>
                <w:ilvl w:val="0"/>
                <w:numId w:val="54"/>
              </w:numPr>
              <w:ind w:left="0" w:firstLine="210" w:firstLineChars="100"/>
              <w:jc w:val="center"/>
              <w:rPr>
                <w:rFonts w:asciiTheme="minorEastAsia" w:hAnsiTheme="minorEastAsia" w:eastAsiaTheme="minorEastAsia" w:cstheme="minorEastAsia"/>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显示器</w:t>
            </w:r>
          </w:p>
        </w:tc>
        <w:tc>
          <w:tcPr>
            <w:tcW w:w="4536" w:type="dxa"/>
            <w:tcBorders>
              <w:top w:val="single" w:color="auto" w:sz="4" w:space="0"/>
              <w:left w:val="single" w:color="auto" w:sz="4" w:space="0"/>
              <w:bottom w:val="single" w:color="auto" w:sz="4" w:space="0"/>
              <w:right w:val="single" w:color="auto" w:sz="4" w:space="0"/>
            </w:tcBorders>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≥15.6英寸、分辨率大于等于1080P</w:t>
            </w:r>
          </w:p>
        </w:tc>
        <w:tc>
          <w:tcPr>
            <w:tcW w:w="1740" w:type="dxa"/>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tcBorders>
              <w:top w:val="single" w:color="auto" w:sz="4" w:space="0"/>
              <w:left w:val="single" w:color="auto" w:sz="4" w:space="0"/>
              <w:bottom w:val="single" w:color="auto" w:sz="4" w:space="0"/>
              <w:right w:val="single" w:color="auto" w:sz="4" w:space="0"/>
            </w:tcBorders>
            <w:vAlign w:val="center"/>
          </w:tcPr>
          <w:p>
            <w:pPr>
              <w:widowControl w:val="0"/>
              <w:numPr>
                <w:ilvl w:val="0"/>
                <w:numId w:val="54"/>
              </w:numPr>
              <w:ind w:left="0" w:firstLine="210" w:firstLineChars="100"/>
              <w:jc w:val="center"/>
              <w:rPr>
                <w:rFonts w:asciiTheme="minorEastAsia" w:hAnsiTheme="minorEastAsia" w:eastAsiaTheme="minorEastAsia" w:cstheme="minorEastAsia"/>
                <w:szCs w:val="21"/>
              </w:rPr>
            </w:pPr>
          </w:p>
        </w:tc>
        <w:tc>
          <w:tcPr>
            <w:tcW w:w="1134" w:type="dxa"/>
            <w:tcBorders>
              <w:top w:val="single" w:color="auto" w:sz="4" w:space="0"/>
              <w:left w:val="single" w:color="auto" w:sz="4" w:space="0"/>
              <w:right w:val="single" w:color="auto" w:sz="4" w:space="0"/>
            </w:tcBorders>
            <w:vAlign w:val="center"/>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登陆方式</w:t>
            </w:r>
          </w:p>
        </w:tc>
        <w:tc>
          <w:tcPr>
            <w:tcW w:w="4536" w:type="dxa"/>
            <w:tcBorders>
              <w:top w:val="single" w:color="auto" w:sz="4" w:space="0"/>
              <w:left w:val="single" w:color="auto" w:sz="4" w:space="0"/>
              <w:bottom w:val="single" w:color="auto" w:sz="4" w:space="0"/>
              <w:right w:val="single" w:color="auto" w:sz="4" w:space="0"/>
            </w:tcBorders>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云端登录，支持包括二维码扫描、手机号+验证码、账密、账密+验证、原生登录等</w:t>
            </w:r>
          </w:p>
        </w:tc>
        <w:tc>
          <w:tcPr>
            <w:tcW w:w="1740" w:type="dxa"/>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tcBorders>
              <w:top w:val="single" w:color="auto" w:sz="4" w:space="0"/>
              <w:left w:val="single" w:color="auto" w:sz="4" w:space="0"/>
              <w:bottom w:val="single" w:color="auto" w:sz="4" w:space="0"/>
              <w:right w:val="single" w:color="auto" w:sz="4" w:space="0"/>
            </w:tcBorders>
            <w:vAlign w:val="center"/>
          </w:tcPr>
          <w:p>
            <w:pPr>
              <w:widowControl w:val="0"/>
              <w:numPr>
                <w:ilvl w:val="0"/>
                <w:numId w:val="54"/>
              </w:numPr>
              <w:ind w:left="0" w:firstLine="210" w:firstLineChars="100"/>
              <w:jc w:val="center"/>
              <w:rPr>
                <w:rFonts w:asciiTheme="minorEastAsia" w:hAnsiTheme="minorEastAsia" w:eastAsiaTheme="minorEastAsia" w:cstheme="minorEastAsia"/>
                <w:szCs w:val="21"/>
              </w:rPr>
            </w:pPr>
          </w:p>
        </w:tc>
        <w:tc>
          <w:tcPr>
            <w:tcW w:w="1134" w:type="dxa"/>
            <w:vMerge w:val="restart"/>
            <w:tcBorders>
              <w:top w:val="single" w:color="auto" w:sz="4" w:space="0"/>
              <w:left w:val="single" w:color="auto" w:sz="4" w:space="0"/>
              <w:right w:val="single" w:color="auto" w:sz="4" w:space="0"/>
            </w:tcBorders>
            <w:vAlign w:val="center"/>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数据提取与分析</w:t>
            </w:r>
          </w:p>
        </w:tc>
        <w:tc>
          <w:tcPr>
            <w:tcW w:w="4536" w:type="dxa"/>
            <w:tcBorders>
              <w:top w:val="single" w:color="auto" w:sz="4" w:space="0"/>
              <w:left w:val="single" w:color="auto" w:sz="4" w:space="0"/>
              <w:bottom w:val="single" w:color="auto" w:sz="4" w:space="0"/>
              <w:right w:val="single" w:color="auto" w:sz="4" w:space="0"/>
            </w:tcBorders>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支持电商支付类应用包括但不限于：支付宝（账号信息、订单信息、商品信息、收货地址等）、微信账（Android账单）、淘宝（账号信息、订单信息、商品信息、收货地址等）、 京东（解析银行卡、订单、商品信息、资产中心（小金库）、白条、收货地址等）</w:t>
            </w:r>
          </w:p>
        </w:tc>
        <w:tc>
          <w:tcPr>
            <w:tcW w:w="1740" w:type="dxa"/>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tcBorders>
              <w:top w:val="single" w:color="auto" w:sz="4" w:space="0"/>
              <w:left w:val="single" w:color="auto" w:sz="4" w:space="0"/>
              <w:bottom w:val="single" w:color="auto" w:sz="4" w:space="0"/>
              <w:right w:val="single" w:color="auto" w:sz="4" w:space="0"/>
            </w:tcBorders>
            <w:vAlign w:val="center"/>
          </w:tcPr>
          <w:p>
            <w:pPr>
              <w:widowControl w:val="0"/>
              <w:numPr>
                <w:ilvl w:val="0"/>
                <w:numId w:val="54"/>
              </w:numPr>
              <w:ind w:left="0" w:firstLine="210" w:firstLineChars="100"/>
              <w:jc w:val="center"/>
              <w:rPr>
                <w:rFonts w:asciiTheme="minorEastAsia" w:hAnsiTheme="minorEastAsia" w:eastAsiaTheme="minorEastAsia" w:cstheme="minorEastAsia"/>
                <w:szCs w:val="21"/>
              </w:rPr>
            </w:pPr>
          </w:p>
        </w:tc>
        <w:tc>
          <w:tcPr>
            <w:tcW w:w="1134" w:type="dxa"/>
            <w:vMerge w:val="continue"/>
            <w:tcBorders>
              <w:left w:val="single" w:color="auto" w:sz="4" w:space="0"/>
              <w:right w:val="single" w:color="auto" w:sz="4" w:space="0"/>
            </w:tcBorders>
            <w:vAlign w:val="center"/>
          </w:tcPr>
          <w:p>
            <w:pPr>
              <w:jc w:val="center"/>
              <w:rPr>
                <w:rFonts w:asciiTheme="minorEastAsia" w:hAnsiTheme="minorEastAsia" w:eastAsiaTheme="minorEastAsia" w:cstheme="minorEastAsia"/>
                <w:szCs w:val="21"/>
              </w:rPr>
            </w:pPr>
          </w:p>
        </w:tc>
        <w:tc>
          <w:tcPr>
            <w:tcW w:w="4536" w:type="dxa"/>
            <w:tcBorders>
              <w:top w:val="single" w:color="auto" w:sz="4" w:space="0"/>
              <w:left w:val="single" w:color="auto" w:sz="4" w:space="0"/>
              <w:bottom w:val="single" w:color="auto" w:sz="4" w:space="0"/>
              <w:right w:val="single" w:color="auto" w:sz="4" w:space="0"/>
            </w:tcBorders>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支持社交通讯类应用包括但不限于：Telegram（账号信息、通讯录、聊天记录）、 Skype（账号信息、联系人、通话记录、聊天记录、群组信息、群组聊天）、今日头条（账号 信息、视频、文章）</w:t>
            </w:r>
          </w:p>
        </w:tc>
        <w:tc>
          <w:tcPr>
            <w:tcW w:w="1740" w:type="dxa"/>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tcBorders>
              <w:top w:val="single" w:color="auto" w:sz="4" w:space="0"/>
              <w:left w:val="single" w:color="auto" w:sz="4" w:space="0"/>
              <w:bottom w:val="single" w:color="auto" w:sz="4" w:space="0"/>
              <w:right w:val="single" w:color="auto" w:sz="4" w:space="0"/>
            </w:tcBorders>
            <w:vAlign w:val="center"/>
          </w:tcPr>
          <w:p>
            <w:pPr>
              <w:widowControl w:val="0"/>
              <w:numPr>
                <w:ilvl w:val="0"/>
                <w:numId w:val="54"/>
              </w:numPr>
              <w:ind w:left="0" w:firstLine="210" w:firstLineChars="100"/>
              <w:jc w:val="center"/>
              <w:rPr>
                <w:rFonts w:asciiTheme="minorEastAsia" w:hAnsiTheme="minorEastAsia" w:eastAsiaTheme="minorEastAsia" w:cstheme="minorEastAsia"/>
                <w:szCs w:val="21"/>
              </w:rPr>
            </w:pPr>
          </w:p>
        </w:tc>
        <w:tc>
          <w:tcPr>
            <w:tcW w:w="1134" w:type="dxa"/>
            <w:vMerge w:val="continue"/>
            <w:tcBorders>
              <w:left w:val="single" w:color="auto" w:sz="4" w:space="0"/>
              <w:right w:val="single" w:color="auto" w:sz="4" w:space="0"/>
            </w:tcBorders>
            <w:vAlign w:val="center"/>
          </w:tcPr>
          <w:p>
            <w:pPr>
              <w:jc w:val="center"/>
              <w:rPr>
                <w:rFonts w:asciiTheme="minorEastAsia" w:hAnsiTheme="minorEastAsia" w:eastAsiaTheme="minorEastAsia" w:cstheme="minorEastAsia"/>
                <w:szCs w:val="21"/>
              </w:rPr>
            </w:pPr>
          </w:p>
        </w:tc>
        <w:tc>
          <w:tcPr>
            <w:tcW w:w="4536" w:type="dxa"/>
            <w:tcBorders>
              <w:top w:val="single" w:color="auto" w:sz="4" w:space="0"/>
              <w:left w:val="single" w:color="auto" w:sz="4" w:space="0"/>
              <w:bottom w:val="single" w:color="auto" w:sz="4" w:space="0"/>
              <w:right w:val="single" w:color="auto" w:sz="4" w:space="0"/>
            </w:tcBorders>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支持云盘备份类应用包括但不限于：iCloud（账号信息、通讯录/联系人、照片、日程/日历、 备忘录/提醒事项、网盘文件等）、小米云（账号信息、联系人、便签、录音、短信、云相册等）、OPPO云（相册、便签、短信、联系人等）、VIVO云（联系人、短信、云相册、浏览器书签、便签、回收站便签、应用信息、黑名单、网盘文件等）、腾讯微云（账号信息、网盘 文件等）、蓝凑云（账号信息、网盘文件等）、天翼云盘（账号信息、网盘文件等）、 OneDrive（账号信息、网盘文件等）、Dropbox（账号信息、照片、文本、其他文件等）</w:t>
            </w:r>
          </w:p>
        </w:tc>
        <w:tc>
          <w:tcPr>
            <w:tcW w:w="1740" w:type="dxa"/>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tcBorders>
              <w:top w:val="single" w:color="auto" w:sz="4" w:space="0"/>
              <w:left w:val="single" w:color="auto" w:sz="4" w:space="0"/>
              <w:bottom w:val="single" w:color="auto" w:sz="4" w:space="0"/>
              <w:right w:val="single" w:color="auto" w:sz="4" w:space="0"/>
            </w:tcBorders>
            <w:vAlign w:val="center"/>
          </w:tcPr>
          <w:p>
            <w:pPr>
              <w:widowControl w:val="0"/>
              <w:numPr>
                <w:ilvl w:val="0"/>
                <w:numId w:val="54"/>
              </w:numPr>
              <w:ind w:left="0" w:firstLine="210" w:firstLineChars="100"/>
              <w:jc w:val="center"/>
              <w:rPr>
                <w:rFonts w:asciiTheme="minorEastAsia" w:hAnsiTheme="minorEastAsia" w:eastAsiaTheme="minorEastAsia" w:cstheme="minorEastAsia"/>
                <w:szCs w:val="21"/>
              </w:rPr>
            </w:pPr>
          </w:p>
        </w:tc>
        <w:tc>
          <w:tcPr>
            <w:tcW w:w="1134" w:type="dxa"/>
            <w:vMerge w:val="continue"/>
            <w:tcBorders>
              <w:left w:val="single" w:color="auto" w:sz="4" w:space="0"/>
              <w:right w:val="single" w:color="auto" w:sz="4" w:space="0"/>
            </w:tcBorders>
            <w:vAlign w:val="center"/>
          </w:tcPr>
          <w:p>
            <w:pPr>
              <w:jc w:val="center"/>
              <w:rPr>
                <w:rFonts w:asciiTheme="minorEastAsia" w:hAnsiTheme="minorEastAsia" w:eastAsiaTheme="minorEastAsia" w:cstheme="minorEastAsia"/>
                <w:szCs w:val="21"/>
              </w:rPr>
            </w:pPr>
          </w:p>
        </w:tc>
        <w:tc>
          <w:tcPr>
            <w:tcW w:w="4536" w:type="dxa"/>
            <w:tcBorders>
              <w:top w:val="single" w:color="auto" w:sz="4" w:space="0"/>
              <w:left w:val="single" w:color="auto" w:sz="4" w:space="0"/>
              <w:bottom w:val="single" w:color="auto" w:sz="4" w:space="0"/>
              <w:right w:val="single" w:color="auto" w:sz="4" w:space="0"/>
            </w:tcBorders>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支持交通出行类应用包括但不限于：滴滴出行（账号信息、行程信息等）、携程旅行（账号信 息）、铁路12306（个人信息、订单、行程信息、搜索历史、常用联系人、车票快递地址等）、去哪儿（个人信息、旅客信息、机票信息、酒店信息）、航旅纵横（个人账号、历史订单）</w:t>
            </w:r>
          </w:p>
        </w:tc>
        <w:tc>
          <w:tcPr>
            <w:tcW w:w="1740" w:type="dxa"/>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tcBorders>
              <w:top w:val="single" w:color="auto" w:sz="4" w:space="0"/>
              <w:left w:val="single" w:color="auto" w:sz="4" w:space="0"/>
              <w:bottom w:val="single" w:color="auto" w:sz="4" w:space="0"/>
              <w:right w:val="single" w:color="auto" w:sz="4" w:space="0"/>
            </w:tcBorders>
            <w:vAlign w:val="center"/>
          </w:tcPr>
          <w:p>
            <w:pPr>
              <w:widowControl w:val="0"/>
              <w:numPr>
                <w:ilvl w:val="0"/>
                <w:numId w:val="54"/>
              </w:numPr>
              <w:ind w:left="0" w:firstLine="210" w:firstLineChars="100"/>
              <w:jc w:val="center"/>
              <w:rPr>
                <w:rFonts w:asciiTheme="minorEastAsia" w:hAnsiTheme="minorEastAsia" w:eastAsiaTheme="minorEastAsia" w:cstheme="minorEastAsia"/>
                <w:szCs w:val="21"/>
              </w:rPr>
            </w:pPr>
          </w:p>
        </w:tc>
        <w:tc>
          <w:tcPr>
            <w:tcW w:w="1134" w:type="dxa"/>
            <w:vMerge w:val="continue"/>
            <w:tcBorders>
              <w:left w:val="single" w:color="auto" w:sz="4" w:space="0"/>
              <w:right w:val="single" w:color="auto" w:sz="4" w:space="0"/>
            </w:tcBorders>
            <w:vAlign w:val="center"/>
          </w:tcPr>
          <w:p>
            <w:pPr>
              <w:jc w:val="center"/>
              <w:rPr>
                <w:rFonts w:asciiTheme="minorEastAsia" w:hAnsiTheme="minorEastAsia" w:eastAsiaTheme="minorEastAsia" w:cstheme="minorEastAsia"/>
                <w:szCs w:val="21"/>
              </w:rPr>
            </w:pPr>
          </w:p>
        </w:tc>
        <w:tc>
          <w:tcPr>
            <w:tcW w:w="4536" w:type="dxa"/>
            <w:tcBorders>
              <w:top w:val="single" w:color="auto" w:sz="4" w:space="0"/>
              <w:left w:val="single" w:color="auto" w:sz="4" w:space="0"/>
              <w:bottom w:val="single" w:color="auto" w:sz="4" w:space="0"/>
              <w:right w:val="single" w:color="auto" w:sz="4" w:space="0"/>
            </w:tcBorders>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支持快递外卖应用的提取，包含饿了么、申通快递、中通快递等</w:t>
            </w:r>
          </w:p>
        </w:tc>
        <w:tc>
          <w:tcPr>
            <w:tcW w:w="1740" w:type="dxa"/>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tcBorders>
              <w:top w:val="single" w:color="auto" w:sz="4" w:space="0"/>
              <w:left w:val="single" w:color="auto" w:sz="4" w:space="0"/>
              <w:bottom w:val="single" w:color="auto" w:sz="4" w:space="0"/>
              <w:right w:val="single" w:color="auto" w:sz="4" w:space="0"/>
            </w:tcBorders>
            <w:vAlign w:val="center"/>
          </w:tcPr>
          <w:p>
            <w:pPr>
              <w:widowControl w:val="0"/>
              <w:numPr>
                <w:ilvl w:val="0"/>
                <w:numId w:val="54"/>
              </w:numPr>
              <w:ind w:left="0" w:firstLine="210" w:firstLineChars="100"/>
              <w:jc w:val="center"/>
              <w:rPr>
                <w:rFonts w:asciiTheme="minorEastAsia" w:hAnsiTheme="minorEastAsia" w:eastAsiaTheme="minorEastAsia" w:cstheme="minorEastAsia"/>
                <w:szCs w:val="21"/>
              </w:rPr>
            </w:pPr>
          </w:p>
        </w:tc>
        <w:tc>
          <w:tcPr>
            <w:tcW w:w="1134" w:type="dxa"/>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szCs w:val="21"/>
              </w:rPr>
            </w:pPr>
          </w:p>
        </w:tc>
        <w:tc>
          <w:tcPr>
            <w:tcW w:w="4536" w:type="dxa"/>
            <w:tcBorders>
              <w:top w:val="single" w:color="auto" w:sz="4" w:space="0"/>
              <w:left w:val="single" w:color="auto" w:sz="4" w:space="0"/>
              <w:bottom w:val="single" w:color="auto" w:sz="4" w:space="0"/>
              <w:right w:val="single" w:color="auto" w:sz="4" w:space="0"/>
            </w:tcBorders>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其他应用支持包括但不限于：印象笔记（账号、记录文本、图片、视频）、QQ同步助手（通 讯录、短信、软件列表、通话记录等）</w:t>
            </w:r>
          </w:p>
        </w:tc>
        <w:tc>
          <w:tcPr>
            <w:tcW w:w="1740" w:type="dxa"/>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tcBorders>
              <w:top w:val="single" w:color="auto" w:sz="4" w:space="0"/>
              <w:left w:val="single" w:color="auto" w:sz="4" w:space="0"/>
              <w:bottom w:val="single" w:color="auto" w:sz="4" w:space="0"/>
              <w:right w:val="single" w:color="auto" w:sz="4" w:space="0"/>
            </w:tcBorders>
            <w:vAlign w:val="center"/>
          </w:tcPr>
          <w:p>
            <w:pPr>
              <w:widowControl w:val="0"/>
              <w:numPr>
                <w:ilvl w:val="0"/>
                <w:numId w:val="54"/>
              </w:numPr>
              <w:ind w:left="0" w:firstLine="210" w:firstLineChars="100"/>
              <w:jc w:val="center"/>
              <w:rPr>
                <w:rFonts w:asciiTheme="minorEastAsia" w:hAnsiTheme="minorEastAsia" w:eastAsiaTheme="minorEastAsia" w:cstheme="minorEastAsia"/>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并行能力</w:t>
            </w:r>
          </w:p>
        </w:tc>
        <w:tc>
          <w:tcPr>
            <w:tcW w:w="4536" w:type="dxa"/>
            <w:tcBorders>
              <w:top w:val="single" w:color="auto" w:sz="4" w:space="0"/>
              <w:left w:val="single" w:color="auto" w:sz="4" w:space="0"/>
              <w:bottom w:val="single" w:color="auto" w:sz="4" w:space="0"/>
              <w:right w:val="single" w:color="auto" w:sz="4" w:space="0"/>
            </w:tcBorders>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可同时对多个APP、多个帐号进行并行取证</w:t>
            </w:r>
          </w:p>
        </w:tc>
        <w:tc>
          <w:tcPr>
            <w:tcW w:w="1740" w:type="dxa"/>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tcBorders>
              <w:top w:val="single" w:color="auto" w:sz="4" w:space="0"/>
              <w:left w:val="single" w:color="auto" w:sz="4" w:space="0"/>
              <w:bottom w:val="single" w:color="auto" w:sz="4" w:space="0"/>
              <w:right w:val="single" w:color="auto" w:sz="4" w:space="0"/>
            </w:tcBorders>
            <w:vAlign w:val="center"/>
          </w:tcPr>
          <w:p>
            <w:pPr>
              <w:widowControl w:val="0"/>
              <w:numPr>
                <w:ilvl w:val="0"/>
                <w:numId w:val="54"/>
              </w:numPr>
              <w:ind w:left="0" w:firstLine="210" w:firstLineChars="100"/>
              <w:jc w:val="center"/>
              <w:rPr>
                <w:rFonts w:asciiTheme="minorEastAsia" w:hAnsiTheme="minorEastAsia" w:eastAsiaTheme="minorEastAsia" w:cstheme="minorEastAsia"/>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扫描能力</w:t>
            </w:r>
          </w:p>
        </w:tc>
        <w:tc>
          <w:tcPr>
            <w:tcW w:w="4536" w:type="dxa"/>
            <w:tcBorders>
              <w:top w:val="single" w:color="auto" w:sz="4" w:space="0"/>
              <w:left w:val="single" w:color="auto" w:sz="4" w:space="0"/>
              <w:bottom w:val="single" w:color="auto" w:sz="4" w:space="0"/>
              <w:right w:val="single" w:color="auto" w:sz="4" w:space="0"/>
            </w:tcBorders>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支持通过手机号对应用注册情况进行扫描，输出注册或未注册的识别结果</w:t>
            </w:r>
          </w:p>
        </w:tc>
        <w:tc>
          <w:tcPr>
            <w:tcW w:w="1740" w:type="dxa"/>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tcBorders>
              <w:top w:val="single" w:color="auto" w:sz="4" w:space="0"/>
              <w:left w:val="single" w:color="auto" w:sz="4" w:space="0"/>
              <w:bottom w:val="single" w:color="auto" w:sz="4" w:space="0"/>
              <w:right w:val="single" w:color="auto" w:sz="4" w:space="0"/>
            </w:tcBorders>
            <w:vAlign w:val="center"/>
          </w:tcPr>
          <w:p>
            <w:pPr>
              <w:widowControl w:val="0"/>
              <w:numPr>
                <w:ilvl w:val="0"/>
                <w:numId w:val="54"/>
              </w:numPr>
              <w:ind w:left="0" w:firstLine="210" w:firstLineChars="100"/>
              <w:jc w:val="center"/>
              <w:rPr>
                <w:rFonts w:asciiTheme="minorEastAsia" w:hAnsiTheme="minorEastAsia" w:eastAsiaTheme="minorEastAsia" w:cstheme="minorEastAsia"/>
                <w:szCs w:val="21"/>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kern w:val="0"/>
                <w:szCs w:val="21"/>
                <w:lang w:bidi="ar"/>
              </w:rPr>
            </w:pPr>
            <w:r>
              <w:rPr>
                <w:rFonts w:hint="eastAsia" w:asciiTheme="minorEastAsia" w:hAnsiTheme="minorEastAsia" w:eastAsiaTheme="minorEastAsia" w:cstheme="minorEastAsia"/>
                <w:szCs w:val="21"/>
              </w:rPr>
              <w:t>物联网管理 API</w:t>
            </w:r>
          </w:p>
        </w:tc>
        <w:tc>
          <w:tcPr>
            <w:tcW w:w="4536" w:type="dxa"/>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kern w:val="0"/>
                <w:szCs w:val="21"/>
                <w:lang w:bidi="ar"/>
              </w:rPr>
            </w:pPr>
            <w:r>
              <w:rPr>
                <w:rFonts w:hint="eastAsia" w:asciiTheme="minorEastAsia" w:hAnsiTheme="minorEastAsia" w:eastAsiaTheme="minorEastAsia" w:cstheme="minorEastAsia"/>
                <w:kern w:val="0"/>
                <w:szCs w:val="21"/>
                <w:lang w:bidi="ar"/>
              </w:rPr>
              <w:t>支持开放的物联网管理API接口，供实验室管理系统采集设备工作状态和工作量</w:t>
            </w:r>
          </w:p>
        </w:tc>
        <w:tc>
          <w:tcPr>
            <w:tcW w:w="1740" w:type="dxa"/>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bCs/>
                <w:color w:val="000000"/>
                <w:kern w:val="0"/>
                <w:szCs w:val="21"/>
                <w:lang w:bidi="ar"/>
              </w:rPr>
              <w:t>/</w:t>
            </w:r>
          </w:p>
        </w:tc>
      </w:tr>
    </w:tbl>
    <w:p>
      <w:pPr>
        <w:pStyle w:val="5"/>
        <w:spacing w:before="156"/>
        <w:rPr>
          <w:rFonts w:asciiTheme="minorEastAsia" w:hAnsiTheme="minorEastAsia" w:eastAsiaTheme="minorEastAsia" w:cstheme="minorEastAsia"/>
          <w:szCs w:val="21"/>
        </w:rPr>
      </w:pPr>
      <w:bookmarkStart w:id="110" w:name="_Toc16531388"/>
      <w:bookmarkStart w:id="111" w:name="_Toc16531162"/>
      <w:r>
        <w:rPr>
          <w:rFonts w:hint="eastAsia" w:asciiTheme="minorEastAsia" w:hAnsiTheme="minorEastAsia" w:eastAsiaTheme="minorEastAsia" w:cstheme="minorEastAsia"/>
          <w:szCs w:val="21"/>
        </w:rPr>
        <w:t>第2包战训一体化平台</w:t>
      </w:r>
      <w:r>
        <w:rPr>
          <w:rFonts w:hint="default" w:ascii="Times New Roman" w:hAnsi="Times New Roman" w:cs="Times New Roman" w:eastAsiaTheme="minorEastAsia"/>
          <w:szCs w:val="21"/>
        </w:rPr>
        <w:t>Ⅱ</w:t>
      </w:r>
    </w:p>
    <w:tbl>
      <w:tblPr>
        <w:tblStyle w:val="81"/>
        <w:tblW w:w="81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2"/>
        <w:gridCol w:w="1134"/>
        <w:gridCol w:w="4537"/>
        <w:gridCol w:w="17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blHeader/>
          <w:jc w:val="center"/>
        </w:trPr>
        <w:tc>
          <w:tcPr>
            <w:tcW w:w="69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序号</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
                <w:szCs w:val="21"/>
              </w:rPr>
            </w:pPr>
            <w:r>
              <w:rPr>
                <w:rFonts w:hint="eastAsia" w:asciiTheme="minorEastAsia" w:hAnsiTheme="minorEastAsia" w:eastAsiaTheme="minorEastAsia" w:cstheme="minorEastAsia"/>
                <w:bCs/>
                <w:szCs w:val="21"/>
                <w:lang w:bidi="ar"/>
              </w:rPr>
              <w:t>指标项</w:t>
            </w:r>
          </w:p>
        </w:tc>
        <w:tc>
          <w:tcPr>
            <w:tcW w:w="453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
                <w:szCs w:val="21"/>
              </w:rPr>
            </w:pPr>
            <w:r>
              <w:rPr>
                <w:rFonts w:hint="eastAsia" w:asciiTheme="minorEastAsia" w:hAnsiTheme="minorEastAsia" w:eastAsiaTheme="minorEastAsia" w:cstheme="minorEastAsia"/>
                <w:bCs/>
                <w:szCs w:val="21"/>
                <w:lang w:bidi="ar"/>
              </w:rPr>
              <w:t>技术要求</w:t>
            </w:r>
          </w:p>
        </w:tc>
        <w:tc>
          <w:tcPr>
            <w:tcW w:w="1739"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b/>
                <w:szCs w:val="21"/>
              </w:rPr>
            </w:pPr>
            <w:r>
              <w:rPr>
                <w:rFonts w:hint="eastAsia" w:asciiTheme="minorEastAsia" w:hAnsiTheme="minorEastAsia" w:eastAsiaTheme="minorEastAsia" w:cstheme="minorEastAsia"/>
                <w:bCs/>
                <w:color w:val="000000"/>
                <w:kern w:val="0"/>
                <w:szCs w:val="21"/>
                <w:lang w:bidi="ar"/>
              </w:rPr>
              <w:t>证明材料要求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55"/>
              </w:numPr>
              <w:ind w:left="0" w:firstLine="210" w:firstLineChars="100"/>
              <w:jc w:val="center"/>
              <w:rPr>
                <w:rFonts w:asciiTheme="minorEastAsia" w:hAnsiTheme="minorEastAsia" w:eastAsiaTheme="minorEastAsia" w:cstheme="minorEastAsia"/>
                <w:szCs w:val="21"/>
              </w:rPr>
            </w:pP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lang w:bidi="ar"/>
              </w:rPr>
              <w:t>应用服务器</w:t>
            </w:r>
          </w:p>
        </w:tc>
        <w:tc>
          <w:tcPr>
            <w:tcW w:w="4537" w:type="dxa"/>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处理器：不低于2*20核心处理器,主频≥2.1GHz处理器</w:t>
            </w:r>
          </w:p>
        </w:tc>
        <w:tc>
          <w:tcPr>
            <w:tcW w:w="1739"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55"/>
              </w:numPr>
              <w:ind w:left="0" w:firstLine="210" w:firstLineChars="100"/>
              <w:jc w:val="center"/>
              <w:rPr>
                <w:rFonts w:asciiTheme="minorEastAsia" w:hAnsiTheme="minorEastAsia" w:eastAsiaTheme="minorEastAsia" w:cstheme="minorEastAsia"/>
                <w:szCs w:val="21"/>
              </w:rPr>
            </w:pPr>
          </w:p>
        </w:tc>
        <w:tc>
          <w:tcPr>
            <w:tcW w:w="113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4537" w:type="dxa"/>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内存：不低于512G内存</w:t>
            </w:r>
          </w:p>
        </w:tc>
        <w:tc>
          <w:tcPr>
            <w:tcW w:w="1739"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55"/>
              </w:numPr>
              <w:ind w:left="0" w:firstLine="210" w:firstLineChars="100"/>
              <w:jc w:val="center"/>
              <w:rPr>
                <w:rFonts w:asciiTheme="minorEastAsia" w:hAnsiTheme="minorEastAsia" w:eastAsiaTheme="minorEastAsia" w:cstheme="minorEastAsia"/>
                <w:szCs w:val="21"/>
              </w:rPr>
            </w:pPr>
          </w:p>
        </w:tc>
        <w:tc>
          <w:tcPr>
            <w:tcW w:w="113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4537" w:type="dxa"/>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 xml:space="preserve">存储：不低于12块480GB PCI SSD企业级(约5.76TB </w:t>
            </w:r>
          </w:p>
        </w:tc>
        <w:tc>
          <w:tcPr>
            <w:tcW w:w="1739"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55"/>
              </w:numPr>
              <w:ind w:left="0" w:firstLine="210" w:firstLineChars="100"/>
              <w:jc w:val="center"/>
              <w:rPr>
                <w:rFonts w:asciiTheme="minorEastAsia" w:hAnsiTheme="minorEastAsia" w:eastAsiaTheme="minorEastAsia" w:cstheme="minorEastAsia"/>
                <w:szCs w:val="21"/>
              </w:rPr>
            </w:pPr>
          </w:p>
        </w:tc>
        <w:tc>
          <w:tcPr>
            <w:tcW w:w="113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4537" w:type="dxa"/>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网卡：不低于双口1000M RJ45电口网卡 + 双口10G光纤网卡</w:t>
            </w:r>
          </w:p>
        </w:tc>
        <w:tc>
          <w:tcPr>
            <w:tcW w:w="1739"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55"/>
              </w:numPr>
              <w:ind w:left="0" w:firstLine="210" w:firstLineChars="100"/>
              <w:jc w:val="center"/>
              <w:rPr>
                <w:rFonts w:asciiTheme="minorEastAsia" w:hAnsiTheme="minorEastAsia" w:eastAsiaTheme="minorEastAsia" w:cstheme="minorEastAsia"/>
                <w:szCs w:val="21"/>
              </w:rPr>
            </w:pPr>
          </w:p>
        </w:tc>
        <w:tc>
          <w:tcPr>
            <w:tcW w:w="113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4537" w:type="dxa"/>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显卡：不低于1块48GB图形处理器</w:t>
            </w:r>
          </w:p>
        </w:tc>
        <w:tc>
          <w:tcPr>
            <w:tcW w:w="1739"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55"/>
              </w:numPr>
              <w:ind w:left="0" w:firstLine="210" w:firstLineChars="100"/>
              <w:jc w:val="center"/>
              <w:rPr>
                <w:rFonts w:asciiTheme="minorEastAsia" w:hAnsiTheme="minorEastAsia" w:eastAsiaTheme="minorEastAsia" w:cstheme="minorEastAsia"/>
                <w:szCs w:val="21"/>
              </w:rPr>
            </w:pP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lang w:bidi="ar"/>
              </w:rPr>
              <w:t>数据库服务器</w:t>
            </w:r>
          </w:p>
        </w:tc>
        <w:tc>
          <w:tcPr>
            <w:tcW w:w="4537" w:type="dxa"/>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处理器：≥2*20核处理器,主频≥2.1GHz处理器</w:t>
            </w:r>
          </w:p>
        </w:tc>
        <w:tc>
          <w:tcPr>
            <w:tcW w:w="1739"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55"/>
              </w:numPr>
              <w:ind w:left="0" w:firstLine="210" w:firstLineChars="100"/>
              <w:jc w:val="center"/>
              <w:rPr>
                <w:rFonts w:asciiTheme="minorEastAsia" w:hAnsiTheme="minorEastAsia" w:eastAsiaTheme="minorEastAsia" w:cstheme="minorEastAsia"/>
                <w:szCs w:val="21"/>
              </w:rPr>
            </w:pPr>
          </w:p>
        </w:tc>
        <w:tc>
          <w:tcPr>
            <w:tcW w:w="113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4537" w:type="dxa"/>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内存：不低于256G内存</w:t>
            </w:r>
          </w:p>
        </w:tc>
        <w:tc>
          <w:tcPr>
            <w:tcW w:w="1739"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55"/>
              </w:numPr>
              <w:ind w:left="0" w:firstLine="210" w:firstLineChars="100"/>
              <w:jc w:val="center"/>
              <w:rPr>
                <w:rFonts w:asciiTheme="minorEastAsia" w:hAnsiTheme="minorEastAsia" w:eastAsiaTheme="minorEastAsia" w:cstheme="minorEastAsia"/>
                <w:szCs w:val="21"/>
              </w:rPr>
            </w:pPr>
          </w:p>
        </w:tc>
        <w:tc>
          <w:tcPr>
            <w:tcW w:w="113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4537" w:type="dxa"/>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存储：12块 960GB PCI SSD企业级(约11.52TB)</w:t>
            </w:r>
          </w:p>
        </w:tc>
        <w:tc>
          <w:tcPr>
            <w:tcW w:w="1739"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55"/>
              </w:numPr>
              <w:ind w:left="0" w:firstLine="210" w:firstLineChars="100"/>
              <w:jc w:val="center"/>
              <w:rPr>
                <w:rFonts w:asciiTheme="minorEastAsia" w:hAnsiTheme="minorEastAsia" w:eastAsiaTheme="minorEastAsia" w:cstheme="minorEastAsia"/>
                <w:szCs w:val="21"/>
              </w:rPr>
            </w:pPr>
          </w:p>
        </w:tc>
        <w:tc>
          <w:tcPr>
            <w:tcW w:w="113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4537" w:type="dxa"/>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显卡：不低于1块 48GB图形处理器</w:t>
            </w:r>
          </w:p>
        </w:tc>
        <w:tc>
          <w:tcPr>
            <w:tcW w:w="1739"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55"/>
              </w:numPr>
              <w:ind w:left="0" w:firstLine="210" w:firstLineChars="100"/>
              <w:jc w:val="center"/>
              <w:rPr>
                <w:rFonts w:asciiTheme="minorEastAsia" w:hAnsiTheme="minorEastAsia" w:eastAsiaTheme="minorEastAsia" w:cstheme="minorEastAsia"/>
                <w:szCs w:val="21"/>
              </w:rPr>
            </w:pPr>
          </w:p>
        </w:tc>
        <w:tc>
          <w:tcPr>
            <w:tcW w:w="113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4537" w:type="dxa"/>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网卡：不低于双口1000M RJ45电口网卡 + 双口10G光纤网卡</w:t>
            </w:r>
          </w:p>
        </w:tc>
        <w:tc>
          <w:tcPr>
            <w:tcW w:w="1739"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55"/>
              </w:numPr>
              <w:ind w:left="0" w:firstLine="210" w:firstLineChars="100"/>
              <w:jc w:val="center"/>
              <w:rPr>
                <w:rFonts w:asciiTheme="minorEastAsia" w:hAnsiTheme="minorEastAsia" w:eastAsiaTheme="minorEastAsia" w:cstheme="minorEastAsia"/>
                <w:szCs w:val="21"/>
              </w:rPr>
            </w:pP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lang w:bidi="ar"/>
              </w:rPr>
              <w:t>数据存储</w:t>
            </w:r>
          </w:p>
        </w:tc>
        <w:tc>
          <w:tcPr>
            <w:tcW w:w="4537" w:type="dxa"/>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处理器：不低于2*20核处理器,主频≥2.1GHz处理器</w:t>
            </w:r>
          </w:p>
        </w:tc>
        <w:tc>
          <w:tcPr>
            <w:tcW w:w="1739"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55"/>
              </w:numPr>
              <w:ind w:left="0" w:firstLine="210" w:firstLineChars="100"/>
              <w:jc w:val="center"/>
              <w:rPr>
                <w:rFonts w:asciiTheme="minorEastAsia" w:hAnsiTheme="minorEastAsia" w:eastAsiaTheme="minorEastAsia" w:cstheme="minorEastAsia"/>
                <w:szCs w:val="21"/>
              </w:rPr>
            </w:pPr>
          </w:p>
        </w:tc>
        <w:tc>
          <w:tcPr>
            <w:tcW w:w="113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4537" w:type="dxa"/>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内存：不低于256G内存</w:t>
            </w:r>
          </w:p>
        </w:tc>
        <w:tc>
          <w:tcPr>
            <w:tcW w:w="1739"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55"/>
              </w:numPr>
              <w:ind w:left="0" w:firstLine="210" w:firstLineChars="100"/>
              <w:jc w:val="center"/>
              <w:rPr>
                <w:rFonts w:asciiTheme="minorEastAsia" w:hAnsiTheme="minorEastAsia" w:eastAsiaTheme="minorEastAsia" w:cstheme="minorEastAsia"/>
                <w:szCs w:val="21"/>
              </w:rPr>
            </w:pPr>
          </w:p>
        </w:tc>
        <w:tc>
          <w:tcPr>
            <w:tcW w:w="113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4537" w:type="dxa"/>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存储：12块24T SATA企业级（Raid 6）</w:t>
            </w:r>
          </w:p>
        </w:tc>
        <w:tc>
          <w:tcPr>
            <w:tcW w:w="1739"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55"/>
              </w:numPr>
              <w:ind w:left="0" w:firstLine="210" w:firstLineChars="100"/>
              <w:jc w:val="center"/>
              <w:rPr>
                <w:rFonts w:asciiTheme="minorEastAsia" w:hAnsiTheme="minorEastAsia" w:eastAsiaTheme="minorEastAsia" w:cstheme="minorEastAsia"/>
                <w:szCs w:val="21"/>
              </w:rPr>
            </w:pPr>
          </w:p>
        </w:tc>
        <w:tc>
          <w:tcPr>
            <w:tcW w:w="113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4537" w:type="dxa"/>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网卡：不低于双口1000M RJ45电口网卡 + 双口10G光纤网卡</w:t>
            </w:r>
          </w:p>
        </w:tc>
        <w:tc>
          <w:tcPr>
            <w:tcW w:w="1739"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55"/>
              </w:numPr>
              <w:ind w:left="0" w:firstLine="210" w:firstLineChars="100"/>
              <w:jc w:val="center"/>
              <w:rPr>
                <w:rFonts w:asciiTheme="minorEastAsia" w:hAnsiTheme="minorEastAsia" w:eastAsiaTheme="minorEastAsia" w:cstheme="minorEastAsia"/>
                <w:szCs w:val="21"/>
              </w:rPr>
            </w:pP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lang w:bidi="ar"/>
              </w:rPr>
              <w:t>交换机</w:t>
            </w:r>
          </w:p>
        </w:tc>
        <w:tc>
          <w:tcPr>
            <w:tcW w:w="4537" w:type="dxa"/>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万兆交换机，24个10GE SFP+端口 + 4个40GE QSFP端口</w:t>
            </w:r>
          </w:p>
        </w:tc>
        <w:tc>
          <w:tcPr>
            <w:tcW w:w="1739"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55"/>
              </w:numPr>
              <w:ind w:left="0" w:firstLine="210" w:firstLineChars="100"/>
              <w:jc w:val="center"/>
              <w:rPr>
                <w:rFonts w:asciiTheme="minorEastAsia" w:hAnsiTheme="minorEastAsia" w:eastAsiaTheme="minorEastAsia" w:cstheme="minorEastAsia"/>
                <w:szCs w:val="21"/>
              </w:rPr>
            </w:pPr>
          </w:p>
        </w:tc>
        <w:tc>
          <w:tcPr>
            <w:tcW w:w="113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4537" w:type="dxa"/>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不低于5个光模块</w:t>
            </w:r>
          </w:p>
        </w:tc>
        <w:tc>
          <w:tcPr>
            <w:tcW w:w="1739"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55"/>
              </w:numPr>
              <w:ind w:left="0" w:firstLine="210" w:firstLineChars="100"/>
              <w:jc w:val="center"/>
              <w:rPr>
                <w:rFonts w:asciiTheme="minorEastAsia" w:hAnsiTheme="minorEastAsia" w:eastAsiaTheme="minorEastAsia" w:cstheme="minorEastAsia"/>
                <w:szCs w:val="21"/>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lang w:bidi="ar"/>
              </w:rPr>
              <w:t>机柜</w:t>
            </w:r>
          </w:p>
        </w:tc>
        <w:tc>
          <w:tcPr>
            <w:tcW w:w="4537" w:type="dxa"/>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配置42U机柜（600*1000*2000）,包含4个机柜专用PDU（16A/3200W/8位国标孔）</w:t>
            </w:r>
          </w:p>
        </w:tc>
        <w:tc>
          <w:tcPr>
            <w:tcW w:w="1739"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55"/>
              </w:numPr>
              <w:ind w:left="0" w:firstLine="210" w:firstLineChars="100"/>
              <w:jc w:val="center"/>
              <w:rPr>
                <w:rFonts w:asciiTheme="minorEastAsia" w:hAnsiTheme="minorEastAsia" w:eastAsiaTheme="minorEastAsia" w:cstheme="minorEastAsia"/>
                <w:szCs w:val="21"/>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lang w:bidi="ar"/>
              </w:rPr>
              <w:t>数据导入</w:t>
            </w:r>
          </w:p>
        </w:tc>
        <w:tc>
          <w:tcPr>
            <w:tcW w:w="4537" w:type="dxa"/>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支持手机采集数据的导入功能</w:t>
            </w:r>
          </w:p>
        </w:tc>
        <w:tc>
          <w:tcPr>
            <w:tcW w:w="1739"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55"/>
              </w:numPr>
              <w:ind w:left="0" w:firstLine="210" w:firstLineChars="100"/>
              <w:jc w:val="center"/>
              <w:rPr>
                <w:rFonts w:asciiTheme="minorEastAsia" w:hAnsiTheme="minorEastAsia" w:eastAsiaTheme="minorEastAsia" w:cstheme="minorEastAsia"/>
                <w:szCs w:val="21"/>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lang w:bidi="ar"/>
              </w:rPr>
              <w:t>关系分析</w:t>
            </w:r>
          </w:p>
        </w:tc>
        <w:tc>
          <w:tcPr>
            <w:tcW w:w="453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支持对多个对象的高频通联、好友、社交对象分析，高效展示共同好友；支持对共同好友的联系情况、联系密度、实际内容进行可视化展示；支持通联类型、频次、时段、快速时段、小时区间、历史查询筛选；支持导入外部数据；支持切换列表和节点图可视化展示，支持一版化</w:t>
            </w:r>
          </w:p>
        </w:tc>
        <w:tc>
          <w:tcPr>
            <w:tcW w:w="1739"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55"/>
              </w:numPr>
              <w:ind w:left="0" w:firstLine="210" w:firstLineChars="100"/>
              <w:jc w:val="center"/>
              <w:rPr>
                <w:rFonts w:asciiTheme="minorEastAsia" w:hAnsiTheme="minorEastAsia" w:eastAsiaTheme="minorEastAsia" w:cstheme="minorEastAsia"/>
                <w:szCs w:val="21"/>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lang w:bidi="ar"/>
              </w:rPr>
              <w:t>资金分析</w:t>
            </w:r>
          </w:p>
        </w:tc>
        <w:tc>
          <w:tcPr>
            <w:tcW w:w="4537" w:type="dxa"/>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szCs w:val="21"/>
              </w:rPr>
              <w:t>支持可视化分析收支金额、交易次数趋势；支持可视化分析单个对象的主要的交易金额额度、主要的交易对象金额、主要交易账户；支持可视化分析收支时间习惯，包括节假日、平时、白天、夜晚、工作日、周末；支持按照收支类型、时间、时间区间筛选；支持切换账单明细和图表可视化展示</w:t>
            </w:r>
          </w:p>
        </w:tc>
        <w:tc>
          <w:tcPr>
            <w:tcW w:w="1739"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55"/>
              </w:numPr>
              <w:ind w:left="0" w:firstLine="210" w:firstLineChars="100"/>
              <w:jc w:val="center"/>
              <w:rPr>
                <w:rFonts w:asciiTheme="minorEastAsia" w:hAnsiTheme="minorEastAsia" w:eastAsiaTheme="minorEastAsia" w:cstheme="minorEastAsia"/>
                <w:szCs w:val="21"/>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位置分析</w:t>
            </w:r>
          </w:p>
        </w:tc>
        <w:tc>
          <w:tcPr>
            <w:tcW w:w="4537" w:type="dxa"/>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szCs w:val="21"/>
              </w:rPr>
              <w:t>支持各类APP应用获取的位置信息分析，如出行、外卖、购物、WiFi热点、票务、相册等，支持单个或多个对象的经常出没地，支持依据时间、时段快捷筛选，支持一版化</w:t>
            </w:r>
          </w:p>
        </w:tc>
        <w:tc>
          <w:tcPr>
            <w:tcW w:w="1739"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55"/>
              </w:numPr>
              <w:ind w:left="0" w:firstLine="210" w:firstLineChars="100"/>
              <w:jc w:val="center"/>
              <w:rPr>
                <w:rFonts w:asciiTheme="minorEastAsia" w:hAnsiTheme="minorEastAsia" w:eastAsiaTheme="minorEastAsia" w:cstheme="minorEastAsia"/>
                <w:szCs w:val="21"/>
              </w:rPr>
            </w:pP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lang w:bidi="ar"/>
              </w:rPr>
              <w:t>应用数据分析</w:t>
            </w:r>
          </w:p>
        </w:tc>
        <w:tc>
          <w:tcPr>
            <w:tcW w:w="4537" w:type="dxa"/>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支持微信经济与微信聊天内容、手机短信内容、手机通话记录的聚合分析，支持微信经济与微信聊天内容、手机短信内容、手机通话记录的智能关联，支持在一版化页面中查看详情</w:t>
            </w:r>
          </w:p>
        </w:tc>
        <w:tc>
          <w:tcPr>
            <w:tcW w:w="1739"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55"/>
              </w:numPr>
              <w:ind w:left="0" w:firstLine="210" w:firstLineChars="100"/>
              <w:jc w:val="center"/>
              <w:rPr>
                <w:rFonts w:asciiTheme="minorEastAsia" w:hAnsiTheme="minorEastAsia" w:eastAsiaTheme="minorEastAsia" w:cstheme="minorEastAsia"/>
                <w:szCs w:val="21"/>
              </w:rPr>
            </w:pPr>
          </w:p>
        </w:tc>
        <w:tc>
          <w:tcPr>
            <w:tcW w:w="113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4537" w:type="dxa"/>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支持对检材的所有的聊天内容、称谓、备注、搜索记录、浏览记录、订单记录等进行分析，挖掘出高频词汇和称谓等；支持图标可视化展示，点击具体的词汇可查看其详情；支持设置白名单，屏蔽干扰词云</w:t>
            </w:r>
          </w:p>
        </w:tc>
        <w:tc>
          <w:tcPr>
            <w:tcW w:w="1739"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55"/>
              </w:numPr>
              <w:ind w:left="0" w:firstLine="210" w:firstLineChars="100"/>
              <w:jc w:val="center"/>
              <w:rPr>
                <w:rFonts w:asciiTheme="minorEastAsia" w:hAnsiTheme="minorEastAsia" w:eastAsiaTheme="minorEastAsia" w:cstheme="minorEastAsia"/>
                <w:szCs w:val="21"/>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lang w:bidi="ar"/>
              </w:rPr>
              <w:t>人物画像</w:t>
            </w:r>
          </w:p>
        </w:tc>
        <w:tc>
          <w:tcPr>
            <w:tcW w:w="4537" w:type="dxa"/>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支持嫌疑人基础信息展示，包含姓名、性别、年龄、证件号码、手机号、居住地以及嫌疑人常用头像展示；支持所属案件基础信息展示，包含案件名称、案件类型、送检人员、案件编号、创建时间、警情号、采集编号；支持嫌疑人检材基础信息展示，包含本机号码、品牌、型号、所属地、操作系统、储存容量、已用容量、WiFi、检材类型、送检时间、Bluetooth、IMEI、信息记录；</w:t>
            </w:r>
          </w:p>
          <w:p>
            <w:pPr>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支持从社交对象、聊天内容、位置、活动时间、经济往来、关系网络多个维度对嫌疑人进行刻画；并支持点击对应内容进行溯源；</w:t>
            </w:r>
          </w:p>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szCs w:val="21"/>
              </w:rPr>
              <w:t>支持从行为、内容、微信经济、支付宝经济、微信内容、快递信息、文件信息、银行卡信息多个渠道对嫌疑人可疑行为进行预警；并支持点击相应预警信息进行溯源</w:t>
            </w:r>
          </w:p>
        </w:tc>
        <w:tc>
          <w:tcPr>
            <w:tcW w:w="1739"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55"/>
              </w:numPr>
              <w:ind w:left="0" w:firstLine="210" w:firstLineChars="100"/>
              <w:jc w:val="center"/>
              <w:rPr>
                <w:rFonts w:asciiTheme="minorEastAsia" w:hAnsiTheme="minorEastAsia" w:eastAsiaTheme="minorEastAsia" w:cstheme="minorEastAsia"/>
                <w:szCs w:val="21"/>
              </w:rPr>
            </w:pP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lang w:bidi="ar"/>
              </w:rPr>
              <w:t>智能分析</w:t>
            </w:r>
          </w:p>
        </w:tc>
        <w:tc>
          <w:tcPr>
            <w:tcW w:w="4537" w:type="dxa"/>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支持各种来源的数据与标签库智能比对，自动进行标签分类，分类类型包括手机号、姓名、备注、身份证、邮箱、车牌、银行卡、微信号QQ号、地点、图片、语音、视频，支持分类结果的快捷检索</w:t>
            </w:r>
          </w:p>
        </w:tc>
        <w:tc>
          <w:tcPr>
            <w:tcW w:w="1739"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55"/>
              </w:numPr>
              <w:ind w:left="0" w:firstLine="210" w:firstLineChars="100"/>
              <w:jc w:val="center"/>
              <w:rPr>
                <w:rFonts w:asciiTheme="minorEastAsia" w:hAnsiTheme="minorEastAsia" w:eastAsiaTheme="minorEastAsia" w:cstheme="minorEastAsia"/>
                <w:szCs w:val="21"/>
              </w:rPr>
            </w:pPr>
          </w:p>
        </w:tc>
        <w:tc>
          <w:tcPr>
            <w:tcW w:w="113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4537" w:type="dxa"/>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支持关注信息收藏，并提供研判功能，可对不同时间、不同行为进行分析；支持依据内容、分析模块、数据来源、时间等快捷筛选</w:t>
            </w:r>
          </w:p>
        </w:tc>
        <w:tc>
          <w:tcPr>
            <w:tcW w:w="1739"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55"/>
              </w:numPr>
              <w:ind w:left="0" w:firstLine="210" w:firstLineChars="100"/>
              <w:jc w:val="center"/>
              <w:rPr>
                <w:rFonts w:asciiTheme="minorEastAsia" w:hAnsiTheme="minorEastAsia" w:eastAsiaTheme="minorEastAsia" w:cstheme="minorEastAsia"/>
                <w:szCs w:val="21"/>
              </w:rPr>
            </w:pPr>
          </w:p>
        </w:tc>
        <w:tc>
          <w:tcPr>
            <w:tcW w:w="113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4537" w:type="dxa"/>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支持多关键词联合检索，分类检索一个或多个对象命中的涉嫌人员、好友、通联、聊天、经济、地理位置、同行同住、文档等相关信息；支持正则代码检索，提供常用正则代码快捷选取，支持自定义正则代码</w:t>
            </w:r>
          </w:p>
        </w:tc>
        <w:tc>
          <w:tcPr>
            <w:tcW w:w="1739"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55"/>
              </w:numPr>
              <w:ind w:left="0" w:firstLine="210" w:firstLineChars="100"/>
              <w:jc w:val="center"/>
              <w:rPr>
                <w:rFonts w:asciiTheme="minorEastAsia" w:hAnsiTheme="minorEastAsia" w:eastAsiaTheme="minorEastAsia" w:cstheme="minorEastAsia"/>
                <w:szCs w:val="21"/>
              </w:rPr>
            </w:pPr>
          </w:p>
        </w:tc>
        <w:tc>
          <w:tcPr>
            <w:tcW w:w="113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4537" w:type="dxa"/>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多检材数据去重合并功能，支持指定手机信息主体，同时能以一个对象查看所有分析结果；支持各类报告的生成功能，提供经典常用报告和菜单导航报告类型，报告内容包含自定义报告（支持截屏类分析结果等保存）、分析报告（支持各类分析结果等查看）、数据报告（原始数据报告）、资源文件、PDF报告等选项，同时支持过滤公众号信息、选定报告阅读类型（普通报告/阅读器）、是否加密报告，是否压缩报告等，可以便于用户灵活选择生成报告的内容、大小以及通过PDF进行查看打印功能</w:t>
            </w:r>
          </w:p>
        </w:tc>
        <w:tc>
          <w:tcPr>
            <w:tcW w:w="1739"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55"/>
              </w:numPr>
              <w:ind w:left="0" w:firstLine="210" w:firstLineChars="100"/>
              <w:jc w:val="center"/>
              <w:rPr>
                <w:rFonts w:asciiTheme="minorEastAsia" w:hAnsiTheme="minorEastAsia" w:eastAsiaTheme="minorEastAsia" w:cstheme="minorEastAsia"/>
                <w:szCs w:val="21"/>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szCs w:val="21"/>
                <w:lang w:bidi="ar"/>
              </w:rPr>
            </w:pPr>
            <w:r>
              <w:rPr>
                <w:rFonts w:hint="eastAsia" w:asciiTheme="minorEastAsia" w:hAnsiTheme="minorEastAsia" w:eastAsiaTheme="minorEastAsia" w:cstheme="minorEastAsia"/>
                <w:szCs w:val="21"/>
                <w:lang w:bidi="ar"/>
              </w:rPr>
              <w:t>关键词分析</w:t>
            </w:r>
          </w:p>
        </w:tc>
        <w:tc>
          <w:tcPr>
            <w:tcW w:w="4537" w:type="dxa"/>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szCs w:val="21"/>
              </w:rPr>
              <w:t>支持常用涉案词库预置功能，并支持动态涉案词库设置功能，对任一案件可以灵活使用不同涉案词库，并对涉案对象的社交对象、社交群按社交内容命中频次进行优先排序，掌握高命中敏感词社交对象，支持一版化</w:t>
            </w:r>
          </w:p>
        </w:tc>
        <w:tc>
          <w:tcPr>
            <w:tcW w:w="1739"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55"/>
              </w:numPr>
              <w:ind w:left="0" w:firstLine="210" w:firstLineChars="100"/>
              <w:jc w:val="center"/>
              <w:rPr>
                <w:rFonts w:asciiTheme="minorEastAsia" w:hAnsiTheme="minorEastAsia" w:eastAsiaTheme="minorEastAsia" w:cstheme="minorEastAsia"/>
                <w:szCs w:val="21"/>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szCs w:val="21"/>
                <w:lang w:bidi="ar"/>
              </w:rPr>
            </w:pPr>
            <w:r>
              <w:rPr>
                <w:rFonts w:hint="eastAsia" w:asciiTheme="minorEastAsia" w:hAnsiTheme="minorEastAsia" w:eastAsiaTheme="minorEastAsia" w:cstheme="minorEastAsia"/>
                <w:color w:val="000000"/>
                <w:szCs w:val="21"/>
              </w:rPr>
              <w:t>白名单管理能力</w:t>
            </w:r>
          </w:p>
        </w:tc>
        <w:tc>
          <w:tcPr>
            <w:tcW w:w="4537" w:type="dxa"/>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支持在可视化关系节图点中将节点加入白名单，支持白名单管理</w:t>
            </w:r>
          </w:p>
        </w:tc>
        <w:tc>
          <w:tcPr>
            <w:tcW w:w="1739"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55"/>
              </w:numPr>
              <w:ind w:left="0" w:firstLine="210" w:firstLineChars="100"/>
              <w:jc w:val="center"/>
              <w:rPr>
                <w:rFonts w:asciiTheme="minorEastAsia" w:hAnsiTheme="minorEastAsia" w:eastAsiaTheme="minorEastAsia" w:cstheme="minorEastAsia"/>
                <w:szCs w:val="21"/>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szCs w:val="21"/>
                <w:lang w:bidi="ar"/>
              </w:rPr>
            </w:pPr>
            <w:r>
              <w:rPr>
                <w:rFonts w:hint="eastAsia" w:asciiTheme="minorEastAsia" w:hAnsiTheme="minorEastAsia" w:eastAsiaTheme="minorEastAsia" w:cstheme="minorEastAsia"/>
                <w:szCs w:val="21"/>
              </w:rPr>
              <w:t>重点人员库能力</w:t>
            </w:r>
          </w:p>
        </w:tc>
        <w:tc>
          <w:tcPr>
            <w:tcW w:w="4537" w:type="dxa"/>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支持在可视化关系节点中将节点加入重点人员库，支持重点人员库的快捷编辑</w:t>
            </w:r>
          </w:p>
        </w:tc>
        <w:tc>
          <w:tcPr>
            <w:tcW w:w="1739"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55"/>
              </w:numPr>
              <w:ind w:left="0" w:firstLine="210" w:firstLineChars="100"/>
              <w:jc w:val="center"/>
              <w:rPr>
                <w:rFonts w:asciiTheme="minorEastAsia" w:hAnsiTheme="minorEastAsia" w:eastAsiaTheme="minorEastAsia" w:cstheme="minorEastAsia"/>
                <w:szCs w:val="21"/>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szCs w:val="21"/>
                <w:lang w:bidi="ar"/>
              </w:rPr>
            </w:pPr>
            <w:r>
              <w:rPr>
                <w:rFonts w:hint="eastAsia" w:asciiTheme="minorEastAsia" w:hAnsiTheme="minorEastAsia" w:eastAsiaTheme="minorEastAsia" w:cstheme="minorEastAsia"/>
                <w:szCs w:val="21"/>
              </w:rPr>
              <w:t>关注人员标签功能</w:t>
            </w:r>
          </w:p>
        </w:tc>
        <w:tc>
          <w:tcPr>
            <w:tcW w:w="4537" w:type="dxa"/>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支持在可视化关系节点中添加关注节点标签</w:t>
            </w:r>
          </w:p>
        </w:tc>
        <w:tc>
          <w:tcPr>
            <w:tcW w:w="1739"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55"/>
              </w:numPr>
              <w:ind w:left="0" w:firstLine="210" w:firstLineChars="100"/>
              <w:jc w:val="center"/>
              <w:rPr>
                <w:rFonts w:asciiTheme="minorEastAsia" w:hAnsiTheme="minorEastAsia" w:eastAsiaTheme="minorEastAsia" w:cstheme="minorEastAsia"/>
                <w:szCs w:val="21"/>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szCs w:val="21"/>
                <w:lang w:bidi="ar"/>
              </w:rPr>
              <w:t>数据库权限开放</w:t>
            </w:r>
          </w:p>
        </w:tc>
        <w:tc>
          <w:tcPr>
            <w:tcW w:w="4537" w:type="dxa"/>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color w:val="000000"/>
                <w:kern w:val="0"/>
                <w:szCs w:val="21"/>
                <w:lang w:bidi="ar"/>
              </w:rPr>
              <w:t>提供开放数据库权限，供大数据系统抽取本系统内数据</w:t>
            </w:r>
          </w:p>
        </w:tc>
        <w:tc>
          <w:tcPr>
            <w:tcW w:w="1739"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bCs/>
                <w:color w:val="000000"/>
                <w:kern w:val="0"/>
                <w:szCs w:val="21"/>
                <w:lang w:bidi="ar"/>
              </w:rPr>
              <w:t>/</w:t>
            </w:r>
          </w:p>
        </w:tc>
      </w:tr>
    </w:tbl>
    <w:p>
      <w:pPr>
        <w:pStyle w:val="5"/>
        <w:spacing w:before="156"/>
        <w:rPr>
          <w:rFonts w:asciiTheme="minorEastAsia" w:hAnsiTheme="minorEastAsia" w:eastAsiaTheme="minorEastAsia" w:cstheme="minorEastAsia"/>
          <w:iCs w:val="0"/>
          <w:szCs w:val="21"/>
        </w:rPr>
      </w:pPr>
      <w:r>
        <w:rPr>
          <w:rFonts w:hint="eastAsia" w:asciiTheme="minorEastAsia" w:hAnsiTheme="minorEastAsia" w:eastAsiaTheme="minorEastAsia" w:cstheme="minorEastAsia"/>
          <w:szCs w:val="21"/>
        </w:rPr>
        <w:t>第3包手机取证塔</w:t>
      </w:r>
      <w:r>
        <w:rPr>
          <w:rFonts w:hint="default" w:ascii="Times New Roman" w:hAnsi="Times New Roman" w:eastAsia="宋体" w:cs="Times New Roman"/>
          <w:szCs w:val="21"/>
        </w:rPr>
        <w:t>Ⅲ</w:t>
      </w:r>
    </w:p>
    <w:tbl>
      <w:tblPr>
        <w:tblStyle w:val="81"/>
        <w:tblW w:w="0" w:type="auto"/>
        <w:tblInd w:w="0" w:type="dxa"/>
        <w:tblLayout w:type="fixed"/>
        <w:tblCellMar>
          <w:top w:w="0" w:type="dxa"/>
          <w:left w:w="108" w:type="dxa"/>
          <w:bottom w:w="0" w:type="dxa"/>
          <w:right w:w="108" w:type="dxa"/>
        </w:tblCellMar>
      </w:tblPr>
      <w:tblGrid>
        <w:gridCol w:w="427"/>
        <w:gridCol w:w="851"/>
        <w:gridCol w:w="5528"/>
        <w:gridCol w:w="788"/>
      </w:tblGrid>
      <w:tr>
        <w:tblPrEx>
          <w:tblCellMar>
            <w:top w:w="0" w:type="dxa"/>
            <w:left w:w="108" w:type="dxa"/>
            <w:bottom w:w="0" w:type="dxa"/>
            <w:right w:w="108" w:type="dxa"/>
          </w:tblCellMar>
        </w:tblPrEx>
        <w:trPr>
          <w:trHeight w:val="600" w:hRule="atLeast"/>
          <w:tblHeader/>
        </w:trPr>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eastAsiaTheme="minorEastAsia"/>
                <w:b/>
                <w:bCs/>
                <w:color w:val="000000"/>
                <w:kern w:val="0"/>
                <w:szCs w:val="21"/>
              </w:rPr>
            </w:pPr>
            <w:r>
              <w:rPr>
                <w:rFonts w:hint="eastAsia" w:ascii="宋体" w:hAnsi="宋体" w:cs="宋体" w:eastAsiaTheme="minorEastAsia"/>
                <w:b/>
                <w:bCs/>
                <w:color w:val="000000"/>
                <w:kern w:val="0"/>
                <w:szCs w:val="21"/>
              </w:rPr>
              <w:t>序号</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eastAsiaTheme="minorEastAsia"/>
                <w:b/>
                <w:bCs/>
                <w:color w:val="000000"/>
                <w:kern w:val="0"/>
                <w:szCs w:val="21"/>
              </w:rPr>
            </w:pPr>
            <w:r>
              <w:rPr>
                <w:rFonts w:hint="eastAsia" w:ascii="宋体" w:hAnsi="宋体" w:cs="宋体" w:eastAsiaTheme="minorEastAsia"/>
                <w:b/>
                <w:bCs/>
                <w:color w:val="000000"/>
                <w:kern w:val="0"/>
                <w:szCs w:val="21"/>
              </w:rPr>
              <w:t>指标项</w:t>
            </w:r>
          </w:p>
        </w:tc>
        <w:tc>
          <w:tcPr>
            <w:tcW w:w="5528" w:type="dxa"/>
            <w:tcBorders>
              <w:top w:val="single" w:color="000000" w:sz="4" w:space="0"/>
              <w:left w:val="nil"/>
              <w:bottom w:val="single" w:color="000000" w:sz="4" w:space="0"/>
              <w:right w:val="single" w:color="000000" w:sz="4" w:space="0"/>
            </w:tcBorders>
            <w:shd w:val="clear" w:color="auto" w:fill="auto"/>
            <w:vAlign w:val="center"/>
          </w:tcPr>
          <w:p>
            <w:pPr>
              <w:jc w:val="center"/>
              <w:rPr>
                <w:rFonts w:ascii="宋体" w:hAnsi="宋体" w:cs="宋体" w:eastAsiaTheme="minorEastAsia"/>
                <w:b/>
                <w:bCs/>
                <w:color w:val="000000"/>
                <w:kern w:val="0"/>
                <w:szCs w:val="21"/>
              </w:rPr>
            </w:pPr>
            <w:r>
              <w:rPr>
                <w:rFonts w:hint="eastAsia" w:ascii="宋体" w:hAnsi="宋体" w:cs="宋体" w:eastAsiaTheme="minorEastAsia"/>
                <w:b/>
                <w:bCs/>
                <w:color w:val="000000"/>
                <w:kern w:val="0"/>
                <w:szCs w:val="21"/>
              </w:rPr>
              <w:t>指标要求</w:t>
            </w:r>
          </w:p>
        </w:tc>
        <w:tc>
          <w:tcPr>
            <w:tcW w:w="788" w:type="dxa"/>
            <w:tcBorders>
              <w:top w:val="single" w:color="000000" w:sz="4" w:space="0"/>
              <w:left w:val="nil"/>
              <w:bottom w:val="single" w:color="000000" w:sz="4" w:space="0"/>
              <w:right w:val="single" w:color="000000" w:sz="4" w:space="0"/>
            </w:tcBorders>
            <w:shd w:val="clear" w:color="auto" w:fill="auto"/>
            <w:vAlign w:val="center"/>
          </w:tcPr>
          <w:p>
            <w:pPr>
              <w:jc w:val="center"/>
              <w:rPr>
                <w:rFonts w:ascii="宋体" w:hAnsi="宋体" w:cs="宋体" w:eastAsiaTheme="minorEastAsia"/>
                <w:b/>
                <w:bCs/>
                <w:color w:val="000000"/>
                <w:kern w:val="0"/>
                <w:szCs w:val="21"/>
              </w:rPr>
            </w:pPr>
            <w:r>
              <w:rPr>
                <w:rFonts w:hint="eastAsia" w:ascii="宋体" w:hAnsi="宋体" w:cs="宋体" w:eastAsiaTheme="minorEastAsia"/>
                <w:b/>
                <w:bCs/>
                <w:color w:val="000000"/>
                <w:kern w:val="0"/>
                <w:szCs w:val="21"/>
              </w:rPr>
              <w:t>证明材料要求</w:t>
            </w:r>
          </w:p>
        </w:tc>
      </w:tr>
      <w:tr>
        <w:tblPrEx>
          <w:tblCellMar>
            <w:top w:w="0" w:type="dxa"/>
            <w:left w:w="108" w:type="dxa"/>
            <w:bottom w:w="0" w:type="dxa"/>
            <w:right w:w="108" w:type="dxa"/>
          </w:tblCellMar>
        </w:tblPrEx>
        <w:trPr>
          <w:trHeight w:val="3348" w:hRule="atLeast"/>
        </w:trPr>
        <w:tc>
          <w:tcPr>
            <w:tcW w:w="427"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1</w:t>
            </w:r>
          </w:p>
        </w:tc>
        <w:tc>
          <w:tcPr>
            <w:tcW w:w="851" w:type="dxa"/>
            <w:tcBorders>
              <w:top w:val="single" w:color="000000" w:sz="4" w:space="0"/>
              <w:left w:val="single" w:color="000000" w:sz="4" w:space="0"/>
              <w:bottom w:val="nil"/>
              <w:right w:val="single" w:color="000000" w:sz="4" w:space="0"/>
            </w:tcBorders>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硬件要求</w:t>
            </w:r>
          </w:p>
        </w:tc>
        <w:tc>
          <w:tcPr>
            <w:tcW w:w="5528" w:type="dxa"/>
            <w:tcBorders>
              <w:top w:val="single" w:color="000000" w:sz="4" w:space="0"/>
              <w:left w:val="nil"/>
              <w:bottom w:val="single" w:color="000000" w:sz="4" w:space="0"/>
              <w:right w:val="single" w:color="000000" w:sz="4" w:space="0"/>
            </w:tcBorders>
            <w:shd w:val="clear" w:color="auto" w:fill="auto"/>
            <w:vAlign w:val="center"/>
          </w:tcPr>
          <w:p>
            <w:pPr>
              <w:rPr>
                <w:rFonts w:ascii="宋体" w:hAnsi="宋体" w:cs="宋体" w:eastAsiaTheme="minorEastAsia"/>
                <w:color w:val="000000"/>
                <w:kern w:val="0"/>
                <w:szCs w:val="21"/>
              </w:rPr>
            </w:pPr>
            <w:r>
              <w:rPr>
                <w:rFonts w:hint="eastAsia" w:ascii="宋体" w:hAnsi="宋体" w:cs="宋体" w:eastAsiaTheme="minorEastAsia"/>
                <w:color w:val="000000"/>
                <w:kern w:val="0"/>
                <w:szCs w:val="21"/>
              </w:rPr>
              <w:t>1、CPU：</w:t>
            </w:r>
            <w:bookmarkStart w:id="112" w:name="OLE_LINK1"/>
            <w:r>
              <w:rPr>
                <w:rFonts w:hint="eastAsia" w:ascii="宋体" w:hAnsi="宋体" w:cs="宋体" w:eastAsiaTheme="minorEastAsia"/>
                <w:color w:val="000000"/>
                <w:kern w:val="0"/>
                <w:szCs w:val="21"/>
              </w:rPr>
              <w:t>不低于</w:t>
            </w:r>
            <w:bookmarkEnd w:id="112"/>
            <w:r>
              <w:rPr>
                <w:rFonts w:hint="eastAsia" w:ascii="宋体" w:hAnsi="宋体" w:cs="宋体" w:eastAsiaTheme="minorEastAsia"/>
                <w:color w:val="000000"/>
                <w:kern w:val="0"/>
                <w:szCs w:val="21"/>
              </w:rPr>
              <w:t>2.4GHz/16核24线程</w:t>
            </w:r>
            <w:r>
              <w:rPr>
                <w:rFonts w:hint="eastAsia" w:ascii="宋体" w:hAnsi="宋体" w:cs="宋体" w:eastAsiaTheme="minorEastAsia"/>
                <w:color w:val="000000"/>
                <w:kern w:val="0"/>
                <w:szCs w:val="21"/>
                <w:lang w:eastAsia="zh-CN"/>
              </w:rPr>
              <w:t>、</w:t>
            </w:r>
            <w:r>
              <w:rPr>
                <w:rFonts w:hint="eastAsia" w:ascii="宋体" w:hAnsi="宋体" w:cs="宋体" w:eastAsiaTheme="minorEastAsia"/>
                <w:color w:val="000000"/>
                <w:kern w:val="0"/>
                <w:szCs w:val="21"/>
              </w:rPr>
              <w:t>二级缓存14 MB</w:t>
            </w:r>
            <w:r>
              <w:rPr>
                <w:rFonts w:hint="eastAsia" w:ascii="宋体" w:hAnsi="宋体" w:cs="宋体" w:eastAsiaTheme="minorEastAsia"/>
                <w:color w:val="000000"/>
                <w:kern w:val="0"/>
                <w:szCs w:val="21"/>
              </w:rPr>
              <w:br w:type="textWrapping"/>
            </w:r>
            <w:r>
              <w:rPr>
                <w:rFonts w:hint="eastAsia" w:ascii="宋体" w:hAnsi="宋体" w:cs="宋体" w:eastAsiaTheme="minorEastAsia"/>
                <w:color w:val="000000"/>
                <w:kern w:val="0"/>
                <w:szCs w:val="21"/>
              </w:rPr>
              <w:t>2、内存：不低于64GB DDR5内存</w:t>
            </w:r>
            <w:r>
              <w:rPr>
                <w:rFonts w:hint="eastAsia" w:ascii="宋体" w:hAnsi="宋体" w:cs="宋体" w:eastAsiaTheme="minorEastAsia"/>
                <w:color w:val="000000"/>
                <w:kern w:val="0"/>
                <w:szCs w:val="21"/>
              </w:rPr>
              <w:br w:type="textWrapping"/>
            </w:r>
            <w:r>
              <w:rPr>
                <w:rFonts w:hint="eastAsia" w:ascii="宋体" w:hAnsi="宋体" w:cs="宋体" w:eastAsiaTheme="minorEastAsia"/>
                <w:color w:val="000000"/>
                <w:kern w:val="0"/>
                <w:szCs w:val="21"/>
              </w:rPr>
              <w:t>3、存储：不低于8TBSSD硬盘</w:t>
            </w:r>
            <w:r>
              <w:rPr>
                <w:rFonts w:hint="eastAsia" w:ascii="宋体" w:hAnsi="宋体" w:cs="宋体" w:eastAsiaTheme="minorEastAsia"/>
                <w:color w:val="000000"/>
                <w:kern w:val="0"/>
                <w:szCs w:val="21"/>
              </w:rPr>
              <w:br w:type="textWrapping"/>
            </w:r>
            <w:r>
              <w:rPr>
                <w:rFonts w:hint="eastAsia" w:ascii="宋体" w:hAnsi="宋体" w:cs="宋体" w:eastAsiaTheme="minorEastAsia"/>
                <w:color w:val="000000"/>
                <w:kern w:val="0"/>
                <w:szCs w:val="21"/>
              </w:rPr>
              <w:t>4、显卡：不低于4G独立显卡</w:t>
            </w:r>
            <w:r>
              <w:rPr>
                <w:rFonts w:hint="eastAsia" w:ascii="宋体" w:hAnsi="宋体" w:cs="宋体" w:eastAsiaTheme="minorEastAsia"/>
                <w:color w:val="000000"/>
                <w:kern w:val="0"/>
                <w:szCs w:val="21"/>
              </w:rPr>
              <w:br w:type="textWrapping"/>
            </w:r>
            <w:r>
              <w:rPr>
                <w:rFonts w:hint="eastAsia" w:ascii="宋体" w:hAnsi="宋体" w:cs="宋体" w:eastAsiaTheme="minorEastAsia"/>
                <w:color w:val="000000"/>
                <w:kern w:val="0"/>
                <w:szCs w:val="21"/>
              </w:rPr>
              <w:t>5、显示屏：外接不小于40寸高清显示屏；主机内置不小于12.6寸手机智能取证状态触控屏</w:t>
            </w:r>
            <w:r>
              <w:rPr>
                <w:rFonts w:hint="eastAsia" w:ascii="宋体" w:hAnsi="宋体" w:cs="宋体" w:eastAsiaTheme="minorEastAsia"/>
                <w:color w:val="000000"/>
                <w:kern w:val="0"/>
                <w:szCs w:val="21"/>
              </w:rPr>
              <w:br w:type="textWrapping"/>
            </w:r>
            <w:r>
              <w:rPr>
                <w:rFonts w:hint="eastAsia" w:ascii="宋体" w:hAnsi="宋体" w:cs="宋体" w:eastAsiaTheme="minorEastAsia"/>
                <w:color w:val="000000"/>
                <w:kern w:val="0"/>
                <w:szCs w:val="21"/>
              </w:rPr>
              <w:t>6、接口：不少于26个USB接口，包括USB-TypeC/3.2/3.0/2.0，其中主机前面板不少于16个高速SUB3.0独立接口；取证专用多功能只读锁*1，包含SATA/IDE/USB3.0/CF/SD/MS/TF等多种接口格式；内置3盘位3.5寸SATA接口数据转储硬盘仓</w:t>
            </w:r>
            <w:r>
              <w:rPr>
                <w:rFonts w:hint="eastAsia" w:ascii="宋体" w:hAnsi="宋体" w:cs="宋体" w:eastAsiaTheme="minorEastAsia"/>
                <w:color w:val="000000"/>
                <w:kern w:val="0"/>
                <w:szCs w:val="21"/>
              </w:rPr>
              <w:br w:type="textWrapping"/>
            </w:r>
            <w:r>
              <w:rPr>
                <w:rFonts w:hint="eastAsia" w:ascii="宋体" w:hAnsi="宋体" w:cs="宋体" w:eastAsiaTheme="minorEastAsia"/>
                <w:color w:val="000000"/>
                <w:kern w:val="0"/>
                <w:szCs w:val="21"/>
              </w:rPr>
              <w:t>7、光驱和网络：不少于1个蓝光高速刻录机；不少于1个千兆网口</w:t>
            </w:r>
            <w:r>
              <w:rPr>
                <w:rFonts w:hint="eastAsia" w:ascii="宋体" w:hAnsi="宋体" w:cs="宋体" w:eastAsiaTheme="minorEastAsia"/>
                <w:color w:val="000000"/>
                <w:kern w:val="0"/>
                <w:szCs w:val="21"/>
              </w:rPr>
              <w:br w:type="textWrapping"/>
            </w:r>
            <w:r>
              <w:rPr>
                <w:rFonts w:hint="eastAsia" w:ascii="宋体" w:hAnsi="宋体" w:cs="宋体" w:eastAsiaTheme="minorEastAsia"/>
                <w:color w:val="000000"/>
                <w:kern w:val="0"/>
                <w:szCs w:val="21"/>
              </w:rPr>
              <w:t>8、其他工具：手机取证配套专用工具</w:t>
            </w:r>
            <w:r>
              <w:rPr>
                <w:rFonts w:hint="eastAsia" w:ascii="宋体" w:hAnsi="宋体" w:cs="宋体" w:eastAsiaTheme="minorEastAsia"/>
                <w:color w:val="000000"/>
                <w:kern w:val="0"/>
                <w:szCs w:val="21"/>
                <w:lang w:val="en-US" w:eastAsia="zh-CN"/>
              </w:rPr>
              <w:t>1</w:t>
            </w:r>
            <w:r>
              <w:rPr>
                <w:rFonts w:hint="eastAsia" w:ascii="宋体" w:hAnsi="宋体" w:cs="宋体" w:eastAsiaTheme="minorEastAsia"/>
                <w:color w:val="000000"/>
                <w:kern w:val="0"/>
                <w:szCs w:val="21"/>
              </w:rPr>
              <w:t>套</w:t>
            </w:r>
          </w:p>
        </w:tc>
        <w:tc>
          <w:tcPr>
            <w:tcW w:w="788" w:type="dxa"/>
            <w:tcBorders>
              <w:top w:val="nil"/>
              <w:left w:val="nil"/>
              <w:bottom w:val="single" w:color="000000" w:sz="4" w:space="0"/>
              <w:right w:val="single" w:color="000000" w:sz="4" w:space="0"/>
            </w:tcBorders>
            <w:shd w:val="clear" w:color="auto" w:fill="auto"/>
            <w:vAlign w:val="center"/>
          </w:tcPr>
          <w:p>
            <w:pPr>
              <w:jc w:val="center"/>
              <w:rPr>
                <w:rFonts w:ascii="宋体" w:hAnsi="宋体" w:cs="宋体" w:eastAsiaTheme="minorEastAsia"/>
                <w:b/>
                <w:bCs/>
                <w:color w:val="000000"/>
                <w:kern w:val="0"/>
                <w:szCs w:val="21"/>
              </w:rPr>
            </w:pPr>
            <w:r>
              <w:rPr>
                <w:rFonts w:hint="eastAsia" w:asciiTheme="minorEastAsia" w:hAnsiTheme="minorEastAsia" w:eastAsiaTheme="minorEastAsia" w:cstheme="minorEastAsia"/>
                <w:bCs/>
                <w:color w:val="000000"/>
                <w:kern w:val="0"/>
                <w:szCs w:val="21"/>
                <w:lang w:bidi="ar"/>
              </w:rPr>
              <w:t>/</w:t>
            </w:r>
          </w:p>
        </w:tc>
      </w:tr>
      <w:tr>
        <w:tblPrEx>
          <w:tblCellMar>
            <w:top w:w="0" w:type="dxa"/>
            <w:left w:w="108" w:type="dxa"/>
            <w:bottom w:w="0" w:type="dxa"/>
            <w:right w:w="108" w:type="dxa"/>
          </w:tblCellMar>
        </w:tblPrEx>
        <w:trPr>
          <w:trHeight w:val="212" w:hRule="atLeast"/>
        </w:trPr>
        <w:tc>
          <w:tcPr>
            <w:tcW w:w="427"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2</w:t>
            </w:r>
          </w:p>
        </w:tc>
        <w:tc>
          <w:tcPr>
            <w:tcW w:w="85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Arial" w:eastAsiaTheme="minorEastAsia"/>
                <w:color w:val="000000"/>
                <w:kern w:val="0"/>
                <w:szCs w:val="21"/>
              </w:rPr>
            </w:pPr>
            <w:r>
              <w:rPr>
                <w:rFonts w:ascii="宋体" w:hAnsi="宋体" w:cs="Arial" w:eastAsiaTheme="minorEastAsia"/>
                <w:color w:val="000000"/>
                <w:kern w:val="0"/>
                <w:szCs w:val="21"/>
              </w:rPr>
              <w:t>取证能力</w:t>
            </w:r>
          </w:p>
        </w:tc>
        <w:tc>
          <w:tcPr>
            <w:tcW w:w="5528" w:type="dxa"/>
            <w:tcBorders>
              <w:top w:val="single" w:color="000000" w:sz="4" w:space="0"/>
              <w:left w:val="nil"/>
              <w:bottom w:val="single" w:color="000000" w:sz="4" w:space="0"/>
              <w:right w:val="single" w:color="000000" w:sz="4" w:space="0"/>
            </w:tcBorders>
            <w:shd w:val="clear" w:color="auto" w:fill="auto"/>
            <w:vAlign w:val="center"/>
          </w:tcPr>
          <w:p>
            <w:pPr>
              <w:rPr>
                <w:rFonts w:ascii="宋体" w:hAnsi="宋体" w:cs="宋体" w:eastAsiaTheme="minorEastAsia"/>
                <w:color w:val="000000"/>
                <w:kern w:val="0"/>
                <w:szCs w:val="21"/>
              </w:rPr>
            </w:pPr>
            <w:r>
              <w:rPr>
                <w:rFonts w:hint="eastAsia" w:ascii="宋体" w:hAnsi="宋体" w:cs="宋体" w:eastAsiaTheme="minorEastAsia"/>
                <w:color w:val="000000"/>
                <w:kern w:val="0"/>
                <w:szCs w:val="21"/>
              </w:rPr>
              <w:t>支持iOS、安卓、鸿蒙系统智能手机、平板取证</w:t>
            </w:r>
          </w:p>
        </w:tc>
        <w:tc>
          <w:tcPr>
            <w:tcW w:w="788" w:type="dxa"/>
            <w:tcBorders>
              <w:top w:val="nil"/>
              <w:left w:val="nil"/>
              <w:bottom w:val="single" w:color="000000" w:sz="4" w:space="0"/>
              <w:right w:val="single" w:color="000000" w:sz="4" w:space="0"/>
            </w:tcBorders>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w:t>
            </w:r>
          </w:p>
        </w:tc>
      </w:tr>
      <w:tr>
        <w:tblPrEx>
          <w:tblCellMar>
            <w:top w:w="0" w:type="dxa"/>
            <w:left w:w="108" w:type="dxa"/>
            <w:bottom w:w="0" w:type="dxa"/>
            <w:right w:w="108" w:type="dxa"/>
          </w:tblCellMar>
        </w:tblPrEx>
        <w:trPr>
          <w:trHeight w:val="600" w:hRule="atLeast"/>
        </w:trPr>
        <w:tc>
          <w:tcPr>
            <w:tcW w:w="427"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3</w:t>
            </w: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pPr>
              <w:rPr>
                <w:rFonts w:ascii="宋体" w:hAnsi="宋体" w:cs="Arial" w:eastAsiaTheme="minorEastAsia"/>
                <w:color w:val="000000"/>
                <w:kern w:val="0"/>
                <w:szCs w:val="21"/>
              </w:rPr>
            </w:pPr>
          </w:p>
        </w:tc>
        <w:tc>
          <w:tcPr>
            <w:tcW w:w="5528" w:type="dxa"/>
            <w:tcBorders>
              <w:top w:val="single" w:color="000000" w:sz="4" w:space="0"/>
              <w:left w:val="nil"/>
              <w:bottom w:val="single" w:color="000000" w:sz="4" w:space="0"/>
              <w:right w:val="single" w:color="000000" w:sz="4" w:space="0"/>
            </w:tcBorders>
            <w:shd w:val="clear" w:color="auto" w:fill="auto"/>
            <w:vAlign w:val="center"/>
          </w:tcPr>
          <w:p>
            <w:pPr>
              <w:rPr>
                <w:rFonts w:ascii="宋体" w:hAnsi="宋体" w:cs="宋体" w:eastAsiaTheme="minorEastAsia"/>
                <w:color w:val="000000"/>
                <w:kern w:val="0"/>
                <w:szCs w:val="21"/>
              </w:rPr>
            </w:pPr>
            <w:r>
              <w:rPr>
                <w:rFonts w:hint="eastAsia" w:ascii="宋体" w:hAnsi="宋体" w:cs="宋体" w:eastAsiaTheme="minorEastAsia"/>
                <w:color w:val="000000"/>
                <w:kern w:val="0"/>
                <w:szCs w:val="21"/>
              </w:rPr>
              <w:t>支持iOS备份文件读取、iOS逻辑镜像提取等多种方式，支持自动为iOS备份设置密码，在已知密码情况下实现对iOS加密备份的解析</w:t>
            </w:r>
          </w:p>
        </w:tc>
        <w:tc>
          <w:tcPr>
            <w:tcW w:w="788" w:type="dxa"/>
            <w:tcBorders>
              <w:top w:val="nil"/>
              <w:left w:val="nil"/>
              <w:bottom w:val="single" w:color="000000" w:sz="4" w:space="0"/>
              <w:right w:val="single" w:color="000000" w:sz="4" w:space="0"/>
            </w:tcBorders>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w:t>
            </w:r>
          </w:p>
        </w:tc>
      </w:tr>
      <w:tr>
        <w:tblPrEx>
          <w:tblCellMar>
            <w:top w:w="0" w:type="dxa"/>
            <w:left w:w="108" w:type="dxa"/>
            <w:bottom w:w="0" w:type="dxa"/>
            <w:right w:w="108" w:type="dxa"/>
          </w:tblCellMar>
        </w:tblPrEx>
        <w:trPr>
          <w:trHeight w:val="600" w:hRule="atLeast"/>
        </w:trPr>
        <w:tc>
          <w:tcPr>
            <w:tcW w:w="427"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4</w:t>
            </w: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pPr>
              <w:rPr>
                <w:rFonts w:ascii="宋体" w:hAnsi="宋体" w:cs="Arial" w:eastAsiaTheme="minorEastAsia"/>
                <w:color w:val="000000"/>
                <w:kern w:val="0"/>
                <w:szCs w:val="21"/>
              </w:rPr>
            </w:pPr>
          </w:p>
        </w:tc>
        <w:tc>
          <w:tcPr>
            <w:tcW w:w="5528" w:type="dxa"/>
            <w:tcBorders>
              <w:top w:val="single" w:color="000000" w:sz="4" w:space="0"/>
              <w:left w:val="nil"/>
              <w:bottom w:val="single" w:color="000000" w:sz="4" w:space="0"/>
              <w:right w:val="single" w:color="000000" w:sz="4" w:space="0"/>
            </w:tcBorders>
            <w:shd w:val="clear" w:color="auto" w:fill="auto"/>
            <w:vAlign w:val="center"/>
          </w:tcPr>
          <w:p>
            <w:pPr>
              <w:rPr>
                <w:rFonts w:ascii="宋体" w:hAnsi="宋体" w:cs="宋体" w:eastAsiaTheme="minorEastAsia"/>
                <w:color w:val="000000"/>
                <w:kern w:val="0"/>
                <w:szCs w:val="21"/>
              </w:rPr>
            </w:pPr>
            <w:r>
              <w:rPr>
                <w:rFonts w:hint="eastAsia" w:ascii="宋体" w:hAnsi="宋体" w:cs="宋体" w:eastAsiaTheme="minorEastAsia"/>
                <w:color w:val="000000"/>
                <w:kern w:val="0"/>
                <w:szCs w:val="21"/>
              </w:rPr>
              <w:t>支持Android和iOS手机直连获取、备份获取、逻辑镜像导入解析、物理镜像导入解析、安卓仿真镜像导入解析、手机数据文件夹导入解析、手机数据压缩包导入解析、手机助手备份数据导入等多种获取方法</w:t>
            </w:r>
          </w:p>
        </w:tc>
        <w:tc>
          <w:tcPr>
            <w:tcW w:w="788" w:type="dxa"/>
            <w:tcBorders>
              <w:top w:val="nil"/>
              <w:left w:val="nil"/>
              <w:bottom w:val="single" w:color="000000" w:sz="4" w:space="0"/>
              <w:right w:val="single" w:color="000000" w:sz="4" w:space="0"/>
            </w:tcBorders>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w:t>
            </w:r>
          </w:p>
        </w:tc>
      </w:tr>
      <w:tr>
        <w:tblPrEx>
          <w:tblCellMar>
            <w:top w:w="0" w:type="dxa"/>
            <w:left w:w="108" w:type="dxa"/>
            <w:bottom w:w="0" w:type="dxa"/>
            <w:right w:w="108" w:type="dxa"/>
          </w:tblCellMar>
        </w:tblPrEx>
        <w:trPr>
          <w:trHeight w:val="600" w:hRule="atLeast"/>
        </w:trPr>
        <w:tc>
          <w:tcPr>
            <w:tcW w:w="427"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5</w:t>
            </w: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pPr>
              <w:rPr>
                <w:rFonts w:ascii="宋体" w:hAnsi="宋体" w:cs="Arial" w:eastAsiaTheme="minorEastAsia"/>
                <w:color w:val="000000"/>
                <w:kern w:val="0"/>
                <w:szCs w:val="21"/>
              </w:rPr>
            </w:pPr>
          </w:p>
        </w:tc>
        <w:tc>
          <w:tcPr>
            <w:tcW w:w="5528" w:type="dxa"/>
            <w:tcBorders>
              <w:top w:val="single" w:color="000000" w:sz="4" w:space="0"/>
              <w:left w:val="nil"/>
              <w:bottom w:val="single" w:color="000000" w:sz="4" w:space="0"/>
              <w:right w:val="single" w:color="000000" w:sz="4" w:space="0"/>
            </w:tcBorders>
            <w:shd w:val="clear" w:color="auto" w:fill="auto"/>
            <w:vAlign w:val="center"/>
          </w:tcPr>
          <w:p>
            <w:pPr>
              <w:rPr>
                <w:rFonts w:ascii="宋体" w:hAnsi="宋体" w:cs="宋体" w:eastAsiaTheme="minorEastAsia"/>
                <w:color w:val="000000"/>
                <w:kern w:val="0"/>
                <w:szCs w:val="21"/>
              </w:rPr>
            </w:pPr>
            <w:r>
              <w:rPr>
                <w:rFonts w:hint="eastAsia" w:ascii="宋体" w:hAnsi="宋体" w:cs="宋体" w:eastAsiaTheme="minorEastAsia"/>
                <w:color w:val="000000"/>
                <w:kern w:val="0"/>
                <w:szCs w:val="21"/>
              </w:rPr>
              <w:t>华为、小米、VIVO、OPPO手机直连支持高级备份、助手备份等方式提取数据，无需降级应用、无需ROOT手机、无需物理镜像，可提取应用包括通话记录、通讯录、短信、QQ、微信</w:t>
            </w:r>
          </w:p>
        </w:tc>
        <w:tc>
          <w:tcPr>
            <w:tcW w:w="788" w:type="dxa"/>
            <w:tcBorders>
              <w:top w:val="nil"/>
              <w:left w:val="nil"/>
              <w:bottom w:val="single" w:color="000000" w:sz="4" w:space="0"/>
              <w:right w:val="single" w:color="000000" w:sz="4" w:space="0"/>
            </w:tcBorders>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w:t>
            </w:r>
          </w:p>
        </w:tc>
      </w:tr>
      <w:tr>
        <w:tblPrEx>
          <w:tblCellMar>
            <w:top w:w="0" w:type="dxa"/>
            <w:left w:w="108" w:type="dxa"/>
            <w:bottom w:w="0" w:type="dxa"/>
            <w:right w:w="108" w:type="dxa"/>
          </w:tblCellMar>
        </w:tblPrEx>
        <w:trPr>
          <w:trHeight w:val="600" w:hRule="atLeast"/>
        </w:trPr>
        <w:tc>
          <w:tcPr>
            <w:tcW w:w="427"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6</w:t>
            </w: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pPr>
              <w:rPr>
                <w:rFonts w:ascii="宋体" w:hAnsi="宋体" w:cs="Arial" w:eastAsiaTheme="minorEastAsia"/>
                <w:color w:val="000000"/>
                <w:kern w:val="0"/>
                <w:szCs w:val="21"/>
              </w:rPr>
            </w:pPr>
          </w:p>
        </w:tc>
        <w:tc>
          <w:tcPr>
            <w:tcW w:w="5528" w:type="dxa"/>
            <w:tcBorders>
              <w:top w:val="single" w:color="000000" w:sz="4" w:space="0"/>
              <w:left w:val="nil"/>
              <w:bottom w:val="single" w:color="000000" w:sz="4" w:space="0"/>
              <w:right w:val="single" w:color="000000" w:sz="4" w:space="0"/>
            </w:tcBorders>
            <w:shd w:val="clear" w:color="auto" w:fill="auto"/>
            <w:vAlign w:val="center"/>
          </w:tcPr>
          <w:p>
            <w:pPr>
              <w:rPr>
                <w:rFonts w:ascii="宋体" w:hAnsi="宋体" w:cs="宋体" w:eastAsiaTheme="minorEastAsia"/>
                <w:color w:val="000000"/>
                <w:kern w:val="0"/>
                <w:szCs w:val="21"/>
              </w:rPr>
            </w:pPr>
            <w:r>
              <w:rPr>
                <w:rFonts w:hint="eastAsia" w:ascii="宋体" w:hAnsi="宋体" w:cs="宋体" w:eastAsiaTheme="minorEastAsia"/>
                <w:color w:val="000000"/>
                <w:kern w:val="0"/>
                <w:szCs w:val="21"/>
              </w:rPr>
              <w:t>支持检材数据按应用类型展现、按文件系统展现，获取的文件支持十六进制展示及搜索，支持检材文件系统数据按文件类型进行分类展示</w:t>
            </w:r>
          </w:p>
        </w:tc>
        <w:tc>
          <w:tcPr>
            <w:tcW w:w="788" w:type="dxa"/>
            <w:tcBorders>
              <w:top w:val="nil"/>
              <w:left w:val="nil"/>
              <w:bottom w:val="single" w:color="000000" w:sz="4" w:space="0"/>
              <w:right w:val="single" w:color="000000" w:sz="4" w:space="0"/>
            </w:tcBorders>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　</w:t>
            </w:r>
            <w:r>
              <w:rPr>
                <w:rFonts w:hint="eastAsia" w:asciiTheme="minorEastAsia" w:hAnsiTheme="minorEastAsia" w:eastAsiaTheme="minorEastAsia" w:cstheme="minorEastAsia"/>
                <w:bCs/>
                <w:color w:val="000000"/>
                <w:kern w:val="0"/>
                <w:szCs w:val="21"/>
                <w:lang w:bidi="ar"/>
              </w:rPr>
              <w:t>/</w:t>
            </w:r>
          </w:p>
        </w:tc>
      </w:tr>
      <w:tr>
        <w:tblPrEx>
          <w:tblCellMar>
            <w:top w:w="0" w:type="dxa"/>
            <w:left w:w="108" w:type="dxa"/>
            <w:bottom w:w="0" w:type="dxa"/>
            <w:right w:w="108" w:type="dxa"/>
          </w:tblCellMar>
        </w:tblPrEx>
        <w:trPr>
          <w:trHeight w:val="600" w:hRule="atLeast"/>
        </w:trPr>
        <w:tc>
          <w:tcPr>
            <w:tcW w:w="427"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7</w:t>
            </w: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pPr>
              <w:rPr>
                <w:rFonts w:ascii="宋体" w:hAnsi="宋体" w:cs="Arial" w:eastAsiaTheme="minorEastAsia"/>
                <w:color w:val="000000"/>
                <w:kern w:val="0"/>
                <w:szCs w:val="21"/>
              </w:rPr>
            </w:pPr>
          </w:p>
        </w:tc>
        <w:tc>
          <w:tcPr>
            <w:tcW w:w="5528" w:type="dxa"/>
            <w:tcBorders>
              <w:top w:val="single" w:color="000000" w:sz="4" w:space="0"/>
              <w:left w:val="nil"/>
              <w:bottom w:val="single" w:color="000000" w:sz="4" w:space="0"/>
              <w:right w:val="single" w:color="000000" w:sz="4" w:space="0"/>
            </w:tcBorders>
            <w:shd w:val="clear" w:color="auto" w:fill="auto"/>
            <w:vAlign w:val="center"/>
          </w:tcPr>
          <w:p>
            <w:pPr>
              <w:rPr>
                <w:rFonts w:ascii="宋体" w:hAnsi="宋体" w:cs="宋体" w:eastAsiaTheme="minorEastAsia"/>
                <w:color w:val="000000"/>
                <w:kern w:val="0"/>
                <w:szCs w:val="21"/>
              </w:rPr>
            </w:pPr>
            <w:r>
              <w:rPr>
                <w:rFonts w:hint="eastAsia" w:ascii="宋体" w:hAnsi="宋体" w:cs="宋体" w:eastAsiaTheme="minorEastAsia"/>
                <w:color w:val="000000"/>
                <w:kern w:val="0"/>
                <w:szCs w:val="21"/>
              </w:rPr>
              <w:t>取证结果支持一键导出和自定义导出，可设置报告的基础设置、生成项目、报告格式等，支持PDF</w:t>
            </w:r>
            <w:r>
              <w:rPr>
                <w:rFonts w:hint="eastAsia" w:ascii="宋体" w:hAnsi="宋体" w:cs="宋体" w:eastAsiaTheme="minorEastAsia"/>
                <w:color w:val="000000"/>
                <w:kern w:val="0"/>
                <w:szCs w:val="21"/>
                <w:lang w:eastAsia="zh-CN"/>
              </w:rPr>
              <w:t>、</w:t>
            </w:r>
            <w:r>
              <w:rPr>
                <w:rFonts w:hint="eastAsia" w:ascii="宋体" w:hAnsi="宋体" w:cs="宋体" w:eastAsiaTheme="minorEastAsia"/>
                <w:color w:val="000000"/>
                <w:kern w:val="0"/>
                <w:szCs w:val="21"/>
              </w:rPr>
              <w:t>HTML格式导出</w:t>
            </w:r>
          </w:p>
        </w:tc>
        <w:tc>
          <w:tcPr>
            <w:tcW w:w="788" w:type="dxa"/>
            <w:tcBorders>
              <w:top w:val="nil"/>
              <w:left w:val="nil"/>
              <w:bottom w:val="single" w:color="000000" w:sz="4" w:space="0"/>
              <w:right w:val="single" w:color="000000" w:sz="4" w:space="0"/>
            </w:tcBorders>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w:t>
            </w:r>
          </w:p>
        </w:tc>
      </w:tr>
      <w:tr>
        <w:tblPrEx>
          <w:tblCellMar>
            <w:top w:w="0" w:type="dxa"/>
            <w:left w:w="108" w:type="dxa"/>
            <w:bottom w:w="0" w:type="dxa"/>
            <w:right w:w="108" w:type="dxa"/>
          </w:tblCellMar>
        </w:tblPrEx>
        <w:trPr>
          <w:trHeight w:val="90" w:hRule="atLeast"/>
        </w:trPr>
        <w:tc>
          <w:tcPr>
            <w:tcW w:w="427"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8</w:t>
            </w:r>
          </w:p>
        </w:tc>
        <w:tc>
          <w:tcPr>
            <w:tcW w:w="85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数据提取、恢复和提权</w:t>
            </w:r>
          </w:p>
        </w:tc>
        <w:tc>
          <w:tcPr>
            <w:tcW w:w="5528" w:type="dxa"/>
            <w:tcBorders>
              <w:top w:val="single" w:color="000000" w:sz="4" w:space="0"/>
              <w:left w:val="nil"/>
              <w:bottom w:val="single" w:color="000000" w:sz="4" w:space="0"/>
              <w:right w:val="single" w:color="000000" w:sz="4" w:space="0"/>
            </w:tcBorders>
            <w:shd w:val="clear" w:color="auto" w:fill="auto"/>
            <w:vAlign w:val="center"/>
          </w:tcPr>
          <w:p>
            <w:pPr>
              <w:rPr>
                <w:rFonts w:ascii="宋体" w:hAnsi="宋体" w:cs="宋体" w:eastAsiaTheme="minorEastAsia"/>
                <w:color w:val="000000"/>
                <w:kern w:val="0"/>
                <w:szCs w:val="21"/>
              </w:rPr>
            </w:pPr>
            <w:r>
              <w:rPr>
                <w:rFonts w:hint="eastAsia" w:ascii="宋体" w:hAnsi="宋体" w:cs="宋体" w:eastAsiaTheme="minorEastAsia"/>
                <w:color w:val="000000"/>
                <w:kern w:val="0"/>
                <w:szCs w:val="21"/>
              </w:rPr>
              <w:t>支持可直接接入SIM卡进行数据提取</w:t>
            </w:r>
          </w:p>
        </w:tc>
        <w:tc>
          <w:tcPr>
            <w:tcW w:w="788" w:type="dxa"/>
            <w:tcBorders>
              <w:top w:val="nil"/>
              <w:left w:val="nil"/>
              <w:bottom w:val="single" w:color="000000" w:sz="4" w:space="0"/>
              <w:right w:val="single" w:color="000000" w:sz="4" w:space="0"/>
            </w:tcBorders>
            <w:shd w:val="clear" w:color="auto" w:fill="auto"/>
            <w:noWrap/>
          </w:tcPr>
          <w:p>
            <w:pPr>
              <w:jc w:val="center"/>
              <w:rPr>
                <w:rFonts w:ascii="宋体" w:hAnsi="宋体" w:cs="宋体" w:eastAsiaTheme="minorEastAsia"/>
                <w:color w:val="000000"/>
                <w:kern w:val="0"/>
                <w:szCs w:val="21"/>
              </w:rPr>
            </w:pPr>
            <w:r>
              <w:rPr>
                <w:rFonts w:hint="eastAsia" w:asciiTheme="minorEastAsia" w:hAnsiTheme="minorEastAsia" w:eastAsiaTheme="minorEastAsia" w:cstheme="minorEastAsia"/>
                <w:bCs/>
                <w:color w:val="000000"/>
                <w:kern w:val="0"/>
                <w:szCs w:val="21"/>
                <w:lang w:bidi="ar"/>
              </w:rPr>
              <w:t>/</w:t>
            </w:r>
          </w:p>
        </w:tc>
      </w:tr>
      <w:tr>
        <w:tblPrEx>
          <w:tblCellMar>
            <w:top w:w="0" w:type="dxa"/>
            <w:left w:w="108" w:type="dxa"/>
            <w:bottom w:w="0" w:type="dxa"/>
            <w:right w:w="108" w:type="dxa"/>
          </w:tblCellMar>
        </w:tblPrEx>
        <w:trPr>
          <w:trHeight w:val="600" w:hRule="atLeast"/>
        </w:trPr>
        <w:tc>
          <w:tcPr>
            <w:tcW w:w="427"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9</w:t>
            </w: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eastAsiaTheme="minorEastAsia"/>
                <w:color w:val="000000"/>
                <w:kern w:val="0"/>
                <w:szCs w:val="21"/>
              </w:rPr>
            </w:pPr>
          </w:p>
        </w:tc>
        <w:tc>
          <w:tcPr>
            <w:tcW w:w="5528" w:type="dxa"/>
            <w:tcBorders>
              <w:top w:val="single" w:color="000000" w:sz="4" w:space="0"/>
              <w:left w:val="nil"/>
              <w:bottom w:val="single" w:color="000000" w:sz="4" w:space="0"/>
              <w:right w:val="single" w:color="000000" w:sz="4" w:space="0"/>
            </w:tcBorders>
            <w:shd w:val="clear" w:color="auto" w:fill="auto"/>
            <w:vAlign w:val="center"/>
          </w:tcPr>
          <w:p>
            <w:pPr>
              <w:rPr>
                <w:rFonts w:ascii="宋体" w:hAnsi="宋体" w:cs="宋体" w:eastAsiaTheme="minorEastAsia"/>
                <w:color w:val="000000"/>
                <w:kern w:val="0"/>
                <w:szCs w:val="21"/>
              </w:rPr>
            </w:pPr>
            <w:r>
              <w:rPr>
                <w:rFonts w:hint="eastAsia" w:ascii="宋体" w:hAnsi="宋体" w:cs="宋体" w:eastAsiaTheme="minorEastAsia"/>
                <w:color w:val="000000"/>
                <w:kern w:val="0"/>
                <w:szCs w:val="21"/>
              </w:rPr>
              <w:t>支持获取手机IMEI、通讯簿、短信、通话记录、备忘录、日历、Wi-Fi/蓝牙连接记录、多媒体文件、系统日志和密码密钥等信息</w:t>
            </w:r>
          </w:p>
        </w:tc>
        <w:tc>
          <w:tcPr>
            <w:tcW w:w="788" w:type="dxa"/>
            <w:tcBorders>
              <w:top w:val="nil"/>
              <w:left w:val="nil"/>
              <w:bottom w:val="single" w:color="000000" w:sz="4" w:space="0"/>
              <w:right w:val="single" w:color="000000" w:sz="4" w:space="0"/>
            </w:tcBorders>
            <w:shd w:val="clear" w:color="auto" w:fill="auto"/>
            <w:noWrap/>
          </w:tcPr>
          <w:p>
            <w:pPr>
              <w:jc w:val="center"/>
              <w:rPr>
                <w:rFonts w:ascii="宋体" w:hAnsi="宋体" w:cs="宋体" w:eastAsiaTheme="minorEastAsia"/>
                <w:color w:val="000000"/>
                <w:kern w:val="0"/>
                <w:szCs w:val="21"/>
              </w:rPr>
            </w:pPr>
            <w:r>
              <w:rPr>
                <w:rFonts w:hint="eastAsia" w:asciiTheme="minorEastAsia" w:hAnsiTheme="minorEastAsia" w:eastAsiaTheme="minorEastAsia" w:cstheme="minorEastAsia"/>
                <w:bCs/>
                <w:color w:val="000000"/>
                <w:kern w:val="0"/>
                <w:szCs w:val="21"/>
                <w:lang w:bidi="ar"/>
              </w:rPr>
              <w:t>/</w:t>
            </w:r>
          </w:p>
        </w:tc>
      </w:tr>
      <w:tr>
        <w:tblPrEx>
          <w:tblCellMar>
            <w:top w:w="0" w:type="dxa"/>
            <w:left w:w="108" w:type="dxa"/>
            <w:bottom w:w="0" w:type="dxa"/>
            <w:right w:w="108" w:type="dxa"/>
          </w:tblCellMar>
        </w:tblPrEx>
        <w:trPr>
          <w:trHeight w:val="237" w:hRule="atLeast"/>
        </w:trPr>
        <w:tc>
          <w:tcPr>
            <w:tcW w:w="427"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10</w:t>
            </w: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eastAsiaTheme="minorEastAsia"/>
                <w:color w:val="000000"/>
                <w:kern w:val="0"/>
                <w:szCs w:val="21"/>
              </w:rPr>
            </w:pPr>
          </w:p>
        </w:tc>
        <w:tc>
          <w:tcPr>
            <w:tcW w:w="5528" w:type="dxa"/>
            <w:tcBorders>
              <w:top w:val="single" w:color="000000" w:sz="4" w:space="0"/>
              <w:left w:val="nil"/>
              <w:bottom w:val="single" w:color="000000" w:sz="4" w:space="0"/>
              <w:right w:val="single" w:color="000000" w:sz="4" w:space="0"/>
            </w:tcBorders>
            <w:shd w:val="clear" w:color="auto" w:fill="auto"/>
            <w:vAlign w:val="center"/>
          </w:tcPr>
          <w:p>
            <w:pPr>
              <w:rPr>
                <w:rFonts w:ascii="宋体" w:hAnsi="宋体" w:cs="宋体" w:eastAsiaTheme="minorEastAsia"/>
                <w:color w:val="000000"/>
                <w:kern w:val="0"/>
                <w:szCs w:val="21"/>
              </w:rPr>
            </w:pPr>
            <w:r>
              <w:rPr>
                <w:rFonts w:hint="eastAsia" w:ascii="宋体" w:hAnsi="宋体" w:cs="宋体" w:eastAsiaTheme="minorEastAsia"/>
                <w:color w:val="000000"/>
                <w:kern w:val="0"/>
                <w:szCs w:val="21"/>
              </w:rPr>
              <w:t>支持iOS加密备份的keychain解析</w:t>
            </w:r>
          </w:p>
        </w:tc>
        <w:tc>
          <w:tcPr>
            <w:tcW w:w="788" w:type="dxa"/>
            <w:tcBorders>
              <w:top w:val="nil"/>
              <w:left w:val="nil"/>
              <w:bottom w:val="single" w:color="000000" w:sz="4" w:space="0"/>
              <w:right w:val="single" w:color="000000" w:sz="4" w:space="0"/>
            </w:tcBorders>
            <w:shd w:val="clear" w:color="auto" w:fill="auto"/>
            <w:noWrap/>
          </w:tcPr>
          <w:p>
            <w:pPr>
              <w:jc w:val="center"/>
              <w:rPr>
                <w:rFonts w:ascii="宋体" w:hAnsi="宋体" w:cs="宋体" w:eastAsiaTheme="minorEastAsia"/>
                <w:color w:val="000000"/>
                <w:kern w:val="0"/>
                <w:szCs w:val="21"/>
              </w:rPr>
            </w:pPr>
            <w:r>
              <w:rPr>
                <w:rFonts w:hint="eastAsia" w:asciiTheme="minorEastAsia" w:hAnsiTheme="minorEastAsia" w:eastAsiaTheme="minorEastAsia" w:cstheme="minorEastAsia"/>
                <w:bCs/>
                <w:color w:val="000000"/>
                <w:kern w:val="0"/>
                <w:szCs w:val="21"/>
                <w:lang w:bidi="ar"/>
              </w:rPr>
              <w:t>/</w:t>
            </w:r>
          </w:p>
        </w:tc>
      </w:tr>
      <w:tr>
        <w:tblPrEx>
          <w:tblCellMar>
            <w:top w:w="0" w:type="dxa"/>
            <w:left w:w="108" w:type="dxa"/>
            <w:bottom w:w="0" w:type="dxa"/>
            <w:right w:w="108" w:type="dxa"/>
          </w:tblCellMar>
        </w:tblPrEx>
        <w:trPr>
          <w:trHeight w:val="600" w:hRule="atLeast"/>
        </w:trPr>
        <w:tc>
          <w:tcPr>
            <w:tcW w:w="427"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11</w:t>
            </w:r>
          </w:p>
        </w:tc>
        <w:tc>
          <w:tcPr>
            <w:tcW w:w="85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应用程序解析</w:t>
            </w:r>
          </w:p>
        </w:tc>
        <w:tc>
          <w:tcPr>
            <w:tcW w:w="5528" w:type="dxa"/>
            <w:tcBorders>
              <w:top w:val="single" w:color="000000" w:sz="4" w:space="0"/>
              <w:left w:val="nil"/>
              <w:bottom w:val="single" w:color="000000" w:sz="4" w:space="0"/>
              <w:right w:val="single" w:color="000000" w:sz="4" w:space="0"/>
            </w:tcBorders>
            <w:shd w:val="clear" w:color="auto" w:fill="auto"/>
            <w:vAlign w:val="center"/>
          </w:tcPr>
          <w:p>
            <w:pPr>
              <w:rPr>
                <w:rFonts w:ascii="宋体" w:hAnsi="宋体" w:cs="宋体" w:eastAsiaTheme="minorEastAsia"/>
                <w:color w:val="000000"/>
                <w:kern w:val="0"/>
                <w:szCs w:val="21"/>
              </w:rPr>
            </w:pPr>
            <w:r>
              <w:rPr>
                <w:rFonts w:hint="eastAsia" w:ascii="宋体" w:hAnsi="宋体" w:cs="宋体" w:eastAsiaTheme="minorEastAsia"/>
                <w:color w:val="000000"/>
                <w:kern w:val="0"/>
                <w:szCs w:val="21"/>
              </w:rPr>
              <w:t>支持各种即时通讯软件多媒体文件的转码，并在软件内直接播放</w:t>
            </w:r>
          </w:p>
        </w:tc>
        <w:tc>
          <w:tcPr>
            <w:tcW w:w="788" w:type="dxa"/>
            <w:tcBorders>
              <w:top w:val="nil"/>
              <w:left w:val="nil"/>
              <w:bottom w:val="single" w:color="000000" w:sz="4" w:space="0"/>
              <w:right w:val="single" w:color="000000" w:sz="4" w:space="0"/>
            </w:tcBorders>
            <w:shd w:val="clear" w:color="auto" w:fill="auto"/>
            <w:noWrap/>
          </w:tcPr>
          <w:p>
            <w:pPr>
              <w:jc w:val="center"/>
              <w:rPr>
                <w:rFonts w:ascii="宋体" w:hAnsi="宋体" w:cs="宋体" w:eastAsiaTheme="minorEastAsia"/>
                <w:color w:val="000000"/>
                <w:kern w:val="0"/>
                <w:szCs w:val="21"/>
              </w:rPr>
            </w:pPr>
            <w:r>
              <w:rPr>
                <w:rFonts w:hint="eastAsia" w:asciiTheme="minorEastAsia" w:hAnsiTheme="minorEastAsia" w:eastAsiaTheme="minorEastAsia" w:cstheme="minorEastAsia"/>
                <w:bCs/>
                <w:color w:val="000000"/>
                <w:kern w:val="0"/>
                <w:szCs w:val="21"/>
                <w:lang w:bidi="ar"/>
              </w:rPr>
              <w:t>/</w:t>
            </w:r>
          </w:p>
        </w:tc>
      </w:tr>
      <w:tr>
        <w:tblPrEx>
          <w:tblCellMar>
            <w:top w:w="0" w:type="dxa"/>
            <w:left w:w="108" w:type="dxa"/>
            <w:bottom w:w="0" w:type="dxa"/>
            <w:right w:w="108" w:type="dxa"/>
          </w:tblCellMar>
        </w:tblPrEx>
        <w:trPr>
          <w:trHeight w:val="600" w:hRule="atLeast"/>
        </w:trPr>
        <w:tc>
          <w:tcPr>
            <w:tcW w:w="427"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12</w:t>
            </w: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eastAsiaTheme="minorEastAsia"/>
                <w:color w:val="000000"/>
                <w:kern w:val="0"/>
                <w:szCs w:val="21"/>
              </w:rPr>
            </w:pPr>
          </w:p>
        </w:tc>
        <w:tc>
          <w:tcPr>
            <w:tcW w:w="5528" w:type="dxa"/>
            <w:tcBorders>
              <w:top w:val="single" w:color="000000" w:sz="4" w:space="0"/>
              <w:left w:val="nil"/>
              <w:bottom w:val="single" w:color="000000" w:sz="4" w:space="0"/>
              <w:right w:val="single" w:color="000000" w:sz="4" w:space="0"/>
            </w:tcBorders>
            <w:shd w:val="clear" w:color="auto" w:fill="auto"/>
            <w:vAlign w:val="center"/>
          </w:tcPr>
          <w:p>
            <w:pPr>
              <w:rPr>
                <w:rFonts w:ascii="宋体" w:hAnsi="宋体" w:cs="宋体" w:eastAsiaTheme="minorEastAsia"/>
                <w:color w:val="000000"/>
                <w:kern w:val="0"/>
                <w:szCs w:val="21"/>
              </w:rPr>
            </w:pPr>
            <w:r>
              <w:rPr>
                <w:rFonts w:hint="eastAsia" w:ascii="宋体" w:hAnsi="宋体" w:cs="宋体" w:eastAsiaTheme="minorEastAsia"/>
                <w:color w:val="000000"/>
                <w:kern w:val="0"/>
                <w:szCs w:val="21"/>
              </w:rPr>
              <w:t>支持Android、iOS微信全版本（含6.0以上）删除数据恢复</w:t>
            </w:r>
          </w:p>
        </w:tc>
        <w:tc>
          <w:tcPr>
            <w:tcW w:w="788" w:type="dxa"/>
            <w:tcBorders>
              <w:top w:val="nil"/>
              <w:left w:val="nil"/>
              <w:bottom w:val="single" w:color="000000" w:sz="4" w:space="0"/>
              <w:right w:val="single" w:color="000000" w:sz="4" w:space="0"/>
            </w:tcBorders>
            <w:shd w:val="clear" w:color="auto" w:fill="auto"/>
            <w:noWrap/>
          </w:tcPr>
          <w:p>
            <w:pPr>
              <w:jc w:val="center"/>
              <w:rPr>
                <w:rFonts w:ascii="宋体" w:hAnsi="宋体" w:cs="宋体" w:eastAsiaTheme="minorEastAsia"/>
                <w:color w:val="000000"/>
                <w:kern w:val="0"/>
                <w:szCs w:val="21"/>
              </w:rPr>
            </w:pPr>
            <w:r>
              <w:rPr>
                <w:rFonts w:hint="eastAsia" w:asciiTheme="minorEastAsia" w:hAnsiTheme="minorEastAsia" w:eastAsiaTheme="minorEastAsia" w:cstheme="minorEastAsia"/>
                <w:bCs/>
                <w:color w:val="000000"/>
                <w:kern w:val="0"/>
                <w:szCs w:val="21"/>
                <w:lang w:bidi="ar"/>
              </w:rPr>
              <w:t>/</w:t>
            </w:r>
          </w:p>
        </w:tc>
      </w:tr>
      <w:tr>
        <w:tblPrEx>
          <w:tblCellMar>
            <w:top w:w="0" w:type="dxa"/>
            <w:left w:w="108" w:type="dxa"/>
            <w:bottom w:w="0" w:type="dxa"/>
            <w:right w:w="108" w:type="dxa"/>
          </w:tblCellMar>
        </w:tblPrEx>
        <w:trPr>
          <w:trHeight w:val="162" w:hRule="atLeast"/>
        </w:trPr>
        <w:tc>
          <w:tcPr>
            <w:tcW w:w="427"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13</w:t>
            </w:r>
          </w:p>
        </w:tc>
        <w:tc>
          <w:tcPr>
            <w:tcW w:w="851" w:type="dxa"/>
            <w:vMerge w:val="continue"/>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eastAsiaTheme="minorEastAsia"/>
                <w:color w:val="000000"/>
                <w:kern w:val="0"/>
                <w:szCs w:val="21"/>
              </w:rPr>
            </w:pPr>
          </w:p>
        </w:tc>
        <w:tc>
          <w:tcPr>
            <w:tcW w:w="5528" w:type="dxa"/>
            <w:tcBorders>
              <w:top w:val="single" w:color="000000" w:sz="4" w:space="0"/>
              <w:left w:val="nil"/>
              <w:bottom w:val="single" w:color="000000" w:sz="4" w:space="0"/>
              <w:right w:val="single" w:color="000000" w:sz="4" w:space="0"/>
            </w:tcBorders>
            <w:shd w:val="clear" w:color="auto" w:fill="auto"/>
            <w:vAlign w:val="center"/>
          </w:tcPr>
          <w:p>
            <w:pPr>
              <w:rPr>
                <w:rFonts w:ascii="宋体" w:hAnsi="宋体" w:cs="宋体" w:eastAsiaTheme="minorEastAsia"/>
                <w:color w:val="000000"/>
                <w:kern w:val="0"/>
                <w:szCs w:val="21"/>
              </w:rPr>
            </w:pPr>
            <w:r>
              <w:rPr>
                <w:rFonts w:hint="eastAsia" w:ascii="宋体" w:hAnsi="宋体" w:cs="宋体" w:eastAsiaTheme="minorEastAsia"/>
                <w:color w:val="000000"/>
                <w:kern w:val="0"/>
                <w:szCs w:val="21"/>
              </w:rPr>
              <w:t>支持常用Android和iOS应用信息解析</w:t>
            </w:r>
          </w:p>
        </w:tc>
        <w:tc>
          <w:tcPr>
            <w:tcW w:w="788" w:type="dxa"/>
            <w:tcBorders>
              <w:top w:val="nil"/>
              <w:left w:val="nil"/>
              <w:bottom w:val="single" w:color="000000" w:sz="4" w:space="0"/>
              <w:right w:val="single" w:color="000000" w:sz="4" w:space="0"/>
            </w:tcBorders>
            <w:shd w:val="clear" w:color="auto" w:fill="auto"/>
            <w:noWrap/>
          </w:tcPr>
          <w:p>
            <w:pPr>
              <w:jc w:val="center"/>
              <w:rPr>
                <w:rFonts w:ascii="宋体" w:hAnsi="宋体" w:cs="宋体" w:eastAsiaTheme="minorEastAsia"/>
                <w:color w:val="000000"/>
                <w:kern w:val="0"/>
                <w:szCs w:val="21"/>
              </w:rPr>
            </w:pPr>
            <w:r>
              <w:rPr>
                <w:rFonts w:hint="eastAsia" w:asciiTheme="minorEastAsia" w:hAnsiTheme="minorEastAsia" w:eastAsiaTheme="minorEastAsia" w:cstheme="minorEastAsia"/>
                <w:bCs/>
                <w:color w:val="000000"/>
                <w:kern w:val="0"/>
                <w:szCs w:val="21"/>
                <w:lang w:bidi="ar"/>
              </w:rPr>
              <w:t>/</w:t>
            </w:r>
          </w:p>
        </w:tc>
      </w:tr>
      <w:tr>
        <w:tblPrEx>
          <w:tblCellMar>
            <w:top w:w="0" w:type="dxa"/>
            <w:left w:w="108" w:type="dxa"/>
            <w:bottom w:w="0" w:type="dxa"/>
            <w:right w:w="108" w:type="dxa"/>
          </w:tblCellMar>
        </w:tblPrEx>
        <w:trPr>
          <w:trHeight w:val="649" w:hRule="atLeast"/>
        </w:trPr>
        <w:tc>
          <w:tcPr>
            <w:tcW w:w="427"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14</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物联网管理API</w:t>
            </w:r>
          </w:p>
        </w:tc>
        <w:tc>
          <w:tcPr>
            <w:tcW w:w="5528" w:type="dxa"/>
            <w:tcBorders>
              <w:top w:val="single" w:color="000000" w:sz="4" w:space="0"/>
              <w:left w:val="nil"/>
              <w:bottom w:val="single" w:color="000000" w:sz="4" w:space="0"/>
              <w:right w:val="single" w:color="000000" w:sz="4" w:space="0"/>
            </w:tcBorders>
            <w:shd w:val="clear" w:color="auto" w:fill="auto"/>
            <w:vAlign w:val="center"/>
          </w:tcPr>
          <w:p>
            <w:pPr>
              <w:rPr>
                <w:rFonts w:ascii="宋体" w:hAnsi="宋体" w:cs="宋体" w:eastAsiaTheme="minorEastAsia"/>
                <w:color w:val="000000"/>
                <w:kern w:val="0"/>
                <w:szCs w:val="21"/>
              </w:rPr>
            </w:pPr>
            <w:r>
              <w:rPr>
                <w:rFonts w:hint="eastAsia" w:ascii="宋体" w:hAnsi="宋体" w:cs="宋体" w:eastAsiaTheme="minorEastAsia"/>
                <w:color w:val="000000"/>
                <w:kern w:val="0"/>
                <w:szCs w:val="21"/>
              </w:rPr>
              <w:t>支持开放的物联网管理API接口，供实验室管理系统采集设备工作状态和工作量</w:t>
            </w:r>
          </w:p>
        </w:tc>
        <w:tc>
          <w:tcPr>
            <w:tcW w:w="788" w:type="dxa"/>
            <w:tcBorders>
              <w:top w:val="nil"/>
              <w:left w:val="nil"/>
              <w:bottom w:val="single" w:color="000000" w:sz="4" w:space="0"/>
              <w:right w:val="single" w:color="000000" w:sz="4" w:space="0"/>
            </w:tcBorders>
            <w:shd w:val="clear" w:color="auto" w:fill="auto"/>
          </w:tcPr>
          <w:p>
            <w:pPr>
              <w:jc w:val="center"/>
              <w:rPr>
                <w:rFonts w:ascii="宋体" w:hAnsi="宋体" w:cs="宋体" w:eastAsiaTheme="minorEastAsia"/>
                <w:color w:val="000000"/>
                <w:kern w:val="0"/>
                <w:szCs w:val="21"/>
              </w:rPr>
            </w:pPr>
            <w:r>
              <w:rPr>
                <w:rFonts w:hint="eastAsia" w:asciiTheme="minorEastAsia" w:hAnsiTheme="minorEastAsia" w:eastAsiaTheme="minorEastAsia" w:cstheme="minorEastAsia"/>
                <w:bCs/>
                <w:color w:val="000000"/>
                <w:kern w:val="0"/>
                <w:szCs w:val="21"/>
                <w:lang w:bidi="ar"/>
              </w:rPr>
              <w:t>/</w:t>
            </w:r>
          </w:p>
        </w:tc>
      </w:tr>
    </w:tbl>
    <w:p>
      <w:pPr>
        <w:pStyle w:val="5"/>
        <w:spacing w:before="15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第3包介质取证塔</w:t>
      </w:r>
      <w:r>
        <w:rPr>
          <w:rFonts w:hint="default" w:ascii="Times New Roman" w:hAnsi="Times New Roman" w:cs="Times New Roman" w:eastAsiaTheme="minorEastAsia"/>
          <w:szCs w:val="21"/>
        </w:rPr>
        <w:t>Ⅲ</w:t>
      </w:r>
    </w:p>
    <w:tbl>
      <w:tblPr>
        <w:tblStyle w:val="81"/>
        <w:tblW w:w="4572" w:type="pct"/>
        <w:tblInd w:w="0" w:type="dxa"/>
        <w:tblLayout w:type="fixed"/>
        <w:tblCellMar>
          <w:top w:w="0" w:type="dxa"/>
          <w:left w:w="108" w:type="dxa"/>
          <w:bottom w:w="0" w:type="dxa"/>
          <w:right w:w="108" w:type="dxa"/>
        </w:tblCellMar>
      </w:tblPr>
      <w:tblGrid>
        <w:gridCol w:w="579"/>
        <w:gridCol w:w="874"/>
        <w:gridCol w:w="5531"/>
        <w:gridCol w:w="809"/>
      </w:tblGrid>
      <w:tr>
        <w:tblPrEx>
          <w:tblCellMar>
            <w:top w:w="0" w:type="dxa"/>
            <w:left w:w="108" w:type="dxa"/>
            <w:bottom w:w="0" w:type="dxa"/>
            <w:right w:w="108" w:type="dxa"/>
          </w:tblCellMar>
        </w:tblPrEx>
        <w:trPr>
          <w:tblHeader/>
        </w:trPr>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b/>
                <w:bCs/>
                <w:color w:val="000000"/>
                <w:kern w:val="0"/>
                <w:szCs w:val="21"/>
              </w:rPr>
            </w:pPr>
            <w:r>
              <w:rPr>
                <w:rFonts w:hint="eastAsia" w:ascii="宋体" w:hAnsi="宋体" w:eastAsia="宋体" w:cs="宋体"/>
                <w:b/>
                <w:bCs/>
                <w:color w:val="000000"/>
                <w:kern w:val="0"/>
                <w:szCs w:val="21"/>
              </w:rPr>
              <w:t>序号</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b/>
                <w:bCs/>
                <w:color w:val="000000"/>
                <w:kern w:val="0"/>
                <w:szCs w:val="21"/>
              </w:rPr>
            </w:pPr>
            <w:r>
              <w:rPr>
                <w:rFonts w:hint="eastAsia" w:ascii="宋体" w:hAnsi="宋体" w:eastAsia="宋体" w:cs="宋体"/>
                <w:b/>
                <w:bCs/>
                <w:color w:val="000000"/>
                <w:kern w:val="0"/>
                <w:szCs w:val="21"/>
              </w:rPr>
              <w:t>指标项</w:t>
            </w:r>
          </w:p>
        </w:tc>
        <w:tc>
          <w:tcPr>
            <w:tcW w:w="3549" w:type="pct"/>
            <w:tcBorders>
              <w:top w:val="single" w:color="000000" w:sz="4" w:space="0"/>
              <w:left w:val="nil"/>
              <w:bottom w:val="single" w:color="000000" w:sz="4" w:space="0"/>
              <w:right w:val="single" w:color="000000" w:sz="4" w:space="0"/>
            </w:tcBorders>
            <w:shd w:val="clear" w:color="auto" w:fill="auto"/>
            <w:vAlign w:val="center"/>
          </w:tcPr>
          <w:p>
            <w:pPr>
              <w:jc w:val="center"/>
              <w:rPr>
                <w:rFonts w:ascii="宋体" w:hAnsi="宋体" w:eastAsia="宋体" w:cs="宋体"/>
                <w:b/>
                <w:bCs/>
                <w:color w:val="000000"/>
                <w:kern w:val="0"/>
                <w:szCs w:val="21"/>
              </w:rPr>
            </w:pPr>
            <w:r>
              <w:rPr>
                <w:rFonts w:hint="eastAsia" w:ascii="宋体" w:hAnsi="宋体" w:eastAsia="宋体" w:cs="宋体"/>
                <w:b/>
                <w:bCs/>
                <w:color w:val="000000"/>
                <w:kern w:val="0"/>
                <w:szCs w:val="21"/>
              </w:rPr>
              <w:t>指标要求</w:t>
            </w:r>
          </w:p>
        </w:tc>
        <w:tc>
          <w:tcPr>
            <w:tcW w:w="519" w:type="pct"/>
            <w:tcBorders>
              <w:top w:val="single" w:color="000000" w:sz="4" w:space="0"/>
              <w:left w:val="nil"/>
              <w:bottom w:val="single" w:color="000000" w:sz="4" w:space="0"/>
              <w:right w:val="single" w:color="000000" w:sz="4" w:space="0"/>
            </w:tcBorders>
            <w:shd w:val="clear" w:color="auto" w:fill="auto"/>
            <w:vAlign w:val="center"/>
          </w:tcPr>
          <w:p>
            <w:pPr>
              <w:rPr>
                <w:rFonts w:ascii="宋体" w:hAnsi="宋体" w:eastAsia="宋体" w:cs="宋体"/>
                <w:b/>
                <w:bCs/>
                <w:color w:val="000000"/>
                <w:kern w:val="0"/>
                <w:szCs w:val="21"/>
              </w:rPr>
            </w:pPr>
            <w:r>
              <w:rPr>
                <w:rFonts w:hint="eastAsia" w:ascii="宋体" w:hAnsi="宋体" w:eastAsia="宋体" w:cs="宋体"/>
                <w:b/>
                <w:bCs/>
                <w:color w:val="000000"/>
                <w:kern w:val="0"/>
                <w:szCs w:val="21"/>
              </w:rPr>
              <w:t>证明材料要求</w:t>
            </w:r>
          </w:p>
        </w:tc>
      </w:tr>
      <w:tr>
        <w:tblPrEx>
          <w:tblCellMar>
            <w:top w:w="0" w:type="dxa"/>
            <w:left w:w="108" w:type="dxa"/>
            <w:bottom w:w="0" w:type="dxa"/>
            <w:right w:w="108" w:type="dxa"/>
          </w:tblCellMar>
        </w:tblPrEx>
        <w:tc>
          <w:tcPr>
            <w:tcW w:w="371" w:type="pct"/>
            <w:tcBorders>
              <w:top w:val="nil"/>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1</w:t>
            </w:r>
          </w:p>
        </w:tc>
        <w:tc>
          <w:tcPr>
            <w:tcW w:w="561" w:type="pct"/>
            <w:tcBorders>
              <w:top w:val="single" w:color="000000" w:sz="4" w:space="0"/>
              <w:left w:val="nil"/>
              <w:bottom w:val="single" w:color="000000" w:sz="4" w:space="0"/>
              <w:right w:val="single" w:color="000000" w:sz="4" w:space="0"/>
            </w:tcBorders>
            <w:shd w:val="clear" w:color="auto" w:fill="auto"/>
            <w:noWrap/>
            <w:vAlign w:val="center"/>
          </w:tcPr>
          <w:p>
            <w:pPr>
              <w:jc w:val="center"/>
              <w:rPr>
                <w:rFonts w:ascii="宋体" w:hAnsi="宋体" w:eastAsia="宋体" w:cs="Arial"/>
                <w:color w:val="000000"/>
                <w:kern w:val="0"/>
                <w:szCs w:val="21"/>
              </w:rPr>
            </w:pPr>
            <w:r>
              <w:rPr>
                <w:rFonts w:ascii="宋体" w:hAnsi="宋体" w:eastAsia="宋体" w:cs="Arial"/>
                <w:color w:val="000000"/>
                <w:kern w:val="0"/>
                <w:szCs w:val="21"/>
              </w:rPr>
              <w:t>硬件要求</w:t>
            </w:r>
          </w:p>
        </w:tc>
        <w:tc>
          <w:tcPr>
            <w:tcW w:w="3549" w:type="pct"/>
            <w:tcBorders>
              <w:top w:val="single" w:color="000000" w:sz="4" w:space="0"/>
              <w:left w:val="nil"/>
              <w:bottom w:val="single" w:color="000000" w:sz="4" w:space="0"/>
              <w:right w:val="single" w:color="000000" w:sz="4" w:space="0"/>
            </w:tcBorders>
            <w:shd w:val="clear" w:color="auto" w:fill="auto"/>
            <w:vAlign w:val="center"/>
          </w:tcPr>
          <w:p>
            <w:pPr>
              <w:rPr>
                <w:rFonts w:ascii="宋体" w:hAnsi="宋体" w:eastAsia="宋体" w:cs="宋体"/>
                <w:color w:val="000000"/>
                <w:kern w:val="0"/>
                <w:szCs w:val="21"/>
              </w:rPr>
            </w:pPr>
            <w:r>
              <w:rPr>
                <w:rFonts w:hint="eastAsia" w:ascii="宋体" w:hAnsi="宋体" w:eastAsia="宋体" w:cs="宋体"/>
                <w:color w:val="000000"/>
                <w:kern w:val="0"/>
                <w:szCs w:val="21"/>
              </w:rPr>
              <w:t>1、CPU：不低于2.4GHz/16核24线程</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二级缓存14 MB</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2、内存：不低于64GB DDR5内存</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3、存储：不低于8TBSSD硬盘</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4、显卡：不低于4G独立显卡</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5、显示屏：外接不小于40寸高清显示屏</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6、光驱：不少于1个蓝光刻录机</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7、接口：不少于1套内置多功能只读锁，包含SATA/IDE/USB3.0/CF/SD/MS/TF等多种接口格式，包含m.2（SATA）转接口；不少于3个3.5寸SAS/SATA只读硬盘热拔插仓、3个3.5寸SAS/SATA读写硬盘热拔插仓、1个SAS/SATA扩展硬盘只读接口、1个SAS/SATA扩展硬盘读写接口；</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8、网络：不少于1个千兆网口</w:t>
            </w:r>
          </w:p>
        </w:tc>
        <w:tc>
          <w:tcPr>
            <w:tcW w:w="519" w:type="pct"/>
            <w:tcBorders>
              <w:top w:val="nil"/>
              <w:left w:val="nil"/>
              <w:bottom w:val="single" w:color="000000" w:sz="4" w:space="0"/>
              <w:right w:val="single" w:color="000000" w:sz="4" w:space="0"/>
            </w:tcBorders>
            <w:shd w:val="clear" w:color="auto" w:fill="auto"/>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w:t>
            </w:r>
          </w:p>
        </w:tc>
      </w:tr>
      <w:tr>
        <w:tblPrEx>
          <w:tblCellMar>
            <w:top w:w="0" w:type="dxa"/>
            <w:left w:w="108" w:type="dxa"/>
            <w:bottom w:w="0" w:type="dxa"/>
            <w:right w:w="108" w:type="dxa"/>
          </w:tblCellMar>
        </w:tblPrEx>
        <w:tc>
          <w:tcPr>
            <w:tcW w:w="371" w:type="pct"/>
            <w:tcBorders>
              <w:top w:val="nil"/>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2</w:t>
            </w:r>
          </w:p>
        </w:tc>
        <w:tc>
          <w:tcPr>
            <w:tcW w:w="56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硬盘复制</w:t>
            </w:r>
          </w:p>
        </w:tc>
        <w:tc>
          <w:tcPr>
            <w:tcW w:w="3549" w:type="pct"/>
            <w:tcBorders>
              <w:top w:val="single" w:color="000000" w:sz="4" w:space="0"/>
              <w:left w:val="nil"/>
              <w:bottom w:val="single" w:color="000000" w:sz="4" w:space="0"/>
              <w:right w:val="single" w:color="000000" w:sz="4" w:space="0"/>
            </w:tcBorders>
            <w:shd w:val="clear" w:color="auto" w:fill="auto"/>
            <w:noWrap/>
            <w:vAlign w:val="center"/>
          </w:tcPr>
          <w:p>
            <w:pPr>
              <w:rPr>
                <w:rFonts w:ascii="宋体" w:hAnsi="宋体" w:eastAsia="宋体" w:cs="宋体"/>
                <w:color w:val="000000"/>
                <w:kern w:val="0"/>
                <w:szCs w:val="21"/>
              </w:rPr>
            </w:pPr>
            <w:r>
              <w:rPr>
                <w:rFonts w:hint="eastAsia" w:ascii="宋体" w:hAnsi="宋体" w:eastAsia="宋体" w:cs="宋体"/>
                <w:color w:val="000000"/>
                <w:kern w:val="0"/>
                <w:szCs w:val="21"/>
              </w:rPr>
              <w:t>支持不少于4路硬盘同时复制</w:t>
            </w:r>
          </w:p>
        </w:tc>
        <w:tc>
          <w:tcPr>
            <w:tcW w:w="519" w:type="pct"/>
            <w:tcBorders>
              <w:top w:val="nil"/>
              <w:left w:val="nil"/>
              <w:bottom w:val="single" w:color="000000" w:sz="4" w:space="0"/>
              <w:right w:val="single" w:color="000000" w:sz="4" w:space="0"/>
            </w:tcBorders>
            <w:shd w:val="clear" w:color="auto" w:fill="auto"/>
            <w:noWrap/>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w:t>
            </w:r>
          </w:p>
        </w:tc>
      </w:tr>
      <w:tr>
        <w:tblPrEx>
          <w:tblCellMar>
            <w:top w:w="0" w:type="dxa"/>
            <w:left w:w="108" w:type="dxa"/>
            <w:bottom w:w="0" w:type="dxa"/>
            <w:right w:w="108" w:type="dxa"/>
          </w:tblCellMar>
        </w:tblPrEx>
        <w:tc>
          <w:tcPr>
            <w:tcW w:w="371" w:type="pct"/>
            <w:tcBorders>
              <w:top w:val="nil"/>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lang w:val="en-US"/>
              </w:rPr>
              <w:t>3</w:t>
            </w:r>
          </w:p>
        </w:tc>
        <w:tc>
          <w:tcPr>
            <w:tcW w:w="561" w:type="pct"/>
            <w:vMerge w:val="continue"/>
            <w:tcBorders>
              <w:top w:val="single" w:color="000000" w:sz="4" w:space="0"/>
              <w:left w:val="single" w:color="000000" w:sz="4" w:space="0"/>
              <w:bottom w:val="single" w:color="000000" w:sz="4" w:space="0"/>
              <w:right w:val="single" w:color="000000" w:sz="4" w:space="0"/>
            </w:tcBorders>
            <w:vAlign w:val="center"/>
          </w:tcPr>
          <w:p>
            <w:pPr>
              <w:rPr>
                <w:rFonts w:ascii="宋体" w:hAnsi="宋体" w:eastAsia="宋体" w:cs="宋体"/>
                <w:color w:val="000000"/>
                <w:kern w:val="0"/>
                <w:szCs w:val="21"/>
              </w:rPr>
            </w:pPr>
          </w:p>
        </w:tc>
        <w:tc>
          <w:tcPr>
            <w:tcW w:w="3549" w:type="pct"/>
            <w:tcBorders>
              <w:top w:val="single" w:color="000000" w:sz="4" w:space="0"/>
              <w:left w:val="nil"/>
              <w:bottom w:val="single" w:color="000000" w:sz="4" w:space="0"/>
              <w:right w:val="single" w:color="000000" w:sz="4" w:space="0"/>
            </w:tcBorders>
            <w:shd w:val="clear" w:color="auto" w:fill="auto"/>
            <w:noWrap/>
            <w:vAlign w:val="center"/>
          </w:tcPr>
          <w:p>
            <w:pPr>
              <w:rPr>
                <w:rFonts w:ascii="宋体" w:hAnsi="宋体" w:eastAsia="宋体" w:cs="宋体"/>
                <w:color w:val="000000"/>
                <w:kern w:val="0"/>
                <w:szCs w:val="21"/>
              </w:rPr>
            </w:pPr>
            <w:r>
              <w:rPr>
                <w:rFonts w:hint="eastAsia" w:ascii="宋体" w:hAnsi="宋体" w:eastAsia="宋体" w:cs="宋体"/>
                <w:color w:val="000000"/>
                <w:kern w:val="0"/>
                <w:szCs w:val="21"/>
              </w:rPr>
              <w:t>支持自动识别HPA、DCO隐藏区域，并可进行复制、镜像等操作</w:t>
            </w:r>
            <w:r>
              <w:rPr>
                <w:rFonts w:hint="eastAsia" w:ascii="宋体" w:hAnsi="宋体" w:eastAsia="宋体" w:cs="宋体"/>
                <w:color w:val="000000"/>
                <w:kern w:val="0"/>
                <w:szCs w:val="21"/>
                <w:lang w:val="en-US"/>
              </w:rPr>
              <w:t>,</w:t>
            </w:r>
            <w:r>
              <w:rPr>
                <w:rFonts w:hint="eastAsia" w:ascii="宋体" w:hAnsi="宋体" w:eastAsia="宋体" w:cs="宋体"/>
                <w:color w:val="000000"/>
                <w:kern w:val="0"/>
                <w:szCs w:val="21"/>
              </w:rPr>
              <w:t>支持对异常扇区磁盘多次尝试复制功能，多次尝试复制失败后系统自动跳过异常扇区继续进行复制操作</w:t>
            </w:r>
          </w:p>
        </w:tc>
        <w:tc>
          <w:tcPr>
            <w:tcW w:w="519" w:type="pct"/>
            <w:tcBorders>
              <w:top w:val="nil"/>
              <w:left w:val="nil"/>
              <w:bottom w:val="single" w:color="000000" w:sz="4" w:space="0"/>
              <w:right w:val="single" w:color="000000" w:sz="4" w:space="0"/>
            </w:tcBorders>
            <w:shd w:val="clear" w:color="auto" w:fill="auto"/>
            <w:noWrap/>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w:t>
            </w:r>
          </w:p>
        </w:tc>
      </w:tr>
      <w:tr>
        <w:tblPrEx>
          <w:tblCellMar>
            <w:top w:w="0" w:type="dxa"/>
            <w:left w:w="108" w:type="dxa"/>
            <w:bottom w:w="0" w:type="dxa"/>
            <w:right w:w="108" w:type="dxa"/>
          </w:tblCellMar>
        </w:tblPrEx>
        <w:tc>
          <w:tcPr>
            <w:tcW w:w="371" w:type="pct"/>
            <w:tcBorders>
              <w:top w:val="nil"/>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lang w:val="en-US"/>
              </w:rPr>
              <w:t>4</w:t>
            </w:r>
          </w:p>
        </w:tc>
        <w:tc>
          <w:tcPr>
            <w:tcW w:w="56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kern w:val="0"/>
                <w:szCs w:val="21"/>
              </w:rPr>
            </w:pPr>
          </w:p>
        </w:tc>
        <w:tc>
          <w:tcPr>
            <w:tcW w:w="3549" w:type="pct"/>
            <w:tcBorders>
              <w:top w:val="single" w:color="000000" w:sz="4" w:space="0"/>
              <w:left w:val="nil"/>
              <w:bottom w:val="single" w:color="000000" w:sz="4" w:space="0"/>
              <w:right w:val="single" w:color="000000" w:sz="4" w:space="0"/>
            </w:tcBorders>
            <w:shd w:val="clear" w:color="auto" w:fill="auto"/>
            <w:noWrap/>
            <w:vAlign w:val="center"/>
          </w:tcPr>
          <w:p>
            <w:pPr>
              <w:rPr>
                <w:rFonts w:ascii="宋体" w:hAnsi="宋体" w:eastAsia="宋体" w:cs="宋体"/>
                <w:color w:val="000000"/>
                <w:kern w:val="0"/>
                <w:szCs w:val="21"/>
              </w:rPr>
            </w:pPr>
            <w:r>
              <w:rPr>
                <w:rFonts w:hint="eastAsia" w:ascii="宋体" w:hAnsi="宋体" w:eastAsia="宋体" w:cs="宋体"/>
                <w:color w:val="000000"/>
                <w:kern w:val="0"/>
                <w:szCs w:val="21"/>
              </w:rPr>
              <w:t>具备镜像功能，支持对硬盘复制和镜像时的断点续传功能</w:t>
            </w:r>
            <w:r>
              <w:rPr>
                <w:rFonts w:hint="eastAsia" w:ascii="宋体" w:hAnsi="宋体" w:eastAsia="宋体" w:cs="宋体"/>
                <w:color w:val="000000"/>
                <w:kern w:val="0"/>
                <w:szCs w:val="21"/>
                <w:lang w:val="en-US"/>
              </w:rPr>
              <w:t>,</w:t>
            </w:r>
            <w:r>
              <w:rPr>
                <w:rFonts w:hint="eastAsia" w:ascii="宋体" w:hAnsi="宋体" w:eastAsia="宋体" w:cs="宋体"/>
                <w:color w:val="000000"/>
                <w:kern w:val="0"/>
                <w:szCs w:val="21"/>
              </w:rPr>
              <w:t>需支持 MD5</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SHA1</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SHA-256等格式的校验，支持DD镜像、E01镜像、AFF镜像文件制作功能</w:t>
            </w:r>
          </w:p>
        </w:tc>
        <w:tc>
          <w:tcPr>
            <w:tcW w:w="519" w:type="pct"/>
            <w:tcBorders>
              <w:top w:val="nil"/>
              <w:left w:val="nil"/>
              <w:bottom w:val="single" w:color="000000" w:sz="4" w:space="0"/>
              <w:right w:val="single" w:color="000000" w:sz="4" w:space="0"/>
            </w:tcBorders>
            <w:shd w:val="clear" w:color="auto" w:fill="auto"/>
            <w:noWrap/>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w:t>
            </w:r>
          </w:p>
        </w:tc>
      </w:tr>
      <w:tr>
        <w:tblPrEx>
          <w:tblCellMar>
            <w:top w:w="0" w:type="dxa"/>
            <w:left w:w="108" w:type="dxa"/>
            <w:bottom w:w="0" w:type="dxa"/>
            <w:right w:w="108" w:type="dxa"/>
          </w:tblCellMar>
        </w:tblPrEx>
        <w:tc>
          <w:tcPr>
            <w:tcW w:w="371" w:type="pct"/>
            <w:tcBorders>
              <w:top w:val="nil"/>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lang w:val="en-US"/>
              </w:rPr>
              <w:t>5</w:t>
            </w:r>
          </w:p>
        </w:tc>
        <w:tc>
          <w:tcPr>
            <w:tcW w:w="561"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取证能力</w:t>
            </w:r>
          </w:p>
        </w:tc>
        <w:tc>
          <w:tcPr>
            <w:tcW w:w="3549" w:type="pct"/>
            <w:tcBorders>
              <w:top w:val="single" w:color="000000" w:sz="4" w:space="0"/>
              <w:left w:val="nil"/>
              <w:bottom w:val="single" w:color="000000" w:sz="4" w:space="0"/>
              <w:right w:val="single" w:color="000000" w:sz="4" w:space="0"/>
            </w:tcBorders>
            <w:shd w:val="clear" w:color="auto" w:fill="auto"/>
            <w:noWrap/>
            <w:vAlign w:val="center"/>
          </w:tcPr>
          <w:p>
            <w:pPr>
              <w:rPr>
                <w:rFonts w:ascii="宋体" w:hAnsi="宋体" w:eastAsia="宋体" w:cs="宋体"/>
                <w:color w:val="000000"/>
                <w:kern w:val="0"/>
                <w:szCs w:val="21"/>
              </w:rPr>
            </w:pPr>
            <w:r>
              <w:rPr>
                <w:rFonts w:hint="eastAsia" w:ascii="宋体" w:hAnsi="宋体" w:eastAsia="宋体" w:cs="宋体"/>
                <w:color w:val="000000"/>
                <w:kern w:val="0"/>
                <w:szCs w:val="21"/>
              </w:rPr>
              <w:t>支持FAT12/16/32、NTFS、Ext2/Ext3、HFS 和HFS+的文件系统的磁盘、镜像分析</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支持虚拟机、模拟器嵌套镜像</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支持APFS文件系统解密加载</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支持加载VHD、VHDX、VMDK虚拟机镜像；</w:t>
            </w:r>
          </w:p>
          <w:p>
            <w:pPr>
              <w:rPr>
                <w:rFonts w:ascii="宋体" w:hAnsi="宋体" w:eastAsia="宋体" w:cs="宋体"/>
                <w:color w:val="000000"/>
                <w:kern w:val="0"/>
                <w:szCs w:val="21"/>
              </w:rPr>
            </w:pPr>
            <w:r>
              <w:rPr>
                <w:rFonts w:hint="eastAsia" w:ascii="宋体" w:hAnsi="宋体" w:eastAsia="宋体" w:cs="宋体"/>
                <w:color w:val="000000"/>
                <w:kern w:val="0"/>
                <w:szCs w:val="21"/>
              </w:rPr>
              <w:t>支持磁盘、镜像中删除文件、目录的恢复；</w:t>
            </w:r>
          </w:p>
          <w:p>
            <w:pPr>
              <w:rPr>
                <w:rFonts w:ascii="宋体" w:hAnsi="宋体" w:eastAsia="宋体" w:cs="宋体"/>
                <w:color w:val="000000"/>
                <w:kern w:val="0"/>
                <w:szCs w:val="21"/>
              </w:rPr>
            </w:pPr>
            <w:r>
              <w:rPr>
                <w:rFonts w:hint="eastAsia" w:ascii="宋体" w:hAnsi="宋体" w:eastAsia="宋体" w:cs="宋体"/>
                <w:color w:val="000000"/>
                <w:kern w:val="0"/>
                <w:szCs w:val="21"/>
              </w:rPr>
              <w:t>文件系统支持列表视图、图库视图展示，可按文件名、文件时间、文件大小、文件属性等进行多条件组合智能筛选，同时支持按照常用目录及案件类型快速筛选文件，支持文件快速筛选，选择筛选结果文件后同屏展现同级目录下文件、文件夹；</w:t>
            </w:r>
          </w:p>
          <w:p>
            <w:pPr>
              <w:rPr>
                <w:rFonts w:ascii="宋体" w:hAnsi="宋体" w:eastAsia="宋体" w:cs="宋体"/>
                <w:color w:val="000000"/>
                <w:kern w:val="0"/>
                <w:szCs w:val="21"/>
              </w:rPr>
            </w:pPr>
            <w:r>
              <w:rPr>
                <w:rFonts w:hint="eastAsia" w:ascii="宋体" w:hAnsi="宋体" w:eastAsia="宋体" w:cs="宋体"/>
                <w:color w:val="000000"/>
                <w:kern w:val="0"/>
                <w:szCs w:val="21"/>
              </w:rPr>
              <w:t>支持关键词搜索、正则搜索，可自定义正则表达式，创建正则集合，支持多编码搜索；</w:t>
            </w:r>
          </w:p>
          <w:p>
            <w:pPr>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支持图库模式浏览图片，可按图片大小、创建时间、访问时间、修改时间对图片进行筛选</w:t>
            </w:r>
            <w:r>
              <w:rPr>
                <w:rFonts w:hint="eastAsia" w:ascii="宋体" w:hAnsi="宋体" w:eastAsia="宋体" w:cs="宋体"/>
                <w:color w:val="000000"/>
                <w:kern w:val="0"/>
                <w:szCs w:val="21"/>
                <w:lang w:eastAsia="zh-CN"/>
              </w:rPr>
              <w:t>；</w:t>
            </w:r>
          </w:p>
          <w:p>
            <w:pPr>
              <w:rPr>
                <w:rFonts w:ascii="宋体" w:hAnsi="宋体" w:eastAsia="宋体" w:cs="宋体"/>
                <w:color w:val="000000"/>
                <w:kern w:val="0"/>
                <w:szCs w:val="21"/>
              </w:rPr>
            </w:pPr>
            <w:r>
              <w:rPr>
                <w:rFonts w:hint="eastAsia" w:ascii="宋体" w:hAnsi="宋体" w:eastAsia="宋体" w:cs="宋体"/>
                <w:color w:val="000000"/>
                <w:kern w:val="0"/>
                <w:szCs w:val="21"/>
              </w:rPr>
              <w:t>支持对Windows的系统信息、通知、windows便笺、注册表（获取连接过的USB设备、最近使用过的文件夹等）、系统痕迹（Wi-Fi连接记录、NTFS日志等）；</w:t>
            </w:r>
          </w:p>
          <w:p>
            <w:pPr>
              <w:rPr>
                <w:rFonts w:ascii="宋体" w:hAnsi="宋体" w:eastAsia="宋体" w:cs="宋体"/>
                <w:color w:val="000000"/>
                <w:kern w:val="0"/>
                <w:szCs w:val="21"/>
              </w:rPr>
            </w:pPr>
            <w:r>
              <w:rPr>
                <w:rFonts w:hint="eastAsia" w:ascii="宋体" w:hAnsi="宋体" w:eastAsia="宋体" w:cs="宋体"/>
                <w:color w:val="000000"/>
                <w:kern w:val="0"/>
                <w:szCs w:val="21"/>
              </w:rPr>
              <w:t>支持浏览器、邮箱、输入法、压缩程序、视频播放工具、下载工具应用解析；</w:t>
            </w:r>
          </w:p>
          <w:p>
            <w:pPr>
              <w:rPr>
                <w:rFonts w:ascii="宋体" w:hAnsi="宋体" w:eastAsia="宋体" w:cs="宋体"/>
                <w:color w:val="000000"/>
                <w:kern w:val="0"/>
                <w:szCs w:val="21"/>
              </w:rPr>
            </w:pPr>
            <w:r>
              <w:rPr>
                <w:rFonts w:hint="eastAsia" w:ascii="宋体" w:hAnsi="宋体" w:eastAsia="宋体" w:cs="宋体"/>
                <w:color w:val="000000"/>
                <w:kern w:val="0"/>
                <w:szCs w:val="21"/>
              </w:rPr>
              <w:t>支持Windows常见聊天类应用、远程连接工具、虚拟机、模拟器、云盘类软件解析</w:t>
            </w:r>
          </w:p>
        </w:tc>
        <w:tc>
          <w:tcPr>
            <w:tcW w:w="519" w:type="pct"/>
            <w:tcBorders>
              <w:top w:val="nil"/>
              <w:left w:val="nil"/>
              <w:bottom w:val="single" w:color="000000" w:sz="4" w:space="0"/>
              <w:right w:val="single" w:color="000000" w:sz="4" w:space="0"/>
            </w:tcBorders>
            <w:shd w:val="clear" w:color="auto" w:fill="auto"/>
            <w:noWrap/>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w:t>
            </w:r>
          </w:p>
        </w:tc>
      </w:tr>
      <w:tr>
        <w:tblPrEx>
          <w:tblCellMar>
            <w:top w:w="0" w:type="dxa"/>
            <w:left w:w="108" w:type="dxa"/>
            <w:bottom w:w="0" w:type="dxa"/>
            <w:right w:w="108" w:type="dxa"/>
          </w:tblCellMar>
        </w:tblPrEx>
        <w:tc>
          <w:tcPr>
            <w:tcW w:w="371" w:type="pct"/>
            <w:tcBorders>
              <w:top w:val="nil"/>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6</w:t>
            </w:r>
          </w:p>
        </w:tc>
        <w:tc>
          <w:tcPr>
            <w:tcW w:w="561" w:type="pct"/>
            <w:vMerge w:val="restar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解密能力</w:t>
            </w:r>
          </w:p>
        </w:tc>
        <w:tc>
          <w:tcPr>
            <w:tcW w:w="3549" w:type="pct"/>
            <w:tcBorders>
              <w:top w:val="single" w:color="000000" w:sz="4" w:space="0"/>
              <w:left w:val="nil"/>
              <w:bottom w:val="single" w:color="000000" w:sz="4" w:space="0"/>
              <w:right w:val="single" w:color="000000" w:sz="4" w:space="0"/>
            </w:tcBorders>
            <w:shd w:val="clear" w:color="auto" w:fill="auto"/>
            <w:noWrap/>
            <w:vAlign w:val="center"/>
          </w:tcPr>
          <w:p>
            <w:pPr>
              <w:rPr>
                <w:rFonts w:ascii="宋体" w:hAnsi="宋体" w:eastAsia="宋体" w:cs="宋体"/>
                <w:color w:val="000000"/>
                <w:kern w:val="0"/>
                <w:szCs w:val="21"/>
              </w:rPr>
            </w:pPr>
            <w:r>
              <w:rPr>
                <w:rFonts w:hint="eastAsia" w:ascii="宋体" w:hAnsi="宋体" w:eastAsia="宋体" w:cs="宋体"/>
                <w:color w:val="000000"/>
                <w:kern w:val="0"/>
                <w:szCs w:val="21"/>
              </w:rPr>
              <w:t>支持Bitlocker加密分区的解密功能和Windows系统登录密码的解密功能</w:t>
            </w:r>
          </w:p>
        </w:tc>
        <w:tc>
          <w:tcPr>
            <w:tcW w:w="519" w:type="pct"/>
            <w:tcBorders>
              <w:top w:val="nil"/>
              <w:left w:val="nil"/>
              <w:bottom w:val="single" w:color="000000" w:sz="4" w:space="0"/>
              <w:right w:val="single" w:color="000000" w:sz="4" w:space="0"/>
            </w:tcBorders>
            <w:shd w:val="clear" w:color="auto" w:fill="auto"/>
            <w:noWrap/>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w:t>
            </w:r>
          </w:p>
        </w:tc>
      </w:tr>
      <w:tr>
        <w:tblPrEx>
          <w:tblCellMar>
            <w:top w:w="0" w:type="dxa"/>
            <w:left w:w="108" w:type="dxa"/>
            <w:bottom w:w="0" w:type="dxa"/>
            <w:right w:w="108" w:type="dxa"/>
          </w:tblCellMar>
        </w:tblPrEx>
        <w:tc>
          <w:tcPr>
            <w:tcW w:w="371" w:type="pct"/>
            <w:tcBorders>
              <w:top w:val="nil"/>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7</w:t>
            </w:r>
          </w:p>
        </w:tc>
        <w:tc>
          <w:tcPr>
            <w:tcW w:w="561" w:type="pct"/>
            <w:vMerge w:val="continue"/>
            <w:tcBorders>
              <w:top w:val="single" w:color="000000" w:sz="4" w:space="0"/>
              <w:left w:val="single" w:color="000000" w:sz="4" w:space="0"/>
              <w:bottom w:val="single" w:color="000000" w:sz="4" w:space="0"/>
              <w:right w:val="single" w:color="000000" w:sz="4" w:space="0"/>
            </w:tcBorders>
            <w:vAlign w:val="center"/>
          </w:tcPr>
          <w:p>
            <w:pPr>
              <w:rPr>
                <w:rFonts w:ascii="宋体" w:hAnsi="宋体" w:eastAsia="宋体" w:cs="宋体"/>
                <w:color w:val="000000"/>
                <w:kern w:val="0"/>
                <w:szCs w:val="21"/>
              </w:rPr>
            </w:pPr>
          </w:p>
        </w:tc>
        <w:tc>
          <w:tcPr>
            <w:tcW w:w="3549" w:type="pct"/>
            <w:tcBorders>
              <w:top w:val="single" w:color="000000" w:sz="4" w:space="0"/>
              <w:left w:val="nil"/>
              <w:bottom w:val="single" w:color="000000" w:sz="4" w:space="0"/>
              <w:right w:val="single" w:color="000000" w:sz="4" w:space="0"/>
            </w:tcBorders>
            <w:shd w:val="clear" w:color="auto" w:fill="auto"/>
            <w:noWrap/>
            <w:vAlign w:val="center"/>
          </w:tcPr>
          <w:p>
            <w:pPr>
              <w:rPr>
                <w:rFonts w:ascii="宋体" w:hAnsi="宋体" w:eastAsia="宋体" w:cs="宋体"/>
                <w:color w:val="000000"/>
                <w:kern w:val="0"/>
                <w:szCs w:val="21"/>
              </w:rPr>
            </w:pPr>
            <w:r>
              <w:rPr>
                <w:rFonts w:hint="eastAsia" w:ascii="宋体" w:hAnsi="宋体" w:eastAsia="宋体" w:cs="宋体"/>
                <w:color w:val="000000"/>
                <w:kern w:val="0"/>
                <w:szCs w:val="21"/>
              </w:rPr>
              <w:t>支持多种方式对QQ、微信进行解密获取应用的聊天记录及联系人</w:t>
            </w:r>
          </w:p>
        </w:tc>
        <w:tc>
          <w:tcPr>
            <w:tcW w:w="519" w:type="pct"/>
            <w:tcBorders>
              <w:top w:val="nil"/>
              <w:left w:val="nil"/>
              <w:bottom w:val="single" w:color="000000" w:sz="4" w:space="0"/>
              <w:right w:val="single" w:color="000000" w:sz="4" w:space="0"/>
            </w:tcBorders>
            <w:shd w:val="clear" w:color="auto" w:fill="auto"/>
            <w:noWrap/>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w:t>
            </w:r>
          </w:p>
        </w:tc>
      </w:tr>
      <w:tr>
        <w:tblPrEx>
          <w:tblCellMar>
            <w:top w:w="0" w:type="dxa"/>
            <w:left w:w="108" w:type="dxa"/>
            <w:bottom w:w="0" w:type="dxa"/>
            <w:right w:w="108" w:type="dxa"/>
          </w:tblCellMar>
        </w:tblPrEx>
        <w:tc>
          <w:tcPr>
            <w:tcW w:w="371" w:type="pct"/>
            <w:tcBorders>
              <w:top w:val="nil"/>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8</w:t>
            </w:r>
          </w:p>
        </w:tc>
        <w:tc>
          <w:tcPr>
            <w:tcW w:w="561" w:type="pct"/>
            <w:vMerge w:val="restar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系统仿真</w:t>
            </w:r>
          </w:p>
        </w:tc>
        <w:tc>
          <w:tcPr>
            <w:tcW w:w="3549" w:type="pct"/>
            <w:tcBorders>
              <w:top w:val="single" w:color="000000" w:sz="4" w:space="0"/>
              <w:left w:val="nil"/>
              <w:bottom w:val="single" w:color="000000" w:sz="4" w:space="0"/>
              <w:right w:val="single" w:color="000000" w:sz="4" w:space="0"/>
            </w:tcBorders>
            <w:shd w:val="clear" w:color="auto" w:fill="auto"/>
            <w:noWrap/>
            <w:vAlign w:val="center"/>
          </w:tcPr>
          <w:p>
            <w:pPr>
              <w:rPr>
                <w:rFonts w:ascii="宋体" w:hAnsi="宋体" w:eastAsia="宋体" w:cs="宋体"/>
                <w:color w:val="000000"/>
                <w:kern w:val="0"/>
                <w:szCs w:val="21"/>
              </w:rPr>
            </w:pPr>
            <w:r>
              <w:rPr>
                <w:rFonts w:hint="eastAsia" w:ascii="宋体" w:hAnsi="宋体" w:eastAsia="宋体" w:cs="宋体"/>
                <w:color w:val="000000"/>
                <w:kern w:val="0"/>
                <w:szCs w:val="21"/>
              </w:rPr>
              <w:t>支持物理磁盘或者其他存储设备仿真启动，支持DD、E01镜像文件仿真启动，支持伪基站系统仿真</w:t>
            </w:r>
          </w:p>
        </w:tc>
        <w:tc>
          <w:tcPr>
            <w:tcW w:w="519" w:type="pct"/>
            <w:tcBorders>
              <w:top w:val="nil"/>
              <w:left w:val="nil"/>
              <w:bottom w:val="single" w:color="000000" w:sz="4" w:space="0"/>
              <w:right w:val="single" w:color="000000" w:sz="4" w:space="0"/>
            </w:tcBorders>
            <w:shd w:val="clear" w:color="auto" w:fill="auto"/>
            <w:noWrap/>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w:t>
            </w:r>
          </w:p>
        </w:tc>
      </w:tr>
      <w:tr>
        <w:tblPrEx>
          <w:tblCellMar>
            <w:top w:w="0" w:type="dxa"/>
            <w:left w:w="108" w:type="dxa"/>
            <w:bottom w:w="0" w:type="dxa"/>
            <w:right w:w="108" w:type="dxa"/>
          </w:tblCellMar>
        </w:tblPrEx>
        <w:tc>
          <w:tcPr>
            <w:tcW w:w="371" w:type="pct"/>
            <w:tcBorders>
              <w:top w:val="nil"/>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9</w:t>
            </w:r>
          </w:p>
        </w:tc>
        <w:tc>
          <w:tcPr>
            <w:tcW w:w="561" w:type="pct"/>
            <w:vMerge w:val="continue"/>
            <w:tcBorders>
              <w:top w:val="single" w:color="000000" w:sz="4" w:space="0"/>
              <w:left w:val="single" w:color="000000" w:sz="4" w:space="0"/>
              <w:bottom w:val="single" w:color="000000" w:sz="4" w:space="0"/>
              <w:right w:val="single" w:color="000000" w:sz="4" w:space="0"/>
            </w:tcBorders>
            <w:vAlign w:val="center"/>
          </w:tcPr>
          <w:p>
            <w:pPr>
              <w:rPr>
                <w:rFonts w:ascii="宋体" w:hAnsi="宋体" w:eastAsia="宋体" w:cs="宋体"/>
                <w:color w:val="000000"/>
                <w:kern w:val="0"/>
                <w:szCs w:val="21"/>
              </w:rPr>
            </w:pPr>
          </w:p>
        </w:tc>
        <w:tc>
          <w:tcPr>
            <w:tcW w:w="3549" w:type="pct"/>
            <w:tcBorders>
              <w:top w:val="single" w:color="000000" w:sz="4" w:space="0"/>
              <w:left w:val="nil"/>
              <w:bottom w:val="single" w:color="000000" w:sz="4" w:space="0"/>
              <w:right w:val="single" w:color="000000" w:sz="4" w:space="0"/>
            </w:tcBorders>
            <w:shd w:val="clear" w:color="auto" w:fill="auto"/>
            <w:noWrap/>
            <w:vAlign w:val="center"/>
          </w:tcPr>
          <w:p>
            <w:pPr>
              <w:rPr>
                <w:rFonts w:ascii="宋体" w:hAnsi="宋体" w:eastAsia="宋体" w:cs="宋体"/>
                <w:color w:val="000000"/>
                <w:kern w:val="0"/>
                <w:szCs w:val="21"/>
              </w:rPr>
            </w:pPr>
            <w:r>
              <w:rPr>
                <w:rFonts w:hint="eastAsia" w:ascii="宋体" w:hAnsi="宋体" w:eastAsia="宋体" w:cs="宋体"/>
                <w:color w:val="000000"/>
                <w:kern w:val="0"/>
                <w:szCs w:val="21"/>
              </w:rPr>
              <w:t>支持Windows、Linux、Mac系统仿真并绕过密码</w:t>
            </w:r>
            <w:r>
              <w:rPr>
                <w:rFonts w:hint="eastAsia" w:ascii="宋体" w:hAnsi="宋体" w:eastAsia="宋体" w:cs="宋体"/>
                <w:color w:val="000000"/>
                <w:kern w:val="0"/>
                <w:szCs w:val="21"/>
                <w:lang w:val="en-US"/>
              </w:rPr>
              <w:t>,</w:t>
            </w:r>
            <w:r>
              <w:rPr>
                <w:rFonts w:hint="eastAsia" w:ascii="宋体" w:hAnsi="宋体" w:eastAsia="宋体" w:cs="宋体"/>
                <w:color w:val="000000"/>
                <w:kern w:val="0"/>
                <w:szCs w:val="21"/>
              </w:rPr>
              <w:t>支持华为云、阿里云、MikroTIK镜像仿真</w:t>
            </w:r>
          </w:p>
        </w:tc>
        <w:tc>
          <w:tcPr>
            <w:tcW w:w="519" w:type="pct"/>
            <w:tcBorders>
              <w:top w:val="nil"/>
              <w:left w:val="nil"/>
              <w:bottom w:val="single" w:color="000000" w:sz="4" w:space="0"/>
              <w:right w:val="single" w:color="000000" w:sz="4" w:space="0"/>
            </w:tcBorders>
            <w:shd w:val="clear" w:color="auto" w:fill="auto"/>
            <w:noWrap/>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w:t>
            </w:r>
          </w:p>
        </w:tc>
      </w:tr>
      <w:tr>
        <w:tblPrEx>
          <w:tblCellMar>
            <w:top w:w="0" w:type="dxa"/>
            <w:left w:w="108" w:type="dxa"/>
            <w:bottom w:w="0" w:type="dxa"/>
            <w:right w:w="108" w:type="dxa"/>
          </w:tblCellMar>
        </w:tblPrEx>
        <w:tc>
          <w:tcPr>
            <w:tcW w:w="371" w:type="pct"/>
            <w:tcBorders>
              <w:top w:val="nil"/>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10</w:t>
            </w:r>
          </w:p>
        </w:tc>
        <w:tc>
          <w:tcPr>
            <w:tcW w:w="561" w:type="pct"/>
            <w:vMerge w:val="continue"/>
            <w:tcBorders>
              <w:top w:val="single" w:color="000000" w:sz="4" w:space="0"/>
              <w:left w:val="single" w:color="000000" w:sz="4" w:space="0"/>
              <w:bottom w:val="single" w:color="000000" w:sz="4" w:space="0"/>
              <w:right w:val="single" w:color="000000" w:sz="4" w:space="0"/>
            </w:tcBorders>
            <w:vAlign w:val="center"/>
          </w:tcPr>
          <w:p>
            <w:pPr>
              <w:rPr>
                <w:rFonts w:ascii="宋体" w:hAnsi="宋体" w:eastAsia="宋体" w:cs="宋体"/>
                <w:color w:val="000000"/>
                <w:kern w:val="0"/>
                <w:szCs w:val="21"/>
              </w:rPr>
            </w:pPr>
          </w:p>
        </w:tc>
        <w:tc>
          <w:tcPr>
            <w:tcW w:w="3549" w:type="pct"/>
            <w:tcBorders>
              <w:top w:val="single" w:color="000000" w:sz="4" w:space="0"/>
              <w:left w:val="nil"/>
              <w:bottom w:val="single" w:color="000000" w:sz="4" w:space="0"/>
              <w:right w:val="single" w:color="000000" w:sz="4" w:space="0"/>
            </w:tcBorders>
            <w:shd w:val="clear" w:color="auto" w:fill="auto"/>
            <w:noWrap/>
            <w:vAlign w:val="center"/>
          </w:tcPr>
          <w:p>
            <w:pPr>
              <w:rPr>
                <w:rFonts w:ascii="宋体" w:hAnsi="宋体" w:eastAsia="宋体" w:cs="宋体"/>
                <w:color w:val="000000"/>
                <w:kern w:val="0"/>
                <w:szCs w:val="21"/>
              </w:rPr>
            </w:pPr>
            <w:r>
              <w:rPr>
                <w:rFonts w:hint="eastAsia" w:ascii="宋体" w:hAnsi="宋体" w:eastAsia="宋体" w:cs="宋体"/>
                <w:color w:val="000000"/>
                <w:kern w:val="0"/>
                <w:szCs w:val="21"/>
              </w:rPr>
              <w:t>支持网站还原</w:t>
            </w:r>
          </w:p>
        </w:tc>
        <w:tc>
          <w:tcPr>
            <w:tcW w:w="519" w:type="pct"/>
            <w:tcBorders>
              <w:top w:val="nil"/>
              <w:left w:val="nil"/>
              <w:bottom w:val="single" w:color="000000" w:sz="4" w:space="0"/>
              <w:right w:val="single" w:color="000000" w:sz="4" w:space="0"/>
            </w:tcBorders>
            <w:shd w:val="clear" w:color="auto" w:fill="auto"/>
            <w:noWrap/>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w:t>
            </w:r>
          </w:p>
        </w:tc>
      </w:tr>
      <w:tr>
        <w:tblPrEx>
          <w:tblCellMar>
            <w:top w:w="0" w:type="dxa"/>
            <w:left w:w="108" w:type="dxa"/>
            <w:bottom w:w="0" w:type="dxa"/>
            <w:right w:w="108" w:type="dxa"/>
          </w:tblCellMar>
        </w:tblPrEx>
        <w:tc>
          <w:tcPr>
            <w:tcW w:w="371" w:type="pct"/>
            <w:tcBorders>
              <w:top w:val="nil"/>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11</w:t>
            </w:r>
          </w:p>
        </w:tc>
        <w:tc>
          <w:tcPr>
            <w:tcW w:w="561" w:type="pct"/>
            <w:vMerge w:val="restar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数据恢复</w:t>
            </w:r>
          </w:p>
        </w:tc>
        <w:tc>
          <w:tcPr>
            <w:tcW w:w="3549" w:type="pct"/>
            <w:tcBorders>
              <w:top w:val="single" w:color="000000" w:sz="4" w:space="0"/>
              <w:left w:val="nil"/>
              <w:bottom w:val="single" w:color="000000" w:sz="4" w:space="0"/>
              <w:right w:val="single" w:color="000000" w:sz="4" w:space="0"/>
            </w:tcBorders>
            <w:shd w:val="clear" w:color="auto" w:fill="auto"/>
            <w:noWrap/>
            <w:vAlign w:val="center"/>
          </w:tcPr>
          <w:p>
            <w:pPr>
              <w:rPr>
                <w:rFonts w:ascii="宋体" w:hAnsi="宋体" w:eastAsia="宋体" w:cs="宋体"/>
                <w:color w:val="000000"/>
                <w:kern w:val="0"/>
                <w:szCs w:val="21"/>
              </w:rPr>
            </w:pPr>
            <w:r>
              <w:rPr>
                <w:rFonts w:hint="eastAsia" w:ascii="宋体" w:hAnsi="宋体" w:eastAsia="宋体" w:cs="宋体"/>
                <w:color w:val="000000"/>
                <w:kern w:val="0"/>
                <w:szCs w:val="21"/>
              </w:rPr>
              <w:t>支持恢复的存储介质文件系统包括：支持的文件系统：FAT12、FAT16、FAT32、exFAT、NTFS、NTFS5、ReFS、ReFS2、HFS/HFS+、Little和Big Endian类型的UFS1、UFS2以及Ext2、Ext3、Ext4 FS等十余种</w:t>
            </w:r>
          </w:p>
        </w:tc>
        <w:tc>
          <w:tcPr>
            <w:tcW w:w="519" w:type="pct"/>
            <w:tcBorders>
              <w:top w:val="nil"/>
              <w:left w:val="nil"/>
              <w:bottom w:val="single" w:color="000000" w:sz="4" w:space="0"/>
              <w:right w:val="single" w:color="000000" w:sz="4" w:space="0"/>
            </w:tcBorders>
            <w:shd w:val="clear" w:color="auto" w:fill="auto"/>
            <w:noWrap/>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w:t>
            </w:r>
          </w:p>
        </w:tc>
      </w:tr>
      <w:tr>
        <w:tblPrEx>
          <w:tblCellMar>
            <w:top w:w="0" w:type="dxa"/>
            <w:left w:w="108" w:type="dxa"/>
            <w:bottom w:w="0" w:type="dxa"/>
            <w:right w:w="108" w:type="dxa"/>
          </w:tblCellMar>
        </w:tblPrEx>
        <w:tc>
          <w:tcPr>
            <w:tcW w:w="371" w:type="pct"/>
            <w:tcBorders>
              <w:top w:val="nil"/>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12</w:t>
            </w:r>
          </w:p>
        </w:tc>
        <w:tc>
          <w:tcPr>
            <w:tcW w:w="561" w:type="pct"/>
            <w:vMerge w:val="continue"/>
            <w:tcBorders>
              <w:top w:val="single" w:color="000000" w:sz="4" w:space="0"/>
              <w:left w:val="single" w:color="000000" w:sz="4" w:space="0"/>
              <w:bottom w:val="single" w:color="000000" w:sz="4" w:space="0"/>
              <w:right w:val="single" w:color="000000" w:sz="4" w:space="0"/>
            </w:tcBorders>
            <w:vAlign w:val="center"/>
          </w:tcPr>
          <w:p>
            <w:pPr>
              <w:rPr>
                <w:rFonts w:ascii="宋体" w:hAnsi="宋体" w:eastAsia="宋体" w:cs="宋体"/>
                <w:color w:val="000000"/>
                <w:kern w:val="0"/>
                <w:szCs w:val="21"/>
              </w:rPr>
            </w:pPr>
          </w:p>
        </w:tc>
        <w:tc>
          <w:tcPr>
            <w:tcW w:w="3549" w:type="pct"/>
            <w:tcBorders>
              <w:top w:val="single" w:color="000000" w:sz="4" w:space="0"/>
              <w:left w:val="nil"/>
              <w:bottom w:val="single" w:color="000000" w:sz="4" w:space="0"/>
              <w:right w:val="single" w:color="000000" w:sz="4" w:space="0"/>
            </w:tcBorders>
            <w:shd w:val="clear" w:color="auto" w:fill="auto"/>
            <w:noWrap/>
            <w:vAlign w:val="center"/>
          </w:tcPr>
          <w:p>
            <w:pPr>
              <w:rPr>
                <w:rFonts w:ascii="宋体" w:hAnsi="宋体" w:eastAsia="宋体" w:cs="宋体"/>
                <w:color w:val="000000"/>
                <w:kern w:val="0"/>
                <w:szCs w:val="21"/>
              </w:rPr>
            </w:pPr>
            <w:r>
              <w:rPr>
                <w:rFonts w:hint="eastAsia" w:ascii="宋体" w:hAnsi="宋体" w:eastAsia="宋体" w:cs="宋体"/>
                <w:color w:val="000000"/>
                <w:kern w:val="0"/>
                <w:szCs w:val="21"/>
              </w:rPr>
              <w:t>支持恢复和重建存储阵列数据，包括标准RAID级别：0、1、4、5、6</w:t>
            </w:r>
          </w:p>
        </w:tc>
        <w:tc>
          <w:tcPr>
            <w:tcW w:w="519" w:type="pct"/>
            <w:tcBorders>
              <w:top w:val="nil"/>
              <w:left w:val="nil"/>
              <w:bottom w:val="single" w:color="000000" w:sz="4" w:space="0"/>
              <w:right w:val="single" w:color="000000" w:sz="4" w:space="0"/>
            </w:tcBorders>
            <w:shd w:val="clear" w:color="auto" w:fill="auto"/>
            <w:noWrap/>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w:t>
            </w:r>
          </w:p>
        </w:tc>
      </w:tr>
      <w:tr>
        <w:tblPrEx>
          <w:tblCellMar>
            <w:top w:w="0" w:type="dxa"/>
            <w:left w:w="108" w:type="dxa"/>
            <w:bottom w:w="0" w:type="dxa"/>
            <w:right w:w="108" w:type="dxa"/>
          </w:tblCellMar>
        </w:tblPrEx>
        <w:tc>
          <w:tcPr>
            <w:tcW w:w="371" w:type="pct"/>
            <w:tcBorders>
              <w:top w:val="nil"/>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13</w:t>
            </w:r>
          </w:p>
        </w:tc>
        <w:tc>
          <w:tcPr>
            <w:tcW w:w="561"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免拆机提取</w:t>
            </w:r>
          </w:p>
        </w:tc>
        <w:tc>
          <w:tcPr>
            <w:tcW w:w="3549" w:type="pct"/>
            <w:tcBorders>
              <w:top w:val="single" w:color="000000" w:sz="4" w:space="0"/>
              <w:left w:val="nil"/>
              <w:bottom w:val="single" w:color="000000" w:sz="4" w:space="0"/>
              <w:right w:val="single" w:color="000000" w:sz="4" w:space="0"/>
            </w:tcBorders>
            <w:shd w:val="clear" w:color="auto" w:fill="auto"/>
            <w:noWrap/>
            <w:vAlign w:val="center"/>
          </w:tcPr>
          <w:p>
            <w:pPr>
              <w:rPr>
                <w:rFonts w:ascii="宋体" w:hAnsi="宋体" w:eastAsia="宋体" w:cs="宋体"/>
                <w:color w:val="000000"/>
                <w:kern w:val="0"/>
                <w:szCs w:val="21"/>
              </w:rPr>
            </w:pPr>
            <w:r>
              <w:rPr>
                <w:rFonts w:hint="eastAsia" w:ascii="宋体" w:hAnsi="宋体" w:eastAsia="宋体" w:cs="宋体"/>
                <w:color w:val="000000"/>
                <w:kern w:val="0"/>
                <w:szCs w:val="21"/>
              </w:rPr>
              <w:t>支持磁盘物理镜像、内存物理镜像，提供MD5、SHA1等Hash校验方式</w:t>
            </w:r>
          </w:p>
          <w:p>
            <w:pPr>
              <w:rPr>
                <w:rFonts w:ascii="宋体" w:hAnsi="宋体" w:eastAsia="宋体" w:cs="宋体"/>
                <w:color w:val="000000"/>
                <w:kern w:val="0"/>
                <w:szCs w:val="21"/>
              </w:rPr>
            </w:pPr>
            <w:r>
              <w:rPr>
                <w:rFonts w:hint="eastAsia" w:ascii="宋体" w:hAnsi="宋体" w:eastAsia="宋体" w:cs="宋体"/>
                <w:color w:val="000000"/>
                <w:kern w:val="0"/>
                <w:szCs w:val="21"/>
              </w:rPr>
              <w:t>支持自定义文件扫描，快速定位目标文件，可自定义文件类型、文件路径搜索</w:t>
            </w:r>
          </w:p>
          <w:p>
            <w:pPr>
              <w:rPr>
                <w:rFonts w:ascii="宋体" w:hAnsi="宋体" w:eastAsia="宋体" w:cs="宋体"/>
                <w:color w:val="000000"/>
                <w:kern w:val="0"/>
                <w:szCs w:val="21"/>
              </w:rPr>
            </w:pPr>
            <w:r>
              <w:rPr>
                <w:rFonts w:hint="eastAsia" w:ascii="宋体" w:hAnsi="宋体" w:eastAsia="宋体" w:cs="宋体"/>
                <w:color w:val="000000"/>
                <w:kern w:val="0"/>
                <w:szCs w:val="21"/>
              </w:rPr>
              <w:t>支持对计算机所有账户的注册表进行痕迹分析，获取连接过的USB设备、最近使用过的用户文档、最近使用过的文件夹等使用痕迹，支持获取计算机系统运行状态，包括运行进程、运行服务、网络连接状态等</w:t>
            </w:r>
          </w:p>
          <w:p>
            <w:pPr>
              <w:rPr>
                <w:rFonts w:ascii="宋体" w:hAnsi="宋体" w:eastAsia="宋体" w:cs="宋体"/>
                <w:color w:val="000000"/>
                <w:kern w:val="0"/>
                <w:szCs w:val="21"/>
              </w:rPr>
            </w:pPr>
            <w:r>
              <w:rPr>
                <w:rFonts w:hint="eastAsia" w:ascii="宋体" w:hAnsi="宋体" w:eastAsia="宋体" w:cs="宋体"/>
                <w:color w:val="000000"/>
                <w:kern w:val="0"/>
                <w:szCs w:val="21"/>
              </w:rPr>
              <w:t>支持获取Firefox、Chrome等浏览器浏览记录及保存的用户账号、密码</w:t>
            </w:r>
          </w:p>
          <w:p>
            <w:pPr>
              <w:rPr>
                <w:rFonts w:ascii="宋体" w:hAnsi="宋体" w:eastAsia="宋体" w:cs="宋体"/>
                <w:color w:val="000000"/>
                <w:kern w:val="0"/>
                <w:szCs w:val="21"/>
              </w:rPr>
            </w:pPr>
            <w:r>
              <w:rPr>
                <w:rFonts w:hint="eastAsia" w:ascii="宋体" w:hAnsi="宋体" w:eastAsia="宋体" w:cs="宋体"/>
                <w:color w:val="000000"/>
                <w:kern w:val="0"/>
                <w:szCs w:val="21"/>
              </w:rPr>
              <w:t>支持启动Windows 7、Windows 8、Windows 10、Linux 系统（包括麒麟、Ubuntu、Redhat、CentOS 等系统）、MacOS等系统设备</w:t>
            </w:r>
          </w:p>
        </w:tc>
        <w:tc>
          <w:tcPr>
            <w:tcW w:w="519" w:type="pct"/>
            <w:tcBorders>
              <w:top w:val="nil"/>
              <w:left w:val="nil"/>
              <w:bottom w:val="single" w:color="000000" w:sz="4" w:space="0"/>
              <w:right w:val="single" w:color="000000" w:sz="4" w:space="0"/>
            </w:tcBorders>
            <w:shd w:val="clear" w:color="auto" w:fill="auto"/>
            <w:noWrap/>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w:t>
            </w:r>
          </w:p>
        </w:tc>
      </w:tr>
      <w:tr>
        <w:tblPrEx>
          <w:tblCellMar>
            <w:top w:w="0" w:type="dxa"/>
            <w:left w:w="108" w:type="dxa"/>
            <w:bottom w:w="0" w:type="dxa"/>
            <w:right w:w="108" w:type="dxa"/>
          </w:tblCellMar>
        </w:tblPrEx>
        <w:tc>
          <w:tcPr>
            <w:tcW w:w="371" w:type="pct"/>
            <w:tcBorders>
              <w:top w:val="nil"/>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14</w:t>
            </w:r>
          </w:p>
        </w:tc>
        <w:tc>
          <w:tcPr>
            <w:tcW w:w="561" w:type="pct"/>
            <w:tcBorders>
              <w:top w:val="single" w:color="000000" w:sz="4" w:space="0"/>
              <w:left w:val="nil"/>
              <w:bottom w:val="single" w:color="000000" w:sz="4" w:space="0"/>
              <w:right w:val="single" w:color="000000" w:sz="4" w:space="0"/>
            </w:tcBorders>
            <w:shd w:val="clear" w:color="auto" w:fill="auto"/>
            <w:noWrap/>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物联网管理API</w:t>
            </w:r>
          </w:p>
        </w:tc>
        <w:tc>
          <w:tcPr>
            <w:tcW w:w="3549" w:type="pct"/>
            <w:tcBorders>
              <w:top w:val="single" w:color="000000" w:sz="4" w:space="0"/>
              <w:left w:val="nil"/>
              <w:bottom w:val="single" w:color="000000" w:sz="4" w:space="0"/>
              <w:right w:val="single" w:color="000000" w:sz="4" w:space="0"/>
            </w:tcBorders>
            <w:shd w:val="clear" w:color="auto" w:fill="auto"/>
            <w:vAlign w:val="center"/>
          </w:tcPr>
          <w:p>
            <w:pPr>
              <w:rPr>
                <w:rFonts w:ascii="宋体" w:hAnsi="宋体" w:eastAsia="宋体" w:cs="宋体"/>
                <w:color w:val="000000"/>
                <w:kern w:val="0"/>
                <w:szCs w:val="21"/>
              </w:rPr>
            </w:pPr>
            <w:r>
              <w:rPr>
                <w:rFonts w:hint="eastAsia" w:ascii="宋体" w:hAnsi="宋体" w:eastAsia="宋体" w:cs="宋体"/>
                <w:color w:val="000000"/>
                <w:kern w:val="0"/>
                <w:szCs w:val="21"/>
              </w:rPr>
              <w:t>支持开放的物联网管理API接口，供实验室管理系统采集设备工作状态和工作量</w:t>
            </w:r>
          </w:p>
        </w:tc>
        <w:tc>
          <w:tcPr>
            <w:tcW w:w="519" w:type="pct"/>
            <w:tcBorders>
              <w:top w:val="nil"/>
              <w:left w:val="nil"/>
              <w:bottom w:val="single" w:color="000000" w:sz="4" w:space="0"/>
              <w:right w:val="single" w:color="000000" w:sz="4" w:space="0"/>
            </w:tcBorders>
            <w:shd w:val="clear" w:color="auto" w:fill="auto"/>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w:t>
            </w:r>
          </w:p>
        </w:tc>
      </w:tr>
    </w:tbl>
    <w:p>
      <w:pPr>
        <w:pStyle w:val="5"/>
        <w:spacing w:before="15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第3包 电子物证现场提取设备</w:t>
      </w:r>
      <w:r>
        <w:rPr>
          <w:rFonts w:hint="default" w:ascii="Times New Roman" w:hAnsi="Times New Roman" w:cs="Times New Roman" w:eastAsiaTheme="minorEastAsia"/>
          <w:szCs w:val="21"/>
        </w:rPr>
        <w:t>Ⅲ</w:t>
      </w:r>
    </w:p>
    <w:tbl>
      <w:tblPr>
        <w:tblStyle w:val="81"/>
        <w:tblW w:w="4582" w:type="pct"/>
        <w:tblInd w:w="0" w:type="dxa"/>
        <w:tblLayout w:type="fixed"/>
        <w:tblCellMar>
          <w:top w:w="0" w:type="dxa"/>
          <w:left w:w="108" w:type="dxa"/>
          <w:bottom w:w="0" w:type="dxa"/>
          <w:right w:w="108" w:type="dxa"/>
        </w:tblCellMar>
      </w:tblPr>
      <w:tblGrid>
        <w:gridCol w:w="593"/>
        <w:gridCol w:w="872"/>
        <w:gridCol w:w="5537"/>
        <w:gridCol w:w="808"/>
      </w:tblGrid>
      <w:tr>
        <w:tblPrEx>
          <w:tblCellMar>
            <w:top w:w="0" w:type="dxa"/>
            <w:left w:w="108" w:type="dxa"/>
            <w:bottom w:w="0" w:type="dxa"/>
            <w:right w:w="108" w:type="dxa"/>
          </w:tblCellMar>
        </w:tblPrEx>
        <w:trPr>
          <w:trHeight w:val="600" w:hRule="atLeast"/>
        </w:trPr>
        <w:tc>
          <w:tcPr>
            <w:tcW w:w="38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b/>
                <w:bCs/>
                <w:color w:val="000000"/>
                <w:kern w:val="0"/>
                <w:szCs w:val="21"/>
              </w:rPr>
            </w:pPr>
            <w:r>
              <w:rPr>
                <w:rFonts w:hint="eastAsia" w:ascii="宋体" w:hAnsi="宋体" w:eastAsia="宋体" w:cs="宋体"/>
                <w:b/>
                <w:bCs/>
                <w:color w:val="000000"/>
                <w:kern w:val="0"/>
                <w:szCs w:val="21"/>
              </w:rPr>
              <w:t>序号</w:t>
            </w: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b/>
                <w:bCs/>
                <w:color w:val="000000"/>
                <w:kern w:val="0"/>
                <w:szCs w:val="21"/>
              </w:rPr>
            </w:pPr>
            <w:r>
              <w:rPr>
                <w:rFonts w:hint="eastAsia" w:ascii="宋体" w:hAnsi="宋体" w:eastAsia="宋体" w:cs="宋体"/>
                <w:b/>
                <w:bCs/>
                <w:color w:val="000000"/>
                <w:kern w:val="0"/>
                <w:szCs w:val="21"/>
              </w:rPr>
              <w:t>指标项</w:t>
            </w:r>
          </w:p>
        </w:tc>
        <w:tc>
          <w:tcPr>
            <w:tcW w:w="3545" w:type="pct"/>
            <w:tcBorders>
              <w:top w:val="single" w:color="000000" w:sz="4" w:space="0"/>
              <w:left w:val="nil"/>
              <w:bottom w:val="single" w:color="000000" w:sz="4" w:space="0"/>
              <w:right w:val="single" w:color="000000" w:sz="4" w:space="0"/>
            </w:tcBorders>
            <w:shd w:val="clear" w:color="auto" w:fill="auto"/>
            <w:vAlign w:val="center"/>
          </w:tcPr>
          <w:p>
            <w:pPr>
              <w:jc w:val="center"/>
              <w:rPr>
                <w:rFonts w:ascii="宋体" w:hAnsi="宋体" w:eastAsia="宋体" w:cs="宋体"/>
                <w:b/>
                <w:bCs/>
                <w:color w:val="000000"/>
                <w:kern w:val="0"/>
                <w:szCs w:val="21"/>
              </w:rPr>
            </w:pPr>
            <w:r>
              <w:rPr>
                <w:rFonts w:hint="eastAsia" w:ascii="宋体" w:hAnsi="宋体" w:eastAsia="宋体" w:cs="宋体"/>
                <w:b/>
                <w:bCs/>
                <w:color w:val="000000"/>
                <w:kern w:val="0"/>
                <w:szCs w:val="21"/>
              </w:rPr>
              <w:t>指标要求</w:t>
            </w:r>
          </w:p>
        </w:tc>
        <w:tc>
          <w:tcPr>
            <w:tcW w:w="517" w:type="pct"/>
            <w:tcBorders>
              <w:top w:val="single" w:color="000000" w:sz="4" w:space="0"/>
              <w:left w:val="nil"/>
              <w:bottom w:val="single" w:color="000000" w:sz="4" w:space="0"/>
              <w:right w:val="single" w:color="000000" w:sz="4" w:space="0"/>
            </w:tcBorders>
            <w:shd w:val="clear" w:color="auto" w:fill="auto"/>
            <w:vAlign w:val="center"/>
          </w:tcPr>
          <w:p>
            <w:pPr>
              <w:jc w:val="center"/>
              <w:rPr>
                <w:rFonts w:ascii="宋体" w:hAnsi="宋体" w:eastAsia="宋体" w:cs="宋体"/>
                <w:b/>
                <w:bCs/>
                <w:color w:val="000000"/>
                <w:kern w:val="0"/>
                <w:szCs w:val="21"/>
              </w:rPr>
            </w:pPr>
            <w:r>
              <w:rPr>
                <w:rFonts w:hint="eastAsia" w:ascii="宋体" w:hAnsi="宋体" w:eastAsia="宋体" w:cs="宋体"/>
                <w:b/>
                <w:bCs/>
                <w:color w:val="000000"/>
                <w:kern w:val="0"/>
                <w:szCs w:val="21"/>
              </w:rPr>
              <w:t>证明材料要求</w:t>
            </w:r>
          </w:p>
        </w:tc>
      </w:tr>
      <w:tr>
        <w:tblPrEx>
          <w:tblCellMar>
            <w:top w:w="0" w:type="dxa"/>
            <w:left w:w="108" w:type="dxa"/>
            <w:bottom w:w="0" w:type="dxa"/>
            <w:right w:w="108" w:type="dxa"/>
          </w:tblCellMar>
        </w:tblPrEx>
        <w:trPr>
          <w:trHeight w:val="3348" w:hRule="atLeast"/>
        </w:trPr>
        <w:tc>
          <w:tcPr>
            <w:tcW w:w="380" w:type="pct"/>
            <w:tcBorders>
              <w:top w:val="nil"/>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1</w:t>
            </w:r>
          </w:p>
        </w:tc>
        <w:tc>
          <w:tcPr>
            <w:tcW w:w="558" w:type="pct"/>
            <w:tcBorders>
              <w:top w:val="single" w:color="000000" w:sz="4" w:space="0"/>
              <w:left w:val="nil"/>
              <w:bottom w:val="single" w:color="000000" w:sz="4" w:space="0"/>
              <w:right w:val="single" w:color="000000" w:sz="4" w:space="0"/>
            </w:tcBorders>
            <w:shd w:val="clear" w:color="auto" w:fill="auto"/>
            <w:noWrap/>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硬件要求</w:t>
            </w:r>
          </w:p>
        </w:tc>
        <w:tc>
          <w:tcPr>
            <w:tcW w:w="3545" w:type="pct"/>
            <w:tcBorders>
              <w:top w:val="single" w:color="000000" w:sz="4" w:space="0"/>
              <w:left w:val="nil"/>
              <w:bottom w:val="single" w:color="000000" w:sz="4" w:space="0"/>
              <w:right w:val="single" w:color="000000" w:sz="4" w:space="0"/>
            </w:tcBorders>
            <w:shd w:val="clear" w:color="auto" w:fill="auto"/>
            <w:vAlign w:val="center"/>
          </w:tcPr>
          <w:p>
            <w:pPr>
              <w:rPr>
                <w:rFonts w:ascii="宋体" w:hAnsi="宋体" w:eastAsia="宋体" w:cs="宋体"/>
                <w:color w:val="000000"/>
                <w:kern w:val="0"/>
                <w:szCs w:val="21"/>
              </w:rPr>
            </w:pPr>
            <w:r>
              <w:rPr>
                <w:rFonts w:hint="eastAsia" w:ascii="宋体" w:hAnsi="宋体" w:eastAsia="宋体" w:cs="宋体"/>
                <w:color w:val="000000"/>
                <w:kern w:val="0"/>
                <w:szCs w:val="21"/>
              </w:rPr>
              <w:t>1、处理器：处理器加速频率不低于4.5GHz，不低于20线程</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2、显卡：不低于4G独立显卡</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3、内存：不低于32G DDR5</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4、屏幕：不低于14英寸</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5、存储：不低于2T SSD固态存储</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6、外接接口：不少于1个只读SAS/SATA接口、1个只读USB3.0接口、1个只读多合一读卡器模块、1个只读IDE接口、1个只读PCI-E接口</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7、光驱：不少于1个外置蓝光刻录机</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8、勘查箱：配备防潮、防水、防震的军用级勘查箱</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9、其他配件：不少于1套手机数据连接线套装、1个手机信号屏蔽袋</w:t>
            </w:r>
          </w:p>
        </w:tc>
        <w:tc>
          <w:tcPr>
            <w:tcW w:w="517" w:type="pct"/>
            <w:tcBorders>
              <w:top w:val="nil"/>
              <w:left w:val="nil"/>
              <w:bottom w:val="single" w:color="000000" w:sz="4" w:space="0"/>
              <w:right w:val="single" w:color="000000" w:sz="4" w:space="0"/>
            </w:tcBorders>
            <w:shd w:val="clear" w:color="auto" w:fill="auto"/>
          </w:tcPr>
          <w:p>
            <w:pPr>
              <w:jc w:val="center"/>
              <w:rPr>
                <w:rFonts w:ascii="宋体" w:hAnsi="宋体" w:eastAsia="宋体" w:cs="宋体"/>
                <w:b/>
                <w:bCs/>
                <w:color w:val="000000"/>
                <w:kern w:val="0"/>
                <w:szCs w:val="21"/>
              </w:rPr>
            </w:pPr>
            <w:r>
              <w:rPr>
                <w:rFonts w:hint="eastAsia" w:ascii="宋体" w:hAnsi="宋体" w:eastAsia="宋体" w:cs="宋体"/>
                <w:color w:val="000000"/>
                <w:kern w:val="0"/>
                <w:szCs w:val="21"/>
              </w:rPr>
              <w:t>/</w:t>
            </w:r>
          </w:p>
        </w:tc>
      </w:tr>
      <w:tr>
        <w:tblPrEx>
          <w:tblCellMar>
            <w:top w:w="0" w:type="dxa"/>
            <w:left w:w="108" w:type="dxa"/>
            <w:bottom w:w="0" w:type="dxa"/>
            <w:right w:w="108" w:type="dxa"/>
          </w:tblCellMar>
        </w:tblPrEx>
        <w:tc>
          <w:tcPr>
            <w:tcW w:w="380" w:type="pct"/>
            <w:tcBorders>
              <w:top w:val="nil"/>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2</w:t>
            </w:r>
          </w:p>
        </w:tc>
        <w:tc>
          <w:tcPr>
            <w:tcW w:w="55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硬盘复制</w:t>
            </w:r>
          </w:p>
        </w:tc>
        <w:tc>
          <w:tcPr>
            <w:tcW w:w="3545" w:type="pct"/>
            <w:tcBorders>
              <w:top w:val="single" w:color="000000" w:sz="4" w:space="0"/>
              <w:left w:val="nil"/>
              <w:bottom w:val="single" w:color="000000" w:sz="4" w:space="0"/>
              <w:right w:val="single" w:color="000000" w:sz="4" w:space="0"/>
            </w:tcBorders>
            <w:shd w:val="clear" w:color="auto" w:fill="auto"/>
            <w:noWrap/>
            <w:vAlign w:val="center"/>
          </w:tcPr>
          <w:p>
            <w:pPr>
              <w:rPr>
                <w:rFonts w:ascii="宋体" w:hAnsi="宋体" w:eastAsia="宋体" w:cs="宋体"/>
                <w:color w:val="000000"/>
                <w:kern w:val="0"/>
                <w:szCs w:val="21"/>
              </w:rPr>
            </w:pPr>
            <w:r>
              <w:rPr>
                <w:rFonts w:hint="eastAsia" w:ascii="宋体" w:hAnsi="宋体" w:eastAsia="宋体" w:cs="宋体"/>
                <w:color w:val="000000"/>
                <w:kern w:val="0"/>
                <w:szCs w:val="21"/>
              </w:rPr>
              <w:t>支持不少于2路硬盘同时复制</w:t>
            </w:r>
          </w:p>
        </w:tc>
        <w:tc>
          <w:tcPr>
            <w:tcW w:w="517" w:type="pct"/>
            <w:tcBorders>
              <w:top w:val="nil"/>
              <w:left w:val="nil"/>
              <w:bottom w:val="single" w:color="000000" w:sz="4" w:space="0"/>
              <w:right w:val="single" w:color="000000" w:sz="4" w:space="0"/>
            </w:tcBorders>
            <w:shd w:val="clear" w:color="auto" w:fill="auto"/>
            <w:noWrap/>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w:t>
            </w:r>
          </w:p>
        </w:tc>
      </w:tr>
      <w:tr>
        <w:tblPrEx>
          <w:tblCellMar>
            <w:top w:w="0" w:type="dxa"/>
            <w:left w:w="108" w:type="dxa"/>
            <w:bottom w:w="0" w:type="dxa"/>
            <w:right w:w="108" w:type="dxa"/>
          </w:tblCellMar>
        </w:tblPrEx>
        <w:tc>
          <w:tcPr>
            <w:tcW w:w="380" w:type="pct"/>
            <w:tcBorders>
              <w:top w:val="nil"/>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lang w:val="en-US"/>
              </w:rPr>
              <w:t>3</w:t>
            </w:r>
          </w:p>
        </w:tc>
        <w:tc>
          <w:tcPr>
            <w:tcW w:w="558" w:type="pct"/>
            <w:vMerge w:val="continue"/>
            <w:tcBorders>
              <w:top w:val="single" w:color="000000" w:sz="4" w:space="0"/>
              <w:left w:val="single" w:color="000000" w:sz="4" w:space="0"/>
              <w:bottom w:val="single" w:color="000000" w:sz="4" w:space="0"/>
              <w:right w:val="single" w:color="000000" w:sz="4" w:space="0"/>
            </w:tcBorders>
            <w:vAlign w:val="center"/>
          </w:tcPr>
          <w:p>
            <w:pPr>
              <w:rPr>
                <w:rFonts w:ascii="宋体" w:hAnsi="宋体" w:eastAsia="宋体" w:cs="宋体"/>
                <w:color w:val="000000"/>
                <w:kern w:val="0"/>
                <w:szCs w:val="21"/>
              </w:rPr>
            </w:pPr>
          </w:p>
        </w:tc>
        <w:tc>
          <w:tcPr>
            <w:tcW w:w="3545" w:type="pct"/>
            <w:tcBorders>
              <w:top w:val="single" w:color="000000" w:sz="4" w:space="0"/>
              <w:left w:val="nil"/>
              <w:bottom w:val="single" w:color="000000" w:sz="4" w:space="0"/>
              <w:right w:val="single" w:color="000000" w:sz="4" w:space="0"/>
            </w:tcBorders>
            <w:shd w:val="clear" w:color="auto" w:fill="auto"/>
            <w:noWrap/>
            <w:vAlign w:val="center"/>
          </w:tcPr>
          <w:p>
            <w:pPr>
              <w:rPr>
                <w:rFonts w:ascii="宋体" w:hAnsi="宋体" w:eastAsia="宋体" w:cs="宋体"/>
                <w:color w:val="000000"/>
                <w:kern w:val="0"/>
                <w:szCs w:val="21"/>
              </w:rPr>
            </w:pPr>
            <w:r>
              <w:rPr>
                <w:rFonts w:hint="eastAsia" w:ascii="宋体" w:hAnsi="宋体" w:eastAsia="宋体" w:cs="宋体"/>
                <w:color w:val="000000"/>
                <w:kern w:val="0"/>
                <w:szCs w:val="21"/>
              </w:rPr>
              <w:t>支持自动识别HPA、DCO隐藏区域，并可进行复制、镜像等操作</w:t>
            </w:r>
            <w:r>
              <w:rPr>
                <w:rFonts w:hint="eastAsia" w:ascii="宋体" w:hAnsi="宋体" w:eastAsia="宋体" w:cs="宋体"/>
                <w:color w:val="000000"/>
                <w:kern w:val="0"/>
                <w:szCs w:val="21"/>
                <w:lang w:val="en-US" w:eastAsia="zh-CN"/>
              </w:rPr>
              <w:t>；</w:t>
            </w:r>
            <w:r>
              <w:rPr>
                <w:rFonts w:hint="eastAsia" w:ascii="宋体" w:hAnsi="宋体" w:eastAsia="宋体" w:cs="宋体"/>
                <w:color w:val="000000"/>
                <w:kern w:val="0"/>
                <w:szCs w:val="21"/>
              </w:rPr>
              <w:t>支持对异常扇区磁盘多次尝试复制功能，多次尝试复制失败后系统自动跳过异常扇区继续进行复制操作</w:t>
            </w:r>
          </w:p>
        </w:tc>
        <w:tc>
          <w:tcPr>
            <w:tcW w:w="517" w:type="pct"/>
            <w:tcBorders>
              <w:top w:val="nil"/>
              <w:left w:val="nil"/>
              <w:bottom w:val="single" w:color="000000" w:sz="4" w:space="0"/>
              <w:right w:val="single" w:color="000000" w:sz="4" w:space="0"/>
            </w:tcBorders>
            <w:shd w:val="clear" w:color="auto" w:fill="auto"/>
            <w:noWrap/>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w:t>
            </w:r>
          </w:p>
        </w:tc>
      </w:tr>
      <w:tr>
        <w:tblPrEx>
          <w:tblCellMar>
            <w:top w:w="0" w:type="dxa"/>
            <w:left w:w="108" w:type="dxa"/>
            <w:bottom w:w="0" w:type="dxa"/>
            <w:right w:w="108" w:type="dxa"/>
          </w:tblCellMar>
        </w:tblPrEx>
        <w:tc>
          <w:tcPr>
            <w:tcW w:w="380" w:type="pct"/>
            <w:tcBorders>
              <w:top w:val="nil"/>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lang w:val="en-US"/>
              </w:rPr>
              <w:t>4</w:t>
            </w:r>
          </w:p>
        </w:tc>
        <w:tc>
          <w:tcPr>
            <w:tcW w:w="55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kern w:val="0"/>
                <w:szCs w:val="21"/>
              </w:rPr>
            </w:pPr>
          </w:p>
        </w:tc>
        <w:tc>
          <w:tcPr>
            <w:tcW w:w="3545" w:type="pct"/>
            <w:tcBorders>
              <w:top w:val="single" w:color="000000" w:sz="4" w:space="0"/>
              <w:left w:val="nil"/>
              <w:bottom w:val="single" w:color="000000" w:sz="4" w:space="0"/>
              <w:right w:val="single" w:color="000000" w:sz="4" w:space="0"/>
            </w:tcBorders>
            <w:shd w:val="clear" w:color="auto" w:fill="auto"/>
            <w:noWrap/>
            <w:vAlign w:val="center"/>
          </w:tcPr>
          <w:p>
            <w:pPr>
              <w:rPr>
                <w:rFonts w:ascii="宋体" w:hAnsi="宋体" w:eastAsia="宋体" w:cs="宋体"/>
                <w:color w:val="000000"/>
                <w:kern w:val="0"/>
                <w:szCs w:val="21"/>
              </w:rPr>
            </w:pPr>
            <w:r>
              <w:rPr>
                <w:rFonts w:hint="eastAsia" w:ascii="宋体" w:hAnsi="宋体" w:eastAsia="宋体" w:cs="宋体"/>
                <w:color w:val="000000"/>
                <w:kern w:val="0"/>
                <w:szCs w:val="21"/>
                <w:lang w:eastAsia="zh-CN"/>
              </w:rPr>
              <w:t>具备镜像功能</w:t>
            </w:r>
            <w:r>
              <w:rPr>
                <w:rFonts w:hint="eastAsia" w:ascii="宋体" w:hAnsi="宋体" w:eastAsia="宋体" w:cs="宋体"/>
                <w:color w:val="000000"/>
                <w:kern w:val="0"/>
                <w:szCs w:val="21"/>
              </w:rPr>
              <w:t>，支持对硬盘复制和镜像时的断点续传功能</w:t>
            </w:r>
            <w:r>
              <w:rPr>
                <w:rFonts w:hint="eastAsia" w:ascii="宋体" w:hAnsi="宋体" w:eastAsia="宋体" w:cs="宋体"/>
                <w:color w:val="000000"/>
                <w:kern w:val="0"/>
                <w:szCs w:val="21"/>
                <w:lang w:val="en-US"/>
              </w:rPr>
              <w:t>,</w:t>
            </w:r>
            <w:r>
              <w:rPr>
                <w:rFonts w:hint="eastAsia" w:ascii="宋体" w:hAnsi="宋体" w:eastAsia="宋体" w:cs="宋体"/>
                <w:color w:val="000000"/>
                <w:kern w:val="0"/>
                <w:szCs w:val="21"/>
              </w:rPr>
              <w:t>需支持 MD5</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SHA1</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SHA-256等格式的校验</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支持DD镜像、E01镜像、AFF镜像文件制作功能</w:t>
            </w:r>
          </w:p>
        </w:tc>
        <w:tc>
          <w:tcPr>
            <w:tcW w:w="517" w:type="pct"/>
            <w:tcBorders>
              <w:top w:val="nil"/>
              <w:left w:val="nil"/>
              <w:bottom w:val="single" w:color="000000" w:sz="4" w:space="0"/>
              <w:right w:val="single" w:color="000000" w:sz="4" w:space="0"/>
            </w:tcBorders>
            <w:shd w:val="clear" w:color="auto" w:fill="auto"/>
            <w:noWrap/>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w:t>
            </w:r>
          </w:p>
        </w:tc>
      </w:tr>
      <w:tr>
        <w:tblPrEx>
          <w:tblCellMar>
            <w:top w:w="0" w:type="dxa"/>
            <w:left w:w="108" w:type="dxa"/>
            <w:bottom w:w="0" w:type="dxa"/>
            <w:right w:w="108" w:type="dxa"/>
          </w:tblCellMar>
        </w:tblPrEx>
        <w:tc>
          <w:tcPr>
            <w:tcW w:w="380" w:type="pct"/>
            <w:tcBorders>
              <w:top w:val="nil"/>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lang w:val="en-US"/>
              </w:rPr>
              <w:t>5</w:t>
            </w:r>
          </w:p>
        </w:tc>
        <w:tc>
          <w:tcPr>
            <w:tcW w:w="558"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取证能力</w:t>
            </w:r>
          </w:p>
        </w:tc>
        <w:tc>
          <w:tcPr>
            <w:tcW w:w="3545" w:type="pct"/>
            <w:tcBorders>
              <w:top w:val="single" w:color="000000" w:sz="4" w:space="0"/>
              <w:left w:val="nil"/>
              <w:bottom w:val="single" w:color="000000" w:sz="4" w:space="0"/>
              <w:right w:val="single" w:color="000000" w:sz="4" w:space="0"/>
            </w:tcBorders>
            <w:shd w:val="clear" w:color="auto" w:fill="auto"/>
            <w:noWrap/>
            <w:vAlign w:val="center"/>
          </w:tcPr>
          <w:p>
            <w:pPr>
              <w:rPr>
                <w:rFonts w:ascii="宋体" w:hAnsi="宋体" w:eastAsia="宋体" w:cs="宋体"/>
                <w:color w:val="000000"/>
                <w:kern w:val="0"/>
                <w:szCs w:val="21"/>
              </w:rPr>
            </w:pPr>
            <w:r>
              <w:rPr>
                <w:rFonts w:hint="eastAsia" w:ascii="宋体" w:hAnsi="宋体" w:eastAsia="宋体" w:cs="宋体"/>
                <w:color w:val="000000"/>
                <w:kern w:val="0"/>
                <w:szCs w:val="21"/>
              </w:rPr>
              <w:t>支持FAT12/16/32、NTFS、Ext2/Ext3、HFS和HFS+的文件系统的磁盘、镜像分析</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支持虚拟机、模拟器嵌套镜像</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支持APFS文件系统解密加载</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支持加载VHD、VHDX、VMDK虚拟机镜像；</w:t>
            </w:r>
          </w:p>
          <w:p>
            <w:pPr>
              <w:rPr>
                <w:rFonts w:ascii="宋体" w:hAnsi="宋体" w:eastAsia="宋体" w:cs="宋体"/>
                <w:color w:val="000000"/>
                <w:kern w:val="0"/>
                <w:szCs w:val="21"/>
              </w:rPr>
            </w:pPr>
            <w:r>
              <w:rPr>
                <w:rFonts w:hint="eastAsia" w:ascii="宋体" w:hAnsi="宋体" w:eastAsia="宋体" w:cs="宋体"/>
                <w:color w:val="000000"/>
                <w:kern w:val="0"/>
                <w:szCs w:val="21"/>
              </w:rPr>
              <w:t>支持磁盘、镜像中删除文件、目录的恢复；</w:t>
            </w:r>
          </w:p>
          <w:p>
            <w:pPr>
              <w:rPr>
                <w:rFonts w:ascii="宋体" w:hAnsi="宋体" w:eastAsia="宋体" w:cs="宋体"/>
                <w:color w:val="000000"/>
                <w:kern w:val="0"/>
                <w:szCs w:val="21"/>
              </w:rPr>
            </w:pPr>
            <w:r>
              <w:rPr>
                <w:rFonts w:hint="eastAsia" w:ascii="宋体" w:hAnsi="宋体" w:eastAsia="宋体" w:cs="宋体"/>
                <w:color w:val="000000"/>
                <w:kern w:val="0"/>
                <w:szCs w:val="21"/>
              </w:rPr>
              <w:t>文件系统支持列表视图、图库视图展示，可按文件名、文件时间、文件大小、文件属性等进行多条件组合智能筛选，同时支持按照常用目录及案件类型快速筛选文件</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支持文件快速筛选，选择筛选结果文件后同屏展现同级目录下文件、文件夹；</w:t>
            </w:r>
          </w:p>
          <w:p>
            <w:pPr>
              <w:rPr>
                <w:rFonts w:ascii="宋体" w:hAnsi="宋体" w:eastAsia="宋体" w:cs="宋体"/>
                <w:color w:val="000000"/>
                <w:kern w:val="0"/>
                <w:szCs w:val="21"/>
              </w:rPr>
            </w:pPr>
            <w:r>
              <w:rPr>
                <w:rFonts w:hint="eastAsia" w:ascii="宋体" w:hAnsi="宋体" w:eastAsia="宋体" w:cs="宋体"/>
                <w:color w:val="000000"/>
                <w:kern w:val="0"/>
                <w:szCs w:val="21"/>
              </w:rPr>
              <w:t>支持关键词搜索、正则搜索，可自定义正则表达式，创建正则集合，支持多编码搜索；</w:t>
            </w:r>
          </w:p>
          <w:p>
            <w:pPr>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支持图库模式浏览图片，可按图片大小、创建时间、访问时间、修改时间对图片进行筛选</w:t>
            </w:r>
            <w:r>
              <w:rPr>
                <w:rFonts w:hint="eastAsia" w:ascii="宋体" w:hAnsi="宋体" w:eastAsia="宋体" w:cs="宋体"/>
                <w:color w:val="000000"/>
                <w:kern w:val="0"/>
                <w:szCs w:val="21"/>
                <w:lang w:eastAsia="zh-CN"/>
              </w:rPr>
              <w:t>；</w:t>
            </w:r>
          </w:p>
          <w:p>
            <w:pPr>
              <w:rPr>
                <w:rFonts w:ascii="宋体" w:hAnsi="宋体" w:eastAsia="宋体" w:cs="宋体"/>
                <w:color w:val="000000"/>
                <w:kern w:val="0"/>
                <w:szCs w:val="21"/>
              </w:rPr>
            </w:pPr>
            <w:r>
              <w:rPr>
                <w:rFonts w:hint="eastAsia" w:ascii="宋体" w:hAnsi="宋体" w:eastAsia="宋体" w:cs="宋体"/>
                <w:color w:val="000000"/>
                <w:kern w:val="0"/>
                <w:szCs w:val="21"/>
              </w:rPr>
              <w:t>支持对Windows的系统信息、通知、windows便笺、注册表（获取连接过的USB设备、最近使用过的文件夹等）、系统痕迹（Wi-Fi连接记录、NTFS日志等）；</w:t>
            </w:r>
          </w:p>
          <w:p>
            <w:pPr>
              <w:rPr>
                <w:rFonts w:ascii="宋体" w:hAnsi="宋体" w:eastAsia="宋体" w:cs="宋体"/>
                <w:color w:val="000000"/>
                <w:kern w:val="0"/>
                <w:szCs w:val="21"/>
              </w:rPr>
            </w:pPr>
            <w:r>
              <w:rPr>
                <w:rFonts w:hint="eastAsia" w:ascii="宋体" w:hAnsi="宋体" w:eastAsia="宋体" w:cs="宋体"/>
                <w:color w:val="000000"/>
                <w:kern w:val="0"/>
                <w:szCs w:val="21"/>
              </w:rPr>
              <w:t>支持浏览器、邮箱、输入法、压缩程序、视频播放工具、下载工具应用解析；</w:t>
            </w:r>
          </w:p>
          <w:p>
            <w:pPr>
              <w:rPr>
                <w:rFonts w:ascii="宋体" w:hAnsi="宋体" w:eastAsia="宋体" w:cs="宋体"/>
                <w:color w:val="000000"/>
                <w:kern w:val="0"/>
                <w:szCs w:val="21"/>
              </w:rPr>
            </w:pPr>
            <w:r>
              <w:rPr>
                <w:rFonts w:hint="eastAsia" w:ascii="宋体" w:hAnsi="宋体" w:eastAsia="宋体" w:cs="宋体"/>
                <w:color w:val="000000"/>
                <w:kern w:val="0"/>
                <w:szCs w:val="21"/>
              </w:rPr>
              <w:t>支持Windows常见聊天类应用、远程连接工具、虚拟机、模拟器、云盘类软件解析</w:t>
            </w:r>
          </w:p>
        </w:tc>
        <w:tc>
          <w:tcPr>
            <w:tcW w:w="517" w:type="pct"/>
            <w:tcBorders>
              <w:top w:val="nil"/>
              <w:left w:val="nil"/>
              <w:bottom w:val="single" w:color="000000" w:sz="4" w:space="0"/>
              <w:right w:val="single" w:color="000000" w:sz="4" w:space="0"/>
            </w:tcBorders>
            <w:shd w:val="clear" w:color="auto" w:fill="auto"/>
            <w:noWrap/>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w:t>
            </w:r>
          </w:p>
        </w:tc>
      </w:tr>
      <w:tr>
        <w:tblPrEx>
          <w:tblCellMar>
            <w:top w:w="0" w:type="dxa"/>
            <w:left w:w="108" w:type="dxa"/>
            <w:bottom w:w="0" w:type="dxa"/>
            <w:right w:w="108" w:type="dxa"/>
          </w:tblCellMar>
        </w:tblPrEx>
        <w:tc>
          <w:tcPr>
            <w:tcW w:w="380" w:type="pct"/>
            <w:tcBorders>
              <w:top w:val="nil"/>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6</w:t>
            </w:r>
          </w:p>
        </w:tc>
        <w:tc>
          <w:tcPr>
            <w:tcW w:w="558" w:type="pct"/>
            <w:vMerge w:val="restar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解密能力</w:t>
            </w:r>
          </w:p>
        </w:tc>
        <w:tc>
          <w:tcPr>
            <w:tcW w:w="3545" w:type="pct"/>
            <w:tcBorders>
              <w:top w:val="single" w:color="000000" w:sz="4" w:space="0"/>
              <w:left w:val="nil"/>
              <w:bottom w:val="single" w:color="000000" w:sz="4" w:space="0"/>
              <w:right w:val="single" w:color="000000" w:sz="4" w:space="0"/>
            </w:tcBorders>
            <w:shd w:val="clear" w:color="auto" w:fill="auto"/>
            <w:noWrap/>
            <w:vAlign w:val="center"/>
          </w:tcPr>
          <w:p>
            <w:pPr>
              <w:rPr>
                <w:rFonts w:ascii="宋体" w:hAnsi="宋体" w:eastAsia="宋体" w:cs="宋体"/>
                <w:color w:val="000000"/>
                <w:kern w:val="0"/>
                <w:szCs w:val="21"/>
              </w:rPr>
            </w:pPr>
            <w:r>
              <w:rPr>
                <w:rFonts w:hint="eastAsia" w:ascii="宋体" w:hAnsi="宋体" w:eastAsia="宋体" w:cs="宋体"/>
                <w:color w:val="000000"/>
                <w:kern w:val="0"/>
                <w:szCs w:val="21"/>
              </w:rPr>
              <w:t>支持Bitlocker加密分区的解密功能和Windows系统登录密码的解密功能</w:t>
            </w:r>
          </w:p>
        </w:tc>
        <w:tc>
          <w:tcPr>
            <w:tcW w:w="517" w:type="pct"/>
            <w:tcBorders>
              <w:top w:val="nil"/>
              <w:left w:val="nil"/>
              <w:bottom w:val="single" w:color="000000" w:sz="4" w:space="0"/>
              <w:right w:val="single" w:color="000000" w:sz="4" w:space="0"/>
            </w:tcBorders>
            <w:shd w:val="clear" w:color="auto" w:fill="auto"/>
            <w:noWrap/>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w:t>
            </w:r>
          </w:p>
        </w:tc>
      </w:tr>
      <w:tr>
        <w:tblPrEx>
          <w:tblCellMar>
            <w:top w:w="0" w:type="dxa"/>
            <w:left w:w="108" w:type="dxa"/>
            <w:bottom w:w="0" w:type="dxa"/>
            <w:right w:w="108" w:type="dxa"/>
          </w:tblCellMar>
        </w:tblPrEx>
        <w:tc>
          <w:tcPr>
            <w:tcW w:w="380" w:type="pct"/>
            <w:tcBorders>
              <w:top w:val="nil"/>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7</w:t>
            </w:r>
          </w:p>
        </w:tc>
        <w:tc>
          <w:tcPr>
            <w:tcW w:w="558" w:type="pct"/>
            <w:vMerge w:val="continue"/>
            <w:tcBorders>
              <w:top w:val="single" w:color="000000" w:sz="4" w:space="0"/>
              <w:left w:val="single" w:color="000000" w:sz="4" w:space="0"/>
              <w:bottom w:val="single" w:color="000000" w:sz="4" w:space="0"/>
              <w:right w:val="single" w:color="000000" w:sz="4" w:space="0"/>
            </w:tcBorders>
            <w:vAlign w:val="center"/>
          </w:tcPr>
          <w:p>
            <w:pPr>
              <w:rPr>
                <w:rFonts w:ascii="宋体" w:hAnsi="宋体" w:eastAsia="宋体" w:cs="宋体"/>
                <w:color w:val="000000"/>
                <w:kern w:val="0"/>
                <w:szCs w:val="21"/>
              </w:rPr>
            </w:pPr>
          </w:p>
        </w:tc>
        <w:tc>
          <w:tcPr>
            <w:tcW w:w="3545" w:type="pct"/>
            <w:tcBorders>
              <w:top w:val="single" w:color="000000" w:sz="4" w:space="0"/>
              <w:left w:val="nil"/>
              <w:bottom w:val="single" w:color="000000" w:sz="4" w:space="0"/>
              <w:right w:val="single" w:color="000000" w:sz="4" w:space="0"/>
            </w:tcBorders>
            <w:shd w:val="clear" w:color="auto" w:fill="auto"/>
            <w:noWrap/>
            <w:vAlign w:val="center"/>
          </w:tcPr>
          <w:p>
            <w:pPr>
              <w:rPr>
                <w:rFonts w:ascii="宋体" w:hAnsi="宋体" w:eastAsia="宋体" w:cs="宋体"/>
                <w:color w:val="000000"/>
                <w:kern w:val="0"/>
                <w:szCs w:val="21"/>
              </w:rPr>
            </w:pPr>
            <w:r>
              <w:rPr>
                <w:rFonts w:hint="eastAsia" w:ascii="宋体" w:hAnsi="宋体" w:eastAsia="宋体" w:cs="宋体"/>
                <w:color w:val="000000"/>
                <w:kern w:val="0"/>
                <w:szCs w:val="21"/>
              </w:rPr>
              <w:t>支持多种方式对QQ、微信进行解密获取应用的聊天记录及联系人</w:t>
            </w:r>
          </w:p>
        </w:tc>
        <w:tc>
          <w:tcPr>
            <w:tcW w:w="517" w:type="pct"/>
            <w:tcBorders>
              <w:top w:val="nil"/>
              <w:left w:val="nil"/>
              <w:bottom w:val="single" w:color="000000" w:sz="4" w:space="0"/>
              <w:right w:val="single" w:color="000000" w:sz="4" w:space="0"/>
            </w:tcBorders>
            <w:shd w:val="clear" w:color="auto" w:fill="auto"/>
            <w:noWrap/>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w:t>
            </w:r>
          </w:p>
        </w:tc>
      </w:tr>
      <w:tr>
        <w:tblPrEx>
          <w:tblCellMar>
            <w:top w:w="0" w:type="dxa"/>
            <w:left w:w="108" w:type="dxa"/>
            <w:bottom w:w="0" w:type="dxa"/>
            <w:right w:w="108" w:type="dxa"/>
          </w:tblCellMar>
        </w:tblPrEx>
        <w:tc>
          <w:tcPr>
            <w:tcW w:w="380" w:type="pct"/>
            <w:tcBorders>
              <w:top w:val="nil"/>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8</w:t>
            </w:r>
          </w:p>
        </w:tc>
        <w:tc>
          <w:tcPr>
            <w:tcW w:w="558" w:type="pct"/>
            <w:vMerge w:val="restar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系统仿真</w:t>
            </w:r>
          </w:p>
        </w:tc>
        <w:tc>
          <w:tcPr>
            <w:tcW w:w="3545" w:type="pct"/>
            <w:tcBorders>
              <w:top w:val="single" w:color="000000" w:sz="4" w:space="0"/>
              <w:left w:val="nil"/>
              <w:bottom w:val="single" w:color="000000" w:sz="4" w:space="0"/>
              <w:right w:val="single" w:color="000000" w:sz="4" w:space="0"/>
            </w:tcBorders>
            <w:shd w:val="clear" w:color="auto" w:fill="auto"/>
            <w:noWrap/>
            <w:vAlign w:val="center"/>
          </w:tcPr>
          <w:p>
            <w:pPr>
              <w:rPr>
                <w:rFonts w:ascii="宋体" w:hAnsi="宋体" w:eastAsia="宋体" w:cs="宋体"/>
                <w:color w:val="000000"/>
                <w:kern w:val="0"/>
                <w:szCs w:val="21"/>
              </w:rPr>
            </w:pPr>
            <w:r>
              <w:rPr>
                <w:rFonts w:hint="eastAsia" w:ascii="宋体" w:hAnsi="宋体" w:eastAsia="宋体" w:cs="宋体"/>
                <w:color w:val="000000"/>
                <w:kern w:val="0"/>
                <w:szCs w:val="21"/>
              </w:rPr>
              <w:t>支持物理磁盘或者其他存储设备仿真启动，支持DD、E01镜像文件仿真启动，支持伪基站系统仿真</w:t>
            </w:r>
          </w:p>
        </w:tc>
        <w:tc>
          <w:tcPr>
            <w:tcW w:w="517" w:type="pct"/>
            <w:tcBorders>
              <w:top w:val="nil"/>
              <w:left w:val="nil"/>
              <w:bottom w:val="single" w:color="000000" w:sz="4" w:space="0"/>
              <w:right w:val="single" w:color="000000" w:sz="4" w:space="0"/>
            </w:tcBorders>
            <w:shd w:val="clear" w:color="auto" w:fill="auto"/>
            <w:noWrap/>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w:t>
            </w:r>
          </w:p>
        </w:tc>
      </w:tr>
      <w:tr>
        <w:tblPrEx>
          <w:tblCellMar>
            <w:top w:w="0" w:type="dxa"/>
            <w:left w:w="108" w:type="dxa"/>
            <w:bottom w:w="0" w:type="dxa"/>
            <w:right w:w="108" w:type="dxa"/>
          </w:tblCellMar>
        </w:tblPrEx>
        <w:tc>
          <w:tcPr>
            <w:tcW w:w="380" w:type="pct"/>
            <w:tcBorders>
              <w:top w:val="nil"/>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9</w:t>
            </w:r>
          </w:p>
        </w:tc>
        <w:tc>
          <w:tcPr>
            <w:tcW w:w="558" w:type="pct"/>
            <w:vMerge w:val="continue"/>
            <w:tcBorders>
              <w:top w:val="single" w:color="000000" w:sz="4" w:space="0"/>
              <w:left w:val="single" w:color="000000" w:sz="4" w:space="0"/>
              <w:bottom w:val="single" w:color="000000" w:sz="4" w:space="0"/>
              <w:right w:val="single" w:color="000000" w:sz="4" w:space="0"/>
            </w:tcBorders>
            <w:vAlign w:val="center"/>
          </w:tcPr>
          <w:p>
            <w:pPr>
              <w:rPr>
                <w:rFonts w:ascii="宋体" w:hAnsi="宋体" w:eastAsia="宋体" w:cs="宋体"/>
                <w:color w:val="000000"/>
                <w:kern w:val="0"/>
                <w:szCs w:val="21"/>
              </w:rPr>
            </w:pPr>
          </w:p>
        </w:tc>
        <w:tc>
          <w:tcPr>
            <w:tcW w:w="3545" w:type="pct"/>
            <w:tcBorders>
              <w:top w:val="single" w:color="000000" w:sz="4" w:space="0"/>
              <w:left w:val="nil"/>
              <w:bottom w:val="single" w:color="000000" w:sz="4" w:space="0"/>
              <w:right w:val="single" w:color="000000" w:sz="4" w:space="0"/>
            </w:tcBorders>
            <w:shd w:val="clear" w:color="auto" w:fill="auto"/>
            <w:noWrap/>
            <w:vAlign w:val="center"/>
          </w:tcPr>
          <w:p>
            <w:pPr>
              <w:rPr>
                <w:rFonts w:ascii="宋体" w:hAnsi="宋体" w:eastAsia="宋体" w:cs="宋体"/>
                <w:color w:val="000000"/>
                <w:kern w:val="0"/>
                <w:szCs w:val="21"/>
              </w:rPr>
            </w:pPr>
            <w:r>
              <w:rPr>
                <w:rFonts w:hint="eastAsia" w:ascii="宋体" w:hAnsi="宋体" w:eastAsia="宋体" w:cs="宋体"/>
                <w:color w:val="000000"/>
                <w:kern w:val="0"/>
                <w:szCs w:val="21"/>
              </w:rPr>
              <w:t>支持Windows、Linux、Mac系统仿真并绕过密码</w:t>
            </w:r>
            <w:r>
              <w:rPr>
                <w:rFonts w:hint="eastAsia" w:ascii="宋体" w:hAnsi="宋体" w:eastAsia="宋体" w:cs="宋体"/>
                <w:color w:val="000000"/>
                <w:kern w:val="0"/>
                <w:szCs w:val="21"/>
                <w:lang w:val="en-US"/>
              </w:rPr>
              <w:t>,</w:t>
            </w:r>
            <w:r>
              <w:rPr>
                <w:rFonts w:hint="eastAsia" w:ascii="宋体" w:hAnsi="宋体" w:eastAsia="宋体" w:cs="宋体"/>
                <w:color w:val="000000"/>
                <w:kern w:val="0"/>
                <w:szCs w:val="21"/>
              </w:rPr>
              <w:t>支持华为云、阿里云、MikroTIK镜像仿真</w:t>
            </w:r>
          </w:p>
        </w:tc>
        <w:tc>
          <w:tcPr>
            <w:tcW w:w="517" w:type="pct"/>
            <w:tcBorders>
              <w:top w:val="nil"/>
              <w:left w:val="nil"/>
              <w:bottom w:val="single" w:color="000000" w:sz="4" w:space="0"/>
              <w:right w:val="single" w:color="000000" w:sz="4" w:space="0"/>
            </w:tcBorders>
            <w:shd w:val="clear" w:color="auto" w:fill="auto"/>
            <w:noWrap/>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w:t>
            </w:r>
          </w:p>
        </w:tc>
      </w:tr>
      <w:tr>
        <w:tblPrEx>
          <w:tblCellMar>
            <w:top w:w="0" w:type="dxa"/>
            <w:left w:w="108" w:type="dxa"/>
            <w:bottom w:w="0" w:type="dxa"/>
            <w:right w:w="108" w:type="dxa"/>
          </w:tblCellMar>
        </w:tblPrEx>
        <w:tc>
          <w:tcPr>
            <w:tcW w:w="380" w:type="pct"/>
            <w:tcBorders>
              <w:top w:val="nil"/>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10</w:t>
            </w:r>
          </w:p>
        </w:tc>
        <w:tc>
          <w:tcPr>
            <w:tcW w:w="558" w:type="pct"/>
            <w:vMerge w:val="continue"/>
            <w:tcBorders>
              <w:top w:val="single" w:color="000000" w:sz="4" w:space="0"/>
              <w:left w:val="single" w:color="000000" w:sz="4" w:space="0"/>
              <w:bottom w:val="single" w:color="000000" w:sz="4" w:space="0"/>
              <w:right w:val="single" w:color="000000" w:sz="4" w:space="0"/>
            </w:tcBorders>
            <w:vAlign w:val="center"/>
          </w:tcPr>
          <w:p>
            <w:pPr>
              <w:rPr>
                <w:rFonts w:ascii="宋体" w:hAnsi="宋体" w:eastAsia="宋体" w:cs="宋体"/>
                <w:color w:val="000000"/>
                <w:kern w:val="0"/>
                <w:szCs w:val="21"/>
              </w:rPr>
            </w:pPr>
          </w:p>
        </w:tc>
        <w:tc>
          <w:tcPr>
            <w:tcW w:w="3545" w:type="pct"/>
            <w:tcBorders>
              <w:top w:val="single" w:color="000000" w:sz="4" w:space="0"/>
              <w:left w:val="nil"/>
              <w:bottom w:val="single" w:color="000000" w:sz="4" w:space="0"/>
              <w:right w:val="single" w:color="000000" w:sz="4" w:space="0"/>
            </w:tcBorders>
            <w:shd w:val="clear" w:color="auto" w:fill="auto"/>
            <w:noWrap/>
            <w:vAlign w:val="center"/>
          </w:tcPr>
          <w:p>
            <w:pPr>
              <w:rPr>
                <w:rFonts w:ascii="宋体" w:hAnsi="宋体" w:eastAsia="宋体" w:cs="宋体"/>
                <w:color w:val="000000"/>
                <w:kern w:val="0"/>
                <w:szCs w:val="21"/>
              </w:rPr>
            </w:pPr>
            <w:r>
              <w:rPr>
                <w:rFonts w:hint="eastAsia" w:ascii="宋体" w:hAnsi="宋体" w:eastAsia="宋体" w:cs="宋体"/>
                <w:color w:val="000000"/>
                <w:kern w:val="0"/>
                <w:szCs w:val="21"/>
              </w:rPr>
              <w:t>支持网站还原</w:t>
            </w:r>
          </w:p>
        </w:tc>
        <w:tc>
          <w:tcPr>
            <w:tcW w:w="517" w:type="pct"/>
            <w:tcBorders>
              <w:top w:val="nil"/>
              <w:left w:val="nil"/>
              <w:bottom w:val="single" w:color="000000" w:sz="4" w:space="0"/>
              <w:right w:val="single" w:color="000000" w:sz="4" w:space="0"/>
            </w:tcBorders>
            <w:shd w:val="clear" w:color="auto" w:fill="auto"/>
            <w:noWrap/>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w:t>
            </w:r>
          </w:p>
        </w:tc>
      </w:tr>
      <w:tr>
        <w:tblPrEx>
          <w:tblCellMar>
            <w:top w:w="0" w:type="dxa"/>
            <w:left w:w="108" w:type="dxa"/>
            <w:bottom w:w="0" w:type="dxa"/>
            <w:right w:w="108" w:type="dxa"/>
          </w:tblCellMar>
        </w:tblPrEx>
        <w:tc>
          <w:tcPr>
            <w:tcW w:w="380" w:type="pct"/>
            <w:tcBorders>
              <w:top w:val="nil"/>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11</w:t>
            </w:r>
          </w:p>
        </w:tc>
        <w:tc>
          <w:tcPr>
            <w:tcW w:w="558" w:type="pct"/>
            <w:vMerge w:val="restar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数据恢复</w:t>
            </w:r>
          </w:p>
        </w:tc>
        <w:tc>
          <w:tcPr>
            <w:tcW w:w="3545" w:type="pct"/>
            <w:tcBorders>
              <w:top w:val="single" w:color="000000" w:sz="4" w:space="0"/>
              <w:left w:val="nil"/>
              <w:bottom w:val="single" w:color="000000" w:sz="4" w:space="0"/>
              <w:right w:val="single" w:color="000000" w:sz="4" w:space="0"/>
            </w:tcBorders>
            <w:shd w:val="clear" w:color="auto" w:fill="auto"/>
            <w:noWrap/>
            <w:vAlign w:val="center"/>
          </w:tcPr>
          <w:p>
            <w:pPr>
              <w:rPr>
                <w:rFonts w:ascii="宋体" w:hAnsi="宋体" w:eastAsia="宋体" w:cs="宋体"/>
                <w:color w:val="000000"/>
                <w:kern w:val="0"/>
                <w:szCs w:val="21"/>
              </w:rPr>
            </w:pPr>
            <w:r>
              <w:rPr>
                <w:rFonts w:hint="eastAsia" w:ascii="宋体" w:hAnsi="宋体" w:eastAsia="宋体" w:cs="宋体"/>
                <w:color w:val="000000"/>
                <w:kern w:val="0"/>
                <w:szCs w:val="21"/>
              </w:rPr>
              <w:t>支持恢复的存储介质文件系统包括：FAT12、FAT16、FAT32、exFAT、NTFS、NTFS5、ReFS、ReFS2、HFS/HFS+、Little和Big Endian类型的UFS1、UFS2以及Ext2、Ext3、Ext4 FS等十余种</w:t>
            </w:r>
          </w:p>
        </w:tc>
        <w:tc>
          <w:tcPr>
            <w:tcW w:w="517" w:type="pct"/>
            <w:tcBorders>
              <w:top w:val="nil"/>
              <w:left w:val="nil"/>
              <w:bottom w:val="single" w:color="000000" w:sz="4" w:space="0"/>
              <w:right w:val="single" w:color="000000" w:sz="4" w:space="0"/>
            </w:tcBorders>
            <w:shd w:val="clear" w:color="auto" w:fill="auto"/>
            <w:noWrap/>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w:t>
            </w:r>
          </w:p>
        </w:tc>
      </w:tr>
      <w:tr>
        <w:tblPrEx>
          <w:tblCellMar>
            <w:top w:w="0" w:type="dxa"/>
            <w:left w:w="108" w:type="dxa"/>
            <w:bottom w:w="0" w:type="dxa"/>
            <w:right w:w="108" w:type="dxa"/>
          </w:tblCellMar>
        </w:tblPrEx>
        <w:tc>
          <w:tcPr>
            <w:tcW w:w="380" w:type="pct"/>
            <w:tcBorders>
              <w:top w:val="nil"/>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12</w:t>
            </w:r>
          </w:p>
        </w:tc>
        <w:tc>
          <w:tcPr>
            <w:tcW w:w="558" w:type="pct"/>
            <w:vMerge w:val="continue"/>
            <w:tcBorders>
              <w:top w:val="single" w:color="000000" w:sz="4" w:space="0"/>
              <w:left w:val="single" w:color="000000" w:sz="4" w:space="0"/>
              <w:bottom w:val="single" w:color="000000" w:sz="4" w:space="0"/>
              <w:right w:val="single" w:color="000000" w:sz="4" w:space="0"/>
            </w:tcBorders>
            <w:vAlign w:val="center"/>
          </w:tcPr>
          <w:p>
            <w:pPr>
              <w:rPr>
                <w:rFonts w:ascii="宋体" w:hAnsi="宋体" w:eastAsia="宋体" w:cs="宋体"/>
                <w:color w:val="000000"/>
                <w:kern w:val="0"/>
                <w:szCs w:val="21"/>
              </w:rPr>
            </w:pPr>
          </w:p>
        </w:tc>
        <w:tc>
          <w:tcPr>
            <w:tcW w:w="3545" w:type="pct"/>
            <w:tcBorders>
              <w:top w:val="single" w:color="000000" w:sz="4" w:space="0"/>
              <w:left w:val="nil"/>
              <w:bottom w:val="single" w:color="000000" w:sz="4" w:space="0"/>
              <w:right w:val="single" w:color="000000" w:sz="4" w:space="0"/>
            </w:tcBorders>
            <w:shd w:val="clear" w:color="auto" w:fill="auto"/>
            <w:noWrap/>
            <w:vAlign w:val="center"/>
          </w:tcPr>
          <w:p>
            <w:pPr>
              <w:rPr>
                <w:rFonts w:ascii="宋体" w:hAnsi="宋体" w:eastAsia="宋体" w:cs="宋体"/>
                <w:color w:val="000000"/>
                <w:kern w:val="0"/>
                <w:szCs w:val="21"/>
              </w:rPr>
            </w:pPr>
            <w:r>
              <w:rPr>
                <w:rFonts w:hint="eastAsia" w:ascii="宋体" w:hAnsi="宋体" w:eastAsia="宋体" w:cs="宋体"/>
                <w:color w:val="000000"/>
                <w:kern w:val="0"/>
                <w:szCs w:val="21"/>
              </w:rPr>
              <w:t>支持恢复和重建存储阵列数据，包括标准RAID级别：0、1、4、5、6</w:t>
            </w:r>
          </w:p>
        </w:tc>
        <w:tc>
          <w:tcPr>
            <w:tcW w:w="517" w:type="pct"/>
            <w:tcBorders>
              <w:top w:val="nil"/>
              <w:left w:val="nil"/>
              <w:bottom w:val="single" w:color="000000" w:sz="4" w:space="0"/>
              <w:right w:val="single" w:color="000000" w:sz="4" w:space="0"/>
            </w:tcBorders>
            <w:shd w:val="clear" w:color="auto" w:fill="auto"/>
            <w:noWrap/>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w:t>
            </w:r>
          </w:p>
        </w:tc>
      </w:tr>
      <w:tr>
        <w:tblPrEx>
          <w:tblCellMar>
            <w:top w:w="0" w:type="dxa"/>
            <w:left w:w="108" w:type="dxa"/>
            <w:bottom w:w="0" w:type="dxa"/>
            <w:right w:w="108" w:type="dxa"/>
          </w:tblCellMar>
        </w:tblPrEx>
        <w:tc>
          <w:tcPr>
            <w:tcW w:w="380" w:type="pct"/>
            <w:tcBorders>
              <w:top w:val="nil"/>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13</w:t>
            </w:r>
          </w:p>
        </w:tc>
        <w:tc>
          <w:tcPr>
            <w:tcW w:w="558" w:type="pct"/>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免拆机提取</w:t>
            </w:r>
          </w:p>
        </w:tc>
        <w:tc>
          <w:tcPr>
            <w:tcW w:w="3545" w:type="pct"/>
            <w:tcBorders>
              <w:top w:val="single" w:color="000000" w:sz="4" w:space="0"/>
              <w:left w:val="nil"/>
              <w:bottom w:val="single" w:color="000000" w:sz="4" w:space="0"/>
              <w:right w:val="single" w:color="000000" w:sz="4" w:space="0"/>
            </w:tcBorders>
            <w:shd w:val="clear" w:color="auto" w:fill="auto"/>
            <w:noWrap/>
            <w:vAlign w:val="center"/>
          </w:tcPr>
          <w:p>
            <w:pPr>
              <w:rPr>
                <w:rFonts w:ascii="宋体" w:hAnsi="宋体" w:eastAsia="宋体" w:cs="宋体"/>
                <w:color w:val="000000"/>
                <w:kern w:val="0"/>
                <w:szCs w:val="21"/>
              </w:rPr>
            </w:pPr>
            <w:r>
              <w:rPr>
                <w:rFonts w:hint="eastAsia" w:ascii="宋体" w:hAnsi="宋体" w:eastAsia="宋体" w:cs="宋体"/>
                <w:color w:val="000000"/>
                <w:kern w:val="0"/>
                <w:szCs w:val="21"/>
              </w:rPr>
              <w:t>支持磁盘物理镜像、内存物理镜像，提供MD5、SHA1等Hash校验方式</w:t>
            </w:r>
          </w:p>
          <w:p>
            <w:pPr>
              <w:rPr>
                <w:rFonts w:ascii="宋体" w:hAnsi="宋体" w:eastAsia="宋体" w:cs="宋体"/>
                <w:color w:val="000000"/>
                <w:kern w:val="0"/>
                <w:szCs w:val="21"/>
              </w:rPr>
            </w:pPr>
            <w:r>
              <w:rPr>
                <w:rFonts w:hint="eastAsia" w:ascii="宋体" w:hAnsi="宋体" w:eastAsia="宋体" w:cs="宋体"/>
                <w:color w:val="000000"/>
                <w:kern w:val="0"/>
                <w:szCs w:val="21"/>
              </w:rPr>
              <w:t>支持自定义文件扫描，快速定位目标文件，可自定义文件类型、文件路径搜索</w:t>
            </w:r>
          </w:p>
          <w:p>
            <w:pPr>
              <w:rPr>
                <w:rFonts w:ascii="宋体" w:hAnsi="宋体" w:eastAsia="宋体" w:cs="宋体"/>
                <w:color w:val="000000"/>
                <w:kern w:val="0"/>
                <w:szCs w:val="21"/>
              </w:rPr>
            </w:pPr>
            <w:r>
              <w:rPr>
                <w:rFonts w:hint="eastAsia" w:ascii="宋体" w:hAnsi="宋体" w:eastAsia="宋体" w:cs="宋体"/>
                <w:color w:val="000000"/>
                <w:kern w:val="0"/>
                <w:szCs w:val="21"/>
              </w:rPr>
              <w:t>支持对计算机所有账户的注册表进行痕迹分析，获取连接过的USB设备、最近使用过的用户文档、最近使用过的文件夹等使用痕迹</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支持获取计算机系统运行状态，包括运行进程、运行服务、网络连接状态等</w:t>
            </w:r>
          </w:p>
          <w:p>
            <w:pPr>
              <w:rPr>
                <w:rFonts w:ascii="宋体" w:hAnsi="宋体" w:eastAsia="宋体" w:cs="宋体"/>
                <w:color w:val="000000"/>
                <w:kern w:val="0"/>
                <w:szCs w:val="21"/>
              </w:rPr>
            </w:pPr>
            <w:r>
              <w:rPr>
                <w:rFonts w:hint="eastAsia" w:ascii="宋体" w:hAnsi="宋体" w:eastAsia="宋体" w:cs="宋体"/>
                <w:color w:val="000000"/>
                <w:kern w:val="0"/>
                <w:szCs w:val="21"/>
              </w:rPr>
              <w:t>支持获取Firefox、Chrome等浏览器浏览记录及保存的用户账号、密码</w:t>
            </w:r>
          </w:p>
          <w:p>
            <w:pPr>
              <w:rPr>
                <w:rFonts w:ascii="宋体" w:hAnsi="宋体" w:eastAsia="宋体" w:cs="宋体"/>
                <w:color w:val="000000"/>
                <w:kern w:val="0"/>
                <w:szCs w:val="21"/>
              </w:rPr>
            </w:pPr>
            <w:r>
              <w:rPr>
                <w:rFonts w:hint="eastAsia" w:ascii="宋体" w:hAnsi="宋体" w:eastAsia="宋体" w:cs="宋体"/>
                <w:color w:val="000000"/>
                <w:kern w:val="0"/>
                <w:szCs w:val="21"/>
              </w:rPr>
              <w:t>支持启动Windows 7、Windows 8、Windows 10、Linux 系统（包括麒麟、Ubuntu、Redhat、CentOS 等系统）、MacOS等系统设备</w:t>
            </w:r>
          </w:p>
        </w:tc>
        <w:tc>
          <w:tcPr>
            <w:tcW w:w="517" w:type="pct"/>
            <w:tcBorders>
              <w:top w:val="nil"/>
              <w:left w:val="nil"/>
              <w:bottom w:val="single" w:color="000000" w:sz="4" w:space="0"/>
              <w:right w:val="single" w:color="000000" w:sz="4" w:space="0"/>
            </w:tcBorders>
            <w:shd w:val="clear" w:color="auto" w:fill="auto"/>
            <w:noWrap/>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w:t>
            </w:r>
          </w:p>
        </w:tc>
      </w:tr>
      <w:tr>
        <w:tblPrEx>
          <w:tblCellMar>
            <w:top w:w="0" w:type="dxa"/>
            <w:left w:w="108" w:type="dxa"/>
            <w:bottom w:w="0" w:type="dxa"/>
            <w:right w:w="108" w:type="dxa"/>
          </w:tblCellMar>
        </w:tblPrEx>
        <w:trPr>
          <w:trHeight w:val="113" w:hRule="atLeast"/>
        </w:trPr>
        <w:tc>
          <w:tcPr>
            <w:tcW w:w="380" w:type="pct"/>
            <w:tcBorders>
              <w:top w:val="nil"/>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14</w:t>
            </w:r>
          </w:p>
        </w:tc>
        <w:tc>
          <w:tcPr>
            <w:tcW w:w="55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手机采集</w:t>
            </w:r>
          </w:p>
        </w:tc>
        <w:tc>
          <w:tcPr>
            <w:tcW w:w="3545" w:type="pct"/>
            <w:tcBorders>
              <w:top w:val="single" w:color="000000" w:sz="4" w:space="0"/>
              <w:left w:val="nil"/>
              <w:bottom w:val="single" w:color="000000" w:sz="4" w:space="0"/>
              <w:right w:val="single" w:color="000000" w:sz="4" w:space="0"/>
            </w:tcBorders>
            <w:shd w:val="clear" w:color="auto" w:fill="auto"/>
            <w:vAlign w:val="center"/>
          </w:tcPr>
          <w:p>
            <w:pPr>
              <w:rPr>
                <w:rFonts w:ascii="宋体" w:hAnsi="宋体" w:eastAsia="宋体" w:cs="宋体"/>
                <w:color w:val="000000"/>
                <w:kern w:val="0"/>
                <w:szCs w:val="21"/>
              </w:rPr>
            </w:pPr>
            <w:r>
              <w:rPr>
                <w:rFonts w:hint="eastAsia" w:ascii="宋体" w:hAnsi="宋体" w:eastAsia="宋体" w:cs="宋体"/>
                <w:color w:val="000000"/>
                <w:kern w:val="0"/>
                <w:szCs w:val="21"/>
              </w:rPr>
              <w:t>支持iOS、安卓、鸿蒙系统智能手机、平板取证</w:t>
            </w:r>
          </w:p>
        </w:tc>
        <w:tc>
          <w:tcPr>
            <w:tcW w:w="517" w:type="pct"/>
            <w:tcBorders>
              <w:top w:val="nil"/>
              <w:left w:val="nil"/>
              <w:bottom w:val="single" w:color="000000" w:sz="4" w:space="0"/>
              <w:right w:val="single" w:color="000000" w:sz="4" w:space="0"/>
            </w:tcBorders>
            <w:shd w:val="clear" w:color="auto" w:fill="auto"/>
            <w:noWrap/>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w:t>
            </w:r>
          </w:p>
        </w:tc>
      </w:tr>
      <w:tr>
        <w:tblPrEx>
          <w:tblCellMar>
            <w:top w:w="0" w:type="dxa"/>
            <w:left w:w="108" w:type="dxa"/>
            <w:bottom w:w="0" w:type="dxa"/>
            <w:right w:w="108" w:type="dxa"/>
          </w:tblCellMar>
        </w:tblPrEx>
        <w:trPr>
          <w:trHeight w:val="600" w:hRule="atLeast"/>
        </w:trPr>
        <w:tc>
          <w:tcPr>
            <w:tcW w:w="380" w:type="pct"/>
            <w:tcBorders>
              <w:top w:val="nil"/>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15</w:t>
            </w:r>
          </w:p>
        </w:tc>
        <w:tc>
          <w:tcPr>
            <w:tcW w:w="558" w:type="pct"/>
            <w:vMerge w:val="continue"/>
            <w:tcBorders>
              <w:top w:val="single" w:color="000000" w:sz="4" w:space="0"/>
              <w:left w:val="single" w:color="000000" w:sz="4" w:space="0"/>
              <w:bottom w:val="single" w:color="000000" w:sz="4" w:space="0"/>
              <w:right w:val="single" w:color="000000" w:sz="4" w:space="0"/>
            </w:tcBorders>
            <w:vAlign w:val="center"/>
          </w:tcPr>
          <w:p>
            <w:pPr>
              <w:rPr>
                <w:rFonts w:ascii="宋体" w:hAnsi="宋体" w:eastAsia="宋体" w:cs="宋体"/>
                <w:color w:val="000000"/>
                <w:kern w:val="0"/>
                <w:szCs w:val="21"/>
              </w:rPr>
            </w:pPr>
          </w:p>
        </w:tc>
        <w:tc>
          <w:tcPr>
            <w:tcW w:w="3545" w:type="pct"/>
            <w:tcBorders>
              <w:top w:val="single" w:color="000000" w:sz="4" w:space="0"/>
              <w:left w:val="nil"/>
              <w:bottom w:val="single" w:color="000000" w:sz="4" w:space="0"/>
              <w:right w:val="single" w:color="000000" w:sz="4" w:space="0"/>
            </w:tcBorders>
            <w:shd w:val="clear" w:color="auto" w:fill="auto"/>
            <w:vAlign w:val="center"/>
          </w:tcPr>
          <w:p>
            <w:pPr>
              <w:rPr>
                <w:rFonts w:ascii="宋体" w:hAnsi="宋体" w:eastAsia="宋体" w:cs="宋体"/>
                <w:color w:val="000000"/>
                <w:kern w:val="0"/>
                <w:szCs w:val="21"/>
              </w:rPr>
            </w:pPr>
            <w:r>
              <w:rPr>
                <w:rFonts w:hint="eastAsia" w:ascii="宋体" w:hAnsi="宋体" w:eastAsia="宋体" w:cs="宋体"/>
                <w:color w:val="000000"/>
                <w:kern w:val="0"/>
                <w:szCs w:val="21"/>
              </w:rPr>
              <w:t>支持iOS备份文件读取、iOS逻辑镜像提取等多种方式</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支持自动为iOS备份设置密码，在已知密码情况下实现对iOS加密备份的解析</w:t>
            </w:r>
          </w:p>
        </w:tc>
        <w:tc>
          <w:tcPr>
            <w:tcW w:w="517" w:type="pct"/>
            <w:tcBorders>
              <w:top w:val="nil"/>
              <w:left w:val="nil"/>
              <w:bottom w:val="single" w:color="000000" w:sz="4" w:space="0"/>
              <w:right w:val="single" w:color="000000" w:sz="4" w:space="0"/>
            </w:tcBorders>
            <w:shd w:val="clear" w:color="auto" w:fill="auto"/>
            <w:noWrap/>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w:t>
            </w:r>
          </w:p>
        </w:tc>
      </w:tr>
      <w:tr>
        <w:tblPrEx>
          <w:tblCellMar>
            <w:top w:w="0" w:type="dxa"/>
            <w:left w:w="108" w:type="dxa"/>
            <w:bottom w:w="0" w:type="dxa"/>
            <w:right w:w="108" w:type="dxa"/>
          </w:tblCellMar>
        </w:tblPrEx>
        <w:trPr>
          <w:trHeight w:val="178" w:hRule="atLeast"/>
        </w:trPr>
        <w:tc>
          <w:tcPr>
            <w:tcW w:w="380" w:type="pct"/>
            <w:tcBorders>
              <w:top w:val="nil"/>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16</w:t>
            </w:r>
          </w:p>
        </w:tc>
        <w:tc>
          <w:tcPr>
            <w:tcW w:w="558" w:type="pct"/>
            <w:vMerge w:val="continue"/>
            <w:tcBorders>
              <w:top w:val="single" w:color="000000" w:sz="4" w:space="0"/>
              <w:left w:val="single" w:color="000000" w:sz="4" w:space="0"/>
              <w:bottom w:val="single" w:color="000000" w:sz="4" w:space="0"/>
              <w:right w:val="single" w:color="000000" w:sz="4" w:space="0"/>
            </w:tcBorders>
            <w:vAlign w:val="center"/>
          </w:tcPr>
          <w:p>
            <w:pPr>
              <w:rPr>
                <w:rFonts w:ascii="宋体" w:hAnsi="宋体" w:eastAsia="宋体" w:cs="宋体"/>
                <w:color w:val="000000"/>
                <w:kern w:val="0"/>
                <w:szCs w:val="21"/>
              </w:rPr>
            </w:pPr>
          </w:p>
        </w:tc>
        <w:tc>
          <w:tcPr>
            <w:tcW w:w="3545" w:type="pct"/>
            <w:tcBorders>
              <w:top w:val="single" w:color="000000" w:sz="4" w:space="0"/>
              <w:left w:val="nil"/>
              <w:bottom w:val="single" w:color="000000" w:sz="4" w:space="0"/>
              <w:right w:val="single" w:color="000000" w:sz="4" w:space="0"/>
            </w:tcBorders>
            <w:shd w:val="clear" w:color="auto" w:fill="auto"/>
            <w:vAlign w:val="center"/>
          </w:tcPr>
          <w:p>
            <w:pPr>
              <w:rPr>
                <w:rFonts w:ascii="宋体" w:hAnsi="宋体" w:eastAsia="宋体" w:cs="宋体"/>
                <w:color w:val="000000"/>
                <w:kern w:val="0"/>
                <w:szCs w:val="21"/>
                <w:highlight w:val="yellow"/>
              </w:rPr>
            </w:pPr>
            <w:r>
              <w:rPr>
                <w:rFonts w:hint="eastAsia" w:ascii="宋体" w:hAnsi="宋体" w:eastAsia="宋体" w:cs="宋体"/>
                <w:color w:val="000000"/>
                <w:kern w:val="0"/>
                <w:szCs w:val="21"/>
              </w:rPr>
              <w:t>支持Android和iOS手机直连获取、备份获取、逻辑镜像导入解析、物理镜像导入解析、安卓仿真镜像导入解析、手机数据文件夹导入解析、手机数据压缩包导入解析、手机助手备份数据导入等多种获取方法</w:t>
            </w:r>
          </w:p>
        </w:tc>
        <w:tc>
          <w:tcPr>
            <w:tcW w:w="517" w:type="pct"/>
            <w:tcBorders>
              <w:top w:val="nil"/>
              <w:left w:val="nil"/>
              <w:bottom w:val="single" w:color="000000" w:sz="4" w:space="0"/>
              <w:right w:val="single" w:color="000000" w:sz="4" w:space="0"/>
            </w:tcBorders>
            <w:shd w:val="clear" w:color="auto" w:fill="auto"/>
            <w:noWrap/>
            <w:vAlign w:val="center"/>
          </w:tcPr>
          <w:p>
            <w:pPr>
              <w:jc w:val="center"/>
              <w:rPr>
                <w:rFonts w:ascii="宋体" w:hAnsi="宋体" w:eastAsia="宋体" w:cs="宋体"/>
                <w:color w:val="000000"/>
                <w:kern w:val="0"/>
                <w:szCs w:val="21"/>
                <w:highlight w:val="yellow"/>
              </w:rPr>
            </w:pPr>
            <w:r>
              <w:rPr>
                <w:rFonts w:hint="eastAsia" w:ascii="宋体" w:hAnsi="宋体" w:eastAsia="宋体" w:cs="宋体"/>
                <w:color w:val="000000"/>
                <w:kern w:val="0"/>
                <w:szCs w:val="21"/>
              </w:rPr>
              <w:t>/</w:t>
            </w:r>
          </w:p>
        </w:tc>
      </w:tr>
      <w:tr>
        <w:tblPrEx>
          <w:tblCellMar>
            <w:top w:w="0" w:type="dxa"/>
            <w:left w:w="108" w:type="dxa"/>
            <w:bottom w:w="0" w:type="dxa"/>
            <w:right w:w="108" w:type="dxa"/>
          </w:tblCellMar>
        </w:tblPrEx>
        <w:trPr>
          <w:trHeight w:val="600" w:hRule="atLeast"/>
        </w:trPr>
        <w:tc>
          <w:tcPr>
            <w:tcW w:w="380" w:type="pct"/>
            <w:tcBorders>
              <w:top w:val="nil"/>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17</w:t>
            </w:r>
          </w:p>
        </w:tc>
        <w:tc>
          <w:tcPr>
            <w:tcW w:w="558" w:type="pct"/>
            <w:vMerge w:val="continue"/>
            <w:tcBorders>
              <w:top w:val="single" w:color="000000" w:sz="4" w:space="0"/>
              <w:left w:val="single" w:color="000000" w:sz="4" w:space="0"/>
              <w:bottom w:val="single" w:color="000000" w:sz="4" w:space="0"/>
              <w:right w:val="single" w:color="000000" w:sz="4" w:space="0"/>
            </w:tcBorders>
            <w:vAlign w:val="center"/>
          </w:tcPr>
          <w:p>
            <w:pPr>
              <w:rPr>
                <w:rFonts w:ascii="宋体" w:hAnsi="宋体" w:eastAsia="宋体" w:cs="宋体"/>
                <w:color w:val="000000"/>
                <w:kern w:val="0"/>
                <w:szCs w:val="21"/>
              </w:rPr>
            </w:pPr>
          </w:p>
        </w:tc>
        <w:tc>
          <w:tcPr>
            <w:tcW w:w="3545" w:type="pct"/>
            <w:tcBorders>
              <w:top w:val="single" w:color="000000" w:sz="4" w:space="0"/>
              <w:left w:val="nil"/>
              <w:bottom w:val="single" w:color="000000" w:sz="4" w:space="0"/>
              <w:right w:val="single" w:color="000000" w:sz="4" w:space="0"/>
            </w:tcBorders>
            <w:shd w:val="clear" w:color="auto" w:fill="auto"/>
            <w:vAlign w:val="center"/>
          </w:tcPr>
          <w:p>
            <w:pPr>
              <w:rPr>
                <w:rFonts w:ascii="宋体" w:hAnsi="宋体" w:eastAsia="宋体" w:cs="宋体"/>
                <w:color w:val="000000"/>
                <w:kern w:val="0"/>
                <w:szCs w:val="21"/>
              </w:rPr>
            </w:pPr>
            <w:r>
              <w:rPr>
                <w:rFonts w:hint="eastAsia" w:ascii="宋体" w:hAnsi="宋体" w:eastAsia="宋体" w:cs="宋体"/>
                <w:color w:val="000000"/>
                <w:kern w:val="0"/>
                <w:szCs w:val="21"/>
              </w:rPr>
              <w:t>华为、小米、VIVO、OPPO手机直连支持高级备份、助手备份等方式提取数据，无需降级应用、无需ROOT手机、无需物理镜像，可提取应用包括通话记录、通讯录、短信、QQ、微信</w:t>
            </w:r>
          </w:p>
        </w:tc>
        <w:tc>
          <w:tcPr>
            <w:tcW w:w="517" w:type="pct"/>
            <w:tcBorders>
              <w:top w:val="nil"/>
              <w:left w:val="nil"/>
              <w:bottom w:val="single" w:color="000000" w:sz="4" w:space="0"/>
              <w:right w:val="single" w:color="000000" w:sz="4" w:space="0"/>
            </w:tcBorders>
            <w:shd w:val="clear" w:color="auto" w:fill="auto"/>
            <w:noWrap/>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w:t>
            </w:r>
          </w:p>
        </w:tc>
      </w:tr>
      <w:tr>
        <w:tblPrEx>
          <w:tblCellMar>
            <w:top w:w="0" w:type="dxa"/>
            <w:left w:w="108" w:type="dxa"/>
            <w:bottom w:w="0" w:type="dxa"/>
            <w:right w:w="108" w:type="dxa"/>
          </w:tblCellMar>
        </w:tblPrEx>
        <w:trPr>
          <w:trHeight w:val="600" w:hRule="atLeast"/>
        </w:trPr>
        <w:tc>
          <w:tcPr>
            <w:tcW w:w="380" w:type="pct"/>
            <w:tcBorders>
              <w:top w:val="nil"/>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18</w:t>
            </w:r>
          </w:p>
        </w:tc>
        <w:tc>
          <w:tcPr>
            <w:tcW w:w="558" w:type="pct"/>
            <w:vMerge w:val="continue"/>
            <w:tcBorders>
              <w:top w:val="single" w:color="000000" w:sz="4" w:space="0"/>
              <w:left w:val="single" w:color="000000" w:sz="4" w:space="0"/>
              <w:bottom w:val="single" w:color="000000" w:sz="4" w:space="0"/>
              <w:right w:val="single" w:color="000000" w:sz="4" w:space="0"/>
            </w:tcBorders>
            <w:vAlign w:val="center"/>
          </w:tcPr>
          <w:p>
            <w:pPr>
              <w:rPr>
                <w:rFonts w:ascii="宋体" w:hAnsi="宋体" w:eastAsia="宋体" w:cs="宋体"/>
                <w:color w:val="000000"/>
                <w:kern w:val="0"/>
                <w:szCs w:val="21"/>
              </w:rPr>
            </w:pPr>
          </w:p>
        </w:tc>
        <w:tc>
          <w:tcPr>
            <w:tcW w:w="3545" w:type="pct"/>
            <w:tcBorders>
              <w:top w:val="single" w:color="000000" w:sz="4" w:space="0"/>
              <w:left w:val="nil"/>
              <w:bottom w:val="single" w:color="000000" w:sz="4" w:space="0"/>
              <w:right w:val="single" w:color="000000" w:sz="4" w:space="0"/>
            </w:tcBorders>
            <w:shd w:val="clear" w:color="auto" w:fill="auto"/>
            <w:vAlign w:val="center"/>
          </w:tcPr>
          <w:p>
            <w:pPr>
              <w:rPr>
                <w:rFonts w:ascii="宋体" w:hAnsi="宋体" w:eastAsia="宋体" w:cs="宋体"/>
                <w:color w:val="000000"/>
                <w:kern w:val="0"/>
                <w:szCs w:val="21"/>
              </w:rPr>
            </w:pPr>
            <w:r>
              <w:rPr>
                <w:rFonts w:hint="eastAsia" w:ascii="宋体" w:hAnsi="宋体" w:eastAsia="宋体" w:cs="宋体"/>
                <w:color w:val="000000"/>
                <w:kern w:val="0"/>
                <w:szCs w:val="21"/>
              </w:rPr>
              <w:t>支持检材数据按应用类型展现、按文件系统展现，获取的文件支持十六进制展示及搜索，支持检材文件系统数据按文件类型进行分类展示</w:t>
            </w:r>
          </w:p>
        </w:tc>
        <w:tc>
          <w:tcPr>
            <w:tcW w:w="517" w:type="pct"/>
            <w:tcBorders>
              <w:top w:val="nil"/>
              <w:left w:val="nil"/>
              <w:bottom w:val="single" w:color="000000" w:sz="4" w:space="0"/>
              <w:right w:val="single" w:color="000000" w:sz="4" w:space="0"/>
            </w:tcBorders>
            <w:shd w:val="clear" w:color="auto" w:fill="auto"/>
            <w:noWrap/>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　</w:t>
            </w:r>
            <w:r>
              <w:rPr>
                <w:rFonts w:hint="eastAsia" w:ascii="宋体" w:hAnsi="宋体" w:eastAsia="宋体" w:cstheme="minorEastAsia"/>
                <w:bCs/>
                <w:color w:val="000000"/>
                <w:kern w:val="0"/>
                <w:szCs w:val="21"/>
                <w:lang w:bidi="ar"/>
              </w:rPr>
              <w:t>/</w:t>
            </w:r>
          </w:p>
        </w:tc>
      </w:tr>
      <w:tr>
        <w:tblPrEx>
          <w:tblCellMar>
            <w:top w:w="0" w:type="dxa"/>
            <w:left w:w="108" w:type="dxa"/>
            <w:bottom w:w="0" w:type="dxa"/>
            <w:right w:w="108" w:type="dxa"/>
          </w:tblCellMar>
        </w:tblPrEx>
        <w:trPr>
          <w:trHeight w:val="464" w:hRule="atLeast"/>
        </w:trPr>
        <w:tc>
          <w:tcPr>
            <w:tcW w:w="380" w:type="pct"/>
            <w:tcBorders>
              <w:top w:val="nil"/>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19</w:t>
            </w:r>
          </w:p>
        </w:tc>
        <w:tc>
          <w:tcPr>
            <w:tcW w:w="558" w:type="pct"/>
            <w:vMerge w:val="continue"/>
            <w:tcBorders>
              <w:top w:val="single" w:color="000000" w:sz="4" w:space="0"/>
              <w:left w:val="single" w:color="000000" w:sz="4" w:space="0"/>
              <w:bottom w:val="single" w:color="000000" w:sz="4" w:space="0"/>
              <w:right w:val="single" w:color="000000" w:sz="4" w:space="0"/>
            </w:tcBorders>
            <w:vAlign w:val="center"/>
          </w:tcPr>
          <w:p>
            <w:pPr>
              <w:rPr>
                <w:rFonts w:ascii="宋体" w:hAnsi="宋体" w:eastAsia="宋体" w:cs="宋体"/>
                <w:color w:val="000000"/>
                <w:kern w:val="0"/>
                <w:szCs w:val="21"/>
              </w:rPr>
            </w:pPr>
          </w:p>
        </w:tc>
        <w:tc>
          <w:tcPr>
            <w:tcW w:w="3545" w:type="pct"/>
            <w:tcBorders>
              <w:top w:val="single" w:color="000000" w:sz="4" w:space="0"/>
              <w:left w:val="nil"/>
              <w:bottom w:val="single" w:color="000000" w:sz="4" w:space="0"/>
              <w:right w:val="single" w:color="000000" w:sz="4" w:space="0"/>
            </w:tcBorders>
            <w:shd w:val="clear" w:color="auto" w:fill="auto"/>
            <w:vAlign w:val="center"/>
          </w:tcPr>
          <w:p>
            <w:pPr>
              <w:spacing w:beforeAutospacing="1" w:after="160" w:line="276" w:lineRule="auto"/>
              <w:rPr>
                <w:rFonts w:ascii="宋体" w:hAnsi="宋体" w:eastAsia="宋体" w:cs="宋体"/>
                <w:color w:val="000000"/>
                <w:kern w:val="0"/>
                <w:szCs w:val="21"/>
                <w:highlight w:val="yellow"/>
              </w:rPr>
            </w:pPr>
            <w:r>
              <w:rPr>
                <w:rFonts w:hint="eastAsia" w:ascii="宋体" w:hAnsi="宋体" w:eastAsia="宋体" w:cs="宋体"/>
                <w:color w:val="000000"/>
                <w:kern w:val="0"/>
                <w:szCs w:val="21"/>
              </w:rPr>
              <w:t>取证结果支持一键导出和自定义导出，可设置报告的基础设置、生成项目、报告格式等，支持PDF,HTML格式导出</w:t>
            </w:r>
          </w:p>
        </w:tc>
        <w:tc>
          <w:tcPr>
            <w:tcW w:w="517" w:type="pct"/>
            <w:tcBorders>
              <w:top w:val="nil"/>
              <w:left w:val="nil"/>
              <w:bottom w:val="single" w:color="000000" w:sz="4" w:space="0"/>
              <w:right w:val="single" w:color="000000" w:sz="4" w:space="0"/>
            </w:tcBorders>
            <w:shd w:val="clear" w:color="auto" w:fill="auto"/>
            <w:noWrap/>
            <w:vAlign w:val="center"/>
          </w:tcPr>
          <w:p>
            <w:pPr>
              <w:jc w:val="center"/>
              <w:rPr>
                <w:rFonts w:ascii="宋体" w:hAnsi="宋体" w:eastAsia="宋体" w:cs="宋体"/>
                <w:color w:val="000000"/>
                <w:kern w:val="0"/>
                <w:szCs w:val="21"/>
                <w:highlight w:val="yellow"/>
              </w:rPr>
            </w:pPr>
            <w:r>
              <w:rPr>
                <w:rFonts w:hint="eastAsia" w:ascii="宋体" w:hAnsi="宋体" w:eastAsia="宋体" w:cs="宋体"/>
                <w:color w:val="000000"/>
                <w:kern w:val="0"/>
                <w:szCs w:val="21"/>
              </w:rPr>
              <w:t>/</w:t>
            </w:r>
          </w:p>
        </w:tc>
      </w:tr>
      <w:tr>
        <w:tblPrEx>
          <w:tblCellMar>
            <w:top w:w="0" w:type="dxa"/>
            <w:left w:w="108" w:type="dxa"/>
            <w:bottom w:w="0" w:type="dxa"/>
            <w:right w:w="108" w:type="dxa"/>
          </w:tblCellMar>
        </w:tblPrEx>
        <w:trPr>
          <w:trHeight w:val="600" w:hRule="atLeast"/>
        </w:trPr>
        <w:tc>
          <w:tcPr>
            <w:tcW w:w="380" w:type="pct"/>
            <w:tcBorders>
              <w:top w:val="nil"/>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20</w:t>
            </w:r>
          </w:p>
        </w:tc>
        <w:tc>
          <w:tcPr>
            <w:tcW w:w="558" w:type="pct"/>
            <w:vMerge w:val="continue"/>
            <w:tcBorders>
              <w:top w:val="single" w:color="000000" w:sz="4" w:space="0"/>
              <w:left w:val="single" w:color="000000" w:sz="4" w:space="0"/>
              <w:bottom w:val="single" w:color="000000" w:sz="4" w:space="0"/>
              <w:right w:val="single" w:color="000000" w:sz="4" w:space="0"/>
            </w:tcBorders>
            <w:vAlign w:val="center"/>
          </w:tcPr>
          <w:p>
            <w:pPr>
              <w:rPr>
                <w:rFonts w:ascii="宋体" w:hAnsi="宋体" w:eastAsia="宋体" w:cs="宋体"/>
                <w:color w:val="000000"/>
                <w:kern w:val="0"/>
                <w:szCs w:val="21"/>
              </w:rPr>
            </w:pPr>
          </w:p>
        </w:tc>
        <w:tc>
          <w:tcPr>
            <w:tcW w:w="3545" w:type="pct"/>
            <w:tcBorders>
              <w:top w:val="single" w:color="000000" w:sz="4" w:space="0"/>
              <w:left w:val="nil"/>
              <w:bottom w:val="single" w:color="000000" w:sz="4" w:space="0"/>
              <w:right w:val="single" w:color="000000" w:sz="4" w:space="0"/>
            </w:tcBorders>
            <w:shd w:val="clear" w:color="auto" w:fill="auto"/>
            <w:vAlign w:val="center"/>
          </w:tcPr>
          <w:p>
            <w:pPr>
              <w:rPr>
                <w:rFonts w:ascii="宋体" w:hAnsi="宋体" w:eastAsia="宋体" w:cs="宋体"/>
                <w:color w:val="000000"/>
                <w:kern w:val="0"/>
                <w:szCs w:val="21"/>
                <w:highlight w:val="yellow"/>
              </w:rPr>
            </w:pPr>
            <w:r>
              <w:rPr>
                <w:rFonts w:hint="eastAsia" w:ascii="宋体" w:hAnsi="宋体" w:eastAsia="宋体" w:cs="宋体"/>
                <w:color w:val="000000"/>
                <w:kern w:val="0"/>
                <w:szCs w:val="21"/>
              </w:rPr>
              <w:t>支持可直接接入SIM卡进行数据提取</w:t>
            </w:r>
          </w:p>
        </w:tc>
        <w:tc>
          <w:tcPr>
            <w:tcW w:w="517" w:type="pct"/>
            <w:tcBorders>
              <w:top w:val="nil"/>
              <w:left w:val="nil"/>
              <w:bottom w:val="single" w:color="000000" w:sz="4" w:space="0"/>
              <w:right w:val="single" w:color="000000" w:sz="4" w:space="0"/>
            </w:tcBorders>
            <w:shd w:val="clear" w:color="auto" w:fill="auto"/>
            <w:noWrap/>
          </w:tcPr>
          <w:p>
            <w:pPr>
              <w:jc w:val="center"/>
              <w:rPr>
                <w:rFonts w:hint="eastAsia" w:ascii="宋体" w:hAnsi="宋体" w:eastAsia="宋体" w:cstheme="minorEastAsia"/>
                <w:bCs/>
                <w:color w:val="000000"/>
                <w:kern w:val="0"/>
                <w:szCs w:val="21"/>
                <w:lang w:bidi="ar"/>
              </w:rPr>
            </w:pPr>
            <w:r>
              <w:rPr>
                <w:rFonts w:hint="eastAsia" w:ascii="宋体" w:hAnsi="宋体" w:eastAsia="宋体" w:cstheme="minorEastAsia"/>
                <w:bCs/>
                <w:color w:val="000000"/>
                <w:kern w:val="0"/>
                <w:szCs w:val="21"/>
                <w:lang w:bidi="ar"/>
              </w:rPr>
              <w:t>/</w:t>
            </w:r>
          </w:p>
        </w:tc>
      </w:tr>
      <w:tr>
        <w:tblPrEx>
          <w:tblCellMar>
            <w:top w:w="0" w:type="dxa"/>
            <w:left w:w="108" w:type="dxa"/>
            <w:bottom w:w="0" w:type="dxa"/>
            <w:right w:w="108" w:type="dxa"/>
          </w:tblCellMar>
        </w:tblPrEx>
        <w:trPr>
          <w:trHeight w:val="600" w:hRule="atLeast"/>
        </w:trPr>
        <w:tc>
          <w:tcPr>
            <w:tcW w:w="380" w:type="pct"/>
            <w:tcBorders>
              <w:top w:val="nil"/>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21</w:t>
            </w:r>
          </w:p>
        </w:tc>
        <w:tc>
          <w:tcPr>
            <w:tcW w:w="558" w:type="pct"/>
            <w:vMerge w:val="continue"/>
            <w:tcBorders>
              <w:top w:val="single" w:color="000000" w:sz="4" w:space="0"/>
              <w:left w:val="single" w:color="000000" w:sz="4" w:space="0"/>
              <w:bottom w:val="single" w:color="000000" w:sz="4" w:space="0"/>
              <w:right w:val="single" w:color="000000" w:sz="4" w:space="0"/>
            </w:tcBorders>
            <w:vAlign w:val="center"/>
          </w:tcPr>
          <w:p>
            <w:pPr>
              <w:rPr>
                <w:rFonts w:ascii="宋体" w:hAnsi="宋体" w:eastAsia="宋体" w:cs="宋体"/>
                <w:color w:val="000000"/>
                <w:kern w:val="0"/>
                <w:szCs w:val="21"/>
              </w:rPr>
            </w:pPr>
          </w:p>
        </w:tc>
        <w:tc>
          <w:tcPr>
            <w:tcW w:w="3545" w:type="pct"/>
            <w:tcBorders>
              <w:top w:val="single" w:color="000000" w:sz="4" w:space="0"/>
              <w:left w:val="nil"/>
              <w:bottom w:val="single" w:color="000000" w:sz="4" w:space="0"/>
              <w:right w:val="single" w:color="000000" w:sz="4" w:space="0"/>
            </w:tcBorders>
            <w:shd w:val="clear" w:color="auto" w:fill="auto"/>
            <w:vAlign w:val="center"/>
          </w:tcPr>
          <w:p>
            <w:pPr>
              <w:rPr>
                <w:rFonts w:ascii="宋体" w:hAnsi="宋体" w:eastAsia="宋体" w:cs="宋体"/>
                <w:color w:val="000000"/>
                <w:kern w:val="0"/>
                <w:szCs w:val="21"/>
              </w:rPr>
            </w:pPr>
            <w:r>
              <w:rPr>
                <w:rFonts w:hint="eastAsia" w:ascii="宋体" w:hAnsi="宋体" w:eastAsia="宋体" w:cs="宋体"/>
                <w:color w:val="000000"/>
                <w:kern w:val="0"/>
                <w:szCs w:val="21"/>
              </w:rPr>
              <w:t>支持获取手机IMEI、通讯簿、短信、通话记录、备忘录、日历、Wi-Fi/蓝牙连接记录、多媒体文件、系统日志和密码密钥等信息</w:t>
            </w:r>
          </w:p>
        </w:tc>
        <w:tc>
          <w:tcPr>
            <w:tcW w:w="517" w:type="pct"/>
            <w:tcBorders>
              <w:top w:val="nil"/>
              <w:left w:val="nil"/>
              <w:bottom w:val="single" w:color="000000" w:sz="4" w:space="0"/>
              <w:right w:val="single" w:color="000000" w:sz="4" w:space="0"/>
            </w:tcBorders>
            <w:shd w:val="clear" w:color="auto" w:fill="auto"/>
            <w:noWrap/>
          </w:tcPr>
          <w:p>
            <w:pPr>
              <w:jc w:val="center"/>
              <w:rPr>
                <w:rFonts w:hint="eastAsia" w:ascii="宋体" w:hAnsi="宋体" w:eastAsia="宋体" w:cstheme="minorEastAsia"/>
                <w:bCs/>
                <w:color w:val="000000"/>
                <w:kern w:val="0"/>
                <w:szCs w:val="21"/>
                <w:lang w:bidi="ar"/>
              </w:rPr>
            </w:pPr>
            <w:r>
              <w:rPr>
                <w:rFonts w:hint="eastAsia" w:ascii="宋体" w:hAnsi="宋体" w:eastAsia="宋体" w:cstheme="minorEastAsia"/>
                <w:bCs/>
                <w:color w:val="000000"/>
                <w:kern w:val="0"/>
                <w:szCs w:val="21"/>
                <w:lang w:bidi="ar"/>
              </w:rPr>
              <w:t>/</w:t>
            </w:r>
          </w:p>
        </w:tc>
      </w:tr>
      <w:tr>
        <w:tblPrEx>
          <w:tblCellMar>
            <w:top w:w="0" w:type="dxa"/>
            <w:left w:w="108" w:type="dxa"/>
            <w:bottom w:w="0" w:type="dxa"/>
            <w:right w:w="108" w:type="dxa"/>
          </w:tblCellMar>
        </w:tblPrEx>
        <w:trPr>
          <w:trHeight w:val="137" w:hRule="atLeast"/>
        </w:trPr>
        <w:tc>
          <w:tcPr>
            <w:tcW w:w="380" w:type="pct"/>
            <w:tcBorders>
              <w:top w:val="nil"/>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22</w:t>
            </w:r>
          </w:p>
        </w:tc>
        <w:tc>
          <w:tcPr>
            <w:tcW w:w="558" w:type="pct"/>
            <w:vMerge w:val="continue"/>
            <w:tcBorders>
              <w:top w:val="single" w:color="000000" w:sz="4" w:space="0"/>
              <w:left w:val="single" w:color="000000" w:sz="4" w:space="0"/>
              <w:bottom w:val="single" w:color="000000" w:sz="4" w:space="0"/>
              <w:right w:val="single" w:color="000000" w:sz="4" w:space="0"/>
            </w:tcBorders>
            <w:vAlign w:val="center"/>
          </w:tcPr>
          <w:p>
            <w:pPr>
              <w:rPr>
                <w:rFonts w:ascii="宋体" w:hAnsi="宋体" w:eastAsia="宋体" w:cs="宋体"/>
                <w:color w:val="000000"/>
                <w:kern w:val="0"/>
                <w:szCs w:val="21"/>
              </w:rPr>
            </w:pPr>
          </w:p>
        </w:tc>
        <w:tc>
          <w:tcPr>
            <w:tcW w:w="3545" w:type="pct"/>
            <w:tcBorders>
              <w:top w:val="single" w:color="000000" w:sz="4" w:space="0"/>
              <w:left w:val="nil"/>
              <w:bottom w:val="single" w:color="000000" w:sz="4" w:space="0"/>
              <w:right w:val="single" w:color="000000" w:sz="4" w:space="0"/>
            </w:tcBorders>
            <w:shd w:val="clear" w:color="auto" w:fill="auto"/>
            <w:vAlign w:val="center"/>
          </w:tcPr>
          <w:p>
            <w:pPr>
              <w:rPr>
                <w:rFonts w:ascii="宋体" w:hAnsi="宋体" w:eastAsia="宋体" w:cs="宋体"/>
                <w:color w:val="000000"/>
                <w:kern w:val="0"/>
                <w:szCs w:val="21"/>
                <w:highlight w:val="yellow"/>
              </w:rPr>
            </w:pPr>
            <w:r>
              <w:rPr>
                <w:rFonts w:hint="eastAsia" w:ascii="宋体" w:hAnsi="宋体" w:eastAsia="宋体" w:cs="宋体"/>
                <w:color w:val="000000"/>
                <w:kern w:val="0"/>
                <w:szCs w:val="21"/>
              </w:rPr>
              <w:t>支持iOS加密备份的keychain解析</w:t>
            </w:r>
          </w:p>
        </w:tc>
        <w:tc>
          <w:tcPr>
            <w:tcW w:w="517" w:type="pct"/>
            <w:tcBorders>
              <w:top w:val="nil"/>
              <w:left w:val="nil"/>
              <w:bottom w:val="single" w:color="000000" w:sz="4" w:space="0"/>
              <w:right w:val="single" w:color="000000" w:sz="4" w:space="0"/>
            </w:tcBorders>
            <w:shd w:val="clear" w:color="auto" w:fill="auto"/>
            <w:noWrap/>
          </w:tcPr>
          <w:p>
            <w:pPr>
              <w:jc w:val="center"/>
              <w:rPr>
                <w:rFonts w:ascii="宋体" w:hAnsi="宋体" w:eastAsia="宋体" w:cs="宋体"/>
                <w:color w:val="000000"/>
                <w:kern w:val="0"/>
                <w:szCs w:val="21"/>
                <w:highlight w:val="yellow"/>
              </w:rPr>
            </w:pPr>
            <w:r>
              <w:rPr>
                <w:rFonts w:hint="eastAsia" w:ascii="宋体" w:hAnsi="宋体" w:eastAsia="宋体" w:cstheme="minorEastAsia"/>
                <w:bCs/>
                <w:color w:val="000000"/>
                <w:kern w:val="0"/>
                <w:szCs w:val="21"/>
                <w:lang w:bidi="ar"/>
              </w:rPr>
              <w:t>/</w:t>
            </w:r>
          </w:p>
        </w:tc>
      </w:tr>
      <w:tr>
        <w:tblPrEx>
          <w:tblCellMar>
            <w:top w:w="0" w:type="dxa"/>
            <w:left w:w="108" w:type="dxa"/>
            <w:bottom w:w="0" w:type="dxa"/>
            <w:right w:w="108" w:type="dxa"/>
          </w:tblCellMar>
        </w:tblPrEx>
        <w:trPr>
          <w:trHeight w:val="600" w:hRule="atLeast"/>
        </w:trPr>
        <w:tc>
          <w:tcPr>
            <w:tcW w:w="380" w:type="pct"/>
            <w:tcBorders>
              <w:top w:val="nil"/>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23</w:t>
            </w:r>
          </w:p>
        </w:tc>
        <w:tc>
          <w:tcPr>
            <w:tcW w:w="558" w:type="pct"/>
            <w:vMerge w:val="continue"/>
            <w:tcBorders>
              <w:top w:val="single" w:color="000000" w:sz="4" w:space="0"/>
              <w:left w:val="single" w:color="000000" w:sz="4" w:space="0"/>
              <w:bottom w:val="single" w:color="000000" w:sz="4" w:space="0"/>
              <w:right w:val="single" w:color="000000" w:sz="4" w:space="0"/>
            </w:tcBorders>
            <w:vAlign w:val="center"/>
          </w:tcPr>
          <w:p>
            <w:pPr>
              <w:rPr>
                <w:rFonts w:ascii="宋体" w:hAnsi="宋体" w:eastAsia="宋体" w:cs="宋体"/>
                <w:color w:val="000000"/>
                <w:kern w:val="0"/>
                <w:szCs w:val="21"/>
              </w:rPr>
            </w:pPr>
          </w:p>
        </w:tc>
        <w:tc>
          <w:tcPr>
            <w:tcW w:w="3545" w:type="pct"/>
            <w:tcBorders>
              <w:top w:val="single" w:color="000000" w:sz="4" w:space="0"/>
              <w:left w:val="nil"/>
              <w:bottom w:val="single" w:color="000000" w:sz="4" w:space="0"/>
              <w:right w:val="single" w:color="000000" w:sz="4" w:space="0"/>
            </w:tcBorders>
            <w:shd w:val="clear" w:color="auto" w:fill="auto"/>
            <w:vAlign w:val="center"/>
          </w:tcPr>
          <w:p>
            <w:pPr>
              <w:rPr>
                <w:rFonts w:ascii="宋体" w:hAnsi="宋体" w:eastAsia="宋体" w:cs="宋体"/>
                <w:color w:val="000000"/>
                <w:kern w:val="0"/>
                <w:szCs w:val="21"/>
              </w:rPr>
            </w:pPr>
            <w:r>
              <w:rPr>
                <w:rFonts w:hint="eastAsia" w:ascii="宋体" w:hAnsi="宋体" w:eastAsia="宋体" w:cs="宋体"/>
                <w:color w:val="000000"/>
                <w:kern w:val="0"/>
                <w:szCs w:val="21"/>
              </w:rPr>
              <w:t>支持各种即时通讯软件多媒体文件的转码，并在软件内直接播放</w:t>
            </w:r>
          </w:p>
        </w:tc>
        <w:tc>
          <w:tcPr>
            <w:tcW w:w="517" w:type="pct"/>
            <w:tcBorders>
              <w:top w:val="nil"/>
              <w:left w:val="nil"/>
              <w:bottom w:val="single" w:color="000000" w:sz="4" w:space="0"/>
              <w:right w:val="single" w:color="000000" w:sz="4" w:space="0"/>
            </w:tcBorders>
            <w:shd w:val="clear" w:color="auto" w:fill="auto"/>
            <w:noWrap/>
          </w:tcPr>
          <w:p>
            <w:pPr>
              <w:jc w:val="center"/>
              <w:rPr>
                <w:rFonts w:ascii="宋体" w:hAnsi="宋体" w:eastAsia="宋体" w:cs="宋体"/>
                <w:color w:val="000000"/>
                <w:kern w:val="0"/>
                <w:szCs w:val="21"/>
              </w:rPr>
            </w:pPr>
            <w:r>
              <w:rPr>
                <w:rFonts w:hint="eastAsia" w:ascii="宋体" w:hAnsi="宋体" w:eastAsia="宋体" w:cstheme="minorEastAsia"/>
                <w:bCs/>
                <w:color w:val="000000"/>
                <w:kern w:val="0"/>
                <w:szCs w:val="21"/>
                <w:lang w:bidi="ar"/>
              </w:rPr>
              <w:t>/</w:t>
            </w:r>
          </w:p>
        </w:tc>
      </w:tr>
      <w:tr>
        <w:tblPrEx>
          <w:tblCellMar>
            <w:top w:w="0" w:type="dxa"/>
            <w:left w:w="108" w:type="dxa"/>
            <w:bottom w:w="0" w:type="dxa"/>
            <w:right w:w="108" w:type="dxa"/>
          </w:tblCellMar>
        </w:tblPrEx>
        <w:trPr>
          <w:trHeight w:val="600" w:hRule="atLeast"/>
        </w:trPr>
        <w:tc>
          <w:tcPr>
            <w:tcW w:w="380" w:type="pct"/>
            <w:tcBorders>
              <w:top w:val="nil"/>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24</w:t>
            </w:r>
          </w:p>
        </w:tc>
        <w:tc>
          <w:tcPr>
            <w:tcW w:w="558" w:type="pct"/>
            <w:vMerge w:val="continue"/>
            <w:tcBorders>
              <w:top w:val="single" w:color="000000" w:sz="4" w:space="0"/>
              <w:left w:val="single" w:color="000000" w:sz="4" w:space="0"/>
              <w:bottom w:val="single" w:color="000000" w:sz="4" w:space="0"/>
              <w:right w:val="single" w:color="000000" w:sz="4" w:space="0"/>
            </w:tcBorders>
            <w:vAlign w:val="center"/>
          </w:tcPr>
          <w:p>
            <w:pPr>
              <w:rPr>
                <w:rFonts w:ascii="宋体" w:hAnsi="宋体" w:eastAsia="宋体" w:cs="宋体"/>
                <w:color w:val="000000"/>
                <w:kern w:val="0"/>
                <w:szCs w:val="21"/>
              </w:rPr>
            </w:pPr>
          </w:p>
        </w:tc>
        <w:tc>
          <w:tcPr>
            <w:tcW w:w="3545" w:type="pct"/>
            <w:tcBorders>
              <w:top w:val="single" w:color="000000" w:sz="4" w:space="0"/>
              <w:left w:val="nil"/>
              <w:bottom w:val="single" w:color="000000" w:sz="4" w:space="0"/>
              <w:right w:val="single" w:color="000000" w:sz="4" w:space="0"/>
            </w:tcBorders>
            <w:shd w:val="clear" w:color="auto" w:fill="auto"/>
            <w:vAlign w:val="center"/>
          </w:tcPr>
          <w:p>
            <w:pPr>
              <w:rPr>
                <w:rFonts w:ascii="宋体" w:hAnsi="宋体" w:eastAsia="宋体" w:cs="宋体"/>
                <w:color w:val="000000"/>
                <w:kern w:val="0"/>
                <w:szCs w:val="21"/>
              </w:rPr>
            </w:pPr>
            <w:r>
              <w:rPr>
                <w:rFonts w:hint="eastAsia" w:ascii="宋体" w:hAnsi="宋体" w:eastAsia="宋体" w:cs="宋体"/>
                <w:color w:val="000000"/>
                <w:kern w:val="0"/>
                <w:szCs w:val="21"/>
              </w:rPr>
              <w:t>支持Android、iOS微信全版本（含6.0以上）删除数据恢复</w:t>
            </w:r>
          </w:p>
        </w:tc>
        <w:tc>
          <w:tcPr>
            <w:tcW w:w="517" w:type="pct"/>
            <w:tcBorders>
              <w:top w:val="nil"/>
              <w:left w:val="nil"/>
              <w:bottom w:val="single" w:color="000000" w:sz="4" w:space="0"/>
              <w:right w:val="single" w:color="000000" w:sz="4" w:space="0"/>
            </w:tcBorders>
            <w:shd w:val="clear" w:color="auto" w:fill="auto"/>
            <w:noWrap/>
          </w:tcPr>
          <w:p>
            <w:pPr>
              <w:jc w:val="center"/>
              <w:rPr>
                <w:rFonts w:ascii="宋体" w:hAnsi="宋体" w:eastAsia="宋体" w:cs="宋体"/>
                <w:color w:val="000000"/>
                <w:kern w:val="0"/>
                <w:szCs w:val="21"/>
              </w:rPr>
            </w:pPr>
            <w:r>
              <w:rPr>
                <w:rFonts w:hint="eastAsia" w:ascii="宋体" w:hAnsi="宋体" w:eastAsia="宋体" w:cstheme="minorEastAsia"/>
                <w:bCs/>
                <w:color w:val="000000"/>
                <w:kern w:val="0"/>
                <w:szCs w:val="21"/>
                <w:lang w:bidi="ar"/>
              </w:rPr>
              <w:t>/</w:t>
            </w:r>
          </w:p>
        </w:tc>
      </w:tr>
      <w:tr>
        <w:tblPrEx>
          <w:tblCellMar>
            <w:top w:w="0" w:type="dxa"/>
            <w:left w:w="108" w:type="dxa"/>
            <w:bottom w:w="0" w:type="dxa"/>
            <w:right w:w="108" w:type="dxa"/>
          </w:tblCellMar>
        </w:tblPrEx>
        <w:trPr>
          <w:trHeight w:val="90" w:hRule="atLeast"/>
        </w:trPr>
        <w:tc>
          <w:tcPr>
            <w:tcW w:w="380" w:type="pct"/>
            <w:tcBorders>
              <w:top w:val="nil"/>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25</w:t>
            </w:r>
          </w:p>
        </w:tc>
        <w:tc>
          <w:tcPr>
            <w:tcW w:w="558" w:type="pct"/>
            <w:vMerge w:val="continue"/>
            <w:tcBorders>
              <w:top w:val="single" w:color="000000" w:sz="4" w:space="0"/>
              <w:left w:val="single" w:color="000000" w:sz="4" w:space="0"/>
              <w:bottom w:val="single" w:color="000000" w:sz="4" w:space="0"/>
              <w:right w:val="single" w:color="000000" w:sz="4" w:space="0"/>
            </w:tcBorders>
            <w:vAlign w:val="center"/>
          </w:tcPr>
          <w:p>
            <w:pPr>
              <w:rPr>
                <w:rFonts w:ascii="宋体" w:hAnsi="宋体" w:eastAsia="宋体" w:cs="宋体"/>
                <w:color w:val="000000"/>
                <w:kern w:val="0"/>
                <w:szCs w:val="21"/>
              </w:rPr>
            </w:pPr>
          </w:p>
        </w:tc>
        <w:tc>
          <w:tcPr>
            <w:tcW w:w="3545" w:type="pct"/>
            <w:tcBorders>
              <w:top w:val="single" w:color="000000" w:sz="4" w:space="0"/>
              <w:left w:val="nil"/>
              <w:bottom w:val="single" w:color="000000" w:sz="4" w:space="0"/>
              <w:right w:val="single" w:color="000000" w:sz="4" w:space="0"/>
            </w:tcBorders>
            <w:shd w:val="clear" w:color="auto" w:fill="auto"/>
            <w:vAlign w:val="center"/>
          </w:tcPr>
          <w:p>
            <w:pPr>
              <w:rPr>
                <w:rFonts w:ascii="宋体" w:hAnsi="宋体" w:eastAsia="宋体" w:cs="宋体"/>
                <w:color w:val="000000"/>
                <w:kern w:val="0"/>
                <w:szCs w:val="21"/>
                <w:highlight w:val="yellow"/>
              </w:rPr>
            </w:pPr>
            <w:r>
              <w:rPr>
                <w:rFonts w:hint="eastAsia" w:ascii="宋体" w:hAnsi="宋体" w:eastAsia="宋体" w:cs="宋体"/>
                <w:color w:val="000000"/>
                <w:kern w:val="0"/>
                <w:szCs w:val="21"/>
              </w:rPr>
              <w:t>支持常用Android和iOS应用信息解析</w:t>
            </w:r>
          </w:p>
        </w:tc>
        <w:tc>
          <w:tcPr>
            <w:tcW w:w="517" w:type="pct"/>
            <w:tcBorders>
              <w:top w:val="nil"/>
              <w:left w:val="nil"/>
              <w:bottom w:val="single" w:color="000000" w:sz="4" w:space="0"/>
              <w:right w:val="single" w:color="000000" w:sz="4" w:space="0"/>
            </w:tcBorders>
            <w:shd w:val="clear" w:color="auto" w:fill="auto"/>
            <w:noWrap/>
          </w:tcPr>
          <w:p>
            <w:pPr>
              <w:jc w:val="center"/>
              <w:rPr>
                <w:rFonts w:ascii="宋体" w:hAnsi="宋体" w:eastAsia="宋体" w:cs="宋体"/>
                <w:color w:val="000000"/>
                <w:kern w:val="0"/>
                <w:szCs w:val="21"/>
                <w:highlight w:val="yellow"/>
              </w:rPr>
            </w:pPr>
            <w:r>
              <w:rPr>
                <w:rFonts w:hint="eastAsia" w:ascii="宋体" w:hAnsi="宋体" w:eastAsia="宋体" w:cstheme="minorEastAsia"/>
                <w:bCs/>
                <w:color w:val="000000"/>
                <w:kern w:val="0"/>
                <w:szCs w:val="21"/>
                <w:lang w:bidi="ar"/>
              </w:rPr>
              <w:t>/</w:t>
            </w:r>
          </w:p>
        </w:tc>
      </w:tr>
      <w:tr>
        <w:tblPrEx>
          <w:tblCellMar>
            <w:top w:w="0" w:type="dxa"/>
            <w:left w:w="108" w:type="dxa"/>
            <w:bottom w:w="0" w:type="dxa"/>
            <w:right w:w="108" w:type="dxa"/>
          </w:tblCellMar>
        </w:tblPrEx>
        <w:trPr>
          <w:trHeight w:val="600" w:hRule="atLeast"/>
        </w:trPr>
        <w:tc>
          <w:tcPr>
            <w:tcW w:w="380" w:type="pct"/>
            <w:tcBorders>
              <w:top w:val="nil"/>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26</w:t>
            </w:r>
          </w:p>
        </w:tc>
        <w:tc>
          <w:tcPr>
            <w:tcW w:w="558" w:type="pct"/>
            <w:tcBorders>
              <w:top w:val="single" w:color="000000" w:sz="4" w:space="0"/>
              <w:left w:val="nil"/>
              <w:bottom w:val="single" w:color="000000" w:sz="4" w:space="0"/>
              <w:right w:val="single" w:color="000000" w:sz="4" w:space="0"/>
            </w:tcBorders>
            <w:shd w:val="clear" w:color="auto" w:fill="auto"/>
            <w:noWrap/>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物联网管理API</w:t>
            </w:r>
          </w:p>
        </w:tc>
        <w:tc>
          <w:tcPr>
            <w:tcW w:w="3545" w:type="pct"/>
            <w:tcBorders>
              <w:top w:val="single" w:color="000000" w:sz="4" w:space="0"/>
              <w:left w:val="nil"/>
              <w:bottom w:val="single" w:color="000000" w:sz="4" w:space="0"/>
              <w:right w:val="single" w:color="000000" w:sz="4" w:space="0"/>
            </w:tcBorders>
            <w:shd w:val="clear" w:color="auto" w:fill="auto"/>
            <w:vAlign w:val="center"/>
          </w:tcPr>
          <w:p>
            <w:pPr>
              <w:rPr>
                <w:rFonts w:ascii="宋体" w:hAnsi="宋体" w:eastAsia="宋体" w:cs="宋体"/>
                <w:color w:val="000000"/>
                <w:kern w:val="0"/>
                <w:szCs w:val="21"/>
              </w:rPr>
            </w:pPr>
            <w:r>
              <w:rPr>
                <w:rFonts w:hint="eastAsia" w:ascii="宋体" w:hAnsi="宋体" w:eastAsia="宋体" w:cs="宋体"/>
                <w:color w:val="000000"/>
                <w:kern w:val="0"/>
                <w:szCs w:val="21"/>
              </w:rPr>
              <w:t>支持开放的物联网管理API接口，供实验室管理系统采集设备工作状态和工作量</w:t>
            </w:r>
          </w:p>
        </w:tc>
        <w:tc>
          <w:tcPr>
            <w:tcW w:w="517" w:type="pct"/>
            <w:tcBorders>
              <w:top w:val="nil"/>
              <w:left w:val="nil"/>
              <w:bottom w:val="single" w:color="000000" w:sz="4" w:space="0"/>
              <w:right w:val="single" w:color="000000" w:sz="4" w:space="0"/>
            </w:tcBorders>
            <w:shd w:val="clear" w:color="auto" w:fill="auto"/>
          </w:tcPr>
          <w:p>
            <w:pPr>
              <w:jc w:val="center"/>
              <w:rPr>
                <w:rFonts w:ascii="宋体" w:hAnsi="宋体" w:eastAsia="宋体" w:cs="宋体"/>
                <w:color w:val="000000"/>
                <w:kern w:val="0"/>
                <w:szCs w:val="21"/>
              </w:rPr>
            </w:pPr>
            <w:r>
              <w:rPr>
                <w:rFonts w:hint="eastAsia" w:ascii="宋体" w:hAnsi="宋体" w:eastAsia="宋体" w:cstheme="minorEastAsia"/>
                <w:bCs/>
                <w:color w:val="000000"/>
                <w:kern w:val="0"/>
                <w:szCs w:val="21"/>
                <w:lang w:bidi="ar"/>
              </w:rPr>
              <w:t>/</w:t>
            </w:r>
          </w:p>
        </w:tc>
      </w:tr>
    </w:tbl>
    <w:p>
      <w:pPr>
        <w:pStyle w:val="5"/>
        <w:spacing w:before="15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第3包数据恢复设备</w:t>
      </w:r>
      <w:r>
        <w:rPr>
          <w:rFonts w:hint="default" w:ascii="Times New Roman" w:hAnsi="Times New Roman" w:cs="Times New Roman" w:eastAsiaTheme="minorEastAsia"/>
          <w:szCs w:val="21"/>
        </w:rPr>
        <w:t>Ⅱ</w:t>
      </w:r>
    </w:p>
    <w:tbl>
      <w:tblPr>
        <w:tblStyle w:val="8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8"/>
        <w:gridCol w:w="960"/>
        <w:gridCol w:w="5489"/>
        <w:gridCol w:w="6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0" w:type="auto"/>
            <w:shd w:val="clear" w:color="auto" w:fill="auto"/>
            <w:vAlign w:val="center"/>
          </w:tcPr>
          <w:p>
            <w:pPr>
              <w:jc w:val="center"/>
              <w:rPr>
                <w:rFonts w:ascii="宋体" w:hAnsi="宋体" w:cs="宋体" w:eastAsiaTheme="minorEastAsia"/>
                <w:b/>
                <w:bCs/>
                <w:color w:val="000000"/>
                <w:kern w:val="0"/>
                <w:szCs w:val="21"/>
              </w:rPr>
            </w:pPr>
            <w:r>
              <w:rPr>
                <w:rFonts w:hint="eastAsia" w:ascii="宋体" w:hAnsi="宋体" w:cs="宋体" w:eastAsiaTheme="minorEastAsia"/>
                <w:b/>
                <w:bCs/>
                <w:color w:val="000000"/>
                <w:kern w:val="0"/>
                <w:szCs w:val="21"/>
              </w:rPr>
              <w:t>序号</w:t>
            </w:r>
          </w:p>
        </w:tc>
        <w:tc>
          <w:tcPr>
            <w:tcW w:w="960" w:type="dxa"/>
            <w:shd w:val="clear" w:color="auto" w:fill="auto"/>
            <w:vAlign w:val="center"/>
          </w:tcPr>
          <w:p>
            <w:pPr>
              <w:jc w:val="center"/>
              <w:rPr>
                <w:rFonts w:ascii="宋体" w:hAnsi="宋体" w:cs="宋体" w:eastAsiaTheme="minorEastAsia"/>
                <w:b/>
                <w:bCs/>
                <w:color w:val="000000"/>
                <w:kern w:val="0"/>
                <w:szCs w:val="21"/>
              </w:rPr>
            </w:pPr>
            <w:r>
              <w:rPr>
                <w:rFonts w:hint="eastAsia" w:ascii="宋体" w:hAnsi="宋体" w:cs="宋体" w:eastAsiaTheme="minorEastAsia"/>
                <w:b/>
                <w:bCs/>
                <w:color w:val="000000"/>
                <w:kern w:val="0"/>
                <w:szCs w:val="21"/>
              </w:rPr>
              <w:t>指标项</w:t>
            </w:r>
          </w:p>
        </w:tc>
        <w:tc>
          <w:tcPr>
            <w:tcW w:w="5489" w:type="dxa"/>
            <w:shd w:val="clear" w:color="auto" w:fill="auto"/>
            <w:vAlign w:val="center"/>
          </w:tcPr>
          <w:p>
            <w:pPr>
              <w:jc w:val="center"/>
              <w:rPr>
                <w:rFonts w:ascii="宋体" w:hAnsi="宋体" w:cs="宋体" w:eastAsiaTheme="minorEastAsia"/>
                <w:b/>
                <w:bCs/>
                <w:color w:val="000000"/>
                <w:kern w:val="0"/>
                <w:szCs w:val="21"/>
              </w:rPr>
            </w:pPr>
            <w:r>
              <w:rPr>
                <w:rFonts w:hint="eastAsia" w:ascii="宋体" w:hAnsi="宋体" w:cs="宋体" w:eastAsiaTheme="minorEastAsia"/>
                <w:b/>
                <w:bCs/>
                <w:color w:val="000000"/>
                <w:kern w:val="0"/>
                <w:szCs w:val="21"/>
              </w:rPr>
              <w:t>指标要求</w:t>
            </w:r>
          </w:p>
        </w:tc>
        <w:tc>
          <w:tcPr>
            <w:tcW w:w="684" w:type="dxa"/>
            <w:shd w:val="clear" w:color="auto" w:fill="auto"/>
            <w:vAlign w:val="center"/>
          </w:tcPr>
          <w:p>
            <w:pPr>
              <w:jc w:val="center"/>
              <w:rPr>
                <w:rFonts w:ascii="宋体" w:hAnsi="宋体" w:cs="宋体" w:eastAsiaTheme="minorEastAsia"/>
                <w:b/>
                <w:bCs/>
                <w:color w:val="000000"/>
                <w:kern w:val="0"/>
                <w:szCs w:val="21"/>
              </w:rPr>
            </w:pPr>
            <w:r>
              <w:rPr>
                <w:rFonts w:hint="eastAsia" w:ascii="宋体" w:hAnsi="宋体" w:cs="宋体" w:eastAsiaTheme="minorEastAsia"/>
                <w:b/>
                <w:bCs/>
                <w:color w:val="000000"/>
                <w:kern w:val="0"/>
                <w:szCs w:val="21"/>
              </w:rPr>
              <w:t>证明材料要求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0" w:hRule="atLeast"/>
        </w:trPr>
        <w:tc>
          <w:tcPr>
            <w:tcW w:w="0" w:type="auto"/>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1</w:t>
            </w:r>
          </w:p>
        </w:tc>
        <w:tc>
          <w:tcPr>
            <w:tcW w:w="960" w:type="dxa"/>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硬件要求</w:t>
            </w:r>
          </w:p>
        </w:tc>
        <w:tc>
          <w:tcPr>
            <w:tcW w:w="5489" w:type="dxa"/>
            <w:shd w:val="clear" w:color="auto" w:fill="auto"/>
            <w:vAlign w:val="center"/>
          </w:tcPr>
          <w:p>
            <w:pPr>
              <w:jc w:val="both"/>
              <w:rPr>
                <w:rFonts w:ascii="宋体" w:hAnsi="宋体" w:cs="宋体" w:eastAsiaTheme="minorEastAsia"/>
                <w:color w:val="000000"/>
                <w:kern w:val="0"/>
                <w:szCs w:val="21"/>
              </w:rPr>
            </w:pPr>
            <w:r>
              <w:rPr>
                <w:rFonts w:hint="eastAsia" w:ascii="宋体" w:hAnsi="宋体" w:cs="宋体" w:eastAsiaTheme="minorEastAsia"/>
                <w:color w:val="000000"/>
                <w:kern w:val="0"/>
                <w:szCs w:val="21"/>
              </w:rPr>
              <w:t>1、CPU：不低于12核24线程；</w:t>
            </w:r>
            <w:r>
              <w:rPr>
                <w:rFonts w:hint="eastAsia" w:ascii="宋体" w:hAnsi="宋体" w:cs="宋体" w:eastAsiaTheme="minorEastAsia"/>
                <w:color w:val="000000"/>
                <w:kern w:val="0"/>
                <w:szCs w:val="21"/>
              </w:rPr>
              <w:br w:type="textWrapping"/>
            </w:r>
            <w:r>
              <w:rPr>
                <w:rFonts w:hint="eastAsia" w:ascii="宋体" w:hAnsi="宋体" w:cs="宋体" w:eastAsiaTheme="minorEastAsia"/>
                <w:color w:val="000000"/>
                <w:kern w:val="0"/>
                <w:szCs w:val="21"/>
              </w:rPr>
              <w:t>2、内存：不低于64GB；</w:t>
            </w:r>
            <w:r>
              <w:rPr>
                <w:rFonts w:hint="eastAsia" w:ascii="宋体" w:hAnsi="宋体" w:cs="宋体" w:eastAsiaTheme="minorEastAsia"/>
                <w:color w:val="000000"/>
                <w:kern w:val="0"/>
                <w:szCs w:val="21"/>
              </w:rPr>
              <w:br w:type="textWrapping"/>
            </w:r>
            <w:r>
              <w:rPr>
                <w:rFonts w:hint="eastAsia" w:ascii="宋体" w:hAnsi="宋体" w:cs="宋体" w:eastAsiaTheme="minorEastAsia"/>
                <w:color w:val="000000"/>
                <w:kern w:val="0"/>
                <w:szCs w:val="21"/>
              </w:rPr>
              <w:t>3、存储：不低于1TB SSD+20TB HDD硬盘；</w:t>
            </w:r>
            <w:r>
              <w:rPr>
                <w:rFonts w:hint="eastAsia" w:ascii="宋体" w:hAnsi="宋体" w:cs="宋体" w:eastAsiaTheme="minorEastAsia"/>
                <w:color w:val="000000"/>
                <w:kern w:val="0"/>
                <w:szCs w:val="21"/>
              </w:rPr>
              <w:br w:type="textWrapping"/>
            </w:r>
            <w:r>
              <w:rPr>
                <w:rFonts w:hint="eastAsia" w:ascii="宋体" w:hAnsi="宋体" w:cs="宋体" w:eastAsiaTheme="minorEastAsia"/>
                <w:color w:val="000000"/>
                <w:kern w:val="0"/>
                <w:szCs w:val="21"/>
              </w:rPr>
              <w:t>4、显卡：6GB独立显存；</w:t>
            </w:r>
            <w:r>
              <w:rPr>
                <w:rFonts w:hint="eastAsia" w:ascii="宋体" w:hAnsi="宋体" w:cs="宋体" w:eastAsiaTheme="minorEastAsia"/>
                <w:color w:val="000000"/>
                <w:kern w:val="0"/>
                <w:szCs w:val="21"/>
              </w:rPr>
              <w:br w:type="textWrapping"/>
            </w:r>
            <w:r>
              <w:rPr>
                <w:rFonts w:hint="eastAsia" w:ascii="宋体" w:hAnsi="宋体" w:cs="宋体" w:eastAsiaTheme="minorEastAsia"/>
                <w:color w:val="000000"/>
                <w:kern w:val="0"/>
                <w:szCs w:val="21"/>
              </w:rPr>
              <w:t>5、显示屏：外接不小于34寸的弧面屏；</w:t>
            </w:r>
            <w:r>
              <w:rPr>
                <w:rFonts w:hint="eastAsia" w:ascii="宋体" w:hAnsi="宋体" w:cs="宋体" w:eastAsiaTheme="minorEastAsia"/>
                <w:color w:val="000000"/>
                <w:kern w:val="0"/>
                <w:szCs w:val="21"/>
              </w:rPr>
              <w:br w:type="textWrapping"/>
            </w:r>
            <w:r>
              <w:rPr>
                <w:rFonts w:hint="eastAsia" w:ascii="宋体" w:hAnsi="宋体" w:cs="宋体" w:eastAsiaTheme="minorEastAsia"/>
                <w:color w:val="000000"/>
                <w:kern w:val="0"/>
                <w:szCs w:val="21"/>
              </w:rPr>
              <w:t>6、接口：不少于4盘位3.5寸SAS/SATA读写硬盘热拔插仓，4盘位3.5寸SAS/SATA只读硬盘热拔插仓，多功能只读锁，包含m.2（SATA）接口、m.2（NVMe)、mSATA接口、USB3.0接口、CF/SD/MS/TF/CFast闪存卡接口；</w:t>
            </w:r>
            <w:r>
              <w:rPr>
                <w:rFonts w:hint="eastAsia" w:ascii="宋体" w:hAnsi="宋体" w:cs="宋体" w:eastAsiaTheme="minorEastAsia"/>
                <w:color w:val="000000"/>
                <w:kern w:val="0"/>
                <w:szCs w:val="21"/>
              </w:rPr>
              <w:br w:type="textWrapping"/>
            </w:r>
            <w:r>
              <w:rPr>
                <w:rFonts w:hint="eastAsia" w:ascii="宋体" w:hAnsi="宋体" w:cs="宋体" w:eastAsiaTheme="minorEastAsia"/>
                <w:color w:val="000000"/>
                <w:kern w:val="0"/>
                <w:szCs w:val="21"/>
              </w:rPr>
              <w:t>7、光驱：不少于1个蓝光刻录机；</w:t>
            </w:r>
            <w:r>
              <w:rPr>
                <w:rFonts w:hint="eastAsia" w:ascii="宋体" w:hAnsi="宋体" w:cs="宋体" w:eastAsiaTheme="minorEastAsia"/>
                <w:color w:val="000000"/>
                <w:kern w:val="0"/>
                <w:szCs w:val="21"/>
              </w:rPr>
              <w:br w:type="textWrapping"/>
            </w:r>
            <w:r>
              <w:rPr>
                <w:rFonts w:hint="eastAsia" w:ascii="宋体" w:hAnsi="宋体" w:cs="宋体" w:eastAsiaTheme="minorEastAsia"/>
                <w:color w:val="000000"/>
                <w:kern w:val="0"/>
                <w:szCs w:val="21"/>
              </w:rPr>
              <w:t>8、网络：不少于1个千兆网口</w:t>
            </w:r>
          </w:p>
        </w:tc>
        <w:tc>
          <w:tcPr>
            <w:tcW w:w="684" w:type="dxa"/>
            <w:shd w:val="clear" w:color="auto" w:fill="auto"/>
            <w:vAlign w:val="center"/>
          </w:tcPr>
          <w:p>
            <w:pPr>
              <w:jc w:val="center"/>
              <w:rPr>
                <w:rFonts w:ascii="宋体" w:hAnsi="宋体" w:cs="宋体" w:eastAsiaTheme="minorEastAsia"/>
                <w:b/>
                <w:bCs/>
                <w:color w:val="000000"/>
                <w:kern w:val="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0" w:type="auto"/>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2</w:t>
            </w:r>
          </w:p>
        </w:tc>
        <w:tc>
          <w:tcPr>
            <w:tcW w:w="960" w:type="dxa"/>
            <w:vMerge w:val="restart"/>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视频恢复</w:t>
            </w:r>
          </w:p>
        </w:tc>
        <w:tc>
          <w:tcPr>
            <w:tcW w:w="5489" w:type="dxa"/>
            <w:shd w:val="clear" w:color="auto" w:fill="auto"/>
            <w:noWrap/>
            <w:vAlign w:val="center"/>
          </w:tcPr>
          <w:p>
            <w:pPr>
              <w:jc w:val="both"/>
              <w:rPr>
                <w:rFonts w:ascii="宋体" w:hAnsi="宋体" w:cs="宋体" w:eastAsiaTheme="minorEastAsia"/>
                <w:color w:val="000000"/>
                <w:kern w:val="0"/>
                <w:szCs w:val="21"/>
              </w:rPr>
            </w:pPr>
            <w:r>
              <w:rPr>
                <w:rFonts w:hint="eastAsia" w:ascii="宋体" w:hAnsi="宋体" w:cs="宋体" w:eastAsiaTheme="minorEastAsia"/>
                <w:color w:val="000000"/>
                <w:kern w:val="0"/>
                <w:szCs w:val="21"/>
              </w:rPr>
              <w:t>支持MP4、H264、H265视频类型的预览播放、加速播放</w:t>
            </w:r>
          </w:p>
        </w:tc>
        <w:tc>
          <w:tcPr>
            <w:tcW w:w="684" w:type="dxa"/>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3</w:t>
            </w:r>
          </w:p>
        </w:tc>
        <w:tc>
          <w:tcPr>
            <w:tcW w:w="960" w:type="dxa"/>
            <w:vMerge w:val="continue"/>
            <w:vAlign w:val="center"/>
          </w:tcPr>
          <w:p>
            <w:pPr>
              <w:rPr>
                <w:rFonts w:ascii="宋体" w:hAnsi="宋体" w:cs="宋体" w:eastAsiaTheme="minorEastAsia"/>
                <w:color w:val="000000"/>
                <w:kern w:val="0"/>
                <w:szCs w:val="21"/>
              </w:rPr>
            </w:pPr>
          </w:p>
        </w:tc>
        <w:tc>
          <w:tcPr>
            <w:tcW w:w="5489" w:type="dxa"/>
            <w:shd w:val="clear" w:color="auto" w:fill="auto"/>
            <w:noWrap/>
            <w:vAlign w:val="center"/>
          </w:tcPr>
          <w:p>
            <w:pPr>
              <w:jc w:val="both"/>
              <w:rPr>
                <w:rFonts w:ascii="宋体" w:hAnsi="宋体" w:cs="宋体" w:eastAsiaTheme="minorEastAsia"/>
                <w:color w:val="000000"/>
                <w:kern w:val="0"/>
                <w:szCs w:val="21"/>
              </w:rPr>
            </w:pPr>
            <w:r>
              <w:rPr>
                <w:rFonts w:hint="eastAsia" w:ascii="宋体" w:hAnsi="宋体" w:cs="宋体" w:eastAsiaTheme="minorEastAsia"/>
                <w:color w:val="000000"/>
                <w:kern w:val="0"/>
                <w:szCs w:val="21"/>
              </w:rPr>
              <w:t>支持行车记录仪、执法记录仪的视频提取</w:t>
            </w:r>
          </w:p>
        </w:tc>
        <w:tc>
          <w:tcPr>
            <w:tcW w:w="684" w:type="dxa"/>
            <w:shd w:val="clear" w:color="auto" w:fill="auto"/>
            <w:noWrap/>
            <w:vAlign w:val="center"/>
          </w:tcPr>
          <w:p>
            <w:pPr>
              <w:jc w:val="center"/>
              <w:rPr>
                <w:rFonts w:ascii="宋体" w:hAnsi="宋体" w:cs="宋体" w:eastAsiaTheme="minorEastAsia"/>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4</w:t>
            </w:r>
          </w:p>
        </w:tc>
        <w:tc>
          <w:tcPr>
            <w:tcW w:w="960" w:type="dxa"/>
            <w:vMerge w:val="continue"/>
            <w:vAlign w:val="center"/>
          </w:tcPr>
          <w:p>
            <w:pPr>
              <w:rPr>
                <w:rFonts w:ascii="宋体" w:hAnsi="宋体" w:cs="宋体" w:eastAsiaTheme="minorEastAsia"/>
                <w:color w:val="000000"/>
                <w:kern w:val="0"/>
                <w:szCs w:val="21"/>
              </w:rPr>
            </w:pPr>
          </w:p>
        </w:tc>
        <w:tc>
          <w:tcPr>
            <w:tcW w:w="5489" w:type="dxa"/>
            <w:shd w:val="clear" w:color="auto" w:fill="auto"/>
            <w:noWrap/>
            <w:vAlign w:val="center"/>
          </w:tcPr>
          <w:p>
            <w:pPr>
              <w:jc w:val="both"/>
              <w:rPr>
                <w:rFonts w:ascii="宋体" w:hAnsi="宋体" w:cs="宋体" w:eastAsiaTheme="minorEastAsia"/>
                <w:color w:val="000000"/>
                <w:kern w:val="0"/>
                <w:szCs w:val="21"/>
              </w:rPr>
            </w:pPr>
            <w:r>
              <w:rPr>
                <w:rFonts w:hint="eastAsia" w:ascii="宋体" w:hAnsi="宋体" w:cs="宋体" w:eastAsiaTheme="minorEastAsia"/>
                <w:color w:val="000000"/>
                <w:kern w:val="0"/>
                <w:szCs w:val="21"/>
              </w:rPr>
              <w:t>支持损坏视频文件修复，修复文件可通过播放器正常播</w:t>
            </w:r>
            <w:r>
              <w:rPr>
                <w:rFonts w:ascii="宋体" w:hAnsi="宋体" w:cs="宋体" w:eastAsiaTheme="minorEastAsia"/>
                <w:color w:val="000000"/>
                <w:kern w:val="0"/>
                <w:szCs w:val="21"/>
              </w:rPr>
              <w:t>放</w:t>
            </w:r>
          </w:p>
        </w:tc>
        <w:tc>
          <w:tcPr>
            <w:tcW w:w="684" w:type="dxa"/>
            <w:shd w:val="clear" w:color="auto" w:fill="auto"/>
            <w:noWrap/>
          </w:tcPr>
          <w:p>
            <w:pPr>
              <w:jc w:val="center"/>
              <w:rPr>
                <w:rFonts w:ascii="宋体" w:hAnsi="宋体" w:cs="宋体" w:eastAsiaTheme="minorEastAsia"/>
                <w:color w:val="000000"/>
                <w:kern w:val="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0" w:type="auto"/>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5</w:t>
            </w:r>
          </w:p>
        </w:tc>
        <w:tc>
          <w:tcPr>
            <w:tcW w:w="960" w:type="dxa"/>
            <w:vMerge w:val="restart"/>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数据恢复</w:t>
            </w:r>
          </w:p>
        </w:tc>
        <w:tc>
          <w:tcPr>
            <w:tcW w:w="5489" w:type="dxa"/>
            <w:shd w:val="clear" w:color="auto" w:fill="auto"/>
            <w:noWrap/>
            <w:vAlign w:val="center"/>
          </w:tcPr>
          <w:p>
            <w:pPr>
              <w:jc w:val="both"/>
              <w:rPr>
                <w:rFonts w:ascii="宋体" w:hAnsi="宋体" w:cs="宋体" w:eastAsiaTheme="minorEastAsia"/>
                <w:color w:val="000000"/>
                <w:kern w:val="0"/>
                <w:szCs w:val="21"/>
              </w:rPr>
            </w:pPr>
            <w:r>
              <w:rPr>
                <w:rFonts w:hint="eastAsia" w:ascii="宋体" w:hAnsi="宋体" w:cs="宋体" w:eastAsiaTheme="minorEastAsia"/>
                <w:color w:val="000000"/>
                <w:kern w:val="0"/>
                <w:szCs w:val="21"/>
              </w:rPr>
              <w:t>支持对已删除、病毒损坏的U盘、CF、TF、SD等存储介质进行数据恢复</w:t>
            </w:r>
          </w:p>
        </w:tc>
        <w:tc>
          <w:tcPr>
            <w:tcW w:w="684" w:type="dxa"/>
            <w:shd w:val="clear" w:color="auto" w:fill="auto"/>
            <w:noWrap/>
          </w:tcPr>
          <w:p>
            <w:pPr>
              <w:jc w:val="center"/>
              <w:rPr>
                <w:rFonts w:ascii="宋体" w:hAnsi="宋体" w:cs="宋体" w:eastAsiaTheme="minorEastAsia"/>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0" w:type="auto"/>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lang w:val="en-US"/>
              </w:rPr>
              <w:t>6</w:t>
            </w:r>
          </w:p>
        </w:tc>
        <w:tc>
          <w:tcPr>
            <w:tcW w:w="960" w:type="dxa"/>
            <w:vMerge w:val="continue"/>
            <w:vAlign w:val="center"/>
          </w:tcPr>
          <w:p>
            <w:pPr>
              <w:rPr>
                <w:rFonts w:ascii="宋体" w:hAnsi="宋体" w:cs="宋体" w:eastAsiaTheme="minorEastAsia"/>
                <w:color w:val="000000"/>
                <w:kern w:val="0"/>
                <w:szCs w:val="21"/>
              </w:rPr>
            </w:pPr>
          </w:p>
        </w:tc>
        <w:tc>
          <w:tcPr>
            <w:tcW w:w="5489" w:type="dxa"/>
            <w:shd w:val="clear" w:color="auto" w:fill="auto"/>
            <w:noWrap/>
            <w:vAlign w:val="center"/>
          </w:tcPr>
          <w:p>
            <w:pPr>
              <w:jc w:val="both"/>
              <w:rPr>
                <w:rFonts w:ascii="宋体" w:hAnsi="宋体" w:cs="宋体" w:eastAsiaTheme="minorEastAsia"/>
                <w:color w:val="000000"/>
                <w:kern w:val="0"/>
                <w:szCs w:val="21"/>
              </w:rPr>
            </w:pPr>
            <w:r>
              <w:rPr>
                <w:rFonts w:hint="eastAsia" w:ascii="宋体" w:hAnsi="宋体" w:cs="宋体" w:eastAsiaTheme="minorEastAsia"/>
                <w:color w:val="000000"/>
                <w:kern w:val="0"/>
                <w:szCs w:val="21"/>
              </w:rPr>
              <w:t>支持文件目录解析、浏览，定位目标文件、目录路径</w:t>
            </w:r>
          </w:p>
        </w:tc>
        <w:tc>
          <w:tcPr>
            <w:tcW w:w="684" w:type="dxa"/>
            <w:shd w:val="clear" w:color="auto" w:fill="auto"/>
            <w:noWrap/>
          </w:tcPr>
          <w:p>
            <w:pPr>
              <w:jc w:val="center"/>
              <w:rPr>
                <w:rFonts w:ascii="宋体" w:hAnsi="宋体" w:cs="宋体" w:eastAsiaTheme="minorEastAsia"/>
                <w:color w:val="000000"/>
                <w:kern w:val="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0" w:type="auto"/>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lang w:val="en-US"/>
              </w:rPr>
              <w:t>7</w:t>
            </w:r>
          </w:p>
        </w:tc>
        <w:tc>
          <w:tcPr>
            <w:tcW w:w="960" w:type="dxa"/>
            <w:vMerge w:val="continue"/>
            <w:vAlign w:val="center"/>
          </w:tcPr>
          <w:p>
            <w:pPr>
              <w:rPr>
                <w:rFonts w:ascii="宋体" w:hAnsi="宋体" w:cs="宋体" w:eastAsiaTheme="minorEastAsia"/>
                <w:color w:val="000000"/>
                <w:kern w:val="0"/>
                <w:szCs w:val="21"/>
              </w:rPr>
            </w:pPr>
          </w:p>
        </w:tc>
        <w:tc>
          <w:tcPr>
            <w:tcW w:w="5489" w:type="dxa"/>
            <w:shd w:val="clear" w:color="auto" w:fill="auto"/>
            <w:noWrap/>
            <w:vAlign w:val="center"/>
          </w:tcPr>
          <w:p>
            <w:pPr>
              <w:jc w:val="both"/>
              <w:rPr>
                <w:rFonts w:ascii="宋体" w:hAnsi="宋体" w:cs="宋体" w:eastAsiaTheme="minorEastAsia"/>
                <w:color w:val="000000"/>
                <w:kern w:val="0"/>
                <w:szCs w:val="21"/>
              </w:rPr>
            </w:pPr>
            <w:r>
              <w:rPr>
                <w:rFonts w:hint="eastAsia" w:ascii="宋体" w:hAnsi="宋体" w:cs="宋体" w:eastAsiaTheme="minorEastAsia"/>
                <w:color w:val="000000"/>
                <w:kern w:val="0"/>
                <w:szCs w:val="21"/>
              </w:rPr>
              <w:t>支持按目录结构、文件类型结构、修改时间结构展示结果</w:t>
            </w:r>
          </w:p>
        </w:tc>
        <w:tc>
          <w:tcPr>
            <w:tcW w:w="684" w:type="dxa"/>
            <w:shd w:val="clear" w:color="auto" w:fill="auto"/>
            <w:noWrap/>
          </w:tcPr>
          <w:p>
            <w:pPr>
              <w:jc w:val="center"/>
              <w:rPr>
                <w:rFonts w:ascii="宋体" w:hAnsi="宋体" w:cs="宋体" w:eastAsiaTheme="minorEastAsia"/>
                <w:color w:val="000000"/>
                <w:kern w:val="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0" w:type="auto"/>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lang w:val="en-US"/>
              </w:rPr>
              <w:t>8</w:t>
            </w:r>
          </w:p>
        </w:tc>
        <w:tc>
          <w:tcPr>
            <w:tcW w:w="960" w:type="dxa"/>
            <w:vMerge w:val="continue"/>
            <w:vAlign w:val="center"/>
          </w:tcPr>
          <w:p>
            <w:pPr>
              <w:rPr>
                <w:rFonts w:ascii="宋体" w:hAnsi="宋体" w:cs="宋体" w:eastAsiaTheme="minorEastAsia"/>
                <w:color w:val="000000"/>
                <w:kern w:val="0"/>
                <w:szCs w:val="21"/>
              </w:rPr>
            </w:pPr>
          </w:p>
        </w:tc>
        <w:tc>
          <w:tcPr>
            <w:tcW w:w="5489" w:type="dxa"/>
            <w:shd w:val="clear" w:color="auto" w:fill="auto"/>
            <w:noWrap/>
            <w:vAlign w:val="center"/>
          </w:tcPr>
          <w:p>
            <w:pPr>
              <w:jc w:val="both"/>
              <w:rPr>
                <w:rFonts w:ascii="宋体" w:hAnsi="宋体" w:cs="宋体" w:eastAsiaTheme="minorEastAsia"/>
                <w:color w:val="000000"/>
                <w:kern w:val="0"/>
                <w:szCs w:val="21"/>
              </w:rPr>
            </w:pPr>
            <w:r>
              <w:rPr>
                <w:rFonts w:hint="eastAsia" w:ascii="宋体" w:hAnsi="宋体" w:cs="宋体" w:eastAsiaTheme="minorEastAsia"/>
                <w:color w:val="000000"/>
                <w:kern w:val="0"/>
                <w:szCs w:val="21"/>
              </w:rPr>
              <w:t>支持对单个或多个文件的MD5值计算，支持对整个磁盘的MD5值计</w:t>
            </w:r>
            <w:r>
              <w:rPr>
                <w:rFonts w:ascii="宋体" w:hAnsi="宋体" w:cs="宋体" w:eastAsiaTheme="minorEastAsia"/>
                <w:color w:val="000000"/>
                <w:kern w:val="0"/>
                <w:szCs w:val="21"/>
              </w:rPr>
              <w:t>算</w:t>
            </w:r>
          </w:p>
        </w:tc>
        <w:tc>
          <w:tcPr>
            <w:tcW w:w="684" w:type="dxa"/>
            <w:shd w:val="clear" w:color="auto" w:fill="auto"/>
            <w:noWrap/>
          </w:tcPr>
          <w:p>
            <w:pPr>
              <w:jc w:val="center"/>
              <w:rPr>
                <w:rFonts w:ascii="宋体" w:hAnsi="宋体" w:cs="宋体" w:eastAsiaTheme="minorEastAsia"/>
                <w:color w:val="000000"/>
                <w:kern w:val="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lang w:val="en-US"/>
              </w:rPr>
              <w:t>9</w:t>
            </w:r>
          </w:p>
        </w:tc>
        <w:tc>
          <w:tcPr>
            <w:tcW w:w="960" w:type="dxa"/>
            <w:vMerge w:val="continue"/>
            <w:vAlign w:val="center"/>
          </w:tcPr>
          <w:p>
            <w:pPr>
              <w:rPr>
                <w:rFonts w:ascii="宋体" w:hAnsi="宋体" w:cs="宋体" w:eastAsiaTheme="minorEastAsia"/>
                <w:color w:val="000000"/>
                <w:kern w:val="0"/>
                <w:szCs w:val="21"/>
              </w:rPr>
            </w:pPr>
          </w:p>
        </w:tc>
        <w:tc>
          <w:tcPr>
            <w:tcW w:w="5489" w:type="dxa"/>
            <w:shd w:val="clear" w:color="auto" w:fill="auto"/>
            <w:noWrap/>
            <w:vAlign w:val="center"/>
          </w:tcPr>
          <w:p>
            <w:pPr>
              <w:jc w:val="both"/>
              <w:rPr>
                <w:rFonts w:ascii="宋体" w:hAnsi="宋体" w:cs="宋体" w:eastAsiaTheme="minorEastAsia"/>
                <w:color w:val="000000"/>
                <w:kern w:val="0"/>
                <w:szCs w:val="21"/>
              </w:rPr>
            </w:pPr>
            <w:r>
              <w:rPr>
                <w:rFonts w:hint="eastAsia" w:ascii="宋体" w:hAnsi="宋体" w:cs="宋体" w:eastAsiaTheme="minorEastAsia"/>
                <w:color w:val="000000"/>
                <w:kern w:val="0"/>
                <w:szCs w:val="21"/>
              </w:rPr>
              <w:t>支持将镜像文件转换为vhd虚拟磁盘文件</w:t>
            </w:r>
          </w:p>
        </w:tc>
        <w:tc>
          <w:tcPr>
            <w:tcW w:w="684" w:type="dxa"/>
            <w:shd w:val="clear" w:color="auto" w:fill="auto"/>
            <w:noWrap/>
          </w:tcPr>
          <w:p>
            <w:pPr>
              <w:jc w:val="center"/>
              <w:rPr>
                <w:rFonts w:ascii="宋体" w:hAnsi="宋体" w:cs="宋体" w:eastAsiaTheme="minorEastAsia"/>
                <w:color w:val="000000"/>
                <w:kern w:val="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shd w:val="clear" w:color="auto" w:fill="auto"/>
            <w:noWrap/>
            <w:vAlign w:val="center"/>
          </w:tcPr>
          <w:p>
            <w:pPr>
              <w:jc w:val="center"/>
              <w:rPr>
                <w:rFonts w:ascii="宋体" w:hAnsi="宋体" w:cs="宋体" w:eastAsiaTheme="minorEastAsia"/>
                <w:color w:val="000000"/>
                <w:kern w:val="0"/>
                <w:szCs w:val="21"/>
                <w:lang w:val="en-US"/>
              </w:rPr>
            </w:pPr>
            <w:r>
              <w:rPr>
                <w:rFonts w:hint="eastAsia" w:ascii="宋体" w:hAnsi="宋体" w:cs="宋体" w:eastAsiaTheme="minorEastAsia"/>
                <w:color w:val="000000"/>
                <w:kern w:val="0"/>
                <w:szCs w:val="21"/>
                <w:lang w:val="en-US"/>
              </w:rPr>
              <w:t>10</w:t>
            </w:r>
          </w:p>
        </w:tc>
        <w:tc>
          <w:tcPr>
            <w:tcW w:w="960" w:type="dxa"/>
            <w:vMerge w:val="restart"/>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硬盘故障修复</w:t>
            </w:r>
          </w:p>
        </w:tc>
        <w:tc>
          <w:tcPr>
            <w:tcW w:w="5489" w:type="dxa"/>
            <w:shd w:val="clear" w:color="auto" w:fill="auto"/>
            <w:noWrap/>
            <w:vAlign w:val="center"/>
          </w:tcPr>
          <w:p>
            <w:pPr>
              <w:jc w:val="both"/>
              <w:rPr>
                <w:rFonts w:ascii="宋体" w:hAnsi="宋体" w:cs="宋体" w:eastAsiaTheme="minorEastAsia"/>
                <w:color w:val="000000"/>
                <w:kern w:val="0"/>
                <w:szCs w:val="21"/>
              </w:rPr>
            </w:pPr>
            <w:r>
              <w:rPr>
                <w:rFonts w:hint="eastAsia" w:ascii="宋体" w:hAnsi="宋体" w:cs="宋体" w:eastAsiaTheme="minorEastAsia"/>
                <w:color w:val="000000"/>
                <w:kern w:val="0"/>
                <w:szCs w:val="21"/>
              </w:rPr>
              <w:t>支持SSD固态硬盘的固件修复</w:t>
            </w:r>
          </w:p>
        </w:tc>
        <w:tc>
          <w:tcPr>
            <w:tcW w:w="684" w:type="dxa"/>
            <w:shd w:val="clear" w:color="auto" w:fill="auto"/>
            <w:noWrap/>
          </w:tcPr>
          <w:p>
            <w:pPr>
              <w:jc w:val="center"/>
              <w:rPr>
                <w:rFonts w:ascii="宋体" w:hAnsi="宋体" w:cs="宋体" w:eastAsiaTheme="minorEastAsia"/>
                <w:color w:val="000000"/>
                <w:kern w:val="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0" w:type="auto"/>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11</w:t>
            </w:r>
          </w:p>
        </w:tc>
        <w:tc>
          <w:tcPr>
            <w:tcW w:w="960" w:type="dxa"/>
            <w:vMerge w:val="continue"/>
            <w:vAlign w:val="center"/>
          </w:tcPr>
          <w:p>
            <w:pPr>
              <w:rPr>
                <w:rFonts w:ascii="宋体" w:hAnsi="宋体" w:cs="宋体" w:eastAsiaTheme="minorEastAsia"/>
                <w:color w:val="000000"/>
                <w:kern w:val="0"/>
                <w:szCs w:val="21"/>
              </w:rPr>
            </w:pPr>
          </w:p>
        </w:tc>
        <w:tc>
          <w:tcPr>
            <w:tcW w:w="5489" w:type="dxa"/>
            <w:shd w:val="clear" w:color="auto" w:fill="auto"/>
            <w:noWrap/>
            <w:vAlign w:val="center"/>
          </w:tcPr>
          <w:p>
            <w:pPr>
              <w:jc w:val="both"/>
              <w:rPr>
                <w:rFonts w:ascii="宋体" w:hAnsi="宋体" w:cs="宋体" w:eastAsiaTheme="minorEastAsia"/>
                <w:color w:val="000000"/>
                <w:kern w:val="0"/>
                <w:szCs w:val="21"/>
              </w:rPr>
            </w:pPr>
            <w:r>
              <w:rPr>
                <w:rFonts w:hint="eastAsia" w:ascii="宋体" w:hAnsi="宋体" w:cs="宋体" w:eastAsiaTheme="minorEastAsia"/>
                <w:color w:val="000000"/>
                <w:kern w:val="0"/>
                <w:szCs w:val="21"/>
              </w:rPr>
              <w:t>支持特殊扇区（516、520、524、528、4096字节）机械硬盘及固态硬盘的镜像和数据提取</w:t>
            </w:r>
          </w:p>
        </w:tc>
        <w:tc>
          <w:tcPr>
            <w:tcW w:w="684" w:type="dxa"/>
            <w:shd w:val="clear" w:color="auto" w:fill="auto"/>
            <w:noWrap/>
          </w:tcPr>
          <w:p>
            <w:pPr>
              <w:jc w:val="center"/>
              <w:rPr>
                <w:rFonts w:ascii="宋体" w:hAnsi="宋体" w:cs="宋体" w:eastAsiaTheme="minorEastAsia"/>
                <w:color w:val="000000"/>
                <w:kern w:val="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trPr>
        <w:tc>
          <w:tcPr>
            <w:tcW w:w="0" w:type="auto"/>
            <w:shd w:val="clear" w:color="auto" w:fill="auto"/>
            <w:noWrap/>
            <w:vAlign w:val="center"/>
          </w:tcPr>
          <w:p>
            <w:pPr>
              <w:jc w:val="center"/>
              <w:rPr>
                <w:rFonts w:ascii="宋体" w:hAnsi="宋体" w:cs="宋体" w:eastAsiaTheme="minorEastAsia"/>
                <w:color w:val="000000"/>
                <w:kern w:val="0"/>
                <w:szCs w:val="21"/>
                <w:lang w:val="en-US"/>
              </w:rPr>
            </w:pPr>
            <w:r>
              <w:rPr>
                <w:rFonts w:hint="eastAsia" w:ascii="宋体" w:hAnsi="宋体" w:cs="宋体" w:eastAsiaTheme="minorEastAsia"/>
                <w:color w:val="000000"/>
                <w:kern w:val="0"/>
                <w:szCs w:val="21"/>
                <w:lang w:val="en-US"/>
              </w:rPr>
              <w:t>12</w:t>
            </w:r>
          </w:p>
        </w:tc>
        <w:tc>
          <w:tcPr>
            <w:tcW w:w="960" w:type="dxa"/>
            <w:vMerge w:val="continue"/>
            <w:vAlign w:val="center"/>
          </w:tcPr>
          <w:p>
            <w:pPr>
              <w:rPr>
                <w:rFonts w:ascii="宋体" w:hAnsi="宋体" w:cs="宋体" w:eastAsiaTheme="minorEastAsia"/>
                <w:color w:val="000000"/>
                <w:kern w:val="0"/>
                <w:szCs w:val="21"/>
              </w:rPr>
            </w:pPr>
          </w:p>
        </w:tc>
        <w:tc>
          <w:tcPr>
            <w:tcW w:w="5489" w:type="dxa"/>
            <w:shd w:val="clear" w:color="auto" w:fill="auto"/>
            <w:noWrap/>
            <w:vAlign w:val="center"/>
          </w:tcPr>
          <w:p>
            <w:pPr>
              <w:jc w:val="both"/>
              <w:rPr>
                <w:rFonts w:ascii="宋体" w:hAnsi="宋体" w:cs="宋体" w:eastAsiaTheme="minorEastAsia"/>
                <w:color w:val="000000"/>
                <w:kern w:val="0"/>
                <w:szCs w:val="21"/>
              </w:rPr>
            </w:pPr>
            <w:r>
              <w:rPr>
                <w:rFonts w:hint="eastAsia" w:ascii="宋体" w:hAnsi="宋体" w:cs="宋体" w:eastAsiaTheme="minorEastAsia"/>
                <w:color w:val="000000"/>
                <w:kern w:val="0"/>
                <w:szCs w:val="21"/>
              </w:rPr>
              <w:t>支持机械硬盘的固件问题修复</w:t>
            </w:r>
          </w:p>
        </w:tc>
        <w:tc>
          <w:tcPr>
            <w:tcW w:w="684" w:type="dxa"/>
            <w:shd w:val="clear" w:color="auto" w:fill="auto"/>
            <w:noWrap/>
          </w:tcPr>
          <w:p>
            <w:pPr>
              <w:jc w:val="center"/>
              <w:rPr>
                <w:rFonts w:ascii="宋体" w:hAnsi="宋体" w:cs="宋体" w:eastAsiaTheme="minorEastAsia"/>
                <w:color w:val="000000"/>
                <w:kern w:val="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trPr>
        <w:tc>
          <w:tcPr>
            <w:tcW w:w="0" w:type="auto"/>
            <w:shd w:val="clear" w:color="auto" w:fill="auto"/>
            <w:noWrap/>
            <w:vAlign w:val="center"/>
          </w:tcPr>
          <w:p>
            <w:pPr>
              <w:jc w:val="center"/>
              <w:rPr>
                <w:rFonts w:ascii="宋体" w:hAnsi="宋体" w:cs="宋体" w:eastAsiaTheme="minorEastAsia"/>
                <w:color w:val="000000"/>
                <w:kern w:val="0"/>
                <w:szCs w:val="21"/>
                <w:lang w:val="en-US"/>
              </w:rPr>
            </w:pPr>
            <w:r>
              <w:rPr>
                <w:rFonts w:hint="eastAsia" w:ascii="宋体" w:hAnsi="宋体" w:cs="宋体" w:eastAsiaTheme="minorEastAsia"/>
                <w:color w:val="000000"/>
                <w:kern w:val="0"/>
                <w:szCs w:val="21"/>
                <w:lang w:val="en-US"/>
              </w:rPr>
              <w:t>13</w:t>
            </w:r>
          </w:p>
        </w:tc>
        <w:tc>
          <w:tcPr>
            <w:tcW w:w="960" w:type="dxa"/>
            <w:vMerge w:val="continue"/>
            <w:vAlign w:val="center"/>
          </w:tcPr>
          <w:p>
            <w:pPr>
              <w:rPr>
                <w:rFonts w:ascii="宋体" w:hAnsi="宋体" w:cs="宋体" w:eastAsiaTheme="minorEastAsia"/>
                <w:color w:val="000000"/>
                <w:kern w:val="0"/>
                <w:szCs w:val="21"/>
              </w:rPr>
            </w:pPr>
          </w:p>
        </w:tc>
        <w:tc>
          <w:tcPr>
            <w:tcW w:w="5489" w:type="dxa"/>
            <w:shd w:val="clear" w:color="auto" w:fill="auto"/>
            <w:noWrap/>
            <w:vAlign w:val="center"/>
          </w:tcPr>
          <w:p>
            <w:pPr>
              <w:jc w:val="both"/>
              <w:rPr>
                <w:rFonts w:ascii="宋体" w:hAnsi="宋体" w:cs="宋体" w:eastAsiaTheme="minorEastAsia"/>
                <w:color w:val="000000"/>
                <w:kern w:val="0"/>
                <w:szCs w:val="21"/>
              </w:rPr>
            </w:pPr>
            <w:r>
              <w:rPr>
                <w:rFonts w:hint="eastAsia" w:ascii="宋体" w:hAnsi="宋体" w:cs="宋体" w:eastAsiaTheme="minorEastAsia"/>
                <w:color w:val="000000"/>
                <w:kern w:val="0"/>
                <w:szCs w:val="21"/>
              </w:rPr>
              <w:t>支持镜像中断后可重新加载镜像任务，继续完成镜像</w:t>
            </w:r>
          </w:p>
        </w:tc>
        <w:tc>
          <w:tcPr>
            <w:tcW w:w="684" w:type="dxa"/>
            <w:shd w:val="clear" w:color="auto" w:fill="auto"/>
            <w:noWrap/>
          </w:tcPr>
          <w:p>
            <w:pPr>
              <w:jc w:val="center"/>
              <w:rPr>
                <w:rFonts w:ascii="宋体" w:hAnsi="宋体" w:cs="宋体" w:eastAsiaTheme="minorEastAsia"/>
                <w:color w:val="000000"/>
                <w:kern w:val="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shd w:val="clear" w:color="auto" w:fill="auto"/>
            <w:noWrap/>
            <w:vAlign w:val="center"/>
          </w:tcPr>
          <w:p>
            <w:pPr>
              <w:jc w:val="center"/>
              <w:rPr>
                <w:rFonts w:ascii="宋体" w:hAnsi="宋体" w:cs="宋体" w:eastAsiaTheme="minorEastAsia"/>
                <w:color w:val="000000"/>
                <w:kern w:val="0"/>
                <w:szCs w:val="21"/>
                <w:lang w:val="en-US"/>
              </w:rPr>
            </w:pPr>
            <w:r>
              <w:rPr>
                <w:rFonts w:hint="eastAsia" w:ascii="宋体" w:hAnsi="宋体" w:cs="宋体" w:eastAsiaTheme="minorEastAsia"/>
                <w:color w:val="000000"/>
                <w:kern w:val="0"/>
                <w:szCs w:val="21"/>
                <w:lang w:val="en-US"/>
              </w:rPr>
              <w:t>14</w:t>
            </w:r>
          </w:p>
        </w:tc>
        <w:tc>
          <w:tcPr>
            <w:tcW w:w="960" w:type="dxa"/>
            <w:vMerge w:val="continue"/>
            <w:vAlign w:val="center"/>
          </w:tcPr>
          <w:p>
            <w:pPr>
              <w:rPr>
                <w:rFonts w:ascii="宋体" w:hAnsi="宋体" w:cs="宋体" w:eastAsiaTheme="minorEastAsia"/>
                <w:color w:val="000000"/>
                <w:kern w:val="0"/>
                <w:szCs w:val="21"/>
              </w:rPr>
            </w:pPr>
          </w:p>
        </w:tc>
        <w:tc>
          <w:tcPr>
            <w:tcW w:w="5489" w:type="dxa"/>
            <w:shd w:val="clear" w:color="auto" w:fill="auto"/>
            <w:noWrap/>
            <w:vAlign w:val="center"/>
          </w:tcPr>
          <w:p>
            <w:pPr>
              <w:jc w:val="both"/>
              <w:rPr>
                <w:rFonts w:ascii="宋体" w:hAnsi="宋体" w:cs="宋体" w:eastAsiaTheme="minorEastAsia"/>
                <w:color w:val="000000"/>
                <w:kern w:val="0"/>
                <w:szCs w:val="21"/>
              </w:rPr>
            </w:pPr>
            <w:r>
              <w:rPr>
                <w:rFonts w:hint="eastAsia" w:ascii="宋体" w:hAnsi="宋体" w:cs="宋体" w:eastAsiaTheme="minorEastAsia"/>
                <w:color w:val="000000"/>
                <w:kern w:val="0"/>
                <w:szCs w:val="21"/>
              </w:rPr>
              <w:t>支持屏幕录像</w:t>
            </w:r>
          </w:p>
        </w:tc>
        <w:tc>
          <w:tcPr>
            <w:tcW w:w="684" w:type="dxa"/>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0" w:type="auto"/>
            <w:shd w:val="clear" w:color="auto" w:fill="auto"/>
            <w:noWrap/>
            <w:vAlign w:val="center"/>
          </w:tcPr>
          <w:p>
            <w:pPr>
              <w:jc w:val="center"/>
              <w:rPr>
                <w:rFonts w:ascii="宋体" w:hAnsi="宋体" w:cs="宋体" w:eastAsiaTheme="minorEastAsia"/>
                <w:color w:val="000000"/>
                <w:kern w:val="0"/>
                <w:szCs w:val="21"/>
                <w:lang w:val="en-US"/>
              </w:rPr>
            </w:pPr>
            <w:r>
              <w:rPr>
                <w:rFonts w:hint="eastAsia" w:ascii="宋体" w:hAnsi="宋体" w:cs="宋体" w:eastAsiaTheme="minorEastAsia"/>
                <w:color w:val="000000"/>
                <w:kern w:val="0"/>
                <w:szCs w:val="21"/>
                <w:lang w:val="en-US"/>
              </w:rPr>
              <w:t>15</w:t>
            </w:r>
          </w:p>
        </w:tc>
        <w:tc>
          <w:tcPr>
            <w:tcW w:w="960" w:type="dxa"/>
            <w:vMerge w:val="restart"/>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密码破解</w:t>
            </w:r>
          </w:p>
        </w:tc>
        <w:tc>
          <w:tcPr>
            <w:tcW w:w="5489" w:type="dxa"/>
            <w:shd w:val="clear" w:color="auto" w:fill="auto"/>
            <w:noWrap/>
            <w:vAlign w:val="center"/>
          </w:tcPr>
          <w:p>
            <w:pPr>
              <w:jc w:val="both"/>
              <w:rPr>
                <w:rFonts w:ascii="宋体" w:hAnsi="宋体" w:cs="宋体" w:eastAsiaTheme="minorEastAsia"/>
                <w:color w:val="000000"/>
                <w:kern w:val="0"/>
                <w:szCs w:val="21"/>
              </w:rPr>
            </w:pPr>
            <w:r>
              <w:rPr>
                <w:rFonts w:hint="eastAsia" w:ascii="宋体" w:hAnsi="宋体" w:cs="宋体" w:eastAsiaTheme="minorEastAsia"/>
                <w:color w:val="000000"/>
                <w:kern w:val="0"/>
                <w:szCs w:val="21"/>
              </w:rPr>
              <w:t>支持破解DOC、DOCX、XLS、XLSX、RAR加密文件</w:t>
            </w:r>
          </w:p>
        </w:tc>
        <w:tc>
          <w:tcPr>
            <w:tcW w:w="684" w:type="dxa"/>
            <w:shd w:val="clear" w:color="auto" w:fill="auto"/>
            <w:noWrap/>
          </w:tcPr>
          <w:p>
            <w:pPr>
              <w:jc w:val="center"/>
              <w:rPr>
                <w:rFonts w:ascii="宋体" w:hAnsi="宋体" w:cs="宋体" w:eastAsiaTheme="minorEastAsia"/>
                <w:color w:val="000000"/>
                <w:kern w:val="0"/>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0" w:type="auto"/>
            <w:shd w:val="clear" w:color="auto" w:fill="auto"/>
            <w:noWrap/>
            <w:vAlign w:val="center"/>
          </w:tcPr>
          <w:p>
            <w:pPr>
              <w:jc w:val="center"/>
              <w:rPr>
                <w:rFonts w:ascii="宋体" w:hAnsi="宋体" w:cs="宋体" w:eastAsiaTheme="minorEastAsia"/>
                <w:color w:val="000000"/>
                <w:kern w:val="0"/>
                <w:szCs w:val="21"/>
                <w:lang w:val="en-US"/>
              </w:rPr>
            </w:pPr>
            <w:r>
              <w:rPr>
                <w:rFonts w:hint="eastAsia" w:ascii="宋体" w:hAnsi="宋体" w:cs="宋体" w:eastAsiaTheme="minorEastAsia"/>
                <w:color w:val="000000"/>
                <w:kern w:val="0"/>
                <w:szCs w:val="21"/>
                <w:lang w:val="en-US"/>
              </w:rPr>
              <w:t>16</w:t>
            </w:r>
          </w:p>
        </w:tc>
        <w:tc>
          <w:tcPr>
            <w:tcW w:w="960" w:type="dxa"/>
            <w:vMerge w:val="continue"/>
            <w:vAlign w:val="center"/>
          </w:tcPr>
          <w:p>
            <w:pPr>
              <w:rPr>
                <w:rFonts w:ascii="宋体" w:hAnsi="宋体" w:cs="宋体" w:eastAsiaTheme="minorEastAsia"/>
                <w:color w:val="000000"/>
                <w:kern w:val="0"/>
                <w:szCs w:val="21"/>
              </w:rPr>
            </w:pPr>
          </w:p>
        </w:tc>
        <w:tc>
          <w:tcPr>
            <w:tcW w:w="5489" w:type="dxa"/>
            <w:shd w:val="clear" w:color="auto" w:fill="auto"/>
            <w:noWrap/>
            <w:vAlign w:val="center"/>
          </w:tcPr>
          <w:p>
            <w:pPr>
              <w:jc w:val="both"/>
              <w:rPr>
                <w:rFonts w:ascii="宋体" w:hAnsi="宋体" w:cs="宋体" w:eastAsiaTheme="minorEastAsia"/>
                <w:color w:val="000000"/>
                <w:kern w:val="0"/>
                <w:szCs w:val="21"/>
              </w:rPr>
            </w:pPr>
            <w:r>
              <w:rPr>
                <w:rFonts w:hint="eastAsia" w:ascii="宋体" w:hAnsi="宋体" w:cs="宋体" w:eastAsiaTheme="minorEastAsia"/>
                <w:color w:val="000000"/>
                <w:kern w:val="0"/>
                <w:szCs w:val="21"/>
              </w:rPr>
              <w:t>支持破解BitLocker加密分区</w:t>
            </w:r>
          </w:p>
        </w:tc>
        <w:tc>
          <w:tcPr>
            <w:tcW w:w="684" w:type="dxa"/>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lang w:val="en-US"/>
              </w:rPr>
              <w:t>/</w:t>
            </w:r>
          </w:p>
        </w:tc>
      </w:tr>
    </w:tbl>
    <w:p>
      <w:pPr>
        <w:pStyle w:val="5"/>
        <w:spacing w:before="15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第3包密码破解设备</w:t>
      </w:r>
      <w:r>
        <w:rPr>
          <w:rFonts w:hint="default" w:ascii="Times New Roman" w:hAnsi="Times New Roman" w:cs="Times New Roman" w:eastAsiaTheme="minorEastAsia"/>
          <w:szCs w:val="21"/>
        </w:rPr>
        <w:t>Ⅱ</w:t>
      </w:r>
    </w:p>
    <w:tbl>
      <w:tblPr>
        <w:tblStyle w:val="81"/>
        <w:tblW w:w="4572" w:type="pct"/>
        <w:tblInd w:w="0" w:type="dxa"/>
        <w:tblLayout w:type="fixed"/>
        <w:tblCellMar>
          <w:top w:w="0" w:type="dxa"/>
          <w:left w:w="108" w:type="dxa"/>
          <w:bottom w:w="0" w:type="dxa"/>
          <w:right w:w="108" w:type="dxa"/>
        </w:tblCellMar>
      </w:tblPr>
      <w:tblGrid>
        <w:gridCol w:w="579"/>
        <w:gridCol w:w="874"/>
        <w:gridCol w:w="5531"/>
        <w:gridCol w:w="809"/>
      </w:tblGrid>
      <w:tr>
        <w:tblPrEx>
          <w:tblCellMar>
            <w:top w:w="0" w:type="dxa"/>
            <w:left w:w="108" w:type="dxa"/>
            <w:bottom w:w="0" w:type="dxa"/>
            <w:right w:w="108" w:type="dxa"/>
          </w:tblCellMar>
        </w:tblPrEx>
        <w:trPr>
          <w:trHeight w:val="600" w:hRule="atLeast"/>
        </w:trPr>
        <w:tc>
          <w:tcPr>
            <w:tcW w:w="37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eastAsiaTheme="minorEastAsia"/>
                <w:b/>
                <w:bCs/>
                <w:color w:val="000000"/>
                <w:kern w:val="0"/>
                <w:szCs w:val="21"/>
              </w:rPr>
            </w:pPr>
            <w:r>
              <w:rPr>
                <w:rFonts w:hint="eastAsia" w:ascii="宋体" w:hAnsi="宋体" w:cs="宋体" w:eastAsiaTheme="minorEastAsia"/>
                <w:b/>
                <w:bCs/>
                <w:color w:val="000000"/>
                <w:kern w:val="0"/>
                <w:szCs w:val="21"/>
              </w:rPr>
              <w:t>序号</w:t>
            </w:r>
          </w:p>
        </w:tc>
        <w:tc>
          <w:tcPr>
            <w:tcW w:w="56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cs="宋体" w:eastAsiaTheme="minorEastAsia"/>
                <w:b/>
                <w:bCs/>
                <w:color w:val="000000"/>
                <w:kern w:val="0"/>
                <w:szCs w:val="21"/>
              </w:rPr>
            </w:pPr>
            <w:r>
              <w:rPr>
                <w:rFonts w:hint="eastAsia" w:ascii="宋体" w:hAnsi="宋体" w:cs="宋体" w:eastAsiaTheme="minorEastAsia"/>
                <w:b/>
                <w:bCs/>
                <w:color w:val="000000"/>
                <w:kern w:val="0"/>
                <w:szCs w:val="21"/>
              </w:rPr>
              <w:t>指标项</w:t>
            </w:r>
          </w:p>
        </w:tc>
        <w:tc>
          <w:tcPr>
            <w:tcW w:w="3548" w:type="pct"/>
            <w:tcBorders>
              <w:top w:val="single" w:color="auto" w:sz="4" w:space="0"/>
              <w:left w:val="nil"/>
              <w:bottom w:val="single" w:color="auto" w:sz="4" w:space="0"/>
              <w:right w:val="single" w:color="000000" w:sz="4" w:space="0"/>
            </w:tcBorders>
            <w:shd w:val="clear" w:color="auto" w:fill="auto"/>
            <w:vAlign w:val="center"/>
          </w:tcPr>
          <w:p>
            <w:pPr>
              <w:jc w:val="center"/>
              <w:rPr>
                <w:rFonts w:ascii="宋体" w:hAnsi="宋体" w:cs="宋体" w:eastAsiaTheme="minorEastAsia"/>
                <w:b/>
                <w:bCs/>
                <w:color w:val="000000"/>
                <w:kern w:val="0"/>
                <w:szCs w:val="21"/>
              </w:rPr>
            </w:pPr>
            <w:r>
              <w:rPr>
                <w:rFonts w:hint="eastAsia" w:ascii="宋体" w:hAnsi="宋体" w:cs="宋体" w:eastAsiaTheme="minorEastAsia"/>
                <w:b/>
                <w:bCs/>
                <w:color w:val="000000"/>
                <w:kern w:val="0"/>
                <w:szCs w:val="21"/>
              </w:rPr>
              <w:t>指标要求</w:t>
            </w:r>
          </w:p>
        </w:tc>
        <w:tc>
          <w:tcPr>
            <w:tcW w:w="518" w:type="pct"/>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eastAsiaTheme="minorEastAsia"/>
                <w:b/>
                <w:bCs/>
                <w:color w:val="000000"/>
                <w:kern w:val="0"/>
                <w:szCs w:val="21"/>
              </w:rPr>
            </w:pPr>
            <w:r>
              <w:rPr>
                <w:rFonts w:hint="eastAsia" w:ascii="宋体" w:hAnsi="宋体" w:cs="宋体" w:eastAsiaTheme="minorEastAsia"/>
                <w:b/>
                <w:bCs/>
                <w:color w:val="000000"/>
                <w:kern w:val="0"/>
                <w:szCs w:val="21"/>
              </w:rPr>
              <w:t>证明材料要求</w:t>
            </w:r>
          </w:p>
        </w:tc>
      </w:tr>
      <w:tr>
        <w:tblPrEx>
          <w:tblCellMar>
            <w:top w:w="0" w:type="dxa"/>
            <w:left w:w="108" w:type="dxa"/>
            <w:bottom w:w="0" w:type="dxa"/>
            <w:right w:w="108" w:type="dxa"/>
          </w:tblCellMar>
        </w:tblPrEx>
        <w:trPr>
          <w:trHeight w:val="1551" w:hRule="atLeast"/>
        </w:trPr>
        <w:tc>
          <w:tcPr>
            <w:tcW w:w="371"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1</w:t>
            </w:r>
          </w:p>
        </w:tc>
        <w:tc>
          <w:tcPr>
            <w:tcW w:w="560" w:type="pct"/>
            <w:tcBorders>
              <w:top w:val="single" w:color="auto" w:sz="4" w:space="0"/>
              <w:left w:val="nil"/>
              <w:bottom w:val="nil"/>
              <w:right w:val="single" w:color="000000" w:sz="4" w:space="0"/>
            </w:tcBorders>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硬件要求</w:t>
            </w:r>
          </w:p>
        </w:tc>
        <w:tc>
          <w:tcPr>
            <w:tcW w:w="3548" w:type="pct"/>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eastAsiaTheme="minorEastAsia"/>
                <w:color w:val="000000"/>
                <w:kern w:val="0"/>
                <w:szCs w:val="21"/>
              </w:rPr>
            </w:pPr>
            <w:r>
              <w:rPr>
                <w:rFonts w:hint="eastAsia" w:ascii="宋体" w:hAnsi="宋体" w:cs="宋体" w:eastAsiaTheme="minorEastAsia"/>
                <w:color w:val="000000"/>
                <w:kern w:val="0"/>
                <w:szCs w:val="21"/>
              </w:rPr>
              <w:t>1. 处理器：不低于2个12核24线程；</w:t>
            </w:r>
          </w:p>
          <w:p>
            <w:pPr>
              <w:rPr>
                <w:rFonts w:ascii="宋体" w:hAnsi="宋体" w:cs="宋体" w:eastAsiaTheme="minorEastAsia"/>
                <w:color w:val="000000"/>
                <w:kern w:val="0"/>
                <w:szCs w:val="21"/>
              </w:rPr>
            </w:pPr>
            <w:r>
              <w:rPr>
                <w:rFonts w:hint="eastAsia" w:ascii="宋体" w:hAnsi="宋体" w:cs="宋体" w:eastAsiaTheme="minorEastAsia"/>
                <w:color w:val="000000"/>
                <w:kern w:val="0"/>
                <w:szCs w:val="21"/>
              </w:rPr>
              <w:t>2. 内存：不低于128GB DDR4；</w:t>
            </w:r>
          </w:p>
          <w:p>
            <w:pPr>
              <w:rPr>
                <w:rFonts w:ascii="宋体" w:hAnsi="宋体" w:cs="宋体" w:eastAsiaTheme="minorEastAsia"/>
                <w:color w:val="000000"/>
                <w:kern w:val="0"/>
                <w:szCs w:val="21"/>
              </w:rPr>
            </w:pPr>
            <w:r>
              <w:rPr>
                <w:rFonts w:hint="eastAsia" w:ascii="宋体" w:hAnsi="宋体" w:cs="宋体" w:eastAsiaTheme="minorEastAsia"/>
                <w:color w:val="000000"/>
                <w:kern w:val="0"/>
                <w:szCs w:val="21"/>
              </w:rPr>
              <w:t>3. 存储：不低于2TB SSD硬盘；</w:t>
            </w:r>
          </w:p>
          <w:p>
            <w:pPr>
              <w:rPr>
                <w:rFonts w:ascii="宋体" w:hAnsi="宋体" w:cs="宋体" w:eastAsiaTheme="minorEastAsia"/>
                <w:color w:val="000000"/>
                <w:kern w:val="0"/>
                <w:szCs w:val="21"/>
              </w:rPr>
            </w:pPr>
            <w:r>
              <w:rPr>
                <w:rFonts w:hint="eastAsia" w:ascii="宋体" w:hAnsi="宋体" w:cs="宋体" w:eastAsiaTheme="minorEastAsia"/>
                <w:color w:val="000000"/>
                <w:kern w:val="0"/>
                <w:szCs w:val="21"/>
              </w:rPr>
              <w:t>4. 显卡：不低于4个12GB GDDR6X显卡，核心频率不低于1665MHZ，记忆速度不低于19 Gbps</w:t>
            </w:r>
          </w:p>
        </w:tc>
        <w:tc>
          <w:tcPr>
            <w:tcW w:w="518" w:type="pct"/>
            <w:tcBorders>
              <w:top w:val="nil"/>
              <w:left w:val="nil"/>
              <w:bottom w:val="single" w:color="000000" w:sz="4" w:space="0"/>
              <w:right w:val="single" w:color="auto" w:sz="4" w:space="0"/>
            </w:tcBorders>
            <w:shd w:val="clear" w:color="auto" w:fill="auto"/>
            <w:vAlign w:val="center"/>
          </w:tcPr>
          <w:p>
            <w:pPr>
              <w:jc w:val="center"/>
              <w:rPr>
                <w:rFonts w:ascii="宋体" w:hAnsi="宋体" w:cs="宋体" w:eastAsiaTheme="minorEastAsia"/>
                <w:color w:val="000000"/>
                <w:kern w:val="0"/>
                <w:szCs w:val="21"/>
              </w:rPr>
            </w:pPr>
            <w:r>
              <w:rPr>
                <w:rFonts w:hint="eastAsia" w:asciiTheme="minorEastAsia" w:hAnsiTheme="minorEastAsia" w:eastAsiaTheme="minorEastAsia" w:cstheme="minorEastAsia"/>
                <w:bCs/>
                <w:color w:val="000000"/>
                <w:kern w:val="0"/>
                <w:szCs w:val="21"/>
                <w:lang w:bidi="ar"/>
              </w:rPr>
              <w:t>/</w:t>
            </w:r>
          </w:p>
        </w:tc>
      </w:tr>
      <w:tr>
        <w:tblPrEx>
          <w:tblCellMar>
            <w:top w:w="0" w:type="dxa"/>
            <w:left w:w="108" w:type="dxa"/>
            <w:bottom w:w="0" w:type="dxa"/>
            <w:right w:w="108" w:type="dxa"/>
          </w:tblCellMar>
        </w:tblPrEx>
        <w:trPr>
          <w:trHeight w:val="600" w:hRule="atLeast"/>
        </w:trPr>
        <w:tc>
          <w:tcPr>
            <w:tcW w:w="371"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2</w:t>
            </w:r>
          </w:p>
        </w:tc>
        <w:tc>
          <w:tcPr>
            <w:tcW w:w="560" w:type="pct"/>
            <w:vMerge w:val="restart"/>
            <w:tcBorders>
              <w:top w:val="single" w:color="auto" w:sz="4" w:space="0"/>
              <w:left w:val="single" w:color="auto" w:sz="4" w:space="0"/>
              <w:bottom w:val="single" w:color="000000" w:sz="4" w:space="0"/>
              <w:right w:val="single" w:color="000000" w:sz="4" w:space="0"/>
            </w:tcBorders>
            <w:vAlign w:val="center"/>
          </w:tcPr>
          <w:p>
            <w:pPr>
              <w:rPr>
                <w:rFonts w:ascii="宋体" w:hAnsi="宋体" w:cs="宋体" w:eastAsiaTheme="minorEastAsia"/>
                <w:color w:val="000000"/>
                <w:kern w:val="0"/>
                <w:szCs w:val="21"/>
              </w:rPr>
            </w:pPr>
            <w:r>
              <w:rPr>
                <w:rFonts w:hint="eastAsia" w:ascii="宋体" w:hAnsi="宋体" w:cs="宋体" w:eastAsiaTheme="minorEastAsia"/>
                <w:color w:val="000000"/>
                <w:kern w:val="0"/>
                <w:szCs w:val="21"/>
              </w:rPr>
              <w:t>手机密码破解</w:t>
            </w:r>
          </w:p>
        </w:tc>
        <w:tc>
          <w:tcPr>
            <w:tcW w:w="3548" w:type="pct"/>
            <w:tcBorders>
              <w:top w:val="single" w:color="auto" w:sz="4" w:space="0"/>
              <w:left w:val="nil"/>
              <w:bottom w:val="single" w:color="auto" w:sz="4" w:space="0"/>
              <w:right w:val="single" w:color="000000" w:sz="4" w:space="0"/>
            </w:tcBorders>
            <w:shd w:val="clear" w:color="auto" w:fill="auto"/>
            <w:vAlign w:val="center"/>
          </w:tcPr>
          <w:p>
            <w:pPr>
              <w:rPr>
                <w:rFonts w:ascii="宋体" w:hAnsi="宋体" w:cs="宋体" w:eastAsiaTheme="minorEastAsia"/>
                <w:color w:val="000000"/>
                <w:kern w:val="0"/>
                <w:szCs w:val="21"/>
              </w:rPr>
            </w:pPr>
            <w:r>
              <w:rPr>
                <w:rFonts w:hint="eastAsia" w:ascii="宋体" w:hAnsi="宋体" w:cs="宋体" w:eastAsiaTheme="minorEastAsia"/>
                <w:color w:val="000000"/>
                <w:kern w:val="0"/>
                <w:szCs w:val="21"/>
              </w:rPr>
              <w:t>支持小米、华为、OPPO、Vivo、三星、锤子、美图、Coolpad、中兴、金立、一加、小辣椒、联想、乐视、海信、天语等国产品牌手机，锁屏USB调试未开情况下做数据提取</w:t>
            </w: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w:t>
            </w:r>
          </w:p>
        </w:tc>
      </w:tr>
      <w:tr>
        <w:tblPrEx>
          <w:tblCellMar>
            <w:top w:w="0" w:type="dxa"/>
            <w:left w:w="108" w:type="dxa"/>
            <w:bottom w:w="0" w:type="dxa"/>
            <w:right w:w="108" w:type="dxa"/>
          </w:tblCellMar>
        </w:tblPrEx>
        <w:trPr>
          <w:trHeight w:val="170" w:hRule="atLeast"/>
        </w:trPr>
        <w:tc>
          <w:tcPr>
            <w:tcW w:w="371"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3</w:t>
            </w:r>
          </w:p>
        </w:tc>
        <w:tc>
          <w:tcPr>
            <w:tcW w:w="560" w:type="pct"/>
            <w:vMerge w:val="continue"/>
            <w:tcBorders>
              <w:top w:val="single" w:color="auto" w:sz="4" w:space="0"/>
              <w:left w:val="single" w:color="auto" w:sz="4" w:space="0"/>
              <w:bottom w:val="single" w:color="000000" w:sz="4" w:space="0"/>
              <w:right w:val="single" w:color="000000" w:sz="4" w:space="0"/>
            </w:tcBorders>
            <w:vAlign w:val="center"/>
          </w:tcPr>
          <w:p>
            <w:pPr>
              <w:rPr>
                <w:rFonts w:ascii="宋体" w:hAnsi="宋体" w:cs="宋体" w:eastAsiaTheme="minorEastAsia"/>
                <w:color w:val="000000"/>
                <w:kern w:val="0"/>
                <w:szCs w:val="21"/>
              </w:rPr>
            </w:pPr>
          </w:p>
        </w:tc>
        <w:tc>
          <w:tcPr>
            <w:tcW w:w="3548" w:type="pct"/>
            <w:tcBorders>
              <w:top w:val="single" w:color="auto" w:sz="4" w:space="0"/>
              <w:left w:val="nil"/>
              <w:bottom w:val="single" w:color="auto" w:sz="4" w:space="0"/>
              <w:right w:val="single" w:color="000000" w:sz="4" w:space="0"/>
            </w:tcBorders>
            <w:shd w:val="clear" w:color="auto" w:fill="auto"/>
            <w:vAlign w:val="center"/>
          </w:tcPr>
          <w:p>
            <w:pPr>
              <w:rPr>
                <w:rFonts w:ascii="宋体" w:hAnsi="宋体" w:cs="宋体" w:eastAsiaTheme="minorEastAsia"/>
                <w:color w:val="000000"/>
                <w:kern w:val="0"/>
                <w:szCs w:val="21"/>
              </w:rPr>
            </w:pPr>
            <w:r>
              <w:rPr>
                <w:rFonts w:hint="eastAsia" w:ascii="宋体" w:hAnsi="宋体" w:cs="宋体" w:eastAsiaTheme="minorEastAsia"/>
                <w:color w:val="000000"/>
                <w:kern w:val="0"/>
                <w:szCs w:val="21"/>
              </w:rPr>
              <w:t>支持已ROOT手机的物理镜像获取</w:t>
            </w: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eastAsiaTheme="minorEastAsia"/>
                <w:color w:val="000000"/>
                <w:kern w:val="0"/>
                <w:szCs w:val="21"/>
              </w:rPr>
            </w:pPr>
          </w:p>
        </w:tc>
      </w:tr>
      <w:tr>
        <w:tblPrEx>
          <w:tblCellMar>
            <w:top w:w="0" w:type="dxa"/>
            <w:left w:w="108" w:type="dxa"/>
            <w:bottom w:w="0" w:type="dxa"/>
            <w:right w:w="108" w:type="dxa"/>
          </w:tblCellMar>
        </w:tblPrEx>
        <w:trPr>
          <w:trHeight w:val="145" w:hRule="atLeast"/>
        </w:trPr>
        <w:tc>
          <w:tcPr>
            <w:tcW w:w="371"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4</w:t>
            </w:r>
          </w:p>
        </w:tc>
        <w:tc>
          <w:tcPr>
            <w:tcW w:w="560" w:type="pct"/>
            <w:vMerge w:val="continue"/>
            <w:tcBorders>
              <w:top w:val="single" w:color="auto" w:sz="4" w:space="0"/>
              <w:left w:val="single" w:color="auto" w:sz="4" w:space="0"/>
              <w:bottom w:val="single" w:color="000000" w:sz="4" w:space="0"/>
              <w:right w:val="single" w:color="000000" w:sz="4" w:space="0"/>
            </w:tcBorders>
            <w:vAlign w:val="center"/>
          </w:tcPr>
          <w:p>
            <w:pPr>
              <w:rPr>
                <w:rFonts w:ascii="宋体" w:hAnsi="宋体" w:cs="宋体" w:eastAsiaTheme="minorEastAsia"/>
                <w:color w:val="000000"/>
                <w:kern w:val="0"/>
                <w:szCs w:val="21"/>
              </w:rPr>
            </w:pPr>
          </w:p>
        </w:tc>
        <w:tc>
          <w:tcPr>
            <w:tcW w:w="3548" w:type="pct"/>
            <w:tcBorders>
              <w:top w:val="single" w:color="auto" w:sz="4" w:space="0"/>
              <w:left w:val="nil"/>
              <w:bottom w:val="single" w:color="auto" w:sz="4" w:space="0"/>
              <w:right w:val="single" w:color="000000" w:sz="4" w:space="0"/>
            </w:tcBorders>
            <w:shd w:val="clear" w:color="auto" w:fill="auto"/>
            <w:vAlign w:val="center"/>
          </w:tcPr>
          <w:p>
            <w:pPr>
              <w:rPr>
                <w:rFonts w:ascii="宋体" w:hAnsi="宋体" w:cs="宋体" w:eastAsiaTheme="minorEastAsia"/>
                <w:b/>
                <w:bCs/>
                <w:color w:val="000000"/>
                <w:kern w:val="0"/>
                <w:szCs w:val="21"/>
              </w:rPr>
            </w:pPr>
            <w:r>
              <w:rPr>
                <w:rFonts w:hint="eastAsia" w:ascii="宋体" w:hAnsi="宋体" w:cs="宋体" w:eastAsiaTheme="minorEastAsia"/>
                <w:color w:val="000000"/>
                <w:kern w:val="0"/>
                <w:szCs w:val="21"/>
              </w:rPr>
              <w:t>支持小米、Vivo等手机未开USB调试情况下移除锁屏密码</w:t>
            </w: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eastAsiaTheme="minorEastAsia"/>
                <w:color w:val="000000"/>
                <w:kern w:val="0"/>
                <w:szCs w:val="21"/>
              </w:rPr>
            </w:pPr>
          </w:p>
        </w:tc>
      </w:tr>
      <w:tr>
        <w:tblPrEx>
          <w:tblCellMar>
            <w:top w:w="0" w:type="dxa"/>
            <w:left w:w="108" w:type="dxa"/>
            <w:bottom w:w="0" w:type="dxa"/>
            <w:right w:w="108" w:type="dxa"/>
          </w:tblCellMar>
        </w:tblPrEx>
        <w:trPr>
          <w:trHeight w:val="236" w:hRule="atLeast"/>
        </w:trPr>
        <w:tc>
          <w:tcPr>
            <w:tcW w:w="371"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5</w:t>
            </w:r>
          </w:p>
        </w:tc>
        <w:tc>
          <w:tcPr>
            <w:tcW w:w="560" w:type="pct"/>
            <w:vMerge w:val="continue"/>
            <w:tcBorders>
              <w:top w:val="single" w:color="auto" w:sz="4" w:space="0"/>
              <w:left w:val="single" w:color="auto" w:sz="4" w:space="0"/>
              <w:bottom w:val="single" w:color="000000" w:sz="4" w:space="0"/>
              <w:right w:val="single" w:color="000000" w:sz="4" w:space="0"/>
            </w:tcBorders>
            <w:vAlign w:val="center"/>
          </w:tcPr>
          <w:p>
            <w:pPr>
              <w:rPr>
                <w:rFonts w:ascii="宋体" w:hAnsi="宋体" w:cs="宋体" w:eastAsiaTheme="minorEastAsia"/>
                <w:color w:val="000000"/>
                <w:kern w:val="0"/>
                <w:szCs w:val="21"/>
              </w:rPr>
            </w:pPr>
          </w:p>
        </w:tc>
        <w:tc>
          <w:tcPr>
            <w:tcW w:w="3548" w:type="pct"/>
            <w:tcBorders>
              <w:top w:val="single" w:color="auto" w:sz="4" w:space="0"/>
              <w:left w:val="nil"/>
              <w:bottom w:val="single" w:color="auto" w:sz="4" w:space="0"/>
              <w:right w:val="single" w:color="000000" w:sz="4" w:space="0"/>
            </w:tcBorders>
            <w:shd w:val="clear" w:color="auto" w:fill="auto"/>
            <w:vAlign w:val="center"/>
          </w:tcPr>
          <w:p>
            <w:pPr>
              <w:rPr>
                <w:rFonts w:ascii="宋体" w:hAnsi="宋体" w:cs="宋体" w:eastAsiaTheme="minorEastAsia"/>
                <w:color w:val="000000"/>
                <w:kern w:val="0"/>
                <w:szCs w:val="21"/>
              </w:rPr>
            </w:pPr>
            <w:r>
              <w:rPr>
                <w:rFonts w:hint="eastAsia" w:ascii="宋体" w:hAnsi="宋体" w:cs="宋体" w:eastAsiaTheme="minorEastAsia"/>
                <w:color w:val="000000"/>
                <w:kern w:val="0"/>
                <w:szCs w:val="21"/>
              </w:rPr>
              <w:t>支持镜像文件哈希校验，包括MD5、SHA256等校验算法</w:t>
            </w:r>
          </w:p>
        </w:tc>
        <w:tc>
          <w:tcPr>
            <w:tcW w:w="518" w:type="pct"/>
            <w:tcBorders>
              <w:top w:val="nil"/>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w:t>
            </w:r>
          </w:p>
        </w:tc>
      </w:tr>
      <w:tr>
        <w:tblPrEx>
          <w:tblCellMar>
            <w:top w:w="0" w:type="dxa"/>
            <w:left w:w="108" w:type="dxa"/>
            <w:bottom w:w="0" w:type="dxa"/>
            <w:right w:w="108" w:type="dxa"/>
          </w:tblCellMar>
        </w:tblPrEx>
        <w:trPr>
          <w:trHeight w:val="90" w:hRule="atLeast"/>
        </w:trPr>
        <w:tc>
          <w:tcPr>
            <w:tcW w:w="371"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6</w:t>
            </w:r>
          </w:p>
        </w:tc>
        <w:tc>
          <w:tcPr>
            <w:tcW w:w="560" w:type="pct"/>
            <w:vMerge w:val="restart"/>
            <w:tcBorders>
              <w:top w:val="single" w:color="auto" w:sz="4" w:space="0"/>
              <w:left w:val="single" w:color="auto" w:sz="4" w:space="0"/>
              <w:bottom w:val="single" w:color="000000" w:sz="4" w:space="0"/>
              <w:right w:val="single" w:color="000000" w:sz="4" w:space="0"/>
            </w:tcBorders>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密码破解能力</w:t>
            </w:r>
          </w:p>
        </w:tc>
        <w:tc>
          <w:tcPr>
            <w:tcW w:w="3548" w:type="pct"/>
            <w:tcBorders>
              <w:top w:val="single" w:color="auto" w:sz="4" w:space="0"/>
              <w:left w:val="nil"/>
              <w:bottom w:val="single" w:color="auto" w:sz="4" w:space="0"/>
              <w:right w:val="single" w:color="000000" w:sz="4" w:space="0"/>
            </w:tcBorders>
            <w:shd w:val="clear" w:color="auto" w:fill="auto"/>
            <w:vAlign w:val="center"/>
          </w:tcPr>
          <w:p>
            <w:pPr>
              <w:rPr>
                <w:rFonts w:ascii="宋体" w:hAnsi="宋体" w:cs="宋体" w:eastAsiaTheme="minorEastAsia"/>
                <w:color w:val="000000"/>
                <w:kern w:val="0"/>
                <w:szCs w:val="21"/>
              </w:rPr>
            </w:pPr>
            <w:r>
              <w:rPr>
                <w:rFonts w:hint="eastAsia" w:ascii="宋体" w:hAnsi="宋体" w:cs="宋体" w:eastAsiaTheme="minorEastAsia"/>
                <w:color w:val="000000"/>
                <w:kern w:val="0"/>
                <w:szCs w:val="21"/>
              </w:rPr>
              <w:t>支持使用已知的密码对iPhone备份进行解密</w:t>
            </w:r>
          </w:p>
        </w:tc>
        <w:tc>
          <w:tcPr>
            <w:tcW w:w="518" w:type="pct"/>
            <w:tcBorders>
              <w:top w:val="single" w:color="auto" w:sz="4" w:space="0"/>
              <w:left w:val="nil"/>
              <w:bottom w:val="single" w:color="auto" w:sz="4" w:space="0"/>
              <w:right w:val="single" w:color="auto" w:sz="4" w:space="0"/>
            </w:tcBorders>
            <w:shd w:val="clear" w:color="auto" w:fill="auto"/>
            <w:noWrap/>
          </w:tcPr>
          <w:p>
            <w:pPr>
              <w:jc w:val="center"/>
              <w:rPr>
                <w:rFonts w:ascii="宋体" w:hAnsi="宋体" w:cs="宋体" w:eastAsiaTheme="minorEastAsia"/>
                <w:color w:val="000000"/>
                <w:kern w:val="0"/>
                <w:szCs w:val="21"/>
              </w:rPr>
            </w:pPr>
            <w:r>
              <w:rPr>
                <w:rFonts w:hint="eastAsia" w:asciiTheme="minorEastAsia" w:hAnsiTheme="minorEastAsia" w:eastAsiaTheme="minorEastAsia" w:cstheme="minorEastAsia"/>
                <w:bCs/>
                <w:color w:val="000000"/>
                <w:kern w:val="0"/>
                <w:szCs w:val="21"/>
                <w:lang w:bidi="ar"/>
              </w:rPr>
              <w:t>/</w:t>
            </w:r>
          </w:p>
        </w:tc>
      </w:tr>
      <w:tr>
        <w:tblPrEx>
          <w:tblCellMar>
            <w:top w:w="0" w:type="dxa"/>
            <w:left w:w="108" w:type="dxa"/>
            <w:bottom w:w="0" w:type="dxa"/>
            <w:right w:w="108" w:type="dxa"/>
          </w:tblCellMar>
        </w:tblPrEx>
        <w:trPr>
          <w:trHeight w:val="600" w:hRule="atLeast"/>
        </w:trPr>
        <w:tc>
          <w:tcPr>
            <w:tcW w:w="371"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7</w:t>
            </w:r>
          </w:p>
        </w:tc>
        <w:tc>
          <w:tcPr>
            <w:tcW w:w="560" w:type="pct"/>
            <w:vMerge w:val="continue"/>
            <w:tcBorders>
              <w:top w:val="single" w:color="auto" w:sz="4" w:space="0"/>
              <w:left w:val="single" w:color="auto" w:sz="4" w:space="0"/>
              <w:bottom w:val="single" w:color="000000" w:sz="4" w:space="0"/>
              <w:right w:val="single" w:color="000000" w:sz="4" w:space="0"/>
            </w:tcBorders>
            <w:vAlign w:val="center"/>
          </w:tcPr>
          <w:p>
            <w:pPr>
              <w:rPr>
                <w:rFonts w:ascii="宋体" w:hAnsi="宋体" w:cs="宋体" w:eastAsiaTheme="minorEastAsia"/>
                <w:color w:val="000000"/>
                <w:kern w:val="0"/>
                <w:szCs w:val="21"/>
              </w:rPr>
            </w:pPr>
          </w:p>
        </w:tc>
        <w:tc>
          <w:tcPr>
            <w:tcW w:w="3548" w:type="pct"/>
            <w:tcBorders>
              <w:top w:val="single" w:color="auto" w:sz="4" w:space="0"/>
              <w:left w:val="nil"/>
              <w:bottom w:val="single" w:color="auto" w:sz="4" w:space="0"/>
              <w:right w:val="single" w:color="000000" w:sz="4" w:space="0"/>
            </w:tcBorders>
            <w:shd w:val="clear" w:color="auto" w:fill="auto"/>
            <w:vAlign w:val="center"/>
          </w:tcPr>
          <w:p>
            <w:pPr>
              <w:rPr>
                <w:rFonts w:ascii="宋体" w:hAnsi="宋体" w:cs="宋体" w:eastAsiaTheme="minorEastAsia"/>
                <w:color w:val="000000"/>
                <w:kern w:val="0"/>
                <w:szCs w:val="21"/>
              </w:rPr>
            </w:pPr>
            <w:r>
              <w:rPr>
                <w:rFonts w:hint="eastAsia" w:ascii="宋体" w:hAnsi="宋体" w:cs="宋体" w:eastAsiaTheme="minorEastAsia"/>
                <w:color w:val="000000"/>
                <w:kern w:val="0"/>
                <w:szCs w:val="21"/>
              </w:rPr>
              <w:t>支持常见加密文件类型破解，包括 Word 文档、Excel表格、PDF、ZIP 、RAR 和其他常见文件类型密码破解</w:t>
            </w:r>
          </w:p>
        </w:tc>
        <w:tc>
          <w:tcPr>
            <w:tcW w:w="518" w:type="pct"/>
            <w:tcBorders>
              <w:top w:val="nil"/>
              <w:left w:val="nil"/>
              <w:bottom w:val="single" w:color="auto" w:sz="4" w:space="0"/>
              <w:right w:val="single" w:color="auto" w:sz="4" w:space="0"/>
            </w:tcBorders>
            <w:shd w:val="clear" w:color="auto" w:fill="auto"/>
            <w:noWrap/>
          </w:tcPr>
          <w:p>
            <w:pPr>
              <w:jc w:val="center"/>
              <w:rPr>
                <w:rFonts w:ascii="宋体" w:hAnsi="宋体" w:cs="宋体" w:eastAsiaTheme="minorEastAsia"/>
                <w:color w:val="000000"/>
                <w:kern w:val="0"/>
                <w:szCs w:val="21"/>
              </w:rPr>
            </w:pPr>
            <w:r>
              <w:rPr>
                <w:rFonts w:hint="eastAsia" w:asciiTheme="minorEastAsia" w:hAnsiTheme="minorEastAsia" w:eastAsiaTheme="minorEastAsia" w:cstheme="minorEastAsia"/>
                <w:bCs/>
                <w:color w:val="000000"/>
                <w:kern w:val="0"/>
                <w:szCs w:val="21"/>
                <w:lang w:bidi="ar"/>
              </w:rPr>
              <w:t>/</w:t>
            </w:r>
          </w:p>
        </w:tc>
      </w:tr>
      <w:tr>
        <w:tblPrEx>
          <w:tblCellMar>
            <w:top w:w="0" w:type="dxa"/>
            <w:left w:w="108" w:type="dxa"/>
            <w:bottom w:w="0" w:type="dxa"/>
            <w:right w:w="108" w:type="dxa"/>
          </w:tblCellMar>
        </w:tblPrEx>
        <w:trPr>
          <w:trHeight w:val="90" w:hRule="atLeast"/>
        </w:trPr>
        <w:tc>
          <w:tcPr>
            <w:tcW w:w="371"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8</w:t>
            </w:r>
          </w:p>
        </w:tc>
        <w:tc>
          <w:tcPr>
            <w:tcW w:w="560" w:type="pct"/>
            <w:vMerge w:val="continue"/>
            <w:tcBorders>
              <w:top w:val="single" w:color="auto" w:sz="4" w:space="0"/>
              <w:left w:val="single" w:color="auto" w:sz="4" w:space="0"/>
              <w:bottom w:val="single" w:color="000000" w:sz="4" w:space="0"/>
              <w:right w:val="single" w:color="000000" w:sz="4" w:space="0"/>
            </w:tcBorders>
            <w:vAlign w:val="center"/>
          </w:tcPr>
          <w:p>
            <w:pPr>
              <w:rPr>
                <w:rFonts w:ascii="宋体" w:hAnsi="宋体" w:cs="宋体" w:eastAsiaTheme="minorEastAsia"/>
                <w:color w:val="000000"/>
                <w:kern w:val="0"/>
                <w:szCs w:val="21"/>
              </w:rPr>
            </w:pPr>
          </w:p>
        </w:tc>
        <w:tc>
          <w:tcPr>
            <w:tcW w:w="3548" w:type="pct"/>
            <w:tcBorders>
              <w:top w:val="single" w:color="auto" w:sz="4" w:space="0"/>
              <w:left w:val="nil"/>
              <w:bottom w:val="single" w:color="auto" w:sz="4" w:space="0"/>
              <w:right w:val="single" w:color="000000" w:sz="4" w:space="0"/>
            </w:tcBorders>
            <w:shd w:val="clear" w:color="auto" w:fill="auto"/>
            <w:vAlign w:val="center"/>
          </w:tcPr>
          <w:p>
            <w:pPr>
              <w:rPr>
                <w:rFonts w:ascii="宋体" w:hAnsi="宋体" w:cs="宋体" w:eastAsiaTheme="minorEastAsia"/>
                <w:color w:val="000000"/>
                <w:kern w:val="0"/>
                <w:szCs w:val="21"/>
              </w:rPr>
            </w:pPr>
            <w:r>
              <w:rPr>
                <w:rFonts w:hint="eastAsia" w:ascii="宋体" w:hAnsi="宋体" w:cs="宋体" w:eastAsiaTheme="minorEastAsia"/>
                <w:color w:val="000000"/>
                <w:kern w:val="0"/>
                <w:szCs w:val="21"/>
              </w:rPr>
              <w:t>支持设置密码规则</w:t>
            </w:r>
          </w:p>
        </w:tc>
        <w:tc>
          <w:tcPr>
            <w:tcW w:w="518" w:type="pct"/>
            <w:tcBorders>
              <w:top w:val="nil"/>
              <w:left w:val="nil"/>
              <w:bottom w:val="single" w:color="auto" w:sz="4" w:space="0"/>
              <w:right w:val="single" w:color="auto" w:sz="4" w:space="0"/>
            </w:tcBorders>
            <w:shd w:val="clear" w:color="auto" w:fill="auto"/>
            <w:noWrap/>
          </w:tcPr>
          <w:p>
            <w:pPr>
              <w:jc w:val="center"/>
              <w:rPr>
                <w:rFonts w:ascii="宋体" w:hAnsi="宋体" w:cs="宋体" w:eastAsiaTheme="minorEastAsia"/>
                <w:color w:val="000000"/>
                <w:kern w:val="0"/>
                <w:szCs w:val="21"/>
              </w:rPr>
            </w:pPr>
            <w:r>
              <w:rPr>
                <w:rFonts w:hint="eastAsia" w:asciiTheme="minorEastAsia" w:hAnsiTheme="minorEastAsia" w:eastAsiaTheme="minorEastAsia" w:cstheme="minorEastAsia"/>
                <w:bCs/>
                <w:color w:val="000000"/>
                <w:kern w:val="0"/>
                <w:szCs w:val="21"/>
                <w:lang w:bidi="ar"/>
              </w:rPr>
              <w:t>/</w:t>
            </w:r>
          </w:p>
        </w:tc>
      </w:tr>
      <w:tr>
        <w:tblPrEx>
          <w:tblCellMar>
            <w:top w:w="0" w:type="dxa"/>
            <w:left w:w="108" w:type="dxa"/>
            <w:bottom w:w="0" w:type="dxa"/>
            <w:right w:w="108" w:type="dxa"/>
          </w:tblCellMar>
        </w:tblPrEx>
        <w:trPr>
          <w:trHeight w:val="90" w:hRule="atLeast"/>
        </w:trPr>
        <w:tc>
          <w:tcPr>
            <w:tcW w:w="371"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9</w:t>
            </w:r>
          </w:p>
        </w:tc>
        <w:tc>
          <w:tcPr>
            <w:tcW w:w="560" w:type="pct"/>
            <w:vMerge w:val="continue"/>
            <w:tcBorders>
              <w:top w:val="single" w:color="auto" w:sz="4" w:space="0"/>
              <w:left w:val="single" w:color="auto" w:sz="4" w:space="0"/>
              <w:bottom w:val="single" w:color="000000" w:sz="4" w:space="0"/>
              <w:right w:val="single" w:color="000000" w:sz="4" w:space="0"/>
            </w:tcBorders>
            <w:vAlign w:val="center"/>
          </w:tcPr>
          <w:p>
            <w:pPr>
              <w:rPr>
                <w:rFonts w:ascii="宋体" w:hAnsi="宋体" w:cs="宋体" w:eastAsiaTheme="minorEastAsia"/>
                <w:color w:val="000000"/>
                <w:kern w:val="0"/>
                <w:szCs w:val="21"/>
              </w:rPr>
            </w:pPr>
          </w:p>
        </w:tc>
        <w:tc>
          <w:tcPr>
            <w:tcW w:w="3548" w:type="pct"/>
            <w:tcBorders>
              <w:top w:val="single" w:color="auto" w:sz="4" w:space="0"/>
              <w:left w:val="nil"/>
              <w:bottom w:val="single" w:color="auto" w:sz="4" w:space="0"/>
              <w:right w:val="single" w:color="000000" w:sz="4" w:space="0"/>
            </w:tcBorders>
            <w:shd w:val="clear" w:color="auto" w:fill="auto"/>
            <w:vAlign w:val="center"/>
          </w:tcPr>
          <w:p>
            <w:pPr>
              <w:rPr>
                <w:rFonts w:ascii="宋体" w:hAnsi="宋体" w:cs="宋体" w:eastAsiaTheme="minorEastAsia"/>
                <w:color w:val="000000"/>
                <w:kern w:val="0"/>
                <w:szCs w:val="21"/>
              </w:rPr>
            </w:pPr>
            <w:r>
              <w:rPr>
                <w:rFonts w:hint="eastAsia" w:ascii="宋体" w:hAnsi="宋体" w:cs="宋体" w:eastAsiaTheme="minorEastAsia"/>
                <w:color w:val="000000"/>
                <w:kern w:val="0"/>
                <w:szCs w:val="21"/>
              </w:rPr>
              <w:t>识别加密类型和密码复杂程度</w:t>
            </w:r>
          </w:p>
        </w:tc>
        <w:tc>
          <w:tcPr>
            <w:tcW w:w="518" w:type="pct"/>
            <w:tcBorders>
              <w:top w:val="nil"/>
              <w:left w:val="nil"/>
              <w:bottom w:val="single" w:color="auto" w:sz="4" w:space="0"/>
              <w:right w:val="single" w:color="auto" w:sz="4" w:space="0"/>
            </w:tcBorders>
            <w:shd w:val="clear" w:color="auto" w:fill="auto"/>
            <w:noWrap/>
          </w:tcPr>
          <w:p>
            <w:pPr>
              <w:jc w:val="center"/>
              <w:rPr>
                <w:rFonts w:ascii="宋体" w:hAnsi="宋体" w:cs="宋体" w:eastAsiaTheme="minorEastAsia"/>
                <w:color w:val="000000"/>
                <w:kern w:val="0"/>
                <w:szCs w:val="21"/>
              </w:rPr>
            </w:pPr>
            <w:r>
              <w:rPr>
                <w:rFonts w:hint="eastAsia" w:asciiTheme="minorEastAsia" w:hAnsiTheme="minorEastAsia" w:eastAsiaTheme="minorEastAsia" w:cstheme="minorEastAsia"/>
                <w:bCs/>
                <w:color w:val="000000"/>
                <w:kern w:val="0"/>
                <w:szCs w:val="21"/>
                <w:lang w:bidi="ar"/>
              </w:rPr>
              <w:t>/</w:t>
            </w:r>
          </w:p>
        </w:tc>
      </w:tr>
    </w:tbl>
    <w:p>
      <w:pPr>
        <w:pStyle w:val="5"/>
        <w:spacing w:before="15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第3包实验室管理系统</w:t>
      </w:r>
      <w:r>
        <w:rPr>
          <w:rFonts w:hint="default" w:ascii="Times New Roman" w:hAnsi="Times New Roman" w:cs="Times New Roman" w:eastAsiaTheme="minorEastAsia"/>
          <w:szCs w:val="21"/>
        </w:rPr>
        <w:t>Ⅱ</w:t>
      </w:r>
    </w:p>
    <w:tbl>
      <w:tblPr>
        <w:tblStyle w:val="81"/>
        <w:tblW w:w="4555" w:type="pct"/>
        <w:tblInd w:w="0" w:type="dxa"/>
        <w:tblLayout w:type="fixed"/>
        <w:tblCellMar>
          <w:top w:w="0" w:type="dxa"/>
          <w:left w:w="108" w:type="dxa"/>
          <w:bottom w:w="0" w:type="dxa"/>
          <w:right w:w="108" w:type="dxa"/>
        </w:tblCellMar>
      </w:tblPr>
      <w:tblGrid>
        <w:gridCol w:w="536"/>
        <w:gridCol w:w="849"/>
        <w:gridCol w:w="5669"/>
        <w:gridCol w:w="710"/>
      </w:tblGrid>
      <w:tr>
        <w:tblPrEx>
          <w:tblCellMar>
            <w:top w:w="0" w:type="dxa"/>
            <w:left w:w="108" w:type="dxa"/>
            <w:bottom w:w="0" w:type="dxa"/>
            <w:right w:w="108" w:type="dxa"/>
          </w:tblCellMar>
        </w:tblPrEx>
        <w:trPr>
          <w:trHeight w:val="600" w:hRule="atLeast"/>
        </w:trPr>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eastAsiaTheme="minorEastAsia"/>
                <w:b/>
                <w:bCs/>
                <w:color w:val="000000"/>
                <w:kern w:val="0"/>
                <w:szCs w:val="21"/>
              </w:rPr>
            </w:pPr>
            <w:r>
              <w:rPr>
                <w:rFonts w:hint="eastAsia" w:ascii="宋体" w:hAnsi="宋体" w:cs="宋体" w:eastAsiaTheme="minorEastAsia"/>
                <w:b/>
                <w:bCs/>
                <w:color w:val="000000"/>
                <w:kern w:val="0"/>
                <w:szCs w:val="21"/>
              </w:rPr>
              <w:t>序号</w:t>
            </w:r>
          </w:p>
        </w:tc>
        <w:tc>
          <w:tcPr>
            <w:tcW w:w="547" w:type="pct"/>
            <w:tcBorders>
              <w:top w:val="single" w:color="000000" w:sz="4" w:space="0"/>
              <w:left w:val="nil"/>
              <w:bottom w:val="single" w:color="000000" w:sz="4" w:space="0"/>
              <w:right w:val="single" w:color="000000" w:sz="4" w:space="0"/>
            </w:tcBorders>
            <w:shd w:val="clear" w:color="auto" w:fill="auto"/>
            <w:vAlign w:val="center"/>
          </w:tcPr>
          <w:p>
            <w:pPr>
              <w:jc w:val="center"/>
              <w:rPr>
                <w:rFonts w:ascii="宋体" w:hAnsi="宋体" w:cs="宋体" w:eastAsiaTheme="minorEastAsia"/>
                <w:b/>
                <w:bCs/>
                <w:color w:val="000000"/>
                <w:kern w:val="0"/>
                <w:szCs w:val="21"/>
              </w:rPr>
            </w:pPr>
            <w:r>
              <w:rPr>
                <w:rFonts w:hint="eastAsia" w:ascii="宋体" w:hAnsi="宋体" w:cs="宋体" w:eastAsiaTheme="minorEastAsia"/>
                <w:b/>
                <w:bCs/>
                <w:color w:val="000000"/>
                <w:kern w:val="0"/>
                <w:szCs w:val="21"/>
              </w:rPr>
              <w:t>指标项</w:t>
            </w:r>
          </w:p>
        </w:tc>
        <w:tc>
          <w:tcPr>
            <w:tcW w:w="3651" w:type="pct"/>
            <w:tcBorders>
              <w:top w:val="single" w:color="000000" w:sz="4" w:space="0"/>
              <w:left w:val="nil"/>
              <w:bottom w:val="single" w:color="000000" w:sz="4" w:space="0"/>
              <w:right w:val="single" w:color="000000" w:sz="4" w:space="0"/>
            </w:tcBorders>
            <w:shd w:val="clear" w:color="auto" w:fill="auto"/>
            <w:vAlign w:val="center"/>
          </w:tcPr>
          <w:p>
            <w:pPr>
              <w:jc w:val="center"/>
              <w:rPr>
                <w:rFonts w:ascii="宋体" w:hAnsi="宋体" w:cs="宋体" w:eastAsiaTheme="minorEastAsia"/>
                <w:b/>
                <w:bCs/>
                <w:color w:val="000000"/>
                <w:kern w:val="0"/>
                <w:szCs w:val="21"/>
              </w:rPr>
            </w:pPr>
            <w:r>
              <w:rPr>
                <w:rFonts w:hint="eastAsia" w:ascii="宋体" w:hAnsi="宋体" w:cs="宋体" w:eastAsiaTheme="minorEastAsia"/>
                <w:b/>
                <w:bCs/>
                <w:color w:val="000000"/>
                <w:kern w:val="0"/>
                <w:szCs w:val="21"/>
              </w:rPr>
              <w:t>指标要求</w:t>
            </w:r>
          </w:p>
        </w:tc>
        <w:tc>
          <w:tcPr>
            <w:tcW w:w="457" w:type="pct"/>
            <w:tcBorders>
              <w:top w:val="single" w:color="000000" w:sz="4" w:space="0"/>
              <w:left w:val="nil"/>
              <w:bottom w:val="single" w:color="000000" w:sz="4" w:space="0"/>
              <w:right w:val="single" w:color="000000" w:sz="4" w:space="0"/>
            </w:tcBorders>
            <w:shd w:val="clear" w:color="auto" w:fill="auto"/>
            <w:vAlign w:val="center"/>
          </w:tcPr>
          <w:p>
            <w:pPr>
              <w:jc w:val="center"/>
              <w:rPr>
                <w:rFonts w:ascii="宋体" w:hAnsi="宋体" w:cs="宋体" w:eastAsiaTheme="minorEastAsia"/>
                <w:b/>
                <w:bCs/>
                <w:color w:val="000000"/>
                <w:kern w:val="0"/>
                <w:szCs w:val="21"/>
              </w:rPr>
            </w:pPr>
            <w:r>
              <w:rPr>
                <w:rFonts w:hint="eastAsia" w:ascii="宋体" w:hAnsi="宋体" w:cs="宋体" w:eastAsiaTheme="minorEastAsia"/>
                <w:b/>
                <w:bCs/>
                <w:color w:val="000000"/>
                <w:kern w:val="0"/>
                <w:szCs w:val="21"/>
              </w:rPr>
              <w:t>证明材料要求</w:t>
            </w:r>
          </w:p>
        </w:tc>
      </w:tr>
      <w:tr>
        <w:tblPrEx>
          <w:tblCellMar>
            <w:top w:w="0" w:type="dxa"/>
            <w:left w:w="108" w:type="dxa"/>
            <w:bottom w:w="0" w:type="dxa"/>
            <w:right w:w="108" w:type="dxa"/>
          </w:tblCellMar>
        </w:tblPrEx>
        <w:trPr>
          <w:trHeight w:val="2096" w:hRule="atLeast"/>
        </w:trPr>
        <w:tc>
          <w:tcPr>
            <w:tcW w:w="345" w:type="pct"/>
            <w:tcBorders>
              <w:top w:val="single" w:color="000000" w:sz="4" w:space="0"/>
              <w:left w:val="single" w:color="000000" w:sz="4" w:space="0"/>
              <w:bottom w:val="single" w:color="auto" w:sz="4" w:space="0"/>
              <w:right w:val="single" w:color="000000" w:sz="4" w:space="0"/>
            </w:tcBorders>
            <w:shd w:val="clear" w:color="auto" w:fill="auto"/>
            <w:noWrap/>
            <w:vAlign w:val="center"/>
          </w:tcPr>
          <w:p>
            <w:pPr>
              <w:rPr>
                <w:rFonts w:ascii="宋体" w:hAnsi="宋体" w:cs="宋体" w:eastAsiaTheme="minorEastAsia"/>
                <w:color w:val="000000"/>
                <w:kern w:val="0"/>
                <w:szCs w:val="21"/>
              </w:rPr>
            </w:pPr>
            <w:r>
              <w:rPr>
                <w:rFonts w:hint="eastAsia" w:ascii="宋体" w:hAnsi="宋体" w:cs="宋体" w:eastAsiaTheme="minorEastAsia"/>
                <w:color w:val="000000"/>
                <w:kern w:val="0"/>
                <w:szCs w:val="21"/>
              </w:rPr>
              <w:t>1</w:t>
            </w:r>
          </w:p>
        </w:tc>
        <w:tc>
          <w:tcPr>
            <w:tcW w:w="547" w:type="pct"/>
            <w:tcBorders>
              <w:top w:val="nil"/>
              <w:left w:val="single" w:color="000000" w:sz="4" w:space="0"/>
              <w:right w:val="single" w:color="000000" w:sz="4" w:space="0"/>
            </w:tcBorders>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硬件要求</w:t>
            </w:r>
          </w:p>
        </w:tc>
        <w:tc>
          <w:tcPr>
            <w:tcW w:w="3651" w:type="pct"/>
            <w:tcBorders>
              <w:top w:val="nil"/>
              <w:left w:val="nil"/>
              <w:right w:val="single" w:color="000000" w:sz="4" w:space="0"/>
            </w:tcBorders>
            <w:shd w:val="clear" w:color="auto" w:fill="auto"/>
            <w:vAlign w:val="center"/>
          </w:tcPr>
          <w:p>
            <w:pPr>
              <w:rPr>
                <w:rFonts w:ascii="宋体" w:hAnsi="宋体" w:cs="宋体" w:eastAsiaTheme="minorEastAsia"/>
                <w:color w:val="000000"/>
                <w:kern w:val="0"/>
                <w:szCs w:val="21"/>
              </w:rPr>
            </w:pPr>
            <w:r>
              <w:rPr>
                <w:rFonts w:hint="eastAsia" w:ascii="宋体" w:hAnsi="宋体" w:cs="宋体" w:eastAsiaTheme="minorEastAsia"/>
                <w:color w:val="000000"/>
                <w:kern w:val="0"/>
                <w:szCs w:val="21"/>
              </w:rPr>
              <w:t>1、处理器：不低于16核</w:t>
            </w:r>
          </w:p>
          <w:p>
            <w:pPr>
              <w:rPr>
                <w:rFonts w:ascii="宋体" w:hAnsi="宋体" w:cs="宋体" w:eastAsiaTheme="minorEastAsia"/>
                <w:color w:val="000000"/>
                <w:kern w:val="0"/>
                <w:szCs w:val="21"/>
              </w:rPr>
            </w:pPr>
            <w:r>
              <w:rPr>
                <w:rFonts w:hint="eastAsia" w:ascii="宋体" w:hAnsi="宋体" w:cs="宋体" w:eastAsiaTheme="minorEastAsia"/>
                <w:color w:val="000000"/>
                <w:kern w:val="0"/>
                <w:szCs w:val="21"/>
              </w:rPr>
              <w:t>2、内存：不低于32GB</w:t>
            </w:r>
          </w:p>
          <w:p>
            <w:pPr>
              <w:rPr>
                <w:rFonts w:ascii="宋体" w:hAnsi="宋体" w:cs="宋体" w:eastAsiaTheme="minorEastAsia"/>
                <w:color w:val="000000"/>
                <w:kern w:val="0"/>
                <w:szCs w:val="21"/>
              </w:rPr>
            </w:pPr>
            <w:r>
              <w:rPr>
                <w:rFonts w:hint="eastAsia" w:ascii="宋体" w:hAnsi="宋体" w:cs="宋体" w:eastAsiaTheme="minorEastAsia"/>
                <w:color w:val="000000"/>
                <w:kern w:val="0"/>
                <w:szCs w:val="21"/>
              </w:rPr>
              <w:t>3、存储：不低于100TB机械硬盘</w:t>
            </w:r>
          </w:p>
          <w:p>
            <w:pPr>
              <w:rPr>
                <w:rFonts w:ascii="宋体" w:hAnsi="宋体" w:cs="宋体" w:eastAsiaTheme="minorEastAsia"/>
                <w:color w:val="000000"/>
                <w:kern w:val="0"/>
                <w:szCs w:val="21"/>
              </w:rPr>
            </w:pPr>
            <w:r>
              <w:rPr>
                <w:rFonts w:hint="eastAsia" w:ascii="宋体" w:hAnsi="宋体" w:cs="宋体" w:eastAsiaTheme="minorEastAsia"/>
                <w:color w:val="000000"/>
                <w:kern w:val="0"/>
                <w:szCs w:val="21"/>
              </w:rPr>
              <w:t>4、网卡：不少于2个千兆网卡</w:t>
            </w:r>
          </w:p>
          <w:p>
            <w:pPr>
              <w:rPr>
                <w:rFonts w:ascii="宋体" w:hAnsi="宋体" w:cs="宋体" w:eastAsiaTheme="minorEastAsia"/>
                <w:color w:val="000000"/>
                <w:kern w:val="0"/>
                <w:szCs w:val="21"/>
              </w:rPr>
            </w:pPr>
            <w:r>
              <w:rPr>
                <w:rFonts w:hint="eastAsia" w:ascii="宋体" w:hAnsi="宋体" w:cs="宋体" w:eastAsiaTheme="minorEastAsia"/>
                <w:color w:val="000000"/>
                <w:kern w:val="0"/>
                <w:szCs w:val="21"/>
              </w:rPr>
              <w:t>5、阵列卡：不低于4G缓存，不少于8口，支持RAID 0、RAID 1、RAID10、RAID5</w:t>
            </w:r>
          </w:p>
          <w:p>
            <w:pPr>
              <w:rPr>
                <w:rFonts w:ascii="宋体" w:hAnsi="宋体" w:cs="宋体" w:eastAsiaTheme="minorEastAsia"/>
                <w:color w:val="000000"/>
                <w:kern w:val="0"/>
                <w:szCs w:val="21"/>
              </w:rPr>
            </w:pPr>
            <w:r>
              <w:rPr>
                <w:rFonts w:hint="eastAsia" w:ascii="宋体" w:hAnsi="宋体" w:cs="宋体" w:eastAsiaTheme="minorEastAsia"/>
                <w:color w:val="000000"/>
                <w:kern w:val="0"/>
                <w:szCs w:val="21"/>
              </w:rPr>
              <w:t>6、配置</w:t>
            </w:r>
            <w:r>
              <w:rPr>
                <w:rFonts w:hint="eastAsia" w:ascii="宋体" w:hAnsi="宋体" w:cs="宋体" w:eastAsiaTheme="minorEastAsia"/>
                <w:color w:val="000000"/>
                <w:kern w:val="0"/>
                <w:szCs w:val="21"/>
                <w:lang w:eastAsia="zh-CN"/>
              </w:rPr>
              <w:t>：</w:t>
            </w:r>
            <w:r>
              <w:rPr>
                <w:rFonts w:hint="eastAsia" w:ascii="宋体" w:hAnsi="宋体" w:cs="宋体" w:eastAsiaTheme="minorEastAsia"/>
                <w:color w:val="000000"/>
                <w:kern w:val="0"/>
                <w:szCs w:val="21"/>
                <w:lang w:val="en-US" w:eastAsia="zh-CN"/>
              </w:rPr>
              <w:t>至少配置</w:t>
            </w:r>
            <w:r>
              <w:rPr>
                <w:rFonts w:hint="eastAsia" w:ascii="宋体" w:hAnsi="宋体" w:cs="宋体" w:eastAsiaTheme="minorEastAsia"/>
                <w:color w:val="000000"/>
                <w:kern w:val="0"/>
                <w:szCs w:val="21"/>
              </w:rPr>
              <w:t>1台智能柜，</w:t>
            </w:r>
            <w:r>
              <w:rPr>
                <w:rFonts w:hint="eastAsia" w:ascii="宋体" w:hAnsi="宋体" w:cs="宋体" w:eastAsiaTheme="minorEastAsia"/>
                <w:color w:val="000000"/>
                <w:kern w:val="0"/>
                <w:szCs w:val="21"/>
                <w:lang w:val="en-US" w:eastAsia="zh-CN"/>
              </w:rPr>
              <w:t>应</w:t>
            </w:r>
            <w:r>
              <w:rPr>
                <w:rFonts w:hint="eastAsia" w:ascii="宋体" w:hAnsi="宋体" w:cs="宋体" w:eastAsiaTheme="minorEastAsia"/>
                <w:color w:val="000000"/>
                <w:kern w:val="0"/>
                <w:szCs w:val="21"/>
              </w:rPr>
              <w:t>分为大中小门，不少于30个柜格</w:t>
            </w:r>
            <w:r>
              <w:rPr>
                <w:rFonts w:hint="eastAsia" w:ascii="宋体" w:hAnsi="宋体" w:cs="宋体" w:eastAsiaTheme="minorEastAsia"/>
                <w:color w:val="000000"/>
                <w:kern w:val="0"/>
                <w:szCs w:val="21"/>
                <w:lang w:eastAsia="zh-CN"/>
              </w:rPr>
              <w:t>，</w:t>
            </w:r>
            <w:r>
              <w:rPr>
                <w:rFonts w:hint="eastAsia" w:ascii="宋体" w:hAnsi="宋体" w:cs="宋体" w:eastAsiaTheme="minorEastAsia"/>
                <w:color w:val="000000"/>
                <w:kern w:val="0"/>
                <w:szCs w:val="21"/>
              </w:rPr>
              <w:t>主控电容触摸屏不低于10寸，分辨率不低于1920*1080</w:t>
            </w:r>
            <w:r>
              <w:rPr>
                <w:rFonts w:hint="eastAsia" w:ascii="宋体" w:hAnsi="宋体" w:cs="宋体" w:eastAsiaTheme="minorEastAsia"/>
                <w:color w:val="000000"/>
                <w:kern w:val="0"/>
                <w:szCs w:val="21"/>
                <w:lang w:eastAsia="zh-CN"/>
              </w:rPr>
              <w:t>；</w:t>
            </w:r>
            <w:r>
              <w:rPr>
                <w:rFonts w:hint="eastAsia" w:ascii="宋体" w:hAnsi="宋体" w:cs="宋体" w:eastAsiaTheme="minorEastAsia"/>
                <w:color w:val="000000"/>
                <w:kern w:val="0"/>
                <w:szCs w:val="21"/>
              </w:rPr>
              <w:t>1个支持二维码扫码的无线扫码枪</w:t>
            </w:r>
            <w:r>
              <w:rPr>
                <w:rFonts w:hint="eastAsia" w:ascii="宋体" w:hAnsi="宋体" w:cs="宋体" w:eastAsiaTheme="minorEastAsia"/>
                <w:color w:val="000000"/>
                <w:kern w:val="0"/>
                <w:szCs w:val="21"/>
                <w:lang w:eastAsia="zh-CN"/>
              </w:rPr>
              <w:t>；</w:t>
            </w:r>
            <w:r>
              <w:rPr>
                <w:rFonts w:hint="eastAsia" w:ascii="宋体" w:hAnsi="宋体" w:cs="宋体" w:eastAsiaTheme="minorEastAsia"/>
                <w:color w:val="000000"/>
                <w:kern w:val="0"/>
                <w:szCs w:val="21"/>
              </w:rPr>
              <w:t>1台支持热敏式打印的二维码打印机，解码类型至少支持PDF417、Data Matrix、QR、汉信码</w:t>
            </w:r>
          </w:p>
        </w:tc>
        <w:tc>
          <w:tcPr>
            <w:tcW w:w="457" w:type="pct"/>
            <w:tcBorders>
              <w:top w:val="single" w:color="000000" w:sz="4" w:space="0"/>
              <w:left w:val="nil"/>
              <w:bottom w:val="single" w:color="auto" w:sz="4" w:space="0"/>
              <w:right w:val="single" w:color="000000" w:sz="4" w:space="0"/>
            </w:tcBorders>
            <w:shd w:val="clear" w:color="auto" w:fill="auto"/>
            <w:vAlign w:val="center"/>
          </w:tcPr>
          <w:p>
            <w:pPr>
              <w:rPr>
                <w:rFonts w:ascii="宋体" w:hAnsi="宋体" w:cs="宋体" w:eastAsiaTheme="minorEastAsia"/>
                <w:color w:val="000000"/>
                <w:kern w:val="0"/>
                <w:szCs w:val="21"/>
              </w:rPr>
            </w:pPr>
            <w:r>
              <w:rPr>
                <w:rFonts w:hint="eastAsia" w:asciiTheme="minorEastAsia" w:hAnsiTheme="minorEastAsia" w:eastAsiaTheme="minorEastAsia" w:cstheme="minorEastAsia"/>
                <w:bCs/>
                <w:color w:val="000000"/>
                <w:kern w:val="0"/>
                <w:szCs w:val="21"/>
                <w:lang w:bidi="ar"/>
              </w:rPr>
              <w:t>/</w:t>
            </w:r>
          </w:p>
        </w:tc>
      </w:tr>
      <w:tr>
        <w:tblPrEx>
          <w:tblCellMar>
            <w:top w:w="0" w:type="dxa"/>
            <w:left w:w="108" w:type="dxa"/>
            <w:bottom w:w="0" w:type="dxa"/>
            <w:right w:w="108" w:type="dxa"/>
          </w:tblCellMar>
        </w:tblPrEx>
        <w:trPr>
          <w:trHeight w:val="486" w:hRule="atLeast"/>
        </w:trPr>
        <w:tc>
          <w:tcPr>
            <w:tcW w:w="345" w:type="pct"/>
            <w:tcBorders>
              <w:top w:val="single" w:color="auto" w:sz="4" w:space="0"/>
              <w:left w:val="single" w:color="000000" w:sz="4" w:space="0"/>
              <w:bottom w:val="single" w:color="auto" w:sz="4" w:space="0"/>
              <w:right w:val="single" w:color="000000" w:sz="4" w:space="0"/>
            </w:tcBorders>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2</w:t>
            </w:r>
          </w:p>
        </w:tc>
        <w:tc>
          <w:tcPr>
            <w:tcW w:w="547" w:type="pct"/>
            <w:vMerge w:val="restart"/>
            <w:tcBorders>
              <w:top w:val="single" w:color="000000" w:sz="4" w:space="0"/>
              <w:left w:val="single" w:color="000000" w:sz="4" w:space="0"/>
              <w:bottom w:val="nil"/>
              <w:right w:val="single" w:color="auto" w:sz="4" w:space="0"/>
            </w:tcBorders>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统计与数据管理能力</w:t>
            </w:r>
          </w:p>
        </w:tc>
        <w:tc>
          <w:tcPr>
            <w:tcW w:w="3651" w:type="pct"/>
            <w:tcBorders>
              <w:top w:val="single" w:color="auto" w:sz="4" w:space="0"/>
              <w:left w:val="nil"/>
              <w:bottom w:val="single" w:color="auto" w:sz="4" w:space="0"/>
              <w:right w:val="single" w:color="auto" w:sz="4" w:space="0"/>
            </w:tcBorders>
            <w:shd w:val="clear" w:color="auto" w:fill="auto"/>
            <w:vAlign w:val="center"/>
          </w:tcPr>
          <w:p>
            <w:pPr>
              <w:rPr>
                <w:rFonts w:ascii="宋体" w:hAnsi="宋体" w:cs="宋体" w:eastAsiaTheme="minorEastAsia"/>
                <w:color w:val="000000"/>
                <w:kern w:val="0"/>
                <w:szCs w:val="21"/>
              </w:rPr>
            </w:pPr>
            <w:r>
              <w:rPr>
                <w:rFonts w:hint="eastAsia" w:ascii="宋体" w:hAnsi="宋体" w:cs="宋体" w:eastAsiaTheme="minorEastAsia"/>
                <w:color w:val="000000"/>
                <w:kern w:val="0"/>
                <w:szCs w:val="21"/>
              </w:rPr>
              <w:t>支持实验室业务数据统计大屏展示</w:t>
            </w:r>
          </w:p>
        </w:tc>
        <w:tc>
          <w:tcPr>
            <w:tcW w:w="457" w:type="pct"/>
            <w:tcBorders>
              <w:top w:val="single" w:color="auto"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w:t>
            </w:r>
          </w:p>
        </w:tc>
      </w:tr>
      <w:tr>
        <w:tblPrEx>
          <w:tblCellMar>
            <w:top w:w="0" w:type="dxa"/>
            <w:left w:w="108" w:type="dxa"/>
            <w:bottom w:w="0" w:type="dxa"/>
            <w:right w:w="108" w:type="dxa"/>
          </w:tblCellMar>
        </w:tblPrEx>
        <w:trPr>
          <w:trHeight w:val="392" w:hRule="atLeast"/>
        </w:trPr>
        <w:tc>
          <w:tcPr>
            <w:tcW w:w="345" w:type="pct"/>
            <w:tcBorders>
              <w:top w:val="single" w:color="auto"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3</w:t>
            </w:r>
          </w:p>
        </w:tc>
        <w:tc>
          <w:tcPr>
            <w:tcW w:w="547" w:type="pct"/>
            <w:vMerge w:val="continue"/>
            <w:tcBorders>
              <w:top w:val="single" w:color="000000" w:sz="4" w:space="0"/>
              <w:left w:val="single" w:color="000000" w:sz="4" w:space="0"/>
              <w:bottom w:val="nil"/>
              <w:right w:val="single" w:color="auto" w:sz="4" w:space="0"/>
            </w:tcBorders>
            <w:vAlign w:val="center"/>
          </w:tcPr>
          <w:p>
            <w:pPr>
              <w:rPr>
                <w:rFonts w:ascii="宋体" w:hAnsi="宋体" w:cs="宋体" w:eastAsiaTheme="minorEastAsia"/>
                <w:color w:val="000000"/>
                <w:kern w:val="0"/>
                <w:szCs w:val="21"/>
              </w:rPr>
            </w:pPr>
          </w:p>
        </w:tc>
        <w:tc>
          <w:tcPr>
            <w:tcW w:w="3651" w:type="pct"/>
            <w:tcBorders>
              <w:top w:val="nil"/>
              <w:left w:val="nil"/>
              <w:bottom w:val="nil"/>
              <w:right w:val="nil"/>
            </w:tcBorders>
            <w:shd w:val="clear" w:color="auto" w:fill="auto"/>
            <w:vAlign w:val="center"/>
          </w:tcPr>
          <w:p>
            <w:pPr>
              <w:rPr>
                <w:rFonts w:ascii="宋体" w:hAnsi="宋体" w:cs="宋体" w:eastAsiaTheme="minorEastAsia"/>
                <w:color w:val="000000"/>
                <w:kern w:val="0"/>
                <w:szCs w:val="21"/>
              </w:rPr>
            </w:pPr>
            <w:r>
              <w:rPr>
                <w:rFonts w:hint="eastAsia" w:ascii="宋体" w:hAnsi="宋体" w:cs="宋体" w:eastAsiaTheme="minorEastAsia"/>
                <w:color w:val="000000"/>
                <w:kern w:val="0"/>
                <w:szCs w:val="21"/>
              </w:rPr>
              <w:t>支持统计数据导出</w:t>
            </w:r>
          </w:p>
        </w:tc>
        <w:tc>
          <w:tcPr>
            <w:tcW w:w="457" w:type="pct"/>
            <w:tcBorders>
              <w:top w:val="nil"/>
              <w:left w:val="single" w:color="000000" w:sz="4" w:space="0"/>
              <w:bottom w:val="single" w:color="000000" w:sz="4" w:space="0"/>
              <w:right w:val="single" w:color="000000" w:sz="4" w:space="0"/>
            </w:tcBorders>
            <w:shd w:val="clear" w:color="auto" w:fill="auto"/>
          </w:tcPr>
          <w:p>
            <w:pPr>
              <w:jc w:val="center"/>
              <w:rPr>
                <w:rFonts w:ascii="宋体" w:hAnsi="宋体" w:cs="宋体" w:eastAsiaTheme="minorEastAsia"/>
                <w:color w:val="000000"/>
                <w:kern w:val="0"/>
                <w:szCs w:val="21"/>
              </w:rPr>
            </w:pPr>
            <w:r>
              <w:rPr>
                <w:rFonts w:hint="eastAsia" w:asciiTheme="minorEastAsia" w:hAnsiTheme="minorEastAsia" w:eastAsiaTheme="minorEastAsia" w:cstheme="minorEastAsia"/>
                <w:bCs/>
                <w:color w:val="000000"/>
                <w:kern w:val="0"/>
                <w:szCs w:val="21"/>
                <w:lang w:bidi="ar"/>
              </w:rPr>
              <w:t>/</w:t>
            </w:r>
          </w:p>
        </w:tc>
      </w:tr>
      <w:tr>
        <w:tblPrEx>
          <w:tblCellMar>
            <w:top w:w="0" w:type="dxa"/>
            <w:left w:w="108" w:type="dxa"/>
            <w:bottom w:w="0" w:type="dxa"/>
            <w:right w:w="108" w:type="dxa"/>
          </w:tblCellMar>
        </w:tblPrEx>
        <w:trPr>
          <w:trHeight w:val="128" w:hRule="atLeast"/>
        </w:trPr>
        <w:tc>
          <w:tcPr>
            <w:tcW w:w="345" w:type="pct"/>
            <w:tcBorders>
              <w:top w:val="nil"/>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4</w:t>
            </w:r>
          </w:p>
        </w:tc>
        <w:tc>
          <w:tcPr>
            <w:tcW w:w="547" w:type="pct"/>
            <w:vMerge w:val="restart"/>
            <w:tcBorders>
              <w:top w:val="single" w:color="000000" w:sz="4" w:space="0"/>
              <w:left w:val="single" w:color="000000" w:sz="4" w:space="0"/>
              <w:bottom w:val="single" w:color="000000" w:sz="4" w:space="0"/>
              <w:right w:val="single" w:color="auto" w:sz="4" w:space="0"/>
            </w:tcBorders>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案件与检材管理能力</w:t>
            </w:r>
          </w:p>
        </w:tc>
        <w:tc>
          <w:tcPr>
            <w:tcW w:w="3651" w:type="pct"/>
            <w:tcBorders>
              <w:top w:val="single" w:color="auto" w:sz="4" w:space="0"/>
              <w:left w:val="nil"/>
              <w:bottom w:val="single" w:color="000000" w:sz="4" w:space="0"/>
              <w:right w:val="single" w:color="000000" w:sz="4" w:space="0"/>
            </w:tcBorders>
            <w:shd w:val="clear" w:color="auto" w:fill="auto"/>
            <w:vAlign w:val="center"/>
          </w:tcPr>
          <w:p>
            <w:pPr>
              <w:rPr>
                <w:rFonts w:ascii="宋体" w:hAnsi="宋体" w:cs="宋体" w:eastAsiaTheme="minorEastAsia"/>
                <w:color w:val="000000"/>
                <w:kern w:val="0"/>
                <w:szCs w:val="21"/>
              </w:rPr>
            </w:pPr>
            <w:r>
              <w:rPr>
                <w:rFonts w:hint="eastAsia" w:ascii="宋体" w:hAnsi="宋体" w:cs="宋体" w:eastAsiaTheme="minorEastAsia"/>
                <w:color w:val="000000"/>
                <w:kern w:val="0"/>
                <w:szCs w:val="21"/>
              </w:rPr>
              <w:t>支持委托方提交委托申请</w:t>
            </w:r>
            <w:r>
              <w:rPr>
                <w:rFonts w:hint="eastAsia" w:ascii="宋体" w:hAnsi="宋体" w:cs="宋体" w:eastAsiaTheme="minorEastAsia"/>
                <w:color w:val="000000"/>
                <w:kern w:val="0"/>
                <w:szCs w:val="21"/>
                <w:lang w:eastAsia="zh-CN"/>
              </w:rPr>
              <w:t>，</w:t>
            </w:r>
            <w:r>
              <w:rPr>
                <w:rFonts w:hint="eastAsia" w:ascii="宋体" w:hAnsi="宋体" w:cs="宋体" w:eastAsiaTheme="minorEastAsia"/>
                <w:color w:val="000000"/>
                <w:kern w:val="0"/>
                <w:szCs w:val="21"/>
              </w:rPr>
              <w:t>并对提交的委托进行审核</w:t>
            </w:r>
          </w:p>
        </w:tc>
        <w:tc>
          <w:tcPr>
            <w:tcW w:w="457" w:type="pct"/>
            <w:tcBorders>
              <w:top w:val="nil"/>
              <w:left w:val="nil"/>
              <w:bottom w:val="single" w:color="000000" w:sz="4" w:space="0"/>
              <w:right w:val="single" w:color="000000" w:sz="4" w:space="0"/>
            </w:tcBorders>
            <w:shd w:val="clear" w:color="auto" w:fill="auto"/>
          </w:tcPr>
          <w:p>
            <w:pPr>
              <w:jc w:val="center"/>
              <w:rPr>
                <w:rFonts w:ascii="宋体" w:hAnsi="宋体" w:cs="宋体" w:eastAsiaTheme="minorEastAsia"/>
                <w:color w:val="000000"/>
                <w:kern w:val="0"/>
                <w:szCs w:val="21"/>
              </w:rPr>
            </w:pPr>
            <w:r>
              <w:rPr>
                <w:rFonts w:hint="eastAsia" w:asciiTheme="minorEastAsia" w:hAnsiTheme="minorEastAsia" w:eastAsiaTheme="minorEastAsia" w:cstheme="minorEastAsia"/>
                <w:bCs/>
                <w:color w:val="000000"/>
                <w:kern w:val="0"/>
                <w:szCs w:val="21"/>
                <w:lang w:bidi="ar"/>
              </w:rPr>
              <w:t>/</w:t>
            </w:r>
          </w:p>
        </w:tc>
      </w:tr>
      <w:tr>
        <w:tblPrEx>
          <w:tblCellMar>
            <w:top w:w="0" w:type="dxa"/>
            <w:left w:w="108" w:type="dxa"/>
            <w:bottom w:w="0" w:type="dxa"/>
            <w:right w:w="108" w:type="dxa"/>
          </w:tblCellMar>
        </w:tblPrEx>
        <w:trPr>
          <w:trHeight w:val="319" w:hRule="atLeast"/>
        </w:trPr>
        <w:tc>
          <w:tcPr>
            <w:tcW w:w="345" w:type="pct"/>
            <w:tcBorders>
              <w:top w:val="nil"/>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5</w:t>
            </w:r>
          </w:p>
        </w:tc>
        <w:tc>
          <w:tcPr>
            <w:tcW w:w="547" w:type="pct"/>
            <w:vMerge w:val="continue"/>
            <w:tcBorders>
              <w:top w:val="single" w:color="000000" w:sz="4" w:space="0"/>
              <w:left w:val="single" w:color="000000" w:sz="4" w:space="0"/>
              <w:bottom w:val="single" w:color="000000" w:sz="4" w:space="0"/>
              <w:right w:val="single" w:color="auto" w:sz="4" w:space="0"/>
            </w:tcBorders>
            <w:shd w:val="clear" w:color="auto" w:fill="auto"/>
            <w:noWrap/>
            <w:vAlign w:val="center"/>
          </w:tcPr>
          <w:p>
            <w:pPr>
              <w:jc w:val="center"/>
              <w:rPr>
                <w:rFonts w:ascii="宋体" w:hAnsi="宋体" w:cs="宋体" w:eastAsiaTheme="minorEastAsia"/>
                <w:color w:val="000000"/>
                <w:kern w:val="0"/>
                <w:szCs w:val="21"/>
              </w:rPr>
            </w:pPr>
          </w:p>
        </w:tc>
        <w:tc>
          <w:tcPr>
            <w:tcW w:w="3651" w:type="pct"/>
            <w:tcBorders>
              <w:top w:val="single" w:color="auto" w:sz="4" w:space="0"/>
              <w:left w:val="nil"/>
              <w:bottom w:val="single" w:color="000000" w:sz="4" w:space="0"/>
              <w:right w:val="single" w:color="000000" w:sz="4" w:space="0"/>
            </w:tcBorders>
            <w:shd w:val="clear" w:color="auto" w:fill="auto"/>
            <w:vAlign w:val="center"/>
          </w:tcPr>
          <w:p>
            <w:pPr>
              <w:rPr>
                <w:rFonts w:ascii="宋体" w:hAnsi="宋体" w:cs="宋体" w:eastAsiaTheme="minorEastAsia"/>
                <w:color w:val="000000"/>
                <w:kern w:val="0"/>
                <w:szCs w:val="21"/>
              </w:rPr>
            </w:pPr>
            <w:r>
              <w:rPr>
                <w:rFonts w:hint="eastAsia" w:ascii="宋体" w:hAnsi="宋体" w:cs="宋体" w:eastAsiaTheme="minorEastAsia"/>
                <w:color w:val="000000"/>
                <w:kern w:val="0"/>
                <w:szCs w:val="21"/>
              </w:rPr>
              <w:t>支持当履行委托出现偏差时，通知委托方修改/退回委托</w:t>
            </w:r>
          </w:p>
        </w:tc>
        <w:tc>
          <w:tcPr>
            <w:tcW w:w="457" w:type="pct"/>
            <w:tcBorders>
              <w:top w:val="nil"/>
              <w:left w:val="nil"/>
              <w:bottom w:val="single" w:color="000000" w:sz="4" w:space="0"/>
              <w:right w:val="single" w:color="000000" w:sz="4" w:space="0"/>
            </w:tcBorders>
            <w:shd w:val="clear" w:color="auto" w:fill="auto"/>
          </w:tcPr>
          <w:p>
            <w:pPr>
              <w:jc w:val="center"/>
              <w:rPr>
                <w:rFonts w:asciiTheme="minorEastAsia" w:hAnsiTheme="minorEastAsia" w:eastAsiaTheme="minorEastAsia" w:cstheme="minorEastAsia"/>
                <w:bCs/>
                <w:color w:val="000000"/>
                <w:kern w:val="0"/>
                <w:szCs w:val="21"/>
                <w:lang w:bidi="ar"/>
              </w:rPr>
            </w:pPr>
          </w:p>
        </w:tc>
      </w:tr>
      <w:tr>
        <w:tblPrEx>
          <w:tblCellMar>
            <w:top w:w="0" w:type="dxa"/>
            <w:left w:w="108" w:type="dxa"/>
            <w:bottom w:w="0" w:type="dxa"/>
            <w:right w:w="108" w:type="dxa"/>
          </w:tblCellMar>
        </w:tblPrEx>
        <w:trPr>
          <w:trHeight w:val="90" w:hRule="atLeast"/>
        </w:trPr>
        <w:tc>
          <w:tcPr>
            <w:tcW w:w="345" w:type="pct"/>
            <w:tcBorders>
              <w:top w:val="nil"/>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6</w:t>
            </w:r>
          </w:p>
        </w:tc>
        <w:tc>
          <w:tcPr>
            <w:tcW w:w="547" w:type="pct"/>
            <w:vMerge w:val="continue"/>
            <w:tcBorders>
              <w:top w:val="single" w:color="000000" w:sz="4" w:space="0"/>
              <w:left w:val="single" w:color="000000" w:sz="4" w:space="0"/>
              <w:bottom w:val="single" w:color="000000" w:sz="4" w:space="0"/>
              <w:right w:val="single" w:color="auto" w:sz="4" w:space="0"/>
            </w:tcBorders>
            <w:vAlign w:val="center"/>
          </w:tcPr>
          <w:p>
            <w:pPr>
              <w:rPr>
                <w:rFonts w:ascii="宋体" w:hAnsi="宋体" w:cs="宋体" w:eastAsiaTheme="minorEastAsia"/>
                <w:color w:val="000000"/>
                <w:kern w:val="0"/>
                <w:szCs w:val="21"/>
              </w:rPr>
            </w:pPr>
          </w:p>
        </w:tc>
        <w:tc>
          <w:tcPr>
            <w:tcW w:w="3651" w:type="pct"/>
            <w:tcBorders>
              <w:top w:val="nil"/>
              <w:left w:val="nil"/>
              <w:bottom w:val="single" w:color="000000" w:sz="4" w:space="0"/>
              <w:right w:val="single" w:color="000000" w:sz="4" w:space="0"/>
            </w:tcBorders>
            <w:shd w:val="clear" w:color="auto" w:fill="auto"/>
            <w:vAlign w:val="center"/>
          </w:tcPr>
          <w:p>
            <w:pPr>
              <w:rPr>
                <w:rFonts w:ascii="宋体" w:hAnsi="宋体" w:cs="宋体" w:eastAsiaTheme="minorEastAsia"/>
                <w:color w:val="000000"/>
                <w:kern w:val="0"/>
                <w:szCs w:val="21"/>
              </w:rPr>
            </w:pPr>
            <w:r>
              <w:rPr>
                <w:rFonts w:hint="eastAsia" w:ascii="宋体" w:hAnsi="宋体" w:cs="宋体" w:eastAsiaTheme="minorEastAsia"/>
                <w:color w:val="000000"/>
                <w:kern w:val="0"/>
                <w:szCs w:val="21"/>
              </w:rPr>
              <w:t>支持任务创建，包括案件信息、送检信息、检材信息</w:t>
            </w:r>
          </w:p>
        </w:tc>
        <w:tc>
          <w:tcPr>
            <w:tcW w:w="457" w:type="pct"/>
            <w:tcBorders>
              <w:top w:val="nil"/>
              <w:left w:val="nil"/>
              <w:bottom w:val="single" w:color="000000" w:sz="4" w:space="0"/>
              <w:right w:val="single" w:color="000000" w:sz="4" w:space="0"/>
            </w:tcBorders>
            <w:shd w:val="clear" w:color="auto" w:fill="auto"/>
          </w:tcPr>
          <w:p>
            <w:pPr>
              <w:jc w:val="center"/>
              <w:rPr>
                <w:rFonts w:ascii="宋体" w:hAnsi="宋体" w:cs="宋体" w:eastAsiaTheme="minorEastAsia"/>
                <w:color w:val="000000"/>
                <w:kern w:val="0"/>
                <w:szCs w:val="21"/>
              </w:rPr>
            </w:pPr>
            <w:r>
              <w:rPr>
                <w:rFonts w:hint="eastAsia" w:asciiTheme="minorEastAsia" w:hAnsiTheme="minorEastAsia" w:eastAsiaTheme="minorEastAsia" w:cstheme="minorEastAsia"/>
                <w:bCs/>
                <w:color w:val="000000"/>
                <w:kern w:val="0"/>
                <w:szCs w:val="21"/>
                <w:lang w:bidi="ar"/>
              </w:rPr>
              <w:t>/</w:t>
            </w:r>
          </w:p>
        </w:tc>
      </w:tr>
      <w:tr>
        <w:tblPrEx>
          <w:tblCellMar>
            <w:top w:w="0" w:type="dxa"/>
            <w:left w:w="108" w:type="dxa"/>
            <w:bottom w:w="0" w:type="dxa"/>
            <w:right w:w="108" w:type="dxa"/>
          </w:tblCellMar>
        </w:tblPrEx>
        <w:trPr>
          <w:trHeight w:val="302" w:hRule="atLeast"/>
        </w:trPr>
        <w:tc>
          <w:tcPr>
            <w:tcW w:w="345" w:type="pct"/>
            <w:tcBorders>
              <w:top w:val="nil"/>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7</w:t>
            </w:r>
          </w:p>
        </w:tc>
        <w:tc>
          <w:tcPr>
            <w:tcW w:w="547" w:type="pct"/>
            <w:vMerge w:val="continue"/>
            <w:tcBorders>
              <w:top w:val="single" w:color="000000" w:sz="4" w:space="0"/>
              <w:left w:val="single" w:color="000000" w:sz="4" w:space="0"/>
              <w:bottom w:val="single" w:color="000000" w:sz="4" w:space="0"/>
              <w:right w:val="single" w:color="auto" w:sz="4" w:space="0"/>
            </w:tcBorders>
            <w:vAlign w:val="center"/>
          </w:tcPr>
          <w:p>
            <w:pPr>
              <w:rPr>
                <w:rFonts w:ascii="宋体" w:hAnsi="宋体" w:cs="宋体" w:eastAsiaTheme="minorEastAsia"/>
                <w:color w:val="000000"/>
                <w:kern w:val="0"/>
                <w:szCs w:val="21"/>
              </w:rPr>
            </w:pPr>
          </w:p>
        </w:tc>
        <w:tc>
          <w:tcPr>
            <w:tcW w:w="3651" w:type="pct"/>
            <w:tcBorders>
              <w:top w:val="nil"/>
              <w:left w:val="nil"/>
              <w:bottom w:val="single" w:color="000000" w:sz="4" w:space="0"/>
              <w:right w:val="single" w:color="000000" w:sz="4" w:space="0"/>
            </w:tcBorders>
            <w:shd w:val="clear" w:color="auto" w:fill="auto"/>
            <w:vAlign w:val="center"/>
          </w:tcPr>
          <w:p>
            <w:pPr>
              <w:rPr>
                <w:rFonts w:ascii="宋体" w:hAnsi="宋体" w:cs="宋体" w:eastAsiaTheme="minorEastAsia"/>
                <w:color w:val="000000"/>
                <w:kern w:val="0"/>
                <w:szCs w:val="21"/>
              </w:rPr>
            </w:pPr>
            <w:r>
              <w:rPr>
                <w:rFonts w:hint="eastAsia" w:ascii="宋体" w:hAnsi="宋体" w:cs="宋体" w:eastAsiaTheme="minorEastAsia"/>
                <w:color w:val="000000"/>
                <w:kern w:val="0"/>
                <w:szCs w:val="21"/>
              </w:rPr>
              <w:t>支持唯一性编码管理检材。支持检材关键字搜索，包括检材基本信息、流转状态及检验状态</w:t>
            </w:r>
          </w:p>
        </w:tc>
        <w:tc>
          <w:tcPr>
            <w:tcW w:w="457" w:type="pct"/>
            <w:tcBorders>
              <w:top w:val="nil"/>
              <w:left w:val="nil"/>
              <w:bottom w:val="single" w:color="000000" w:sz="4" w:space="0"/>
              <w:right w:val="single" w:color="000000" w:sz="4" w:space="0"/>
            </w:tcBorders>
            <w:shd w:val="clear" w:color="auto" w:fill="auto"/>
          </w:tcPr>
          <w:p>
            <w:pPr>
              <w:jc w:val="center"/>
              <w:rPr>
                <w:rFonts w:ascii="宋体" w:hAnsi="宋体" w:cs="宋体" w:eastAsiaTheme="minorEastAsia"/>
                <w:color w:val="000000"/>
                <w:kern w:val="0"/>
                <w:szCs w:val="21"/>
              </w:rPr>
            </w:pPr>
            <w:r>
              <w:rPr>
                <w:rFonts w:hint="eastAsia" w:asciiTheme="minorEastAsia" w:hAnsiTheme="minorEastAsia" w:eastAsiaTheme="minorEastAsia" w:cstheme="minorEastAsia"/>
                <w:bCs/>
                <w:color w:val="000000"/>
                <w:kern w:val="0"/>
                <w:szCs w:val="21"/>
                <w:lang w:bidi="ar"/>
              </w:rPr>
              <w:t>/</w:t>
            </w:r>
          </w:p>
        </w:tc>
      </w:tr>
      <w:tr>
        <w:tblPrEx>
          <w:tblCellMar>
            <w:top w:w="0" w:type="dxa"/>
            <w:left w:w="108" w:type="dxa"/>
            <w:bottom w:w="0" w:type="dxa"/>
            <w:right w:w="108" w:type="dxa"/>
          </w:tblCellMar>
        </w:tblPrEx>
        <w:trPr>
          <w:trHeight w:val="335" w:hRule="atLeast"/>
        </w:trPr>
        <w:tc>
          <w:tcPr>
            <w:tcW w:w="345" w:type="pct"/>
            <w:tcBorders>
              <w:top w:val="nil"/>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8</w:t>
            </w:r>
          </w:p>
        </w:tc>
        <w:tc>
          <w:tcPr>
            <w:tcW w:w="547" w:type="pct"/>
            <w:vMerge w:val="continue"/>
            <w:tcBorders>
              <w:top w:val="single" w:color="000000" w:sz="4" w:space="0"/>
              <w:left w:val="single" w:color="000000" w:sz="4" w:space="0"/>
              <w:bottom w:val="single" w:color="000000" w:sz="4" w:space="0"/>
              <w:right w:val="single" w:color="auto" w:sz="4" w:space="0"/>
            </w:tcBorders>
            <w:vAlign w:val="center"/>
          </w:tcPr>
          <w:p>
            <w:pPr>
              <w:rPr>
                <w:rFonts w:ascii="宋体" w:hAnsi="宋体" w:cs="宋体" w:eastAsiaTheme="minorEastAsia"/>
                <w:color w:val="000000"/>
                <w:kern w:val="0"/>
                <w:szCs w:val="21"/>
              </w:rPr>
            </w:pPr>
          </w:p>
        </w:tc>
        <w:tc>
          <w:tcPr>
            <w:tcW w:w="3651" w:type="pct"/>
            <w:tcBorders>
              <w:top w:val="nil"/>
              <w:left w:val="nil"/>
              <w:bottom w:val="single" w:color="000000" w:sz="4" w:space="0"/>
              <w:right w:val="single" w:color="000000" w:sz="4" w:space="0"/>
            </w:tcBorders>
            <w:shd w:val="clear" w:color="auto" w:fill="auto"/>
            <w:vAlign w:val="center"/>
          </w:tcPr>
          <w:p>
            <w:pPr>
              <w:rPr>
                <w:rFonts w:ascii="宋体" w:hAnsi="宋体" w:cs="宋体" w:eastAsiaTheme="minorEastAsia"/>
                <w:color w:val="000000"/>
                <w:kern w:val="0"/>
                <w:szCs w:val="21"/>
              </w:rPr>
            </w:pPr>
            <w:r>
              <w:rPr>
                <w:rFonts w:hint="eastAsia" w:ascii="宋体" w:hAnsi="宋体" w:cs="宋体" w:eastAsiaTheme="minorEastAsia"/>
                <w:color w:val="000000"/>
                <w:kern w:val="0"/>
                <w:szCs w:val="21"/>
              </w:rPr>
              <w:t>所有的任务数据和检材文件集中存储，确保用户只要在同一网络中可以下载或查看案件信息和检材文件</w:t>
            </w:r>
          </w:p>
        </w:tc>
        <w:tc>
          <w:tcPr>
            <w:tcW w:w="457" w:type="pct"/>
            <w:tcBorders>
              <w:top w:val="nil"/>
              <w:left w:val="nil"/>
              <w:bottom w:val="single" w:color="000000" w:sz="4" w:space="0"/>
              <w:right w:val="single" w:color="000000" w:sz="4" w:space="0"/>
            </w:tcBorders>
            <w:shd w:val="clear" w:color="auto" w:fill="auto"/>
          </w:tcPr>
          <w:p>
            <w:pPr>
              <w:jc w:val="center"/>
              <w:rPr>
                <w:rFonts w:ascii="宋体" w:hAnsi="宋体" w:cs="宋体" w:eastAsiaTheme="minorEastAsia"/>
                <w:color w:val="000000"/>
                <w:kern w:val="0"/>
                <w:szCs w:val="21"/>
              </w:rPr>
            </w:pPr>
            <w:r>
              <w:rPr>
                <w:rFonts w:hint="eastAsia" w:asciiTheme="minorEastAsia" w:hAnsiTheme="minorEastAsia" w:eastAsiaTheme="minorEastAsia" w:cstheme="minorEastAsia"/>
                <w:bCs/>
                <w:color w:val="000000"/>
                <w:kern w:val="0"/>
                <w:szCs w:val="21"/>
                <w:lang w:bidi="ar"/>
              </w:rPr>
              <w:t>/</w:t>
            </w:r>
          </w:p>
        </w:tc>
      </w:tr>
      <w:tr>
        <w:tblPrEx>
          <w:tblCellMar>
            <w:top w:w="0" w:type="dxa"/>
            <w:left w:w="108" w:type="dxa"/>
            <w:bottom w:w="0" w:type="dxa"/>
            <w:right w:w="108" w:type="dxa"/>
          </w:tblCellMar>
        </w:tblPrEx>
        <w:trPr>
          <w:trHeight w:val="700" w:hRule="atLeast"/>
        </w:trPr>
        <w:tc>
          <w:tcPr>
            <w:tcW w:w="345" w:type="pct"/>
            <w:tcBorders>
              <w:top w:val="nil"/>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9</w:t>
            </w:r>
          </w:p>
        </w:tc>
        <w:tc>
          <w:tcPr>
            <w:tcW w:w="547" w:type="pct"/>
            <w:vMerge w:val="restart"/>
            <w:tcBorders>
              <w:top w:val="nil"/>
              <w:left w:val="single" w:color="000000" w:sz="4" w:space="0"/>
              <w:bottom w:val="nil"/>
              <w:right w:val="single" w:color="000000" w:sz="4" w:space="0"/>
            </w:tcBorders>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设备与实验室管理能力</w:t>
            </w:r>
          </w:p>
        </w:tc>
        <w:tc>
          <w:tcPr>
            <w:tcW w:w="3651" w:type="pct"/>
            <w:tcBorders>
              <w:top w:val="nil"/>
              <w:left w:val="nil"/>
              <w:bottom w:val="single" w:color="000000" w:sz="4" w:space="0"/>
              <w:right w:val="single" w:color="000000" w:sz="4" w:space="0"/>
            </w:tcBorders>
            <w:shd w:val="clear" w:color="auto" w:fill="auto"/>
            <w:vAlign w:val="center"/>
          </w:tcPr>
          <w:p>
            <w:pPr>
              <w:rPr>
                <w:rFonts w:ascii="宋体" w:hAnsi="宋体" w:cs="宋体" w:eastAsiaTheme="minorEastAsia"/>
                <w:color w:val="000000"/>
                <w:kern w:val="0"/>
                <w:szCs w:val="21"/>
                <w:highlight w:val="yellow"/>
              </w:rPr>
            </w:pPr>
            <w:r>
              <w:rPr>
                <w:rFonts w:hint="eastAsia" w:ascii="宋体" w:hAnsi="宋体" w:cs="宋体" w:eastAsiaTheme="minorEastAsia"/>
                <w:color w:val="000000"/>
                <w:kern w:val="0"/>
                <w:szCs w:val="21"/>
              </w:rPr>
              <w:t>支持实验室取证装备管理功能，同时支持手动添加和自动上传各个厂商的取证装备信息</w:t>
            </w:r>
          </w:p>
        </w:tc>
        <w:tc>
          <w:tcPr>
            <w:tcW w:w="457" w:type="pct"/>
            <w:tcBorders>
              <w:top w:val="nil"/>
              <w:left w:val="nil"/>
              <w:bottom w:val="single" w:color="000000" w:sz="4" w:space="0"/>
              <w:right w:val="single" w:color="000000" w:sz="4" w:space="0"/>
            </w:tcBorders>
            <w:shd w:val="clear" w:color="auto" w:fill="auto"/>
          </w:tcPr>
          <w:p>
            <w:pPr>
              <w:jc w:val="center"/>
              <w:rPr>
                <w:rFonts w:ascii="宋体" w:hAnsi="宋体" w:cs="宋体" w:eastAsiaTheme="minorEastAsia"/>
                <w:color w:val="000000"/>
                <w:kern w:val="0"/>
                <w:szCs w:val="21"/>
              </w:rPr>
            </w:pPr>
            <w:r>
              <w:rPr>
                <w:rFonts w:hint="eastAsia" w:asciiTheme="minorEastAsia" w:hAnsiTheme="minorEastAsia" w:eastAsiaTheme="minorEastAsia" w:cstheme="minorEastAsia"/>
                <w:bCs/>
                <w:color w:val="000000"/>
                <w:kern w:val="0"/>
                <w:szCs w:val="21"/>
                <w:lang w:bidi="ar"/>
              </w:rPr>
              <w:t>/</w:t>
            </w:r>
          </w:p>
        </w:tc>
      </w:tr>
      <w:tr>
        <w:tblPrEx>
          <w:tblCellMar>
            <w:top w:w="0" w:type="dxa"/>
            <w:left w:w="108" w:type="dxa"/>
            <w:bottom w:w="0" w:type="dxa"/>
            <w:right w:w="108" w:type="dxa"/>
          </w:tblCellMar>
        </w:tblPrEx>
        <w:trPr>
          <w:trHeight w:val="227" w:hRule="atLeast"/>
        </w:trPr>
        <w:tc>
          <w:tcPr>
            <w:tcW w:w="345" w:type="pct"/>
            <w:tcBorders>
              <w:top w:val="nil"/>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10</w:t>
            </w:r>
          </w:p>
        </w:tc>
        <w:tc>
          <w:tcPr>
            <w:tcW w:w="547" w:type="pct"/>
            <w:vMerge w:val="continue"/>
            <w:tcBorders>
              <w:top w:val="nil"/>
              <w:left w:val="single" w:color="000000" w:sz="4" w:space="0"/>
              <w:bottom w:val="nil"/>
              <w:right w:val="single" w:color="000000" w:sz="4" w:space="0"/>
            </w:tcBorders>
            <w:vAlign w:val="center"/>
          </w:tcPr>
          <w:p>
            <w:pPr>
              <w:rPr>
                <w:rFonts w:ascii="宋体" w:hAnsi="宋体" w:cs="宋体" w:eastAsiaTheme="minorEastAsia"/>
                <w:color w:val="000000"/>
                <w:kern w:val="0"/>
                <w:szCs w:val="21"/>
              </w:rPr>
            </w:pPr>
          </w:p>
        </w:tc>
        <w:tc>
          <w:tcPr>
            <w:tcW w:w="3651" w:type="pct"/>
            <w:tcBorders>
              <w:top w:val="nil"/>
              <w:left w:val="nil"/>
              <w:bottom w:val="single" w:color="000000" w:sz="4" w:space="0"/>
              <w:right w:val="single" w:color="000000" w:sz="4" w:space="0"/>
            </w:tcBorders>
            <w:shd w:val="clear" w:color="auto" w:fill="auto"/>
            <w:vAlign w:val="center"/>
          </w:tcPr>
          <w:p>
            <w:pPr>
              <w:rPr>
                <w:rFonts w:ascii="宋体" w:hAnsi="宋体" w:cs="宋体" w:eastAsiaTheme="minorEastAsia"/>
                <w:color w:val="000000"/>
                <w:kern w:val="0"/>
                <w:szCs w:val="21"/>
                <w:highlight w:val="yellow"/>
              </w:rPr>
            </w:pPr>
            <w:r>
              <w:rPr>
                <w:rFonts w:hint="eastAsia" w:ascii="宋体" w:hAnsi="宋体" w:cs="宋体" w:eastAsiaTheme="minorEastAsia"/>
                <w:color w:val="000000"/>
                <w:kern w:val="0"/>
                <w:szCs w:val="21"/>
              </w:rPr>
              <w:t>支持自动或手动更新取证软件版本信息</w:t>
            </w:r>
          </w:p>
        </w:tc>
        <w:tc>
          <w:tcPr>
            <w:tcW w:w="457" w:type="pct"/>
            <w:tcBorders>
              <w:top w:val="nil"/>
              <w:left w:val="nil"/>
              <w:bottom w:val="single" w:color="000000" w:sz="4" w:space="0"/>
              <w:right w:val="single" w:color="000000" w:sz="4" w:space="0"/>
            </w:tcBorders>
            <w:shd w:val="clear" w:color="auto" w:fill="auto"/>
            <w:vAlign w:val="center"/>
          </w:tcPr>
          <w:p>
            <w:pPr>
              <w:jc w:val="center"/>
              <w:rPr>
                <w:rFonts w:ascii="宋体" w:hAnsi="宋体" w:cs="宋体" w:eastAsiaTheme="minorEastAsia"/>
                <w:color w:val="000000"/>
                <w:kern w:val="0"/>
                <w:szCs w:val="21"/>
              </w:rPr>
            </w:pPr>
            <w:r>
              <w:rPr>
                <w:rFonts w:hint="eastAsia" w:asciiTheme="minorEastAsia" w:hAnsiTheme="minorEastAsia" w:eastAsiaTheme="minorEastAsia" w:cstheme="minorEastAsia"/>
                <w:bCs/>
                <w:color w:val="000000"/>
                <w:kern w:val="0"/>
                <w:szCs w:val="21"/>
                <w:lang w:bidi="ar"/>
              </w:rPr>
              <w:t>/</w:t>
            </w:r>
          </w:p>
        </w:tc>
      </w:tr>
      <w:tr>
        <w:tblPrEx>
          <w:tblCellMar>
            <w:top w:w="0" w:type="dxa"/>
            <w:left w:w="108" w:type="dxa"/>
            <w:bottom w:w="0" w:type="dxa"/>
            <w:right w:w="108" w:type="dxa"/>
          </w:tblCellMar>
        </w:tblPrEx>
        <w:trPr>
          <w:trHeight w:val="110" w:hRule="atLeast"/>
        </w:trPr>
        <w:tc>
          <w:tcPr>
            <w:tcW w:w="345" w:type="pct"/>
            <w:tcBorders>
              <w:top w:val="nil"/>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11</w:t>
            </w:r>
          </w:p>
        </w:tc>
        <w:tc>
          <w:tcPr>
            <w:tcW w:w="54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系统与用户管理能力</w:t>
            </w:r>
          </w:p>
        </w:tc>
        <w:tc>
          <w:tcPr>
            <w:tcW w:w="3651" w:type="pct"/>
            <w:tcBorders>
              <w:top w:val="single" w:color="000000" w:sz="4" w:space="0"/>
              <w:left w:val="nil"/>
              <w:bottom w:val="single" w:color="000000" w:sz="4" w:space="0"/>
              <w:right w:val="single" w:color="000000" w:sz="4" w:space="0"/>
            </w:tcBorders>
            <w:shd w:val="clear" w:color="auto" w:fill="auto"/>
            <w:vAlign w:val="center"/>
          </w:tcPr>
          <w:p>
            <w:pPr>
              <w:rPr>
                <w:rFonts w:ascii="宋体" w:hAnsi="宋体" w:cs="宋体" w:eastAsiaTheme="minorEastAsia"/>
                <w:color w:val="000000"/>
                <w:kern w:val="0"/>
                <w:szCs w:val="21"/>
                <w:highlight w:val="yellow"/>
              </w:rPr>
            </w:pPr>
            <w:r>
              <w:rPr>
                <w:rFonts w:hint="eastAsia" w:ascii="宋体" w:hAnsi="宋体" w:cs="宋体" w:eastAsiaTheme="minorEastAsia"/>
                <w:color w:val="000000"/>
                <w:kern w:val="0"/>
                <w:szCs w:val="21"/>
              </w:rPr>
              <w:t>支持实验室人员管理，包含新增、编辑、删除</w:t>
            </w:r>
          </w:p>
        </w:tc>
        <w:tc>
          <w:tcPr>
            <w:tcW w:w="457" w:type="pct"/>
            <w:tcBorders>
              <w:top w:val="nil"/>
              <w:left w:val="nil"/>
              <w:bottom w:val="single" w:color="000000" w:sz="4" w:space="0"/>
              <w:right w:val="single" w:color="000000" w:sz="4" w:space="0"/>
            </w:tcBorders>
            <w:shd w:val="clear" w:color="auto" w:fill="auto"/>
          </w:tcPr>
          <w:p>
            <w:pPr>
              <w:jc w:val="center"/>
              <w:rPr>
                <w:rFonts w:ascii="宋体" w:hAnsi="宋体" w:cs="宋体" w:eastAsiaTheme="minorEastAsia"/>
                <w:color w:val="000000"/>
                <w:kern w:val="0"/>
                <w:szCs w:val="21"/>
              </w:rPr>
            </w:pPr>
            <w:r>
              <w:rPr>
                <w:rFonts w:hint="eastAsia" w:asciiTheme="minorEastAsia" w:hAnsiTheme="minorEastAsia" w:eastAsiaTheme="minorEastAsia" w:cstheme="minorEastAsia"/>
                <w:bCs/>
                <w:color w:val="000000"/>
                <w:kern w:val="0"/>
                <w:szCs w:val="21"/>
                <w:lang w:bidi="ar"/>
              </w:rPr>
              <w:t>/</w:t>
            </w:r>
          </w:p>
        </w:tc>
      </w:tr>
      <w:tr>
        <w:tblPrEx>
          <w:tblCellMar>
            <w:top w:w="0" w:type="dxa"/>
            <w:left w:w="108" w:type="dxa"/>
            <w:bottom w:w="0" w:type="dxa"/>
            <w:right w:w="108" w:type="dxa"/>
          </w:tblCellMar>
        </w:tblPrEx>
        <w:trPr>
          <w:trHeight w:val="129" w:hRule="atLeast"/>
        </w:trPr>
        <w:tc>
          <w:tcPr>
            <w:tcW w:w="345" w:type="pct"/>
            <w:tcBorders>
              <w:top w:val="nil"/>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12</w:t>
            </w:r>
          </w:p>
        </w:tc>
        <w:tc>
          <w:tcPr>
            <w:tcW w:w="547" w:type="pct"/>
            <w:vMerge w:val="continue"/>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eastAsiaTheme="minorEastAsia"/>
                <w:color w:val="000000"/>
                <w:kern w:val="0"/>
                <w:szCs w:val="21"/>
              </w:rPr>
            </w:pPr>
          </w:p>
        </w:tc>
        <w:tc>
          <w:tcPr>
            <w:tcW w:w="3651" w:type="pct"/>
            <w:tcBorders>
              <w:top w:val="nil"/>
              <w:left w:val="nil"/>
              <w:bottom w:val="single" w:color="000000" w:sz="4" w:space="0"/>
              <w:right w:val="single" w:color="000000" w:sz="4" w:space="0"/>
            </w:tcBorders>
            <w:shd w:val="clear" w:color="auto" w:fill="auto"/>
            <w:vAlign w:val="center"/>
          </w:tcPr>
          <w:p>
            <w:pPr>
              <w:rPr>
                <w:rFonts w:ascii="宋体" w:hAnsi="宋体" w:cs="宋体" w:eastAsiaTheme="minorEastAsia"/>
                <w:color w:val="000000"/>
                <w:kern w:val="0"/>
                <w:szCs w:val="21"/>
              </w:rPr>
            </w:pPr>
            <w:r>
              <w:rPr>
                <w:rFonts w:hint="eastAsia" w:ascii="宋体" w:hAnsi="宋体" w:cs="宋体" w:eastAsiaTheme="minorEastAsia"/>
                <w:color w:val="000000"/>
                <w:kern w:val="0"/>
                <w:szCs w:val="21"/>
              </w:rPr>
              <w:t>支持角色管理和权限的自定义配置</w:t>
            </w:r>
          </w:p>
        </w:tc>
        <w:tc>
          <w:tcPr>
            <w:tcW w:w="457" w:type="pct"/>
            <w:tcBorders>
              <w:top w:val="nil"/>
              <w:left w:val="nil"/>
              <w:bottom w:val="single" w:color="000000" w:sz="4" w:space="0"/>
              <w:right w:val="single" w:color="000000" w:sz="4" w:space="0"/>
            </w:tcBorders>
            <w:shd w:val="clear" w:color="auto" w:fill="auto"/>
          </w:tcPr>
          <w:p>
            <w:pPr>
              <w:jc w:val="center"/>
              <w:rPr>
                <w:rFonts w:ascii="宋体" w:hAnsi="宋体" w:cs="宋体" w:eastAsiaTheme="minorEastAsia"/>
                <w:color w:val="000000"/>
                <w:kern w:val="0"/>
                <w:szCs w:val="21"/>
              </w:rPr>
            </w:pPr>
            <w:r>
              <w:rPr>
                <w:rFonts w:hint="eastAsia" w:asciiTheme="minorEastAsia" w:hAnsiTheme="minorEastAsia" w:eastAsiaTheme="minorEastAsia" w:cstheme="minorEastAsia"/>
                <w:bCs/>
                <w:color w:val="000000"/>
                <w:kern w:val="0"/>
                <w:szCs w:val="21"/>
                <w:lang w:bidi="ar"/>
              </w:rPr>
              <w:t>/</w:t>
            </w:r>
          </w:p>
        </w:tc>
      </w:tr>
      <w:tr>
        <w:tblPrEx>
          <w:tblCellMar>
            <w:top w:w="0" w:type="dxa"/>
            <w:left w:w="108" w:type="dxa"/>
            <w:bottom w:w="0" w:type="dxa"/>
            <w:right w:w="108" w:type="dxa"/>
          </w:tblCellMar>
        </w:tblPrEx>
        <w:trPr>
          <w:trHeight w:val="90" w:hRule="atLeast"/>
        </w:trPr>
        <w:tc>
          <w:tcPr>
            <w:tcW w:w="345" w:type="pct"/>
            <w:tcBorders>
              <w:top w:val="nil"/>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13</w:t>
            </w:r>
          </w:p>
        </w:tc>
        <w:tc>
          <w:tcPr>
            <w:tcW w:w="547" w:type="pct"/>
            <w:vMerge w:val="continue"/>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eastAsiaTheme="minorEastAsia"/>
                <w:color w:val="000000"/>
                <w:kern w:val="0"/>
                <w:szCs w:val="21"/>
              </w:rPr>
            </w:pPr>
          </w:p>
        </w:tc>
        <w:tc>
          <w:tcPr>
            <w:tcW w:w="3651" w:type="pct"/>
            <w:tcBorders>
              <w:top w:val="nil"/>
              <w:left w:val="nil"/>
              <w:bottom w:val="single" w:color="000000" w:sz="4" w:space="0"/>
              <w:right w:val="single" w:color="000000" w:sz="4" w:space="0"/>
            </w:tcBorders>
            <w:shd w:val="clear" w:color="auto" w:fill="auto"/>
            <w:vAlign w:val="center"/>
          </w:tcPr>
          <w:p>
            <w:pPr>
              <w:rPr>
                <w:rFonts w:ascii="宋体" w:hAnsi="宋体" w:cs="宋体" w:eastAsiaTheme="minorEastAsia"/>
                <w:color w:val="000000"/>
                <w:kern w:val="0"/>
                <w:szCs w:val="21"/>
              </w:rPr>
            </w:pPr>
            <w:r>
              <w:rPr>
                <w:rFonts w:hint="eastAsia" w:ascii="宋体" w:hAnsi="宋体" w:cs="宋体" w:eastAsiaTheme="minorEastAsia"/>
                <w:color w:val="000000"/>
                <w:kern w:val="0"/>
                <w:szCs w:val="21"/>
              </w:rPr>
              <w:t>支持用户密码重置功能</w:t>
            </w:r>
          </w:p>
        </w:tc>
        <w:tc>
          <w:tcPr>
            <w:tcW w:w="457" w:type="pct"/>
            <w:tcBorders>
              <w:top w:val="nil"/>
              <w:left w:val="nil"/>
              <w:bottom w:val="single" w:color="000000" w:sz="4" w:space="0"/>
              <w:right w:val="single" w:color="000000" w:sz="4" w:space="0"/>
            </w:tcBorders>
            <w:shd w:val="clear" w:color="auto" w:fill="auto"/>
          </w:tcPr>
          <w:p>
            <w:pPr>
              <w:jc w:val="center"/>
              <w:rPr>
                <w:rFonts w:ascii="宋体" w:hAnsi="宋体" w:cs="宋体" w:eastAsiaTheme="minorEastAsia"/>
                <w:color w:val="000000"/>
                <w:kern w:val="0"/>
                <w:szCs w:val="21"/>
              </w:rPr>
            </w:pPr>
            <w:r>
              <w:rPr>
                <w:rFonts w:hint="eastAsia" w:asciiTheme="minorEastAsia" w:hAnsiTheme="minorEastAsia" w:eastAsiaTheme="minorEastAsia" w:cstheme="minorEastAsia"/>
                <w:bCs/>
                <w:color w:val="000000"/>
                <w:kern w:val="0"/>
                <w:szCs w:val="21"/>
                <w:lang w:bidi="ar"/>
              </w:rPr>
              <w:t>/</w:t>
            </w:r>
          </w:p>
        </w:tc>
      </w:tr>
      <w:tr>
        <w:tblPrEx>
          <w:tblCellMar>
            <w:top w:w="0" w:type="dxa"/>
            <w:left w:w="108" w:type="dxa"/>
            <w:bottom w:w="0" w:type="dxa"/>
            <w:right w:w="108" w:type="dxa"/>
          </w:tblCellMar>
        </w:tblPrEx>
        <w:trPr>
          <w:trHeight w:val="154" w:hRule="atLeast"/>
        </w:trPr>
        <w:tc>
          <w:tcPr>
            <w:tcW w:w="345" w:type="pct"/>
            <w:tcBorders>
              <w:top w:val="nil"/>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14</w:t>
            </w:r>
          </w:p>
        </w:tc>
        <w:tc>
          <w:tcPr>
            <w:tcW w:w="547" w:type="pct"/>
            <w:vMerge w:val="continue"/>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eastAsiaTheme="minorEastAsia"/>
                <w:color w:val="000000"/>
                <w:kern w:val="0"/>
                <w:szCs w:val="21"/>
              </w:rPr>
            </w:pPr>
          </w:p>
        </w:tc>
        <w:tc>
          <w:tcPr>
            <w:tcW w:w="3651" w:type="pct"/>
            <w:tcBorders>
              <w:top w:val="nil"/>
              <w:left w:val="nil"/>
              <w:bottom w:val="single" w:color="000000" w:sz="4" w:space="0"/>
              <w:right w:val="single" w:color="000000" w:sz="4" w:space="0"/>
            </w:tcBorders>
            <w:shd w:val="clear" w:color="auto" w:fill="auto"/>
            <w:vAlign w:val="center"/>
          </w:tcPr>
          <w:p>
            <w:pPr>
              <w:rPr>
                <w:rFonts w:ascii="宋体" w:hAnsi="宋体" w:cs="宋体" w:eastAsiaTheme="minorEastAsia"/>
                <w:color w:val="000000"/>
                <w:kern w:val="0"/>
                <w:szCs w:val="21"/>
              </w:rPr>
            </w:pPr>
            <w:r>
              <w:rPr>
                <w:rFonts w:hint="eastAsia" w:ascii="宋体" w:hAnsi="宋体" w:cs="宋体" w:eastAsiaTheme="minorEastAsia"/>
                <w:color w:val="000000"/>
                <w:kern w:val="0"/>
                <w:szCs w:val="21"/>
              </w:rPr>
              <w:t>支持记录操作使用人员的操作日志</w:t>
            </w:r>
          </w:p>
        </w:tc>
        <w:tc>
          <w:tcPr>
            <w:tcW w:w="457" w:type="pct"/>
            <w:tcBorders>
              <w:top w:val="nil"/>
              <w:left w:val="nil"/>
              <w:bottom w:val="single" w:color="000000" w:sz="4" w:space="0"/>
              <w:right w:val="single" w:color="000000" w:sz="4" w:space="0"/>
            </w:tcBorders>
            <w:shd w:val="clear" w:color="auto" w:fill="auto"/>
          </w:tcPr>
          <w:p>
            <w:pPr>
              <w:jc w:val="center"/>
              <w:rPr>
                <w:rFonts w:ascii="宋体" w:hAnsi="宋体" w:cs="宋体" w:eastAsiaTheme="minorEastAsia"/>
                <w:color w:val="000000"/>
                <w:kern w:val="0"/>
                <w:szCs w:val="21"/>
              </w:rPr>
            </w:pPr>
            <w:r>
              <w:rPr>
                <w:rFonts w:hint="eastAsia" w:asciiTheme="minorEastAsia" w:hAnsiTheme="minorEastAsia" w:eastAsiaTheme="minorEastAsia" w:cstheme="minorEastAsia"/>
                <w:bCs/>
                <w:color w:val="000000"/>
                <w:kern w:val="0"/>
                <w:szCs w:val="21"/>
                <w:lang w:bidi="ar"/>
              </w:rPr>
              <w:t>/</w:t>
            </w:r>
          </w:p>
        </w:tc>
      </w:tr>
      <w:tr>
        <w:tblPrEx>
          <w:tblCellMar>
            <w:top w:w="0" w:type="dxa"/>
            <w:left w:w="108" w:type="dxa"/>
            <w:bottom w:w="0" w:type="dxa"/>
            <w:right w:w="108" w:type="dxa"/>
          </w:tblCellMar>
        </w:tblPrEx>
        <w:trPr>
          <w:trHeight w:val="188" w:hRule="atLeast"/>
        </w:trPr>
        <w:tc>
          <w:tcPr>
            <w:tcW w:w="345" w:type="pct"/>
            <w:tcBorders>
              <w:top w:val="nil"/>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15</w:t>
            </w:r>
          </w:p>
        </w:tc>
        <w:tc>
          <w:tcPr>
            <w:tcW w:w="547" w:type="pct"/>
            <w:vMerge w:val="continue"/>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eastAsiaTheme="minorEastAsia"/>
                <w:color w:val="000000"/>
                <w:kern w:val="0"/>
                <w:szCs w:val="21"/>
              </w:rPr>
            </w:pPr>
          </w:p>
        </w:tc>
        <w:tc>
          <w:tcPr>
            <w:tcW w:w="3651" w:type="pct"/>
            <w:tcBorders>
              <w:top w:val="nil"/>
              <w:left w:val="nil"/>
              <w:bottom w:val="single" w:color="000000" w:sz="4" w:space="0"/>
              <w:right w:val="single" w:color="000000" w:sz="4" w:space="0"/>
            </w:tcBorders>
            <w:shd w:val="clear" w:color="auto" w:fill="auto"/>
            <w:vAlign w:val="center"/>
          </w:tcPr>
          <w:p>
            <w:pPr>
              <w:rPr>
                <w:rFonts w:ascii="宋体" w:hAnsi="宋体" w:cs="宋体" w:eastAsiaTheme="minorEastAsia"/>
                <w:color w:val="000000"/>
                <w:kern w:val="0"/>
                <w:szCs w:val="21"/>
              </w:rPr>
            </w:pPr>
            <w:r>
              <w:rPr>
                <w:rFonts w:hint="eastAsia" w:ascii="宋体" w:hAnsi="宋体" w:cs="宋体" w:eastAsiaTheme="minorEastAsia"/>
                <w:color w:val="000000"/>
                <w:kern w:val="0"/>
                <w:szCs w:val="21"/>
              </w:rPr>
              <w:t>支持多个用户可以同时登录系统</w:t>
            </w:r>
          </w:p>
        </w:tc>
        <w:tc>
          <w:tcPr>
            <w:tcW w:w="457" w:type="pct"/>
            <w:tcBorders>
              <w:top w:val="nil"/>
              <w:left w:val="nil"/>
              <w:bottom w:val="single" w:color="000000" w:sz="4" w:space="0"/>
              <w:right w:val="single" w:color="000000" w:sz="4" w:space="0"/>
            </w:tcBorders>
            <w:shd w:val="clear" w:color="auto" w:fill="auto"/>
          </w:tcPr>
          <w:p>
            <w:pPr>
              <w:jc w:val="center"/>
              <w:rPr>
                <w:rFonts w:ascii="宋体" w:hAnsi="宋体" w:cs="宋体" w:eastAsiaTheme="minorEastAsia"/>
                <w:color w:val="000000"/>
                <w:kern w:val="0"/>
                <w:szCs w:val="21"/>
              </w:rPr>
            </w:pPr>
            <w:r>
              <w:rPr>
                <w:rFonts w:hint="eastAsia" w:asciiTheme="minorEastAsia" w:hAnsiTheme="minorEastAsia" w:eastAsiaTheme="minorEastAsia" w:cstheme="minorEastAsia"/>
                <w:bCs/>
                <w:color w:val="000000"/>
                <w:kern w:val="0"/>
                <w:szCs w:val="21"/>
                <w:lang w:bidi="ar"/>
              </w:rPr>
              <w:t>/</w:t>
            </w:r>
          </w:p>
        </w:tc>
      </w:tr>
    </w:tbl>
    <w:p>
      <w:pPr>
        <w:pStyle w:val="5"/>
        <w:spacing w:before="15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w:t>
      </w:r>
      <w:r>
        <w:rPr>
          <w:rFonts w:asciiTheme="minorEastAsia" w:hAnsiTheme="minorEastAsia" w:eastAsiaTheme="minorEastAsia" w:cstheme="minorEastAsia"/>
          <w:szCs w:val="21"/>
        </w:rPr>
        <w:t>4</w:t>
      </w:r>
      <w:r>
        <w:rPr>
          <w:rFonts w:hint="eastAsia" w:asciiTheme="minorEastAsia" w:hAnsiTheme="minorEastAsia" w:eastAsiaTheme="minorEastAsia" w:cstheme="minorEastAsia"/>
          <w:szCs w:val="21"/>
        </w:rPr>
        <w:t>包手机取证塔</w:t>
      </w:r>
      <w:r>
        <w:rPr>
          <w:rFonts w:hint="default" w:ascii="Times New Roman" w:hAnsi="Times New Roman" w:cs="Times New Roman" w:eastAsiaTheme="minorEastAsia"/>
          <w:szCs w:val="21"/>
        </w:rPr>
        <w:t>Ⅳ</w:t>
      </w:r>
    </w:p>
    <w:tbl>
      <w:tblPr>
        <w:tblStyle w:val="81"/>
        <w:tblW w:w="52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8"/>
        <w:gridCol w:w="1547"/>
        <w:gridCol w:w="5298"/>
        <w:gridCol w:w="1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3"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
                <w:szCs w:val="21"/>
              </w:rPr>
            </w:pPr>
            <w:r>
              <w:rPr>
                <w:rFonts w:hint="eastAsia" w:ascii="Times New Roman" w:hAnsi="Times New Roman" w:eastAsiaTheme="minorEastAsia"/>
                <w:b/>
                <w:szCs w:val="21"/>
              </w:rPr>
              <w:t>序号</w:t>
            </w:r>
          </w:p>
        </w:tc>
        <w:tc>
          <w:tcPr>
            <w:tcW w:w="857"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b/>
                <w:szCs w:val="21"/>
              </w:rPr>
            </w:pPr>
            <w:r>
              <w:rPr>
                <w:rFonts w:hint="eastAsia" w:ascii="Times New Roman" w:hAnsi="Times New Roman" w:eastAsiaTheme="minorEastAsia"/>
                <w:b/>
                <w:szCs w:val="21"/>
              </w:rPr>
              <w:t>指标项</w:t>
            </w:r>
          </w:p>
        </w:tc>
        <w:tc>
          <w:tcPr>
            <w:tcW w:w="2934" w:type="pct"/>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szCs w:val="21"/>
              </w:rPr>
            </w:pPr>
            <w:r>
              <w:rPr>
                <w:rFonts w:hint="eastAsia" w:ascii="Times New Roman" w:hAnsi="Times New Roman" w:eastAsiaTheme="minorEastAsia"/>
                <w:b/>
                <w:szCs w:val="21"/>
              </w:rPr>
              <w:t>指标要求</w:t>
            </w:r>
          </w:p>
        </w:tc>
        <w:tc>
          <w:tcPr>
            <w:tcW w:w="806"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b/>
                <w:szCs w:val="21"/>
              </w:rPr>
            </w:pPr>
            <w:r>
              <w:rPr>
                <w:rFonts w:hint="eastAsia" w:ascii="Times New Roman" w:hAnsi="Times New Roman" w:eastAsiaTheme="minorEastAsia"/>
                <w:b/>
                <w:szCs w:val="21"/>
              </w:rPr>
              <w:t>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3"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6"/>
              </w:numPr>
              <w:jc w:val="center"/>
              <w:rPr>
                <w:rFonts w:ascii="Times New Roman" w:hAnsi="Times New Roman" w:eastAsiaTheme="minorEastAsia"/>
                <w:b/>
                <w:szCs w:val="21"/>
              </w:rPr>
            </w:pPr>
          </w:p>
        </w:tc>
        <w:tc>
          <w:tcPr>
            <w:tcW w:w="857"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b/>
                <w:szCs w:val="21"/>
              </w:rPr>
            </w:pPr>
            <w:r>
              <w:rPr>
                <w:rFonts w:hint="eastAsia" w:ascii="Times New Roman" w:hAnsi="Times New Roman" w:eastAsiaTheme="minorEastAsia"/>
                <w:b/>
                <w:szCs w:val="21"/>
              </w:rPr>
              <w:t>硬件要求</w:t>
            </w:r>
          </w:p>
        </w:tc>
        <w:tc>
          <w:tcPr>
            <w:tcW w:w="2934" w:type="pct"/>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szCs w:val="21"/>
              </w:rPr>
            </w:pPr>
            <w:r>
              <w:rPr>
                <w:rFonts w:hint="eastAsia" w:eastAsiaTheme="minorEastAsia"/>
                <w:szCs w:val="21"/>
              </w:rPr>
              <w:t>处理器：不低于</w:t>
            </w:r>
            <w:r>
              <w:rPr>
                <w:rFonts w:eastAsiaTheme="minorEastAsia"/>
                <w:szCs w:val="21"/>
              </w:rPr>
              <w:t>3.2GHz</w:t>
            </w:r>
            <w:r>
              <w:rPr>
                <w:rFonts w:hint="eastAsia" w:eastAsiaTheme="minorEastAsia"/>
                <w:szCs w:val="21"/>
              </w:rPr>
              <w:t>主频</w:t>
            </w:r>
            <w:r>
              <w:rPr>
                <w:rFonts w:eastAsiaTheme="minorEastAsia"/>
                <w:szCs w:val="21"/>
              </w:rPr>
              <w:t>10</w:t>
            </w:r>
            <w:r>
              <w:rPr>
                <w:rFonts w:hint="eastAsia" w:eastAsiaTheme="minorEastAsia"/>
                <w:szCs w:val="21"/>
              </w:rPr>
              <w:t>纳米制程工艺</w:t>
            </w:r>
            <w:r>
              <w:rPr>
                <w:rFonts w:eastAsiaTheme="minorEastAsia"/>
                <w:szCs w:val="21"/>
              </w:rPr>
              <w:t>16</w:t>
            </w:r>
            <w:r>
              <w:rPr>
                <w:rFonts w:hint="eastAsia" w:eastAsiaTheme="minorEastAsia"/>
                <w:szCs w:val="21"/>
              </w:rPr>
              <w:t>核心</w:t>
            </w:r>
            <w:r>
              <w:rPr>
                <w:rFonts w:eastAsiaTheme="minorEastAsia"/>
                <w:szCs w:val="21"/>
              </w:rPr>
              <w:t>24</w:t>
            </w:r>
            <w:r>
              <w:rPr>
                <w:rFonts w:hint="eastAsia" w:eastAsiaTheme="minorEastAsia"/>
                <w:szCs w:val="21"/>
              </w:rPr>
              <w:t>线程处理器；</w:t>
            </w:r>
          </w:p>
          <w:p>
            <w:pPr>
              <w:rPr>
                <w:rFonts w:eastAsiaTheme="minorEastAsia"/>
                <w:szCs w:val="21"/>
              </w:rPr>
            </w:pPr>
            <w:r>
              <w:rPr>
                <w:rFonts w:hint="eastAsia" w:eastAsiaTheme="minorEastAsia"/>
                <w:szCs w:val="21"/>
              </w:rPr>
              <w:t>内存：不低于</w:t>
            </w:r>
            <w:r>
              <w:rPr>
                <w:rFonts w:eastAsiaTheme="minorEastAsia"/>
                <w:szCs w:val="21"/>
              </w:rPr>
              <w:t>5</w:t>
            </w:r>
            <w:r>
              <w:rPr>
                <w:rFonts w:hint="eastAsia" w:eastAsiaTheme="minorEastAsia"/>
                <w:szCs w:val="21"/>
              </w:rPr>
              <w:t>代临时物理存储</w:t>
            </w:r>
            <w:r>
              <w:rPr>
                <w:rFonts w:eastAsiaTheme="minorEastAsia"/>
                <w:szCs w:val="21"/>
              </w:rPr>
              <w:t>64GB</w:t>
            </w:r>
            <w:r>
              <w:rPr>
                <w:rFonts w:hint="eastAsia" w:eastAsiaTheme="minorEastAsia"/>
                <w:szCs w:val="21"/>
              </w:rPr>
              <w:t>；</w:t>
            </w:r>
          </w:p>
          <w:p>
            <w:pPr>
              <w:rPr>
                <w:rFonts w:eastAsiaTheme="minorEastAsia"/>
                <w:szCs w:val="21"/>
              </w:rPr>
            </w:pPr>
            <w:r>
              <w:rPr>
                <w:rFonts w:hint="eastAsia" w:eastAsiaTheme="minorEastAsia"/>
                <w:szCs w:val="21"/>
              </w:rPr>
              <w:t>存储：不低于</w:t>
            </w:r>
            <w:r>
              <w:rPr>
                <w:rFonts w:eastAsiaTheme="minorEastAsia"/>
                <w:szCs w:val="21"/>
              </w:rPr>
              <w:t>8TSSD+18THDD</w:t>
            </w:r>
            <w:r>
              <w:rPr>
                <w:rFonts w:hint="eastAsia" w:eastAsiaTheme="minorEastAsia"/>
                <w:szCs w:val="21"/>
              </w:rPr>
              <w:t>硬盘</w:t>
            </w:r>
          </w:p>
          <w:p>
            <w:pPr>
              <w:rPr>
                <w:rFonts w:eastAsiaTheme="minorEastAsia"/>
                <w:szCs w:val="21"/>
              </w:rPr>
            </w:pPr>
            <w:r>
              <w:rPr>
                <w:rFonts w:hint="eastAsia" w:eastAsiaTheme="minorEastAsia"/>
                <w:szCs w:val="21"/>
              </w:rPr>
              <w:t>显卡：不低于主频</w:t>
            </w:r>
            <w:r>
              <w:rPr>
                <w:rFonts w:eastAsiaTheme="minorEastAsia"/>
                <w:szCs w:val="21"/>
              </w:rPr>
              <w:t>2460MHz</w:t>
            </w:r>
            <w:r>
              <w:rPr>
                <w:rFonts w:hint="eastAsia" w:eastAsiaTheme="minorEastAsia"/>
                <w:szCs w:val="21"/>
              </w:rPr>
              <w:t>，显存频率不低于</w:t>
            </w:r>
            <w:r>
              <w:rPr>
                <w:rFonts w:eastAsiaTheme="minorEastAsia"/>
                <w:szCs w:val="21"/>
              </w:rPr>
              <w:t>17000MHz</w:t>
            </w:r>
            <w:r>
              <w:rPr>
                <w:rFonts w:hint="eastAsia" w:eastAsiaTheme="minorEastAsia"/>
                <w:szCs w:val="21"/>
              </w:rPr>
              <w:t>显存不低于</w:t>
            </w:r>
            <w:r>
              <w:rPr>
                <w:rFonts w:eastAsiaTheme="minorEastAsia"/>
                <w:szCs w:val="21"/>
              </w:rPr>
              <w:t>8GB</w:t>
            </w:r>
            <w:r>
              <w:rPr>
                <w:rFonts w:hint="eastAsia" w:eastAsiaTheme="minorEastAsia"/>
                <w:szCs w:val="21"/>
              </w:rPr>
              <w:t>，</w:t>
            </w:r>
          </w:p>
          <w:p>
            <w:pPr>
              <w:rPr>
                <w:rFonts w:eastAsiaTheme="minorEastAsia"/>
                <w:szCs w:val="21"/>
              </w:rPr>
            </w:pPr>
            <w:r>
              <w:rPr>
                <w:rFonts w:hint="eastAsia" w:eastAsiaTheme="minorEastAsia"/>
                <w:szCs w:val="21"/>
              </w:rPr>
              <w:t>显示器：不低于</w:t>
            </w:r>
            <w:r>
              <w:rPr>
                <w:rFonts w:eastAsiaTheme="minorEastAsia"/>
                <w:szCs w:val="21"/>
              </w:rPr>
              <w:t>1</w:t>
            </w:r>
            <w:r>
              <w:rPr>
                <w:rFonts w:hint="eastAsia" w:eastAsiaTheme="minorEastAsia"/>
                <w:szCs w:val="21"/>
              </w:rPr>
              <w:t>个</w:t>
            </w:r>
            <w:r>
              <w:rPr>
                <w:rFonts w:eastAsiaTheme="minorEastAsia"/>
                <w:szCs w:val="21"/>
              </w:rPr>
              <w:t>34</w:t>
            </w:r>
            <w:r>
              <w:rPr>
                <w:rFonts w:hint="eastAsia" w:eastAsiaTheme="minorEastAsia"/>
                <w:szCs w:val="21"/>
              </w:rPr>
              <w:t>寸</w:t>
            </w:r>
          </w:p>
          <w:p>
            <w:pPr>
              <w:rPr>
                <w:rFonts w:eastAsiaTheme="minorEastAsia"/>
                <w:szCs w:val="21"/>
              </w:rPr>
            </w:pPr>
            <w:r>
              <w:rPr>
                <w:rFonts w:hint="eastAsia" w:eastAsiaTheme="minorEastAsia"/>
                <w:szCs w:val="21"/>
              </w:rPr>
              <w:t>光驱：不少于</w:t>
            </w:r>
            <w:r>
              <w:rPr>
                <w:rFonts w:eastAsiaTheme="minorEastAsia"/>
                <w:szCs w:val="21"/>
              </w:rPr>
              <w:t>1</w:t>
            </w:r>
            <w:r>
              <w:rPr>
                <w:rFonts w:hint="eastAsia" w:eastAsiaTheme="minorEastAsia"/>
                <w:szCs w:val="21"/>
              </w:rPr>
              <w:t>个蓝光刻录机</w:t>
            </w:r>
          </w:p>
          <w:p>
            <w:pPr>
              <w:rPr>
                <w:rFonts w:eastAsiaTheme="minorEastAsia"/>
                <w:szCs w:val="21"/>
              </w:rPr>
            </w:pPr>
            <w:r>
              <w:rPr>
                <w:rFonts w:hint="eastAsia" w:eastAsiaTheme="minorEastAsia"/>
                <w:szCs w:val="21"/>
              </w:rPr>
              <w:t>接口：不少于</w:t>
            </w:r>
            <w:r>
              <w:rPr>
                <w:rFonts w:eastAsiaTheme="minorEastAsia"/>
                <w:szCs w:val="21"/>
              </w:rPr>
              <w:t>2</w:t>
            </w:r>
            <w:r>
              <w:rPr>
                <w:rFonts w:hint="eastAsia" w:eastAsiaTheme="minorEastAsia"/>
                <w:szCs w:val="21"/>
              </w:rPr>
              <w:t>个</w:t>
            </w:r>
            <w:r>
              <w:rPr>
                <w:rFonts w:eastAsiaTheme="minorEastAsia"/>
                <w:szCs w:val="21"/>
              </w:rPr>
              <w:t>3.5</w:t>
            </w:r>
            <w:r>
              <w:rPr>
                <w:rFonts w:hint="eastAsia" w:eastAsiaTheme="minorEastAsia"/>
                <w:szCs w:val="21"/>
              </w:rPr>
              <w:t>寸</w:t>
            </w:r>
            <w:r>
              <w:rPr>
                <w:rFonts w:eastAsiaTheme="minorEastAsia"/>
                <w:szCs w:val="21"/>
              </w:rPr>
              <w:t>SATA</w:t>
            </w:r>
            <w:r>
              <w:rPr>
                <w:rFonts w:hint="eastAsia" w:eastAsiaTheme="minorEastAsia"/>
                <w:szCs w:val="21"/>
              </w:rPr>
              <w:t>读写热拔插硬盘位、</w:t>
            </w:r>
            <w:r>
              <w:rPr>
                <w:rFonts w:eastAsiaTheme="minorEastAsia"/>
                <w:szCs w:val="21"/>
              </w:rPr>
              <w:t>1</w:t>
            </w:r>
            <w:r>
              <w:rPr>
                <w:rFonts w:hint="eastAsia" w:eastAsiaTheme="minorEastAsia"/>
                <w:szCs w:val="21"/>
              </w:rPr>
              <w:t>套多功能只读锁</w:t>
            </w:r>
            <w:r>
              <w:rPr>
                <w:rFonts w:eastAsiaTheme="minorEastAsia"/>
                <w:szCs w:val="21"/>
              </w:rPr>
              <w:t>(</w:t>
            </w:r>
            <w:r>
              <w:rPr>
                <w:rFonts w:hint="eastAsia" w:eastAsiaTheme="minorEastAsia"/>
                <w:szCs w:val="21"/>
              </w:rPr>
              <w:t>包括但不限于</w:t>
            </w:r>
            <w:r>
              <w:rPr>
                <w:rFonts w:eastAsiaTheme="minorEastAsia"/>
                <w:szCs w:val="21"/>
              </w:rPr>
              <w:t>PCIE</w:t>
            </w:r>
            <w:r>
              <w:rPr>
                <w:rFonts w:hint="eastAsia" w:eastAsiaTheme="minorEastAsia"/>
                <w:szCs w:val="21"/>
              </w:rPr>
              <w:t>、</w:t>
            </w:r>
            <w:r>
              <w:rPr>
                <w:rFonts w:eastAsiaTheme="minorEastAsia"/>
                <w:szCs w:val="21"/>
              </w:rPr>
              <w:t>SATA</w:t>
            </w:r>
            <w:r>
              <w:rPr>
                <w:rFonts w:hint="eastAsia" w:eastAsiaTheme="minorEastAsia"/>
                <w:szCs w:val="21"/>
              </w:rPr>
              <w:t>、</w:t>
            </w:r>
            <w:r>
              <w:rPr>
                <w:rFonts w:eastAsiaTheme="minorEastAsia"/>
                <w:szCs w:val="21"/>
              </w:rPr>
              <w:t>USB3.0</w:t>
            </w:r>
            <w:r>
              <w:rPr>
                <w:rFonts w:hint="eastAsia" w:eastAsiaTheme="minorEastAsia"/>
                <w:szCs w:val="21"/>
              </w:rPr>
              <w:t>、</w:t>
            </w:r>
            <w:r>
              <w:rPr>
                <w:rFonts w:eastAsiaTheme="minorEastAsia"/>
                <w:szCs w:val="21"/>
              </w:rPr>
              <w:t>IDE</w:t>
            </w:r>
            <w:r>
              <w:rPr>
                <w:rFonts w:hint="eastAsia" w:eastAsiaTheme="minorEastAsia"/>
                <w:szCs w:val="21"/>
              </w:rPr>
              <w:t>、读卡器</w:t>
            </w:r>
            <w:r>
              <w:rPr>
                <w:rFonts w:eastAsiaTheme="minorEastAsia"/>
                <w:szCs w:val="21"/>
              </w:rPr>
              <w:t>)</w:t>
            </w:r>
            <w:r>
              <w:rPr>
                <w:rFonts w:hint="eastAsia" w:eastAsiaTheme="minorEastAsia"/>
                <w:szCs w:val="21"/>
              </w:rPr>
              <w:t>、不少于</w:t>
            </w:r>
            <w:r>
              <w:rPr>
                <w:rFonts w:eastAsiaTheme="minorEastAsia"/>
                <w:szCs w:val="21"/>
              </w:rPr>
              <w:t>8</w:t>
            </w:r>
            <w:r>
              <w:rPr>
                <w:rFonts w:hint="eastAsia" w:eastAsiaTheme="minorEastAsia"/>
                <w:szCs w:val="21"/>
              </w:rPr>
              <w:t>个高稳定电流</w:t>
            </w:r>
            <w:r>
              <w:rPr>
                <w:rFonts w:eastAsiaTheme="minorEastAsia"/>
                <w:szCs w:val="21"/>
              </w:rPr>
              <w:t>USB3.0</w:t>
            </w:r>
          </w:p>
          <w:p>
            <w:pPr>
              <w:rPr>
                <w:rFonts w:eastAsiaTheme="minorEastAsia"/>
                <w:szCs w:val="21"/>
              </w:rPr>
            </w:pPr>
            <w:r>
              <w:rPr>
                <w:rFonts w:hint="eastAsia" w:eastAsiaTheme="minorEastAsia"/>
                <w:szCs w:val="21"/>
              </w:rPr>
              <w:t>网络：不少于</w:t>
            </w:r>
            <w:r>
              <w:rPr>
                <w:rFonts w:eastAsiaTheme="minorEastAsia"/>
                <w:szCs w:val="21"/>
              </w:rPr>
              <w:t>1</w:t>
            </w:r>
            <w:r>
              <w:rPr>
                <w:rFonts w:hint="eastAsia" w:eastAsiaTheme="minorEastAsia"/>
                <w:szCs w:val="21"/>
              </w:rPr>
              <w:t>个千兆电口</w:t>
            </w:r>
          </w:p>
          <w:p>
            <w:pPr>
              <w:rPr>
                <w:rFonts w:eastAsiaTheme="minorEastAsia"/>
                <w:szCs w:val="21"/>
              </w:rPr>
            </w:pPr>
            <w:r>
              <w:rPr>
                <w:rFonts w:eastAsiaTheme="minorEastAsia"/>
                <w:szCs w:val="21"/>
              </w:rPr>
              <w:t>WIFI</w:t>
            </w:r>
            <w:r>
              <w:rPr>
                <w:rFonts w:hint="eastAsia" w:eastAsiaTheme="minorEastAsia"/>
                <w:szCs w:val="21"/>
              </w:rPr>
              <w:t>取证：不少于</w:t>
            </w:r>
            <w:r>
              <w:rPr>
                <w:rFonts w:eastAsiaTheme="minorEastAsia"/>
                <w:szCs w:val="21"/>
              </w:rPr>
              <w:t>2</w:t>
            </w:r>
            <w:r>
              <w:rPr>
                <w:rFonts w:hint="eastAsia" w:eastAsiaTheme="minorEastAsia"/>
                <w:szCs w:val="21"/>
              </w:rPr>
              <w:t>路</w:t>
            </w:r>
            <w:r>
              <w:rPr>
                <w:rFonts w:eastAsiaTheme="minorEastAsia"/>
                <w:szCs w:val="21"/>
              </w:rPr>
              <w:t>Wi-Fi</w:t>
            </w:r>
            <w:r>
              <w:rPr>
                <w:rFonts w:hint="eastAsia" w:eastAsiaTheme="minorEastAsia"/>
                <w:szCs w:val="21"/>
              </w:rPr>
              <w:t>取证能力</w:t>
            </w:r>
          </w:p>
          <w:p>
            <w:pPr>
              <w:rPr>
                <w:rFonts w:eastAsiaTheme="minorEastAsia"/>
                <w:szCs w:val="21"/>
              </w:rPr>
            </w:pPr>
            <w:r>
              <w:rPr>
                <w:rFonts w:hint="eastAsia" w:eastAsiaTheme="minorEastAsia"/>
                <w:szCs w:val="21"/>
              </w:rPr>
              <w:t>高拍仪：不少于</w:t>
            </w:r>
            <w:r>
              <w:rPr>
                <w:rFonts w:eastAsiaTheme="minorEastAsia"/>
                <w:szCs w:val="21"/>
              </w:rPr>
              <w:t>1</w:t>
            </w:r>
            <w:r>
              <w:rPr>
                <w:rFonts w:hint="eastAsia" w:eastAsiaTheme="minorEastAsia"/>
                <w:szCs w:val="21"/>
              </w:rPr>
              <w:t>个可热拔插的高清高拍仪</w:t>
            </w:r>
          </w:p>
          <w:p>
            <w:pPr>
              <w:rPr>
                <w:rFonts w:eastAsiaTheme="minorEastAsia"/>
                <w:szCs w:val="21"/>
              </w:rPr>
            </w:pPr>
            <w:r>
              <w:rPr>
                <w:rFonts w:hint="eastAsia" w:eastAsiaTheme="minorEastAsia"/>
                <w:szCs w:val="21"/>
              </w:rPr>
              <w:t>电源：不低于</w:t>
            </w:r>
            <w:r>
              <w:rPr>
                <w:rFonts w:eastAsiaTheme="minorEastAsia"/>
                <w:szCs w:val="21"/>
              </w:rPr>
              <w:t>1000W</w:t>
            </w:r>
            <w:r>
              <w:rPr>
                <w:rFonts w:hint="eastAsia" w:eastAsiaTheme="minorEastAsia"/>
                <w:szCs w:val="21"/>
              </w:rPr>
              <w:t>高功率模组电源</w:t>
            </w:r>
          </w:p>
          <w:p>
            <w:pPr>
              <w:rPr>
                <w:rFonts w:ascii="Times New Roman" w:hAnsi="Times New Roman" w:eastAsiaTheme="minorEastAsia"/>
                <w:b/>
                <w:szCs w:val="21"/>
              </w:rPr>
            </w:pPr>
            <w:r>
              <w:rPr>
                <w:rFonts w:hint="eastAsia" w:eastAsiaTheme="minorEastAsia"/>
                <w:szCs w:val="21"/>
              </w:rPr>
              <w:t>其他：不少于</w:t>
            </w:r>
            <w:r>
              <w:rPr>
                <w:rFonts w:eastAsiaTheme="minorEastAsia"/>
                <w:szCs w:val="21"/>
              </w:rPr>
              <w:t>1</w:t>
            </w:r>
            <w:r>
              <w:rPr>
                <w:rFonts w:hint="eastAsia" w:eastAsiaTheme="minorEastAsia"/>
                <w:szCs w:val="21"/>
              </w:rPr>
              <w:t>个内置小音响、</w:t>
            </w:r>
            <w:r>
              <w:rPr>
                <w:rFonts w:eastAsiaTheme="minorEastAsia"/>
                <w:szCs w:val="21"/>
              </w:rPr>
              <w:t>1</w:t>
            </w:r>
            <w:r>
              <w:rPr>
                <w:rFonts w:hint="eastAsia" w:eastAsiaTheme="minorEastAsia"/>
                <w:szCs w:val="21"/>
              </w:rPr>
              <w:t>个</w:t>
            </w:r>
            <w:r>
              <w:rPr>
                <w:rFonts w:eastAsiaTheme="minorEastAsia"/>
                <w:szCs w:val="21"/>
              </w:rPr>
              <w:t>8.8</w:t>
            </w:r>
            <w:r>
              <w:rPr>
                <w:rFonts w:hint="eastAsia" w:eastAsiaTheme="minorEastAsia"/>
                <w:szCs w:val="21"/>
              </w:rPr>
              <w:t>英寸单点触控组态屏</w:t>
            </w:r>
          </w:p>
        </w:tc>
        <w:tc>
          <w:tcPr>
            <w:tcW w:w="806"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b/>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3"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6"/>
              </w:numPr>
              <w:jc w:val="center"/>
              <w:rPr>
                <w:rFonts w:asciiTheme="minorHAnsi" w:hAnsiTheme="minorHAnsi" w:eastAsiaTheme="minorEastAsia"/>
                <w:szCs w:val="21"/>
              </w:rPr>
            </w:pPr>
          </w:p>
        </w:tc>
        <w:tc>
          <w:tcPr>
            <w:tcW w:w="857" w:type="pct"/>
            <w:vMerge w:val="restar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移动终端分析模块</w:t>
            </w:r>
          </w:p>
        </w:tc>
        <w:tc>
          <w:tcPr>
            <w:tcW w:w="2934"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支持</w:t>
            </w:r>
            <w:r>
              <w:rPr>
                <w:rFonts w:eastAsiaTheme="minorEastAsia"/>
                <w:szCs w:val="21"/>
              </w:rPr>
              <w:t xml:space="preserve"> iOS</w:t>
            </w:r>
            <w:r>
              <w:rPr>
                <w:rFonts w:hint="eastAsia" w:eastAsiaTheme="minorEastAsia"/>
                <w:szCs w:val="21"/>
              </w:rPr>
              <w:t>、</w:t>
            </w:r>
            <w:r>
              <w:rPr>
                <w:rFonts w:eastAsiaTheme="minorEastAsia"/>
                <w:szCs w:val="21"/>
              </w:rPr>
              <w:t>Android</w:t>
            </w:r>
            <w:r>
              <w:rPr>
                <w:rFonts w:hint="eastAsia" w:eastAsiaTheme="minorEastAsia"/>
                <w:szCs w:val="21"/>
              </w:rPr>
              <w:t>、</w:t>
            </w:r>
            <w:r>
              <w:rPr>
                <w:rFonts w:eastAsiaTheme="minorEastAsia"/>
                <w:szCs w:val="21"/>
              </w:rPr>
              <w:t>Harmony</w:t>
            </w:r>
            <w:r>
              <w:rPr>
                <w:rFonts w:hint="eastAsia" w:eastAsiaTheme="minorEastAsia"/>
                <w:szCs w:val="21"/>
              </w:rPr>
              <w:t>等主流平台检材数据提取与分析</w:t>
            </w:r>
          </w:p>
        </w:tc>
        <w:tc>
          <w:tcPr>
            <w:tcW w:w="806" w:type="pct"/>
            <w:vMerge w:val="restar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3"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6"/>
              </w:numPr>
              <w:jc w:val="center"/>
              <w:rPr>
                <w:rFonts w:eastAsiaTheme="minorEastAsia"/>
                <w:szCs w:val="21"/>
              </w:rPr>
            </w:pPr>
          </w:p>
        </w:tc>
        <w:tc>
          <w:tcPr>
            <w:tcW w:w="857" w:type="pct"/>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934"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支持基本信息，包括但不限于通讯录、通话记录、短信、手机安装程序列表、钥匙串、系统日志、系统推送消息、</w:t>
            </w:r>
            <w:r>
              <w:rPr>
                <w:rFonts w:eastAsiaTheme="minorEastAsia"/>
                <w:szCs w:val="21"/>
              </w:rPr>
              <w:t>Wi-Fi</w:t>
            </w:r>
            <w:r>
              <w:rPr>
                <w:rFonts w:hint="eastAsia" w:eastAsiaTheme="minorEastAsia"/>
                <w:szCs w:val="21"/>
              </w:rPr>
              <w:t>和基站等数据解析及删除数据的恢复</w:t>
            </w:r>
          </w:p>
        </w:tc>
        <w:tc>
          <w:tcPr>
            <w:tcW w:w="806" w:type="pct"/>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3"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6"/>
              </w:numPr>
              <w:jc w:val="center"/>
              <w:rPr>
                <w:rFonts w:eastAsiaTheme="minorEastAsia"/>
                <w:szCs w:val="21"/>
              </w:rPr>
            </w:pPr>
          </w:p>
        </w:tc>
        <w:tc>
          <w:tcPr>
            <w:tcW w:w="857" w:type="pct"/>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934"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支持提取</w:t>
            </w:r>
            <w:r>
              <w:rPr>
                <w:rFonts w:eastAsiaTheme="minorEastAsia"/>
                <w:szCs w:val="21"/>
              </w:rPr>
              <w:t xml:space="preserve"> MTP </w:t>
            </w:r>
            <w:r>
              <w:rPr>
                <w:rFonts w:hint="eastAsia" w:eastAsiaTheme="minorEastAsia"/>
                <w:szCs w:val="21"/>
              </w:rPr>
              <w:t>设备（手机</w:t>
            </w:r>
            <w:r>
              <w:rPr>
                <w:rFonts w:eastAsiaTheme="minorEastAsia"/>
                <w:szCs w:val="21"/>
              </w:rPr>
              <w:t xml:space="preserve"> MTP </w:t>
            </w:r>
            <w:r>
              <w:rPr>
                <w:rFonts w:hint="eastAsia" w:eastAsiaTheme="minorEastAsia"/>
                <w:szCs w:val="21"/>
              </w:rPr>
              <w:t>模式连接、</w:t>
            </w:r>
            <w:r>
              <w:rPr>
                <w:rFonts w:eastAsiaTheme="minorEastAsia"/>
                <w:szCs w:val="21"/>
              </w:rPr>
              <w:t xml:space="preserve">U </w:t>
            </w:r>
            <w:r>
              <w:rPr>
                <w:rFonts w:hint="eastAsia" w:eastAsiaTheme="minorEastAsia"/>
                <w:szCs w:val="21"/>
              </w:rPr>
              <w:t>盘、移动硬盘、存储卡等）数据解析，支持快速导出数据并进行完整性计算</w:t>
            </w:r>
          </w:p>
        </w:tc>
        <w:tc>
          <w:tcPr>
            <w:tcW w:w="806" w:type="pct"/>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3"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6"/>
              </w:numPr>
              <w:jc w:val="center"/>
              <w:rPr>
                <w:rFonts w:eastAsiaTheme="minorEastAsia"/>
                <w:szCs w:val="21"/>
              </w:rPr>
            </w:pPr>
          </w:p>
        </w:tc>
        <w:tc>
          <w:tcPr>
            <w:tcW w:w="857" w:type="pct"/>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934"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支持</w:t>
            </w:r>
            <w:r>
              <w:rPr>
                <w:rFonts w:eastAsiaTheme="minorEastAsia"/>
                <w:szCs w:val="21"/>
              </w:rPr>
              <w:t xml:space="preserve"> SIM </w:t>
            </w:r>
            <w:r>
              <w:rPr>
                <w:rFonts w:hint="eastAsia" w:eastAsiaTheme="minorEastAsia"/>
                <w:szCs w:val="21"/>
              </w:rPr>
              <w:t>卡数据解析，包括</w:t>
            </w:r>
            <w:r>
              <w:rPr>
                <w:rFonts w:eastAsiaTheme="minorEastAsia"/>
                <w:szCs w:val="21"/>
              </w:rPr>
              <w:t xml:space="preserve"> SIM </w:t>
            </w:r>
            <w:r>
              <w:rPr>
                <w:rFonts w:hint="eastAsia" w:eastAsiaTheme="minorEastAsia"/>
                <w:szCs w:val="21"/>
              </w:rPr>
              <w:t>卡信息、通讯录、短信等</w:t>
            </w:r>
          </w:p>
        </w:tc>
        <w:tc>
          <w:tcPr>
            <w:tcW w:w="806" w:type="pct"/>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3"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6"/>
              </w:numPr>
              <w:jc w:val="center"/>
              <w:rPr>
                <w:rFonts w:eastAsiaTheme="minorEastAsia"/>
                <w:szCs w:val="21"/>
              </w:rPr>
            </w:pPr>
          </w:p>
        </w:tc>
        <w:tc>
          <w:tcPr>
            <w:tcW w:w="857" w:type="pct"/>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934"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支持三星、华为</w:t>
            </w:r>
            <w:r>
              <w:rPr>
                <w:rFonts w:eastAsiaTheme="minorEastAsia"/>
                <w:szCs w:val="21"/>
              </w:rPr>
              <w:t>OTG</w:t>
            </w:r>
            <w:r>
              <w:rPr>
                <w:rFonts w:hint="eastAsia" w:eastAsiaTheme="minorEastAsia"/>
                <w:szCs w:val="21"/>
              </w:rPr>
              <w:t>备份功能</w:t>
            </w:r>
          </w:p>
        </w:tc>
        <w:tc>
          <w:tcPr>
            <w:tcW w:w="806" w:type="pct"/>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3"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6"/>
              </w:numPr>
              <w:jc w:val="center"/>
              <w:rPr>
                <w:rFonts w:eastAsiaTheme="minorEastAsia"/>
                <w:szCs w:val="21"/>
              </w:rPr>
            </w:pPr>
          </w:p>
        </w:tc>
        <w:tc>
          <w:tcPr>
            <w:tcW w:w="857" w:type="pct"/>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934"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支持华为鸿蒙系统</w:t>
            </w:r>
            <w:r>
              <w:rPr>
                <w:rFonts w:eastAsiaTheme="minorEastAsia"/>
                <w:szCs w:val="21"/>
              </w:rPr>
              <w:t>2.0</w:t>
            </w:r>
            <w:r>
              <w:rPr>
                <w:rFonts w:hint="eastAsia" w:eastAsiaTheme="minorEastAsia"/>
                <w:szCs w:val="21"/>
              </w:rPr>
              <w:t>和</w:t>
            </w:r>
            <w:r>
              <w:rPr>
                <w:rFonts w:eastAsiaTheme="minorEastAsia"/>
                <w:szCs w:val="21"/>
              </w:rPr>
              <w:t xml:space="preserve"> Android 6.0 </w:t>
            </w:r>
            <w:r>
              <w:rPr>
                <w:rFonts w:hint="eastAsia" w:eastAsiaTheme="minorEastAsia"/>
                <w:szCs w:val="21"/>
              </w:rPr>
              <w:t>及以上系统手机高级备份和手机克隆提取</w:t>
            </w:r>
          </w:p>
        </w:tc>
        <w:tc>
          <w:tcPr>
            <w:tcW w:w="806" w:type="pct"/>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3"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6"/>
              </w:numPr>
              <w:jc w:val="center"/>
              <w:rPr>
                <w:rFonts w:eastAsiaTheme="minorEastAsia"/>
                <w:szCs w:val="21"/>
              </w:rPr>
            </w:pPr>
          </w:p>
        </w:tc>
        <w:tc>
          <w:tcPr>
            <w:tcW w:w="857" w:type="pct"/>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934"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支持</w:t>
            </w:r>
            <w:r>
              <w:rPr>
                <w:rFonts w:eastAsiaTheme="minorEastAsia"/>
                <w:szCs w:val="21"/>
              </w:rPr>
              <w:t xml:space="preserve"> MIUI9.0 </w:t>
            </w:r>
            <w:r>
              <w:rPr>
                <w:rFonts w:hint="eastAsia" w:eastAsiaTheme="minorEastAsia"/>
                <w:szCs w:val="21"/>
              </w:rPr>
              <w:t>及以上系统手机高级备份和换机提取</w:t>
            </w:r>
          </w:p>
        </w:tc>
        <w:tc>
          <w:tcPr>
            <w:tcW w:w="806" w:type="pct"/>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3"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6"/>
              </w:numPr>
              <w:jc w:val="center"/>
              <w:rPr>
                <w:rFonts w:eastAsiaTheme="minorEastAsia"/>
                <w:szCs w:val="21"/>
              </w:rPr>
            </w:pPr>
          </w:p>
        </w:tc>
        <w:tc>
          <w:tcPr>
            <w:tcW w:w="857" w:type="pct"/>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934"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支持</w:t>
            </w:r>
            <w:r>
              <w:rPr>
                <w:rFonts w:eastAsiaTheme="minorEastAsia"/>
                <w:szCs w:val="21"/>
              </w:rPr>
              <w:t xml:space="preserve"> VIVO Android 6.0 </w:t>
            </w:r>
            <w:r>
              <w:rPr>
                <w:rFonts w:hint="eastAsia" w:eastAsiaTheme="minorEastAsia"/>
                <w:szCs w:val="21"/>
              </w:rPr>
              <w:t>及以上系统手机数据互传提取</w:t>
            </w:r>
          </w:p>
        </w:tc>
        <w:tc>
          <w:tcPr>
            <w:tcW w:w="806" w:type="pct"/>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3"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6"/>
              </w:numPr>
              <w:jc w:val="center"/>
              <w:rPr>
                <w:rFonts w:eastAsiaTheme="minorEastAsia"/>
                <w:szCs w:val="21"/>
              </w:rPr>
            </w:pPr>
          </w:p>
        </w:tc>
        <w:tc>
          <w:tcPr>
            <w:tcW w:w="857" w:type="pct"/>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934"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支持</w:t>
            </w:r>
            <w:r>
              <w:rPr>
                <w:rFonts w:eastAsiaTheme="minorEastAsia"/>
                <w:szCs w:val="21"/>
              </w:rPr>
              <w:t xml:space="preserve"> OPPO Android 6.0 </w:t>
            </w:r>
            <w:r>
              <w:rPr>
                <w:rFonts w:hint="eastAsia" w:eastAsiaTheme="minorEastAsia"/>
                <w:szCs w:val="21"/>
              </w:rPr>
              <w:t>及以上系统手机搬家提取</w:t>
            </w:r>
          </w:p>
        </w:tc>
        <w:tc>
          <w:tcPr>
            <w:tcW w:w="806" w:type="pct"/>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3"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6"/>
              </w:numPr>
              <w:jc w:val="center"/>
              <w:rPr>
                <w:rFonts w:eastAsiaTheme="minorEastAsia"/>
                <w:szCs w:val="21"/>
              </w:rPr>
            </w:pPr>
          </w:p>
        </w:tc>
        <w:tc>
          <w:tcPr>
            <w:tcW w:w="857" w:type="pct"/>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934"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支持华为、小米、</w:t>
            </w:r>
            <w:r>
              <w:rPr>
                <w:rFonts w:eastAsiaTheme="minorEastAsia"/>
                <w:szCs w:val="21"/>
              </w:rPr>
              <w:t>oppo</w:t>
            </w:r>
            <w:r>
              <w:rPr>
                <w:rFonts w:hint="eastAsia" w:eastAsiaTheme="minorEastAsia"/>
                <w:szCs w:val="21"/>
              </w:rPr>
              <w:t>、</w:t>
            </w:r>
            <w:r>
              <w:rPr>
                <w:rFonts w:eastAsiaTheme="minorEastAsia"/>
                <w:szCs w:val="21"/>
              </w:rPr>
              <w:t>vivo</w:t>
            </w:r>
            <w:r>
              <w:rPr>
                <w:rFonts w:hint="eastAsia" w:eastAsiaTheme="minorEastAsia"/>
                <w:szCs w:val="21"/>
              </w:rPr>
              <w:t>无需数据线连接设备、无需开启开发者模式、</w:t>
            </w:r>
            <w:r>
              <w:rPr>
                <w:rFonts w:eastAsiaTheme="minorEastAsia"/>
                <w:szCs w:val="21"/>
              </w:rPr>
              <w:t>usb</w:t>
            </w:r>
            <w:r>
              <w:rPr>
                <w:rFonts w:hint="eastAsia" w:eastAsiaTheme="minorEastAsia"/>
                <w:szCs w:val="21"/>
              </w:rPr>
              <w:t>调试进行无线提取</w:t>
            </w:r>
          </w:p>
        </w:tc>
        <w:tc>
          <w:tcPr>
            <w:tcW w:w="806" w:type="pct"/>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3"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6"/>
              </w:numPr>
              <w:jc w:val="center"/>
              <w:rPr>
                <w:rFonts w:eastAsiaTheme="minorEastAsia"/>
                <w:szCs w:val="21"/>
              </w:rPr>
            </w:pPr>
          </w:p>
        </w:tc>
        <w:tc>
          <w:tcPr>
            <w:tcW w:w="857" w:type="pct"/>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934"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支持</w:t>
            </w:r>
            <w:r>
              <w:rPr>
                <w:rFonts w:eastAsiaTheme="minorEastAsia"/>
                <w:szCs w:val="21"/>
              </w:rPr>
              <w:t xml:space="preserve"> Android </w:t>
            </w:r>
            <w:r>
              <w:rPr>
                <w:rFonts w:hint="eastAsia" w:eastAsiaTheme="minorEastAsia"/>
                <w:szCs w:val="21"/>
              </w:rPr>
              <w:t>文件查看（包含外置</w:t>
            </w:r>
            <w:r>
              <w:rPr>
                <w:rFonts w:eastAsiaTheme="minorEastAsia"/>
                <w:szCs w:val="21"/>
              </w:rPr>
              <w:t xml:space="preserve"> SD </w:t>
            </w:r>
            <w:r>
              <w:rPr>
                <w:rFonts w:hint="eastAsia" w:eastAsiaTheme="minorEastAsia"/>
                <w:szCs w:val="21"/>
              </w:rPr>
              <w:t>卡信息）操作，勾选文件</w:t>
            </w:r>
            <w:r>
              <w:rPr>
                <w:rFonts w:eastAsiaTheme="minorEastAsia"/>
                <w:szCs w:val="21"/>
              </w:rPr>
              <w:t>/</w:t>
            </w:r>
            <w:r>
              <w:rPr>
                <w:rFonts w:hint="eastAsia" w:eastAsiaTheme="minorEastAsia"/>
                <w:szCs w:val="21"/>
              </w:rPr>
              <w:t>文件夹后支持快速导出，并自动进行完整性计算</w:t>
            </w:r>
          </w:p>
        </w:tc>
        <w:tc>
          <w:tcPr>
            <w:tcW w:w="806" w:type="pct"/>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3"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6"/>
              </w:numPr>
              <w:jc w:val="center"/>
              <w:rPr>
                <w:rFonts w:eastAsiaTheme="minorEastAsia"/>
                <w:szCs w:val="21"/>
              </w:rPr>
            </w:pPr>
          </w:p>
        </w:tc>
        <w:tc>
          <w:tcPr>
            <w:tcW w:w="857" w:type="pct"/>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934"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支持超过</w:t>
            </w:r>
            <w:r>
              <w:rPr>
                <w:rFonts w:eastAsiaTheme="minorEastAsia"/>
                <w:szCs w:val="21"/>
              </w:rPr>
              <w:t xml:space="preserve"> 200 </w:t>
            </w:r>
            <w:r>
              <w:rPr>
                <w:rFonts w:hint="eastAsia" w:eastAsiaTheme="minorEastAsia"/>
                <w:szCs w:val="21"/>
              </w:rPr>
              <w:t>种以上常用</w:t>
            </w:r>
            <w:r>
              <w:rPr>
                <w:rFonts w:eastAsiaTheme="minorEastAsia"/>
                <w:szCs w:val="21"/>
              </w:rPr>
              <w:t xml:space="preserve"> Android </w:t>
            </w:r>
            <w:r>
              <w:rPr>
                <w:rFonts w:hint="eastAsia" w:eastAsiaTheme="minorEastAsia"/>
                <w:szCs w:val="21"/>
              </w:rPr>
              <w:t>和</w:t>
            </w:r>
            <w:r>
              <w:rPr>
                <w:rFonts w:eastAsiaTheme="minorEastAsia"/>
                <w:szCs w:val="21"/>
              </w:rPr>
              <w:t xml:space="preserve"> iOS </w:t>
            </w:r>
            <w:r>
              <w:rPr>
                <w:rFonts w:hint="eastAsia" w:eastAsiaTheme="minorEastAsia"/>
                <w:szCs w:val="21"/>
              </w:rPr>
              <w:t>应用信息解析，包括但不限于浏览器、即时通讯、境外通讯、邮箱工具、网络云盘、视频音频、办公软件、位置出行、网络购物、工具类等应用</w:t>
            </w:r>
          </w:p>
        </w:tc>
        <w:tc>
          <w:tcPr>
            <w:tcW w:w="806" w:type="pct"/>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3"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6"/>
              </w:numPr>
              <w:jc w:val="center"/>
              <w:rPr>
                <w:rFonts w:eastAsiaTheme="minorEastAsia"/>
                <w:szCs w:val="21"/>
              </w:rPr>
            </w:pPr>
          </w:p>
        </w:tc>
        <w:tc>
          <w:tcPr>
            <w:tcW w:w="857" w:type="pct"/>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934"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支持基于</w:t>
            </w:r>
            <w:r>
              <w:rPr>
                <w:rFonts w:eastAsiaTheme="minorEastAsia"/>
                <w:szCs w:val="21"/>
              </w:rPr>
              <w:t xml:space="preserve"> Telegram </w:t>
            </w:r>
            <w:r>
              <w:rPr>
                <w:rFonts w:hint="eastAsia" w:eastAsiaTheme="minorEastAsia"/>
                <w:szCs w:val="21"/>
              </w:rPr>
              <w:t>聊天框架生成的各类变种即时通讯</w:t>
            </w:r>
            <w:r>
              <w:rPr>
                <w:rFonts w:eastAsiaTheme="minorEastAsia"/>
                <w:szCs w:val="21"/>
              </w:rPr>
              <w:t xml:space="preserve"> App </w:t>
            </w:r>
            <w:r>
              <w:rPr>
                <w:rFonts w:hint="eastAsia" w:eastAsiaTheme="minorEastAsia"/>
                <w:szCs w:val="21"/>
              </w:rPr>
              <w:t>通用解析</w:t>
            </w:r>
          </w:p>
        </w:tc>
        <w:tc>
          <w:tcPr>
            <w:tcW w:w="806" w:type="pct"/>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3"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6"/>
              </w:numPr>
              <w:jc w:val="center"/>
              <w:rPr>
                <w:rFonts w:eastAsiaTheme="minorEastAsia"/>
                <w:szCs w:val="21"/>
              </w:rPr>
            </w:pPr>
          </w:p>
        </w:tc>
        <w:tc>
          <w:tcPr>
            <w:tcW w:w="857" w:type="pct"/>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934"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支持基于野火</w:t>
            </w:r>
            <w:r>
              <w:rPr>
                <w:rFonts w:eastAsiaTheme="minorEastAsia"/>
                <w:szCs w:val="21"/>
              </w:rPr>
              <w:t xml:space="preserve"> IM </w:t>
            </w:r>
            <w:r>
              <w:rPr>
                <w:rFonts w:hint="eastAsia" w:eastAsiaTheme="minorEastAsia"/>
                <w:szCs w:val="21"/>
              </w:rPr>
              <w:t>聊天框架生成的各类即时通讯</w:t>
            </w:r>
            <w:r>
              <w:rPr>
                <w:rFonts w:eastAsiaTheme="minorEastAsia"/>
                <w:szCs w:val="21"/>
              </w:rPr>
              <w:t xml:space="preserve"> App </w:t>
            </w:r>
            <w:r>
              <w:rPr>
                <w:rFonts w:hint="eastAsia" w:eastAsiaTheme="minorEastAsia"/>
                <w:szCs w:val="21"/>
              </w:rPr>
              <w:t>通用解析</w:t>
            </w:r>
          </w:p>
        </w:tc>
        <w:tc>
          <w:tcPr>
            <w:tcW w:w="806" w:type="pct"/>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3"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6"/>
              </w:numPr>
              <w:jc w:val="center"/>
              <w:rPr>
                <w:rFonts w:eastAsiaTheme="minorEastAsia"/>
                <w:szCs w:val="21"/>
              </w:rPr>
            </w:pPr>
          </w:p>
        </w:tc>
        <w:tc>
          <w:tcPr>
            <w:tcW w:w="857" w:type="pct"/>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934"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地理位置支持点、路线聚合展示，路线轨迹可进行自动回放，地理位置数据可按照来源检材、标记、来源应用、时间范围等多条件组合智能筛选</w:t>
            </w:r>
          </w:p>
        </w:tc>
        <w:tc>
          <w:tcPr>
            <w:tcW w:w="806" w:type="pct"/>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3"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6"/>
              </w:numPr>
              <w:jc w:val="center"/>
              <w:rPr>
                <w:rFonts w:eastAsiaTheme="minorEastAsia"/>
                <w:szCs w:val="21"/>
              </w:rPr>
            </w:pPr>
          </w:p>
        </w:tc>
        <w:tc>
          <w:tcPr>
            <w:tcW w:w="857" w:type="pct"/>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934"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支持检材中所有数据（应用分析结果、文件系统）以时间线的形式进行展示</w:t>
            </w:r>
          </w:p>
        </w:tc>
        <w:tc>
          <w:tcPr>
            <w:tcW w:w="806" w:type="pct"/>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3"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6"/>
              </w:numPr>
              <w:jc w:val="center"/>
              <w:rPr>
                <w:rFonts w:eastAsiaTheme="minorEastAsia"/>
                <w:szCs w:val="21"/>
              </w:rPr>
            </w:pPr>
          </w:p>
        </w:tc>
        <w:tc>
          <w:tcPr>
            <w:tcW w:w="857" w:type="pct"/>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934"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支持定制脚本功能，可通过编写脚本处理证据信息，对取证功能进行扩展</w:t>
            </w:r>
          </w:p>
        </w:tc>
        <w:tc>
          <w:tcPr>
            <w:tcW w:w="806" w:type="pct"/>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3"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6"/>
              </w:numPr>
              <w:jc w:val="center"/>
              <w:rPr>
                <w:rFonts w:eastAsiaTheme="minorEastAsia"/>
                <w:szCs w:val="21"/>
              </w:rPr>
            </w:pPr>
          </w:p>
        </w:tc>
        <w:tc>
          <w:tcPr>
            <w:tcW w:w="857" w:type="pct"/>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934"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支持</w:t>
            </w:r>
            <w:r>
              <w:rPr>
                <w:rFonts w:eastAsiaTheme="minorEastAsia"/>
                <w:szCs w:val="21"/>
              </w:rPr>
              <w:t xml:space="preserve"> Android </w:t>
            </w:r>
            <w:r>
              <w:rPr>
                <w:rFonts w:hint="eastAsia" w:eastAsiaTheme="minorEastAsia"/>
                <w:szCs w:val="21"/>
              </w:rPr>
              <w:t>设备接入后自动检测是否处于飞行模式</w:t>
            </w:r>
          </w:p>
        </w:tc>
        <w:tc>
          <w:tcPr>
            <w:tcW w:w="806" w:type="pct"/>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3"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6"/>
              </w:numPr>
              <w:jc w:val="center"/>
              <w:rPr>
                <w:rFonts w:eastAsiaTheme="minorEastAsia"/>
                <w:szCs w:val="21"/>
              </w:rPr>
            </w:pPr>
          </w:p>
        </w:tc>
        <w:tc>
          <w:tcPr>
            <w:tcW w:w="857" w:type="pct"/>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934"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支持</w:t>
            </w:r>
            <w:r>
              <w:rPr>
                <w:rFonts w:eastAsiaTheme="minorEastAsia"/>
                <w:szCs w:val="21"/>
              </w:rPr>
              <w:t xml:space="preserve"> Android </w:t>
            </w:r>
            <w:r>
              <w:rPr>
                <w:rFonts w:hint="eastAsia" w:eastAsiaTheme="minorEastAsia"/>
                <w:szCs w:val="21"/>
              </w:rPr>
              <w:t>手机提取过程中自动点击，减少人工手动操作</w:t>
            </w:r>
          </w:p>
        </w:tc>
        <w:tc>
          <w:tcPr>
            <w:tcW w:w="806" w:type="pct"/>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3"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6"/>
              </w:numPr>
              <w:jc w:val="center"/>
              <w:rPr>
                <w:rFonts w:eastAsiaTheme="minorEastAsia"/>
                <w:szCs w:val="21"/>
              </w:rPr>
            </w:pPr>
          </w:p>
        </w:tc>
        <w:tc>
          <w:tcPr>
            <w:tcW w:w="857" w:type="pct"/>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934"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支持生成、上传部标格式数据包</w:t>
            </w:r>
          </w:p>
        </w:tc>
        <w:tc>
          <w:tcPr>
            <w:tcW w:w="806" w:type="pct"/>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3"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6"/>
              </w:numPr>
              <w:jc w:val="center"/>
              <w:rPr>
                <w:rFonts w:eastAsiaTheme="minorEastAsia"/>
                <w:szCs w:val="21"/>
              </w:rPr>
            </w:pPr>
          </w:p>
        </w:tc>
        <w:tc>
          <w:tcPr>
            <w:tcW w:w="857"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物联网管理</w:t>
            </w:r>
            <w:r>
              <w:rPr>
                <w:rFonts w:eastAsiaTheme="minorEastAsia"/>
                <w:szCs w:val="21"/>
              </w:rPr>
              <w:t>API</w:t>
            </w:r>
          </w:p>
        </w:tc>
        <w:tc>
          <w:tcPr>
            <w:tcW w:w="2934"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支持开放的物联网管理</w:t>
            </w:r>
            <w:r>
              <w:rPr>
                <w:rFonts w:eastAsiaTheme="minorEastAsia"/>
                <w:szCs w:val="21"/>
              </w:rPr>
              <w:t>API</w:t>
            </w:r>
            <w:r>
              <w:rPr>
                <w:rFonts w:hint="eastAsia" w:eastAsiaTheme="minorEastAsia"/>
                <w:szCs w:val="21"/>
              </w:rPr>
              <w:t>接口，供实验室管理系统采集设备工作状态和工作量</w:t>
            </w:r>
          </w:p>
        </w:tc>
        <w:tc>
          <w:tcPr>
            <w:tcW w:w="806"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提供软件功能截图</w:t>
            </w:r>
          </w:p>
        </w:tc>
      </w:tr>
    </w:tbl>
    <w:p>
      <w:pPr>
        <w:rPr>
          <w:rFonts w:asciiTheme="minorEastAsia" w:hAnsiTheme="minorEastAsia" w:eastAsiaTheme="minorEastAsia" w:cstheme="minorEastAsia"/>
          <w:szCs w:val="21"/>
        </w:rPr>
      </w:pPr>
    </w:p>
    <w:p>
      <w:pPr>
        <w:pStyle w:val="5"/>
        <w:spacing w:before="15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w:t>
      </w:r>
      <w:r>
        <w:rPr>
          <w:rFonts w:asciiTheme="minorEastAsia" w:hAnsiTheme="minorEastAsia" w:eastAsiaTheme="minorEastAsia" w:cstheme="minorEastAsia"/>
          <w:szCs w:val="21"/>
        </w:rPr>
        <w:t>4</w:t>
      </w:r>
      <w:r>
        <w:rPr>
          <w:rFonts w:hint="eastAsia" w:asciiTheme="minorEastAsia" w:hAnsiTheme="minorEastAsia" w:eastAsiaTheme="minorEastAsia" w:cstheme="minorEastAsia"/>
          <w:szCs w:val="21"/>
        </w:rPr>
        <w:t>包介质取证塔</w:t>
      </w:r>
      <w:r>
        <w:rPr>
          <w:rFonts w:hint="default" w:ascii="Times New Roman" w:hAnsi="Times New Roman" w:cs="Times New Roman" w:eastAsiaTheme="minorEastAsia"/>
          <w:szCs w:val="21"/>
        </w:rPr>
        <w:t>Ⅳ</w:t>
      </w:r>
    </w:p>
    <w:tbl>
      <w:tblPr>
        <w:tblStyle w:val="81"/>
        <w:tblW w:w="458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2070"/>
        <w:gridCol w:w="3922"/>
        <w:gridCol w:w="1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
                <w:szCs w:val="21"/>
              </w:rPr>
            </w:pPr>
            <w:r>
              <w:rPr>
                <w:rFonts w:hint="eastAsia" w:ascii="Times New Roman" w:hAnsi="Times New Roman" w:eastAsiaTheme="minorEastAsia"/>
                <w:b/>
                <w:szCs w:val="21"/>
              </w:rPr>
              <w:t>序号</w:t>
            </w:r>
          </w:p>
        </w:tc>
        <w:tc>
          <w:tcPr>
            <w:tcW w:w="1325"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b/>
                <w:szCs w:val="21"/>
              </w:rPr>
            </w:pPr>
            <w:r>
              <w:rPr>
                <w:rFonts w:hint="eastAsia" w:ascii="Times New Roman" w:hAnsi="Times New Roman" w:eastAsiaTheme="minorEastAsia"/>
                <w:b/>
                <w:szCs w:val="21"/>
              </w:rPr>
              <w:t>指标项</w:t>
            </w:r>
          </w:p>
        </w:tc>
        <w:tc>
          <w:tcPr>
            <w:tcW w:w="2510" w:type="pct"/>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szCs w:val="21"/>
              </w:rPr>
            </w:pPr>
            <w:r>
              <w:rPr>
                <w:rFonts w:hint="eastAsia" w:ascii="Times New Roman" w:hAnsi="Times New Roman" w:eastAsiaTheme="minorEastAsia"/>
                <w:b/>
                <w:szCs w:val="21"/>
              </w:rPr>
              <w:t>指标要求</w:t>
            </w:r>
          </w:p>
        </w:tc>
        <w:tc>
          <w:tcPr>
            <w:tcW w:w="713"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b/>
                <w:szCs w:val="21"/>
              </w:rPr>
            </w:pPr>
            <w:r>
              <w:rPr>
                <w:rFonts w:hint="eastAsia" w:ascii="Times New Roman" w:hAnsi="Times New Roman" w:eastAsiaTheme="minorEastAsia"/>
                <w:b/>
                <w:szCs w:val="21"/>
              </w:rPr>
              <w:t>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7"/>
              </w:numPr>
              <w:jc w:val="center"/>
              <w:rPr>
                <w:rFonts w:ascii="Times New Roman" w:hAnsi="Times New Roman" w:eastAsiaTheme="minorEastAsia"/>
                <w:b/>
                <w:szCs w:val="21"/>
              </w:rPr>
            </w:pPr>
          </w:p>
        </w:tc>
        <w:tc>
          <w:tcPr>
            <w:tcW w:w="1325"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b/>
                <w:szCs w:val="21"/>
              </w:rPr>
            </w:pPr>
            <w:r>
              <w:rPr>
                <w:rFonts w:hint="eastAsia" w:ascii="Times New Roman" w:hAnsi="Times New Roman" w:eastAsiaTheme="minorEastAsia"/>
                <w:b/>
                <w:szCs w:val="21"/>
              </w:rPr>
              <w:t>硬件要求</w:t>
            </w:r>
          </w:p>
        </w:tc>
        <w:tc>
          <w:tcPr>
            <w:tcW w:w="2510" w:type="pct"/>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szCs w:val="21"/>
              </w:rPr>
            </w:pPr>
            <w:r>
              <w:rPr>
                <w:rFonts w:hint="eastAsia" w:eastAsiaTheme="minorEastAsia"/>
                <w:szCs w:val="21"/>
              </w:rPr>
              <w:t>处理器：不低于</w:t>
            </w:r>
            <w:r>
              <w:rPr>
                <w:rFonts w:eastAsiaTheme="minorEastAsia"/>
                <w:szCs w:val="21"/>
              </w:rPr>
              <w:t>3.2GHz</w:t>
            </w:r>
            <w:r>
              <w:rPr>
                <w:rFonts w:hint="eastAsia" w:eastAsiaTheme="minorEastAsia"/>
                <w:szCs w:val="21"/>
              </w:rPr>
              <w:t>主频</w:t>
            </w:r>
            <w:r>
              <w:rPr>
                <w:rFonts w:eastAsiaTheme="minorEastAsia"/>
                <w:szCs w:val="21"/>
              </w:rPr>
              <w:t>10</w:t>
            </w:r>
            <w:r>
              <w:rPr>
                <w:rFonts w:hint="eastAsia" w:eastAsiaTheme="minorEastAsia"/>
                <w:szCs w:val="21"/>
              </w:rPr>
              <w:t>纳米制程工艺</w:t>
            </w:r>
            <w:r>
              <w:rPr>
                <w:rFonts w:eastAsiaTheme="minorEastAsia"/>
                <w:szCs w:val="21"/>
              </w:rPr>
              <w:t>16</w:t>
            </w:r>
            <w:r>
              <w:rPr>
                <w:rFonts w:hint="eastAsia" w:eastAsiaTheme="minorEastAsia"/>
                <w:szCs w:val="21"/>
              </w:rPr>
              <w:t>核心</w:t>
            </w:r>
            <w:r>
              <w:rPr>
                <w:rFonts w:eastAsiaTheme="minorEastAsia"/>
                <w:szCs w:val="21"/>
              </w:rPr>
              <w:t>24</w:t>
            </w:r>
            <w:r>
              <w:rPr>
                <w:rFonts w:hint="eastAsia" w:eastAsiaTheme="minorEastAsia"/>
                <w:szCs w:val="21"/>
              </w:rPr>
              <w:t>线程处理器；</w:t>
            </w:r>
          </w:p>
          <w:p>
            <w:pPr>
              <w:rPr>
                <w:rFonts w:eastAsiaTheme="minorEastAsia"/>
                <w:szCs w:val="21"/>
              </w:rPr>
            </w:pPr>
            <w:r>
              <w:rPr>
                <w:rFonts w:hint="eastAsia" w:eastAsiaTheme="minorEastAsia"/>
                <w:szCs w:val="21"/>
              </w:rPr>
              <w:t>内存：不低于</w:t>
            </w:r>
            <w:r>
              <w:rPr>
                <w:rFonts w:eastAsiaTheme="minorEastAsia"/>
                <w:szCs w:val="21"/>
              </w:rPr>
              <w:t>5</w:t>
            </w:r>
            <w:r>
              <w:rPr>
                <w:rFonts w:hint="eastAsia" w:eastAsiaTheme="minorEastAsia"/>
                <w:szCs w:val="21"/>
              </w:rPr>
              <w:t>代临时物理存储</w:t>
            </w:r>
            <w:r>
              <w:rPr>
                <w:rFonts w:eastAsiaTheme="minorEastAsia"/>
                <w:szCs w:val="21"/>
              </w:rPr>
              <w:t>64GB</w:t>
            </w:r>
            <w:r>
              <w:rPr>
                <w:rFonts w:hint="eastAsia" w:eastAsiaTheme="minorEastAsia"/>
                <w:szCs w:val="21"/>
              </w:rPr>
              <w:t>；</w:t>
            </w:r>
          </w:p>
          <w:p>
            <w:pPr>
              <w:rPr>
                <w:rFonts w:eastAsiaTheme="minorEastAsia"/>
                <w:szCs w:val="21"/>
              </w:rPr>
            </w:pPr>
            <w:r>
              <w:rPr>
                <w:rFonts w:hint="eastAsia" w:eastAsiaTheme="minorEastAsia"/>
                <w:szCs w:val="21"/>
              </w:rPr>
              <w:t>存储：不少于</w:t>
            </w:r>
            <w:r>
              <w:rPr>
                <w:rFonts w:eastAsiaTheme="minorEastAsia"/>
                <w:szCs w:val="21"/>
              </w:rPr>
              <w:t>500G SSD + 8TB SSD + 18T HDD</w:t>
            </w:r>
            <w:r>
              <w:rPr>
                <w:rFonts w:hint="eastAsia" w:eastAsiaTheme="minorEastAsia"/>
                <w:szCs w:val="21"/>
              </w:rPr>
              <w:t>硬盘</w:t>
            </w:r>
          </w:p>
          <w:p>
            <w:pPr>
              <w:rPr>
                <w:rFonts w:eastAsiaTheme="minorEastAsia"/>
                <w:szCs w:val="21"/>
              </w:rPr>
            </w:pPr>
            <w:r>
              <w:rPr>
                <w:rFonts w:hint="eastAsia" w:eastAsiaTheme="minorEastAsia"/>
                <w:szCs w:val="21"/>
              </w:rPr>
              <w:t>显卡：不低于主频</w:t>
            </w:r>
            <w:r>
              <w:rPr>
                <w:rFonts w:eastAsiaTheme="minorEastAsia"/>
                <w:szCs w:val="21"/>
              </w:rPr>
              <w:t>2460MHz</w:t>
            </w:r>
            <w:r>
              <w:rPr>
                <w:rFonts w:hint="eastAsia" w:eastAsiaTheme="minorEastAsia"/>
                <w:szCs w:val="21"/>
              </w:rPr>
              <w:t>，显存频率不低于</w:t>
            </w:r>
            <w:r>
              <w:rPr>
                <w:rFonts w:eastAsiaTheme="minorEastAsia"/>
                <w:szCs w:val="21"/>
              </w:rPr>
              <w:t>17000MHz</w:t>
            </w:r>
            <w:r>
              <w:rPr>
                <w:rFonts w:hint="eastAsia" w:eastAsiaTheme="minorEastAsia"/>
                <w:szCs w:val="21"/>
              </w:rPr>
              <w:t>显存不低于</w:t>
            </w:r>
            <w:r>
              <w:rPr>
                <w:rFonts w:eastAsiaTheme="minorEastAsia"/>
                <w:szCs w:val="21"/>
              </w:rPr>
              <w:t>8GB</w:t>
            </w:r>
            <w:r>
              <w:rPr>
                <w:rFonts w:hint="eastAsia" w:eastAsiaTheme="minorEastAsia"/>
                <w:szCs w:val="21"/>
              </w:rPr>
              <w:t>，</w:t>
            </w:r>
          </w:p>
          <w:p>
            <w:pPr>
              <w:rPr>
                <w:rFonts w:eastAsiaTheme="minorEastAsia"/>
                <w:szCs w:val="21"/>
              </w:rPr>
            </w:pPr>
            <w:r>
              <w:rPr>
                <w:rFonts w:hint="eastAsia" w:eastAsiaTheme="minorEastAsia"/>
                <w:szCs w:val="21"/>
              </w:rPr>
              <w:t>显示器：不低于</w:t>
            </w:r>
            <w:r>
              <w:rPr>
                <w:rFonts w:eastAsiaTheme="minorEastAsia"/>
                <w:szCs w:val="21"/>
              </w:rPr>
              <w:t xml:space="preserve">34 </w:t>
            </w:r>
            <w:r>
              <w:rPr>
                <w:rFonts w:hint="eastAsia" w:eastAsiaTheme="minorEastAsia"/>
                <w:szCs w:val="21"/>
              </w:rPr>
              <w:t>寸</w:t>
            </w:r>
          </w:p>
          <w:p>
            <w:pPr>
              <w:rPr>
                <w:rFonts w:eastAsiaTheme="minorEastAsia"/>
                <w:szCs w:val="21"/>
              </w:rPr>
            </w:pPr>
            <w:r>
              <w:rPr>
                <w:rFonts w:hint="eastAsia" w:eastAsiaTheme="minorEastAsia"/>
                <w:szCs w:val="21"/>
              </w:rPr>
              <w:t>光驱：不少于</w:t>
            </w:r>
            <w:r>
              <w:rPr>
                <w:rFonts w:eastAsiaTheme="minorEastAsia"/>
                <w:szCs w:val="21"/>
              </w:rPr>
              <w:t>1</w:t>
            </w:r>
            <w:r>
              <w:rPr>
                <w:rFonts w:hint="eastAsia" w:eastAsiaTheme="minorEastAsia"/>
                <w:szCs w:val="21"/>
              </w:rPr>
              <w:t>个蓝光刻录机</w:t>
            </w:r>
          </w:p>
          <w:p>
            <w:pPr>
              <w:rPr>
                <w:rFonts w:eastAsiaTheme="minorEastAsia"/>
                <w:szCs w:val="21"/>
              </w:rPr>
            </w:pPr>
            <w:r>
              <w:rPr>
                <w:rFonts w:hint="eastAsia" w:eastAsiaTheme="minorEastAsia"/>
                <w:szCs w:val="21"/>
              </w:rPr>
              <w:t>接口：配备一套多功能只读锁</w:t>
            </w:r>
            <w:r>
              <w:rPr>
                <w:rFonts w:eastAsiaTheme="minorEastAsia"/>
                <w:szCs w:val="21"/>
              </w:rPr>
              <w:t>(PCIE</w:t>
            </w:r>
            <w:r>
              <w:rPr>
                <w:rFonts w:hint="eastAsia" w:eastAsiaTheme="minorEastAsia"/>
                <w:szCs w:val="21"/>
              </w:rPr>
              <w:t>、</w:t>
            </w:r>
            <w:r>
              <w:rPr>
                <w:rFonts w:eastAsiaTheme="minorEastAsia"/>
                <w:szCs w:val="21"/>
              </w:rPr>
              <w:t>SATA</w:t>
            </w:r>
            <w:r>
              <w:rPr>
                <w:rFonts w:hint="eastAsia" w:eastAsiaTheme="minorEastAsia"/>
                <w:szCs w:val="21"/>
              </w:rPr>
              <w:t>、</w:t>
            </w:r>
            <w:r>
              <w:rPr>
                <w:rFonts w:eastAsiaTheme="minorEastAsia"/>
                <w:szCs w:val="21"/>
              </w:rPr>
              <w:t>USB3.0</w:t>
            </w:r>
            <w:r>
              <w:rPr>
                <w:rFonts w:hint="eastAsia" w:eastAsiaTheme="minorEastAsia"/>
                <w:szCs w:val="21"/>
              </w:rPr>
              <w:t>、读卡器、</w:t>
            </w:r>
            <w:r>
              <w:rPr>
                <w:rFonts w:eastAsiaTheme="minorEastAsia"/>
                <w:szCs w:val="21"/>
              </w:rPr>
              <w:t>IDE)</w:t>
            </w:r>
            <w:r>
              <w:rPr>
                <w:rFonts w:hint="eastAsia" w:eastAsiaTheme="minorEastAsia"/>
                <w:szCs w:val="21"/>
              </w:rPr>
              <w:t>、不少于</w:t>
            </w:r>
            <w:r>
              <w:rPr>
                <w:rFonts w:eastAsiaTheme="minorEastAsia"/>
                <w:szCs w:val="21"/>
              </w:rPr>
              <w:t>4</w:t>
            </w:r>
            <w:r>
              <w:rPr>
                <w:rFonts w:hint="eastAsia" w:eastAsiaTheme="minorEastAsia"/>
                <w:szCs w:val="21"/>
              </w:rPr>
              <w:t>个</w:t>
            </w:r>
            <w:r>
              <w:rPr>
                <w:rFonts w:eastAsiaTheme="minorEastAsia"/>
                <w:szCs w:val="21"/>
              </w:rPr>
              <w:t xml:space="preserve">3.5 </w:t>
            </w:r>
            <w:r>
              <w:rPr>
                <w:rFonts w:hint="eastAsia" w:eastAsiaTheme="minorEastAsia"/>
                <w:szCs w:val="21"/>
              </w:rPr>
              <w:t>寸</w:t>
            </w:r>
            <w:r>
              <w:rPr>
                <w:rFonts w:eastAsiaTheme="minorEastAsia"/>
                <w:szCs w:val="21"/>
              </w:rPr>
              <w:t xml:space="preserve"> SAS/SATA </w:t>
            </w:r>
            <w:r>
              <w:rPr>
                <w:rFonts w:hint="eastAsia" w:eastAsiaTheme="minorEastAsia"/>
                <w:szCs w:val="21"/>
              </w:rPr>
              <w:t>只读硬盘热拔插仓、不少于</w:t>
            </w:r>
            <w:r>
              <w:rPr>
                <w:rFonts w:eastAsiaTheme="minorEastAsia"/>
                <w:szCs w:val="21"/>
              </w:rPr>
              <w:t>4</w:t>
            </w:r>
            <w:r>
              <w:rPr>
                <w:rFonts w:hint="eastAsia" w:eastAsiaTheme="minorEastAsia"/>
                <w:szCs w:val="21"/>
              </w:rPr>
              <w:t>个</w:t>
            </w:r>
            <w:r>
              <w:rPr>
                <w:rFonts w:eastAsiaTheme="minorEastAsia"/>
                <w:szCs w:val="21"/>
              </w:rPr>
              <w:t xml:space="preserve">3.5 </w:t>
            </w:r>
            <w:r>
              <w:rPr>
                <w:rFonts w:hint="eastAsia" w:eastAsiaTheme="minorEastAsia"/>
                <w:szCs w:val="21"/>
              </w:rPr>
              <w:t>寸</w:t>
            </w:r>
            <w:r>
              <w:rPr>
                <w:rFonts w:eastAsiaTheme="minorEastAsia"/>
                <w:szCs w:val="21"/>
              </w:rPr>
              <w:t xml:space="preserve"> SAS/SATA </w:t>
            </w:r>
            <w:r>
              <w:rPr>
                <w:rFonts w:hint="eastAsia" w:eastAsiaTheme="minorEastAsia"/>
                <w:szCs w:val="21"/>
              </w:rPr>
              <w:t>读写硬盘热拔插仓</w:t>
            </w:r>
          </w:p>
          <w:p>
            <w:pPr>
              <w:rPr>
                <w:rFonts w:ascii="Times New Roman" w:hAnsi="Times New Roman" w:eastAsiaTheme="minorEastAsia"/>
                <w:b/>
                <w:szCs w:val="21"/>
              </w:rPr>
            </w:pPr>
            <w:r>
              <w:rPr>
                <w:rFonts w:hint="eastAsia" w:eastAsiaTheme="minorEastAsia"/>
                <w:szCs w:val="21"/>
              </w:rPr>
              <w:t>网络：不少于</w:t>
            </w:r>
            <w:r>
              <w:rPr>
                <w:rFonts w:eastAsiaTheme="minorEastAsia"/>
                <w:szCs w:val="21"/>
              </w:rPr>
              <w:t>1</w:t>
            </w:r>
            <w:r>
              <w:rPr>
                <w:rFonts w:hint="eastAsia" w:eastAsiaTheme="minorEastAsia"/>
                <w:szCs w:val="21"/>
              </w:rPr>
              <w:t>个千兆电口</w:t>
            </w:r>
          </w:p>
        </w:tc>
        <w:tc>
          <w:tcPr>
            <w:tcW w:w="713"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b/>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7"/>
              </w:numPr>
              <w:jc w:val="center"/>
              <w:rPr>
                <w:rFonts w:asciiTheme="minorHAnsi" w:hAnsiTheme="minorHAnsi" w:eastAsiaTheme="minorEastAsia"/>
                <w:szCs w:val="21"/>
              </w:rPr>
            </w:pPr>
          </w:p>
        </w:tc>
        <w:tc>
          <w:tcPr>
            <w:tcW w:w="1325" w:type="pct"/>
            <w:vMerge w:val="restar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szCs w:val="21"/>
              </w:rPr>
            </w:pPr>
            <w:r>
              <w:rPr>
                <w:rFonts w:hint="eastAsia" w:ascii="Times New Roman" w:hAnsi="Times New Roman" w:eastAsiaTheme="minorEastAsia"/>
                <w:szCs w:val="21"/>
              </w:rPr>
              <w:t>介质仿真模块</w:t>
            </w:r>
          </w:p>
        </w:tc>
        <w:tc>
          <w:tcPr>
            <w:tcW w:w="2510"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szCs w:val="21"/>
              </w:rPr>
            </w:pPr>
            <w:r>
              <w:rPr>
                <w:rFonts w:hint="eastAsia" w:eastAsiaTheme="minorEastAsia"/>
                <w:szCs w:val="21"/>
              </w:rPr>
              <w:t>支持无痕仿真启动装有</w:t>
            </w:r>
            <w:r>
              <w:rPr>
                <w:rFonts w:eastAsiaTheme="minorEastAsia"/>
                <w:szCs w:val="21"/>
              </w:rPr>
              <w:t>Windows</w:t>
            </w:r>
            <w:r>
              <w:rPr>
                <w:rFonts w:hint="eastAsia" w:eastAsiaTheme="minorEastAsia"/>
                <w:szCs w:val="21"/>
              </w:rPr>
              <w:t>、</w:t>
            </w:r>
            <w:r>
              <w:rPr>
                <w:rFonts w:eastAsiaTheme="minorEastAsia"/>
                <w:szCs w:val="21"/>
              </w:rPr>
              <w:t>macOS</w:t>
            </w:r>
            <w:r>
              <w:rPr>
                <w:rFonts w:hint="eastAsia" w:eastAsiaTheme="minorEastAsia"/>
                <w:szCs w:val="21"/>
              </w:rPr>
              <w:t>、</w:t>
            </w:r>
            <w:r>
              <w:rPr>
                <w:rFonts w:eastAsiaTheme="minorEastAsia"/>
                <w:szCs w:val="21"/>
              </w:rPr>
              <w:t>Linux</w:t>
            </w:r>
            <w:r>
              <w:rPr>
                <w:rFonts w:hint="eastAsia" w:eastAsiaTheme="minorEastAsia"/>
                <w:szCs w:val="21"/>
              </w:rPr>
              <w:t>等多种操作系统的硬盘和镜像文件</w:t>
            </w:r>
          </w:p>
        </w:tc>
        <w:tc>
          <w:tcPr>
            <w:tcW w:w="713" w:type="pct"/>
            <w:vMerge w:val="restart"/>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szCs w:val="21"/>
              </w:rPr>
            </w:pPr>
            <w:r>
              <w:rPr>
                <w:rFonts w:hint="eastAsia" w:eastAsiaTheme="minorEastAsia"/>
                <w:szCs w:val="21"/>
              </w:rPr>
              <w:t>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7"/>
              </w:numPr>
              <w:jc w:val="center"/>
              <w:rPr>
                <w:rFonts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szCs w:val="21"/>
              </w:rPr>
            </w:pPr>
            <w:r>
              <w:rPr>
                <w:rFonts w:hint="eastAsia" w:eastAsiaTheme="minorEastAsia"/>
                <w:szCs w:val="21"/>
              </w:rPr>
              <w:t>支持对</w:t>
            </w:r>
            <w:r>
              <w:rPr>
                <w:rFonts w:eastAsiaTheme="minorEastAsia"/>
                <w:szCs w:val="21"/>
              </w:rPr>
              <w:t>DD</w:t>
            </w:r>
            <w:r>
              <w:rPr>
                <w:rFonts w:hint="eastAsia" w:eastAsiaTheme="minorEastAsia"/>
                <w:szCs w:val="21"/>
              </w:rPr>
              <w:t>、</w:t>
            </w:r>
            <w:r>
              <w:rPr>
                <w:rFonts w:eastAsiaTheme="minorEastAsia"/>
                <w:szCs w:val="21"/>
              </w:rPr>
              <w:t>E01</w:t>
            </w:r>
            <w:r>
              <w:rPr>
                <w:rFonts w:hint="eastAsia" w:eastAsiaTheme="minorEastAsia"/>
                <w:szCs w:val="21"/>
              </w:rPr>
              <w:t>、</w:t>
            </w:r>
            <w:r>
              <w:rPr>
                <w:rFonts w:eastAsiaTheme="minorEastAsia"/>
                <w:szCs w:val="21"/>
              </w:rPr>
              <w:t>QCOW/QCOW2/QCOW3</w:t>
            </w:r>
            <w:r>
              <w:rPr>
                <w:rFonts w:hint="eastAsia" w:eastAsiaTheme="minorEastAsia"/>
                <w:szCs w:val="21"/>
              </w:rPr>
              <w:t>、</w:t>
            </w:r>
            <w:r>
              <w:rPr>
                <w:rFonts w:eastAsiaTheme="minorEastAsia"/>
                <w:szCs w:val="21"/>
              </w:rPr>
              <w:t>VHD</w:t>
            </w:r>
            <w:r>
              <w:rPr>
                <w:rFonts w:hint="eastAsia" w:eastAsiaTheme="minorEastAsia"/>
                <w:szCs w:val="21"/>
              </w:rPr>
              <w:t>、</w:t>
            </w:r>
            <w:r>
              <w:rPr>
                <w:rFonts w:eastAsiaTheme="minorEastAsia"/>
                <w:szCs w:val="21"/>
              </w:rPr>
              <w:t>VHDX</w:t>
            </w:r>
            <w:r>
              <w:rPr>
                <w:rFonts w:hint="eastAsia" w:eastAsiaTheme="minorEastAsia"/>
                <w:szCs w:val="21"/>
              </w:rPr>
              <w:t>、</w:t>
            </w:r>
            <w:r>
              <w:rPr>
                <w:rFonts w:eastAsiaTheme="minorEastAsia"/>
                <w:szCs w:val="21"/>
              </w:rPr>
              <w:t>RAW</w:t>
            </w:r>
            <w:r>
              <w:rPr>
                <w:rFonts w:hint="eastAsia" w:eastAsiaTheme="minorEastAsia"/>
                <w:szCs w:val="21"/>
              </w:rPr>
              <w:t>、</w:t>
            </w:r>
            <w:r>
              <w:rPr>
                <w:rFonts w:eastAsiaTheme="minorEastAsia"/>
                <w:szCs w:val="21"/>
              </w:rPr>
              <w:t>ZVHD2</w:t>
            </w:r>
            <w:r>
              <w:rPr>
                <w:rFonts w:hint="eastAsia" w:eastAsiaTheme="minorEastAsia"/>
                <w:szCs w:val="21"/>
              </w:rPr>
              <w:t>、</w:t>
            </w:r>
            <w:r>
              <w:rPr>
                <w:rFonts w:eastAsiaTheme="minorEastAsia"/>
                <w:szCs w:val="21"/>
              </w:rPr>
              <w:t>XVA</w:t>
            </w:r>
            <w:r>
              <w:rPr>
                <w:rFonts w:hint="eastAsia" w:eastAsiaTheme="minorEastAsia"/>
                <w:szCs w:val="21"/>
              </w:rPr>
              <w:t>、</w:t>
            </w:r>
            <w:r>
              <w:rPr>
                <w:rFonts w:eastAsiaTheme="minorEastAsia"/>
                <w:szCs w:val="21"/>
              </w:rPr>
              <w:t>VMDK</w:t>
            </w:r>
            <w:r>
              <w:rPr>
                <w:rFonts w:hint="eastAsia" w:eastAsiaTheme="minorEastAsia"/>
                <w:szCs w:val="21"/>
              </w:rPr>
              <w:t>等不同格式的磁盘镜像的仿真</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7"/>
              </w:numPr>
              <w:jc w:val="center"/>
              <w:rPr>
                <w:rFonts w:asciiTheme="minorHAnsi" w:hAnsiTheme="minorHAnsi"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szCs w:val="21"/>
              </w:rPr>
            </w:pPr>
            <w:r>
              <w:rPr>
                <w:rFonts w:hint="eastAsia" w:eastAsiaTheme="minorEastAsia"/>
                <w:szCs w:val="21"/>
              </w:rPr>
              <w:t>支持选择网络驱动器中的镜像仿真</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7"/>
              </w:numPr>
              <w:jc w:val="center"/>
              <w:rPr>
                <w:rFonts w:asciiTheme="minorHAnsi" w:hAnsiTheme="minorHAnsi"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szCs w:val="21"/>
              </w:rPr>
            </w:pPr>
            <w:r>
              <w:rPr>
                <w:rFonts w:hint="eastAsia" w:eastAsiaTheme="minorEastAsia"/>
                <w:szCs w:val="21"/>
              </w:rPr>
              <w:t>支持多硬盘的系统仿真</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7"/>
              </w:numPr>
              <w:jc w:val="center"/>
              <w:rPr>
                <w:rFonts w:asciiTheme="minorHAnsi" w:hAnsiTheme="minorHAnsi"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szCs w:val="21"/>
              </w:rPr>
            </w:pPr>
            <w:r>
              <w:rPr>
                <w:rFonts w:hint="eastAsia" w:eastAsiaTheme="minorEastAsia"/>
                <w:szCs w:val="21"/>
              </w:rPr>
              <w:t>支持</w:t>
            </w:r>
            <w:r>
              <w:rPr>
                <w:rFonts w:eastAsiaTheme="minorEastAsia"/>
                <w:szCs w:val="21"/>
              </w:rPr>
              <w:t>Windows</w:t>
            </w:r>
            <w:r>
              <w:rPr>
                <w:rFonts w:hint="eastAsia" w:eastAsiaTheme="minorEastAsia"/>
                <w:szCs w:val="21"/>
              </w:rPr>
              <w:t>、</w:t>
            </w:r>
            <w:r>
              <w:rPr>
                <w:rFonts w:eastAsiaTheme="minorEastAsia"/>
                <w:szCs w:val="21"/>
              </w:rPr>
              <w:t>Debian</w:t>
            </w:r>
            <w:r>
              <w:rPr>
                <w:rFonts w:hint="eastAsia" w:eastAsiaTheme="minorEastAsia"/>
                <w:szCs w:val="21"/>
              </w:rPr>
              <w:t>、</w:t>
            </w:r>
            <w:r>
              <w:rPr>
                <w:rFonts w:eastAsiaTheme="minorEastAsia"/>
                <w:szCs w:val="21"/>
              </w:rPr>
              <w:t>Ubuntu</w:t>
            </w:r>
            <w:r>
              <w:rPr>
                <w:rFonts w:hint="eastAsia" w:eastAsiaTheme="minorEastAsia"/>
                <w:szCs w:val="21"/>
              </w:rPr>
              <w:t>、</w:t>
            </w:r>
            <w:r>
              <w:rPr>
                <w:rFonts w:eastAsiaTheme="minorEastAsia"/>
                <w:szCs w:val="21"/>
              </w:rPr>
              <w:t>Centos</w:t>
            </w:r>
            <w:r>
              <w:rPr>
                <w:rFonts w:hint="eastAsia" w:eastAsiaTheme="minorEastAsia"/>
                <w:szCs w:val="21"/>
              </w:rPr>
              <w:t>等操作系统的</w:t>
            </w:r>
            <w:r>
              <w:rPr>
                <w:rFonts w:eastAsiaTheme="minorEastAsia"/>
                <w:szCs w:val="21"/>
              </w:rPr>
              <w:t>BIOS</w:t>
            </w:r>
            <w:r>
              <w:rPr>
                <w:rFonts w:hint="eastAsia" w:eastAsiaTheme="minorEastAsia"/>
                <w:szCs w:val="21"/>
              </w:rPr>
              <w:t>启动类型的单分区镜像仿真</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7"/>
              </w:numPr>
              <w:jc w:val="center"/>
              <w:rPr>
                <w:rFonts w:asciiTheme="minorHAnsi" w:hAnsiTheme="minorHAnsi"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szCs w:val="21"/>
              </w:rPr>
            </w:pPr>
            <w:r>
              <w:rPr>
                <w:rFonts w:hint="eastAsia" w:eastAsiaTheme="minorEastAsia"/>
                <w:szCs w:val="21"/>
              </w:rPr>
              <w:t>支持</w:t>
            </w:r>
            <w:r>
              <w:rPr>
                <w:rFonts w:eastAsiaTheme="minorEastAsia"/>
                <w:szCs w:val="21"/>
              </w:rPr>
              <w:t>Windows</w:t>
            </w:r>
            <w:r>
              <w:rPr>
                <w:rFonts w:hint="eastAsia" w:eastAsiaTheme="minorEastAsia"/>
                <w:szCs w:val="21"/>
              </w:rPr>
              <w:t>、</w:t>
            </w:r>
            <w:r>
              <w:rPr>
                <w:rFonts w:eastAsiaTheme="minorEastAsia"/>
                <w:szCs w:val="21"/>
              </w:rPr>
              <w:t>Debian</w:t>
            </w:r>
            <w:r>
              <w:rPr>
                <w:rFonts w:hint="eastAsia" w:eastAsiaTheme="minorEastAsia"/>
                <w:szCs w:val="21"/>
              </w:rPr>
              <w:t>、</w:t>
            </w:r>
            <w:r>
              <w:rPr>
                <w:rFonts w:eastAsiaTheme="minorEastAsia"/>
                <w:szCs w:val="21"/>
              </w:rPr>
              <w:t>Ubuntu</w:t>
            </w:r>
            <w:r>
              <w:rPr>
                <w:rFonts w:hint="eastAsia" w:eastAsiaTheme="minorEastAsia"/>
                <w:szCs w:val="21"/>
              </w:rPr>
              <w:t>、</w:t>
            </w:r>
            <w:r>
              <w:rPr>
                <w:rFonts w:eastAsiaTheme="minorEastAsia"/>
                <w:szCs w:val="21"/>
              </w:rPr>
              <w:t>macOS</w:t>
            </w:r>
            <w:r>
              <w:rPr>
                <w:rFonts w:hint="eastAsia" w:eastAsiaTheme="minorEastAsia"/>
                <w:szCs w:val="21"/>
              </w:rPr>
              <w:t>等操作系统的</w:t>
            </w:r>
            <w:r>
              <w:rPr>
                <w:rFonts w:eastAsiaTheme="minorEastAsia"/>
                <w:szCs w:val="21"/>
              </w:rPr>
              <w:t>UEFI</w:t>
            </w:r>
            <w:r>
              <w:rPr>
                <w:rFonts w:hint="eastAsia" w:eastAsiaTheme="minorEastAsia"/>
                <w:szCs w:val="21"/>
              </w:rPr>
              <w:t>启动类型的单分区镜像仿真</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7"/>
              </w:numPr>
              <w:jc w:val="center"/>
              <w:rPr>
                <w:rFonts w:asciiTheme="minorHAnsi" w:hAnsiTheme="minorHAnsi"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szCs w:val="21"/>
              </w:rPr>
            </w:pPr>
            <w:r>
              <w:rPr>
                <w:rFonts w:hint="eastAsia" w:eastAsiaTheme="minorEastAsia"/>
                <w:szCs w:val="21"/>
              </w:rPr>
              <w:t>支持对</w:t>
            </w:r>
            <w:r>
              <w:rPr>
                <w:rFonts w:eastAsiaTheme="minorEastAsia"/>
                <w:szCs w:val="21"/>
              </w:rPr>
              <w:t>Parallels Desktop</w:t>
            </w:r>
            <w:r>
              <w:rPr>
                <w:rFonts w:hint="eastAsia" w:eastAsiaTheme="minorEastAsia"/>
                <w:szCs w:val="21"/>
              </w:rPr>
              <w:t>虚拟机磁盘的仿真，且支持差分快照</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7"/>
              </w:numPr>
              <w:jc w:val="center"/>
              <w:rPr>
                <w:rFonts w:asciiTheme="minorHAnsi" w:hAnsiTheme="minorHAnsi"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支持多仿真历史的配置管理和直接启动，无需重建虚拟机</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7"/>
              </w:numPr>
              <w:jc w:val="center"/>
              <w:rPr>
                <w:rFonts w:eastAsiaTheme="minorEastAsia"/>
                <w:szCs w:val="21"/>
              </w:rPr>
            </w:pPr>
          </w:p>
        </w:tc>
        <w:tc>
          <w:tcPr>
            <w:tcW w:w="1325" w:type="pct"/>
            <w:vMerge w:val="restar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ascii="宋体" w:hAnsi="宋体" w:eastAsiaTheme="minorEastAsia"/>
                <w:szCs w:val="21"/>
              </w:rPr>
              <w:t>介质分析模块</w:t>
            </w:r>
          </w:p>
        </w:tc>
        <w:tc>
          <w:tcPr>
            <w:tcW w:w="2510"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支持</w:t>
            </w:r>
            <w:r>
              <w:rPr>
                <w:rFonts w:eastAsiaTheme="minorEastAsia"/>
                <w:szCs w:val="21"/>
              </w:rPr>
              <w:t>Windows</w:t>
            </w:r>
            <w:r>
              <w:rPr>
                <w:rFonts w:hint="eastAsia" w:eastAsiaTheme="minorEastAsia"/>
                <w:szCs w:val="21"/>
              </w:rPr>
              <w:t>、</w:t>
            </w:r>
            <w:r>
              <w:rPr>
                <w:rFonts w:eastAsiaTheme="minorEastAsia"/>
                <w:szCs w:val="21"/>
              </w:rPr>
              <w:t>Linux</w:t>
            </w:r>
            <w:r>
              <w:rPr>
                <w:rFonts w:hint="eastAsia" w:eastAsiaTheme="minorEastAsia"/>
                <w:szCs w:val="21"/>
              </w:rPr>
              <w:t>、</w:t>
            </w:r>
            <w:r>
              <w:rPr>
                <w:rFonts w:eastAsiaTheme="minorEastAsia"/>
                <w:szCs w:val="21"/>
              </w:rPr>
              <w:t>macOS</w:t>
            </w:r>
            <w:r>
              <w:rPr>
                <w:rFonts w:hint="eastAsia" w:eastAsiaTheme="minorEastAsia"/>
                <w:szCs w:val="21"/>
              </w:rPr>
              <w:t>操作系统解析</w:t>
            </w:r>
          </w:p>
        </w:tc>
        <w:tc>
          <w:tcPr>
            <w:tcW w:w="713" w:type="pct"/>
            <w:vMerge w:val="restar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7"/>
              </w:numPr>
              <w:jc w:val="center"/>
              <w:rPr>
                <w:rFonts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支持</w:t>
            </w:r>
            <w:r>
              <w:rPr>
                <w:rFonts w:eastAsiaTheme="minorEastAsia"/>
                <w:szCs w:val="21"/>
              </w:rPr>
              <w:t>APFS</w:t>
            </w:r>
            <w:r>
              <w:rPr>
                <w:rFonts w:hint="eastAsia" w:eastAsiaTheme="minorEastAsia"/>
                <w:szCs w:val="21"/>
              </w:rPr>
              <w:t>解密加载分析；支持</w:t>
            </w:r>
            <w:r>
              <w:rPr>
                <w:rFonts w:eastAsiaTheme="minorEastAsia"/>
                <w:szCs w:val="21"/>
              </w:rPr>
              <w:t>M1</w:t>
            </w:r>
            <w:r>
              <w:rPr>
                <w:rFonts w:hint="eastAsia" w:eastAsiaTheme="minorEastAsia"/>
                <w:szCs w:val="21"/>
              </w:rPr>
              <w:t>和</w:t>
            </w:r>
            <w:r>
              <w:rPr>
                <w:rFonts w:eastAsiaTheme="minorEastAsia"/>
                <w:szCs w:val="21"/>
              </w:rPr>
              <w:t>M2</w:t>
            </w:r>
            <w:r>
              <w:rPr>
                <w:rFonts w:hint="eastAsia" w:eastAsiaTheme="minorEastAsia"/>
                <w:szCs w:val="21"/>
              </w:rPr>
              <w:t>芯片</w:t>
            </w:r>
            <w:r>
              <w:rPr>
                <w:rFonts w:eastAsiaTheme="minorEastAsia"/>
                <w:szCs w:val="21"/>
              </w:rPr>
              <w:t>macOS</w:t>
            </w:r>
            <w:r>
              <w:rPr>
                <w:rFonts w:hint="eastAsia" w:eastAsiaTheme="minorEastAsia"/>
                <w:szCs w:val="21"/>
              </w:rPr>
              <w:t>通过时间机器制作的备份解析</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7"/>
              </w:numPr>
              <w:jc w:val="center"/>
              <w:rPr>
                <w:rFonts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支持</w:t>
            </w:r>
            <w:r>
              <w:rPr>
                <w:rFonts w:eastAsiaTheme="minorEastAsia"/>
                <w:szCs w:val="21"/>
              </w:rPr>
              <w:t>VHD</w:t>
            </w:r>
            <w:r>
              <w:rPr>
                <w:rFonts w:hint="eastAsia" w:eastAsiaTheme="minorEastAsia"/>
                <w:szCs w:val="21"/>
              </w:rPr>
              <w:t>、</w:t>
            </w:r>
            <w:r>
              <w:rPr>
                <w:rFonts w:eastAsiaTheme="minorEastAsia"/>
                <w:szCs w:val="21"/>
              </w:rPr>
              <w:t>VHDX</w:t>
            </w:r>
            <w:r>
              <w:rPr>
                <w:rFonts w:hint="eastAsia" w:eastAsiaTheme="minorEastAsia"/>
                <w:szCs w:val="21"/>
              </w:rPr>
              <w:t>、</w:t>
            </w:r>
            <w:r>
              <w:rPr>
                <w:rFonts w:eastAsiaTheme="minorEastAsia"/>
                <w:szCs w:val="21"/>
              </w:rPr>
              <w:t>VMDK</w:t>
            </w:r>
            <w:r>
              <w:rPr>
                <w:rFonts w:hint="eastAsia" w:eastAsiaTheme="minorEastAsia"/>
                <w:szCs w:val="21"/>
              </w:rPr>
              <w:t>、</w:t>
            </w:r>
            <w:r>
              <w:rPr>
                <w:rFonts w:eastAsiaTheme="minorEastAsia"/>
                <w:szCs w:val="21"/>
              </w:rPr>
              <w:t>VDI</w:t>
            </w:r>
            <w:r>
              <w:rPr>
                <w:rFonts w:hint="eastAsia" w:eastAsiaTheme="minorEastAsia"/>
                <w:szCs w:val="21"/>
              </w:rPr>
              <w:t>、</w:t>
            </w:r>
            <w:r>
              <w:rPr>
                <w:rFonts w:eastAsiaTheme="minorEastAsia"/>
                <w:szCs w:val="21"/>
              </w:rPr>
              <w:t>QCOW2</w:t>
            </w:r>
            <w:r>
              <w:rPr>
                <w:rFonts w:hint="eastAsia" w:eastAsiaTheme="minorEastAsia"/>
                <w:szCs w:val="21"/>
              </w:rPr>
              <w:t>、</w:t>
            </w:r>
            <w:r>
              <w:rPr>
                <w:rFonts w:eastAsiaTheme="minorEastAsia"/>
                <w:szCs w:val="21"/>
              </w:rPr>
              <w:t>RAW</w:t>
            </w:r>
            <w:r>
              <w:rPr>
                <w:rFonts w:hint="eastAsia" w:eastAsiaTheme="minorEastAsia"/>
                <w:szCs w:val="21"/>
              </w:rPr>
              <w:t>等镜像解析</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7"/>
              </w:numPr>
              <w:jc w:val="center"/>
              <w:rPr>
                <w:rFonts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支持对</w:t>
            </w:r>
            <w:r>
              <w:rPr>
                <w:rFonts w:eastAsiaTheme="minorEastAsia"/>
                <w:szCs w:val="21"/>
              </w:rPr>
              <w:t>Windows</w:t>
            </w:r>
            <w:r>
              <w:rPr>
                <w:rFonts w:hint="eastAsia" w:eastAsiaTheme="minorEastAsia"/>
                <w:szCs w:val="21"/>
              </w:rPr>
              <w:t>系统中账号信息、快捷方式、基本信息、回收站、资源管理器访问记录</w:t>
            </w:r>
            <w:r>
              <w:rPr>
                <w:rFonts w:eastAsiaTheme="minorEastAsia"/>
                <w:szCs w:val="21"/>
              </w:rPr>
              <w:t>/</w:t>
            </w:r>
            <w:r>
              <w:rPr>
                <w:rFonts w:hint="eastAsia" w:eastAsiaTheme="minorEastAsia"/>
                <w:szCs w:val="21"/>
              </w:rPr>
              <w:t>历史记录、</w:t>
            </w:r>
            <w:r>
              <w:rPr>
                <w:rFonts w:eastAsiaTheme="minorEastAsia"/>
                <w:szCs w:val="21"/>
              </w:rPr>
              <w:t>ShimCache</w:t>
            </w:r>
            <w:r>
              <w:rPr>
                <w:rFonts w:hint="eastAsia" w:eastAsiaTheme="minorEastAsia"/>
                <w:szCs w:val="21"/>
              </w:rPr>
              <w:t>、</w:t>
            </w:r>
            <w:r>
              <w:rPr>
                <w:rFonts w:eastAsiaTheme="minorEastAsia"/>
                <w:szCs w:val="21"/>
              </w:rPr>
              <w:t>SSH</w:t>
            </w:r>
            <w:r>
              <w:rPr>
                <w:rFonts w:hint="eastAsia" w:eastAsiaTheme="minorEastAsia"/>
                <w:szCs w:val="21"/>
              </w:rPr>
              <w:t>、</w:t>
            </w:r>
            <w:r>
              <w:rPr>
                <w:rFonts w:eastAsiaTheme="minorEastAsia"/>
                <w:szCs w:val="21"/>
              </w:rPr>
              <w:t>PowerShell</w:t>
            </w:r>
            <w:r>
              <w:rPr>
                <w:rFonts w:hint="eastAsia" w:eastAsiaTheme="minorEastAsia"/>
                <w:szCs w:val="21"/>
              </w:rPr>
              <w:t>终端历史、缩略图、</w:t>
            </w:r>
            <w:r>
              <w:rPr>
                <w:rFonts w:eastAsiaTheme="minorEastAsia"/>
                <w:szCs w:val="21"/>
              </w:rPr>
              <w:t>Win10</w:t>
            </w:r>
            <w:r>
              <w:rPr>
                <w:rFonts w:hint="eastAsia" w:eastAsiaTheme="minorEastAsia"/>
                <w:szCs w:val="21"/>
              </w:rPr>
              <w:t>通知栏、输入法、应用清单、微软便签、</w:t>
            </w:r>
            <w:r>
              <w:rPr>
                <w:rFonts w:eastAsiaTheme="minorEastAsia"/>
                <w:szCs w:val="21"/>
              </w:rPr>
              <w:t>Windows</w:t>
            </w:r>
            <w:r>
              <w:rPr>
                <w:rFonts w:hint="eastAsia" w:eastAsiaTheme="minorEastAsia"/>
                <w:szCs w:val="21"/>
              </w:rPr>
              <w:t>时间轴、用户痕迹、安装软件记录、</w:t>
            </w:r>
            <w:r>
              <w:rPr>
                <w:rFonts w:eastAsiaTheme="minorEastAsia"/>
                <w:szCs w:val="21"/>
              </w:rPr>
              <w:t>Wi-Fi</w:t>
            </w:r>
            <w:r>
              <w:rPr>
                <w:rFonts w:hint="eastAsia" w:eastAsiaTheme="minorEastAsia"/>
                <w:szCs w:val="21"/>
              </w:rPr>
              <w:t>连接记录</w:t>
            </w:r>
            <w:r>
              <w:rPr>
                <w:rFonts w:eastAsiaTheme="minorEastAsia"/>
                <w:szCs w:val="21"/>
              </w:rPr>
              <w:t>&amp;</w:t>
            </w:r>
            <w:r>
              <w:rPr>
                <w:rFonts w:hint="eastAsia" w:eastAsiaTheme="minorEastAsia"/>
                <w:szCs w:val="21"/>
              </w:rPr>
              <w:t>密码、打印记录、卷影记录等使用痕迹的信息分析</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7"/>
              </w:numPr>
              <w:jc w:val="center"/>
              <w:rPr>
                <w:rFonts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ascii="宋体" w:hAnsi="宋体" w:eastAsiaTheme="minorEastAsia"/>
                <w:szCs w:val="21"/>
              </w:rPr>
            </w:pPr>
            <w:r>
              <w:rPr>
                <w:rFonts w:hint="eastAsia" w:eastAsiaTheme="minorEastAsia"/>
                <w:szCs w:val="21"/>
              </w:rPr>
              <w:t>支持</w:t>
            </w:r>
            <w:r>
              <w:rPr>
                <w:rFonts w:eastAsiaTheme="minorEastAsia"/>
                <w:szCs w:val="21"/>
              </w:rPr>
              <w:t>Windows</w:t>
            </w:r>
            <w:r>
              <w:rPr>
                <w:rFonts w:hint="eastAsia" w:eastAsiaTheme="minorEastAsia"/>
                <w:szCs w:val="21"/>
              </w:rPr>
              <w:t>微信通过数据库密钥和扫码解析；支持手机备份至电脑微信聊天记录解析</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7"/>
              </w:numPr>
              <w:jc w:val="center"/>
              <w:rPr>
                <w:rFonts w:asciiTheme="minorHAnsi" w:hAnsiTheme="minorHAnsi"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ascii="宋体" w:hAnsi="宋体" w:eastAsiaTheme="minorEastAsia"/>
                <w:szCs w:val="21"/>
              </w:rPr>
            </w:pPr>
            <w:r>
              <w:rPr>
                <w:rFonts w:hint="eastAsia" w:eastAsiaTheme="minorEastAsia"/>
                <w:szCs w:val="21"/>
              </w:rPr>
              <w:t>支持</w:t>
            </w:r>
            <w:r>
              <w:rPr>
                <w:rFonts w:eastAsiaTheme="minorEastAsia"/>
                <w:szCs w:val="21"/>
              </w:rPr>
              <w:t>Windows</w:t>
            </w:r>
            <w:r>
              <w:rPr>
                <w:rFonts w:hint="eastAsia" w:eastAsiaTheme="minorEastAsia"/>
                <w:szCs w:val="21"/>
              </w:rPr>
              <w:t>企业微信通过数据库密钥和扫码解析</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7"/>
              </w:numPr>
              <w:jc w:val="center"/>
              <w:rPr>
                <w:rFonts w:asciiTheme="minorHAnsi" w:hAnsiTheme="minorHAnsi"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ascii="宋体" w:hAnsi="宋体" w:eastAsiaTheme="minorEastAsia"/>
                <w:szCs w:val="21"/>
              </w:rPr>
            </w:pPr>
            <w:r>
              <w:rPr>
                <w:rFonts w:hint="eastAsia" w:eastAsiaTheme="minorEastAsia"/>
                <w:szCs w:val="21"/>
              </w:rPr>
              <w:t>支持</w:t>
            </w:r>
            <w:r>
              <w:rPr>
                <w:rFonts w:eastAsiaTheme="minorEastAsia"/>
                <w:szCs w:val="21"/>
              </w:rPr>
              <w:t>Windows QQ</w:t>
            </w:r>
            <w:r>
              <w:rPr>
                <w:rFonts w:hint="eastAsia" w:eastAsiaTheme="minorEastAsia"/>
                <w:szCs w:val="21"/>
              </w:rPr>
              <w:t>通过扫码、密码、数据库密钥多种方式解析</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7"/>
              </w:numPr>
              <w:jc w:val="center"/>
              <w:rPr>
                <w:rFonts w:asciiTheme="minorHAnsi" w:hAnsiTheme="minorHAnsi"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ascii="宋体" w:hAnsi="宋体" w:eastAsiaTheme="minorEastAsia"/>
                <w:szCs w:val="21"/>
              </w:rPr>
            </w:pPr>
            <w:r>
              <w:rPr>
                <w:rFonts w:hint="eastAsia" w:eastAsiaTheme="minorEastAsia"/>
                <w:szCs w:val="21"/>
              </w:rPr>
              <w:t>支持</w:t>
            </w:r>
            <w:r>
              <w:rPr>
                <w:rFonts w:eastAsiaTheme="minorEastAsia"/>
                <w:szCs w:val="21"/>
              </w:rPr>
              <w:t>Windows</w:t>
            </w:r>
            <w:r>
              <w:rPr>
                <w:rFonts w:hint="eastAsia" w:eastAsiaTheme="minorEastAsia"/>
                <w:szCs w:val="21"/>
              </w:rPr>
              <w:t>浏览器、即时通讯软件、邮箱工具软件、下载工具软件、网络云盘软件、远程连接工具、音视频、办公、安全、工具等软件解析</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7"/>
              </w:numPr>
              <w:jc w:val="center"/>
              <w:rPr>
                <w:rFonts w:asciiTheme="minorHAnsi" w:hAnsiTheme="minorHAnsi"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ascii="宋体" w:hAnsi="宋体" w:eastAsiaTheme="minorEastAsia"/>
                <w:szCs w:val="21"/>
              </w:rPr>
            </w:pPr>
            <w:r>
              <w:rPr>
                <w:rFonts w:hint="eastAsia" w:eastAsiaTheme="minorEastAsia"/>
                <w:szCs w:val="21"/>
              </w:rPr>
              <w:t>支持</w:t>
            </w:r>
            <w:r>
              <w:rPr>
                <w:rFonts w:eastAsiaTheme="minorEastAsia"/>
                <w:szCs w:val="21"/>
              </w:rPr>
              <w:t>Windows Telegram</w:t>
            </w:r>
            <w:r>
              <w:rPr>
                <w:rFonts w:hint="eastAsia" w:eastAsiaTheme="minorEastAsia"/>
                <w:szCs w:val="21"/>
              </w:rPr>
              <w:t>导出</w:t>
            </w:r>
            <w:r>
              <w:rPr>
                <w:rFonts w:eastAsiaTheme="minorEastAsia"/>
                <w:szCs w:val="21"/>
              </w:rPr>
              <w:t>json</w:t>
            </w:r>
            <w:r>
              <w:rPr>
                <w:rFonts w:hint="eastAsia" w:eastAsiaTheme="minorEastAsia"/>
                <w:szCs w:val="21"/>
              </w:rPr>
              <w:t>格式数据解析</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7"/>
              </w:numPr>
              <w:jc w:val="center"/>
              <w:rPr>
                <w:rFonts w:asciiTheme="minorHAnsi" w:hAnsiTheme="minorHAnsi"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ascii="宋体" w:hAnsi="宋体" w:eastAsiaTheme="minorEastAsia"/>
                <w:szCs w:val="21"/>
              </w:rPr>
            </w:pPr>
            <w:r>
              <w:rPr>
                <w:rFonts w:hint="eastAsia" w:eastAsiaTheme="minorEastAsia"/>
                <w:szCs w:val="21"/>
              </w:rPr>
              <w:t>支持</w:t>
            </w:r>
            <w:r>
              <w:rPr>
                <w:rFonts w:eastAsiaTheme="minorEastAsia"/>
                <w:szCs w:val="21"/>
              </w:rPr>
              <w:t>macOS</w:t>
            </w:r>
            <w:r>
              <w:rPr>
                <w:rFonts w:hint="eastAsia" w:eastAsiaTheme="minorEastAsia"/>
                <w:szCs w:val="21"/>
              </w:rPr>
              <w:t>操作系统中系统信息、系统服务、启动项、通讯录、</w:t>
            </w:r>
            <w:r>
              <w:rPr>
                <w:rFonts w:eastAsiaTheme="minorEastAsia"/>
                <w:szCs w:val="21"/>
              </w:rPr>
              <w:t>iMessage</w:t>
            </w:r>
            <w:r>
              <w:rPr>
                <w:rFonts w:hint="eastAsia" w:eastAsiaTheme="minorEastAsia"/>
                <w:szCs w:val="21"/>
              </w:rPr>
              <w:t>、钥匙串、安装信息、文件系统日志、网络使用情况、便笺的分析</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7"/>
              </w:numPr>
              <w:jc w:val="center"/>
              <w:rPr>
                <w:rFonts w:asciiTheme="minorHAnsi" w:hAnsiTheme="minorHAnsi"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支持</w:t>
            </w:r>
            <w:r>
              <w:rPr>
                <w:rFonts w:eastAsiaTheme="minorEastAsia"/>
                <w:szCs w:val="21"/>
              </w:rPr>
              <w:t>macOS</w:t>
            </w:r>
            <w:r>
              <w:rPr>
                <w:rFonts w:hint="eastAsia" w:eastAsiaTheme="minorEastAsia"/>
                <w:szCs w:val="21"/>
              </w:rPr>
              <w:t>操作系统主流浏览器、钉钉应用分析、有道云笔记、邮箱软件、</w:t>
            </w:r>
            <w:r>
              <w:rPr>
                <w:rFonts w:eastAsiaTheme="minorEastAsia"/>
                <w:szCs w:val="21"/>
              </w:rPr>
              <w:t>Office</w:t>
            </w:r>
            <w:r>
              <w:rPr>
                <w:rFonts w:hint="eastAsia" w:eastAsiaTheme="minorEastAsia"/>
                <w:szCs w:val="21"/>
              </w:rPr>
              <w:t>文件、</w:t>
            </w:r>
            <w:r>
              <w:rPr>
                <w:rFonts w:eastAsiaTheme="minorEastAsia"/>
                <w:szCs w:val="21"/>
              </w:rPr>
              <w:t>115</w:t>
            </w:r>
            <w:r>
              <w:rPr>
                <w:rFonts w:hint="eastAsia" w:eastAsiaTheme="minorEastAsia"/>
                <w:szCs w:val="21"/>
              </w:rPr>
              <w:t>网盘、最近打开文档、</w:t>
            </w:r>
            <w:r>
              <w:rPr>
                <w:rFonts w:eastAsiaTheme="minorEastAsia"/>
                <w:szCs w:val="21"/>
              </w:rPr>
              <w:t>MySQL</w:t>
            </w:r>
            <w:r>
              <w:rPr>
                <w:rFonts w:hint="eastAsia" w:eastAsiaTheme="minorEastAsia"/>
                <w:szCs w:val="21"/>
              </w:rPr>
              <w:t>数据库解析、</w:t>
            </w:r>
            <w:r>
              <w:rPr>
                <w:rFonts w:eastAsiaTheme="minorEastAsia"/>
                <w:szCs w:val="21"/>
              </w:rPr>
              <w:t>Line</w:t>
            </w:r>
            <w:r>
              <w:rPr>
                <w:rFonts w:hint="eastAsia" w:eastAsiaTheme="minorEastAsia"/>
                <w:szCs w:val="21"/>
              </w:rPr>
              <w:t>应用等的解析</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7"/>
              </w:numPr>
              <w:jc w:val="center"/>
              <w:rPr>
                <w:rFonts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支持</w:t>
            </w:r>
            <w:r>
              <w:rPr>
                <w:rFonts w:eastAsiaTheme="minorEastAsia"/>
                <w:szCs w:val="21"/>
              </w:rPr>
              <w:t>macOS</w:t>
            </w:r>
            <w:r>
              <w:rPr>
                <w:rFonts w:hint="eastAsia" w:eastAsiaTheme="minorEastAsia"/>
                <w:szCs w:val="21"/>
              </w:rPr>
              <w:t>微信、企业微信扫码解析</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7"/>
              </w:numPr>
              <w:jc w:val="center"/>
              <w:rPr>
                <w:rFonts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支持</w:t>
            </w:r>
            <w:r>
              <w:rPr>
                <w:rFonts w:eastAsiaTheme="minorEastAsia"/>
                <w:szCs w:val="21"/>
              </w:rPr>
              <w:t>Linux</w:t>
            </w:r>
            <w:r>
              <w:rPr>
                <w:rFonts w:hint="eastAsia" w:eastAsiaTheme="minorEastAsia"/>
                <w:szCs w:val="21"/>
              </w:rPr>
              <w:t>操作系统基本信息的分析，包括但不限于日志、软件、</w:t>
            </w:r>
            <w:r>
              <w:rPr>
                <w:rFonts w:eastAsiaTheme="minorEastAsia"/>
                <w:szCs w:val="21"/>
              </w:rPr>
              <w:t>bash</w:t>
            </w:r>
            <w:r>
              <w:rPr>
                <w:rFonts w:hint="eastAsia" w:eastAsiaTheme="minorEastAsia"/>
                <w:szCs w:val="21"/>
              </w:rPr>
              <w:t>、服务、登录、开关机、系统信息等</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7"/>
              </w:numPr>
              <w:jc w:val="center"/>
              <w:rPr>
                <w:rFonts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支持</w:t>
            </w:r>
            <w:r>
              <w:rPr>
                <w:rFonts w:eastAsiaTheme="minorEastAsia"/>
                <w:szCs w:val="21"/>
              </w:rPr>
              <w:t>Linux</w:t>
            </w:r>
            <w:r>
              <w:rPr>
                <w:rFonts w:hint="eastAsia" w:eastAsiaTheme="minorEastAsia"/>
                <w:szCs w:val="21"/>
              </w:rPr>
              <w:t>操作系统中常见</w:t>
            </w:r>
            <w:r>
              <w:rPr>
                <w:rFonts w:eastAsiaTheme="minorEastAsia"/>
                <w:szCs w:val="21"/>
              </w:rPr>
              <w:t>Web</w:t>
            </w:r>
            <w:r>
              <w:rPr>
                <w:rFonts w:hint="eastAsia" w:eastAsiaTheme="minorEastAsia"/>
                <w:szCs w:val="21"/>
              </w:rPr>
              <w:t>服务配置、日志、用户数据、宝塔面板、</w:t>
            </w:r>
            <w:r>
              <w:rPr>
                <w:rFonts w:eastAsiaTheme="minorEastAsia"/>
                <w:szCs w:val="21"/>
              </w:rPr>
              <w:t>MySQL</w:t>
            </w:r>
            <w:r>
              <w:rPr>
                <w:rFonts w:hint="eastAsia" w:eastAsiaTheme="minorEastAsia"/>
                <w:szCs w:val="21"/>
              </w:rPr>
              <w:t>的分析，含</w:t>
            </w:r>
            <w:r>
              <w:rPr>
                <w:rFonts w:eastAsiaTheme="minorEastAsia"/>
                <w:szCs w:val="21"/>
              </w:rPr>
              <w:t>Nginx</w:t>
            </w:r>
            <w:r>
              <w:rPr>
                <w:rFonts w:hint="eastAsia" w:eastAsiaTheme="minorEastAsia"/>
                <w:szCs w:val="21"/>
              </w:rPr>
              <w:t>配置与日志、</w:t>
            </w:r>
            <w:r>
              <w:rPr>
                <w:rFonts w:eastAsiaTheme="minorEastAsia"/>
                <w:szCs w:val="21"/>
              </w:rPr>
              <w:t>Apache</w:t>
            </w:r>
            <w:r>
              <w:rPr>
                <w:rFonts w:hint="eastAsia" w:eastAsiaTheme="minorEastAsia"/>
                <w:szCs w:val="21"/>
              </w:rPr>
              <w:t>配置等</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7"/>
              </w:numPr>
              <w:jc w:val="center"/>
              <w:rPr>
                <w:rFonts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支持地理位置点、路线聚合展示，路线轨迹可进行自动回放，地理位置数据可按照来源检材、标记、来源应用、时间范围等多条件组合智能筛选</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7"/>
              </w:numPr>
              <w:jc w:val="center"/>
              <w:rPr>
                <w:rFonts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支持检材中所有数据（应用分析结果、文件系统）以时间线的形式进行展示，可以自定义时间、数据来源进行针对性的筛选</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7"/>
              </w:numPr>
              <w:jc w:val="center"/>
              <w:rPr>
                <w:rFonts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支持磁盘阵列（</w:t>
            </w:r>
            <w:r>
              <w:rPr>
                <w:rFonts w:eastAsiaTheme="minorEastAsia"/>
                <w:szCs w:val="21"/>
              </w:rPr>
              <w:t>RAID</w:t>
            </w:r>
            <w:r>
              <w:rPr>
                <w:rFonts w:hint="eastAsia" w:eastAsiaTheme="minorEastAsia"/>
                <w:szCs w:val="21"/>
              </w:rPr>
              <w:t>）类型检材信息检测、重组及解析</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7"/>
              </w:numPr>
              <w:jc w:val="center"/>
              <w:rPr>
                <w:rFonts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支持定制脚本功能，可通过编写脚本处理证据信息，对取证功能进行扩展</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7"/>
              </w:numPr>
              <w:jc w:val="center"/>
              <w:rPr>
                <w:rFonts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支持生成、上传部标格式数据包</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7"/>
              </w:numPr>
              <w:jc w:val="center"/>
              <w:rPr>
                <w:rFonts w:eastAsiaTheme="minorEastAsia"/>
                <w:szCs w:val="21"/>
              </w:rPr>
            </w:pPr>
          </w:p>
        </w:tc>
        <w:tc>
          <w:tcPr>
            <w:tcW w:w="1325"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物联网管理</w:t>
            </w:r>
            <w:r>
              <w:rPr>
                <w:rFonts w:eastAsiaTheme="minorEastAsia"/>
                <w:szCs w:val="21"/>
              </w:rPr>
              <w:t>API</w:t>
            </w:r>
          </w:p>
        </w:tc>
        <w:tc>
          <w:tcPr>
            <w:tcW w:w="2510"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支持开放的物联网管理</w:t>
            </w:r>
            <w:r>
              <w:rPr>
                <w:rFonts w:eastAsiaTheme="minorEastAsia"/>
                <w:szCs w:val="21"/>
              </w:rPr>
              <w:t>API</w:t>
            </w:r>
            <w:r>
              <w:rPr>
                <w:rFonts w:hint="eastAsia" w:eastAsiaTheme="minorEastAsia"/>
                <w:szCs w:val="21"/>
              </w:rPr>
              <w:t>接口，供实验室管理系统采集设备工作状态和工作量</w:t>
            </w:r>
          </w:p>
        </w:tc>
        <w:tc>
          <w:tcPr>
            <w:tcW w:w="713"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提供软件功能截图</w:t>
            </w:r>
          </w:p>
        </w:tc>
      </w:tr>
    </w:tbl>
    <w:p>
      <w:pPr>
        <w:rPr>
          <w:rFonts w:asciiTheme="minorHAnsi" w:hAnsiTheme="minorHAnsi" w:eastAsiaTheme="minorEastAsia" w:cstheme="minorBidi"/>
          <w:kern w:val="2"/>
          <w:szCs w:val="21"/>
        </w:rPr>
      </w:pPr>
    </w:p>
    <w:p>
      <w:pPr>
        <w:pStyle w:val="5"/>
        <w:spacing w:before="15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w:t>
      </w:r>
      <w:r>
        <w:rPr>
          <w:rFonts w:asciiTheme="minorEastAsia" w:hAnsiTheme="minorEastAsia" w:eastAsiaTheme="minorEastAsia" w:cstheme="minorEastAsia"/>
          <w:szCs w:val="21"/>
        </w:rPr>
        <w:t>4</w:t>
      </w:r>
      <w:r>
        <w:rPr>
          <w:rFonts w:hint="eastAsia" w:asciiTheme="minorEastAsia" w:hAnsiTheme="minorEastAsia" w:eastAsiaTheme="minorEastAsia" w:cstheme="minorEastAsia"/>
          <w:szCs w:val="21"/>
        </w:rPr>
        <w:t>包一体化电子取证工作站</w:t>
      </w:r>
      <w:r>
        <w:rPr>
          <w:rFonts w:hint="default" w:ascii="Times New Roman" w:hAnsi="Times New Roman" w:cs="Times New Roman" w:eastAsiaTheme="minorEastAsia"/>
          <w:szCs w:val="21"/>
        </w:rPr>
        <w:t>Ⅱ</w:t>
      </w:r>
    </w:p>
    <w:tbl>
      <w:tblPr>
        <w:tblStyle w:val="81"/>
        <w:tblW w:w="458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2070"/>
        <w:gridCol w:w="3922"/>
        <w:gridCol w:w="1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
                <w:szCs w:val="21"/>
              </w:rPr>
            </w:pPr>
            <w:r>
              <w:rPr>
                <w:rFonts w:hint="eastAsia" w:ascii="Times New Roman" w:hAnsi="Times New Roman" w:eastAsiaTheme="minorEastAsia"/>
                <w:b/>
                <w:szCs w:val="21"/>
              </w:rPr>
              <w:t>序号</w:t>
            </w:r>
          </w:p>
        </w:tc>
        <w:tc>
          <w:tcPr>
            <w:tcW w:w="1325"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b/>
                <w:szCs w:val="21"/>
              </w:rPr>
            </w:pPr>
            <w:r>
              <w:rPr>
                <w:rFonts w:hint="eastAsia" w:ascii="Times New Roman" w:hAnsi="Times New Roman" w:eastAsiaTheme="minorEastAsia"/>
                <w:b/>
                <w:szCs w:val="21"/>
              </w:rPr>
              <w:t>指标项</w:t>
            </w:r>
          </w:p>
        </w:tc>
        <w:tc>
          <w:tcPr>
            <w:tcW w:w="2510" w:type="pct"/>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szCs w:val="21"/>
              </w:rPr>
            </w:pPr>
            <w:r>
              <w:rPr>
                <w:rFonts w:hint="eastAsia" w:ascii="Times New Roman" w:hAnsi="Times New Roman" w:eastAsiaTheme="minorEastAsia"/>
                <w:b/>
                <w:szCs w:val="21"/>
              </w:rPr>
              <w:t>指标要求</w:t>
            </w:r>
          </w:p>
        </w:tc>
        <w:tc>
          <w:tcPr>
            <w:tcW w:w="713"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b/>
                <w:szCs w:val="21"/>
              </w:rPr>
            </w:pPr>
            <w:r>
              <w:rPr>
                <w:rFonts w:hint="eastAsia" w:ascii="Times New Roman" w:hAnsi="Times New Roman" w:eastAsiaTheme="minorEastAsia"/>
                <w:b/>
                <w:szCs w:val="21"/>
              </w:rPr>
              <w:t>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8"/>
              </w:numPr>
              <w:jc w:val="center"/>
              <w:rPr>
                <w:rFonts w:asciiTheme="minorHAnsi" w:hAnsiTheme="minorHAnsi" w:eastAsiaTheme="minorEastAsia"/>
                <w:szCs w:val="21"/>
              </w:rPr>
            </w:pPr>
          </w:p>
        </w:tc>
        <w:tc>
          <w:tcPr>
            <w:tcW w:w="1325"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b/>
                <w:szCs w:val="21"/>
              </w:rPr>
            </w:pPr>
            <w:r>
              <w:rPr>
                <w:rFonts w:hint="eastAsia" w:ascii="Times New Roman" w:hAnsi="Times New Roman" w:eastAsiaTheme="minorEastAsia"/>
                <w:b/>
                <w:szCs w:val="21"/>
              </w:rPr>
              <w:t>硬件要求</w:t>
            </w:r>
          </w:p>
        </w:tc>
        <w:tc>
          <w:tcPr>
            <w:tcW w:w="2510" w:type="pct"/>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szCs w:val="21"/>
              </w:rPr>
            </w:pPr>
            <w:r>
              <w:rPr>
                <w:rFonts w:hint="eastAsia" w:eastAsiaTheme="minorEastAsia"/>
                <w:szCs w:val="21"/>
              </w:rPr>
              <w:t>处理器：不低于</w:t>
            </w:r>
            <w:r>
              <w:rPr>
                <w:rFonts w:eastAsiaTheme="minorEastAsia"/>
                <w:szCs w:val="21"/>
              </w:rPr>
              <w:t>3.2GHz</w:t>
            </w:r>
            <w:r>
              <w:rPr>
                <w:rFonts w:hint="eastAsia" w:eastAsiaTheme="minorEastAsia"/>
                <w:szCs w:val="21"/>
              </w:rPr>
              <w:t>主频</w:t>
            </w:r>
            <w:r>
              <w:rPr>
                <w:rFonts w:eastAsiaTheme="minorEastAsia"/>
                <w:szCs w:val="21"/>
              </w:rPr>
              <w:t>10</w:t>
            </w:r>
            <w:r>
              <w:rPr>
                <w:rFonts w:hint="eastAsia" w:eastAsiaTheme="minorEastAsia"/>
                <w:szCs w:val="21"/>
              </w:rPr>
              <w:t>纳米制程工艺</w:t>
            </w:r>
            <w:r>
              <w:rPr>
                <w:rFonts w:eastAsiaTheme="minorEastAsia"/>
                <w:szCs w:val="21"/>
              </w:rPr>
              <w:t>16</w:t>
            </w:r>
            <w:r>
              <w:rPr>
                <w:rFonts w:hint="eastAsia" w:eastAsiaTheme="minorEastAsia"/>
                <w:szCs w:val="21"/>
              </w:rPr>
              <w:t>核心</w:t>
            </w:r>
            <w:r>
              <w:rPr>
                <w:rFonts w:eastAsiaTheme="minorEastAsia"/>
                <w:szCs w:val="21"/>
              </w:rPr>
              <w:t>24</w:t>
            </w:r>
            <w:r>
              <w:rPr>
                <w:rFonts w:hint="eastAsia" w:eastAsiaTheme="minorEastAsia"/>
                <w:szCs w:val="21"/>
              </w:rPr>
              <w:t>线程处理器；</w:t>
            </w:r>
          </w:p>
          <w:p>
            <w:pPr>
              <w:rPr>
                <w:rFonts w:eastAsiaTheme="minorEastAsia"/>
                <w:szCs w:val="21"/>
              </w:rPr>
            </w:pPr>
            <w:r>
              <w:rPr>
                <w:rFonts w:hint="eastAsia" w:eastAsiaTheme="minorEastAsia"/>
                <w:szCs w:val="21"/>
              </w:rPr>
              <w:t>内存：不低于</w:t>
            </w:r>
            <w:r>
              <w:rPr>
                <w:rFonts w:eastAsiaTheme="minorEastAsia"/>
                <w:szCs w:val="21"/>
              </w:rPr>
              <w:t>5</w:t>
            </w:r>
            <w:r>
              <w:rPr>
                <w:rFonts w:hint="eastAsia" w:eastAsiaTheme="minorEastAsia"/>
                <w:szCs w:val="21"/>
              </w:rPr>
              <w:t>代临时物理存储</w:t>
            </w:r>
            <w:r>
              <w:rPr>
                <w:rFonts w:eastAsiaTheme="minorEastAsia"/>
                <w:szCs w:val="21"/>
              </w:rPr>
              <w:t>64GB</w:t>
            </w:r>
            <w:r>
              <w:rPr>
                <w:rFonts w:hint="eastAsia" w:eastAsiaTheme="minorEastAsia"/>
                <w:szCs w:val="21"/>
              </w:rPr>
              <w:t>；</w:t>
            </w:r>
          </w:p>
          <w:p>
            <w:pPr>
              <w:rPr>
                <w:rFonts w:eastAsiaTheme="minorEastAsia"/>
                <w:szCs w:val="21"/>
              </w:rPr>
            </w:pPr>
            <w:r>
              <w:rPr>
                <w:rFonts w:hint="eastAsia" w:eastAsiaTheme="minorEastAsia"/>
                <w:szCs w:val="21"/>
              </w:rPr>
              <w:t>存储：不少于</w:t>
            </w:r>
            <w:r>
              <w:rPr>
                <w:rFonts w:eastAsiaTheme="minorEastAsia"/>
                <w:szCs w:val="21"/>
              </w:rPr>
              <w:t>500G SSD + 8TB SSD + 18T HDD</w:t>
            </w:r>
            <w:r>
              <w:rPr>
                <w:rFonts w:hint="eastAsia" w:eastAsiaTheme="minorEastAsia"/>
                <w:szCs w:val="21"/>
              </w:rPr>
              <w:t>硬盘</w:t>
            </w:r>
          </w:p>
          <w:p>
            <w:pPr>
              <w:rPr>
                <w:rFonts w:eastAsiaTheme="minorEastAsia"/>
                <w:szCs w:val="21"/>
              </w:rPr>
            </w:pPr>
            <w:r>
              <w:rPr>
                <w:rFonts w:hint="eastAsia" w:eastAsiaTheme="minorEastAsia"/>
                <w:szCs w:val="21"/>
              </w:rPr>
              <w:t>显卡：不低于主频</w:t>
            </w:r>
            <w:r>
              <w:rPr>
                <w:rFonts w:eastAsiaTheme="minorEastAsia"/>
                <w:szCs w:val="21"/>
              </w:rPr>
              <w:t>2460MHz</w:t>
            </w:r>
            <w:r>
              <w:rPr>
                <w:rFonts w:hint="eastAsia" w:eastAsiaTheme="minorEastAsia"/>
                <w:szCs w:val="21"/>
              </w:rPr>
              <w:t>，显存频率不低于</w:t>
            </w:r>
            <w:r>
              <w:rPr>
                <w:rFonts w:eastAsiaTheme="minorEastAsia"/>
                <w:szCs w:val="21"/>
              </w:rPr>
              <w:t>17000MHz</w:t>
            </w:r>
            <w:r>
              <w:rPr>
                <w:rFonts w:hint="eastAsia" w:eastAsiaTheme="minorEastAsia"/>
                <w:szCs w:val="21"/>
              </w:rPr>
              <w:t>显存不低于</w:t>
            </w:r>
            <w:r>
              <w:rPr>
                <w:rFonts w:eastAsiaTheme="minorEastAsia"/>
                <w:szCs w:val="21"/>
              </w:rPr>
              <w:t>8GB</w:t>
            </w:r>
            <w:r>
              <w:rPr>
                <w:rFonts w:hint="eastAsia" w:eastAsiaTheme="minorEastAsia"/>
                <w:szCs w:val="21"/>
              </w:rPr>
              <w:t>，</w:t>
            </w:r>
          </w:p>
          <w:p>
            <w:pPr>
              <w:rPr>
                <w:rFonts w:eastAsiaTheme="minorEastAsia"/>
                <w:szCs w:val="21"/>
              </w:rPr>
            </w:pPr>
            <w:r>
              <w:rPr>
                <w:rFonts w:hint="eastAsia" w:eastAsiaTheme="minorEastAsia"/>
                <w:szCs w:val="21"/>
              </w:rPr>
              <w:t>显示器：不低于</w:t>
            </w:r>
            <w:r>
              <w:rPr>
                <w:rFonts w:eastAsiaTheme="minorEastAsia"/>
                <w:szCs w:val="21"/>
              </w:rPr>
              <w:t xml:space="preserve">34 </w:t>
            </w:r>
            <w:r>
              <w:rPr>
                <w:rFonts w:hint="eastAsia" w:eastAsiaTheme="minorEastAsia"/>
                <w:szCs w:val="21"/>
              </w:rPr>
              <w:t>寸</w:t>
            </w:r>
          </w:p>
          <w:p>
            <w:pPr>
              <w:rPr>
                <w:rFonts w:eastAsiaTheme="minorEastAsia"/>
                <w:szCs w:val="21"/>
              </w:rPr>
            </w:pPr>
            <w:r>
              <w:rPr>
                <w:rFonts w:hint="eastAsia" w:eastAsiaTheme="minorEastAsia"/>
                <w:szCs w:val="21"/>
              </w:rPr>
              <w:t>光驱：不少于</w:t>
            </w:r>
            <w:r>
              <w:rPr>
                <w:rFonts w:eastAsiaTheme="minorEastAsia"/>
                <w:szCs w:val="21"/>
              </w:rPr>
              <w:t>1</w:t>
            </w:r>
            <w:r>
              <w:rPr>
                <w:rFonts w:hint="eastAsia" w:eastAsiaTheme="minorEastAsia"/>
                <w:szCs w:val="21"/>
              </w:rPr>
              <w:t>个蓝光刻录机</w:t>
            </w:r>
          </w:p>
          <w:p>
            <w:pPr>
              <w:rPr>
                <w:rFonts w:eastAsiaTheme="minorEastAsia"/>
                <w:szCs w:val="21"/>
              </w:rPr>
            </w:pPr>
            <w:r>
              <w:rPr>
                <w:rFonts w:hint="eastAsia" w:eastAsiaTheme="minorEastAsia"/>
                <w:szCs w:val="21"/>
              </w:rPr>
              <w:t>接口：配备一套多功能只读锁</w:t>
            </w:r>
            <w:r>
              <w:rPr>
                <w:rFonts w:eastAsiaTheme="minorEastAsia"/>
                <w:szCs w:val="21"/>
              </w:rPr>
              <w:t>(PCIE</w:t>
            </w:r>
            <w:r>
              <w:rPr>
                <w:rFonts w:hint="eastAsia" w:eastAsiaTheme="minorEastAsia"/>
                <w:szCs w:val="21"/>
              </w:rPr>
              <w:t>、</w:t>
            </w:r>
            <w:r>
              <w:rPr>
                <w:rFonts w:eastAsiaTheme="minorEastAsia"/>
                <w:szCs w:val="21"/>
              </w:rPr>
              <w:t>SATA</w:t>
            </w:r>
            <w:r>
              <w:rPr>
                <w:rFonts w:hint="eastAsia" w:eastAsiaTheme="minorEastAsia"/>
                <w:szCs w:val="21"/>
              </w:rPr>
              <w:t>、</w:t>
            </w:r>
            <w:r>
              <w:rPr>
                <w:rFonts w:eastAsiaTheme="minorEastAsia"/>
                <w:szCs w:val="21"/>
              </w:rPr>
              <w:t>USB3.0</w:t>
            </w:r>
            <w:r>
              <w:rPr>
                <w:rFonts w:hint="eastAsia" w:eastAsiaTheme="minorEastAsia"/>
                <w:szCs w:val="21"/>
              </w:rPr>
              <w:t>、读卡器、</w:t>
            </w:r>
            <w:r>
              <w:rPr>
                <w:rFonts w:eastAsiaTheme="minorEastAsia"/>
                <w:szCs w:val="21"/>
              </w:rPr>
              <w:t>IDE)</w:t>
            </w:r>
            <w:r>
              <w:rPr>
                <w:rFonts w:hint="eastAsia" w:eastAsiaTheme="minorEastAsia"/>
                <w:szCs w:val="21"/>
              </w:rPr>
              <w:t>、不少于</w:t>
            </w:r>
            <w:r>
              <w:rPr>
                <w:rFonts w:eastAsiaTheme="minorEastAsia"/>
                <w:szCs w:val="21"/>
              </w:rPr>
              <w:t>4</w:t>
            </w:r>
            <w:r>
              <w:rPr>
                <w:rFonts w:hint="eastAsia" w:eastAsiaTheme="minorEastAsia"/>
                <w:szCs w:val="21"/>
              </w:rPr>
              <w:t>个</w:t>
            </w:r>
            <w:r>
              <w:rPr>
                <w:rFonts w:eastAsiaTheme="minorEastAsia"/>
                <w:szCs w:val="21"/>
              </w:rPr>
              <w:t xml:space="preserve">3.5 </w:t>
            </w:r>
            <w:r>
              <w:rPr>
                <w:rFonts w:hint="eastAsia" w:eastAsiaTheme="minorEastAsia"/>
                <w:szCs w:val="21"/>
              </w:rPr>
              <w:t>寸</w:t>
            </w:r>
            <w:r>
              <w:rPr>
                <w:rFonts w:eastAsiaTheme="minorEastAsia"/>
                <w:szCs w:val="21"/>
              </w:rPr>
              <w:t xml:space="preserve"> SAS/SATA </w:t>
            </w:r>
            <w:r>
              <w:rPr>
                <w:rFonts w:hint="eastAsia" w:eastAsiaTheme="minorEastAsia"/>
                <w:szCs w:val="21"/>
              </w:rPr>
              <w:t>只读硬盘热拔插仓、不少于</w:t>
            </w:r>
            <w:r>
              <w:rPr>
                <w:rFonts w:eastAsiaTheme="minorEastAsia"/>
                <w:szCs w:val="21"/>
              </w:rPr>
              <w:t>4</w:t>
            </w:r>
            <w:r>
              <w:rPr>
                <w:rFonts w:hint="eastAsia" w:eastAsiaTheme="minorEastAsia"/>
                <w:szCs w:val="21"/>
              </w:rPr>
              <w:t>个</w:t>
            </w:r>
            <w:r>
              <w:rPr>
                <w:rFonts w:eastAsiaTheme="minorEastAsia"/>
                <w:szCs w:val="21"/>
              </w:rPr>
              <w:t xml:space="preserve">3.5 </w:t>
            </w:r>
            <w:r>
              <w:rPr>
                <w:rFonts w:hint="eastAsia" w:eastAsiaTheme="minorEastAsia"/>
                <w:szCs w:val="21"/>
              </w:rPr>
              <w:t>寸</w:t>
            </w:r>
            <w:r>
              <w:rPr>
                <w:rFonts w:eastAsiaTheme="minorEastAsia"/>
                <w:szCs w:val="21"/>
              </w:rPr>
              <w:t xml:space="preserve"> SAS/SATA </w:t>
            </w:r>
            <w:r>
              <w:rPr>
                <w:rFonts w:hint="eastAsia" w:eastAsiaTheme="minorEastAsia"/>
                <w:szCs w:val="21"/>
              </w:rPr>
              <w:t>读写硬盘热拔插仓</w:t>
            </w:r>
          </w:p>
          <w:p>
            <w:pPr>
              <w:rPr>
                <w:rFonts w:ascii="Times New Roman" w:hAnsi="Times New Roman" w:eastAsiaTheme="minorEastAsia"/>
                <w:b/>
                <w:szCs w:val="21"/>
              </w:rPr>
            </w:pPr>
            <w:r>
              <w:rPr>
                <w:rFonts w:hint="eastAsia" w:eastAsiaTheme="minorEastAsia"/>
                <w:szCs w:val="21"/>
              </w:rPr>
              <w:t>网络：不少于</w:t>
            </w:r>
            <w:r>
              <w:rPr>
                <w:rFonts w:eastAsiaTheme="minorEastAsia"/>
                <w:szCs w:val="21"/>
              </w:rPr>
              <w:t>1</w:t>
            </w:r>
            <w:r>
              <w:rPr>
                <w:rFonts w:hint="eastAsia" w:eastAsiaTheme="minorEastAsia"/>
                <w:szCs w:val="21"/>
              </w:rPr>
              <w:t>个千兆电口</w:t>
            </w:r>
          </w:p>
        </w:tc>
        <w:tc>
          <w:tcPr>
            <w:tcW w:w="713"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b/>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8"/>
              </w:numPr>
              <w:jc w:val="center"/>
              <w:rPr>
                <w:rFonts w:asciiTheme="minorHAnsi" w:hAnsiTheme="minorHAnsi" w:eastAsiaTheme="minorEastAsia"/>
                <w:szCs w:val="21"/>
              </w:rPr>
            </w:pPr>
          </w:p>
        </w:tc>
        <w:tc>
          <w:tcPr>
            <w:tcW w:w="1325" w:type="pct"/>
            <w:vMerge w:val="restar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szCs w:val="21"/>
              </w:rPr>
            </w:pPr>
            <w:r>
              <w:rPr>
                <w:rFonts w:hint="eastAsia" w:ascii="Times New Roman" w:hAnsi="Times New Roman" w:eastAsiaTheme="minorEastAsia"/>
                <w:szCs w:val="21"/>
              </w:rPr>
              <w:t>介质仿真模块</w:t>
            </w:r>
          </w:p>
        </w:tc>
        <w:tc>
          <w:tcPr>
            <w:tcW w:w="2510"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szCs w:val="21"/>
              </w:rPr>
            </w:pPr>
            <w:r>
              <w:rPr>
                <w:rFonts w:hint="eastAsia" w:eastAsiaTheme="minorEastAsia"/>
                <w:szCs w:val="21"/>
              </w:rPr>
              <w:t>支持无痕仿真启动装有</w:t>
            </w:r>
            <w:r>
              <w:rPr>
                <w:rFonts w:eastAsiaTheme="minorEastAsia"/>
                <w:szCs w:val="21"/>
              </w:rPr>
              <w:t>Windows</w:t>
            </w:r>
            <w:r>
              <w:rPr>
                <w:rFonts w:hint="eastAsia" w:eastAsiaTheme="minorEastAsia"/>
                <w:szCs w:val="21"/>
              </w:rPr>
              <w:t>、</w:t>
            </w:r>
            <w:r>
              <w:rPr>
                <w:rFonts w:eastAsiaTheme="minorEastAsia"/>
                <w:szCs w:val="21"/>
              </w:rPr>
              <w:t>macOS</w:t>
            </w:r>
            <w:r>
              <w:rPr>
                <w:rFonts w:hint="eastAsia" w:eastAsiaTheme="minorEastAsia"/>
                <w:szCs w:val="21"/>
              </w:rPr>
              <w:t>、</w:t>
            </w:r>
            <w:r>
              <w:rPr>
                <w:rFonts w:eastAsiaTheme="minorEastAsia"/>
                <w:szCs w:val="21"/>
              </w:rPr>
              <w:t>Linux</w:t>
            </w:r>
            <w:r>
              <w:rPr>
                <w:rFonts w:hint="eastAsia" w:eastAsiaTheme="minorEastAsia"/>
                <w:szCs w:val="21"/>
              </w:rPr>
              <w:t>等多种操作系统的硬盘和镜像文件</w:t>
            </w:r>
          </w:p>
        </w:tc>
        <w:tc>
          <w:tcPr>
            <w:tcW w:w="713" w:type="pct"/>
            <w:vMerge w:val="restart"/>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szCs w:val="21"/>
              </w:rPr>
            </w:pPr>
            <w:r>
              <w:rPr>
                <w:rFonts w:hint="eastAsia" w:eastAsiaTheme="minorEastAsia"/>
                <w:szCs w:val="21"/>
              </w:rPr>
              <w:t>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8"/>
              </w:numPr>
              <w:jc w:val="center"/>
              <w:rPr>
                <w:rFonts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szCs w:val="21"/>
              </w:rPr>
            </w:pPr>
            <w:r>
              <w:rPr>
                <w:rFonts w:hint="eastAsia" w:eastAsiaTheme="minorEastAsia"/>
                <w:szCs w:val="21"/>
              </w:rPr>
              <w:t>支持对</w:t>
            </w:r>
            <w:r>
              <w:rPr>
                <w:rFonts w:eastAsiaTheme="minorEastAsia"/>
                <w:szCs w:val="21"/>
              </w:rPr>
              <w:t>DD</w:t>
            </w:r>
            <w:r>
              <w:rPr>
                <w:rFonts w:hint="eastAsia" w:eastAsiaTheme="minorEastAsia"/>
                <w:szCs w:val="21"/>
              </w:rPr>
              <w:t>、</w:t>
            </w:r>
            <w:r>
              <w:rPr>
                <w:rFonts w:eastAsiaTheme="minorEastAsia"/>
                <w:szCs w:val="21"/>
              </w:rPr>
              <w:t>E01</w:t>
            </w:r>
            <w:r>
              <w:rPr>
                <w:rFonts w:hint="eastAsia" w:eastAsiaTheme="minorEastAsia"/>
                <w:szCs w:val="21"/>
              </w:rPr>
              <w:t>、</w:t>
            </w:r>
            <w:r>
              <w:rPr>
                <w:rFonts w:eastAsiaTheme="minorEastAsia"/>
                <w:szCs w:val="21"/>
              </w:rPr>
              <w:t>QCOW/QCOW2/QCOW3</w:t>
            </w:r>
            <w:r>
              <w:rPr>
                <w:rFonts w:hint="eastAsia" w:eastAsiaTheme="minorEastAsia"/>
                <w:szCs w:val="21"/>
              </w:rPr>
              <w:t>、</w:t>
            </w:r>
            <w:r>
              <w:rPr>
                <w:rFonts w:eastAsiaTheme="minorEastAsia"/>
                <w:szCs w:val="21"/>
              </w:rPr>
              <w:t>VHD</w:t>
            </w:r>
            <w:r>
              <w:rPr>
                <w:rFonts w:hint="eastAsia" w:eastAsiaTheme="minorEastAsia"/>
                <w:szCs w:val="21"/>
              </w:rPr>
              <w:t>、</w:t>
            </w:r>
            <w:r>
              <w:rPr>
                <w:rFonts w:eastAsiaTheme="minorEastAsia"/>
                <w:szCs w:val="21"/>
              </w:rPr>
              <w:t>VHDX</w:t>
            </w:r>
            <w:r>
              <w:rPr>
                <w:rFonts w:hint="eastAsia" w:eastAsiaTheme="minorEastAsia"/>
                <w:szCs w:val="21"/>
              </w:rPr>
              <w:t>、</w:t>
            </w:r>
            <w:r>
              <w:rPr>
                <w:rFonts w:eastAsiaTheme="minorEastAsia"/>
                <w:szCs w:val="21"/>
              </w:rPr>
              <w:t>RAW</w:t>
            </w:r>
            <w:r>
              <w:rPr>
                <w:rFonts w:hint="eastAsia" w:eastAsiaTheme="minorEastAsia"/>
                <w:szCs w:val="21"/>
              </w:rPr>
              <w:t>、</w:t>
            </w:r>
            <w:r>
              <w:rPr>
                <w:rFonts w:eastAsiaTheme="minorEastAsia"/>
                <w:szCs w:val="21"/>
              </w:rPr>
              <w:t>ZVHD2</w:t>
            </w:r>
            <w:r>
              <w:rPr>
                <w:rFonts w:hint="eastAsia" w:eastAsiaTheme="minorEastAsia"/>
                <w:szCs w:val="21"/>
              </w:rPr>
              <w:t>、</w:t>
            </w:r>
            <w:r>
              <w:rPr>
                <w:rFonts w:eastAsiaTheme="minorEastAsia"/>
                <w:szCs w:val="21"/>
              </w:rPr>
              <w:t>XVA</w:t>
            </w:r>
            <w:r>
              <w:rPr>
                <w:rFonts w:hint="eastAsia" w:eastAsiaTheme="minorEastAsia"/>
                <w:szCs w:val="21"/>
              </w:rPr>
              <w:t>、</w:t>
            </w:r>
            <w:r>
              <w:rPr>
                <w:rFonts w:eastAsiaTheme="minorEastAsia"/>
                <w:szCs w:val="21"/>
              </w:rPr>
              <w:t>VMDK</w:t>
            </w:r>
            <w:r>
              <w:rPr>
                <w:rFonts w:hint="eastAsia" w:eastAsiaTheme="minorEastAsia"/>
                <w:szCs w:val="21"/>
              </w:rPr>
              <w:t>等不同格式的磁盘镜像的仿真</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8"/>
              </w:numPr>
              <w:jc w:val="center"/>
              <w:rPr>
                <w:rFonts w:asciiTheme="minorHAnsi" w:hAnsiTheme="minorHAnsi"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szCs w:val="21"/>
              </w:rPr>
            </w:pPr>
            <w:r>
              <w:rPr>
                <w:rFonts w:hint="eastAsia" w:eastAsiaTheme="minorEastAsia"/>
                <w:szCs w:val="21"/>
              </w:rPr>
              <w:t>支持选择网络驱动器中的镜像仿真</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8"/>
              </w:numPr>
              <w:jc w:val="center"/>
              <w:rPr>
                <w:rFonts w:asciiTheme="minorHAnsi" w:hAnsiTheme="minorHAnsi"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szCs w:val="21"/>
              </w:rPr>
            </w:pPr>
            <w:r>
              <w:rPr>
                <w:rFonts w:hint="eastAsia" w:eastAsiaTheme="minorEastAsia"/>
                <w:szCs w:val="21"/>
              </w:rPr>
              <w:t>支持多硬盘的系统仿真</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8"/>
              </w:numPr>
              <w:jc w:val="center"/>
              <w:rPr>
                <w:rFonts w:asciiTheme="minorHAnsi" w:hAnsiTheme="minorHAnsi"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szCs w:val="21"/>
              </w:rPr>
            </w:pPr>
            <w:r>
              <w:rPr>
                <w:rFonts w:hint="eastAsia" w:eastAsiaTheme="minorEastAsia"/>
                <w:szCs w:val="21"/>
              </w:rPr>
              <w:t>支持</w:t>
            </w:r>
            <w:r>
              <w:rPr>
                <w:rFonts w:eastAsiaTheme="minorEastAsia"/>
                <w:szCs w:val="21"/>
              </w:rPr>
              <w:t>Windows</w:t>
            </w:r>
            <w:r>
              <w:rPr>
                <w:rFonts w:hint="eastAsia" w:eastAsiaTheme="minorEastAsia"/>
                <w:szCs w:val="21"/>
              </w:rPr>
              <w:t>、</w:t>
            </w:r>
            <w:r>
              <w:rPr>
                <w:rFonts w:eastAsiaTheme="minorEastAsia"/>
                <w:szCs w:val="21"/>
              </w:rPr>
              <w:t>Debian</w:t>
            </w:r>
            <w:r>
              <w:rPr>
                <w:rFonts w:hint="eastAsia" w:eastAsiaTheme="minorEastAsia"/>
                <w:szCs w:val="21"/>
              </w:rPr>
              <w:t>、</w:t>
            </w:r>
            <w:r>
              <w:rPr>
                <w:rFonts w:eastAsiaTheme="minorEastAsia"/>
                <w:szCs w:val="21"/>
              </w:rPr>
              <w:t>Ubuntu</w:t>
            </w:r>
            <w:r>
              <w:rPr>
                <w:rFonts w:hint="eastAsia" w:eastAsiaTheme="minorEastAsia"/>
                <w:szCs w:val="21"/>
              </w:rPr>
              <w:t>、</w:t>
            </w:r>
            <w:r>
              <w:rPr>
                <w:rFonts w:eastAsiaTheme="minorEastAsia"/>
                <w:szCs w:val="21"/>
              </w:rPr>
              <w:t>Centos</w:t>
            </w:r>
            <w:r>
              <w:rPr>
                <w:rFonts w:hint="eastAsia" w:eastAsiaTheme="minorEastAsia"/>
                <w:szCs w:val="21"/>
              </w:rPr>
              <w:t>等操作系统的</w:t>
            </w:r>
            <w:r>
              <w:rPr>
                <w:rFonts w:eastAsiaTheme="minorEastAsia"/>
                <w:szCs w:val="21"/>
              </w:rPr>
              <w:t>BIOS</w:t>
            </w:r>
            <w:r>
              <w:rPr>
                <w:rFonts w:hint="eastAsia" w:eastAsiaTheme="minorEastAsia"/>
                <w:szCs w:val="21"/>
              </w:rPr>
              <w:t>启动类型的单分区镜像仿真</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8"/>
              </w:numPr>
              <w:jc w:val="center"/>
              <w:rPr>
                <w:rFonts w:asciiTheme="minorHAnsi" w:hAnsiTheme="minorHAnsi"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szCs w:val="21"/>
              </w:rPr>
            </w:pPr>
            <w:r>
              <w:rPr>
                <w:rFonts w:hint="eastAsia" w:eastAsiaTheme="minorEastAsia"/>
                <w:szCs w:val="21"/>
              </w:rPr>
              <w:t>支持</w:t>
            </w:r>
            <w:r>
              <w:rPr>
                <w:rFonts w:eastAsiaTheme="minorEastAsia"/>
                <w:szCs w:val="21"/>
              </w:rPr>
              <w:t>Windows</w:t>
            </w:r>
            <w:r>
              <w:rPr>
                <w:rFonts w:hint="eastAsia" w:eastAsiaTheme="minorEastAsia"/>
                <w:szCs w:val="21"/>
              </w:rPr>
              <w:t>、</w:t>
            </w:r>
            <w:r>
              <w:rPr>
                <w:rFonts w:eastAsiaTheme="minorEastAsia"/>
                <w:szCs w:val="21"/>
              </w:rPr>
              <w:t>Debian</w:t>
            </w:r>
            <w:r>
              <w:rPr>
                <w:rFonts w:hint="eastAsia" w:eastAsiaTheme="minorEastAsia"/>
                <w:szCs w:val="21"/>
              </w:rPr>
              <w:t>、</w:t>
            </w:r>
            <w:r>
              <w:rPr>
                <w:rFonts w:eastAsiaTheme="minorEastAsia"/>
                <w:szCs w:val="21"/>
              </w:rPr>
              <w:t>Ubuntu</w:t>
            </w:r>
            <w:r>
              <w:rPr>
                <w:rFonts w:hint="eastAsia" w:eastAsiaTheme="minorEastAsia"/>
                <w:szCs w:val="21"/>
              </w:rPr>
              <w:t>、</w:t>
            </w:r>
            <w:r>
              <w:rPr>
                <w:rFonts w:eastAsiaTheme="minorEastAsia"/>
                <w:szCs w:val="21"/>
              </w:rPr>
              <w:t>macOS</w:t>
            </w:r>
            <w:r>
              <w:rPr>
                <w:rFonts w:hint="eastAsia" w:eastAsiaTheme="minorEastAsia"/>
                <w:szCs w:val="21"/>
              </w:rPr>
              <w:t>等操作系统的</w:t>
            </w:r>
            <w:r>
              <w:rPr>
                <w:rFonts w:eastAsiaTheme="minorEastAsia"/>
                <w:szCs w:val="21"/>
              </w:rPr>
              <w:t>UEFI</w:t>
            </w:r>
            <w:r>
              <w:rPr>
                <w:rFonts w:hint="eastAsia" w:eastAsiaTheme="minorEastAsia"/>
                <w:szCs w:val="21"/>
              </w:rPr>
              <w:t>启动类型的单分区镜像仿真</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8"/>
              </w:numPr>
              <w:jc w:val="center"/>
              <w:rPr>
                <w:rFonts w:asciiTheme="minorHAnsi" w:hAnsiTheme="minorHAnsi"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szCs w:val="21"/>
              </w:rPr>
            </w:pPr>
            <w:r>
              <w:rPr>
                <w:rFonts w:hint="eastAsia" w:eastAsiaTheme="minorEastAsia"/>
                <w:szCs w:val="21"/>
              </w:rPr>
              <w:t>支持对</w:t>
            </w:r>
            <w:r>
              <w:rPr>
                <w:rFonts w:eastAsiaTheme="minorEastAsia"/>
                <w:szCs w:val="21"/>
              </w:rPr>
              <w:t>Parallels Desktop</w:t>
            </w:r>
            <w:r>
              <w:rPr>
                <w:rFonts w:hint="eastAsia" w:eastAsiaTheme="minorEastAsia"/>
                <w:szCs w:val="21"/>
              </w:rPr>
              <w:t>虚拟机磁盘的仿真，且支持差分快照</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8"/>
              </w:numPr>
              <w:jc w:val="center"/>
              <w:rPr>
                <w:rFonts w:asciiTheme="minorHAnsi" w:hAnsiTheme="minorHAnsi"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支持多仿真历史的配置管理和直接启动，无需重建虚拟机</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8"/>
              </w:numPr>
              <w:jc w:val="center"/>
              <w:rPr>
                <w:rFonts w:eastAsiaTheme="minorEastAsia"/>
                <w:szCs w:val="21"/>
              </w:rPr>
            </w:pPr>
          </w:p>
        </w:tc>
        <w:tc>
          <w:tcPr>
            <w:tcW w:w="1325" w:type="pct"/>
            <w:vMerge w:val="restar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ascii="宋体" w:hAnsi="宋体" w:eastAsiaTheme="minorEastAsia"/>
                <w:szCs w:val="21"/>
              </w:rPr>
              <w:t>介质分析模块</w:t>
            </w:r>
          </w:p>
        </w:tc>
        <w:tc>
          <w:tcPr>
            <w:tcW w:w="2510"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支持</w:t>
            </w:r>
            <w:r>
              <w:rPr>
                <w:rFonts w:eastAsiaTheme="minorEastAsia"/>
                <w:szCs w:val="21"/>
              </w:rPr>
              <w:t>Windows</w:t>
            </w:r>
            <w:r>
              <w:rPr>
                <w:rFonts w:hint="eastAsia" w:eastAsiaTheme="minorEastAsia"/>
                <w:szCs w:val="21"/>
              </w:rPr>
              <w:t>、</w:t>
            </w:r>
            <w:r>
              <w:rPr>
                <w:rFonts w:eastAsiaTheme="minorEastAsia"/>
                <w:szCs w:val="21"/>
              </w:rPr>
              <w:t>Linux</w:t>
            </w:r>
            <w:r>
              <w:rPr>
                <w:rFonts w:hint="eastAsia" w:eastAsiaTheme="minorEastAsia"/>
                <w:szCs w:val="21"/>
              </w:rPr>
              <w:t>、</w:t>
            </w:r>
            <w:r>
              <w:rPr>
                <w:rFonts w:eastAsiaTheme="minorEastAsia"/>
                <w:szCs w:val="21"/>
              </w:rPr>
              <w:t>macOS</w:t>
            </w:r>
            <w:r>
              <w:rPr>
                <w:rFonts w:hint="eastAsia" w:eastAsiaTheme="minorEastAsia"/>
                <w:szCs w:val="21"/>
              </w:rPr>
              <w:t>操作系统解析</w:t>
            </w:r>
          </w:p>
        </w:tc>
        <w:tc>
          <w:tcPr>
            <w:tcW w:w="713" w:type="pct"/>
            <w:vMerge w:val="restar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8"/>
              </w:numPr>
              <w:jc w:val="center"/>
              <w:rPr>
                <w:rFonts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支持</w:t>
            </w:r>
            <w:r>
              <w:rPr>
                <w:rFonts w:eastAsiaTheme="minorEastAsia"/>
                <w:szCs w:val="21"/>
              </w:rPr>
              <w:t>APFS</w:t>
            </w:r>
            <w:r>
              <w:rPr>
                <w:rFonts w:hint="eastAsia" w:eastAsiaTheme="minorEastAsia"/>
                <w:szCs w:val="21"/>
              </w:rPr>
              <w:t>解密加载分析；支持</w:t>
            </w:r>
            <w:r>
              <w:rPr>
                <w:rFonts w:eastAsiaTheme="minorEastAsia"/>
                <w:szCs w:val="21"/>
              </w:rPr>
              <w:t>M1</w:t>
            </w:r>
            <w:r>
              <w:rPr>
                <w:rFonts w:hint="eastAsia" w:eastAsiaTheme="minorEastAsia"/>
                <w:szCs w:val="21"/>
              </w:rPr>
              <w:t>和</w:t>
            </w:r>
            <w:r>
              <w:rPr>
                <w:rFonts w:eastAsiaTheme="minorEastAsia"/>
                <w:szCs w:val="21"/>
              </w:rPr>
              <w:t>M2</w:t>
            </w:r>
            <w:r>
              <w:rPr>
                <w:rFonts w:hint="eastAsia" w:eastAsiaTheme="minorEastAsia"/>
                <w:szCs w:val="21"/>
              </w:rPr>
              <w:t>芯片</w:t>
            </w:r>
            <w:r>
              <w:rPr>
                <w:rFonts w:eastAsiaTheme="minorEastAsia"/>
                <w:szCs w:val="21"/>
              </w:rPr>
              <w:t>macOS</w:t>
            </w:r>
            <w:r>
              <w:rPr>
                <w:rFonts w:hint="eastAsia" w:eastAsiaTheme="minorEastAsia"/>
                <w:szCs w:val="21"/>
              </w:rPr>
              <w:t>通过时间机器制作的备份解析</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8"/>
              </w:numPr>
              <w:jc w:val="center"/>
              <w:rPr>
                <w:rFonts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支持</w:t>
            </w:r>
            <w:r>
              <w:rPr>
                <w:rFonts w:eastAsiaTheme="minorEastAsia"/>
                <w:szCs w:val="21"/>
              </w:rPr>
              <w:t>VHD</w:t>
            </w:r>
            <w:r>
              <w:rPr>
                <w:rFonts w:hint="eastAsia" w:eastAsiaTheme="minorEastAsia"/>
                <w:szCs w:val="21"/>
              </w:rPr>
              <w:t>、</w:t>
            </w:r>
            <w:r>
              <w:rPr>
                <w:rFonts w:eastAsiaTheme="minorEastAsia"/>
                <w:szCs w:val="21"/>
              </w:rPr>
              <w:t>VHDX</w:t>
            </w:r>
            <w:r>
              <w:rPr>
                <w:rFonts w:hint="eastAsia" w:eastAsiaTheme="minorEastAsia"/>
                <w:szCs w:val="21"/>
              </w:rPr>
              <w:t>、</w:t>
            </w:r>
            <w:r>
              <w:rPr>
                <w:rFonts w:eastAsiaTheme="minorEastAsia"/>
                <w:szCs w:val="21"/>
              </w:rPr>
              <w:t>VMDK</w:t>
            </w:r>
            <w:r>
              <w:rPr>
                <w:rFonts w:hint="eastAsia" w:eastAsiaTheme="minorEastAsia"/>
                <w:szCs w:val="21"/>
              </w:rPr>
              <w:t>、</w:t>
            </w:r>
            <w:r>
              <w:rPr>
                <w:rFonts w:eastAsiaTheme="minorEastAsia"/>
                <w:szCs w:val="21"/>
              </w:rPr>
              <w:t>VDI</w:t>
            </w:r>
            <w:r>
              <w:rPr>
                <w:rFonts w:hint="eastAsia" w:eastAsiaTheme="minorEastAsia"/>
                <w:szCs w:val="21"/>
              </w:rPr>
              <w:t>、</w:t>
            </w:r>
            <w:r>
              <w:rPr>
                <w:rFonts w:eastAsiaTheme="minorEastAsia"/>
                <w:szCs w:val="21"/>
              </w:rPr>
              <w:t>QCOW2</w:t>
            </w:r>
            <w:r>
              <w:rPr>
                <w:rFonts w:hint="eastAsia" w:eastAsiaTheme="minorEastAsia"/>
                <w:szCs w:val="21"/>
              </w:rPr>
              <w:t>、</w:t>
            </w:r>
            <w:r>
              <w:rPr>
                <w:rFonts w:eastAsiaTheme="minorEastAsia"/>
                <w:szCs w:val="21"/>
              </w:rPr>
              <w:t>RAW</w:t>
            </w:r>
            <w:r>
              <w:rPr>
                <w:rFonts w:hint="eastAsia" w:eastAsiaTheme="minorEastAsia"/>
                <w:szCs w:val="21"/>
              </w:rPr>
              <w:t>等镜像解析</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8"/>
              </w:numPr>
              <w:jc w:val="center"/>
              <w:rPr>
                <w:rFonts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支持对</w:t>
            </w:r>
            <w:r>
              <w:rPr>
                <w:rFonts w:eastAsiaTheme="minorEastAsia"/>
                <w:szCs w:val="21"/>
              </w:rPr>
              <w:t>Windows</w:t>
            </w:r>
            <w:r>
              <w:rPr>
                <w:rFonts w:hint="eastAsia" w:eastAsiaTheme="minorEastAsia"/>
                <w:szCs w:val="21"/>
              </w:rPr>
              <w:t>系统中账号信息、快捷方式、基本信息、回收站、资源管理器访问记录</w:t>
            </w:r>
            <w:r>
              <w:rPr>
                <w:rFonts w:eastAsiaTheme="minorEastAsia"/>
                <w:szCs w:val="21"/>
              </w:rPr>
              <w:t>/</w:t>
            </w:r>
            <w:r>
              <w:rPr>
                <w:rFonts w:hint="eastAsia" w:eastAsiaTheme="minorEastAsia"/>
                <w:szCs w:val="21"/>
              </w:rPr>
              <w:t>历史记录、</w:t>
            </w:r>
            <w:r>
              <w:rPr>
                <w:rFonts w:eastAsiaTheme="minorEastAsia"/>
                <w:szCs w:val="21"/>
              </w:rPr>
              <w:t>ShimCache</w:t>
            </w:r>
            <w:r>
              <w:rPr>
                <w:rFonts w:hint="eastAsia" w:eastAsiaTheme="minorEastAsia"/>
                <w:szCs w:val="21"/>
              </w:rPr>
              <w:t>、</w:t>
            </w:r>
            <w:r>
              <w:rPr>
                <w:rFonts w:eastAsiaTheme="minorEastAsia"/>
                <w:szCs w:val="21"/>
              </w:rPr>
              <w:t>SSH</w:t>
            </w:r>
            <w:r>
              <w:rPr>
                <w:rFonts w:hint="eastAsia" w:eastAsiaTheme="minorEastAsia"/>
                <w:szCs w:val="21"/>
              </w:rPr>
              <w:t>、</w:t>
            </w:r>
            <w:r>
              <w:rPr>
                <w:rFonts w:eastAsiaTheme="minorEastAsia"/>
                <w:szCs w:val="21"/>
              </w:rPr>
              <w:t>PowerShell</w:t>
            </w:r>
            <w:r>
              <w:rPr>
                <w:rFonts w:hint="eastAsia" w:eastAsiaTheme="minorEastAsia"/>
                <w:szCs w:val="21"/>
              </w:rPr>
              <w:t>终端历史、缩略图、</w:t>
            </w:r>
            <w:r>
              <w:rPr>
                <w:rFonts w:eastAsiaTheme="minorEastAsia"/>
                <w:szCs w:val="21"/>
              </w:rPr>
              <w:t>Win10</w:t>
            </w:r>
            <w:r>
              <w:rPr>
                <w:rFonts w:hint="eastAsia" w:eastAsiaTheme="minorEastAsia"/>
                <w:szCs w:val="21"/>
              </w:rPr>
              <w:t>通知栏、输入法、应用清单、微软便签、</w:t>
            </w:r>
            <w:r>
              <w:rPr>
                <w:rFonts w:eastAsiaTheme="minorEastAsia"/>
                <w:szCs w:val="21"/>
              </w:rPr>
              <w:t>Windows</w:t>
            </w:r>
            <w:r>
              <w:rPr>
                <w:rFonts w:hint="eastAsia" w:eastAsiaTheme="minorEastAsia"/>
                <w:szCs w:val="21"/>
              </w:rPr>
              <w:t>时间轴、用户痕迹、安装软件记录、</w:t>
            </w:r>
            <w:r>
              <w:rPr>
                <w:rFonts w:eastAsiaTheme="minorEastAsia"/>
                <w:szCs w:val="21"/>
              </w:rPr>
              <w:t>Wi-Fi</w:t>
            </w:r>
            <w:r>
              <w:rPr>
                <w:rFonts w:hint="eastAsia" w:eastAsiaTheme="minorEastAsia"/>
                <w:szCs w:val="21"/>
              </w:rPr>
              <w:t>连接记录</w:t>
            </w:r>
            <w:r>
              <w:rPr>
                <w:rFonts w:eastAsiaTheme="minorEastAsia"/>
                <w:szCs w:val="21"/>
              </w:rPr>
              <w:t>&amp;</w:t>
            </w:r>
            <w:r>
              <w:rPr>
                <w:rFonts w:hint="eastAsia" w:eastAsiaTheme="minorEastAsia"/>
                <w:szCs w:val="21"/>
              </w:rPr>
              <w:t>密码、打印记录、卷影记录等使用痕迹的信息分析</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8"/>
              </w:numPr>
              <w:jc w:val="center"/>
              <w:rPr>
                <w:rFonts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ascii="宋体" w:hAnsi="宋体" w:eastAsiaTheme="minorEastAsia"/>
                <w:szCs w:val="21"/>
              </w:rPr>
            </w:pPr>
            <w:r>
              <w:rPr>
                <w:rFonts w:hint="eastAsia" w:eastAsiaTheme="minorEastAsia"/>
                <w:szCs w:val="21"/>
              </w:rPr>
              <w:t>支持</w:t>
            </w:r>
            <w:r>
              <w:rPr>
                <w:rFonts w:eastAsiaTheme="minorEastAsia"/>
                <w:szCs w:val="21"/>
              </w:rPr>
              <w:t>Windows</w:t>
            </w:r>
            <w:r>
              <w:rPr>
                <w:rFonts w:hint="eastAsia" w:eastAsiaTheme="minorEastAsia"/>
                <w:szCs w:val="21"/>
              </w:rPr>
              <w:t>微信通过数据库密钥和扫码解析；支持手机备份至电脑微信聊天记录解析</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8"/>
              </w:numPr>
              <w:jc w:val="center"/>
              <w:rPr>
                <w:rFonts w:asciiTheme="minorHAnsi" w:hAnsiTheme="minorHAnsi"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ascii="宋体" w:hAnsi="宋体" w:eastAsiaTheme="minorEastAsia"/>
                <w:szCs w:val="21"/>
              </w:rPr>
            </w:pPr>
            <w:r>
              <w:rPr>
                <w:rFonts w:hint="eastAsia" w:eastAsiaTheme="minorEastAsia"/>
                <w:szCs w:val="21"/>
              </w:rPr>
              <w:t>支持</w:t>
            </w:r>
            <w:r>
              <w:rPr>
                <w:rFonts w:eastAsiaTheme="minorEastAsia"/>
                <w:szCs w:val="21"/>
              </w:rPr>
              <w:t>Windows</w:t>
            </w:r>
            <w:r>
              <w:rPr>
                <w:rFonts w:hint="eastAsia" w:eastAsiaTheme="minorEastAsia"/>
                <w:szCs w:val="21"/>
              </w:rPr>
              <w:t>企业微信通过数据库密钥和扫码解析</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8"/>
              </w:numPr>
              <w:jc w:val="center"/>
              <w:rPr>
                <w:rFonts w:asciiTheme="minorHAnsi" w:hAnsiTheme="minorHAnsi"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ascii="宋体" w:hAnsi="宋体" w:eastAsiaTheme="minorEastAsia"/>
                <w:szCs w:val="21"/>
              </w:rPr>
            </w:pPr>
            <w:r>
              <w:rPr>
                <w:rFonts w:hint="eastAsia" w:eastAsiaTheme="minorEastAsia"/>
                <w:szCs w:val="21"/>
              </w:rPr>
              <w:t>支持</w:t>
            </w:r>
            <w:r>
              <w:rPr>
                <w:rFonts w:eastAsiaTheme="minorEastAsia"/>
                <w:szCs w:val="21"/>
              </w:rPr>
              <w:t>Windows QQ</w:t>
            </w:r>
            <w:r>
              <w:rPr>
                <w:rFonts w:hint="eastAsia" w:eastAsiaTheme="minorEastAsia"/>
                <w:szCs w:val="21"/>
              </w:rPr>
              <w:t>通过扫码、密码、数据库密钥多种方式解析</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8"/>
              </w:numPr>
              <w:jc w:val="center"/>
              <w:rPr>
                <w:rFonts w:asciiTheme="minorHAnsi" w:hAnsiTheme="minorHAnsi"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ascii="宋体" w:hAnsi="宋体" w:eastAsiaTheme="minorEastAsia"/>
                <w:szCs w:val="21"/>
              </w:rPr>
            </w:pPr>
            <w:r>
              <w:rPr>
                <w:rFonts w:hint="eastAsia" w:eastAsiaTheme="minorEastAsia"/>
                <w:szCs w:val="21"/>
              </w:rPr>
              <w:t>支持</w:t>
            </w:r>
            <w:r>
              <w:rPr>
                <w:rFonts w:eastAsiaTheme="minorEastAsia"/>
                <w:szCs w:val="21"/>
              </w:rPr>
              <w:t>Windows</w:t>
            </w:r>
            <w:r>
              <w:rPr>
                <w:rFonts w:hint="eastAsia" w:eastAsiaTheme="minorEastAsia"/>
                <w:szCs w:val="21"/>
              </w:rPr>
              <w:t>浏览器、即时通讯软件、邮箱工具软件、下载工具软件、网络云盘软件、远程连接工具、音视频、办公、安全、工具等软件解析</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8"/>
              </w:numPr>
              <w:jc w:val="center"/>
              <w:rPr>
                <w:rFonts w:asciiTheme="minorHAnsi" w:hAnsiTheme="minorHAnsi"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ascii="宋体" w:hAnsi="宋体" w:eastAsiaTheme="minorEastAsia"/>
                <w:szCs w:val="21"/>
              </w:rPr>
            </w:pPr>
            <w:r>
              <w:rPr>
                <w:rFonts w:hint="eastAsia" w:eastAsiaTheme="minorEastAsia"/>
                <w:szCs w:val="21"/>
              </w:rPr>
              <w:t>支持</w:t>
            </w:r>
            <w:r>
              <w:rPr>
                <w:rFonts w:eastAsiaTheme="minorEastAsia"/>
                <w:szCs w:val="21"/>
              </w:rPr>
              <w:t>Windows Telegram</w:t>
            </w:r>
            <w:r>
              <w:rPr>
                <w:rFonts w:hint="eastAsia" w:eastAsiaTheme="minorEastAsia"/>
                <w:szCs w:val="21"/>
              </w:rPr>
              <w:t>导出</w:t>
            </w:r>
            <w:r>
              <w:rPr>
                <w:rFonts w:eastAsiaTheme="minorEastAsia"/>
                <w:szCs w:val="21"/>
              </w:rPr>
              <w:t>json</w:t>
            </w:r>
            <w:r>
              <w:rPr>
                <w:rFonts w:hint="eastAsia" w:eastAsiaTheme="minorEastAsia"/>
                <w:szCs w:val="21"/>
              </w:rPr>
              <w:t>格式数据解析</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8"/>
              </w:numPr>
              <w:jc w:val="center"/>
              <w:rPr>
                <w:rFonts w:asciiTheme="minorHAnsi" w:hAnsiTheme="minorHAnsi"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ascii="宋体" w:hAnsi="宋体" w:eastAsiaTheme="minorEastAsia"/>
                <w:szCs w:val="21"/>
              </w:rPr>
            </w:pPr>
            <w:r>
              <w:rPr>
                <w:rFonts w:hint="eastAsia" w:eastAsiaTheme="minorEastAsia"/>
                <w:szCs w:val="21"/>
              </w:rPr>
              <w:t>支持</w:t>
            </w:r>
            <w:r>
              <w:rPr>
                <w:rFonts w:eastAsiaTheme="minorEastAsia"/>
                <w:szCs w:val="21"/>
              </w:rPr>
              <w:t>macOS</w:t>
            </w:r>
            <w:r>
              <w:rPr>
                <w:rFonts w:hint="eastAsia" w:eastAsiaTheme="minorEastAsia"/>
                <w:szCs w:val="21"/>
              </w:rPr>
              <w:t>操作系统中系统信息、系统服务、启动项、通讯录、</w:t>
            </w:r>
            <w:r>
              <w:rPr>
                <w:rFonts w:eastAsiaTheme="minorEastAsia"/>
                <w:szCs w:val="21"/>
              </w:rPr>
              <w:t>iMessage</w:t>
            </w:r>
            <w:r>
              <w:rPr>
                <w:rFonts w:hint="eastAsia" w:eastAsiaTheme="minorEastAsia"/>
                <w:szCs w:val="21"/>
              </w:rPr>
              <w:t>、钥匙串、安装信息、文件系统日志、网络使用情况、便笺的分析</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8"/>
              </w:numPr>
              <w:jc w:val="center"/>
              <w:rPr>
                <w:rFonts w:asciiTheme="minorHAnsi" w:hAnsiTheme="minorHAnsi"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支持</w:t>
            </w:r>
            <w:r>
              <w:rPr>
                <w:rFonts w:eastAsiaTheme="minorEastAsia"/>
                <w:szCs w:val="21"/>
              </w:rPr>
              <w:t>macOS</w:t>
            </w:r>
            <w:r>
              <w:rPr>
                <w:rFonts w:hint="eastAsia" w:eastAsiaTheme="minorEastAsia"/>
                <w:szCs w:val="21"/>
              </w:rPr>
              <w:t>操作系统主流浏览器、钉钉应用分析、有道云笔记、邮箱软件、</w:t>
            </w:r>
            <w:r>
              <w:rPr>
                <w:rFonts w:eastAsiaTheme="minorEastAsia"/>
                <w:szCs w:val="21"/>
              </w:rPr>
              <w:t>Office</w:t>
            </w:r>
            <w:r>
              <w:rPr>
                <w:rFonts w:hint="eastAsia" w:eastAsiaTheme="minorEastAsia"/>
                <w:szCs w:val="21"/>
              </w:rPr>
              <w:t>文件、</w:t>
            </w:r>
            <w:r>
              <w:rPr>
                <w:rFonts w:eastAsiaTheme="minorEastAsia"/>
                <w:szCs w:val="21"/>
              </w:rPr>
              <w:t>115</w:t>
            </w:r>
            <w:r>
              <w:rPr>
                <w:rFonts w:hint="eastAsia" w:eastAsiaTheme="minorEastAsia"/>
                <w:szCs w:val="21"/>
              </w:rPr>
              <w:t>网盘、最近打开文档、</w:t>
            </w:r>
            <w:r>
              <w:rPr>
                <w:rFonts w:eastAsiaTheme="minorEastAsia"/>
                <w:szCs w:val="21"/>
              </w:rPr>
              <w:t>MySQL</w:t>
            </w:r>
            <w:r>
              <w:rPr>
                <w:rFonts w:hint="eastAsia" w:eastAsiaTheme="minorEastAsia"/>
                <w:szCs w:val="21"/>
              </w:rPr>
              <w:t>数据库解析、</w:t>
            </w:r>
            <w:r>
              <w:rPr>
                <w:rFonts w:eastAsiaTheme="minorEastAsia"/>
                <w:szCs w:val="21"/>
              </w:rPr>
              <w:t>Line</w:t>
            </w:r>
            <w:r>
              <w:rPr>
                <w:rFonts w:hint="eastAsia" w:eastAsiaTheme="minorEastAsia"/>
                <w:szCs w:val="21"/>
              </w:rPr>
              <w:t>应用等的解析</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8"/>
              </w:numPr>
              <w:jc w:val="center"/>
              <w:rPr>
                <w:rFonts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支持</w:t>
            </w:r>
            <w:r>
              <w:rPr>
                <w:rFonts w:eastAsiaTheme="minorEastAsia"/>
                <w:szCs w:val="21"/>
              </w:rPr>
              <w:t>macOS</w:t>
            </w:r>
            <w:r>
              <w:rPr>
                <w:rFonts w:hint="eastAsia" w:eastAsiaTheme="minorEastAsia"/>
                <w:szCs w:val="21"/>
              </w:rPr>
              <w:t>微信、企业微信扫码解析</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8"/>
              </w:numPr>
              <w:jc w:val="center"/>
              <w:rPr>
                <w:rFonts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支持</w:t>
            </w:r>
            <w:r>
              <w:rPr>
                <w:rFonts w:eastAsiaTheme="minorEastAsia"/>
                <w:szCs w:val="21"/>
              </w:rPr>
              <w:t>Linux</w:t>
            </w:r>
            <w:r>
              <w:rPr>
                <w:rFonts w:hint="eastAsia" w:eastAsiaTheme="minorEastAsia"/>
                <w:szCs w:val="21"/>
              </w:rPr>
              <w:t>操作系统基本信息的分析，包括但不限于日志、软件、</w:t>
            </w:r>
            <w:r>
              <w:rPr>
                <w:rFonts w:eastAsiaTheme="minorEastAsia"/>
                <w:szCs w:val="21"/>
              </w:rPr>
              <w:t>bash</w:t>
            </w:r>
            <w:r>
              <w:rPr>
                <w:rFonts w:hint="eastAsia" w:eastAsiaTheme="minorEastAsia"/>
                <w:szCs w:val="21"/>
              </w:rPr>
              <w:t>、服务、登录、开关机、系统信息等</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8"/>
              </w:numPr>
              <w:jc w:val="center"/>
              <w:rPr>
                <w:rFonts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支持</w:t>
            </w:r>
            <w:r>
              <w:rPr>
                <w:rFonts w:eastAsiaTheme="minorEastAsia"/>
                <w:szCs w:val="21"/>
              </w:rPr>
              <w:t>Linux</w:t>
            </w:r>
            <w:r>
              <w:rPr>
                <w:rFonts w:hint="eastAsia" w:eastAsiaTheme="minorEastAsia"/>
                <w:szCs w:val="21"/>
              </w:rPr>
              <w:t>操作系统中常见</w:t>
            </w:r>
            <w:r>
              <w:rPr>
                <w:rFonts w:eastAsiaTheme="minorEastAsia"/>
                <w:szCs w:val="21"/>
              </w:rPr>
              <w:t>Web</w:t>
            </w:r>
            <w:r>
              <w:rPr>
                <w:rFonts w:hint="eastAsia" w:eastAsiaTheme="minorEastAsia"/>
                <w:szCs w:val="21"/>
              </w:rPr>
              <w:t>服务配置、日志、用户数据、宝塔面板、</w:t>
            </w:r>
            <w:r>
              <w:rPr>
                <w:rFonts w:eastAsiaTheme="minorEastAsia"/>
                <w:szCs w:val="21"/>
              </w:rPr>
              <w:t>MySQL</w:t>
            </w:r>
            <w:r>
              <w:rPr>
                <w:rFonts w:hint="eastAsia" w:eastAsiaTheme="minorEastAsia"/>
                <w:szCs w:val="21"/>
              </w:rPr>
              <w:t>的分析，含</w:t>
            </w:r>
            <w:r>
              <w:rPr>
                <w:rFonts w:eastAsiaTheme="minorEastAsia"/>
                <w:szCs w:val="21"/>
              </w:rPr>
              <w:t>Nginx</w:t>
            </w:r>
            <w:r>
              <w:rPr>
                <w:rFonts w:hint="eastAsia" w:eastAsiaTheme="minorEastAsia"/>
                <w:szCs w:val="21"/>
              </w:rPr>
              <w:t>配置与日志、</w:t>
            </w:r>
            <w:r>
              <w:rPr>
                <w:rFonts w:eastAsiaTheme="minorEastAsia"/>
                <w:szCs w:val="21"/>
              </w:rPr>
              <w:t>Apache</w:t>
            </w:r>
            <w:r>
              <w:rPr>
                <w:rFonts w:hint="eastAsia" w:eastAsiaTheme="minorEastAsia"/>
                <w:szCs w:val="21"/>
              </w:rPr>
              <w:t>配置等</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8"/>
              </w:numPr>
              <w:jc w:val="center"/>
              <w:rPr>
                <w:rFonts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支持地理位置点、路线聚合展示，路线轨迹可进行自动回放，地理位置数据可按照来源检材、标记、来源应用、时间范围等多条件组合智能筛选</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8"/>
              </w:numPr>
              <w:jc w:val="center"/>
              <w:rPr>
                <w:rFonts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支持检材中所有数据（应用分析结果、文件系统）以时间线的形式进行展示，可以自定义时间、数据来源进行针对性的筛选</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8"/>
              </w:numPr>
              <w:jc w:val="center"/>
              <w:rPr>
                <w:rFonts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支持磁盘阵列（</w:t>
            </w:r>
            <w:r>
              <w:rPr>
                <w:rFonts w:eastAsiaTheme="minorEastAsia"/>
                <w:szCs w:val="21"/>
              </w:rPr>
              <w:t>RAID</w:t>
            </w:r>
            <w:r>
              <w:rPr>
                <w:rFonts w:hint="eastAsia" w:eastAsiaTheme="minorEastAsia"/>
                <w:szCs w:val="21"/>
              </w:rPr>
              <w:t>）类型检材信息检测、重组及解析</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8"/>
              </w:numPr>
              <w:jc w:val="center"/>
              <w:rPr>
                <w:rFonts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支持定制脚本功能，可通过编写脚本处理证据信息，对取证功能进行扩展</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8"/>
              </w:numPr>
              <w:jc w:val="center"/>
              <w:rPr>
                <w:rFonts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支持生成、上传部标格式数据包</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8"/>
              </w:numPr>
              <w:jc w:val="center"/>
              <w:rPr>
                <w:rFonts w:eastAsiaTheme="minorEastAsia"/>
                <w:szCs w:val="21"/>
              </w:rPr>
            </w:pPr>
          </w:p>
        </w:tc>
        <w:tc>
          <w:tcPr>
            <w:tcW w:w="1325" w:type="pct"/>
            <w:vMerge w:val="restar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移动终端分析模块</w:t>
            </w:r>
          </w:p>
        </w:tc>
        <w:tc>
          <w:tcPr>
            <w:tcW w:w="2510"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支持</w:t>
            </w:r>
            <w:r>
              <w:rPr>
                <w:rFonts w:eastAsiaTheme="minorEastAsia"/>
                <w:szCs w:val="21"/>
              </w:rPr>
              <w:t xml:space="preserve"> iOS</w:t>
            </w:r>
            <w:r>
              <w:rPr>
                <w:rFonts w:hint="eastAsia" w:eastAsiaTheme="minorEastAsia"/>
                <w:szCs w:val="21"/>
              </w:rPr>
              <w:t>、</w:t>
            </w:r>
            <w:r>
              <w:rPr>
                <w:rFonts w:eastAsiaTheme="minorEastAsia"/>
                <w:szCs w:val="21"/>
              </w:rPr>
              <w:t>Android</w:t>
            </w:r>
            <w:r>
              <w:rPr>
                <w:rFonts w:hint="eastAsia" w:eastAsiaTheme="minorEastAsia"/>
                <w:szCs w:val="21"/>
              </w:rPr>
              <w:t>、</w:t>
            </w:r>
            <w:r>
              <w:rPr>
                <w:rFonts w:eastAsiaTheme="minorEastAsia"/>
                <w:szCs w:val="21"/>
              </w:rPr>
              <w:t>Harmony</w:t>
            </w:r>
            <w:r>
              <w:rPr>
                <w:rFonts w:hint="eastAsia" w:eastAsiaTheme="minorEastAsia"/>
                <w:szCs w:val="21"/>
              </w:rPr>
              <w:t>等主流平台检材数据提取与分析</w:t>
            </w:r>
          </w:p>
        </w:tc>
        <w:tc>
          <w:tcPr>
            <w:tcW w:w="713" w:type="pct"/>
            <w:vMerge w:val="restar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8"/>
              </w:numPr>
              <w:jc w:val="center"/>
              <w:rPr>
                <w:rFonts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支持基本信息，包括但不限于通讯录、通话记录、短信、手机安装程序列表、钥匙串、系统日志、系统推送消息、</w:t>
            </w:r>
            <w:r>
              <w:rPr>
                <w:rFonts w:eastAsiaTheme="minorEastAsia"/>
                <w:szCs w:val="21"/>
              </w:rPr>
              <w:t>Wi-Fi</w:t>
            </w:r>
            <w:r>
              <w:rPr>
                <w:rFonts w:hint="eastAsia" w:eastAsiaTheme="minorEastAsia"/>
                <w:szCs w:val="21"/>
              </w:rPr>
              <w:t>和基站等数据解析及删除数据的恢复</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8"/>
              </w:numPr>
              <w:jc w:val="center"/>
              <w:rPr>
                <w:rFonts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支持提取</w:t>
            </w:r>
            <w:r>
              <w:rPr>
                <w:rFonts w:eastAsiaTheme="minorEastAsia"/>
                <w:szCs w:val="21"/>
              </w:rPr>
              <w:t xml:space="preserve"> MTP </w:t>
            </w:r>
            <w:r>
              <w:rPr>
                <w:rFonts w:hint="eastAsia" w:eastAsiaTheme="minorEastAsia"/>
                <w:szCs w:val="21"/>
              </w:rPr>
              <w:t>设备（手机</w:t>
            </w:r>
            <w:r>
              <w:rPr>
                <w:rFonts w:eastAsiaTheme="minorEastAsia"/>
                <w:szCs w:val="21"/>
              </w:rPr>
              <w:t xml:space="preserve"> MTP </w:t>
            </w:r>
            <w:r>
              <w:rPr>
                <w:rFonts w:hint="eastAsia" w:eastAsiaTheme="minorEastAsia"/>
                <w:szCs w:val="21"/>
              </w:rPr>
              <w:t>模式连接、</w:t>
            </w:r>
            <w:r>
              <w:rPr>
                <w:rFonts w:eastAsiaTheme="minorEastAsia"/>
                <w:szCs w:val="21"/>
              </w:rPr>
              <w:t xml:space="preserve">U </w:t>
            </w:r>
            <w:r>
              <w:rPr>
                <w:rFonts w:hint="eastAsia" w:eastAsiaTheme="minorEastAsia"/>
                <w:szCs w:val="21"/>
              </w:rPr>
              <w:t>盘、移动硬盘、存储卡等）数据解析，支持快速导出数据并进行完整性计算</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8"/>
              </w:numPr>
              <w:jc w:val="center"/>
              <w:rPr>
                <w:rFonts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支持</w:t>
            </w:r>
            <w:r>
              <w:rPr>
                <w:rFonts w:eastAsiaTheme="minorEastAsia"/>
                <w:szCs w:val="21"/>
              </w:rPr>
              <w:t xml:space="preserve"> SIM </w:t>
            </w:r>
            <w:r>
              <w:rPr>
                <w:rFonts w:hint="eastAsia" w:eastAsiaTheme="minorEastAsia"/>
                <w:szCs w:val="21"/>
              </w:rPr>
              <w:t>卡数据解析，包括</w:t>
            </w:r>
            <w:r>
              <w:rPr>
                <w:rFonts w:eastAsiaTheme="minorEastAsia"/>
                <w:szCs w:val="21"/>
              </w:rPr>
              <w:t xml:space="preserve"> SIM </w:t>
            </w:r>
            <w:r>
              <w:rPr>
                <w:rFonts w:hint="eastAsia" w:eastAsiaTheme="minorEastAsia"/>
                <w:szCs w:val="21"/>
              </w:rPr>
              <w:t>卡信息、通讯录、短信等</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8"/>
              </w:numPr>
              <w:jc w:val="center"/>
              <w:rPr>
                <w:rFonts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支持三星、华为</w:t>
            </w:r>
            <w:r>
              <w:rPr>
                <w:rFonts w:eastAsiaTheme="minorEastAsia"/>
                <w:szCs w:val="21"/>
              </w:rPr>
              <w:t>OTG</w:t>
            </w:r>
            <w:r>
              <w:rPr>
                <w:rFonts w:hint="eastAsia" w:eastAsiaTheme="minorEastAsia"/>
                <w:szCs w:val="21"/>
              </w:rPr>
              <w:t>备份功能</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8"/>
              </w:numPr>
              <w:jc w:val="center"/>
              <w:rPr>
                <w:rFonts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支持华为鸿蒙系统</w:t>
            </w:r>
            <w:r>
              <w:rPr>
                <w:rFonts w:eastAsiaTheme="minorEastAsia"/>
                <w:szCs w:val="21"/>
              </w:rPr>
              <w:t>2.0</w:t>
            </w:r>
            <w:r>
              <w:rPr>
                <w:rFonts w:hint="eastAsia" w:eastAsiaTheme="minorEastAsia"/>
                <w:szCs w:val="21"/>
              </w:rPr>
              <w:t>和</w:t>
            </w:r>
            <w:r>
              <w:rPr>
                <w:rFonts w:eastAsiaTheme="minorEastAsia"/>
                <w:szCs w:val="21"/>
              </w:rPr>
              <w:t xml:space="preserve"> Android 6.0 </w:t>
            </w:r>
            <w:r>
              <w:rPr>
                <w:rFonts w:hint="eastAsia" w:eastAsiaTheme="minorEastAsia"/>
                <w:szCs w:val="21"/>
              </w:rPr>
              <w:t>及以上系统手机高级备份和手机克隆提取</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8"/>
              </w:numPr>
              <w:jc w:val="center"/>
              <w:rPr>
                <w:rFonts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支持</w:t>
            </w:r>
            <w:r>
              <w:rPr>
                <w:rFonts w:eastAsiaTheme="minorEastAsia"/>
                <w:szCs w:val="21"/>
              </w:rPr>
              <w:t xml:space="preserve"> MIUI9.0 </w:t>
            </w:r>
            <w:r>
              <w:rPr>
                <w:rFonts w:hint="eastAsia" w:eastAsiaTheme="minorEastAsia"/>
                <w:szCs w:val="21"/>
              </w:rPr>
              <w:t>及以上系统手机高级备份和换机提取</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8"/>
              </w:numPr>
              <w:jc w:val="center"/>
              <w:rPr>
                <w:rFonts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支持</w:t>
            </w:r>
            <w:r>
              <w:rPr>
                <w:rFonts w:eastAsiaTheme="minorEastAsia"/>
                <w:szCs w:val="21"/>
              </w:rPr>
              <w:t xml:space="preserve"> VIVO Android 6.0 </w:t>
            </w:r>
            <w:r>
              <w:rPr>
                <w:rFonts w:hint="eastAsia" w:eastAsiaTheme="minorEastAsia"/>
                <w:szCs w:val="21"/>
              </w:rPr>
              <w:t>及以上系统手机数据互传提取</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8"/>
              </w:numPr>
              <w:jc w:val="center"/>
              <w:rPr>
                <w:rFonts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支持</w:t>
            </w:r>
            <w:r>
              <w:rPr>
                <w:rFonts w:eastAsiaTheme="minorEastAsia"/>
                <w:szCs w:val="21"/>
              </w:rPr>
              <w:t xml:space="preserve"> OPPO Android 6.0 </w:t>
            </w:r>
            <w:r>
              <w:rPr>
                <w:rFonts w:hint="eastAsia" w:eastAsiaTheme="minorEastAsia"/>
                <w:szCs w:val="21"/>
              </w:rPr>
              <w:t>及以上系统手机搬家提取</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8"/>
              </w:numPr>
              <w:jc w:val="center"/>
              <w:rPr>
                <w:rFonts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支持华为、小米、</w:t>
            </w:r>
            <w:r>
              <w:rPr>
                <w:rFonts w:eastAsiaTheme="minorEastAsia"/>
                <w:szCs w:val="21"/>
              </w:rPr>
              <w:t>oppo</w:t>
            </w:r>
            <w:r>
              <w:rPr>
                <w:rFonts w:hint="eastAsia" w:eastAsiaTheme="minorEastAsia"/>
                <w:szCs w:val="21"/>
              </w:rPr>
              <w:t>、</w:t>
            </w:r>
            <w:r>
              <w:rPr>
                <w:rFonts w:eastAsiaTheme="minorEastAsia"/>
                <w:szCs w:val="21"/>
              </w:rPr>
              <w:t>vivo</w:t>
            </w:r>
            <w:r>
              <w:rPr>
                <w:rFonts w:hint="eastAsia" w:eastAsiaTheme="minorEastAsia"/>
                <w:szCs w:val="21"/>
              </w:rPr>
              <w:t>无需数据线连接设备、无需开启开发者模式、</w:t>
            </w:r>
            <w:r>
              <w:rPr>
                <w:rFonts w:eastAsiaTheme="minorEastAsia"/>
                <w:szCs w:val="21"/>
              </w:rPr>
              <w:t>usb</w:t>
            </w:r>
            <w:r>
              <w:rPr>
                <w:rFonts w:hint="eastAsia" w:eastAsiaTheme="minorEastAsia"/>
                <w:szCs w:val="21"/>
              </w:rPr>
              <w:t>调试进行无线提取</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8"/>
              </w:numPr>
              <w:jc w:val="center"/>
              <w:rPr>
                <w:rFonts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支持</w:t>
            </w:r>
            <w:r>
              <w:rPr>
                <w:rFonts w:eastAsiaTheme="minorEastAsia"/>
                <w:szCs w:val="21"/>
              </w:rPr>
              <w:t xml:space="preserve"> Android </w:t>
            </w:r>
            <w:r>
              <w:rPr>
                <w:rFonts w:hint="eastAsia" w:eastAsiaTheme="minorEastAsia"/>
                <w:szCs w:val="21"/>
              </w:rPr>
              <w:t>文件查看（包含外置</w:t>
            </w:r>
            <w:r>
              <w:rPr>
                <w:rFonts w:eastAsiaTheme="minorEastAsia"/>
                <w:szCs w:val="21"/>
              </w:rPr>
              <w:t xml:space="preserve"> SD </w:t>
            </w:r>
            <w:r>
              <w:rPr>
                <w:rFonts w:hint="eastAsia" w:eastAsiaTheme="minorEastAsia"/>
                <w:szCs w:val="21"/>
              </w:rPr>
              <w:t>卡信息）操作，勾选文件</w:t>
            </w:r>
            <w:r>
              <w:rPr>
                <w:rFonts w:eastAsiaTheme="minorEastAsia"/>
                <w:szCs w:val="21"/>
              </w:rPr>
              <w:t>/</w:t>
            </w:r>
            <w:r>
              <w:rPr>
                <w:rFonts w:hint="eastAsia" w:eastAsiaTheme="minorEastAsia"/>
                <w:szCs w:val="21"/>
              </w:rPr>
              <w:t>文件夹后支持快速导出，并自动进行完整性计算</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8"/>
              </w:numPr>
              <w:jc w:val="center"/>
              <w:rPr>
                <w:rFonts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支持超过</w:t>
            </w:r>
            <w:r>
              <w:rPr>
                <w:rFonts w:eastAsiaTheme="minorEastAsia"/>
                <w:szCs w:val="21"/>
              </w:rPr>
              <w:t xml:space="preserve"> 200 </w:t>
            </w:r>
            <w:r>
              <w:rPr>
                <w:rFonts w:hint="eastAsia" w:eastAsiaTheme="minorEastAsia"/>
                <w:szCs w:val="21"/>
              </w:rPr>
              <w:t>种以上常用</w:t>
            </w:r>
            <w:r>
              <w:rPr>
                <w:rFonts w:eastAsiaTheme="minorEastAsia"/>
                <w:szCs w:val="21"/>
              </w:rPr>
              <w:t xml:space="preserve"> Android </w:t>
            </w:r>
            <w:r>
              <w:rPr>
                <w:rFonts w:hint="eastAsia" w:eastAsiaTheme="minorEastAsia"/>
                <w:szCs w:val="21"/>
              </w:rPr>
              <w:t>和</w:t>
            </w:r>
            <w:r>
              <w:rPr>
                <w:rFonts w:eastAsiaTheme="minorEastAsia"/>
                <w:szCs w:val="21"/>
              </w:rPr>
              <w:t xml:space="preserve"> iOS </w:t>
            </w:r>
            <w:r>
              <w:rPr>
                <w:rFonts w:hint="eastAsia" w:eastAsiaTheme="minorEastAsia"/>
                <w:szCs w:val="21"/>
              </w:rPr>
              <w:t>应用信息解析，包括但不限于浏览器、即时通讯、境外通讯、邮箱工具、网络云盘、视频音频、办公软件、位置出行、网络购物、工具类等应用</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8"/>
              </w:numPr>
              <w:jc w:val="center"/>
              <w:rPr>
                <w:rFonts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支持基于</w:t>
            </w:r>
            <w:r>
              <w:rPr>
                <w:rFonts w:eastAsiaTheme="minorEastAsia"/>
                <w:szCs w:val="21"/>
              </w:rPr>
              <w:t xml:space="preserve"> Telegram </w:t>
            </w:r>
            <w:r>
              <w:rPr>
                <w:rFonts w:hint="eastAsia" w:eastAsiaTheme="minorEastAsia"/>
                <w:szCs w:val="21"/>
              </w:rPr>
              <w:t>聊天框架生成的各类变种即时通讯</w:t>
            </w:r>
            <w:r>
              <w:rPr>
                <w:rFonts w:eastAsiaTheme="minorEastAsia"/>
                <w:szCs w:val="21"/>
              </w:rPr>
              <w:t xml:space="preserve"> App </w:t>
            </w:r>
            <w:r>
              <w:rPr>
                <w:rFonts w:hint="eastAsia" w:eastAsiaTheme="minorEastAsia"/>
                <w:szCs w:val="21"/>
              </w:rPr>
              <w:t>通用解析</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8"/>
              </w:numPr>
              <w:jc w:val="center"/>
              <w:rPr>
                <w:rFonts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支持基于野火</w:t>
            </w:r>
            <w:r>
              <w:rPr>
                <w:rFonts w:eastAsiaTheme="minorEastAsia"/>
                <w:szCs w:val="21"/>
              </w:rPr>
              <w:t xml:space="preserve"> IM </w:t>
            </w:r>
            <w:r>
              <w:rPr>
                <w:rFonts w:hint="eastAsia" w:eastAsiaTheme="minorEastAsia"/>
                <w:szCs w:val="21"/>
              </w:rPr>
              <w:t>聊天框架生成的各类即时通讯</w:t>
            </w:r>
            <w:r>
              <w:rPr>
                <w:rFonts w:eastAsiaTheme="minorEastAsia"/>
                <w:szCs w:val="21"/>
              </w:rPr>
              <w:t xml:space="preserve"> App </w:t>
            </w:r>
            <w:r>
              <w:rPr>
                <w:rFonts w:hint="eastAsia" w:eastAsiaTheme="minorEastAsia"/>
                <w:szCs w:val="21"/>
              </w:rPr>
              <w:t>通用解析</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8"/>
              </w:numPr>
              <w:jc w:val="center"/>
              <w:rPr>
                <w:rFonts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地理位置支持点、路线聚合展示，路线轨迹可进行自动回放，地理位置数据可按照来源检材、标记、来源应用、时间范围等多条件组合智能筛选</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8"/>
              </w:numPr>
              <w:jc w:val="center"/>
              <w:rPr>
                <w:rFonts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支持检材中所有数据（应用分析结果、文件系统）以时间线的形式进行展示</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8"/>
              </w:numPr>
              <w:jc w:val="center"/>
              <w:rPr>
                <w:rFonts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支持定制脚本功能，可通过编写脚本处理证据信息，对取证功能进行扩展</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8"/>
              </w:numPr>
              <w:jc w:val="center"/>
              <w:rPr>
                <w:rFonts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支持</w:t>
            </w:r>
            <w:r>
              <w:rPr>
                <w:rFonts w:eastAsiaTheme="minorEastAsia"/>
                <w:szCs w:val="21"/>
              </w:rPr>
              <w:t xml:space="preserve"> Android </w:t>
            </w:r>
            <w:r>
              <w:rPr>
                <w:rFonts w:hint="eastAsia" w:eastAsiaTheme="minorEastAsia"/>
                <w:szCs w:val="21"/>
              </w:rPr>
              <w:t>设备接入后自动检测是否处于飞行模式</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8"/>
              </w:numPr>
              <w:jc w:val="center"/>
              <w:rPr>
                <w:rFonts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支持</w:t>
            </w:r>
            <w:r>
              <w:rPr>
                <w:rFonts w:eastAsiaTheme="minorEastAsia"/>
                <w:szCs w:val="21"/>
              </w:rPr>
              <w:t xml:space="preserve"> Android </w:t>
            </w:r>
            <w:r>
              <w:rPr>
                <w:rFonts w:hint="eastAsia" w:eastAsiaTheme="minorEastAsia"/>
                <w:szCs w:val="21"/>
              </w:rPr>
              <w:t>手机提取过程中自动点击</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8"/>
              </w:numPr>
              <w:jc w:val="center"/>
              <w:rPr>
                <w:rFonts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支持生成、上传部标格式数据包</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8"/>
              </w:numPr>
              <w:jc w:val="center"/>
              <w:rPr>
                <w:rFonts w:eastAsiaTheme="minorEastAsia"/>
                <w:szCs w:val="21"/>
              </w:rPr>
            </w:pPr>
          </w:p>
        </w:tc>
        <w:tc>
          <w:tcPr>
            <w:tcW w:w="1325"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物联网管理</w:t>
            </w:r>
            <w:r>
              <w:rPr>
                <w:rFonts w:eastAsiaTheme="minorEastAsia"/>
                <w:szCs w:val="21"/>
              </w:rPr>
              <w:t>API</w:t>
            </w:r>
          </w:p>
        </w:tc>
        <w:tc>
          <w:tcPr>
            <w:tcW w:w="2510"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支持开放的物联网管理</w:t>
            </w:r>
            <w:r>
              <w:rPr>
                <w:rFonts w:eastAsiaTheme="minorEastAsia"/>
                <w:szCs w:val="21"/>
              </w:rPr>
              <w:t>API</w:t>
            </w:r>
            <w:r>
              <w:rPr>
                <w:rFonts w:hint="eastAsia" w:eastAsiaTheme="minorEastAsia"/>
                <w:szCs w:val="21"/>
              </w:rPr>
              <w:t>接口，供实验室管理系统采集设备工作状态和工作量</w:t>
            </w:r>
          </w:p>
        </w:tc>
        <w:tc>
          <w:tcPr>
            <w:tcW w:w="713"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提供软件功能截图</w:t>
            </w:r>
          </w:p>
        </w:tc>
      </w:tr>
    </w:tbl>
    <w:p>
      <w:pPr>
        <w:rPr>
          <w:rFonts w:asciiTheme="minorHAnsi" w:hAnsiTheme="minorHAnsi" w:eastAsiaTheme="minorEastAsia" w:cstheme="minorBidi"/>
          <w:kern w:val="2"/>
          <w:szCs w:val="21"/>
        </w:rPr>
      </w:pPr>
    </w:p>
    <w:p>
      <w:pPr>
        <w:pStyle w:val="5"/>
        <w:spacing w:before="15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w:t>
      </w:r>
      <w:r>
        <w:rPr>
          <w:rFonts w:asciiTheme="minorEastAsia" w:hAnsiTheme="minorEastAsia" w:eastAsiaTheme="minorEastAsia" w:cstheme="minorEastAsia"/>
          <w:szCs w:val="21"/>
        </w:rPr>
        <w:t>4</w:t>
      </w:r>
      <w:r>
        <w:rPr>
          <w:rFonts w:hint="eastAsia" w:asciiTheme="minorEastAsia" w:hAnsiTheme="minorEastAsia" w:eastAsiaTheme="minorEastAsia" w:cstheme="minorEastAsia"/>
          <w:szCs w:val="21"/>
        </w:rPr>
        <w:t>包</w:t>
      </w:r>
      <w:r>
        <w:rPr>
          <w:rFonts w:asciiTheme="minorEastAsia" w:hAnsiTheme="minorEastAsia" w:eastAsiaTheme="minorEastAsia" w:cstheme="minorEastAsia"/>
          <w:szCs w:val="21"/>
        </w:rPr>
        <w:t xml:space="preserve"> </w:t>
      </w:r>
      <w:r>
        <w:rPr>
          <w:rFonts w:hint="eastAsia" w:asciiTheme="minorEastAsia" w:hAnsiTheme="minorEastAsia" w:eastAsiaTheme="minorEastAsia" w:cstheme="minorEastAsia"/>
          <w:szCs w:val="21"/>
        </w:rPr>
        <w:t>云取证工作站</w:t>
      </w:r>
      <w:r>
        <w:rPr>
          <w:rFonts w:hint="default" w:ascii="Times New Roman" w:hAnsi="Times New Roman" w:cs="Times New Roman" w:eastAsiaTheme="minorEastAsia"/>
          <w:szCs w:val="21"/>
        </w:rPr>
        <w:t>Ⅲ</w:t>
      </w:r>
    </w:p>
    <w:tbl>
      <w:tblPr>
        <w:tblStyle w:val="81"/>
        <w:tblW w:w="458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2070"/>
        <w:gridCol w:w="3922"/>
        <w:gridCol w:w="1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
                <w:szCs w:val="21"/>
              </w:rPr>
            </w:pPr>
            <w:r>
              <w:rPr>
                <w:rFonts w:hint="eastAsia" w:ascii="Times New Roman" w:hAnsi="Times New Roman" w:eastAsiaTheme="minorEastAsia"/>
                <w:b/>
                <w:szCs w:val="21"/>
              </w:rPr>
              <w:t>序号</w:t>
            </w:r>
          </w:p>
        </w:tc>
        <w:tc>
          <w:tcPr>
            <w:tcW w:w="1325"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
                <w:szCs w:val="21"/>
              </w:rPr>
            </w:pPr>
            <w:r>
              <w:rPr>
                <w:rFonts w:hint="eastAsia" w:ascii="Times New Roman" w:hAnsi="Times New Roman" w:eastAsiaTheme="minorEastAsia"/>
                <w:b/>
                <w:szCs w:val="21"/>
              </w:rPr>
              <w:t>指标项</w:t>
            </w:r>
          </w:p>
        </w:tc>
        <w:tc>
          <w:tcPr>
            <w:tcW w:w="2510"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
                <w:szCs w:val="21"/>
              </w:rPr>
            </w:pPr>
            <w:r>
              <w:rPr>
                <w:rFonts w:hint="eastAsia" w:ascii="Times New Roman" w:hAnsi="Times New Roman" w:eastAsiaTheme="minorEastAsia"/>
                <w:b/>
                <w:szCs w:val="21"/>
              </w:rPr>
              <w:t>指标要求</w:t>
            </w:r>
          </w:p>
        </w:tc>
        <w:tc>
          <w:tcPr>
            <w:tcW w:w="713"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
                <w:szCs w:val="21"/>
              </w:rPr>
            </w:pPr>
            <w:r>
              <w:rPr>
                <w:rFonts w:hint="eastAsia" w:ascii="Times New Roman" w:hAnsi="Times New Roman" w:eastAsiaTheme="minorEastAsia"/>
                <w:b/>
                <w:szCs w:val="21"/>
              </w:rPr>
              <w:t>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9"/>
              </w:numPr>
              <w:jc w:val="center"/>
              <w:rPr>
                <w:rFonts w:eastAsiaTheme="minorEastAsia"/>
                <w:szCs w:val="21"/>
              </w:rPr>
            </w:pPr>
          </w:p>
        </w:tc>
        <w:tc>
          <w:tcPr>
            <w:tcW w:w="1325"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b/>
                <w:szCs w:val="21"/>
              </w:rPr>
            </w:pPr>
            <w:r>
              <w:rPr>
                <w:rFonts w:hint="eastAsia" w:ascii="Times New Roman" w:hAnsi="Times New Roman" w:eastAsiaTheme="minorEastAsia"/>
                <w:b/>
                <w:szCs w:val="21"/>
              </w:rPr>
              <w:t>硬件要求</w:t>
            </w:r>
          </w:p>
        </w:tc>
        <w:tc>
          <w:tcPr>
            <w:tcW w:w="2510" w:type="pct"/>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szCs w:val="21"/>
              </w:rPr>
            </w:pPr>
            <w:r>
              <w:rPr>
                <w:rFonts w:hint="eastAsia" w:eastAsiaTheme="minorEastAsia"/>
                <w:szCs w:val="21"/>
              </w:rPr>
              <w:t>处理器：不低于</w:t>
            </w:r>
            <w:r>
              <w:rPr>
                <w:rFonts w:eastAsiaTheme="minorEastAsia"/>
                <w:szCs w:val="21"/>
              </w:rPr>
              <w:t>3.2GHz</w:t>
            </w:r>
            <w:r>
              <w:rPr>
                <w:rFonts w:hint="eastAsia" w:eastAsiaTheme="minorEastAsia"/>
                <w:szCs w:val="21"/>
              </w:rPr>
              <w:t>主频</w:t>
            </w:r>
            <w:r>
              <w:rPr>
                <w:rFonts w:eastAsiaTheme="minorEastAsia"/>
                <w:szCs w:val="21"/>
              </w:rPr>
              <w:t>10</w:t>
            </w:r>
            <w:r>
              <w:rPr>
                <w:rFonts w:hint="eastAsia" w:eastAsiaTheme="minorEastAsia"/>
                <w:szCs w:val="21"/>
              </w:rPr>
              <w:t>纳米制程工艺</w:t>
            </w:r>
            <w:r>
              <w:rPr>
                <w:rFonts w:eastAsiaTheme="minorEastAsia"/>
                <w:szCs w:val="21"/>
              </w:rPr>
              <w:t>16</w:t>
            </w:r>
            <w:r>
              <w:rPr>
                <w:rFonts w:hint="eastAsia" w:eastAsiaTheme="minorEastAsia"/>
                <w:szCs w:val="21"/>
              </w:rPr>
              <w:t>核心</w:t>
            </w:r>
            <w:r>
              <w:rPr>
                <w:rFonts w:eastAsiaTheme="minorEastAsia"/>
                <w:szCs w:val="21"/>
              </w:rPr>
              <w:t>24</w:t>
            </w:r>
            <w:r>
              <w:rPr>
                <w:rFonts w:hint="eastAsia" w:eastAsiaTheme="minorEastAsia"/>
                <w:szCs w:val="21"/>
              </w:rPr>
              <w:t>线程处理器；</w:t>
            </w:r>
          </w:p>
          <w:p>
            <w:pPr>
              <w:rPr>
                <w:rFonts w:eastAsiaTheme="minorEastAsia"/>
                <w:szCs w:val="21"/>
              </w:rPr>
            </w:pPr>
            <w:r>
              <w:rPr>
                <w:rFonts w:hint="eastAsia" w:eastAsiaTheme="minorEastAsia"/>
                <w:szCs w:val="21"/>
              </w:rPr>
              <w:t>内存：不低于</w:t>
            </w:r>
            <w:r>
              <w:rPr>
                <w:rFonts w:eastAsiaTheme="minorEastAsia"/>
                <w:szCs w:val="21"/>
              </w:rPr>
              <w:t>5</w:t>
            </w:r>
            <w:r>
              <w:rPr>
                <w:rFonts w:hint="eastAsia" w:eastAsiaTheme="minorEastAsia"/>
                <w:szCs w:val="21"/>
              </w:rPr>
              <w:t>代临时物理存储</w:t>
            </w:r>
            <w:r>
              <w:rPr>
                <w:rFonts w:eastAsiaTheme="minorEastAsia"/>
                <w:szCs w:val="21"/>
              </w:rPr>
              <w:t>64GB</w:t>
            </w:r>
            <w:r>
              <w:rPr>
                <w:rFonts w:hint="eastAsia" w:eastAsiaTheme="minorEastAsia"/>
                <w:szCs w:val="21"/>
              </w:rPr>
              <w:t>；</w:t>
            </w:r>
          </w:p>
          <w:p>
            <w:pPr>
              <w:rPr>
                <w:rFonts w:eastAsiaTheme="minorEastAsia"/>
                <w:szCs w:val="21"/>
              </w:rPr>
            </w:pPr>
            <w:r>
              <w:rPr>
                <w:rFonts w:hint="eastAsia" w:eastAsiaTheme="minorEastAsia"/>
                <w:szCs w:val="21"/>
              </w:rPr>
              <w:t>存储：不低于</w:t>
            </w:r>
            <w:r>
              <w:rPr>
                <w:rFonts w:eastAsiaTheme="minorEastAsia"/>
                <w:szCs w:val="21"/>
              </w:rPr>
              <w:t>8TB SSD + 18TB HDD</w:t>
            </w:r>
            <w:r>
              <w:rPr>
                <w:rFonts w:hint="eastAsia" w:eastAsiaTheme="minorEastAsia"/>
                <w:szCs w:val="21"/>
              </w:rPr>
              <w:t>硬盘；</w:t>
            </w:r>
          </w:p>
          <w:p>
            <w:pPr>
              <w:rPr>
                <w:rFonts w:eastAsiaTheme="minorEastAsia"/>
                <w:szCs w:val="21"/>
              </w:rPr>
            </w:pPr>
            <w:r>
              <w:rPr>
                <w:rFonts w:hint="eastAsia" w:eastAsiaTheme="minorEastAsia"/>
                <w:szCs w:val="21"/>
              </w:rPr>
              <w:t>显卡：不低于主频</w:t>
            </w:r>
            <w:r>
              <w:rPr>
                <w:rFonts w:eastAsiaTheme="minorEastAsia"/>
                <w:szCs w:val="21"/>
              </w:rPr>
              <w:t>1320MHz</w:t>
            </w:r>
            <w:r>
              <w:rPr>
                <w:rFonts w:hint="eastAsia" w:eastAsiaTheme="minorEastAsia"/>
                <w:szCs w:val="21"/>
              </w:rPr>
              <w:t>，显存频率不低于</w:t>
            </w:r>
            <w:r>
              <w:rPr>
                <w:rFonts w:eastAsiaTheme="minorEastAsia"/>
                <w:szCs w:val="21"/>
              </w:rPr>
              <w:t>12000MHz</w:t>
            </w:r>
            <w:r>
              <w:rPr>
                <w:rFonts w:hint="eastAsia" w:eastAsiaTheme="minorEastAsia"/>
                <w:szCs w:val="21"/>
              </w:rPr>
              <w:t>显存不低于</w:t>
            </w:r>
            <w:r>
              <w:rPr>
                <w:rFonts w:eastAsiaTheme="minorEastAsia"/>
                <w:szCs w:val="21"/>
              </w:rPr>
              <w:t>8GB</w:t>
            </w:r>
            <w:r>
              <w:rPr>
                <w:rFonts w:hint="eastAsia" w:eastAsiaTheme="minorEastAsia"/>
                <w:szCs w:val="21"/>
              </w:rPr>
              <w:t>；</w:t>
            </w:r>
          </w:p>
          <w:p>
            <w:pPr>
              <w:rPr>
                <w:rFonts w:eastAsiaTheme="minorEastAsia"/>
                <w:szCs w:val="21"/>
              </w:rPr>
            </w:pPr>
            <w:r>
              <w:rPr>
                <w:rFonts w:hint="eastAsia" w:eastAsiaTheme="minorEastAsia"/>
                <w:szCs w:val="21"/>
              </w:rPr>
              <w:t>显示器：不低于</w:t>
            </w:r>
            <w:r>
              <w:rPr>
                <w:rFonts w:eastAsiaTheme="minorEastAsia"/>
                <w:szCs w:val="21"/>
              </w:rPr>
              <w:t>1</w:t>
            </w:r>
            <w:r>
              <w:rPr>
                <w:rFonts w:hint="eastAsia" w:eastAsiaTheme="minorEastAsia"/>
                <w:szCs w:val="21"/>
              </w:rPr>
              <w:t>个</w:t>
            </w:r>
            <w:r>
              <w:rPr>
                <w:rFonts w:eastAsiaTheme="minorEastAsia"/>
                <w:szCs w:val="21"/>
              </w:rPr>
              <w:t xml:space="preserve">34 </w:t>
            </w:r>
            <w:r>
              <w:rPr>
                <w:rFonts w:hint="eastAsia" w:eastAsiaTheme="minorEastAsia"/>
                <w:szCs w:val="21"/>
              </w:rPr>
              <w:t>寸；</w:t>
            </w:r>
          </w:p>
          <w:p>
            <w:pPr>
              <w:rPr>
                <w:rFonts w:eastAsiaTheme="minorEastAsia"/>
                <w:szCs w:val="21"/>
              </w:rPr>
            </w:pPr>
            <w:r>
              <w:rPr>
                <w:rFonts w:hint="eastAsia" w:eastAsiaTheme="minorEastAsia"/>
                <w:szCs w:val="21"/>
              </w:rPr>
              <w:t>光驱：不少于</w:t>
            </w:r>
            <w:r>
              <w:rPr>
                <w:rFonts w:eastAsiaTheme="minorEastAsia"/>
                <w:szCs w:val="21"/>
              </w:rPr>
              <w:t>1</w:t>
            </w:r>
            <w:r>
              <w:rPr>
                <w:rFonts w:hint="eastAsia" w:eastAsiaTheme="minorEastAsia"/>
                <w:szCs w:val="21"/>
              </w:rPr>
              <w:t>个蓝光刻录机；</w:t>
            </w:r>
          </w:p>
          <w:p>
            <w:pPr>
              <w:rPr>
                <w:rFonts w:ascii="Times New Roman" w:hAnsi="Times New Roman" w:eastAsiaTheme="minorEastAsia"/>
                <w:b/>
                <w:szCs w:val="21"/>
              </w:rPr>
            </w:pPr>
            <w:r>
              <w:rPr>
                <w:rFonts w:hint="eastAsia" w:eastAsiaTheme="minorEastAsia"/>
                <w:szCs w:val="21"/>
              </w:rPr>
              <w:t>网络：不少于</w:t>
            </w:r>
            <w:r>
              <w:rPr>
                <w:rFonts w:eastAsiaTheme="minorEastAsia"/>
                <w:szCs w:val="21"/>
              </w:rPr>
              <w:t>1</w:t>
            </w:r>
            <w:r>
              <w:rPr>
                <w:rFonts w:hint="eastAsia" w:eastAsiaTheme="minorEastAsia"/>
                <w:szCs w:val="21"/>
              </w:rPr>
              <w:t>个千兆电口</w:t>
            </w:r>
          </w:p>
        </w:tc>
        <w:tc>
          <w:tcPr>
            <w:tcW w:w="713"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b/>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9"/>
              </w:numPr>
              <w:jc w:val="center"/>
              <w:rPr>
                <w:rFonts w:asciiTheme="minorHAnsi" w:hAnsiTheme="minorHAnsi" w:eastAsiaTheme="minorEastAsia"/>
                <w:szCs w:val="21"/>
              </w:rPr>
            </w:pPr>
          </w:p>
        </w:tc>
        <w:tc>
          <w:tcPr>
            <w:tcW w:w="1325" w:type="pct"/>
            <w:vMerge w:val="restar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szCs w:val="21"/>
              </w:rPr>
            </w:pPr>
            <w:r>
              <w:rPr>
                <w:rFonts w:hint="eastAsia" w:ascii="Times New Roman" w:hAnsi="Times New Roman" w:eastAsiaTheme="minorEastAsia"/>
                <w:szCs w:val="21"/>
              </w:rPr>
              <w:t>网页取证模块</w:t>
            </w:r>
          </w:p>
        </w:tc>
        <w:tc>
          <w:tcPr>
            <w:tcW w:w="2510"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szCs w:val="21"/>
              </w:rPr>
            </w:pPr>
            <w:r>
              <w:rPr>
                <w:rFonts w:hint="eastAsia" w:eastAsiaTheme="minorEastAsia"/>
                <w:szCs w:val="21"/>
              </w:rPr>
              <w:t>支持对域名、服务器</w:t>
            </w:r>
            <w:r>
              <w:rPr>
                <w:rFonts w:eastAsiaTheme="minorEastAsia"/>
                <w:szCs w:val="21"/>
              </w:rPr>
              <w:t>IP</w:t>
            </w:r>
            <w:r>
              <w:rPr>
                <w:rFonts w:hint="eastAsia" w:eastAsiaTheme="minorEastAsia"/>
                <w:szCs w:val="21"/>
              </w:rPr>
              <w:t>、端口、服务器软件种类</w:t>
            </w:r>
            <w:r>
              <w:rPr>
                <w:rFonts w:eastAsiaTheme="minorEastAsia"/>
                <w:szCs w:val="21"/>
              </w:rPr>
              <w:t>/</w:t>
            </w:r>
            <w:r>
              <w:rPr>
                <w:rFonts w:hint="eastAsia" w:eastAsiaTheme="minorEastAsia"/>
                <w:szCs w:val="21"/>
              </w:rPr>
              <w:t>版本等各种网站运行状态信息进行固定</w:t>
            </w:r>
          </w:p>
        </w:tc>
        <w:tc>
          <w:tcPr>
            <w:tcW w:w="713" w:type="pct"/>
            <w:vMerge w:val="restart"/>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szCs w:val="21"/>
              </w:rPr>
            </w:pPr>
            <w:r>
              <w:rPr>
                <w:rFonts w:hint="eastAsia" w:eastAsiaTheme="minorEastAsia"/>
                <w:szCs w:val="21"/>
              </w:rPr>
              <w:t>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9"/>
              </w:numPr>
              <w:jc w:val="center"/>
              <w:rPr>
                <w:rFonts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szCs w:val="21"/>
              </w:rPr>
            </w:pPr>
            <w:r>
              <w:rPr>
                <w:rFonts w:hint="eastAsia" w:eastAsiaTheme="minorEastAsia"/>
                <w:szCs w:val="21"/>
              </w:rPr>
              <w:t>支持自由固定，可以单页、单链接快速固定，也可以对相似链接或所有打开的标签页面进行批量固定</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9"/>
              </w:numPr>
              <w:jc w:val="center"/>
              <w:rPr>
                <w:rFonts w:asciiTheme="minorHAnsi" w:hAnsiTheme="minorHAnsi"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szCs w:val="21"/>
              </w:rPr>
            </w:pPr>
            <w:r>
              <w:rPr>
                <w:rFonts w:hint="eastAsia" w:eastAsiaTheme="minorEastAsia"/>
                <w:szCs w:val="21"/>
              </w:rPr>
              <w:t>支持国内外常用的邮箱、网盘、电商、微博等进行证据固定</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9"/>
              </w:numPr>
              <w:jc w:val="center"/>
              <w:rPr>
                <w:rFonts w:asciiTheme="minorHAnsi" w:hAnsiTheme="minorHAnsi"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szCs w:val="21"/>
              </w:rPr>
            </w:pPr>
            <w:r>
              <w:rPr>
                <w:rFonts w:hint="eastAsia" w:eastAsiaTheme="minorEastAsia"/>
                <w:szCs w:val="21"/>
              </w:rPr>
              <w:t>支持任务报告自动生成；支持根据下载的统计信息和页面信息，自动生成可编辑的远程勘验笔录和网络在线提取笔录</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9"/>
              </w:numPr>
              <w:jc w:val="center"/>
              <w:rPr>
                <w:rFonts w:asciiTheme="minorHAnsi" w:hAnsiTheme="minorHAnsi"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szCs w:val="21"/>
              </w:rPr>
            </w:pPr>
            <w:r>
              <w:rPr>
                <w:rFonts w:hint="eastAsia" w:eastAsiaTheme="minorEastAsia"/>
                <w:szCs w:val="21"/>
              </w:rPr>
              <w:t>支持任务开始及结束时自动进行国家授时中心时间校验</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9"/>
              </w:numPr>
              <w:jc w:val="center"/>
              <w:rPr>
                <w:rFonts w:asciiTheme="minorHAnsi" w:hAnsiTheme="minorHAnsi"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szCs w:val="21"/>
              </w:rPr>
            </w:pPr>
            <w:r>
              <w:rPr>
                <w:rFonts w:hint="eastAsia" w:eastAsiaTheme="minorEastAsia"/>
                <w:szCs w:val="21"/>
              </w:rPr>
              <w:t>支持自动生成文件的完整性校验值，下载过程中实时计算每个文件的</w:t>
            </w:r>
            <w:r>
              <w:rPr>
                <w:rFonts w:eastAsiaTheme="minorEastAsia"/>
                <w:szCs w:val="21"/>
              </w:rPr>
              <w:t>MD5</w:t>
            </w:r>
            <w:r>
              <w:rPr>
                <w:rFonts w:hint="eastAsia" w:eastAsiaTheme="minorEastAsia"/>
                <w:szCs w:val="21"/>
              </w:rPr>
              <w:t>、</w:t>
            </w:r>
            <w:r>
              <w:rPr>
                <w:rFonts w:eastAsiaTheme="minorEastAsia"/>
                <w:szCs w:val="21"/>
              </w:rPr>
              <w:t>SHA1</w:t>
            </w:r>
            <w:r>
              <w:rPr>
                <w:rFonts w:hint="eastAsia" w:eastAsiaTheme="minorEastAsia"/>
                <w:szCs w:val="21"/>
              </w:rPr>
              <w:t>、</w:t>
            </w:r>
            <w:r>
              <w:rPr>
                <w:rFonts w:eastAsiaTheme="minorEastAsia"/>
                <w:szCs w:val="21"/>
              </w:rPr>
              <w:t>SHA256</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9"/>
              </w:numPr>
              <w:jc w:val="center"/>
              <w:rPr>
                <w:rFonts w:asciiTheme="minorHAnsi" w:hAnsiTheme="minorHAnsi"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szCs w:val="21"/>
              </w:rPr>
            </w:pPr>
            <w:r>
              <w:rPr>
                <w:rFonts w:hint="eastAsia" w:eastAsiaTheme="minorEastAsia"/>
                <w:szCs w:val="21"/>
              </w:rPr>
              <w:t>支持部标</w:t>
            </w:r>
            <w:r>
              <w:rPr>
                <w:rFonts w:eastAsiaTheme="minorEastAsia"/>
                <w:szCs w:val="21"/>
              </w:rPr>
              <w:t>BCP</w:t>
            </w:r>
            <w:r>
              <w:rPr>
                <w:rFonts w:hint="eastAsia" w:eastAsiaTheme="minorEastAsia"/>
                <w:szCs w:val="21"/>
              </w:rPr>
              <w:t>包导出功能，可导入采集后台进行分析</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9"/>
              </w:numPr>
              <w:jc w:val="center"/>
              <w:rPr>
                <w:rFonts w:asciiTheme="minorHAnsi" w:hAnsiTheme="minorHAnsi"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szCs w:val="21"/>
              </w:rPr>
            </w:pPr>
            <w:r>
              <w:rPr>
                <w:rFonts w:hint="eastAsia" w:eastAsiaTheme="minorEastAsia"/>
                <w:szCs w:val="21"/>
              </w:rPr>
              <w:t>支持取证过程自定义录像，自动进行过程记录；</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9"/>
              </w:numPr>
              <w:jc w:val="center"/>
              <w:rPr>
                <w:rFonts w:asciiTheme="minorHAnsi" w:hAnsiTheme="minorHAnsi"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szCs w:val="21"/>
              </w:rPr>
            </w:pPr>
            <w:r>
              <w:rPr>
                <w:rFonts w:hint="eastAsia" w:eastAsiaTheme="minorEastAsia"/>
                <w:szCs w:val="21"/>
              </w:rPr>
              <w:t>需提供专业的模板定制服务，实时更新模板内容</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9"/>
              </w:numPr>
              <w:jc w:val="center"/>
              <w:rPr>
                <w:rFonts w:asciiTheme="minorHAnsi" w:hAnsiTheme="minorHAnsi" w:eastAsiaTheme="minorEastAsia"/>
                <w:szCs w:val="21"/>
              </w:rPr>
            </w:pPr>
          </w:p>
        </w:tc>
        <w:tc>
          <w:tcPr>
            <w:tcW w:w="1325" w:type="pct"/>
            <w:vMerge w:val="restar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ascii="宋体" w:hAnsi="宋体" w:eastAsiaTheme="minorEastAsia"/>
                <w:szCs w:val="21"/>
              </w:rPr>
              <w:t>Windows服务器取证模块</w:t>
            </w:r>
          </w:p>
        </w:tc>
        <w:tc>
          <w:tcPr>
            <w:tcW w:w="2510"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支持</w:t>
            </w:r>
            <w:r>
              <w:rPr>
                <w:rFonts w:eastAsiaTheme="minorEastAsia"/>
                <w:szCs w:val="21"/>
              </w:rPr>
              <w:t>Windows server</w:t>
            </w:r>
            <w:r>
              <w:rPr>
                <w:rFonts w:hint="eastAsia" w:eastAsiaTheme="minorEastAsia"/>
                <w:szCs w:val="21"/>
              </w:rPr>
              <w:t>系统及</w:t>
            </w:r>
            <w:r>
              <w:rPr>
                <w:rFonts w:eastAsiaTheme="minorEastAsia"/>
                <w:szCs w:val="21"/>
              </w:rPr>
              <w:t xml:space="preserve"> Windows </w:t>
            </w:r>
            <w:r>
              <w:rPr>
                <w:rFonts w:hint="eastAsia" w:eastAsiaTheme="minorEastAsia"/>
                <w:szCs w:val="21"/>
              </w:rPr>
              <w:t>桌面系列等</w:t>
            </w:r>
          </w:p>
        </w:tc>
        <w:tc>
          <w:tcPr>
            <w:tcW w:w="713" w:type="pct"/>
            <w:vMerge w:val="restar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9"/>
              </w:numPr>
              <w:jc w:val="center"/>
              <w:rPr>
                <w:rFonts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支持服务器基本信息、日志、网络、网站信息的一键获取，同时可对一获取内容进行预设</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9"/>
              </w:numPr>
              <w:jc w:val="center"/>
              <w:rPr>
                <w:rFonts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支持浏览器信息自动提取分析</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9"/>
              </w:numPr>
              <w:jc w:val="center"/>
              <w:rPr>
                <w:rFonts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支持</w:t>
            </w:r>
            <w:r>
              <w:rPr>
                <w:rFonts w:eastAsiaTheme="minorEastAsia"/>
                <w:szCs w:val="21"/>
              </w:rPr>
              <w:t xml:space="preserve">DNS </w:t>
            </w:r>
            <w:r>
              <w:rPr>
                <w:rFonts w:hint="eastAsia" w:eastAsiaTheme="minorEastAsia"/>
                <w:szCs w:val="21"/>
              </w:rPr>
              <w:t>域名信息自动提取</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9"/>
              </w:numPr>
              <w:jc w:val="center"/>
              <w:rPr>
                <w:rFonts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ascii="宋体" w:hAnsi="宋体" w:eastAsiaTheme="minorEastAsia"/>
                <w:szCs w:val="21"/>
              </w:rPr>
            </w:pPr>
            <w:r>
              <w:rPr>
                <w:rFonts w:hint="eastAsia" w:eastAsiaTheme="minorEastAsia"/>
                <w:szCs w:val="21"/>
              </w:rPr>
              <w:t>支持网站数据自动提取分析</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9"/>
              </w:numPr>
              <w:jc w:val="center"/>
              <w:rPr>
                <w:rFonts w:asciiTheme="minorHAnsi" w:hAnsiTheme="minorHAnsi"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ascii="宋体" w:hAnsi="宋体" w:eastAsiaTheme="minorEastAsia"/>
                <w:szCs w:val="21"/>
              </w:rPr>
            </w:pPr>
            <w:r>
              <w:rPr>
                <w:rFonts w:hint="eastAsia" w:eastAsiaTheme="minorEastAsia"/>
                <w:szCs w:val="21"/>
              </w:rPr>
              <w:t>支持分析</w:t>
            </w:r>
            <w:r>
              <w:rPr>
                <w:rFonts w:eastAsiaTheme="minorEastAsia"/>
                <w:szCs w:val="21"/>
              </w:rPr>
              <w:t>IP</w:t>
            </w:r>
            <w:r>
              <w:rPr>
                <w:rFonts w:hint="eastAsia" w:eastAsiaTheme="minorEastAsia"/>
                <w:szCs w:val="21"/>
              </w:rPr>
              <w:t>归属地并自动提取登录日志、文件访问日志、历史命令日志、系统日志、应用日志、安全日志、内核日志、浏览器历史等</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9"/>
              </w:numPr>
              <w:jc w:val="center"/>
              <w:rPr>
                <w:rFonts w:asciiTheme="minorHAnsi" w:hAnsiTheme="minorHAnsi"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ascii="宋体" w:hAnsi="宋体" w:eastAsiaTheme="minorEastAsia"/>
                <w:szCs w:val="21"/>
              </w:rPr>
            </w:pPr>
            <w:r>
              <w:rPr>
                <w:rFonts w:hint="eastAsia" w:eastAsiaTheme="minorEastAsia"/>
                <w:szCs w:val="21"/>
              </w:rPr>
              <w:t>支持查看当前系统所启用的网络端口、协议类型、远程服务器</w:t>
            </w:r>
            <w:r>
              <w:rPr>
                <w:rFonts w:eastAsiaTheme="minorEastAsia"/>
                <w:szCs w:val="21"/>
              </w:rPr>
              <w:t>IP</w:t>
            </w:r>
            <w:r>
              <w:rPr>
                <w:rFonts w:hint="eastAsia" w:eastAsiaTheme="minorEastAsia"/>
                <w:szCs w:val="21"/>
              </w:rPr>
              <w:t>、远程连接</w:t>
            </w:r>
            <w:r>
              <w:rPr>
                <w:rFonts w:eastAsiaTheme="minorEastAsia"/>
                <w:szCs w:val="21"/>
              </w:rPr>
              <w:t>IP</w:t>
            </w:r>
            <w:r>
              <w:rPr>
                <w:rFonts w:hint="eastAsia" w:eastAsiaTheme="minorEastAsia"/>
                <w:szCs w:val="21"/>
              </w:rPr>
              <w:t>地址归属地、端口及所对应的进程等信息</w:t>
            </w:r>
            <w:r>
              <w:rPr>
                <w:rFonts w:eastAsiaTheme="minorEastAsia"/>
                <w:szCs w:val="21"/>
              </w:rPr>
              <w:t xml:space="preserve"> </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9"/>
              </w:numPr>
              <w:jc w:val="center"/>
              <w:rPr>
                <w:rFonts w:asciiTheme="minorHAnsi" w:hAnsiTheme="minorHAnsi"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ascii="宋体" w:hAnsi="宋体" w:eastAsiaTheme="minorEastAsia"/>
                <w:szCs w:val="21"/>
              </w:rPr>
            </w:pPr>
            <w:r>
              <w:rPr>
                <w:rFonts w:hint="eastAsia" w:eastAsiaTheme="minorEastAsia"/>
                <w:szCs w:val="21"/>
              </w:rPr>
              <w:t>支持数据库提取分析</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9"/>
              </w:numPr>
              <w:jc w:val="center"/>
              <w:rPr>
                <w:rFonts w:asciiTheme="minorHAnsi" w:hAnsiTheme="minorHAnsi"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ascii="宋体" w:hAnsi="宋体" w:eastAsiaTheme="minorEastAsia"/>
                <w:szCs w:val="21"/>
              </w:rPr>
            </w:pPr>
            <w:r>
              <w:rPr>
                <w:rFonts w:hint="eastAsia" w:eastAsiaTheme="minorEastAsia"/>
                <w:szCs w:val="21"/>
              </w:rPr>
              <w:t>支持查看远程主机当前网络通信状态</w:t>
            </w:r>
            <w:r>
              <w:rPr>
                <w:rFonts w:eastAsiaTheme="minorEastAsia"/>
                <w:szCs w:val="21"/>
              </w:rPr>
              <w:t xml:space="preserve"> </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9"/>
              </w:numPr>
              <w:jc w:val="center"/>
              <w:rPr>
                <w:rFonts w:asciiTheme="minorHAnsi" w:hAnsiTheme="minorHAnsi"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ascii="宋体" w:hAnsi="宋体" w:eastAsiaTheme="minorEastAsia"/>
                <w:szCs w:val="21"/>
              </w:rPr>
            </w:pPr>
            <w:r>
              <w:rPr>
                <w:rFonts w:hint="eastAsia" w:eastAsiaTheme="minorEastAsia"/>
                <w:szCs w:val="21"/>
              </w:rPr>
              <w:t>支持</w:t>
            </w:r>
            <w:r>
              <w:rPr>
                <w:rFonts w:eastAsiaTheme="minorEastAsia"/>
                <w:szCs w:val="21"/>
              </w:rPr>
              <w:t>DD</w:t>
            </w:r>
            <w:r>
              <w:rPr>
                <w:rFonts w:hint="eastAsia" w:eastAsiaTheme="minorEastAsia"/>
                <w:szCs w:val="21"/>
              </w:rPr>
              <w:t>、</w:t>
            </w:r>
            <w:r>
              <w:rPr>
                <w:rFonts w:eastAsiaTheme="minorEastAsia"/>
                <w:szCs w:val="21"/>
              </w:rPr>
              <w:t>E01</w:t>
            </w:r>
            <w:r>
              <w:rPr>
                <w:rFonts w:hint="eastAsia" w:eastAsiaTheme="minorEastAsia"/>
                <w:szCs w:val="21"/>
              </w:rPr>
              <w:t>格式磁盘镜像</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9"/>
              </w:numPr>
              <w:jc w:val="center"/>
              <w:rPr>
                <w:rFonts w:asciiTheme="minorHAnsi" w:hAnsiTheme="minorHAnsi" w:eastAsiaTheme="minorEastAsia"/>
                <w:szCs w:val="21"/>
              </w:rPr>
            </w:pPr>
          </w:p>
        </w:tc>
        <w:tc>
          <w:tcPr>
            <w:tcW w:w="1325" w:type="pct"/>
            <w:vMerge w:val="restar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eastAsiaTheme="minorEastAsia"/>
                <w:szCs w:val="21"/>
              </w:rPr>
              <w:t>Linux</w:t>
            </w:r>
            <w:r>
              <w:rPr>
                <w:rFonts w:hint="eastAsia" w:eastAsiaTheme="minorEastAsia"/>
                <w:szCs w:val="21"/>
              </w:rPr>
              <w:t>服务器取证模块</w:t>
            </w:r>
          </w:p>
        </w:tc>
        <w:tc>
          <w:tcPr>
            <w:tcW w:w="2510"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支持</w:t>
            </w:r>
            <w:r>
              <w:rPr>
                <w:rFonts w:eastAsiaTheme="minorEastAsia"/>
                <w:szCs w:val="21"/>
              </w:rPr>
              <w:t xml:space="preserve"> Linux</w:t>
            </w:r>
            <w:r>
              <w:rPr>
                <w:rFonts w:hint="eastAsia" w:eastAsiaTheme="minorEastAsia"/>
                <w:szCs w:val="21"/>
              </w:rPr>
              <w:t>（</w:t>
            </w:r>
            <w:r>
              <w:rPr>
                <w:rFonts w:eastAsiaTheme="minorEastAsia"/>
                <w:szCs w:val="21"/>
              </w:rPr>
              <w:t>CentOS</w:t>
            </w:r>
            <w:r>
              <w:rPr>
                <w:rFonts w:hint="eastAsia" w:eastAsiaTheme="minorEastAsia"/>
                <w:szCs w:val="21"/>
              </w:rPr>
              <w:t>、</w:t>
            </w:r>
            <w:r>
              <w:rPr>
                <w:rFonts w:eastAsiaTheme="minorEastAsia"/>
                <w:szCs w:val="21"/>
              </w:rPr>
              <w:t>Redhat</w:t>
            </w:r>
            <w:r>
              <w:rPr>
                <w:rFonts w:hint="eastAsia" w:eastAsiaTheme="minorEastAsia"/>
                <w:szCs w:val="21"/>
              </w:rPr>
              <w:t>、</w:t>
            </w:r>
            <w:r>
              <w:rPr>
                <w:rFonts w:eastAsiaTheme="minorEastAsia"/>
                <w:szCs w:val="21"/>
              </w:rPr>
              <w:t>Ubuntu</w:t>
            </w:r>
            <w:r>
              <w:rPr>
                <w:rFonts w:hint="eastAsia" w:eastAsiaTheme="minorEastAsia"/>
                <w:szCs w:val="21"/>
              </w:rPr>
              <w:t>、</w:t>
            </w:r>
            <w:r>
              <w:rPr>
                <w:rFonts w:eastAsiaTheme="minorEastAsia"/>
                <w:szCs w:val="21"/>
              </w:rPr>
              <w:t>Debian</w:t>
            </w:r>
            <w:r>
              <w:rPr>
                <w:rFonts w:hint="eastAsia" w:eastAsiaTheme="minorEastAsia"/>
                <w:szCs w:val="21"/>
              </w:rPr>
              <w:t>）系统</w:t>
            </w:r>
          </w:p>
        </w:tc>
        <w:tc>
          <w:tcPr>
            <w:tcW w:w="713" w:type="pct"/>
            <w:vMerge w:val="restar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9"/>
              </w:numPr>
              <w:jc w:val="center"/>
              <w:rPr>
                <w:rFonts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支持远程终端操作，提供命令行操作窗口</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9"/>
              </w:numPr>
              <w:jc w:val="center"/>
              <w:rPr>
                <w:rFonts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支持服务器基本信息、日志、网络、网站信息的一键获取，同时可对获取内容进行预设</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9"/>
              </w:numPr>
              <w:jc w:val="center"/>
              <w:rPr>
                <w:rFonts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支持国产操作系统版本</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9"/>
              </w:numPr>
              <w:jc w:val="center"/>
              <w:rPr>
                <w:rFonts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支持多种连接验证方式，包括密码、私钥和加密私钥连接</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9"/>
              </w:numPr>
              <w:jc w:val="center"/>
              <w:rPr>
                <w:rFonts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支持网站数据自动提取分析</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9"/>
              </w:numPr>
              <w:jc w:val="center"/>
              <w:rPr>
                <w:rFonts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支持数据库提取分析</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9"/>
              </w:numPr>
              <w:jc w:val="center"/>
              <w:rPr>
                <w:rFonts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支持查看远程主机当前网络通信状态</w:t>
            </w:r>
            <w:r>
              <w:rPr>
                <w:rFonts w:eastAsiaTheme="minorEastAsia"/>
                <w:szCs w:val="21"/>
              </w:rPr>
              <w:t xml:space="preserve"> </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9"/>
              </w:numPr>
              <w:jc w:val="center"/>
              <w:rPr>
                <w:rFonts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支持</w:t>
            </w:r>
            <w:r>
              <w:rPr>
                <w:rFonts w:eastAsiaTheme="minorEastAsia"/>
                <w:szCs w:val="21"/>
              </w:rPr>
              <w:t>DD</w:t>
            </w:r>
            <w:r>
              <w:rPr>
                <w:rFonts w:hint="eastAsia" w:eastAsiaTheme="minorEastAsia"/>
                <w:szCs w:val="21"/>
              </w:rPr>
              <w:t>、</w:t>
            </w:r>
            <w:r>
              <w:rPr>
                <w:rFonts w:eastAsiaTheme="minorEastAsia"/>
                <w:szCs w:val="21"/>
              </w:rPr>
              <w:t>E01</w:t>
            </w:r>
            <w:r>
              <w:rPr>
                <w:rFonts w:hint="eastAsia" w:eastAsiaTheme="minorEastAsia"/>
                <w:szCs w:val="21"/>
              </w:rPr>
              <w:t>格式磁盘镜像</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59"/>
              </w:numPr>
              <w:jc w:val="center"/>
              <w:rPr>
                <w:rFonts w:eastAsiaTheme="minorEastAsia"/>
                <w:szCs w:val="21"/>
              </w:rPr>
            </w:pPr>
          </w:p>
        </w:tc>
        <w:tc>
          <w:tcPr>
            <w:tcW w:w="1325"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物联网管理</w:t>
            </w:r>
            <w:r>
              <w:rPr>
                <w:rFonts w:eastAsiaTheme="minorEastAsia"/>
                <w:szCs w:val="21"/>
              </w:rPr>
              <w:t>API</w:t>
            </w:r>
          </w:p>
        </w:tc>
        <w:tc>
          <w:tcPr>
            <w:tcW w:w="2510"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支持开放的物联网管理</w:t>
            </w:r>
            <w:r>
              <w:rPr>
                <w:rFonts w:eastAsiaTheme="minorEastAsia"/>
                <w:szCs w:val="21"/>
              </w:rPr>
              <w:t>API</w:t>
            </w:r>
            <w:r>
              <w:rPr>
                <w:rFonts w:hint="eastAsia" w:eastAsiaTheme="minorEastAsia"/>
                <w:szCs w:val="21"/>
              </w:rPr>
              <w:t>接口，供实验室管理系统采集设备工作状态和工作量。</w:t>
            </w:r>
          </w:p>
        </w:tc>
        <w:tc>
          <w:tcPr>
            <w:tcW w:w="713"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提供软件功能截图</w:t>
            </w:r>
          </w:p>
        </w:tc>
      </w:tr>
    </w:tbl>
    <w:p>
      <w:pPr>
        <w:pStyle w:val="5"/>
        <w:spacing w:before="15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w:t>
      </w:r>
      <w:r>
        <w:rPr>
          <w:rFonts w:asciiTheme="minorEastAsia" w:hAnsiTheme="minorEastAsia" w:eastAsiaTheme="minorEastAsia" w:cstheme="minorEastAsia"/>
          <w:szCs w:val="21"/>
        </w:rPr>
        <w:t>4</w:t>
      </w:r>
      <w:r>
        <w:rPr>
          <w:rFonts w:hint="eastAsia" w:asciiTheme="minorEastAsia" w:hAnsiTheme="minorEastAsia" w:eastAsiaTheme="minorEastAsia" w:cstheme="minorEastAsia"/>
          <w:szCs w:val="21"/>
        </w:rPr>
        <w:t>包手机密码破解设备</w:t>
      </w:r>
      <w:r>
        <w:rPr>
          <w:rFonts w:hint="default" w:ascii="Times New Roman" w:hAnsi="Times New Roman" w:cs="Times New Roman" w:eastAsiaTheme="minorEastAsia"/>
          <w:szCs w:val="21"/>
        </w:rPr>
        <w:t>Ⅰ</w:t>
      </w:r>
    </w:p>
    <w:tbl>
      <w:tblPr>
        <w:tblStyle w:val="81"/>
        <w:tblW w:w="458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2070"/>
        <w:gridCol w:w="3922"/>
        <w:gridCol w:w="1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452"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
                <w:szCs w:val="21"/>
              </w:rPr>
            </w:pPr>
            <w:r>
              <w:rPr>
                <w:rFonts w:hint="eastAsia" w:ascii="Times New Roman" w:hAnsi="Times New Roman" w:eastAsiaTheme="minorEastAsia"/>
                <w:b/>
                <w:szCs w:val="21"/>
              </w:rPr>
              <w:t>序号</w:t>
            </w:r>
          </w:p>
        </w:tc>
        <w:tc>
          <w:tcPr>
            <w:tcW w:w="1325"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b/>
                <w:szCs w:val="21"/>
              </w:rPr>
            </w:pPr>
            <w:r>
              <w:rPr>
                <w:rFonts w:hint="eastAsia" w:ascii="Times New Roman" w:hAnsi="Times New Roman" w:eastAsiaTheme="minorEastAsia"/>
                <w:b/>
                <w:szCs w:val="21"/>
              </w:rPr>
              <w:t>指标项</w:t>
            </w:r>
          </w:p>
        </w:tc>
        <w:tc>
          <w:tcPr>
            <w:tcW w:w="2510" w:type="pct"/>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szCs w:val="21"/>
              </w:rPr>
            </w:pPr>
            <w:r>
              <w:rPr>
                <w:rFonts w:hint="eastAsia" w:ascii="Times New Roman" w:hAnsi="Times New Roman" w:eastAsiaTheme="minorEastAsia"/>
                <w:b/>
                <w:szCs w:val="21"/>
              </w:rPr>
              <w:t>指标要求</w:t>
            </w:r>
          </w:p>
        </w:tc>
        <w:tc>
          <w:tcPr>
            <w:tcW w:w="713"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b/>
                <w:szCs w:val="21"/>
              </w:rPr>
            </w:pPr>
            <w:r>
              <w:rPr>
                <w:rFonts w:hint="eastAsia" w:ascii="Times New Roman" w:hAnsi="Times New Roman" w:eastAsiaTheme="minorEastAsia"/>
                <w:b/>
                <w:szCs w:val="21"/>
              </w:rPr>
              <w:t>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60"/>
              </w:numPr>
              <w:jc w:val="center"/>
              <w:rPr>
                <w:rFonts w:asciiTheme="minorHAnsi" w:hAnsiTheme="minorHAnsi" w:eastAsiaTheme="minorEastAsia"/>
                <w:szCs w:val="21"/>
              </w:rPr>
            </w:pPr>
          </w:p>
        </w:tc>
        <w:tc>
          <w:tcPr>
            <w:tcW w:w="1325"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b/>
                <w:szCs w:val="21"/>
              </w:rPr>
            </w:pPr>
            <w:r>
              <w:rPr>
                <w:rFonts w:hint="eastAsia" w:ascii="Times New Roman" w:hAnsi="Times New Roman" w:eastAsiaTheme="minorEastAsia"/>
                <w:b/>
                <w:szCs w:val="21"/>
              </w:rPr>
              <w:t>硬件要求</w:t>
            </w:r>
          </w:p>
        </w:tc>
        <w:tc>
          <w:tcPr>
            <w:tcW w:w="2510" w:type="pct"/>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szCs w:val="21"/>
              </w:rPr>
            </w:pPr>
            <w:r>
              <w:rPr>
                <w:rFonts w:hint="eastAsia" w:eastAsiaTheme="minorEastAsia"/>
                <w:szCs w:val="21"/>
              </w:rPr>
              <w:t>处理器：不低于</w:t>
            </w:r>
            <w:r>
              <w:rPr>
                <w:rFonts w:eastAsiaTheme="minorEastAsia"/>
                <w:szCs w:val="21"/>
              </w:rPr>
              <w:t>2.7GHz</w:t>
            </w:r>
            <w:r>
              <w:rPr>
                <w:rFonts w:hint="eastAsia" w:eastAsiaTheme="minorEastAsia"/>
                <w:szCs w:val="21"/>
              </w:rPr>
              <w:t>主频</w:t>
            </w:r>
            <w:r>
              <w:rPr>
                <w:rFonts w:eastAsiaTheme="minorEastAsia"/>
                <w:szCs w:val="21"/>
              </w:rPr>
              <w:t>10</w:t>
            </w:r>
            <w:r>
              <w:rPr>
                <w:rFonts w:hint="eastAsia" w:eastAsiaTheme="minorEastAsia"/>
                <w:szCs w:val="21"/>
              </w:rPr>
              <w:t>纳米制程工艺</w:t>
            </w:r>
            <w:r>
              <w:rPr>
                <w:rFonts w:eastAsiaTheme="minorEastAsia"/>
                <w:szCs w:val="21"/>
              </w:rPr>
              <w:t>12</w:t>
            </w:r>
            <w:r>
              <w:rPr>
                <w:rFonts w:hint="eastAsia" w:eastAsiaTheme="minorEastAsia"/>
                <w:szCs w:val="21"/>
              </w:rPr>
              <w:t>核心</w:t>
            </w:r>
            <w:r>
              <w:rPr>
                <w:rFonts w:eastAsiaTheme="minorEastAsia"/>
                <w:szCs w:val="21"/>
              </w:rPr>
              <w:t>20</w:t>
            </w:r>
            <w:r>
              <w:rPr>
                <w:rFonts w:hint="eastAsia" w:eastAsiaTheme="minorEastAsia"/>
                <w:szCs w:val="21"/>
              </w:rPr>
              <w:t>线程处理器</w:t>
            </w:r>
          </w:p>
          <w:p>
            <w:pPr>
              <w:rPr>
                <w:rFonts w:eastAsiaTheme="minorEastAsia"/>
                <w:szCs w:val="21"/>
              </w:rPr>
            </w:pPr>
            <w:r>
              <w:rPr>
                <w:rFonts w:hint="eastAsia" w:eastAsiaTheme="minorEastAsia"/>
                <w:szCs w:val="21"/>
              </w:rPr>
              <w:t>内存：不低于</w:t>
            </w:r>
            <w:r>
              <w:rPr>
                <w:rFonts w:eastAsiaTheme="minorEastAsia"/>
                <w:szCs w:val="21"/>
              </w:rPr>
              <w:t>5</w:t>
            </w:r>
            <w:r>
              <w:rPr>
                <w:rFonts w:hint="eastAsia" w:eastAsiaTheme="minorEastAsia"/>
                <w:szCs w:val="21"/>
              </w:rPr>
              <w:t>代临时物理存储</w:t>
            </w:r>
            <w:r>
              <w:rPr>
                <w:rFonts w:eastAsiaTheme="minorEastAsia"/>
                <w:szCs w:val="21"/>
              </w:rPr>
              <w:t>32GB</w:t>
            </w:r>
          </w:p>
          <w:p>
            <w:pPr>
              <w:rPr>
                <w:rFonts w:eastAsiaTheme="minorEastAsia"/>
                <w:szCs w:val="21"/>
              </w:rPr>
            </w:pPr>
            <w:r>
              <w:rPr>
                <w:rFonts w:hint="eastAsia" w:eastAsiaTheme="minorEastAsia"/>
                <w:szCs w:val="21"/>
              </w:rPr>
              <w:t>存储：不低于</w:t>
            </w:r>
            <w:r>
              <w:rPr>
                <w:rFonts w:eastAsiaTheme="minorEastAsia"/>
                <w:szCs w:val="21"/>
              </w:rPr>
              <w:t xml:space="preserve"> 512G SSD+2T SSD</w:t>
            </w:r>
            <w:r>
              <w:rPr>
                <w:rFonts w:hint="eastAsia" w:eastAsiaTheme="minorEastAsia"/>
                <w:szCs w:val="21"/>
              </w:rPr>
              <w:t>硬盘</w:t>
            </w:r>
          </w:p>
          <w:p>
            <w:pPr>
              <w:rPr>
                <w:rFonts w:eastAsiaTheme="minorEastAsia"/>
                <w:szCs w:val="21"/>
              </w:rPr>
            </w:pPr>
            <w:r>
              <w:rPr>
                <w:rFonts w:hint="eastAsia" w:eastAsiaTheme="minorEastAsia"/>
                <w:szCs w:val="21"/>
              </w:rPr>
              <w:t>显卡：不低于主频</w:t>
            </w:r>
            <w:r>
              <w:rPr>
                <w:rFonts w:eastAsiaTheme="minorEastAsia"/>
                <w:szCs w:val="21"/>
              </w:rPr>
              <w:t>2460MHz</w:t>
            </w:r>
            <w:r>
              <w:rPr>
                <w:rFonts w:hint="eastAsia" w:eastAsiaTheme="minorEastAsia"/>
                <w:szCs w:val="21"/>
              </w:rPr>
              <w:t>，显存频率不低于</w:t>
            </w:r>
            <w:r>
              <w:rPr>
                <w:rFonts w:eastAsiaTheme="minorEastAsia"/>
                <w:szCs w:val="21"/>
              </w:rPr>
              <w:t>17000MHz</w:t>
            </w:r>
            <w:r>
              <w:rPr>
                <w:rFonts w:hint="eastAsia" w:eastAsiaTheme="minorEastAsia"/>
                <w:szCs w:val="21"/>
              </w:rPr>
              <w:t>显存不低于</w:t>
            </w:r>
            <w:r>
              <w:rPr>
                <w:rFonts w:eastAsiaTheme="minorEastAsia"/>
                <w:szCs w:val="21"/>
              </w:rPr>
              <w:t>8GB</w:t>
            </w:r>
            <w:r>
              <w:rPr>
                <w:rFonts w:hint="eastAsia" w:eastAsiaTheme="minorEastAsia"/>
                <w:szCs w:val="21"/>
              </w:rPr>
              <w:t>，</w:t>
            </w:r>
          </w:p>
          <w:p>
            <w:pPr>
              <w:rPr>
                <w:rFonts w:ascii="Times New Roman" w:hAnsi="Times New Roman" w:eastAsiaTheme="minorEastAsia"/>
                <w:b/>
                <w:szCs w:val="21"/>
              </w:rPr>
            </w:pPr>
            <w:r>
              <w:rPr>
                <w:rFonts w:hint="eastAsia" w:eastAsiaTheme="minorEastAsia"/>
                <w:szCs w:val="21"/>
              </w:rPr>
              <w:t>显示器：不低于</w:t>
            </w:r>
            <w:r>
              <w:rPr>
                <w:rFonts w:eastAsiaTheme="minorEastAsia"/>
                <w:szCs w:val="21"/>
              </w:rPr>
              <w:t>15.6</w:t>
            </w:r>
            <w:r>
              <w:rPr>
                <w:rFonts w:hint="eastAsia" w:eastAsiaTheme="minorEastAsia"/>
                <w:szCs w:val="21"/>
              </w:rPr>
              <w:t>寸</w:t>
            </w:r>
          </w:p>
        </w:tc>
        <w:tc>
          <w:tcPr>
            <w:tcW w:w="713"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b/>
                <w:szCs w:val="21"/>
              </w:rPr>
            </w:pPr>
            <w:r>
              <w:rPr>
                <w:rFonts w:hint="eastAsia" w:asciiTheme="minorEastAsia" w:hAnsiTheme="minorEastAsia" w:eastAsiaTheme="minorEastAsia" w:cstheme="minorEastAsia"/>
                <w:bCs/>
                <w:color w:val="000000"/>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60"/>
              </w:numPr>
              <w:jc w:val="center"/>
              <w:rPr>
                <w:rFonts w:asciiTheme="minorHAnsi" w:hAnsiTheme="minorHAnsi" w:eastAsiaTheme="minorEastAsia"/>
                <w:szCs w:val="21"/>
              </w:rPr>
            </w:pPr>
          </w:p>
        </w:tc>
        <w:tc>
          <w:tcPr>
            <w:tcW w:w="1325" w:type="pct"/>
            <w:vMerge w:val="restar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ascii="Times New Roman" w:hAnsi="Times New Roman" w:eastAsiaTheme="minorEastAsia"/>
                <w:szCs w:val="21"/>
              </w:rPr>
              <w:t>解锁模块</w:t>
            </w:r>
          </w:p>
        </w:tc>
        <w:tc>
          <w:tcPr>
            <w:tcW w:w="2510"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szCs w:val="21"/>
              </w:rPr>
            </w:pPr>
            <w:r>
              <w:rPr>
                <w:rFonts w:hint="eastAsia" w:eastAsiaTheme="minorEastAsia"/>
                <w:szCs w:val="21"/>
              </w:rPr>
              <w:t>支持案件信息录入，检材信息录入</w:t>
            </w:r>
          </w:p>
        </w:tc>
        <w:tc>
          <w:tcPr>
            <w:tcW w:w="713" w:type="pct"/>
            <w:vMerge w:val="restart"/>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szCs w:val="21"/>
              </w:rPr>
            </w:pPr>
            <w:r>
              <w:rPr>
                <w:rFonts w:hint="eastAsia" w:eastAsiaTheme="minorEastAsia"/>
                <w:szCs w:val="21"/>
              </w:rPr>
              <w:t>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60"/>
              </w:numPr>
              <w:jc w:val="center"/>
              <w:rPr>
                <w:rFonts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szCs w:val="21"/>
              </w:rPr>
            </w:pPr>
            <w:r>
              <w:rPr>
                <w:rFonts w:hint="eastAsia" w:eastAsiaTheme="minorEastAsia"/>
                <w:szCs w:val="21"/>
              </w:rPr>
              <w:t>支持进入案件列表，查看检材详情，快速预览检材结果</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60"/>
              </w:numPr>
              <w:jc w:val="center"/>
              <w:rPr>
                <w:rFonts w:asciiTheme="minorHAnsi" w:hAnsiTheme="minorHAnsi"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szCs w:val="21"/>
              </w:rPr>
            </w:pPr>
            <w:r>
              <w:rPr>
                <w:rFonts w:hint="eastAsia" w:eastAsiaTheme="minorEastAsia"/>
                <w:szCs w:val="21"/>
              </w:rPr>
              <w:t>支持集成苹果、华为、小米、</w:t>
            </w:r>
            <w:r>
              <w:rPr>
                <w:rFonts w:eastAsiaTheme="minorEastAsia"/>
                <w:szCs w:val="21"/>
              </w:rPr>
              <w:t>OPPO</w:t>
            </w:r>
            <w:r>
              <w:rPr>
                <w:rFonts w:hint="eastAsia" w:eastAsiaTheme="minorEastAsia"/>
                <w:szCs w:val="21"/>
              </w:rPr>
              <w:t>、</w:t>
            </w:r>
            <w:r>
              <w:rPr>
                <w:rFonts w:eastAsiaTheme="minorEastAsia"/>
                <w:szCs w:val="21"/>
              </w:rPr>
              <w:t>VIVO</w:t>
            </w:r>
            <w:r>
              <w:rPr>
                <w:rFonts w:hint="eastAsia" w:eastAsiaTheme="minorEastAsia"/>
                <w:szCs w:val="21"/>
              </w:rPr>
              <w:t>、三星、诺基亚、摩托罗拉、一加、魅族、奇酷、糖果、联想、海尔、中兴、乐视等</w:t>
            </w:r>
            <w:r>
              <w:rPr>
                <w:rFonts w:eastAsiaTheme="minorEastAsia"/>
                <w:szCs w:val="21"/>
              </w:rPr>
              <w:t>300</w:t>
            </w:r>
            <w:r>
              <w:rPr>
                <w:rFonts w:hint="eastAsia" w:eastAsiaTheme="minorEastAsia"/>
                <w:szCs w:val="21"/>
              </w:rPr>
              <w:t>多个品牌超</w:t>
            </w:r>
            <w:r>
              <w:rPr>
                <w:rFonts w:eastAsiaTheme="minorEastAsia"/>
                <w:szCs w:val="21"/>
              </w:rPr>
              <w:t>6000</w:t>
            </w:r>
            <w:r>
              <w:rPr>
                <w:rFonts w:hint="eastAsia" w:eastAsiaTheme="minorEastAsia"/>
                <w:szCs w:val="21"/>
              </w:rPr>
              <w:t>多款机型的密码解密</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60"/>
              </w:numPr>
              <w:jc w:val="center"/>
              <w:rPr>
                <w:rFonts w:asciiTheme="minorHAnsi" w:hAnsiTheme="minorHAnsi"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szCs w:val="21"/>
              </w:rPr>
            </w:pPr>
            <w:r>
              <w:rPr>
                <w:rFonts w:hint="eastAsia" w:eastAsiaTheme="minorEastAsia"/>
                <w:szCs w:val="21"/>
              </w:rPr>
              <w:t>支持集成</w:t>
            </w:r>
            <w:r>
              <w:rPr>
                <w:rFonts w:eastAsiaTheme="minorEastAsia"/>
                <w:szCs w:val="21"/>
              </w:rPr>
              <w:t>VIVO</w:t>
            </w:r>
            <w:r>
              <w:rPr>
                <w:rFonts w:hint="eastAsia" w:eastAsiaTheme="minorEastAsia"/>
                <w:szCs w:val="21"/>
              </w:rPr>
              <w:t>、</w:t>
            </w:r>
            <w:r>
              <w:rPr>
                <w:rFonts w:eastAsiaTheme="minorEastAsia"/>
                <w:szCs w:val="21"/>
              </w:rPr>
              <w:t>OPPO</w:t>
            </w:r>
            <w:r>
              <w:rPr>
                <w:rFonts w:hint="eastAsia" w:eastAsiaTheme="minorEastAsia"/>
                <w:szCs w:val="21"/>
              </w:rPr>
              <w:t>、三星等品牌的应用锁移除功能</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60"/>
              </w:numPr>
              <w:jc w:val="center"/>
              <w:rPr>
                <w:rFonts w:asciiTheme="minorHAnsi" w:hAnsiTheme="minorHAnsi"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szCs w:val="21"/>
              </w:rPr>
            </w:pPr>
            <w:r>
              <w:rPr>
                <w:rFonts w:hint="eastAsia" w:eastAsiaTheme="minorEastAsia"/>
                <w:szCs w:val="21"/>
              </w:rPr>
              <w:t>支持集成</w:t>
            </w:r>
            <w:r>
              <w:rPr>
                <w:rFonts w:eastAsiaTheme="minorEastAsia"/>
                <w:szCs w:val="21"/>
              </w:rPr>
              <w:t>Android4.x-Android9.x</w:t>
            </w:r>
            <w:r>
              <w:rPr>
                <w:rFonts w:hint="eastAsia" w:eastAsiaTheme="minorEastAsia"/>
                <w:szCs w:val="21"/>
              </w:rPr>
              <w:t>的无加密且搭载高通芯片的机型禁用屏锁密码，支持</w:t>
            </w:r>
            <w:r>
              <w:rPr>
                <w:rFonts w:eastAsiaTheme="minorEastAsia"/>
                <w:szCs w:val="21"/>
              </w:rPr>
              <w:t>VIVO</w:t>
            </w:r>
            <w:r>
              <w:rPr>
                <w:rFonts w:hint="eastAsia" w:eastAsiaTheme="minorEastAsia"/>
                <w:szCs w:val="21"/>
              </w:rPr>
              <w:t>、</w:t>
            </w:r>
            <w:r>
              <w:rPr>
                <w:rFonts w:eastAsiaTheme="minorEastAsia"/>
                <w:szCs w:val="21"/>
              </w:rPr>
              <w:t>OPPO</w:t>
            </w:r>
            <w:r>
              <w:rPr>
                <w:rFonts w:hint="eastAsia" w:eastAsiaTheme="minorEastAsia"/>
                <w:szCs w:val="21"/>
              </w:rPr>
              <w:t>、小米等品牌</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60"/>
              </w:numPr>
              <w:jc w:val="center"/>
              <w:rPr>
                <w:rFonts w:asciiTheme="minorHAnsi" w:hAnsiTheme="minorHAnsi"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szCs w:val="21"/>
              </w:rPr>
            </w:pPr>
            <w:r>
              <w:rPr>
                <w:rFonts w:hint="eastAsia" w:eastAsiaTheme="minorEastAsia"/>
                <w:szCs w:val="21"/>
              </w:rPr>
              <w:t>支持集成</w:t>
            </w:r>
            <w:r>
              <w:rPr>
                <w:rFonts w:eastAsiaTheme="minorEastAsia"/>
                <w:szCs w:val="21"/>
              </w:rPr>
              <w:t>Android4.x-Android9.x</w:t>
            </w:r>
            <w:r>
              <w:rPr>
                <w:rFonts w:hint="eastAsia" w:eastAsiaTheme="minorEastAsia"/>
                <w:szCs w:val="21"/>
              </w:rPr>
              <w:t>的无加密且搭载联发科芯片的机型禁用屏锁密码，支持</w:t>
            </w:r>
            <w:r>
              <w:rPr>
                <w:rFonts w:eastAsiaTheme="minorEastAsia"/>
                <w:szCs w:val="21"/>
              </w:rPr>
              <w:t>VIVO</w:t>
            </w:r>
            <w:r>
              <w:rPr>
                <w:rFonts w:hint="eastAsia" w:eastAsiaTheme="minorEastAsia"/>
                <w:szCs w:val="21"/>
              </w:rPr>
              <w:t>、</w:t>
            </w:r>
            <w:r>
              <w:rPr>
                <w:rFonts w:eastAsiaTheme="minorEastAsia"/>
                <w:szCs w:val="21"/>
              </w:rPr>
              <w:t>OPPO</w:t>
            </w:r>
            <w:r>
              <w:rPr>
                <w:rFonts w:hint="eastAsia" w:eastAsiaTheme="minorEastAsia"/>
                <w:szCs w:val="21"/>
              </w:rPr>
              <w:t>等品牌</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60"/>
              </w:numPr>
              <w:jc w:val="center"/>
              <w:rPr>
                <w:rFonts w:asciiTheme="minorHAnsi" w:hAnsiTheme="minorHAnsi"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szCs w:val="21"/>
              </w:rPr>
            </w:pPr>
            <w:r>
              <w:rPr>
                <w:rFonts w:hint="eastAsia" w:eastAsiaTheme="minorEastAsia"/>
                <w:szCs w:val="21"/>
              </w:rPr>
              <w:t>支持集成</w:t>
            </w:r>
            <w:r>
              <w:rPr>
                <w:rFonts w:eastAsiaTheme="minorEastAsia"/>
                <w:szCs w:val="21"/>
              </w:rPr>
              <w:t xml:space="preserve">Android6.x-Android10.x </w:t>
            </w:r>
            <w:r>
              <w:rPr>
                <w:rFonts w:hint="eastAsia" w:eastAsiaTheme="minorEastAsia"/>
                <w:szCs w:val="21"/>
              </w:rPr>
              <w:t>的全盘加密（</w:t>
            </w:r>
            <w:r>
              <w:rPr>
                <w:rFonts w:eastAsiaTheme="minorEastAsia"/>
                <w:szCs w:val="21"/>
              </w:rPr>
              <w:t>FDE</w:t>
            </w:r>
            <w:r>
              <w:rPr>
                <w:rFonts w:hint="eastAsia" w:eastAsiaTheme="minorEastAsia"/>
                <w:szCs w:val="21"/>
              </w:rPr>
              <w:t>）且搭载高通芯片的机型禁用屏锁密码，支持</w:t>
            </w:r>
            <w:r>
              <w:rPr>
                <w:rFonts w:eastAsiaTheme="minorEastAsia"/>
                <w:szCs w:val="21"/>
              </w:rPr>
              <w:t>OPPO</w:t>
            </w:r>
            <w:r>
              <w:rPr>
                <w:rFonts w:hint="eastAsia" w:eastAsiaTheme="minorEastAsia"/>
                <w:szCs w:val="21"/>
              </w:rPr>
              <w:t>、小米、红米等品牌</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60"/>
              </w:numPr>
              <w:jc w:val="center"/>
              <w:rPr>
                <w:rFonts w:asciiTheme="minorHAnsi" w:hAnsiTheme="minorHAnsi"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szCs w:val="21"/>
              </w:rPr>
            </w:pPr>
            <w:r>
              <w:rPr>
                <w:rFonts w:hint="eastAsia" w:eastAsiaTheme="minorEastAsia"/>
                <w:szCs w:val="21"/>
              </w:rPr>
              <w:t>支持集成华为品牌的无加密且搭载高通芯片的机型禁用屏锁密码</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60"/>
              </w:numPr>
              <w:jc w:val="center"/>
              <w:rPr>
                <w:rFonts w:asciiTheme="minorHAnsi" w:hAnsiTheme="minorHAnsi"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szCs w:val="21"/>
              </w:rPr>
            </w:pPr>
            <w:r>
              <w:rPr>
                <w:rFonts w:hint="eastAsia" w:eastAsiaTheme="minorEastAsia"/>
                <w:szCs w:val="21"/>
              </w:rPr>
              <w:t>支持集成</w:t>
            </w:r>
            <w:r>
              <w:rPr>
                <w:rFonts w:eastAsiaTheme="minorEastAsia"/>
                <w:szCs w:val="21"/>
              </w:rPr>
              <w:t>EMUI8.x</w:t>
            </w:r>
            <w:r>
              <w:rPr>
                <w:rFonts w:hint="eastAsia" w:eastAsiaTheme="minorEastAsia"/>
                <w:szCs w:val="21"/>
              </w:rPr>
              <w:t>（</w:t>
            </w:r>
            <w:r>
              <w:rPr>
                <w:rFonts w:eastAsiaTheme="minorEastAsia"/>
                <w:szCs w:val="21"/>
              </w:rPr>
              <w:t>Android8.x</w:t>
            </w:r>
            <w:r>
              <w:rPr>
                <w:rFonts w:hint="eastAsia" w:eastAsiaTheme="minorEastAsia"/>
                <w:szCs w:val="21"/>
              </w:rPr>
              <w:t>）的文件级加密（</w:t>
            </w:r>
            <w:r>
              <w:rPr>
                <w:rFonts w:eastAsiaTheme="minorEastAsia"/>
                <w:szCs w:val="21"/>
              </w:rPr>
              <w:t>FBE</w:t>
            </w:r>
            <w:r>
              <w:rPr>
                <w:rFonts w:hint="eastAsia" w:eastAsiaTheme="minorEastAsia"/>
                <w:szCs w:val="21"/>
              </w:rPr>
              <w:t>）且搭载海思麒麟芯片的机型计算锁屏密码</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60"/>
              </w:numPr>
              <w:jc w:val="center"/>
              <w:rPr>
                <w:rFonts w:asciiTheme="minorHAnsi" w:hAnsiTheme="minorHAnsi"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支持集成</w:t>
            </w:r>
            <w:r>
              <w:rPr>
                <w:rFonts w:eastAsiaTheme="minorEastAsia"/>
                <w:szCs w:val="21"/>
              </w:rPr>
              <w:t>EMUI 9.x\EMUI 10.x\EMUI 11.x\HarmonyOS 2.0</w:t>
            </w:r>
            <w:r>
              <w:rPr>
                <w:rFonts w:hint="eastAsia" w:eastAsiaTheme="minorEastAsia"/>
                <w:szCs w:val="21"/>
              </w:rPr>
              <w:t>的文件级加密（</w:t>
            </w:r>
            <w:r>
              <w:rPr>
                <w:rFonts w:eastAsiaTheme="minorEastAsia"/>
                <w:szCs w:val="21"/>
              </w:rPr>
              <w:t>FBE</w:t>
            </w:r>
            <w:r>
              <w:rPr>
                <w:rFonts w:hint="eastAsia" w:eastAsiaTheme="minorEastAsia"/>
                <w:szCs w:val="21"/>
              </w:rPr>
              <w:t>）且搭载海思麒麟芯片的机型计算锁屏密码</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60"/>
              </w:numPr>
              <w:jc w:val="center"/>
              <w:rPr>
                <w:rFonts w:eastAsiaTheme="minorEastAsia"/>
                <w:szCs w:val="21"/>
              </w:rPr>
            </w:pPr>
          </w:p>
        </w:tc>
        <w:tc>
          <w:tcPr>
            <w:tcW w:w="1325" w:type="pct"/>
            <w:vMerge w:val="restar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采集模块</w:t>
            </w:r>
          </w:p>
        </w:tc>
        <w:tc>
          <w:tcPr>
            <w:tcW w:w="2510"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支持集成苹果搭载</w:t>
            </w:r>
            <w:r>
              <w:rPr>
                <w:rFonts w:eastAsiaTheme="minorEastAsia"/>
                <w:szCs w:val="21"/>
              </w:rPr>
              <w:t>A10-A16</w:t>
            </w:r>
            <w:r>
              <w:rPr>
                <w:rFonts w:hint="eastAsia" w:eastAsiaTheme="minorEastAsia"/>
                <w:szCs w:val="21"/>
              </w:rPr>
              <w:t>芯片的</w:t>
            </w:r>
            <w:r>
              <w:rPr>
                <w:rFonts w:eastAsiaTheme="minorEastAsia"/>
                <w:szCs w:val="21"/>
              </w:rPr>
              <w:t>iOS15.0-iOS15.7.1</w:t>
            </w:r>
            <w:r>
              <w:rPr>
                <w:rFonts w:hint="eastAsia" w:eastAsiaTheme="minorEastAsia"/>
                <w:szCs w:val="21"/>
              </w:rPr>
              <w:t>和</w:t>
            </w:r>
            <w:r>
              <w:rPr>
                <w:rFonts w:eastAsiaTheme="minorEastAsia"/>
                <w:szCs w:val="21"/>
              </w:rPr>
              <w:t>iOS16.0-iOS16.1.2</w:t>
            </w:r>
            <w:r>
              <w:rPr>
                <w:rFonts w:hint="eastAsia" w:eastAsiaTheme="minorEastAsia"/>
                <w:szCs w:val="21"/>
              </w:rPr>
              <w:t>系统版本机型，利用动态提权的方式采集全盘数据（全文件系统）</w:t>
            </w:r>
          </w:p>
        </w:tc>
        <w:tc>
          <w:tcPr>
            <w:tcW w:w="713" w:type="pct"/>
            <w:vMerge w:val="restar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60"/>
              </w:numPr>
              <w:jc w:val="center"/>
              <w:rPr>
                <w:rFonts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支持集成苹果搭载</w:t>
            </w:r>
            <w:r>
              <w:rPr>
                <w:rFonts w:eastAsiaTheme="minorEastAsia"/>
                <w:szCs w:val="21"/>
              </w:rPr>
              <w:t>A7-A11</w:t>
            </w:r>
            <w:r>
              <w:rPr>
                <w:rFonts w:hint="eastAsia" w:eastAsiaTheme="minorEastAsia"/>
                <w:szCs w:val="21"/>
              </w:rPr>
              <w:t>芯片的</w:t>
            </w:r>
            <w:r>
              <w:rPr>
                <w:rFonts w:eastAsiaTheme="minorEastAsia"/>
                <w:szCs w:val="21"/>
              </w:rPr>
              <w:t>iOS12.0-iOS14.5</w:t>
            </w:r>
            <w:r>
              <w:rPr>
                <w:rFonts w:hint="eastAsia" w:eastAsiaTheme="minorEastAsia"/>
                <w:szCs w:val="21"/>
              </w:rPr>
              <w:t>系统版本机型，利用动态提权的方式采集全盘数据（全文件系统）</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60"/>
              </w:numPr>
              <w:jc w:val="center"/>
              <w:rPr>
                <w:rFonts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支持苹果搭载</w:t>
            </w:r>
            <w:r>
              <w:rPr>
                <w:rFonts w:eastAsiaTheme="minorEastAsia"/>
                <w:szCs w:val="21"/>
              </w:rPr>
              <w:t>A7-A11</w:t>
            </w:r>
            <w:r>
              <w:rPr>
                <w:rFonts w:hint="eastAsia" w:eastAsiaTheme="minorEastAsia"/>
                <w:szCs w:val="21"/>
              </w:rPr>
              <w:t>芯片的</w:t>
            </w:r>
            <w:r>
              <w:rPr>
                <w:rFonts w:eastAsiaTheme="minorEastAsia"/>
                <w:szCs w:val="21"/>
              </w:rPr>
              <w:t>iOS12.2-iOS16.0</w:t>
            </w:r>
            <w:r>
              <w:rPr>
                <w:rFonts w:hint="eastAsia" w:eastAsiaTheme="minorEastAsia"/>
                <w:szCs w:val="21"/>
              </w:rPr>
              <w:t>系统版本机型，利用</w:t>
            </w:r>
            <w:r>
              <w:rPr>
                <w:rFonts w:eastAsiaTheme="minorEastAsia"/>
                <w:szCs w:val="21"/>
              </w:rPr>
              <w:t>checkM8</w:t>
            </w:r>
            <w:r>
              <w:rPr>
                <w:rFonts w:hint="eastAsia" w:eastAsiaTheme="minorEastAsia"/>
                <w:szCs w:val="21"/>
              </w:rPr>
              <w:t>漏洞进行动态提权采集全盘数据（全文件系统）和解析</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60"/>
              </w:numPr>
              <w:jc w:val="center"/>
              <w:rPr>
                <w:rFonts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支持集成华为、</w:t>
            </w:r>
            <w:r>
              <w:rPr>
                <w:rFonts w:eastAsiaTheme="minorEastAsia"/>
                <w:szCs w:val="21"/>
              </w:rPr>
              <w:t xml:space="preserve">OPPO </w:t>
            </w:r>
            <w:r>
              <w:rPr>
                <w:rFonts w:hint="eastAsia" w:eastAsiaTheme="minorEastAsia"/>
                <w:szCs w:val="21"/>
              </w:rPr>
              <w:t>、小米、</w:t>
            </w:r>
            <w:r>
              <w:rPr>
                <w:rFonts w:eastAsiaTheme="minorEastAsia"/>
                <w:szCs w:val="21"/>
              </w:rPr>
              <w:t>VIVO</w:t>
            </w:r>
            <w:r>
              <w:rPr>
                <w:rFonts w:hint="eastAsia" w:eastAsiaTheme="minorEastAsia"/>
                <w:szCs w:val="21"/>
              </w:rPr>
              <w:t>、荣耀等品牌的官方备份自定义提取，支持通讯录、通话记录、短信、备忘录、网络连接、网页信息、微信、</w:t>
            </w:r>
            <w:r>
              <w:rPr>
                <w:rFonts w:eastAsiaTheme="minorEastAsia"/>
                <w:szCs w:val="21"/>
              </w:rPr>
              <w:t>QQ</w:t>
            </w:r>
            <w:r>
              <w:rPr>
                <w:rFonts w:hint="eastAsia" w:eastAsiaTheme="minorEastAsia"/>
                <w:szCs w:val="21"/>
              </w:rPr>
              <w:t>、陌陌等应用程序，支持部分品牌的应用分身数据提取</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60"/>
              </w:numPr>
              <w:jc w:val="center"/>
              <w:rPr>
                <w:rFonts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支持集成</w:t>
            </w:r>
            <w:r>
              <w:rPr>
                <w:rFonts w:eastAsiaTheme="minorEastAsia"/>
                <w:szCs w:val="21"/>
              </w:rPr>
              <w:t>Android7.x-Android9.x</w:t>
            </w:r>
            <w:r>
              <w:rPr>
                <w:rFonts w:hint="eastAsia" w:eastAsiaTheme="minorEastAsia"/>
                <w:szCs w:val="21"/>
              </w:rPr>
              <w:t>全盘加密（</w:t>
            </w:r>
            <w:r>
              <w:rPr>
                <w:rFonts w:eastAsiaTheme="minorEastAsia"/>
                <w:szCs w:val="21"/>
              </w:rPr>
              <w:t>FDE</w:t>
            </w:r>
            <w:r>
              <w:rPr>
                <w:rFonts w:hint="eastAsia" w:eastAsiaTheme="minorEastAsia"/>
                <w:szCs w:val="21"/>
              </w:rPr>
              <w:t>）且搭载联发科芯片的机型，利用内核漏洞进行动态提权提取全盘数据（全文件系统）</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60"/>
              </w:numPr>
              <w:jc w:val="center"/>
              <w:rPr>
                <w:rFonts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支持集成</w:t>
            </w:r>
            <w:r>
              <w:rPr>
                <w:rFonts w:eastAsiaTheme="minorEastAsia"/>
                <w:szCs w:val="21"/>
              </w:rPr>
              <w:t>Android5.x-Android10.x</w:t>
            </w:r>
            <w:r>
              <w:rPr>
                <w:rFonts w:hint="eastAsia" w:eastAsiaTheme="minorEastAsia"/>
                <w:szCs w:val="21"/>
              </w:rPr>
              <w:t>无加密</w:t>
            </w:r>
            <w:r>
              <w:rPr>
                <w:rFonts w:eastAsiaTheme="minorEastAsia"/>
                <w:szCs w:val="21"/>
              </w:rPr>
              <w:t>/</w:t>
            </w:r>
            <w:r>
              <w:rPr>
                <w:rFonts w:hint="eastAsia" w:eastAsiaTheme="minorEastAsia"/>
                <w:szCs w:val="21"/>
              </w:rPr>
              <w:t>全盘加密（</w:t>
            </w:r>
            <w:r>
              <w:rPr>
                <w:rFonts w:eastAsiaTheme="minorEastAsia"/>
                <w:szCs w:val="21"/>
              </w:rPr>
              <w:t>FDE</w:t>
            </w:r>
            <w:r>
              <w:rPr>
                <w:rFonts w:hint="eastAsia" w:eastAsiaTheme="minorEastAsia"/>
                <w:szCs w:val="21"/>
              </w:rPr>
              <w:t>）</w:t>
            </w:r>
            <w:r>
              <w:rPr>
                <w:rFonts w:eastAsiaTheme="minorEastAsia"/>
                <w:szCs w:val="21"/>
              </w:rPr>
              <w:t>/</w:t>
            </w:r>
            <w:r>
              <w:rPr>
                <w:rFonts w:hint="eastAsia" w:eastAsiaTheme="minorEastAsia"/>
                <w:szCs w:val="21"/>
              </w:rPr>
              <w:t>文件级加密（</w:t>
            </w:r>
            <w:r>
              <w:rPr>
                <w:rFonts w:eastAsiaTheme="minorEastAsia"/>
                <w:szCs w:val="21"/>
              </w:rPr>
              <w:t>FBE</w:t>
            </w:r>
            <w:r>
              <w:rPr>
                <w:rFonts w:hint="eastAsia" w:eastAsiaTheme="minorEastAsia"/>
                <w:szCs w:val="21"/>
              </w:rPr>
              <w:t>）且搭载联发科芯片的机型，利用</w:t>
            </w:r>
            <w:r>
              <w:rPr>
                <w:rFonts w:eastAsiaTheme="minorEastAsia"/>
                <w:szCs w:val="21"/>
              </w:rPr>
              <w:t>Android</w:t>
            </w:r>
            <w:r>
              <w:rPr>
                <w:rFonts w:hint="eastAsia" w:eastAsiaTheme="minorEastAsia"/>
                <w:szCs w:val="21"/>
              </w:rPr>
              <w:t>漏洞库进行提权提取全盘数据</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60"/>
              </w:numPr>
              <w:jc w:val="center"/>
              <w:rPr>
                <w:rFonts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支持集成</w:t>
            </w:r>
            <w:r>
              <w:rPr>
                <w:rFonts w:eastAsiaTheme="minorEastAsia"/>
                <w:szCs w:val="21"/>
              </w:rPr>
              <w:t>Android5.x-Android10.x</w:t>
            </w:r>
            <w:r>
              <w:rPr>
                <w:rFonts w:hint="eastAsia" w:eastAsiaTheme="minorEastAsia"/>
                <w:szCs w:val="21"/>
              </w:rPr>
              <w:t>无加密</w:t>
            </w:r>
            <w:r>
              <w:rPr>
                <w:rFonts w:eastAsiaTheme="minorEastAsia"/>
                <w:szCs w:val="21"/>
              </w:rPr>
              <w:t>/</w:t>
            </w:r>
            <w:r>
              <w:rPr>
                <w:rFonts w:hint="eastAsia" w:eastAsiaTheme="minorEastAsia"/>
                <w:szCs w:val="21"/>
              </w:rPr>
              <w:t>全盘加密（</w:t>
            </w:r>
            <w:r>
              <w:rPr>
                <w:rFonts w:eastAsiaTheme="minorEastAsia"/>
                <w:szCs w:val="21"/>
              </w:rPr>
              <w:t>FDE</w:t>
            </w:r>
            <w:r>
              <w:rPr>
                <w:rFonts w:hint="eastAsia" w:eastAsiaTheme="minorEastAsia"/>
                <w:szCs w:val="21"/>
              </w:rPr>
              <w:t>）</w:t>
            </w:r>
            <w:r>
              <w:rPr>
                <w:rFonts w:eastAsiaTheme="minorEastAsia"/>
                <w:szCs w:val="21"/>
              </w:rPr>
              <w:t>/</w:t>
            </w:r>
            <w:r>
              <w:rPr>
                <w:rFonts w:hint="eastAsia" w:eastAsiaTheme="minorEastAsia"/>
                <w:szCs w:val="21"/>
              </w:rPr>
              <w:t>文件级加密（</w:t>
            </w:r>
            <w:r>
              <w:rPr>
                <w:rFonts w:eastAsiaTheme="minorEastAsia"/>
                <w:szCs w:val="21"/>
              </w:rPr>
              <w:t>FBE</w:t>
            </w:r>
            <w:r>
              <w:rPr>
                <w:rFonts w:hint="eastAsia" w:eastAsiaTheme="minorEastAsia"/>
                <w:szCs w:val="21"/>
              </w:rPr>
              <w:t>）且搭载高通芯片的机型，利用</w:t>
            </w:r>
            <w:r>
              <w:rPr>
                <w:rFonts w:eastAsiaTheme="minorEastAsia"/>
                <w:szCs w:val="21"/>
              </w:rPr>
              <w:t>Android</w:t>
            </w:r>
            <w:r>
              <w:rPr>
                <w:rFonts w:hint="eastAsia" w:eastAsiaTheme="minorEastAsia"/>
                <w:szCs w:val="21"/>
              </w:rPr>
              <w:t>漏洞库进行提权提取全盘数据</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60"/>
              </w:numPr>
              <w:jc w:val="center"/>
              <w:rPr>
                <w:rFonts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支持集成无加密且搭载高通芯片的机型，通过</w:t>
            </w:r>
            <w:r>
              <w:rPr>
                <w:rFonts w:eastAsiaTheme="minorEastAsia"/>
                <w:szCs w:val="21"/>
              </w:rPr>
              <w:t>9008</w:t>
            </w:r>
            <w:r>
              <w:rPr>
                <w:rFonts w:hint="eastAsia" w:eastAsiaTheme="minorEastAsia"/>
                <w:szCs w:val="21"/>
              </w:rPr>
              <w:t>端口模式下进行镜像取证</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60"/>
              </w:numPr>
              <w:jc w:val="center"/>
              <w:rPr>
                <w:rFonts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支持集成无加密且搭载联发科芯片的机型，通过</w:t>
            </w:r>
            <w:r>
              <w:rPr>
                <w:rFonts w:eastAsiaTheme="minorEastAsia"/>
                <w:szCs w:val="21"/>
              </w:rPr>
              <w:t>MTK</w:t>
            </w:r>
            <w:r>
              <w:rPr>
                <w:rFonts w:hint="eastAsia" w:eastAsiaTheme="minorEastAsia"/>
                <w:szCs w:val="21"/>
              </w:rPr>
              <w:t>端口模式下进行镜像取证；</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60"/>
              </w:numPr>
              <w:jc w:val="center"/>
              <w:rPr>
                <w:rFonts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支持集成华为、小米、</w:t>
            </w:r>
            <w:r>
              <w:rPr>
                <w:rFonts w:eastAsiaTheme="minorEastAsia"/>
                <w:szCs w:val="21"/>
              </w:rPr>
              <w:t>OPPO</w:t>
            </w:r>
            <w:r>
              <w:rPr>
                <w:rFonts w:hint="eastAsia" w:eastAsiaTheme="minorEastAsia"/>
                <w:szCs w:val="21"/>
              </w:rPr>
              <w:t>、</w:t>
            </w:r>
            <w:r>
              <w:rPr>
                <w:rFonts w:eastAsiaTheme="minorEastAsia"/>
                <w:szCs w:val="21"/>
              </w:rPr>
              <w:t>VIVO</w:t>
            </w:r>
            <w:r>
              <w:rPr>
                <w:rFonts w:hint="eastAsia" w:eastAsiaTheme="minorEastAsia"/>
                <w:szCs w:val="21"/>
              </w:rPr>
              <w:t>、魅族、乐视、</w:t>
            </w:r>
            <w:r>
              <w:rPr>
                <w:rFonts w:eastAsiaTheme="minorEastAsia"/>
                <w:szCs w:val="21"/>
              </w:rPr>
              <w:t>HTC</w:t>
            </w:r>
            <w:r>
              <w:rPr>
                <w:rFonts w:hint="eastAsia" w:eastAsiaTheme="minorEastAsia"/>
                <w:szCs w:val="21"/>
              </w:rPr>
              <w:t>等</w:t>
            </w:r>
            <w:r>
              <w:rPr>
                <w:rFonts w:eastAsiaTheme="minorEastAsia"/>
                <w:szCs w:val="21"/>
              </w:rPr>
              <w:t>300</w:t>
            </w:r>
            <w:r>
              <w:rPr>
                <w:rFonts w:hint="eastAsia" w:eastAsiaTheme="minorEastAsia"/>
                <w:szCs w:val="21"/>
              </w:rPr>
              <w:t>多种品牌超</w:t>
            </w:r>
            <w:r>
              <w:rPr>
                <w:rFonts w:eastAsiaTheme="minorEastAsia"/>
                <w:szCs w:val="21"/>
              </w:rPr>
              <w:t>6000</w:t>
            </w:r>
            <w:r>
              <w:rPr>
                <w:rFonts w:hint="eastAsia" w:eastAsiaTheme="minorEastAsia"/>
                <w:szCs w:val="21"/>
              </w:rPr>
              <w:t>多款机型在手机已</w:t>
            </w:r>
            <w:r>
              <w:rPr>
                <w:rFonts w:eastAsiaTheme="minorEastAsia"/>
                <w:szCs w:val="21"/>
              </w:rPr>
              <w:t>Root</w:t>
            </w:r>
            <w:r>
              <w:rPr>
                <w:rFonts w:hint="eastAsia" w:eastAsiaTheme="minorEastAsia"/>
                <w:szCs w:val="21"/>
              </w:rPr>
              <w:t>情况下进行提取全盘数据（全文件系统）</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60"/>
              </w:numPr>
              <w:jc w:val="center"/>
              <w:rPr>
                <w:rFonts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支持里集成</w:t>
            </w:r>
            <w:r>
              <w:rPr>
                <w:rFonts w:eastAsiaTheme="minorEastAsia"/>
                <w:szCs w:val="21"/>
              </w:rPr>
              <w:t>Android9-Android13 22</w:t>
            </w:r>
            <w:r>
              <w:rPr>
                <w:rFonts w:hint="eastAsia" w:eastAsiaTheme="minorEastAsia"/>
                <w:szCs w:val="21"/>
              </w:rPr>
              <w:t>年</w:t>
            </w:r>
            <w:r>
              <w:rPr>
                <w:rFonts w:eastAsiaTheme="minorEastAsia"/>
                <w:szCs w:val="21"/>
              </w:rPr>
              <w:t>10</w:t>
            </w:r>
            <w:r>
              <w:rPr>
                <w:rFonts w:hint="eastAsia" w:eastAsiaTheme="minorEastAsia"/>
                <w:szCs w:val="21"/>
              </w:rPr>
              <w:t>月补丁之前的安卓，利用漏洞库进行内核提权提取全盘数</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60"/>
              </w:numPr>
              <w:jc w:val="center"/>
              <w:rPr>
                <w:rFonts w:eastAsiaTheme="minorEastAsia"/>
                <w:szCs w:val="21"/>
              </w:rPr>
            </w:pPr>
          </w:p>
        </w:tc>
        <w:tc>
          <w:tcPr>
            <w:tcW w:w="1325"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物联网管理</w:t>
            </w:r>
            <w:r>
              <w:rPr>
                <w:rFonts w:eastAsiaTheme="minorEastAsia"/>
                <w:szCs w:val="21"/>
              </w:rPr>
              <w:t>API</w:t>
            </w:r>
          </w:p>
        </w:tc>
        <w:tc>
          <w:tcPr>
            <w:tcW w:w="2510"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支持开放的物联网管理</w:t>
            </w:r>
            <w:r>
              <w:rPr>
                <w:rFonts w:eastAsiaTheme="minorEastAsia"/>
                <w:szCs w:val="21"/>
              </w:rPr>
              <w:t>API</w:t>
            </w:r>
            <w:r>
              <w:rPr>
                <w:rFonts w:hint="eastAsia" w:eastAsiaTheme="minorEastAsia"/>
                <w:szCs w:val="21"/>
              </w:rPr>
              <w:t>接口，供实验室管理系统采集设备工作状态和工作量。</w:t>
            </w:r>
          </w:p>
        </w:tc>
        <w:tc>
          <w:tcPr>
            <w:tcW w:w="713"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提供软件功能截图</w:t>
            </w:r>
          </w:p>
        </w:tc>
      </w:tr>
    </w:tbl>
    <w:p>
      <w:pPr>
        <w:rPr>
          <w:rFonts w:asciiTheme="minorHAnsi" w:hAnsiTheme="minorHAnsi" w:eastAsiaTheme="minorEastAsia" w:cstheme="minorBidi"/>
          <w:kern w:val="2"/>
          <w:szCs w:val="21"/>
        </w:rPr>
      </w:pPr>
    </w:p>
    <w:p>
      <w:pPr>
        <w:pStyle w:val="5"/>
        <w:spacing w:before="15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w:t>
      </w:r>
      <w:r>
        <w:rPr>
          <w:rFonts w:asciiTheme="minorEastAsia" w:hAnsiTheme="minorEastAsia" w:eastAsiaTheme="minorEastAsia" w:cstheme="minorEastAsia"/>
          <w:szCs w:val="21"/>
        </w:rPr>
        <w:t>4</w:t>
      </w:r>
      <w:r>
        <w:rPr>
          <w:rFonts w:hint="eastAsia" w:asciiTheme="minorEastAsia" w:hAnsiTheme="minorEastAsia" w:eastAsiaTheme="minorEastAsia" w:cstheme="minorEastAsia"/>
          <w:szCs w:val="21"/>
        </w:rPr>
        <w:t>包电子取证数据库分析系统</w:t>
      </w:r>
    </w:p>
    <w:tbl>
      <w:tblPr>
        <w:tblStyle w:val="81"/>
        <w:tblW w:w="458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2070"/>
        <w:gridCol w:w="3922"/>
        <w:gridCol w:w="1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
                <w:szCs w:val="21"/>
              </w:rPr>
            </w:pPr>
            <w:r>
              <w:rPr>
                <w:rFonts w:hint="eastAsia" w:ascii="Times New Roman" w:hAnsi="Times New Roman" w:eastAsiaTheme="minorEastAsia"/>
                <w:b/>
                <w:szCs w:val="21"/>
              </w:rPr>
              <w:t>序号</w:t>
            </w:r>
          </w:p>
        </w:tc>
        <w:tc>
          <w:tcPr>
            <w:tcW w:w="1325"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
                <w:szCs w:val="21"/>
              </w:rPr>
            </w:pPr>
            <w:r>
              <w:rPr>
                <w:rFonts w:hint="eastAsia" w:ascii="Times New Roman" w:hAnsi="Times New Roman" w:eastAsiaTheme="minorEastAsia"/>
                <w:b/>
                <w:szCs w:val="21"/>
              </w:rPr>
              <w:t>指标项</w:t>
            </w:r>
          </w:p>
        </w:tc>
        <w:tc>
          <w:tcPr>
            <w:tcW w:w="2510"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
                <w:szCs w:val="21"/>
              </w:rPr>
            </w:pPr>
            <w:r>
              <w:rPr>
                <w:rFonts w:hint="eastAsia" w:ascii="Times New Roman" w:hAnsi="Times New Roman" w:eastAsiaTheme="minorEastAsia"/>
                <w:b/>
                <w:szCs w:val="21"/>
              </w:rPr>
              <w:t>指标要求</w:t>
            </w:r>
          </w:p>
        </w:tc>
        <w:tc>
          <w:tcPr>
            <w:tcW w:w="713"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
                <w:szCs w:val="21"/>
              </w:rPr>
            </w:pPr>
            <w:r>
              <w:rPr>
                <w:rFonts w:hint="eastAsia" w:ascii="Times New Roman" w:hAnsi="Times New Roman" w:eastAsiaTheme="minorEastAsia"/>
                <w:b/>
                <w:szCs w:val="21"/>
              </w:rPr>
              <w:t>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61"/>
              </w:numPr>
              <w:jc w:val="center"/>
              <w:rPr>
                <w:rFonts w:ascii="Times New Roman" w:hAnsi="Times New Roman" w:eastAsiaTheme="minorEastAsia"/>
                <w:b/>
                <w:szCs w:val="21"/>
              </w:rPr>
            </w:pPr>
          </w:p>
        </w:tc>
        <w:tc>
          <w:tcPr>
            <w:tcW w:w="1325"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b/>
                <w:szCs w:val="21"/>
              </w:rPr>
            </w:pPr>
            <w:r>
              <w:rPr>
                <w:rFonts w:hint="eastAsia" w:ascii="Times New Roman" w:hAnsi="Times New Roman" w:eastAsiaTheme="minorEastAsia"/>
                <w:b/>
                <w:szCs w:val="21"/>
              </w:rPr>
              <w:t>硬件要求</w:t>
            </w:r>
          </w:p>
        </w:tc>
        <w:tc>
          <w:tcPr>
            <w:tcW w:w="2510" w:type="pct"/>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szCs w:val="21"/>
              </w:rPr>
            </w:pPr>
            <w:r>
              <w:rPr>
                <w:rFonts w:hint="eastAsia" w:eastAsiaTheme="minorEastAsia"/>
                <w:szCs w:val="21"/>
              </w:rPr>
              <w:t>处理器：不低于</w:t>
            </w:r>
            <w:r>
              <w:rPr>
                <w:rFonts w:eastAsiaTheme="minorEastAsia"/>
                <w:szCs w:val="21"/>
              </w:rPr>
              <w:t>3.2GHz</w:t>
            </w:r>
            <w:r>
              <w:rPr>
                <w:rFonts w:hint="eastAsia" w:eastAsiaTheme="minorEastAsia"/>
                <w:szCs w:val="21"/>
              </w:rPr>
              <w:t>主频</w:t>
            </w:r>
            <w:r>
              <w:rPr>
                <w:rFonts w:eastAsiaTheme="minorEastAsia"/>
                <w:szCs w:val="21"/>
              </w:rPr>
              <w:t>10</w:t>
            </w:r>
            <w:r>
              <w:rPr>
                <w:rFonts w:hint="eastAsia" w:eastAsiaTheme="minorEastAsia"/>
                <w:szCs w:val="21"/>
              </w:rPr>
              <w:t>纳米制程工艺</w:t>
            </w:r>
            <w:r>
              <w:rPr>
                <w:rFonts w:eastAsiaTheme="minorEastAsia"/>
                <w:szCs w:val="21"/>
              </w:rPr>
              <w:t>16</w:t>
            </w:r>
            <w:r>
              <w:rPr>
                <w:rFonts w:hint="eastAsia" w:eastAsiaTheme="minorEastAsia"/>
                <w:szCs w:val="21"/>
              </w:rPr>
              <w:t>核心</w:t>
            </w:r>
            <w:r>
              <w:rPr>
                <w:rFonts w:eastAsiaTheme="minorEastAsia"/>
                <w:szCs w:val="21"/>
              </w:rPr>
              <w:t>24</w:t>
            </w:r>
            <w:r>
              <w:rPr>
                <w:rFonts w:hint="eastAsia" w:eastAsiaTheme="minorEastAsia"/>
                <w:szCs w:val="21"/>
              </w:rPr>
              <w:t>线程处理器；</w:t>
            </w:r>
          </w:p>
          <w:p>
            <w:pPr>
              <w:rPr>
                <w:rFonts w:eastAsiaTheme="minorEastAsia"/>
                <w:szCs w:val="21"/>
              </w:rPr>
            </w:pPr>
            <w:r>
              <w:rPr>
                <w:rFonts w:hint="eastAsia" w:eastAsiaTheme="minorEastAsia"/>
                <w:szCs w:val="21"/>
              </w:rPr>
              <w:t>内存：不低于</w:t>
            </w:r>
            <w:r>
              <w:rPr>
                <w:rFonts w:eastAsiaTheme="minorEastAsia"/>
                <w:szCs w:val="21"/>
              </w:rPr>
              <w:t>5</w:t>
            </w:r>
            <w:r>
              <w:rPr>
                <w:rFonts w:hint="eastAsia" w:eastAsiaTheme="minorEastAsia"/>
                <w:szCs w:val="21"/>
              </w:rPr>
              <w:t>代临时物理存储</w:t>
            </w:r>
            <w:r>
              <w:rPr>
                <w:rFonts w:eastAsiaTheme="minorEastAsia"/>
                <w:szCs w:val="21"/>
              </w:rPr>
              <w:t>64GB</w:t>
            </w:r>
          </w:p>
          <w:p>
            <w:pPr>
              <w:rPr>
                <w:rFonts w:eastAsiaTheme="minorEastAsia"/>
                <w:szCs w:val="21"/>
              </w:rPr>
            </w:pPr>
            <w:r>
              <w:rPr>
                <w:rFonts w:hint="eastAsia" w:eastAsiaTheme="minorEastAsia"/>
                <w:szCs w:val="21"/>
              </w:rPr>
              <w:t>存储：不低于</w:t>
            </w:r>
            <w:r>
              <w:rPr>
                <w:rFonts w:eastAsiaTheme="minorEastAsia"/>
                <w:szCs w:val="21"/>
              </w:rPr>
              <w:t>4T SSD</w:t>
            </w:r>
            <w:r>
              <w:rPr>
                <w:rFonts w:hint="eastAsia" w:eastAsiaTheme="minorEastAsia"/>
                <w:szCs w:val="21"/>
              </w:rPr>
              <w:t>硬盘</w:t>
            </w:r>
          </w:p>
          <w:p>
            <w:pPr>
              <w:rPr>
                <w:rFonts w:ascii="Times New Roman" w:hAnsi="Times New Roman" w:eastAsiaTheme="minorEastAsia"/>
                <w:b/>
                <w:szCs w:val="21"/>
              </w:rPr>
            </w:pPr>
            <w:r>
              <w:rPr>
                <w:rFonts w:hint="eastAsia" w:eastAsiaTheme="minorEastAsia"/>
                <w:szCs w:val="21"/>
              </w:rPr>
              <w:t>显示器：不低于</w:t>
            </w:r>
            <w:r>
              <w:rPr>
                <w:rFonts w:eastAsiaTheme="minorEastAsia"/>
                <w:szCs w:val="21"/>
              </w:rPr>
              <w:t>16</w:t>
            </w:r>
            <w:r>
              <w:rPr>
                <w:rFonts w:hint="eastAsia" w:eastAsiaTheme="minorEastAsia"/>
                <w:szCs w:val="21"/>
              </w:rPr>
              <w:t>英寸</w:t>
            </w:r>
          </w:p>
        </w:tc>
        <w:tc>
          <w:tcPr>
            <w:tcW w:w="713"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61"/>
              </w:numPr>
              <w:jc w:val="center"/>
              <w:rPr>
                <w:rFonts w:ascii="Times New Roman" w:hAnsi="Times New Roman" w:eastAsiaTheme="minorEastAsia"/>
                <w:b/>
                <w:szCs w:val="21"/>
              </w:rPr>
            </w:pPr>
          </w:p>
        </w:tc>
        <w:tc>
          <w:tcPr>
            <w:tcW w:w="1325" w:type="pct"/>
            <w:vMerge w:val="restar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szCs w:val="21"/>
              </w:rPr>
            </w:pPr>
            <w:r>
              <w:rPr>
                <w:rFonts w:hint="eastAsia" w:ascii="Times New Roman" w:hAnsi="Times New Roman" w:eastAsiaTheme="minorEastAsia"/>
                <w:szCs w:val="21"/>
              </w:rPr>
              <w:t>软件功能要求</w:t>
            </w:r>
          </w:p>
        </w:tc>
        <w:tc>
          <w:tcPr>
            <w:tcW w:w="2510"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szCs w:val="21"/>
              </w:rPr>
            </w:pPr>
            <w:r>
              <w:rPr>
                <w:rFonts w:hint="eastAsia" w:eastAsiaTheme="minorEastAsia"/>
                <w:szCs w:val="21"/>
              </w:rPr>
              <w:t>支持组织架构数据关系数据与资金数据自动识别，自动生成层级关系图</w:t>
            </w:r>
          </w:p>
        </w:tc>
        <w:tc>
          <w:tcPr>
            <w:tcW w:w="713" w:type="pct"/>
            <w:vMerge w:val="restart"/>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szCs w:val="21"/>
              </w:rPr>
            </w:pPr>
            <w:r>
              <w:rPr>
                <w:rFonts w:hint="eastAsia" w:eastAsiaTheme="minorEastAsia"/>
                <w:szCs w:val="21"/>
              </w:rPr>
              <w:t>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61"/>
              </w:numPr>
              <w:jc w:val="center"/>
              <w:rPr>
                <w:rFonts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szCs w:val="21"/>
              </w:rPr>
            </w:pPr>
            <w:r>
              <w:rPr>
                <w:rFonts w:hint="eastAsia" w:eastAsiaTheme="minorEastAsia"/>
                <w:szCs w:val="21"/>
              </w:rPr>
              <w:t>支持资金查控平台数据自动识别分析，自动调用账单数据分析功能</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61"/>
              </w:numPr>
              <w:jc w:val="center"/>
              <w:rPr>
                <w:rFonts w:asciiTheme="minorHAnsi" w:hAnsiTheme="minorHAnsi"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szCs w:val="21"/>
              </w:rPr>
            </w:pPr>
            <w:r>
              <w:rPr>
                <w:rFonts w:hint="eastAsia" w:eastAsiaTheme="minorEastAsia"/>
                <w:szCs w:val="21"/>
              </w:rPr>
              <w:t>支持文本、表格、</w:t>
            </w:r>
            <w:r>
              <w:rPr>
                <w:rFonts w:eastAsiaTheme="minorEastAsia"/>
                <w:szCs w:val="21"/>
              </w:rPr>
              <w:t>PDF</w:t>
            </w:r>
            <w:r>
              <w:rPr>
                <w:rFonts w:hint="eastAsia" w:eastAsiaTheme="minorEastAsia"/>
                <w:szCs w:val="21"/>
              </w:rPr>
              <w:t>、</w:t>
            </w:r>
            <w:r>
              <w:rPr>
                <w:rFonts w:eastAsiaTheme="minorEastAsia"/>
                <w:szCs w:val="21"/>
              </w:rPr>
              <w:t>JSON</w:t>
            </w:r>
            <w:r>
              <w:rPr>
                <w:rFonts w:hint="eastAsia" w:eastAsiaTheme="minorEastAsia"/>
                <w:szCs w:val="21"/>
              </w:rPr>
              <w:t>等多文件合并导入</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61"/>
              </w:numPr>
              <w:jc w:val="center"/>
              <w:rPr>
                <w:rFonts w:asciiTheme="minorHAnsi" w:hAnsiTheme="minorHAnsi"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szCs w:val="21"/>
              </w:rPr>
            </w:pPr>
            <w:r>
              <w:rPr>
                <w:rFonts w:hint="eastAsia" w:eastAsiaTheme="minorEastAsia"/>
                <w:szCs w:val="21"/>
              </w:rPr>
              <w:t>支持模板数据（资金流水、通话详单和组织架构等</w:t>
            </w:r>
            <w:r>
              <w:rPr>
                <w:rFonts w:eastAsiaTheme="minorEastAsia"/>
                <w:szCs w:val="21"/>
              </w:rPr>
              <w:t>)</w:t>
            </w:r>
            <w:r>
              <w:rPr>
                <w:rFonts w:hint="eastAsia" w:eastAsiaTheme="minorEastAsia"/>
                <w:szCs w:val="21"/>
              </w:rPr>
              <w:t>快速清洗和模板管理</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61"/>
              </w:numPr>
              <w:jc w:val="center"/>
              <w:rPr>
                <w:rFonts w:asciiTheme="minorHAnsi" w:hAnsiTheme="minorHAnsi"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szCs w:val="21"/>
              </w:rPr>
            </w:pPr>
            <w:r>
              <w:rPr>
                <w:rFonts w:hint="eastAsia" w:eastAsiaTheme="minorEastAsia"/>
                <w:szCs w:val="21"/>
              </w:rPr>
              <w:t>支持话单数据自动识别、分析</w:t>
            </w:r>
            <w:r>
              <w:rPr>
                <w:rFonts w:eastAsiaTheme="minorEastAsia"/>
                <w:szCs w:val="21"/>
              </w:rPr>
              <w:t>/</w:t>
            </w:r>
            <w:r>
              <w:rPr>
                <w:rFonts w:hint="eastAsia" w:eastAsiaTheme="minorEastAsia"/>
                <w:szCs w:val="21"/>
              </w:rPr>
              <w:t>智能分析，分析结果包括通联概况、通联对象概况、地域分布、重点通联对象、通联趋势等</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61"/>
              </w:numPr>
              <w:jc w:val="center"/>
              <w:rPr>
                <w:rFonts w:asciiTheme="minorHAnsi" w:hAnsiTheme="minorHAnsi"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szCs w:val="21"/>
              </w:rPr>
            </w:pPr>
            <w:r>
              <w:rPr>
                <w:rFonts w:hint="eastAsia" w:eastAsiaTheme="minorEastAsia"/>
                <w:szCs w:val="21"/>
              </w:rPr>
              <w:t>支持账单数据自动识别、分析</w:t>
            </w:r>
            <w:r>
              <w:rPr>
                <w:rFonts w:eastAsiaTheme="minorEastAsia"/>
                <w:szCs w:val="21"/>
              </w:rPr>
              <w:t>/</w:t>
            </w:r>
            <w:r>
              <w:rPr>
                <w:rFonts w:hint="eastAsia" w:eastAsiaTheme="minorEastAsia"/>
                <w:szCs w:val="21"/>
              </w:rPr>
              <w:t>智能分析，分析结果包括交易概况、交易对手、交易时段分布、可疑交易行为、重点交易对象、经济趋势等</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61"/>
              </w:numPr>
              <w:jc w:val="center"/>
              <w:rPr>
                <w:rFonts w:asciiTheme="minorHAnsi" w:hAnsiTheme="minorHAnsi"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szCs w:val="21"/>
              </w:rPr>
            </w:pPr>
            <w:r>
              <w:rPr>
                <w:rFonts w:hint="eastAsia" w:eastAsiaTheme="minorEastAsia"/>
                <w:szCs w:val="21"/>
              </w:rPr>
              <w:t>支持支付宝调证数据、微信调证数据（</w:t>
            </w:r>
            <w:r>
              <w:rPr>
                <w:rFonts w:eastAsiaTheme="minorEastAsia"/>
                <w:szCs w:val="21"/>
              </w:rPr>
              <w:t>PDF</w:t>
            </w:r>
            <w:r>
              <w:rPr>
                <w:rFonts w:hint="eastAsia" w:eastAsiaTheme="minorEastAsia"/>
                <w:szCs w:val="21"/>
              </w:rPr>
              <w:t>、</w:t>
            </w:r>
            <w:r>
              <w:rPr>
                <w:rFonts w:eastAsiaTheme="minorEastAsia"/>
                <w:szCs w:val="21"/>
              </w:rPr>
              <w:t>csv&amp;txt</w:t>
            </w:r>
            <w:r>
              <w:rPr>
                <w:rFonts w:hint="eastAsia" w:eastAsiaTheme="minorEastAsia"/>
                <w:szCs w:val="21"/>
              </w:rPr>
              <w:t>等）自动识别分析，自动调用账单数据分析功能</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61"/>
              </w:numPr>
              <w:jc w:val="center"/>
              <w:rPr>
                <w:rFonts w:asciiTheme="minorHAnsi" w:hAnsiTheme="minorHAnsi"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szCs w:val="21"/>
              </w:rPr>
            </w:pPr>
            <w:r>
              <w:rPr>
                <w:rFonts w:hint="eastAsia" w:eastAsiaTheme="minorEastAsia"/>
                <w:szCs w:val="21"/>
              </w:rPr>
              <w:t>支持反诈平台资金数据根据受害人信息、一级卡信息、涉案交易流水时间、资金深度等条件，自动追踪分析、绘制受害人被骗资金流向图</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61"/>
              </w:numPr>
              <w:jc w:val="center"/>
              <w:rPr>
                <w:rFonts w:asciiTheme="minorHAnsi" w:hAnsiTheme="minorHAnsi"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支持拆分功能，包括但不限于拆分身份证、</w:t>
            </w:r>
            <w:r>
              <w:rPr>
                <w:rFonts w:eastAsiaTheme="minorEastAsia"/>
                <w:szCs w:val="21"/>
              </w:rPr>
              <w:t>IP</w:t>
            </w:r>
            <w:r>
              <w:rPr>
                <w:rFonts w:hint="eastAsia" w:eastAsiaTheme="minorEastAsia"/>
                <w:szCs w:val="21"/>
              </w:rPr>
              <w:t>、手机号、银行卡等指定列数据，部分数据支持补充地区、性别、运营商等信息</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61"/>
              </w:numPr>
              <w:jc w:val="center"/>
              <w:rPr>
                <w:rFonts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支持联表功能，包括左连接、右连接、内连接、全连接，可对多张数据表做联接操作</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61"/>
              </w:numPr>
              <w:jc w:val="center"/>
              <w:rPr>
                <w:rFonts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支持列字段类型转换，包括字符串、整型、浮点型、时间、布尔等字段类型切换</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61"/>
              </w:numPr>
              <w:jc w:val="center"/>
              <w:rPr>
                <w:rFonts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支持导出功能，可选择指定列导出，提供设置分割行数进行分割导出</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61"/>
              </w:numPr>
              <w:jc w:val="center"/>
              <w:rPr>
                <w:rFonts w:eastAsiaTheme="minorEastAsia"/>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Theme="minorEastAsia"/>
                <w:kern w:val="2"/>
                <w:szCs w:val="21"/>
              </w:rPr>
            </w:pPr>
          </w:p>
        </w:tc>
        <w:tc>
          <w:tcPr>
            <w:tcW w:w="2510" w:type="pct"/>
            <w:tcBorders>
              <w:top w:val="single" w:color="auto" w:sz="4" w:space="0"/>
              <w:left w:val="single" w:color="auto" w:sz="4" w:space="0"/>
              <w:bottom w:val="single" w:color="auto" w:sz="4" w:space="0"/>
              <w:right w:val="single" w:color="auto" w:sz="4" w:space="0"/>
            </w:tcBorders>
            <w:vAlign w:val="center"/>
          </w:tcPr>
          <w:p>
            <w:pPr>
              <w:rPr>
                <w:rFonts w:ascii="宋体" w:hAnsi="宋体" w:eastAsiaTheme="minorEastAsia"/>
                <w:szCs w:val="21"/>
              </w:rPr>
            </w:pPr>
            <w:r>
              <w:rPr>
                <w:rFonts w:hint="eastAsia" w:eastAsiaTheme="minorEastAsia"/>
                <w:szCs w:val="21"/>
              </w:rPr>
              <w:t>支持自定义创建并运行</w:t>
            </w:r>
            <w:r>
              <w:rPr>
                <w:rFonts w:eastAsiaTheme="minorEastAsia"/>
                <w:szCs w:val="21"/>
              </w:rPr>
              <w:t>Python</w:t>
            </w:r>
            <w:r>
              <w:rPr>
                <w:rFonts w:hint="eastAsia" w:eastAsiaTheme="minorEastAsia"/>
                <w:szCs w:val="21"/>
              </w:rPr>
              <w:t>脚本分析功能</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61"/>
              </w:numPr>
              <w:jc w:val="center"/>
              <w:rPr>
                <w:rFonts w:asciiTheme="minorHAnsi" w:hAnsiTheme="minorHAnsi" w:eastAsiaTheme="minorEastAsia"/>
                <w:szCs w:val="21"/>
              </w:rPr>
            </w:pPr>
          </w:p>
        </w:tc>
        <w:tc>
          <w:tcPr>
            <w:tcW w:w="1325"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物联网管理</w:t>
            </w:r>
            <w:r>
              <w:rPr>
                <w:rFonts w:eastAsiaTheme="minorEastAsia"/>
                <w:szCs w:val="21"/>
              </w:rPr>
              <w:t>API</w:t>
            </w:r>
          </w:p>
        </w:tc>
        <w:tc>
          <w:tcPr>
            <w:tcW w:w="2510"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支持开放的物联网管理</w:t>
            </w:r>
            <w:r>
              <w:rPr>
                <w:rFonts w:eastAsiaTheme="minorEastAsia"/>
                <w:szCs w:val="21"/>
              </w:rPr>
              <w:t>API</w:t>
            </w:r>
            <w:r>
              <w:rPr>
                <w:rFonts w:hint="eastAsia" w:eastAsiaTheme="minorEastAsia"/>
                <w:szCs w:val="21"/>
              </w:rPr>
              <w:t>接口，供实验室管理系统采集设备工作状态和工作量。</w:t>
            </w:r>
          </w:p>
        </w:tc>
        <w:tc>
          <w:tcPr>
            <w:tcW w:w="713"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提供软件功能截图</w:t>
            </w:r>
          </w:p>
        </w:tc>
      </w:tr>
    </w:tbl>
    <w:p>
      <w:pPr>
        <w:rPr>
          <w:rFonts w:asciiTheme="minorHAnsi" w:hAnsiTheme="minorHAnsi" w:eastAsiaTheme="minorEastAsia" w:cstheme="minorBidi"/>
          <w:kern w:val="2"/>
          <w:szCs w:val="21"/>
        </w:rPr>
      </w:pPr>
    </w:p>
    <w:p>
      <w:pPr>
        <w:pStyle w:val="5"/>
        <w:spacing w:before="15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第5包 手机取证塔</w:t>
      </w:r>
      <w:r>
        <w:rPr>
          <w:rFonts w:hint="default" w:ascii="Times New Roman" w:hAnsi="Times New Roman" w:cs="Times New Roman" w:eastAsiaTheme="minorEastAsia"/>
          <w:szCs w:val="21"/>
        </w:rPr>
        <w:t>Ⅴ</w:t>
      </w:r>
    </w:p>
    <w:tbl>
      <w:tblPr>
        <w:tblStyle w:val="81"/>
        <w:tblW w:w="492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9"/>
        <w:gridCol w:w="619"/>
        <w:gridCol w:w="1922"/>
        <w:gridCol w:w="3674"/>
        <w:gridCol w:w="15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1" w:type="pct"/>
            <w:tcBorders>
              <w:top w:val="single" w:color="auto" w:sz="4" w:space="0"/>
              <w:left w:val="single" w:color="auto" w:sz="4" w:space="0"/>
              <w:bottom w:val="single" w:color="auto" w:sz="4" w:space="0"/>
              <w:right w:val="single" w:color="auto" w:sz="4" w:space="0"/>
            </w:tcBorders>
            <w:vAlign w:val="center"/>
          </w:tcPr>
          <w:p>
            <w:pPr>
              <w:pStyle w:val="249"/>
              <w:ind w:firstLine="0" w:firstLineChars="0"/>
              <w:rPr>
                <w:rFonts w:ascii="Times New Roman" w:hAnsi="Times New Roman" w:eastAsiaTheme="minorEastAsia"/>
                <w:b/>
                <w:bCs/>
                <w:color w:val="000000" w:themeColor="text1"/>
                <w14:textFill>
                  <w14:solidFill>
                    <w14:schemeClr w14:val="tx1"/>
                  </w14:solidFill>
                </w14:textFill>
              </w:rPr>
            </w:pPr>
            <w:r>
              <w:rPr>
                <w:rFonts w:hint="eastAsia" w:ascii="Times New Roman" w:hAnsi="Times New Roman" w:eastAsiaTheme="minorEastAsia"/>
                <w:b/>
                <w:bCs/>
                <w:color w:val="000000" w:themeColor="text1"/>
                <w14:textFill>
                  <w14:solidFill>
                    <w14:schemeClr w14:val="tx1"/>
                  </w14:solidFill>
                </w14:textFill>
              </w:rPr>
              <w:t>序号</w:t>
            </w:r>
          </w:p>
        </w:tc>
        <w:tc>
          <w:tcPr>
            <w:tcW w:w="369" w:type="pct"/>
            <w:tcBorders>
              <w:top w:val="single" w:color="auto" w:sz="4" w:space="0"/>
              <w:left w:val="single" w:color="auto" w:sz="4" w:space="0"/>
              <w:bottom w:val="single" w:color="auto" w:sz="4" w:space="0"/>
              <w:right w:val="single" w:color="auto" w:sz="4" w:space="0"/>
            </w:tcBorders>
          </w:tcPr>
          <w:p>
            <w:pPr>
              <w:pStyle w:val="249"/>
              <w:ind w:firstLine="0" w:firstLineChars="0"/>
              <w:rPr>
                <w:rFonts w:ascii="Times New Roman" w:hAnsi="Times New Roman" w:eastAsiaTheme="minorEastAsia"/>
                <w:b/>
                <w:bCs/>
                <w:color w:val="000000" w:themeColor="text1"/>
                <w14:textFill>
                  <w14:solidFill>
                    <w14:schemeClr w14:val="tx1"/>
                  </w14:solidFill>
                </w14:textFill>
              </w:rPr>
            </w:pPr>
            <w:r>
              <w:rPr>
                <w:rFonts w:hint="eastAsia" w:ascii="Times New Roman" w:hAnsi="Times New Roman" w:eastAsiaTheme="minorEastAsia"/>
                <w:b/>
                <w:bCs/>
                <w:color w:val="000000" w:themeColor="text1"/>
                <w14:textFill>
                  <w14:solidFill>
                    <w14:schemeClr w14:val="tx1"/>
                  </w14:solidFill>
                </w14:textFill>
              </w:rPr>
              <w:t>名称</w:t>
            </w:r>
          </w:p>
        </w:tc>
        <w:tc>
          <w:tcPr>
            <w:tcW w:w="1145" w:type="pct"/>
            <w:tcBorders>
              <w:top w:val="single" w:color="auto" w:sz="4" w:space="0"/>
              <w:left w:val="single" w:color="auto" w:sz="4" w:space="0"/>
              <w:bottom w:val="single" w:color="auto" w:sz="4" w:space="0"/>
              <w:right w:val="single" w:color="auto" w:sz="4" w:space="0"/>
            </w:tcBorders>
            <w:vAlign w:val="center"/>
          </w:tcPr>
          <w:p>
            <w:pPr>
              <w:pStyle w:val="249"/>
              <w:ind w:firstLine="422"/>
              <w:rPr>
                <w:rFonts w:ascii="Times New Roman" w:hAnsi="Times New Roman" w:eastAsiaTheme="minorEastAsia"/>
                <w:b/>
                <w:bCs/>
                <w:color w:val="000000" w:themeColor="text1"/>
                <w14:textFill>
                  <w14:solidFill>
                    <w14:schemeClr w14:val="tx1"/>
                  </w14:solidFill>
                </w14:textFill>
              </w:rPr>
            </w:pPr>
            <w:r>
              <w:rPr>
                <w:rFonts w:hint="eastAsia" w:ascii="Times New Roman" w:hAnsi="Times New Roman" w:eastAsiaTheme="minorEastAsia"/>
                <w:b/>
                <w:bCs/>
                <w:color w:val="000000" w:themeColor="text1"/>
                <w14:textFill>
                  <w14:solidFill>
                    <w14:schemeClr w14:val="tx1"/>
                  </w14:solidFill>
                </w14:textFill>
              </w:rPr>
              <w:t>指标项</w:t>
            </w:r>
          </w:p>
        </w:tc>
        <w:tc>
          <w:tcPr>
            <w:tcW w:w="2189" w:type="pct"/>
            <w:tcBorders>
              <w:top w:val="single" w:color="auto" w:sz="4" w:space="0"/>
              <w:left w:val="single" w:color="auto" w:sz="4" w:space="0"/>
              <w:bottom w:val="single" w:color="auto" w:sz="4" w:space="0"/>
              <w:right w:val="single" w:color="auto" w:sz="4" w:space="0"/>
            </w:tcBorders>
            <w:vAlign w:val="center"/>
          </w:tcPr>
          <w:p>
            <w:pPr>
              <w:pStyle w:val="249"/>
              <w:ind w:firstLine="422"/>
              <w:rPr>
                <w:rFonts w:ascii="Times New Roman" w:hAnsi="Times New Roman" w:eastAsiaTheme="minorEastAsia"/>
                <w:b/>
                <w:bCs/>
                <w:color w:val="000000" w:themeColor="text1"/>
                <w14:textFill>
                  <w14:solidFill>
                    <w14:schemeClr w14:val="tx1"/>
                  </w14:solidFill>
                </w14:textFill>
              </w:rPr>
            </w:pPr>
            <w:r>
              <w:rPr>
                <w:rFonts w:ascii="Times New Roman" w:hAnsi="Times New Roman" w:eastAsiaTheme="minorEastAsia"/>
                <w:b/>
                <w:bCs/>
                <w:color w:val="000000" w:themeColor="text1"/>
                <w14:textFill>
                  <w14:solidFill>
                    <w14:schemeClr w14:val="tx1"/>
                  </w14:solidFill>
                </w14:textFill>
              </w:rPr>
              <w:t>指标</w:t>
            </w:r>
            <w:r>
              <w:rPr>
                <w:rFonts w:hint="eastAsia" w:ascii="Times New Roman" w:hAnsi="Times New Roman" w:eastAsiaTheme="minorEastAsia"/>
                <w:b/>
                <w:bCs/>
                <w:color w:val="000000" w:themeColor="text1"/>
                <w14:textFill>
                  <w14:solidFill>
                    <w14:schemeClr w14:val="tx1"/>
                  </w14:solidFill>
                </w14:textFill>
              </w:rPr>
              <w:t>要求</w:t>
            </w:r>
          </w:p>
        </w:tc>
        <w:tc>
          <w:tcPr>
            <w:tcW w:w="916" w:type="pct"/>
            <w:tcBorders>
              <w:top w:val="single" w:color="auto" w:sz="4" w:space="0"/>
              <w:left w:val="single" w:color="auto" w:sz="4" w:space="0"/>
              <w:bottom w:val="single" w:color="auto" w:sz="4" w:space="0"/>
              <w:right w:val="single" w:color="auto" w:sz="4" w:space="0"/>
            </w:tcBorders>
            <w:vAlign w:val="center"/>
          </w:tcPr>
          <w:p>
            <w:pPr>
              <w:pStyle w:val="249"/>
              <w:ind w:firstLine="0" w:firstLineChars="0"/>
              <w:rPr>
                <w:rFonts w:ascii="Times New Roman" w:hAnsi="Times New Roman" w:eastAsiaTheme="minorEastAsia"/>
                <w:b/>
                <w:bCs/>
                <w:color w:val="000000" w:themeColor="text1"/>
                <w14:textFill>
                  <w14:solidFill>
                    <w14:schemeClr w14:val="tx1"/>
                  </w14:solidFill>
                </w14:textFill>
              </w:rPr>
            </w:pPr>
            <w:r>
              <w:rPr>
                <w:rFonts w:hint="eastAsia" w:ascii="Times New Roman" w:hAnsi="Times New Roman" w:eastAsiaTheme="minorEastAsia"/>
                <w:b/>
                <w:bCs/>
                <w:color w:val="000000" w:themeColor="text1"/>
                <w14:textFill>
                  <w14:solidFill>
                    <w14:schemeClr w14:val="tx1"/>
                  </w14:solidFill>
                </w14:textFill>
              </w:rPr>
              <w:t>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宋体" w:hAnsi="宋体" w:cs="宋体" w:eastAsiaTheme="minorEastAsia"/>
                <w:color w:val="000000" w:themeColor="text1"/>
                <w:szCs w:val="21"/>
                <w:lang w:val="en-US"/>
                <w14:textFill>
                  <w14:solidFill>
                    <w14:schemeClr w14:val="tx1"/>
                  </w14:solidFill>
                </w14:textFill>
              </w:rPr>
            </w:pPr>
            <w:r>
              <w:rPr>
                <w:rFonts w:hint="eastAsia" w:ascii="宋体" w:hAnsi="宋体" w:cs="宋体" w:eastAsiaTheme="minorEastAsia"/>
                <w:color w:val="000000" w:themeColor="text1"/>
                <w:szCs w:val="21"/>
                <w:lang w:val="en-US"/>
                <w14:textFill>
                  <w14:solidFill>
                    <w14:schemeClr w14:val="tx1"/>
                  </w14:solidFill>
                </w14:textFill>
              </w:rPr>
              <w:t>1</w:t>
            </w:r>
          </w:p>
        </w:tc>
        <w:tc>
          <w:tcPr>
            <w:tcW w:w="369" w:type="pct"/>
            <w:vMerge w:val="restart"/>
            <w:tcBorders>
              <w:top w:val="single" w:color="auto" w:sz="4" w:space="0"/>
              <w:left w:val="single" w:color="auto" w:sz="4" w:space="0"/>
              <w:right w:val="single" w:color="auto" w:sz="4" w:space="0"/>
            </w:tcBorders>
            <w:vAlign w:val="center"/>
          </w:tcPr>
          <w:p>
            <w:pPr>
              <w:pStyle w:val="249"/>
              <w:ind w:firstLine="0" w:firstLineChars="0"/>
              <w:jc w:val="center"/>
              <w:rPr>
                <w:rFonts w:ascii="Times New Roman" w:hAnsi="Times New Roman" w:eastAsiaTheme="minorEastAsia"/>
                <w:b/>
                <w:bCs/>
                <w:color w:val="000000" w:themeColor="text1"/>
                <w:lang w:val="en-US"/>
                <w14:textFill>
                  <w14:solidFill>
                    <w14:schemeClr w14:val="tx1"/>
                  </w14:solidFill>
                </w14:textFill>
              </w:rPr>
            </w:pPr>
            <w:r>
              <w:rPr>
                <w:rFonts w:hint="eastAsia" w:ascii="Times New Roman" w:hAnsi="Times New Roman" w:eastAsiaTheme="minorEastAsia"/>
                <w:color w:val="000000" w:themeColor="text1"/>
                <w:lang w:val="en-US"/>
                <w14:textFill>
                  <w14:solidFill>
                    <w14:schemeClr w14:val="tx1"/>
                  </w14:solidFill>
                </w14:textFill>
              </w:rPr>
              <w:t>塔机</w:t>
            </w:r>
          </w:p>
        </w:tc>
        <w:tc>
          <w:tcPr>
            <w:tcW w:w="1145"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eastAsiaTheme="minorEastAsia"/>
                <w:color w:val="000000" w:themeColor="text1"/>
                <w:szCs w:val="21"/>
                <w:lang w:val="en-US"/>
                <w14:textFill>
                  <w14:solidFill>
                    <w14:schemeClr w14:val="tx1"/>
                  </w14:solidFill>
                </w14:textFill>
              </w:rPr>
            </w:pPr>
            <w:r>
              <w:rPr>
                <w:rFonts w:eastAsiaTheme="minorEastAsia"/>
                <w:color w:val="000000" w:themeColor="text1"/>
                <w:szCs w:val="21"/>
                <w:lang w:val="en-US"/>
                <w14:textFill>
                  <w14:solidFill>
                    <w14:schemeClr w14:val="tx1"/>
                  </w14:solidFill>
                </w14:textFill>
              </w:rPr>
              <w:t>处理器</w:t>
            </w:r>
          </w:p>
        </w:tc>
        <w:tc>
          <w:tcPr>
            <w:tcW w:w="2189"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rPr>
                <w:rFonts w:ascii="宋体" w:hAnsi="宋体" w:cs="宋体" w:eastAsiaTheme="minorEastAsia"/>
                <w:color w:val="000000" w:themeColor="text1"/>
                <w:szCs w:val="21"/>
                <w:lang w:bidi="en-US"/>
                <w14:textFill>
                  <w14:solidFill>
                    <w14:schemeClr w14:val="tx1"/>
                  </w14:solidFill>
                </w14:textFill>
              </w:rPr>
            </w:pPr>
            <w:r>
              <w:rPr>
                <w:rFonts w:hint="eastAsia" w:eastAsiaTheme="minorEastAsia"/>
                <w:color w:val="000000" w:themeColor="text1"/>
                <w:szCs w:val="21"/>
                <w:lang w:val="en-US"/>
                <w14:textFill>
                  <w14:solidFill>
                    <w14:schemeClr w14:val="tx1"/>
                  </w14:solidFill>
                </w14:textFill>
              </w:rPr>
              <w:t>不低于16核24线程处理器，主频不低于2.4GHz</w:t>
            </w:r>
          </w:p>
        </w:tc>
        <w:tc>
          <w:tcPr>
            <w:tcW w:w="91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Theme="minorEastAsia"/>
                <w:bCs/>
                <w:color w:val="000000" w:themeColor="text1"/>
                <w:szCs w:val="21"/>
                <w14:textFill>
                  <w14:solidFill>
                    <w14:schemeClr w14:val="tx1"/>
                  </w14:solidFill>
                </w14:textFill>
              </w:rPr>
            </w:pPr>
            <w:r>
              <w:rPr>
                <w:rFonts w:hint="eastAsia" w:eastAsiaTheme="minorEastAsia"/>
                <w:bCs/>
                <w:color w:val="000000" w:themeColor="text1"/>
                <w:szCs w:val="21"/>
                <w:lang w:val="en-US"/>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宋体" w:hAnsi="宋体" w:cs="宋体" w:eastAsiaTheme="minorEastAsia"/>
                <w:color w:val="000000" w:themeColor="text1"/>
                <w:szCs w:val="21"/>
                <w:lang w:val="en-US"/>
                <w14:textFill>
                  <w14:solidFill>
                    <w14:schemeClr w14:val="tx1"/>
                  </w14:solidFill>
                </w14:textFill>
              </w:rPr>
            </w:pPr>
            <w:r>
              <w:rPr>
                <w:rFonts w:hint="eastAsia" w:ascii="宋体" w:hAnsi="宋体" w:cs="宋体" w:eastAsiaTheme="minorEastAsia"/>
                <w:color w:val="000000" w:themeColor="text1"/>
                <w:szCs w:val="21"/>
                <w:lang w:val="en-US"/>
                <w14:textFill>
                  <w14:solidFill>
                    <w14:schemeClr w14:val="tx1"/>
                  </w14:solidFill>
                </w14:textFill>
              </w:rPr>
              <w:t>2</w:t>
            </w:r>
          </w:p>
        </w:tc>
        <w:tc>
          <w:tcPr>
            <w:tcW w:w="369" w:type="pct"/>
            <w:vMerge w:val="continue"/>
            <w:tcBorders>
              <w:left w:val="single" w:color="auto" w:sz="4" w:space="0"/>
              <w:right w:val="single" w:color="auto" w:sz="4" w:space="0"/>
            </w:tcBorders>
          </w:tcPr>
          <w:p>
            <w:pPr>
              <w:pStyle w:val="249"/>
              <w:ind w:firstLine="0" w:firstLineChars="0"/>
              <w:rPr>
                <w:rFonts w:ascii="Times New Roman" w:hAnsi="Times New Roman" w:eastAsiaTheme="minorEastAsia"/>
                <w:b/>
                <w:bCs/>
                <w:color w:val="000000" w:themeColor="text1"/>
                <w14:textFill>
                  <w14:solidFill>
                    <w14:schemeClr w14:val="tx1"/>
                  </w14:solidFill>
                </w14:textFill>
              </w:rPr>
            </w:pPr>
          </w:p>
        </w:tc>
        <w:tc>
          <w:tcPr>
            <w:tcW w:w="1145"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eastAsiaTheme="minorEastAsia"/>
                <w:color w:val="000000" w:themeColor="text1"/>
                <w:szCs w:val="21"/>
                <w:lang w:val="en-US"/>
                <w14:textFill>
                  <w14:solidFill>
                    <w14:schemeClr w14:val="tx1"/>
                  </w14:solidFill>
                </w14:textFill>
              </w:rPr>
            </w:pPr>
            <w:r>
              <w:rPr>
                <w:rFonts w:hint="eastAsia" w:eastAsiaTheme="minorEastAsia"/>
                <w:color w:val="000000" w:themeColor="text1"/>
                <w:szCs w:val="21"/>
                <w:lang w:val="en-US"/>
                <w14:textFill>
                  <w14:solidFill>
                    <w14:schemeClr w14:val="tx1"/>
                  </w14:solidFill>
                </w14:textFill>
              </w:rPr>
              <w:t>内存</w:t>
            </w:r>
          </w:p>
        </w:tc>
        <w:tc>
          <w:tcPr>
            <w:tcW w:w="2189"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rPr>
                <w:rFonts w:ascii="宋体" w:hAnsi="宋体" w:cs="宋体" w:eastAsiaTheme="minorEastAsia"/>
                <w:color w:val="000000" w:themeColor="text1"/>
                <w:szCs w:val="21"/>
                <w14:textFill>
                  <w14:solidFill>
                    <w14:schemeClr w14:val="tx1"/>
                  </w14:solidFill>
                </w14:textFill>
              </w:rPr>
            </w:pPr>
            <w:r>
              <w:rPr>
                <w:rFonts w:hint="eastAsia" w:eastAsiaTheme="minorEastAsia"/>
                <w:color w:val="000000" w:themeColor="text1"/>
                <w:szCs w:val="21"/>
                <w:lang w:val="en-US"/>
                <w14:textFill>
                  <w14:solidFill>
                    <w14:schemeClr w14:val="tx1"/>
                  </w14:solidFill>
                </w14:textFill>
              </w:rPr>
              <w:t>不低于</w:t>
            </w:r>
            <w:r>
              <w:rPr>
                <w:rFonts w:hint="eastAsia" w:eastAsiaTheme="minorEastAsia"/>
                <w:color w:val="000000" w:themeColor="text1"/>
                <w:szCs w:val="21"/>
                <w14:textFill>
                  <w14:solidFill>
                    <w14:schemeClr w14:val="tx1"/>
                  </w14:solidFill>
                </w14:textFill>
              </w:rPr>
              <w:t>64GB内存</w:t>
            </w:r>
          </w:p>
        </w:tc>
        <w:tc>
          <w:tcPr>
            <w:tcW w:w="91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Theme="minorEastAsia"/>
                <w:bCs/>
                <w:color w:val="000000" w:themeColor="text1"/>
                <w:szCs w:val="21"/>
                <w:lang w:val="en-US"/>
                <w14:textFill>
                  <w14:solidFill>
                    <w14:schemeClr w14:val="tx1"/>
                  </w14:solidFill>
                </w14:textFill>
              </w:rPr>
            </w:pPr>
            <w:r>
              <w:rPr>
                <w:rFonts w:hint="eastAsia" w:eastAsiaTheme="minorEastAsia"/>
                <w:bCs/>
                <w:color w:val="000000" w:themeColor="text1"/>
                <w:szCs w:val="21"/>
                <w:lang w:val="en-US"/>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宋体" w:hAnsi="宋体" w:cs="宋体" w:eastAsiaTheme="minorEastAsia"/>
                <w:color w:val="000000" w:themeColor="text1"/>
                <w:szCs w:val="21"/>
                <w:lang w:val="en-US"/>
                <w14:textFill>
                  <w14:solidFill>
                    <w14:schemeClr w14:val="tx1"/>
                  </w14:solidFill>
                </w14:textFill>
              </w:rPr>
            </w:pPr>
            <w:r>
              <w:rPr>
                <w:rFonts w:hint="eastAsia" w:ascii="宋体" w:hAnsi="宋体" w:cs="宋体" w:eastAsiaTheme="minorEastAsia"/>
                <w:color w:val="000000" w:themeColor="text1"/>
                <w:kern w:val="0"/>
                <w:szCs w:val="21"/>
                <w:lang w:val="en-US" w:bidi="ar"/>
                <w14:textFill>
                  <w14:solidFill>
                    <w14:schemeClr w14:val="tx1"/>
                  </w14:solidFill>
                </w14:textFill>
              </w:rPr>
              <w:t>3</w:t>
            </w:r>
          </w:p>
        </w:tc>
        <w:tc>
          <w:tcPr>
            <w:tcW w:w="369" w:type="pct"/>
            <w:vMerge w:val="continue"/>
            <w:tcBorders>
              <w:left w:val="single" w:color="auto" w:sz="4" w:space="0"/>
              <w:right w:val="single" w:color="auto" w:sz="4" w:space="0"/>
            </w:tcBorders>
          </w:tcPr>
          <w:p>
            <w:pPr>
              <w:pStyle w:val="249"/>
              <w:ind w:firstLine="0" w:firstLineChars="0"/>
              <w:rPr>
                <w:rFonts w:ascii="Times New Roman" w:hAnsi="Times New Roman" w:eastAsiaTheme="minorEastAsia"/>
                <w:b/>
                <w:bCs/>
                <w:color w:val="000000" w:themeColor="text1"/>
                <w14:textFill>
                  <w14:solidFill>
                    <w14:schemeClr w14:val="tx1"/>
                  </w14:solidFill>
                </w14:textFill>
              </w:rPr>
            </w:pPr>
          </w:p>
        </w:tc>
        <w:tc>
          <w:tcPr>
            <w:tcW w:w="1145"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eastAsiaTheme="minorEastAsia"/>
                <w:color w:val="000000" w:themeColor="text1"/>
                <w:szCs w:val="21"/>
                <w:lang w:val="en-US"/>
                <w14:textFill>
                  <w14:solidFill>
                    <w14:schemeClr w14:val="tx1"/>
                  </w14:solidFill>
                </w14:textFill>
              </w:rPr>
            </w:pPr>
            <w:r>
              <w:rPr>
                <w:rFonts w:hint="eastAsia" w:eastAsiaTheme="minorEastAsia"/>
                <w:color w:val="000000" w:themeColor="text1"/>
                <w:szCs w:val="21"/>
                <w:lang w:val="en-US"/>
                <w14:textFill>
                  <w14:solidFill>
                    <w14:schemeClr w14:val="tx1"/>
                  </w14:solidFill>
                </w14:textFill>
              </w:rPr>
              <w:t>存储</w:t>
            </w:r>
          </w:p>
        </w:tc>
        <w:tc>
          <w:tcPr>
            <w:tcW w:w="2189"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rPr>
                <w:rFonts w:ascii="宋体" w:hAnsi="宋体" w:cs="宋体" w:eastAsiaTheme="minorEastAsia"/>
                <w:color w:val="000000" w:themeColor="text1"/>
                <w:szCs w:val="21"/>
                <w14:textFill>
                  <w14:solidFill>
                    <w14:schemeClr w14:val="tx1"/>
                  </w14:solidFill>
                </w14:textFill>
              </w:rPr>
            </w:pPr>
            <w:r>
              <w:rPr>
                <w:rFonts w:hint="eastAsia" w:eastAsiaTheme="minorEastAsia"/>
                <w:color w:val="000000" w:themeColor="text1"/>
                <w:szCs w:val="21"/>
                <w:lang w:val="en-US"/>
                <w14:textFill>
                  <w14:solidFill>
                    <w14:schemeClr w14:val="tx1"/>
                  </w14:solidFill>
                </w14:textFill>
              </w:rPr>
              <w:t>不低于</w:t>
            </w:r>
            <w:r>
              <w:rPr>
                <w:rFonts w:hint="eastAsia" w:eastAsiaTheme="minorEastAsia"/>
                <w:color w:val="000000" w:themeColor="text1"/>
                <w:szCs w:val="21"/>
                <w14:textFill>
                  <w14:solidFill>
                    <w14:schemeClr w14:val="tx1"/>
                  </w14:solidFill>
                </w14:textFill>
              </w:rPr>
              <w:t>8TB SSD + 18TB SATA硬盘</w:t>
            </w:r>
          </w:p>
        </w:tc>
        <w:tc>
          <w:tcPr>
            <w:tcW w:w="91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Theme="minorEastAsia"/>
                <w:bCs/>
                <w:color w:val="000000" w:themeColor="text1"/>
                <w:szCs w:val="21"/>
                <w:lang w:val="en-US"/>
                <w14:textFill>
                  <w14:solidFill>
                    <w14:schemeClr w14:val="tx1"/>
                  </w14:solidFill>
                </w14:textFill>
              </w:rPr>
            </w:pPr>
            <w:r>
              <w:rPr>
                <w:rFonts w:hint="eastAsia" w:eastAsiaTheme="minorEastAsia"/>
                <w:bCs/>
                <w:color w:val="000000" w:themeColor="text1"/>
                <w:szCs w:val="21"/>
                <w:lang w:val="en-US"/>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宋体" w:hAnsi="宋体" w:cs="宋体" w:eastAsiaTheme="minorEastAsia"/>
                <w:color w:val="000000" w:themeColor="text1"/>
                <w:szCs w:val="21"/>
                <w14:textFill>
                  <w14:solidFill>
                    <w14:schemeClr w14:val="tx1"/>
                  </w14:solidFill>
                </w14:textFill>
              </w:rPr>
            </w:pPr>
            <w:r>
              <w:rPr>
                <w:rFonts w:hint="eastAsia" w:ascii="宋体" w:hAnsi="宋体" w:cs="宋体" w:eastAsiaTheme="minorEastAsia"/>
                <w:color w:val="000000" w:themeColor="text1"/>
                <w:szCs w:val="21"/>
                <w:lang w:val="en-US"/>
                <w14:textFill>
                  <w14:solidFill>
                    <w14:schemeClr w14:val="tx1"/>
                  </w14:solidFill>
                </w14:textFill>
              </w:rPr>
              <w:t>4</w:t>
            </w:r>
          </w:p>
        </w:tc>
        <w:tc>
          <w:tcPr>
            <w:tcW w:w="369" w:type="pct"/>
            <w:vMerge w:val="continue"/>
            <w:tcBorders>
              <w:left w:val="single" w:color="auto" w:sz="4" w:space="0"/>
              <w:right w:val="single" w:color="auto" w:sz="4" w:space="0"/>
            </w:tcBorders>
          </w:tcPr>
          <w:p>
            <w:pPr>
              <w:pStyle w:val="249"/>
              <w:ind w:firstLine="0" w:firstLineChars="0"/>
              <w:rPr>
                <w:rFonts w:ascii="Times New Roman" w:hAnsi="Times New Roman" w:eastAsiaTheme="minorEastAsia"/>
                <w:b/>
                <w:bCs/>
                <w:color w:val="000000" w:themeColor="text1"/>
                <w14:textFill>
                  <w14:solidFill>
                    <w14:schemeClr w14:val="tx1"/>
                  </w14:solidFill>
                </w14:textFill>
              </w:rPr>
            </w:pPr>
          </w:p>
        </w:tc>
        <w:tc>
          <w:tcPr>
            <w:tcW w:w="1145"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eastAsiaTheme="minorEastAsia"/>
                <w:color w:val="000000" w:themeColor="text1"/>
                <w:szCs w:val="21"/>
                <w:lang w:val="en-US"/>
                <w14:textFill>
                  <w14:solidFill>
                    <w14:schemeClr w14:val="tx1"/>
                  </w14:solidFill>
                </w14:textFill>
              </w:rPr>
            </w:pPr>
            <w:r>
              <w:rPr>
                <w:rFonts w:hint="eastAsia" w:ascii="宋体" w:hAnsi="宋体" w:cs="宋体" w:eastAsiaTheme="minorEastAsia"/>
                <w:color w:val="000000" w:themeColor="text1"/>
                <w:szCs w:val="21"/>
                <w14:textFill>
                  <w14:solidFill>
                    <w14:schemeClr w14:val="tx1"/>
                  </w14:solidFill>
                </w14:textFill>
              </w:rPr>
              <w:t>显卡</w:t>
            </w:r>
          </w:p>
        </w:tc>
        <w:tc>
          <w:tcPr>
            <w:tcW w:w="2189"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rPr>
                <w:rFonts w:ascii="宋体" w:hAnsi="宋体" w:cs="宋体" w:eastAsiaTheme="minorEastAsia"/>
                <w:color w:val="000000" w:themeColor="text1"/>
                <w:szCs w:val="21"/>
                <w14:textFill>
                  <w14:solidFill>
                    <w14:schemeClr w14:val="tx1"/>
                  </w14:solidFill>
                </w14:textFill>
              </w:rPr>
            </w:pPr>
            <w:r>
              <w:rPr>
                <w:rFonts w:hint="eastAsia" w:eastAsiaTheme="minorEastAsia"/>
                <w:color w:val="000000" w:themeColor="text1"/>
                <w:szCs w:val="21"/>
                <w:lang w:val="en-US"/>
                <w14:textFill>
                  <w14:solidFill>
                    <w14:schemeClr w14:val="tx1"/>
                  </w14:solidFill>
                </w14:textFill>
              </w:rPr>
              <w:t>不低于</w:t>
            </w:r>
            <w:r>
              <w:rPr>
                <w:rFonts w:hint="eastAsia" w:ascii="宋体" w:hAnsi="宋体" w:cs="宋体" w:eastAsiaTheme="minorEastAsia"/>
                <w:color w:val="000000" w:themeColor="text1"/>
                <w:szCs w:val="21"/>
                <w:lang w:bidi="en-US"/>
                <w14:textFill>
                  <w14:solidFill>
                    <w14:schemeClr w14:val="tx1"/>
                  </w14:solidFill>
                </w14:textFill>
              </w:rPr>
              <w:t>6GB显存显卡</w:t>
            </w:r>
          </w:p>
        </w:tc>
        <w:tc>
          <w:tcPr>
            <w:tcW w:w="91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Theme="minorEastAsia"/>
                <w:bCs/>
                <w:color w:val="000000" w:themeColor="text1"/>
                <w:szCs w:val="21"/>
                <w:lang w:val="en-US"/>
                <w14:textFill>
                  <w14:solidFill>
                    <w14:schemeClr w14:val="tx1"/>
                  </w14:solidFill>
                </w14:textFill>
              </w:rPr>
            </w:pPr>
            <w:r>
              <w:rPr>
                <w:rFonts w:hint="eastAsia" w:eastAsiaTheme="minorEastAsia"/>
                <w:bCs/>
                <w:color w:val="000000" w:themeColor="text1"/>
                <w:szCs w:val="21"/>
                <w:lang w:val="en-US"/>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宋体" w:hAnsi="宋体" w:cs="宋体" w:eastAsiaTheme="minorEastAsia"/>
                <w:color w:val="000000" w:themeColor="text1"/>
                <w:szCs w:val="21"/>
                <w:lang w:val="en-US"/>
                <w14:textFill>
                  <w14:solidFill>
                    <w14:schemeClr w14:val="tx1"/>
                  </w14:solidFill>
                </w14:textFill>
              </w:rPr>
            </w:pPr>
            <w:r>
              <w:rPr>
                <w:rFonts w:hint="eastAsia" w:ascii="宋体" w:hAnsi="宋体" w:cs="宋体" w:eastAsiaTheme="minorEastAsia"/>
                <w:color w:val="000000" w:themeColor="text1"/>
                <w:szCs w:val="21"/>
                <w:lang w:val="en-US"/>
                <w14:textFill>
                  <w14:solidFill>
                    <w14:schemeClr w14:val="tx1"/>
                  </w14:solidFill>
                </w14:textFill>
              </w:rPr>
              <w:t>5</w:t>
            </w:r>
          </w:p>
        </w:tc>
        <w:tc>
          <w:tcPr>
            <w:tcW w:w="369" w:type="pct"/>
            <w:vMerge w:val="continue"/>
            <w:tcBorders>
              <w:left w:val="single" w:color="auto" w:sz="4" w:space="0"/>
              <w:right w:val="single" w:color="auto" w:sz="4" w:space="0"/>
            </w:tcBorders>
          </w:tcPr>
          <w:p>
            <w:pPr>
              <w:pStyle w:val="249"/>
              <w:ind w:firstLine="0" w:firstLineChars="0"/>
              <w:rPr>
                <w:rFonts w:ascii="Times New Roman" w:hAnsi="Times New Roman" w:eastAsiaTheme="minorEastAsia"/>
                <w:b/>
                <w:bCs/>
                <w:color w:val="000000" w:themeColor="text1"/>
                <w14:textFill>
                  <w14:solidFill>
                    <w14:schemeClr w14:val="tx1"/>
                  </w14:solidFill>
                </w14:textFill>
              </w:rPr>
            </w:pPr>
          </w:p>
        </w:tc>
        <w:tc>
          <w:tcPr>
            <w:tcW w:w="1145"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eastAsiaTheme="minorEastAsia"/>
                <w:color w:val="000000" w:themeColor="text1"/>
                <w:szCs w:val="21"/>
                <w:lang w:val="en-US"/>
                <w14:textFill>
                  <w14:solidFill>
                    <w14:schemeClr w14:val="tx1"/>
                  </w14:solidFill>
                </w14:textFill>
              </w:rPr>
            </w:pPr>
            <w:r>
              <w:rPr>
                <w:rFonts w:hint="eastAsia" w:ascii="宋体" w:hAnsi="宋体" w:cs="宋体" w:eastAsiaTheme="minorEastAsia"/>
                <w:color w:val="000000" w:themeColor="text1"/>
                <w:szCs w:val="21"/>
                <w14:textFill>
                  <w14:solidFill>
                    <w14:schemeClr w14:val="tx1"/>
                  </w14:solidFill>
                </w14:textFill>
              </w:rPr>
              <w:t>显示器</w:t>
            </w:r>
          </w:p>
        </w:tc>
        <w:tc>
          <w:tcPr>
            <w:tcW w:w="2189"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rPr>
                <w:rFonts w:ascii="宋体" w:hAnsi="宋体" w:cs="宋体" w:eastAsiaTheme="minorEastAsia"/>
                <w:color w:val="000000" w:themeColor="text1"/>
                <w:szCs w:val="21"/>
                <w14:textFill>
                  <w14:solidFill>
                    <w14:schemeClr w14:val="tx1"/>
                  </w14:solidFill>
                </w14:textFill>
              </w:rPr>
            </w:pPr>
            <w:r>
              <w:rPr>
                <w:rFonts w:hint="eastAsia" w:eastAsiaTheme="minorEastAsia"/>
                <w:color w:val="000000" w:themeColor="text1"/>
                <w:szCs w:val="21"/>
                <w:lang w:val="en-US"/>
                <w14:textFill>
                  <w14:solidFill>
                    <w14:schemeClr w14:val="tx1"/>
                  </w14:solidFill>
                </w14:textFill>
              </w:rPr>
              <w:t>不低于</w:t>
            </w:r>
            <w:r>
              <w:rPr>
                <w:rFonts w:hint="eastAsia" w:ascii="宋体" w:hAnsi="宋体" w:cs="宋体" w:eastAsiaTheme="minorEastAsia"/>
                <w:color w:val="000000" w:themeColor="text1"/>
                <w:szCs w:val="21"/>
                <w:lang w:bidi="en-US"/>
                <w14:textFill>
                  <w14:solidFill>
                    <w14:schemeClr w14:val="tx1"/>
                  </w14:solidFill>
                </w14:textFill>
              </w:rPr>
              <w:t>34寸</w:t>
            </w:r>
          </w:p>
        </w:tc>
        <w:tc>
          <w:tcPr>
            <w:tcW w:w="91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Theme="minorEastAsia"/>
                <w:bCs/>
                <w:color w:val="000000" w:themeColor="text1"/>
                <w:szCs w:val="21"/>
                <w:lang w:val="en-US"/>
                <w14:textFill>
                  <w14:solidFill>
                    <w14:schemeClr w14:val="tx1"/>
                  </w14:solidFill>
                </w14:textFill>
              </w:rPr>
            </w:pPr>
            <w:r>
              <w:rPr>
                <w:rFonts w:hint="eastAsia" w:eastAsiaTheme="minorEastAsia"/>
                <w:bCs/>
                <w:color w:val="000000" w:themeColor="text1"/>
                <w:szCs w:val="21"/>
                <w:lang w:val="en-US"/>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宋体" w:hAnsi="宋体" w:cs="宋体" w:eastAsiaTheme="minorEastAsia"/>
                <w:color w:val="000000" w:themeColor="text1"/>
                <w:szCs w:val="21"/>
                <w:lang w:val="en-US"/>
                <w14:textFill>
                  <w14:solidFill>
                    <w14:schemeClr w14:val="tx1"/>
                  </w14:solidFill>
                </w14:textFill>
              </w:rPr>
            </w:pPr>
            <w:r>
              <w:rPr>
                <w:rFonts w:hint="eastAsia" w:ascii="宋体" w:hAnsi="宋体" w:cs="宋体" w:eastAsiaTheme="minorEastAsia"/>
                <w:color w:val="000000" w:themeColor="text1"/>
                <w:szCs w:val="21"/>
                <w:lang w:val="en-US"/>
                <w14:textFill>
                  <w14:solidFill>
                    <w14:schemeClr w14:val="tx1"/>
                  </w14:solidFill>
                </w14:textFill>
              </w:rPr>
              <w:t>6</w:t>
            </w:r>
          </w:p>
        </w:tc>
        <w:tc>
          <w:tcPr>
            <w:tcW w:w="369" w:type="pct"/>
            <w:vMerge w:val="continue"/>
            <w:tcBorders>
              <w:left w:val="single" w:color="auto" w:sz="4" w:space="0"/>
              <w:bottom w:val="single" w:color="auto" w:sz="4" w:space="0"/>
              <w:right w:val="single" w:color="auto" w:sz="4" w:space="0"/>
            </w:tcBorders>
          </w:tcPr>
          <w:p>
            <w:pPr>
              <w:pStyle w:val="249"/>
              <w:ind w:firstLine="0" w:firstLineChars="0"/>
              <w:rPr>
                <w:rFonts w:ascii="Times New Roman" w:hAnsi="Times New Roman" w:eastAsiaTheme="minorEastAsia"/>
                <w:b/>
                <w:bCs/>
                <w:color w:val="000000" w:themeColor="text1"/>
                <w14:textFill>
                  <w14:solidFill>
                    <w14:schemeClr w14:val="tx1"/>
                  </w14:solidFill>
                </w14:textFill>
              </w:rPr>
            </w:pPr>
          </w:p>
        </w:tc>
        <w:tc>
          <w:tcPr>
            <w:tcW w:w="1145"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eastAsiaTheme="minorEastAsia"/>
                <w:color w:val="000000" w:themeColor="text1"/>
                <w:szCs w:val="21"/>
                <w:lang w:val="en-US"/>
                <w14:textFill>
                  <w14:solidFill>
                    <w14:schemeClr w14:val="tx1"/>
                  </w14:solidFill>
                </w14:textFill>
              </w:rPr>
            </w:pPr>
            <w:r>
              <w:rPr>
                <w:rFonts w:hint="eastAsia" w:ascii="宋体" w:hAnsi="宋体" w:cs="宋体" w:eastAsiaTheme="minorEastAsia"/>
                <w:color w:val="000000" w:themeColor="text1"/>
                <w:szCs w:val="21"/>
                <w14:textFill>
                  <w14:solidFill>
                    <w14:schemeClr w14:val="tx1"/>
                  </w14:solidFill>
                </w14:textFill>
              </w:rPr>
              <w:t>光驱</w:t>
            </w:r>
          </w:p>
        </w:tc>
        <w:tc>
          <w:tcPr>
            <w:tcW w:w="2189"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rPr>
                <w:rFonts w:ascii="宋体" w:hAnsi="宋体" w:cs="宋体" w:eastAsiaTheme="minorEastAsia"/>
                <w:color w:val="000000" w:themeColor="text1"/>
                <w:szCs w:val="21"/>
                <w14:textFill>
                  <w14:solidFill>
                    <w14:schemeClr w14:val="tx1"/>
                  </w14:solidFill>
                </w14:textFill>
              </w:rPr>
            </w:pPr>
            <w:r>
              <w:rPr>
                <w:rFonts w:hint="eastAsia" w:ascii="宋体" w:hAnsi="宋体" w:cs="宋体" w:eastAsiaTheme="minorEastAsia"/>
                <w:color w:val="000000" w:themeColor="text1"/>
                <w:szCs w:val="21"/>
                <w:lang w:bidi="en-US"/>
                <w14:textFill>
                  <w14:solidFill>
                    <w14:schemeClr w14:val="tx1"/>
                  </w14:solidFill>
                </w14:textFill>
              </w:rPr>
              <w:t>≥1台蓝光刻录机</w:t>
            </w:r>
          </w:p>
        </w:tc>
        <w:tc>
          <w:tcPr>
            <w:tcW w:w="91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Theme="minorEastAsia"/>
                <w:bCs/>
                <w:color w:val="000000" w:themeColor="text1"/>
                <w:szCs w:val="21"/>
                <w:lang w:val="en-US"/>
                <w14:textFill>
                  <w14:solidFill>
                    <w14:schemeClr w14:val="tx1"/>
                  </w14:solidFill>
                </w14:textFill>
              </w:rPr>
            </w:pPr>
            <w:r>
              <w:rPr>
                <w:rFonts w:hint="eastAsia" w:eastAsiaTheme="minorEastAsia"/>
                <w:bCs/>
                <w:color w:val="000000" w:themeColor="text1"/>
                <w:szCs w:val="21"/>
                <w:lang w:val="en-US"/>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1" w:type="pct"/>
            <w:shd w:val="clear" w:color="auto" w:fill="auto"/>
            <w:vAlign w:val="center"/>
          </w:tcPr>
          <w:p>
            <w:pPr>
              <w:jc w:val="center"/>
              <w:textAlignment w:val="center"/>
              <w:rPr>
                <w:rFonts w:ascii="宋体" w:hAnsi="宋体" w:cs="宋体" w:eastAsiaTheme="minorEastAsia"/>
                <w:color w:val="000000" w:themeColor="text1"/>
                <w:szCs w:val="21"/>
                <w:lang w:val="en-US"/>
                <w14:textFill>
                  <w14:solidFill>
                    <w14:schemeClr w14:val="tx1"/>
                  </w14:solidFill>
                </w14:textFill>
              </w:rPr>
            </w:pPr>
            <w:r>
              <w:rPr>
                <w:rFonts w:hint="eastAsia" w:ascii="宋体" w:hAnsi="宋体" w:cs="宋体" w:eastAsiaTheme="minorEastAsia"/>
                <w:color w:val="000000" w:themeColor="text1"/>
                <w:szCs w:val="21"/>
                <w:lang w:val="en-US"/>
                <w14:textFill>
                  <w14:solidFill>
                    <w14:schemeClr w14:val="tx1"/>
                  </w14:solidFill>
                </w14:textFill>
              </w:rPr>
              <w:t>7</w:t>
            </w:r>
          </w:p>
        </w:tc>
        <w:tc>
          <w:tcPr>
            <w:tcW w:w="369" w:type="pct"/>
            <w:vMerge w:val="restart"/>
            <w:tcBorders>
              <w:left w:val="single" w:color="auto" w:sz="4" w:space="0"/>
              <w:right w:val="single" w:color="auto" w:sz="4" w:space="0"/>
            </w:tcBorders>
            <w:vAlign w:val="center"/>
          </w:tcPr>
          <w:p>
            <w:pPr>
              <w:jc w:val="center"/>
              <w:rPr>
                <w:rFonts w:eastAsiaTheme="minorEastAsia"/>
                <w:bCs/>
                <w:color w:val="000000" w:themeColor="text1"/>
                <w:szCs w:val="21"/>
                <w:lang w:val="en-US"/>
                <w14:textFill>
                  <w14:solidFill>
                    <w14:schemeClr w14:val="tx1"/>
                  </w14:solidFill>
                </w14:textFill>
              </w:rPr>
            </w:pPr>
            <w:r>
              <w:rPr>
                <w:rFonts w:hint="eastAsia" w:eastAsiaTheme="minorEastAsia"/>
                <w:bCs/>
                <w:color w:val="000000" w:themeColor="text1"/>
                <w:szCs w:val="21"/>
                <w:lang w:val="en-US"/>
                <w14:textFill>
                  <w14:solidFill>
                    <w14:schemeClr w14:val="tx1"/>
                  </w14:solidFill>
                </w14:textFill>
              </w:rPr>
              <w:t>功能</w:t>
            </w:r>
          </w:p>
        </w:tc>
        <w:tc>
          <w:tcPr>
            <w:tcW w:w="1145" w:type="pct"/>
            <w:vMerge w:val="restart"/>
            <w:tcBorders>
              <w:left w:val="single" w:color="auto" w:sz="4" w:space="0"/>
              <w:right w:val="single" w:color="auto" w:sz="4" w:space="0"/>
            </w:tcBorders>
            <w:vAlign w:val="center"/>
          </w:tcPr>
          <w:p>
            <w:pPr>
              <w:adjustRightInd w:val="0"/>
              <w:snapToGrid w:val="0"/>
              <w:jc w:val="center"/>
              <w:rPr>
                <w:rFonts w:ascii="宋体" w:hAnsi="宋体" w:cs="宋体" w:eastAsiaTheme="minorEastAsia"/>
                <w:color w:val="000000" w:themeColor="text1"/>
                <w:szCs w:val="21"/>
                <w:lang w:val="en-US"/>
                <w14:textFill>
                  <w14:solidFill>
                    <w14:schemeClr w14:val="tx1"/>
                  </w14:solidFill>
                </w14:textFill>
              </w:rPr>
            </w:pPr>
            <w:r>
              <w:rPr>
                <w:rFonts w:hint="eastAsia" w:ascii="宋体" w:hAnsi="宋体" w:cs="宋体" w:eastAsiaTheme="minorEastAsia"/>
                <w:color w:val="000000" w:themeColor="text1"/>
                <w:szCs w:val="21"/>
                <w:lang w:val="en-US"/>
                <w14:textFill>
                  <w14:solidFill>
                    <w14:schemeClr w14:val="tx1"/>
                  </w14:solidFill>
                </w14:textFill>
              </w:rPr>
              <w:t>取证能力</w:t>
            </w:r>
          </w:p>
        </w:tc>
        <w:tc>
          <w:tcPr>
            <w:tcW w:w="2189" w:type="pct"/>
            <w:vAlign w:val="center"/>
          </w:tcPr>
          <w:p>
            <w:pPr>
              <w:adjustRightInd w:val="0"/>
              <w:snapToGrid w:val="0"/>
              <w:rPr>
                <w:rFonts w:eastAsiaTheme="minorEastAsia"/>
                <w:color w:val="000000" w:themeColor="text1"/>
                <w:szCs w:val="21"/>
                <w14:textFill>
                  <w14:solidFill>
                    <w14:schemeClr w14:val="tx1"/>
                  </w14:solidFill>
                </w14:textFill>
              </w:rPr>
            </w:pPr>
            <w:r>
              <w:rPr>
                <w:rFonts w:hint="eastAsia" w:ascii="宋体" w:hAnsi="宋体" w:cs="宋体" w:eastAsiaTheme="minorEastAsia"/>
                <w:color w:val="000000" w:themeColor="text1"/>
                <w:szCs w:val="21"/>
                <w14:textFill>
                  <w14:solidFill>
                    <w14:schemeClr w14:val="tx1"/>
                  </w14:solidFill>
                </w14:textFill>
              </w:rPr>
              <w:t>支持在手机取证时可同时处理数据浏览、数据搜索、导出报告、数据分析等</w:t>
            </w:r>
          </w:p>
        </w:tc>
        <w:tc>
          <w:tcPr>
            <w:tcW w:w="916" w:type="pct"/>
          </w:tcPr>
          <w:p>
            <w:pPr>
              <w:jc w:val="center"/>
              <w:rPr>
                <w:rFonts w:eastAsiaTheme="minorEastAsia"/>
                <w:bCs/>
                <w:color w:val="000000" w:themeColor="text1"/>
                <w:szCs w:val="21"/>
                <w14:textFill>
                  <w14:solidFill>
                    <w14:schemeClr w14:val="tx1"/>
                  </w14:solidFill>
                </w14:textFill>
              </w:rPr>
            </w:pPr>
            <w:r>
              <w:rPr>
                <w:rFonts w:hint="eastAsia" w:ascii="宋体" w:hAnsi="宋体" w:cs="宋体" w:eastAsiaTheme="minorEastAsia"/>
                <w:bCs/>
                <w:color w:val="000000" w:themeColor="text1"/>
                <w:szCs w:val="21"/>
                <w:lang w:val="en-US"/>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1" w:type="pct"/>
            <w:shd w:val="clear" w:color="auto" w:fill="auto"/>
            <w:vAlign w:val="center"/>
          </w:tcPr>
          <w:p>
            <w:pPr>
              <w:jc w:val="center"/>
              <w:textAlignment w:val="center"/>
              <w:rPr>
                <w:rFonts w:ascii="宋体" w:hAnsi="宋体" w:cs="宋体" w:eastAsiaTheme="minorEastAsia"/>
                <w:color w:val="000000" w:themeColor="text1"/>
                <w:szCs w:val="21"/>
                <w:lang w:val="en-US"/>
                <w14:textFill>
                  <w14:solidFill>
                    <w14:schemeClr w14:val="tx1"/>
                  </w14:solidFill>
                </w14:textFill>
              </w:rPr>
            </w:pPr>
            <w:r>
              <w:rPr>
                <w:rFonts w:hint="eastAsia" w:ascii="宋体" w:hAnsi="宋体" w:cs="宋体" w:eastAsiaTheme="minorEastAsia"/>
                <w:color w:val="000000" w:themeColor="text1"/>
                <w:szCs w:val="21"/>
                <w:lang w:val="en-US"/>
                <w14:textFill>
                  <w14:solidFill>
                    <w14:schemeClr w14:val="tx1"/>
                  </w14:solidFill>
                </w14:textFill>
              </w:rPr>
              <w:t>8</w:t>
            </w:r>
          </w:p>
        </w:tc>
        <w:tc>
          <w:tcPr>
            <w:tcW w:w="369" w:type="pct"/>
            <w:vMerge w:val="continue"/>
            <w:tcBorders>
              <w:left w:val="single" w:color="auto" w:sz="4" w:space="0"/>
              <w:right w:val="single" w:color="auto" w:sz="4" w:space="0"/>
            </w:tcBorders>
          </w:tcPr>
          <w:p>
            <w:pPr>
              <w:jc w:val="center"/>
              <w:rPr>
                <w:rFonts w:eastAsiaTheme="minorEastAsia"/>
                <w:b/>
                <w:color w:val="000000" w:themeColor="text1"/>
                <w:szCs w:val="21"/>
                <w14:textFill>
                  <w14:solidFill>
                    <w14:schemeClr w14:val="tx1"/>
                  </w14:solidFill>
                </w14:textFill>
              </w:rPr>
            </w:pPr>
          </w:p>
        </w:tc>
        <w:tc>
          <w:tcPr>
            <w:tcW w:w="1145" w:type="pct"/>
            <w:vMerge w:val="continue"/>
            <w:tcBorders>
              <w:left w:val="single" w:color="auto" w:sz="4" w:space="0"/>
              <w:right w:val="single" w:color="auto" w:sz="4" w:space="0"/>
            </w:tcBorders>
            <w:vAlign w:val="center"/>
          </w:tcPr>
          <w:p>
            <w:pPr>
              <w:adjustRightInd w:val="0"/>
              <w:snapToGrid w:val="0"/>
              <w:jc w:val="center"/>
              <w:rPr>
                <w:rFonts w:eastAsiaTheme="minorEastAsia"/>
                <w:color w:val="000000" w:themeColor="text1"/>
                <w:szCs w:val="21"/>
                <w:lang w:val="en-US"/>
                <w14:textFill>
                  <w14:solidFill>
                    <w14:schemeClr w14:val="tx1"/>
                  </w14:solidFill>
                </w14:textFill>
              </w:rPr>
            </w:pPr>
          </w:p>
        </w:tc>
        <w:tc>
          <w:tcPr>
            <w:tcW w:w="2189" w:type="pct"/>
            <w:vAlign w:val="center"/>
          </w:tcPr>
          <w:p>
            <w:pPr>
              <w:adjustRightInd w:val="0"/>
              <w:snapToGrid w:val="0"/>
              <w:rPr>
                <w:rFonts w:eastAsiaTheme="minorEastAsia"/>
                <w:color w:val="000000" w:themeColor="text1"/>
                <w:szCs w:val="21"/>
                <w14:textFill>
                  <w14:solidFill>
                    <w14:schemeClr w14:val="tx1"/>
                  </w14:solidFill>
                </w14:textFill>
              </w:rPr>
            </w:pPr>
            <w:r>
              <w:rPr>
                <w:rFonts w:hint="eastAsia" w:eastAsiaTheme="minorEastAsia"/>
                <w:color w:val="000000" w:themeColor="text1"/>
                <w:szCs w:val="21"/>
                <w14:textFill>
                  <w14:solidFill>
                    <w14:schemeClr w14:val="tx1"/>
                  </w14:solidFill>
                </w14:textFill>
              </w:rPr>
              <w:t>支持多关键字搜索、时间段搜索、搜索结果溯源以及导出搜索报告；支持对数据添加标签并导出标签报告</w:t>
            </w:r>
          </w:p>
        </w:tc>
        <w:tc>
          <w:tcPr>
            <w:tcW w:w="916" w:type="pct"/>
          </w:tcPr>
          <w:p>
            <w:pPr>
              <w:jc w:val="center"/>
              <w:rPr>
                <w:rFonts w:eastAsiaTheme="minorEastAsia"/>
                <w:bCs/>
                <w:color w:val="000000" w:themeColor="text1"/>
                <w:szCs w:val="21"/>
                <w14:textFill>
                  <w14:solidFill>
                    <w14:schemeClr w14:val="tx1"/>
                  </w14:solidFill>
                </w14:textFill>
              </w:rPr>
            </w:pPr>
            <w:r>
              <w:rPr>
                <w:rFonts w:hint="eastAsia" w:ascii="宋体" w:hAnsi="宋体" w:cs="宋体" w:eastAsiaTheme="minorEastAsia"/>
                <w:bCs/>
                <w:color w:val="000000" w:themeColor="text1"/>
                <w:szCs w:val="21"/>
                <w:lang w:val="en-US"/>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1" w:type="pct"/>
            <w:shd w:val="clear" w:color="auto" w:fill="auto"/>
            <w:vAlign w:val="center"/>
          </w:tcPr>
          <w:p>
            <w:pPr>
              <w:jc w:val="center"/>
              <w:textAlignment w:val="center"/>
              <w:rPr>
                <w:rFonts w:ascii="宋体" w:hAnsi="宋体" w:cs="宋体" w:eastAsiaTheme="minorEastAsia"/>
                <w:color w:val="000000" w:themeColor="text1"/>
                <w:szCs w:val="21"/>
                <w:lang w:val="en-US"/>
                <w14:textFill>
                  <w14:solidFill>
                    <w14:schemeClr w14:val="tx1"/>
                  </w14:solidFill>
                </w14:textFill>
              </w:rPr>
            </w:pPr>
            <w:r>
              <w:rPr>
                <w:rFonts w:hint="eastAsia" w:ascii="宋体" w:hAnsi="宋体" w:cs="宋体" w:eastAsiaTheme="minorEastAsia"/>
                <w:color w:val="000000" w:themeColor="text1"/>
                <w:szCs w:val="21"/>
                <w:lang w:val="en-US"/>
                <w14:textFill>
                  <w14:solidFill>
                    <w14:schemeClr w14:val="tx1"/>
                  </w14:solidFill>
                </w14:textFill>
              </w:rPr>
              <w:t>9</w:t>
            </w:r>
          </w:p>
        </w:tc>
        <w:tc>
          <w:tcPr>
            <w:tcW w:w="369" w:type="pct"/>
            <w:vMerge w:val="continue"/>
            <w:tcBorders>
              <w:left w:val="single" w:color="auto" w:sz="4" w:space="0"/>
              <w:right w:val="single" w:color="auto" w:sz="4" w:space="0"/>
            </w:tcBorders>
          </w:tcPr>
          <w:p>
            <w:pPr>
              <w:jc w:val="center"/>
              <w:rPr>
                <w:rFonts w:eastAsiaTheme="minorEastAsia"/>
                <w:b/>
                <w:color w:val="000000" w:themeColor="text1"/>
                <w:szCs w:val="21"/>
                <w14:textFill>
                  <w14:solidFill>
                    <w14:schemeClr w14:val="tx1"/>
                  </w14:solidFill>
                </w14:textFill>
              </w:rPr>
            </w:pPr>
          </w:p>
        </w:tc>
        <w:tc>
          <w:tcPr>
            <w:tcW w:w="1145" w:type="pct"/>
            <w:vMerge w:val="continue"/>
            <w:tcBorders>
              <w:left w:val="single" w:color="auto" w:sz="4" w:space="0"/>
              <w:right w:val="single" w:color="auto" w:sz="4" w:space="0"/>
            </w:tcBorders>
            <w:vAlign w:val="center"/>
          </w:tcPr>
          <w:p>
            <w:pPr>
              <w:adjustRightInd w:val="0"/>
              <w:snapToGrid w:val="0"/>
              <w:jc w:val="center"/>
              <w:rPr>
                <w:rFonts w:eastAsiaTheme="minorEastAsia"/>
                <w:color w:val="000000" w:themeColor="text1"/>
                <w:szCs w:val="21"/>
                <w:lang w:val="en-US"/>
                <w14:textFill>
                  <w14:solidFill>
                    <w14:schemeClr w14:val="tx1"/>
                  </w14:solidFill>
                </w14:textFill>
              </w:rPr>
            </w:pPr>
          </w:p>
        </w:tc>
        <w:tc>
          <w:tcPr>
            <w:tcW w:w="2189" w:type="pct"/>
            <w:vAlign w:val="center"/>
          </w:tcPr>
          <w:p>
            <w:pPr>
              <w:adjustRightInd w:val="0"/>
              <w:snapToGrid w:val="0"/>
              <w:rPr>
                <w:rFonts w:eastAsiaTheme="minorEastAsia"/>
                <w:color w:val="000000" w:themeColor="text1"/>
                <w:szCs w:val="21"/>
                <w14:textFill>
                  <w14:solidFill>
                    <w14:schemeClr w14:val="tx1"/>
                  </w14:solidFill>
                </w14:textFill>
              </w:rPr>
            </w:pPr>
            <w:r>
              <w:rPr>
                <w:rFonts w:hint="eastAsia" w:eastAsiaTheme="minorEastAsia"/>
                <w:color w:val="000000" w:themeColor="text1"/>
                <w:szCs w:val="21"/>
                <w14:textFill>
                  <w14:solidFill>
                    <w14:schemeClr w14:val="tx1"/>
                  </w14:solidFill>
                </w14:textFill>
              </w:rPr>
              <w:t>支持生成电子证据检查工作记录</w:t>
            </w:r>
          </w:p>
        </w:tc>
        <w:tc>
          <w:tcPr>
            <w:tcW w:w="916" w:type="pct"/>
          </w:tcPr>
          <w:p>
            <w:pPr>
              <w:jc w:val="center"/>
              <w:rPr>
                <w:rFonts w:eastAsiaTheme="minorEastAsia"/>
                <w:bCs/>
                <w:color w:val="000000" w:themeColor="text1"/>
                <w:szCs w:val="21"/>
                <w14:textFill>
                  <w14:solidFill>
                    <w14:schemeClr w14:val="tx1"/>
                  </w14:solidFill>
                </w14:textFill>
              </w:rPr>
            </w:pPr>
            <w:r>
              <w:rPr>
                <w:rFonts w:hint="eastAsia" w:ascii="宋体" w:hAnsi="宋体" w:cs="宋体" w:eastAsiaTheme="minorEastAsia"/>
                <w:bCs/>
                <w:color w:val="000000" w:themeColor="text1"/>
                <w:szCs w:val="21"/>
                <w:lang w:val="en-US"/>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1" w:type="pct"/>
            <w:shd w:val="clear" w:color="auto" w:fill="auto"/>
            <w:vAlign w:val="center"/>
          </w:tcPr>
          <w:p>
            <w:pPr>
              <w:jc w:val="center"/>
              <w:textAlignment w:val="center"/>
              <w:rPr>
                <w:rFonts w:ascii="宋体" w:hAnsi="宋体" w:cs="宋体" w:eastAsiaTheme="minorEastAsia"/>
                <w:color w:val="000000" w:themeColor="text1"/>
                <w:szCs w:val="21"/>
                <w:lang w:val="en-US"/>
                <w14:textFill>
                  <w14:solidFill>
                    <w14:schemeClr w14:val="tx1"/>
                  </w14:solidFill>
                </w14:textFill>
              </w:rPr>
            </w:pPr>
            <w:r>
              <w:rPr>
                <w:rFonts w:hint="eastAsia" w:ascii="宋体" w:hAnsi="宋体" w:cs="宋体" w:eastAsiaTheme="minorEastAsia"/>
                <w:color w:val="000000" w:themeColor="text1"/>
                <w:szCs w:val="21"/>
                <w:lang w:val="en-US"/>
                <w14:textFill>
                  <w14:solidFill>
                    <w14:schemeClr w14:val="tx1"/>
                  </w14:solidFill>
                </w14:textFill>
              </w:rPr>
              <w:t>10</w:t>
            </w:r>
          </w:p>
        </w:tc>
        <w:tc>
          <w:tcPr>
            <w:tcW w:w="369" w:type="pct"/>
            <w:vMerge w:val="continue"/>
            <w:tcBorders>
              <w:left w:val="single" w:color="auto" w:sz="4" w:space="0"/>
              <w:right w:val="single" w:color="auto" w:sz="4" w:space="0"/>
            </w:tcBorders>
          </w:tcPr>
          <w:p>
            <w:pPr>
              <w:jc w:val="center"/>
              <w:rPr>
                <w:rFonts w:eastAsiaTheme="minorEastAsia"/>
                <w:b/>
                <w:color w:val="000000" w:themeColor="text1"/>
                <w:szCs w:val="21"/>
                <w14:textFill>
                  <w14:solidFill>
                    <w14:schemeClr w14:val="tx1"/>
                  </w14:solidFill>
                </w14:textFill>
              </w:rPr>
            </w:pPr>
          </w:p>
        </w:tc>
        <w:tc>
          <w:tcPr>
            <w:tcW w:w="1145" w:type="pct"/>
            <w:vMerge w:val="restart"/>
            <w:vAlign w:val="center"/>
          </w:tcPr>
          <w:p>
            <w:pPr>
              <w:adjustRightInd w:val="0"/>
              <w:snapToGrid w:val="0"/>
              <w:jc w:val="center"/>
              <w:rPr>
                <w:rFonts w:eastAsiaTheme="minorEastAsia"/>
                <w:color w:val="000000" w:themeColor="text1"/>
                <w:szCs w:val="21"/>
                <w14:textFill>
                  <w14:solidFill>
                    <w14:schemeClr w14:val="tx1"/>
                  </w14:solidFill>
                </w14:textFill>
              </w:rPr>
            </w:pPr>
            <w:r>
              <w:rPr>
                <w:rFonts w:hint="eastAsia" w:eastAsiaTheme="minorEastAsia"/>
                <w:color w:val="000000" w:themeColor="text1"/>
                <w:szCs w:val="21"/>
                <w14:textFill>
                  <w14:solidFill>
                    <w14:schemeClr w14:val="tx1"/>
                  </w14:solidFill>
                </w14:textFill>
              </w:rPr>
              <w:t>案件管理</w:t>
            </w:r>
          </w:p>
          <w:p>
            <w:pPr>
              <w:adjustRightInd w:val="0"/>
              <w:snapToGrid w:val="0"/>
              <w:jc w:val="center"/>
              <w:rPr>
                <w:rFonts w:ascii="宋体" w:hAnsi="宋体" w:cs="宋体" w:eastAsiaTheme="minorEastAsia"/>
                <w:color w:val="000000" w:themeColor="text1"/>
                <w:szCs w:val="21"/>
                <w14:textFill>
                  <w14:solidFill>
                    <w14:schemeClr w14:val="tx1"/>
                  </w14:solidFill>
                </w14:textFill>
              </w:rPr>
            </w:pPr>
          </w:p>
        </w:tc>
        <w:tc>
          <w:tcPr>
            <w:tcW w:w="2189" w:type="pct"/>
            <w:vAlign w:val="center"/>
          </w:tcPr>
          <w:p>
            <w:pPr>
              <w:adjustRightInd w:val="0"/>
              <w:snapToGrid w:val="0"/>
              <w:rPr>
                <w:rFonts w:eastAsiaTheme="minorEastAsia"/>
                <w:color w:val="000000" w:themeColor="text1"/>
                <w:szCs w:val="21"/>
                <w14:textFill>
                  <w14:solidFill>
                    <w14:schemeClr w14:val="tx1"/>
                  </w14:solidFill>
                </w14:textFill>
              </w:rPr>
            </w:pPr>
            <w:r>
              <w:rPr>
                <w:rFonts w:hint="eastAsia" w:ascii="宋体" w:hAnsi="宋体" w:cs="宋体" w:eastAsiaTheme="minorEastAsia"/>
                <w:color w:val="000000" w:themeColor="text1"/>
                <w:szCs w:val="21"/>
                <w14:textFill>
                  <w14:solidFill>
                    <w14:schemeClr w14:val="tx1"/>
                  </w14:solidFill>
                </w14:textFill>
              </w:rPr>
              <w:t>支持新建案件、编辑案件、删除案件、导入案件、导出案件，对案件所有手机信息进行保存和查看</w:t>
            </w:r>
          </w:p>
        </w:tc>
        <w:tc>
          <w:tcPr>
            <w:tcW w:w="916" w:type="pct"/>
          </w:tcPr>
          <w:p>
            <w:pPr>
              <w:jc w:val="center"/>
              <w:rPr>
                <w:rFonts w:eastAsiaTheme="minorEastAsia"/>
                <w:bCs/>
                <w:color w:val="000000" w:themeColor="text1"/>
                <w:szCs w:val="21"/>
                <w14:textFill>
                  <w14:solidFill>
                    <w14:schemeClr w14:val="tx1"/>
                  </w14:solidFill>
                </w14:textFill>
              </w:rPr>
            </w:pPr>
            <w:r>
              <w:rPr>
                <w:rFonts w:hint="eastAsia" w:ascii="宋体" w:hAnsi="宋体" w:cs="宋体" w:eastAsiaTheme="minorEastAsia"/>
                <w:bCs/>
                <w:color w:val="000000" w:themeColor="text1"/>
                <w:szCs w:val="21"/>
                <w:lang w:val="en-US"/>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1" w:type="pct"/>
            <w:shd w:val="clear" w:color="auto" w:fill="auto"/>
            <w:vAlign w:val="center"/>
          </w:tcPr>
          <w:p>
            <w:pPr>
              <w:jc w:val="center"/>
              <w:textAlignment w:val="center"/>
              <w:rPr>
                <w:rFonts w:ascii="宋体" w:hAnsi="宋体" w:cs="宋体" w:eastAsiaTheme="minorEastAsia"/>
                <w:color w:val="000000" w:themeColor="text1"/>
                <w:szCs w:val="21"/>
                <w:lang w:val="en-US"/>
                <w14:textFill>
                  <w14:solidFill>
                    <w14:schemeClr w14:val="tx1"/>
                  </w14:solidFill>
                </w14:textFill>
              </w:rPr>
            </w:pPr>
            <w:r>
              <w:rPr>
                <w:rFonts w:hint="eastAsia" w:ascii="宋体" w:hAnsi="宋体" w:cs="宋体" w:eastAsiaTheme="minorEastAsia"/>
                <w:color w:val="000000" w:themeColor="text1"/>
                <w:szCs w:val="21"/>
                <w:lang w:val="en-US"/>
                <w14:textFill>
                  <w14:solidFill>
                    <w14:schemeClr w14:val="tx1"/>
                  </w14:solidFill>
                </w14:textFill>
              </w:rPr>
              <w:t>11</w:t>
            </w:r>
          </w:p>
        </w:tc>
        <w:tc>
          <w:tcPr>
            <w:tcW w:w="369" w:type="pct"/>
            <w:vMerge w:val="continue"/>
            <w:tcBorders>
              <w:left w:val="single" w:color="auto" w:sz="4" w:space="0"/>
              <w:right w:val="single" w:color="auto" w:sz="4" w:space="0"/>
            </w:tcBorders>
          </w:tcPr>
          <w:p>
            <w:pPr>
              <w:jc w:val="center"/>
              <w:rPr>
                <w:rFonts w:eastAsiaTheme="minorEastAsia"/>
                <w:b/>
                <w:color w:val="000000" w:themeColor="text1"/>
                <w:szCs w:val="21"/>
                <w14:textFill>
                  <w14:solidFill>
                    <w14:schemeClr w14:val="tx1"/>
                  </w14:solidFill>
                </w14:textFill>
              </w:rPr>
            </w:pPr>
          </w:p>
        </w:tc>
        <w:tc>
          <w:tcPr>
            <w:tcW w:w="1145" w:type="pct"/>
            <w:vMerge w:val="continue"/>
            <w:vAlign w:val="center"/>
          </w:tcPr>
          <w:p>
            <w:pPr>
              <w:adjustRightInd w:val="0"/>
              <w:snapToGrid w:val="0"/>
              <w:jc w:val="center"/>
              <w:rPr>
                <w:rFonts w:ascii="宋体" w:hAnsi="宋体" w:cs="宋体" w:eastAsiaTheme="minorEastAsia"/>
                <w:color w:val="000000" w:themeColor="text1"/>
                <w:szCs w:val="21"/>
                <w14:textFill>
                  <w14:solidFill>
                    <w14:schemeClr w14:val="tx1"/>
                  </w14:solidFill>
                </w14:textFill>
              </w:rPr>
            </w:pPr>
          </w:p>
        </w:tc>
        <w:tc>
          <w:tcPr>
            <w:tcW w:w="2189" w:type="pct"/>
            <w:vAlign w:val="center"/>
          </w:tcPr>
          <w:p>
            <w:pPr>
              <w:adjustRightInd w:val="0"/>
              <w:snapToGrid w:val="0"/>
              <w:rPr>
                <w:rFonts w:ascii="宋体" w:hAnsi="宋体" w:cs="宋体" w:eastAsiaTheme="minorEastAsia"/>
                <w:color w:val="000000" w:themeColor="text1"/>
                <w:szCs w:val="21"/>
                <w14:textFill>
                  <w14:solidFill>
                    <w14:schemeClr w14:val="tx1"/>
                  </w14:solidFill>
                </w14:textFill>
              </w:rPr>
            </w:pPr>
            <w:r>
              <w:rPr>
                <w:rFonts w:hint="eastAsia" w:eastAsiaTheme="minorEastAsia"/>
                <w:color w:val="000000" w:themeColor="text1"/>
                <w:szCs w:val="21"/>
                <w14:textFill>
                  <w14:solidFill>
                    <w14:schemeClr w14:val="tx1"/>
                  </w14:solidFill>
                </w14:textFill>
              </w:rPr>
              <w:t>支持合并案件、检材合并、案件迁移功能</w:t>
            </w:r>
          </w:p>
        </w:tc>
        <w:tc>
          <w:tcPr>
            <w:tcW w:w="916" w:type="pct"/>
          </w:tcPr>
          <w:p>
            <w:pPr>
              <w:jc w:val="center"/>
              <w:rPr>
                <w:rFonts w:ascii="宋体" w:hAnsi="宋体" w:cs="宋体" w:eastAsiaTheme="minorEastAsia"/>
                <w:bCs/>
                <w:color w:val="000000" w:themeColor="text1"/>
                <w:szCs w:val="21"/>
                <w:lang w:val="en-US"/>
                <w14:textFill>
                  <w14:solidFill>
                    <w14:schemeClr w14:val="tx1"/>
                  </w14:solidFill>
                </w14:textFill>
              </w:rPr>
            </w:pPr>
            <w:r>
              <w:rPr>
                <w:rFonts w:hint="eastAsia" w:ascii="宋体" w:hAnsi="宋体" w:cs="宋体" w:eastAsiaTheme="minorEastAsia"/>
                <w:bCs/>
                <w:color w:val="000000" w:themeColor="text1"/>
                <w:szCs w:val="21"/>
                <w:lang w:val="en-US"/>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shd w:val="clear" w:color="auto" w:fill="auto"/>
            <w:vAlign w:val="center"/>
          </w:tcPr>
          <w:p>
            <w:pPr>
              <w:jc w:val="center"/>
              <w:textAlignment w:val="center"/>
              <w:rPr>
                <w:rFonts w:ascii="宋体" w:hAnsi="宋体" w:cs="宋体" w:eastAsiaTheme="minorEastAsia"/>
                <w:color w:val="000000" w:themeColor="text1"/>
                <w:szCs w:val="21"/>
                <w:lang w:val="en-US"/>
                <w14:textFill>
                  <w14:solidFill>
                    <w14:schemeClr w14:val="tx1"/>
                  </w14:solidFill>
                </w14:textFill>
              </w:rPr>
            </w:pPr>
            <w:r>
              <w:rPr>
                <w:rFonts w:hint="eastAsia" w:ascii="宋体" w:hAnsi="宋体" w:cs="宋体" w:eastAsiaTheme="minorEastAsia"/>
                <w:color w:val="000000" w:themeColor="text1"/>
                <w:szCs w:val="21"/>
                <w:lang w:val="en-US"/>
                <w14:textFill>
                  <w14:solidFill>
                    <w14:schemeClr w14:val="tx1"/>
                  </w14:solidFill>
                </w14:textFill>
              </w:rPr>
              <w:t>12</w:t>
            </w:r>
          </w:p>
        </w:tc>
        <w:tc>
          <w:tcPr>
            <w:tcW w:w="369" w:type="pct"/>
            <w:vMerge w:val="continue"/>
            <w:tcBorders>
              <w:left w:val="single" w:color="auto" w:sz="4" w:space="0"/>
              <w:right w:val="single" w:color="auto" w:sz="4" w:space="0"/>
            </w:tcBorders>
          </w:tcPr>
          <w:p>
            <w:pPr>
              <w:jc w:val="center"/>
              <w:rPr>
                <w:rFonts w:eastAsiaTheme="minorEastAsia"/>
                <w:b/>
                <w:color w:val="000000" w:themeColor="text1"/>
                <w:szCs w:val="21"/>
                <w14:textFill>
                  <w14:solidFill>
                    <w14:schemeClr w14:val="tx1"/>
                  </w14:solidFill>
                </w14:textFill>
              </w:rPr>
            </w:pPr>
          </w:p>
        </w:tc>
        <w:tc>
          <w:tcPr>
            <w:tcW w:w="1145" w:type="pct"/>
            <w:vMerge w:val="continue"/>
            <w:shd w:val="clear" w:color="auto" w:fill="auto"/>
            <w:vAlign w:val="center"/>
          </w:tcPr>
          <w:p>
            <w:pPr>
              <w:adjustRightInd w:val="0"/>
              <w:snapToGrid w:val="0"/>
              <w:jc w:val="center"/>
              <w:rPr>
                <w:rFonts w:ascii="宋体" w:hAnsi="宋体" w:cs="宋体" w:eastAsiaTheme="minorEastAsia"/>
                <w:color w:val="000000" w:themeColor="text1"/>
                <w:szCs w:val="21"/>
                <w14:textFill>
                  <w14:solidFill>
                    <w14:schemeClr w14:val="tx1"/>
                  </w14:solidFill>
                </w14:textFill>
              </w:rPr>
            </w:pPr>
          </w:p>
        </w:tc>
        <w:tc>
          <w:tcPr>
            <w:tcW w:w="0" w:type="auto"/>
            <w:shd w:val="clear" w:color="auto" w:fill="auto"/>
            <w:vAlign w:val="center"/>
          </w:tcPr>
          <w:p>
            <w:pPr>
              <w:adjustRightInd w:val="0"/>
              <w:snapToGrid w:val="0"/>
              <w:rPr>
                <w:rFonts w:ascii="宋体" w:hAnsi="宋体" w:cs="宋体" w:eastAsiaTheme="minorEastAsia"/>
                <w:color w:val="000000" w:themeColor="text1"/>
                <w:szCs w:val="21"/>
                <w14:textFill>
                  <w14:solidFill>
                    <w14:schemeClr w14:val="tx1"/>
                  </w14:solidFill>
                </w14:textFill>
              </w:rPr>
            </w:pPr>
            <w:r>
              <w:rPr>
                <w:rFonts w:hint="eastAsia" w:ascii="宋体" w:hAnsi="宋体" w:cs="宋体" w:eastAsiaTheme="minorEastAsia"/>
                <w:color w:val="000000" w:themeColor="text1"/>
                <w:szCs w:val="21"/>
                <w14:textFill>
                  <w14:solidFill>
                    <w14:schemeClr w14:val="tx1"/>
                  </w14:solidFill>
                </w14:textFill>
              </w:rPr>
              <w:t>支持对重要数据添加标签，统一查看标签数据，并导出标签报告</w:t>
            </w:r>
          </w:p>
        </w:tc>
        <w:tc>
          <w:tcPr>
            <w:tcW w:w="0" w:type="auto"/>
            <w:shd w:val="clear" w:color="auto" w:fill="auto"/>
            <w:vAlign w:val="center"/>
          </w:tcPr>
          <w:p>
            <w:pPr>
              <w:widowControl w:val="0"/>
              <w:jc w:val="center"/>
              <w:rPr>
                <w:rFonts w:ascii="宋体" w:hAnsi="宋体" w:cs="宋体" w:eastAsiaTheme="minorEastAsia"/>
                <w:bCs/>
                <w:color w:val="000000" w:themeColor="text1"/>
                <w:szCs w:val="21"/>
                <w:lang w:val="en-US"/>
                <w14:textFill>
                  <w14:solidFill>
                    <w14:schemeClr w14:val="tx1"/>
                  </w14:solidFill>
                </w14:textFill>
              </w:rPr>
            </w:pPr>
            <w:r>
              <w:rPr>
                <w:rFonts w:hint="eastAsia" w:ascii="宋体" w:hAnsi="宋体" w:cs="宋体" w:eastAsiaTheme="minorEastAsia"/>
                <w:bCs/>
                <w:color w:val="000000" w:themeColor="text1"/>
                <w:szCs w:val="21"/>
                <w:lang w:val="en-US"/>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shd w:val="clear" w:color="auto" w:fill="auto"/>
            <w:vAlign w:val="center"/>
          </w:tcPr>
          <w:p>
            <w:pPr>
              <w:jc w:val="center"/>
              <w:textAlignment w:val="center"/>
              <w:rPr>
                <w:rFonts w:ascii="宋体" w:hAnsi="宋体" w:cs="宋体" w:eastAsiaTheme="minorEastAsia"/>
                <w:color w:val="000000" w:themeColor="text1"/>
                <w:szCs w:val="21"/>
                <w:lang w:val="en-US"/>
                <w14:textFill>
                  <w14:solidFill>
                    <w14:schemeClr w14:val="tx1"/>
                  </w14:solidFill>
                </w14:textFill>
              </w:rPr>
            </w:pPr>
            <w:r>
              <w:rPr>
                <w:rFonts w:hint="eastAsia" w:ascii="宋体" w:hAnsi="宋体" w:cs="宋体" w:eastAsiaTheme="minorEastAsia"/>
                <w:color w:val="000000" w:themeColor="text1"/>
                <w:szCs w:val="21"/>
                <w:lang w:val="en-US"/>
                <w14:textFill>
                  <w14:solidFill>
                    <w14:schemeClr w14:val="tx1"/>
                  </w14:solidFill>
                </w14:textFill>
              </w:rPr>
              <w:t>13</w:t>
            </w:r>
          </w:p>
        </w:tc>
        <w:tc>
          <w:tcPr>
            <w:tcW w:w="369" w:type="pct"/>
            <w:vMerge w:val="continue"/>
            <w:tcBorders>
              <w:left w:val="single" w:color="auto" w:sz="4" w:space="0"/>
              <w:right w:val="single" w:color="auto" w:sz="4" w:space="0"/>
            </w:tcBorders>
          </w:tcPr>
          <w:p>
            <w:pPr>
              <w:jc w:val="center"/>
              <w:rPr>
                <w:rFonts w:eastAsiaTheme="minorEastAsia"/>
                <w:b/>
                <w:color w:val="000000" w:themeColor="text1"/>
                <w:szCs w:val="21"/>
                <w14:textFill>
                  <w14:solidFill>
                    <w14:schemeClr w14:val="tx1"/>
                  </w14:solidFill>
                </w14:textFill>
              </w:rPr>
            </w:pPr>
          </w:p>
        </w:tc>
        <w:tc>
          <w:tcPr>
            <w:tcW w:w="1145" w:type="pct"/>
            <w:vMerge w:val="continue"/>
            <w:shd w:val="clear" w:color="auto" w:fill="auto"/>
            <w:vAlign w:val="center"/>
          </w:tcPr>
          <w:p>
            <w:pPr>
              <w:adjustRightInd w:val="0"/>
              <w:snapToGrid w:val="0"/>
              <w:jc w:val="center"/>
              <w:rPr>
                <w:rFonts w:ascii="宋体" w:hAnsi="宋体" w:cs="宋体" w:eastAsiaTheme="minorEastAsia"/>
                <w:color w:val="000000" w:themeColor="text1"/>
                <w:szCs w:val="21"/>
                <w14:textFill>
                  <w14:solidFill>
                    <w14:schemeClr w14:val="tx1"/>
                  </w14:solidFill>
                </w14:textFill>
              </w:rPr>
            </w:pPr>
          </w:p>
        </w:tc>
        <w:tc>
          <w:tcPr>
            <w:tcW w:w="0" w:type="auto"/>
            <w:shd w:val="clear" w:color="auto" w:fill="auto"/>
            <w:vAlign w:val="center"/>
          </w:tcPr>
          <w:p>
            <w:pPr>
              <w:adjustRightInd w:val="0"/>
              <w:snapToGrid w:val="0"/>
              <w:rPr>
                <w:rFonts w:ascii="宋体" w:hAnsi="宋体" w:cs="宋体" w:eastAsiaTheme="minorEastAsia"/>
                <w:color w:val="000000" w:themeColor="text1"/>
                <w:szCs w:val="21"/>
                <w14:textFill>
                  <w14:solidFill>
                    <w14:schemeClr w14:val="tx1"/>
                  </w14:solidFill>
                </w14:textFill>
              </w:rPr>
            </w:pPr>
            <w:r>
              <w:rPr>
                <w:rFonts w:hint="eastAsia" w:ascii="宋体" w:hAnsi="宋体" w:cs="宋体" w:eastAsiaTheme="minorEastAsia"/>
                <w:color w:val="000000" w:themeColor="text1"/>
                <w:szCs w:val="21"/>
                <w14:textFill>
                  <w14:solidFill>
                    <w14:schemeClr w14:val="tx1"/>
                  </w14:solidFill>
                </w14:textFill>
              </w:rPr>
              <w:t>多检材导出证据报告时支持合并导出与拆分导出；支持导出报告后自动压缩并计算哈希值</w:t>
            </w:r>
          </w:p>
        </w:tc>
        <w:tc>
          <w:tcPr>
            <w:tcW w:w="0" w:type="auto"/>
            <w:shd w:val="clear" w:color="auto" w:fill="auto"/>
            <w:vAlign w:val="center"/>
          </w:tcPr>
          <w:p>
            <w:pPr>
              <w:widowControl w:val="0"/>
              <w:jc w:val="center"/>
              <w:rPr>
                <w:rFonts w:ascii="宋体" w:hAnsi="宋体" w:cs="宋体" w:eastAsiaTheme="minorEastAsia"/>
                <w:bCs/>
                <w:color w:val="000000" w:themeColor="text1"/>
                <w:szCs w:val="21"/>
                <w:lang w:val="en-US"/>
                <w14:textFill>
                  <w14:solidFill>
                    <w14:schemeClr w14:val="tx1"/>
                  </w14:solidFill>
                </w14:textFill>
              </w:rPr>
            </w:pPr>
            <w:r>
              <w:rPr>
                <w:rFonts w:hint="eastAsia" w:ascii="宋体" w:hAnsi="宋体" w:cs="宋体" w:eastAsiaTheme="minorEastAsia"/>
                <w:bCs/>
                <w:color w:val="000000" w:themeColor="text1"/>
                <w:szCs w:val="21"/>
                <w:lang w:val="en-US"/>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shd w:val="clear" w:color="auto" w:fill="auto"/>
            <w:vAlign w:val="center"/>
          </w:tcPr>
          <w:p>
            <w:pPr>
              <w:jc w:val="center"/>
              <w:textAlignment w:val="center"/>
              <w:rPr>
                <w:rFonts w:ascii="宋体" w:hAnsi="宋体" w:cs="宋体" w:eastAsiaTheme="minorEastAsia"/>
                <w:color w:val="000000" w:themeColor="text1"/>
                <w:szCs w:val="21"/>
                <w:lang w:val="en-US"/>
                <w14:textFill>
                  <w14:solidFill>
                    <w14:schemeClr w14:val="tx1"/>
                  </w14:solidFill>
                </w14:textFill>
              </w:rPr>
            </w:pPr>
            <w:r>
              <w:rPr>
                <w:rFonts w:hint="eastAsia" w:ascii="宋体" w:hAnsi="宋体" w:cs="宋体" w:eastAsiaTheme="minorEastAsia"/>
                <w:color w:val="000000" w:themeColor="text1"/>
                <w:szCs w:val="21"/>
                <w:lang w:val="en-US"/>
                <w14:textFill>
                  <w14:solidFill>
                    <w14:schemeClr w14:val="tx1"/>
                  </w14:solidFill>
                </w14:textFill>
              </w:rPr>
              <w:t>14</w:t>
            </w:r>
          </w:p>
        </w:tc>
        <w:tc>
          <w:tcPr>
            <w:tcW w:w="369" w:type="pct"/>
            <w:vMerge w:val="continue"/>
            <w:tcBorders>
              <w:left w:val="single" w:color="auto" w:sz="4" w:space="0"/>
              <w:right w:val="single" w:color="auto" w:sz="4" w:space="0"/>
            </w:tcBorders>
          </w:tcPr>
          <w:p>
            <w:pPr>
              <w:jc w:val="center"/>
              <w:rPr>
                <w:rFonts w:eastAsiaTheme="minorEastAsia"/>
                <w:b/>
                <w:color w:val="000000" w:themeColor="text1"/>
                <w:szCs w:val="21"/>
                <w14:textFill>
                  <w14:solidFill>
                    <w14:schemeClr w14:val="tx1"/>
                  </w14:solidFill>
                </w14:textFill>
              </w:rPr>
            </w:pPr>
          </w:p>
        </w:tc>
        <w:tc>
          <w:tcPr>
            <w:tcW w:w="1145" w:type="pct"/>
            <w:vMerge w:val="continue"/>
            <w:shd w:val="clear" w:color="auto" w:fill="auto"/>
            <w:vAlign w:val="center"/>
          </w:tcPr>
          <w:p>
            <w:pPr>
              <w:adjustRightInd w:val="0"/>
              <w:snapToGrid w:val="0"/>
              <w:jc w:val="center"/>
              <w:rPr>
                <w:rFonts w:ascii="宋体" w:hAnsi="宋体" w:cs="宋体" w:eastAsiaTheme="minorEastAsia"/>
                <w:color w:val="000000" w:themeColor="text1"/>
                <w:szCs w:val="21"/>
                <w14:textFill>
                  <w14:solidFill>
                    <w14:schemeClr w14:val="tx1"/>
                  </w14:solidFill>
                </w14:textFill>
              </w:rPr>
            </w:pPr>
          </w:p>
        </w:tc>
        <w:tc>
          <w:tcPr>
            <w:tcW w:w="0" w:type="auto"/>
            <w:shd w:val="clear" w:color="auto" w:fill="auto"/>
            <w:vAlign w:val="center"/>
          </w:tcPr>
          <w:p>
            <w:pPr>
              <w:adjustRightInd w:val="0"/>
              <w:snapToGrid w:val="0"/>
              <w:rPr>
                <w:rFonts w:ascii="宋体" w:hAnsi="宋体" w:cs="宋体" w:eastAsiaTheme="minorEastAsia"/>
                <w:color w:val="000000" w:themeColor="text1"/>
                <w:szCs w:val="21"/>
                <w:lang w:val="en-US"/>
                <w14:textFill>
                  <w14:solidFill>
                    <w14:schemeClr w14:val="tx1"/>
                  </w14:solidFill>
                </w14:textFill>
              </w:rPr>
            </w:pPr>
            <w:r>
              <w:rPr>
                <w:rFonts w:hint="eastAsia" w:ascii="宋体" w:hAnsi="宋体" w:cs="宋体" w:eastAsiaTheme="minorEastAsia"/>
                <w:color w:val="000000" w:themeColor="text1"/>
                <w:szCs w:val="21"/>
                <w14:textFill>
                  <w14:solidFill>
                    <w14:schemeClr w14:val="tx1"/>
                  </w14:solidFill>
                </w14:textFill>
              </w:rPr>
              <w:t>支持屏幕录像功能</w:t>
            </w:r>
          </w:p>
        </w:tc>
        <w:tc>
          <w:tcPr>
            <w:tcW w:w="0" w:type="auto"/>
            <w:shd w:val="clear" w:color="auto" w:fill="auto"/>
            <w:vAlign w:val="center"/>
          </w:tcPr>
          <w:p>
            <w:pPr>
              <w:widowControl w:val="0"/>
              <w:jc w:val="center"/>
              <w:rPr>
                <w:rFonts w:ascii="宋体" w:hAnsi="宋体" w:cs="宋体" w:eastAsiaTheme="minorEastAsia"/>
                <w:bCs/>
                <w:color w:val="000000" w:themeColor="text1"/>
                <w:szCs w:val="21"/>
                <w:lang w:val="en-US"/>
                <w14:textFill>
                  <w14:solidFill>
                    <w14:schemeClr w14:val="tx1"/>
                  </w14:solidFill>
                </w14:textFill>
              </w:rPr>
            </w:pPr>
            <w:r>
              <w:rPr>
                <w:rFonts w:hint="eastAsia" w:ascii="宋体" w:hAnsi="宋体" w:cs="宋体" w:eastAsiaTheme="minorEastAsia"/>
                <w:bCs/>
                <w:color w:val="000000" w:themeColor="text1"/>
                <w:szCs w:val="21"/>
                <w:lang w:val="en-US"/>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shd w:val="clear" w:color="auto" w:fill="auto"/>
            <w:vAlign w:val="center"/>
          </w:tcPr>
          <w:p>
            <w:pPr>
              <w:jc w:val="center"/>
              <w:textAlignment w:val="center"/>
              <w:rPr>
                <w:rFonts w:ascii="宋体" w:hAnsi="宋体" w:cs="宋体" w:eastAsiaTheme="minorEastAsia"/>
                <w:color w:val="000000" w:themeColor="text1"/>
                <w:szCs w:val="21"/>
                <w:lang w:val="en-US"/>
                <w14:textFill>
                  <w14:solidFill>
                    <w14:schemeClr w14:val="tx1"/>
                  </w14:solidFill>
                </w14:textFill>
              </w:rPr>
            </w:pPr>
            <w:r>
              <w:rPr>
                <w:rFonts w:hint="eastAsia" w:ascii="宋体" w:hAnsi="宋体" w:cs="宋体" w:eastAsiaTheme="minorEastAsia"/>
                <w:color w:val="000000" w:themeColor="text1"/>
                <w:szCs w:val="21"/>
                <w:lang w:val="en-US"/>
                <w14:textFill>
                  <w14:solidFill>
                    <w14:schemeClr w14:val="tx1"/>
                  </w14:solidFill>
                </w14:textFill>
              </w:rPr>
              <w:t>15</w:t>
            </w:r>
          </w:p>
        </w:tc>
        <w:tc>
          <w:tcPr>
            <w:tcW w:w="369" w:type="pct"/>
            <w:vMerge w:val="continue"/>
            <w:tcBorders>
              <w:left w:val="single" w:color="auto" w:sz="4" w:space="0"/>
              <w:right w:val="single" w:color="auto" w:sz="4" w:space="0"/>
            </w:tcBorders>
          </w:tcPr>
          <w:p>
            <w:pPr>
              <w:jc w:val="center"/>
              <w:rPr>
                <w:rFonts w:eastAsiaTheme="minorEastAsia"/>
                <w:b/>
                <w:color w:val="000000" w:themeColor="text1"/>
                <w:szCs w:val="21"/>
                <w14:textFill>
                  <w14:solidFill>
                    <w14:schemeClr w14:val="tx1"/>
                  </w14:solidFill>
                </w14:textFill>
              </w:rPr>
            </w:pPr>
          </w:p>
        </w:tc>
        <w:tc>
          <w:tcPr>
            <w:tcW w:w="1145" w:type="pct"/>
            <w:vMerge w:val="continue"/>
            <w:shd w:val="clear" w:color="auto" w:fill="auto"/>
            <w:vAlign w:val="center"/>
          </w:tcPr>
          <w:p>
            <w:pPr>
              <w:adjustRightInd w:val="0"/>
              <w:snapToGrid w:val="0"/>
              <w:jc w:val="center"/>
              <w:rPr>
                <w:rFonts w:ascii="宋体" w:hAnsi="宋体" w:cs="宋体" w:eastAsiaTheme="minorEastAsia"/>
                <w:color w:val="000000" w:themeColor="text1"/>
                <w:szCs w:val="21"/>
                <w14:textFill>
                  <w14:solidFill>
                    <w14:schemeClr w14:val="tx1"/>
                  </w14:solidFill>
                </w14:textFill>
              </w:rPr>
            </w:pPr>
          </w:p>
        </w:tc>
        <w:tc>
          <w:tcPr>
            <w:tcW w:w="0" w:type="auto"/>
            <w:shd w:val="clear" w:color="auto" w:fill="auto"/>
            <w:vAlign w:val="center"/>
          </w:tcPr>
          <w:p>
            <w:pPr>
              <w:adjustRightInd w:val="0"/>
              <w:snapToGrid w:val="0"/>
              <w:rPr>
                <w:rFonts w:ascii="宋体" w:hAnsi="宋体" w:cs="宋体" w:eastAsiaTheme="minorEastAsia"/>
                <w:color w:val="000000" w:themeColor="text1"/>
                <w:szCs w:val="21"/>
                <w14:textFill>
                  <w14:solidFill>
                    <w14:schemeClr w14:val="tx1"/>
                  </w14:solidFill>
                </w14:textFill>
              </w:rPr>
            </w:pPr>
            <w:r>
              <w:rPr>
                <w:rFonts w:hint="eastAsia" w:ascii="宋体" w:hAnsi="宋体" w:cs="宋体" w:eastAsiaTheme="minorEastAsia"/>
                <w:color w:val="000000" w:themeColor="text1"/>
                <w:szCs w:val="21"/>
                <w14:textFill>
                  <w14:solidFill>
                    <w14:schemeClr w14:val="tx1"/>
                  </w14:solidFill>
                </w14:textFill>
              </w:rPr>
              <w:t>支持证据查看功能，支持对数据进行搜索，并生成报告</w:t>
            </w:r>
          </w:p>
        </w:tc>
        <w:tc>
          <w:tcPr>
            <w:tcW w:w="0" w:type="auto"/>
            <w:shd w:val="clear" w:color="auto" w:fill="auto"/>
            <w:vAlign w:val="center"/>
          </w:tcPr>
          <w:p>
            <w:pPr>
              <w:widowControl w:val="0"/>
              <w:jc w:val="center"/>
              <w:rPr>
                <w:rFonts w:ascii="宋体" w:hAnsi="宋体" w:cs="宋体" w:eastAsiaTheme="minorEastAsia"/>
                <w:bCs/>
                <w:color w:val="000000" w:themeColor="text1"/>
                <w:szCs w:val="21"/>
                <w:lang w:val="en-US"/>
                <w14:textFill>
                  <w14:solidFill>
                    <w14:schemeClr w14:val="tx1"/>
                  </w14:solidFill>
                </w14:textFill>
              </w:rPr>
            </w:pPr>
            <w:r>
              <w:rPr>
                <w:rFonts w:hint="eastAsia" w:ascii="宋体" w:hAnsi="宋体" w:cs="宋体" w:eastAsiaTheme="minorEastAsia"/>
                <w:bCs/>
                <w:color w:val="000000" w:themeColor="text1"/>
                <w:szCs w:val="21"/>
                <w:lang w:val="en-US"/>
                <w14:textFill>
                  <w14:solidFill>
                    <w14:schemeClr w14:val="tx1"/>
                  </w14:solidFill>
                </w14:textFill>
              </w:rPr>
              <w:t>/</w:t>
            </w:r>
          </w:p>
        </w:tc>
      </w:tr>
    </w:tbl>
    <w:p>
      <w:pPr>
        <w:pStyle w:val="5"/>
        <w:spacing w:before="156"/>
        <w:rPr>
          <w:rFonts w:eastAsiaTheme="minorEastAsia"/>
          <w:b/>
          <w:bCs/>
          <w:szCs w:val="21"/>
        </w:rPr>
      </w:pPr>
      <w:r>
        <w:rPr>
          <w:rFonts w:hint="eastAsia" w:asciiTheme="minorEastAsia" w:hAnsiTheme="minorEastAsia" w:eastAsiaTheme="minorEastAsia" w:cstheme="minorEastAsia"/>
          <w:szCs w:val="21"/>
        </w:rPr>
        <w:t>第6包</w:t>
      </w:r>
      <w:r>
        <w:rPr>
          <w:rFonts w:hint="eastAsia" w:asciiTheme="minorEastAsia" w:hAnsiTheme="minorEastAsia" w:eastAsiaTheme="minorEastAsia" w:cstheme="minorEastAsia"/>
          <w:szCs w:val="21"/>
          <w:lang w:val="en-US" w:eastAsia="zh-CN"/>
        </w:rPr>
        <w:t xml:space="preserve"> </w:t>
      </w:r>
      <w:r>
        <w:rPr>
          <w:rFonts w:hint="eastAsia" w:asciiTheme="minorEastAsia" w:hAnsiTheme="minorEastAsia" w:eastAsiaTheme="minorEastAsia" w:cstheme="minorEastAsia"/>
          <w:szCs w:val="21"/>
        </w:rPr>
        <w:t>手机密码破解设备</w:t>
      </w:r>
      <w:r>
        <w:rPr>
          <w:rFonts w:hint="default" w:ascii="Times New Roman" w:hAnsi="Times New Roman" w:cs="Times New Roman" w:eastAsiaTheme="minorEastAsia"/>
          <w:szCs w:val="21"/>
        </w:rPr>
        <w:t>Ⅱ</w:t>
      </w:r>
    </w:p>
    <w:tbl>
      <w:tblPr>
        <w:tblStyle w:val="8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0"/>
        <w:gridCol w:w="1390"/>
        <w:gridCol w:w="5290"/>
        <w:gridCol w:w="9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37" w:type="dxa"/>
            <w:vAlign w:val="center"/>
          </w:tcPr>
          <w:p>
            <w:pPr>
              <w:jc w:val="center"/>
              <w:rPr>
                <w:rFonts w:ascii="Times New Roman" w:hAnsi="Times New Roman" w:eastAsiaTheme="minorEastAsia"/>
                <w:bCs/>
                <w:szCs w:val="21"/>
              </w:rPr>
            </w:pPr>
            <w:r>
              <w:rPr>
                <w:rFonts w:ascii="Times New Roman" w:hAnsi="Times New Roman" w:eastAsiaTheme="minorEastAsia"/>
                <w:bCs/>
                <w:szCs w:val="21"/>
              </w:rPr>
              <w:t>序号</w:t>
            </w:r>
          </w:p>
        </w:tc>
        <w:tc>
          <w:tcPr>
            <w:tcW w:w="1353" w:type="dxa"/>
            <w:vAlign w:val="center"/>
          </w:tcPr>
          <w:p>
            <w:pPr>
              <w:jc w:val="center"/>
              <w:rPr>
                <w:rFonts w:ascii="Times New Roman" w:hAnsi="Times New Roman" w:eastAsiaTheme="minorEastAsia"/>
                <w:bCs/>
                <w:szCs w:val="21"/>
              </w:rPr>
            </w:pPr>
            <w:r>
              <w:rPr>
                <w:rFonts w:ascii="Times New Roman" w:hAnsi="Times New Roman" w:eastAsiaTheme="minorEastAsia"/>
                <w:bCs/>
                <w:szCs w:val="21"/>
              </w:rPr>
              <w:t>指标项</w:t>
            </w:r>
          </w:p>
        </w:tc>
        <w:tc>
          <w:tcPr>
            <w:tcW w:w="5150" w:type="dxa"/>
            <w:vAlign w:val="center"/>
          </w:tcPr>
          <w:p>
            <w:pPr>
              <w:jc w:val="center"/>
              <w:rPr>
                <w:rFonts w:ascii="Times New Roman" w:hAnsi="Times New Roman" w:eastAsiaTheme="minorEastAsia"/>
                <w:bCs/>
                <w:szCs w:val="21"/>
              </w:rPr>
            </w:pPr>
            <w:r>
              <w:rPr>
                <w:rFonts w:ascii="Times New Roman" w:hAnsi="Times New Roman" w:eastAsiaTheme="minorEastAsia"/>
                <w:bCs/>
                <w:szCs w:val="21"/>
              </w:rPr>
              <w:t>指标要求</w:t>
            </w:r>
          </w:p>
        </w:tc>
        <w:tc>
          <w:tcPr>
            <w:tcW w:w="956" w:type="dxa"/>
            <w:shd w:val="clear" w:color="auto" w:fill="auto"/>
            <w:vAlign w:val="center"/>
          </w:tcPr>
          <w:p>
            <w:pPr>
              <w:jc w:val="center"/>
              <w:textAlignment w:val="center"/>
              <w:rPr>
                <w:rFonts w:ascii="Times New Roman" w:hAnsi="Times New Roman" w:eastAsiaTheme="minorEastAsia"/>
                <w:kern w:val="0"/>
                <w:szCs w:val="21"/>
                <w:lang w:bidi="ar"/>
              </w:rPr>
            </w:pPr>
            <w:r>
              <w:rPr>
                <w:rFonts w:hint="eastAsia" w:ascii="Times New Roman" w:hAnsi="Times New Roman" w:eastAsiaTheme="minorEastAsia"/>
                <w:kern w:val="0"/>
                <w:szCs w:val="21"/>
                <w:lang w:bidi="ar"/>
              </w:rPr>
              <w:t>是否提供证明材料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7" w:type="dxa"/>
            <w:vAlign w:val="center"/>
          </w:tcPr>
          <w:p>
            <w:pPr>
              <w:jc w:val="center"/>
              <w:rPr>
                <w:rFonts w:ascii="Times New Roman" w:hAnsi="Times New Roman" w:eastAsiaTheme="minorEastAsia"/>
                <w:szCs w:val="21"/>
              </w:rPr>
            </w:pPr>
            <w:r>
              <w:rPr>
                <w:rFonts w:hint="eastAsia" w:ascii="Times New Roman" w:hAnsi="Times New Roman" w:eastAsiaTheme="minorEastAsia"/>
                <w:szCs w:val="21"/>
              </w:rPr>
              <w:t>1</w:t>
            </w:r>
          </w:p>
        </w:tc>
        <w:tc>
          <w:tcPr>
            <w:tcW w:w="1353" w:type="dxa"/>
            <w:vAlign w:val="center"/>
          </w:tcPr>
          <w:p>
            <w:pPr>
              <w:jc w:val="center"/>
              <w:rPr>
                <w:rFonts w:ascii="Times New Roman" w:hAnsi="Times New Roman" w:eastAsiaTheme="minorEastAsia"/>
                <w:szCs w:val="21"/>
              </w:rPr>
            </w:pPr>
            <w:r>
              <w:rPr>
                <w:rFonts w:hint="eastAsia" w:eastAsiaTheme="minorEastAsia"/>
                <w:szCs w:val="21"/>
              </w:rPr>
              <w:t>塔机</w:t>
            </w:r>
          </w:p>
        </w:tc>
        <w:tc>
          <w:tcPr>
            <w:tcW w:w="5150" w:type="dxa"/>
          </w:tcPr>
          <w:p>
            <w:pPr>
              <w:rPr>
                <w:rFonts w:ascii="Times New Roman" w:hAnsi="Times New Roman" w:eastAsiaTheme="minorEastAsia"/>
                <w:szCs w:val="21"/>
              </w:rPr>
            </w:pPr>
            <w:r>
              <w:rPr>
                <w:rFonts w:hint="eastAsia" w:ascii="Times New Roman" w:hAnsi="Times New Roman" w:eastAsiaTheme="minorEastAsia"/>
                <w:szCs w:val="21"/>
              </w:rPr>
              <w:t>处理器：不低于16核心24线程，主频不低于2.4GHz 14M二级缓存</w:t>
            </w:r>
          </w:p>
          <w:p>
            <w:pPr>
              <w:rPr>
                <w:rFonts w:ascii="Times New Roman" w:hAnsi="Times New Roman" w:eastAsiaTheme="minorEastAsia"/>
                <w:szCs w:val="21"/>
              </w:rPr>
            </w:pPr>
            <w:r>
              <w:rPr>
                <w:rFonts w:hint="eastAsia" w:ascii="Times New Roman" w:hAnsi="Times New Roman" w:eastAsiaTheme="minorEastAsia"/>
                <w:szCs w:val="21"/>
              </w:rPr>
              <w:t>内存：不低于64GB DDR4内存</w:t>
            </w:r>
          </w:p>
          <w:p>
            <w:pPr>
              <w:rPr>
                <w:rFonts w:ascii="Times New Roman" w:hAnsi="Times New Roman" w:eastAsiaTheme="minorEastAsia"/>
                <w:szCs w:val="21"/>
              </w:rPr>
            </w:pPr>
            <w:r>
              <w:rPr>
                <w:rFonts w:hint="eastAsia" w:ascii="Times New Roman" w:hAnsi="Times New Roman" w:eastAsiaTheme="minorEastAsia"/>
                <w:szCs w:val="21"/>
              </w:rPr>
              <w:t>存储：不低于8TB SSD+18TB HDD硬盘</w:t>
            </w:r>
          </w:p>
          <w:p>
            <w:pPr>
              <w:rPr>
                <w:rFonts w:ascii="Times New Roman" w:hAnsi="Times New Roman" w:eastAsiaTheme="minorEastAsia"/>
                <w:szCs w:val="21"/>
              </w:rPr>
            </w:pPr>
            <w:r>
              <w:rPr>
                <w:rFonts w:hint="eastAsia" w:ascii="Times New Roman" w:hAnsi="Times New Roman" w:eastAsiaTheme="minorEastAsia"/>
                <w:szCs w:val="21"/>
              </w:rPr>
              <w:t>显卡：不低于12GB显存显卡</w:t>
            </w:r>
          </w:p>
          <w:p>
            <w:pPr>
              <w:rPr>
                <w:rFonts w:ascii="Times New Roman" w:hAnsi="Times New Roman" w:eastAsiaTheme="minorEastAsia"/>
                <w:szCs w:val="21"/>
              </w:rPr>
            </w:pPr>
            <w:r>
              <w:rPr>
                <w:rFonts w:hint="eastAsia" w:ascii="Times New Roman" w:hAnsi="Times New Roman" w:eastAsiaTheme="minorEastAsia"/>
                <w:szCs w:val="21"/>
              </w:rPr>
              <w:t>显示器：不低于34寸</w:t>
            </w:r>
          </w:p>
          <w:p>
            <w:pPr>
              <w:rPr>
                <w:rFonts w:ascii="Times New Roman" w:hAnsi="Times New Roman" w:eastAsiaTheme="minorEastAsia"/>
                <w:szCs w:val="21"/>
              </w:rPr>
            </w:pPr>
            <w:r>
              <w:rPr>
                <w:rFonts w:hint="eastAsia" w:ascii="Times New Roman" w:hAnsi="Times New Roman" w:eastAsiaTheme="minorEastAsia"/>
                <w:szCs w:val="21"/>
              </w:rPr>
              <w:t>网络：不少于1个万兆光口、2个千兆电口</w:t>
            </w:r>
          </w:p>
        </w:tc>
        <w:tc>
          <w:tcPr>
            <w:tcW w:w="956" w:type="dxa"/>
            <w:vAlign w:val="center"/>
          </w:tcPr>
          <w:p>
            <w:pPr>
              <w:jc w:val="center"/>
              <w:rPr>
                <w:rFonts w:ascii="Times New Roman" w:hAnsi="Times New Roman" w:eastAsiaTheme="minorEastAsia"/>
                <w:szCs w:val="21"/>
              </w:rPr>
            </w:pPr>
            <w:r>
              <w:rPr>
                <w:rFonts w:ascii="Times New Roman" w:hAnsi="Times New Roman" w:eastAsiaTheme="min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7" w:type="dxa"/>
            <w:vAlign w:val="center"/>
          </w:tcPr>
          <w:p>
            <w:pPr>
              <w:jc w:val="center"/>
              <w:rPr>
                <w:rFonts w:ascii="Times New Roman" w:hAnsi="Times New Roman" w:eastAsiaTheme="minorEastAsia"/>
                <w:szCs w:val="21"/>
              </w:rPr>
            </w:pPr>
            <w:r>
              <w:rPr>
                <w:rFonts w:hint="eastAsia" w:ascii="Times New Roman" w:hAnsi="Times New Roman" w:eastAsiaTheme="minorEastAsia"/>
                <w:szCs w:val="21"/>
              </w:rPr>
              <w:t>2</w:t>
            </w:r>
          </w:p>
        </w:tc>
        <w:tc>
          <w:tcPr>
            <w:tcW w:w="1353" w:type="dxa"/>
            <w:vAlign w:val="center"/>
          </w:tcPr>
          <w:p>
            <w:pPr>
              <w:jc w:val="center"/>
              <w:rPr>
                <w:rFonts w:ascii="Times New Roman" w:hAnsi="Times New Roman" w:eastAsiaTheme="minorEastAsia"/>
                <w:szCs w:val="21"/>
              </w:rPr>
            </w:pPr>
            <w:r>
              <w:rPr>
                <w:rFonts w:hint="eastAsia" w:ascii="Times New Roman" w:hAnsi="Times New Roman" w:eastAsiaTheme="minorEastAsia"/>
                <w:szCs w:val="21"/>
              </w:rPr>
              <w:t>苹果手机备份解析功能</w:t>
            </w:r>
          </w:p>
        </w:tc>
        <w:tc>
          <w:tcPr>
            <w:tcW w:w="5150" w:type="dxa"/>
          </w:tcPr>
          <w:p>
            <w:pPr>
              <w:rPr>
                <w:rFonts w:ascii="Times New Roman" w:hAnsi="Times New Roman" w:eastAsiaTheme="minorEastAsia"/>
                <w:szCs w:val="21"/>
              </w:rPr>
            </w:pPr>
            <w:r>
              <w:rPr>
                <w:rFonts w:hint="eastAsia" w:ascii="Times New Roman" w:hAnsi="Times New Roman" w:eastAsiaTheme="minorEastAsia"/>
                <w:szCs w:val="21"/>
              </w:rPr>
              <w:t>支持苹果手机备份文件读取，在已知密码情况下实现对苹果手机加密备份的解析</w:t>
            </w:r>
          </w:p>
        </w:tc>
        <w:tc>
          <w:tcPr>
            <w:tcW w:w="956" w:type="dxa"/>
            <w:vAlign w:val="center"/>
          </w:tcPr>
          <w:p>
            <w:pPr>
              <w:jc w:val="center"/>
              <w:rPr>
                <w:rFonts w:ascii="Times New Roman" w:hAnsi="Times New Roman" w:eastAsiaTheme="minorEastAsia"/>
                <w:szCs w:val="21"/>
              </w:rPr>
            </w:pPr>
            <w:r>
              <w:rPr>
                <w:rFonts w:hint="eastAsia" w:ascii="Times New Roman" w:hAnsi="Times New Roman" w:eastAsiaTheme="minorEastAsia"/>
                <w:szCs w:val="21"/>
              </w:rPr>
              <w:t>软件功能截图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7" w:type="dxa"/>
            <w:vAlign w:val="center"/>
          </w:tcPr>
          <w:p>
            <w:pPr>
              <w:jc w:val="center"/>
              <w:rPr>
                <w:rFonts w:ascii="Times New Roman" w:hAnsi="Times New Roman" w:eastAsiaTheme="minorEastAsia"/>
                <w:szCs w:val="21"/>
              </w:rPr>
            </w:pPr>
            <w:r>
              <w:rPr>
                <w:rFonts w:hint="eastAsia" w:ascii="Times New Roman" w:hAnsi="Times New Roman" w:eastAsiaTheme="minorEastAsia"/>
                <w:szCs w:val="21"/>
              </w:rPr>
              <w:t>3</w:t>
            </w:r>
          </w:p>
        </w:tc>
        <w:tc>
          <w:tcPr>
            <w:tcW w:w="1353" w:type="dxa"/>
            <w:vAlign w:val="center"/>
          </w:tcPr>
          <w:p>
            <w:pPr>
              <w:jc w:val="center"/>
              <w:rPr>
                <w:rFonts w:ascii="Times New Roman" w:hAnsi="Times New Roman" w:eastAsiaTheme="minorEastAsia"/>
                <w:szCs w:val="21"/>
              </w:rPr>
            </w:pPr>
            <w:r>
              <w:rPr>
                <w:rFonts w:hint="eastAsia" w:ascii="Times New Roman" w:hAnsi="Times New Roman" w:eastAsiaTheme="minorEastAsia"/>
                <w:szCs w:val="21"/>
              </w:rPr>
              <w:t>APP解析功能</w:t>
            </w:r>
          </w:p>
        </w:tc>
        <w:tc>
          <w:tcPr>
            <w:tcW w:w="5150" w:type="dxa"/>
          </w:tcPr>
          <w:p>
            <w:pPr>
              <w:rPr>
                <w:rFonts w:ascii="Times New Roman" w:hAnsi="Times New Roman" w:eastAsiaTheme="minorEastAsia"/>
                <w:szCs w:val="21"/>
              </w:rPr>
            </w:pPr>
            <w:r>
              <w:rPr>
                <w:rFonts w:hint="eastAsia" w:ascii="Times New Roman" w:hAnsi="Times New Roman" w:eastAsiaTheme="minorEastAsia"/>
                <w:szCs w:val="21"/>
              </w:rPr>
              <w:t>支持手机内应用APP解析：微信，QQ，陌陌，网易邮箱，新浪邮箱，钉钉，新浪微博，抖音，腾讯地图，百度地图</w:t>
            </w:r>
          </w:p>
        </w:tc>
        <w:tc>
          <w:tcPr>
            <w:tcW w:w="956" w:type="dxa"/>
            <w:vAlign w:val="center"/>
          </w:tcPr>
          <w:p>
            <w:pPr>
              <w:jc w:val="center"/>
              <w:rPr>
                <w:rFonts w:ascii="Times New Roman" w:hAnsi="Times New Roman" w:eastAsiaTheme="minorEastAsia"/>
                <w:szCs w:val="21"/>
              </w:rPr>
            </w:pPr>
            <w:r>
              <w:rPr>
                <w:rFonts w:hint="eastAsia" w:ascii="Times New Roman" w:hAnsi="Times New Roman" w:eastAsiaTheme="minorEastAsia"/>
                <w:szCs w:val="21"/>
              </w:rPr>
              <w:t>软件功能截图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7" w:type="dxa"/>
            <w:vAlign w:val="center"/>
          </w:tcPr>
          <w:p>
            <w:pPr>
              <w:jc w:val="center"/>
              <w:rPr>
                <w:rFonts w:ascii="Times New Roman" w:hAnsi="Times New Roman" w:eastAsiaTheme="minorEastAsia"/>
                <w:szCs w:val="21"/>
              </w:rPr>
            </w:pPr>
            <w:r>
              <w:rPr>
                <w:rFonts w:hint="eastAsia" w:ascii="Times New Roman" w:hAnsi="Times New Roman" w:eastAsiaTheme="minorEastAsia"/>
                <w:szCs w:val="21"/>
              </w:rPr>
              <w:t>4</w:t>
            </w:r>
          </w:p>
        </w:tc>
        <w:tc>
          <w:tcPr>
            <w:tcW w:w="1353" w:type="dxa"/>
            <w:vAlign w:val="center"/>
          </w:tcPr>
          <w:p>
            <w:pPr>
              <w:jc w:val="center"/>
              <w:rPr>
                <w:rFonts w:ascii="Times New Roman" w:hAnsi="Times New Roman" w:eastAsiaTheme="minorEastAsia"/>
                <w:szCs w:val="21"/>
              </w:rPr>
            </w:pPr>
            <w:r>
              <w:rPr>
                <w:rFonts w:hint="eastAsia" w:ascii="Times New Roman" w:hAnsi="Times New Roman" w:eastAsiaTheme="minorEastAsia"/>
                <w:szCs w:val="21"/>
              </w:rPr>
              <w:t>语音文件播放功能</w:t>
            </w:r>
          </w:p>
        </w:tc>
        <w:tc>
          <w:tcPr>
            <w:tcW w:w="5150" w:type="dxa"/>
          </w:tcPr>
          <w:p>
            <w:pPr>
              <w:rPr>
                <w:rFonts w:ascii="Times New Roman" w:hAnsi="Times New Roman" w:eastAsiaTheme="minorEastAsia"/>
                <w:szCs w:val="21"/>
              </w:rPr>
            </w:pPr>
            <w:r>
              <w:rPr>
                <w:rFonts w:hint="eastAsia" w:ascii="Times New Roman" w:hAnsi="Times New Roman" w:eastAsiaTheme="minorEastAsia"/>
                <w:szCs w:val="21"/>
              </w:rPr>
              <w:t>支持手机内各种即时通讯软件语音文件的转码，并在软件内直接播放</w:t>
            </w:r>
          </w:p>
        </w:tc>
        <w:tc>
          <w:tcPr>
            <w:tcW w:w="956" w:type="dxa"/>
            <w:vAlign w:val="center"/>
          </w:tcPr>
          <w:p>
            <w:pPr>
              <w:jc w:val="center"/>
              <w:rPr>
                <w:rFonts w:ascii="Times New Roman" w:hAnsi="Times New Roman" w:eastAsiaTheme="minorEastAsia"/>
                <w:szCs w:val="21"/>
              </w:rPr>
            </w:pPr>
            <w:r>
              <w:rPr>
                <w:rFonts w:hint="eastAsia" w:ascii="Times New Roman" w:hAnsi="Times New Roman" w:eastAsiaTheme="minorEastAsia"/>
                <w:szCs w:val="21"/>
              </w:rPr>
              <w:t>软件功能截图</w:t>
            </w:r>
          </w:p>
        </w:tc>
      </w:tr>
    </w:tbl>
    <w:p>
      <w:pPr>
        <w:pStyle w:val="5"/>
        <w:spacing w:before="15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第6包</w:t>
      </w:r>
      <w:r>
        <w:rPr>
          <w:rFonts w:hint="eastAsia" w:asciiTheme="minorEastAsia" w:hAnsiTheme="minorEastAsia" w:eastAsiaTheme="minorEastAsia" w:cstheme="minorEastAsia"/>
          <w:szCs w:val="21"/>
          <w:lang w:val="en-US" w:eastAsia="zh-CN"/>
        </w:rPr>
        <w:t xml:space="preserve"> </w:t>
      </w:r>
      <w:r>
        <w:rPr>
          <w:rFonts w:hint="eastAsia" w:asciiTheme="minorEastAsia" w:hAnsiTheme="minorEastAsia" w:eastAsiaTheme="minorEastAsia" w:cstheme="minorEastAsia"/>
          <w:szCs w:val="21"/>
        </w:rPr>
        <w:t>可视化关联分析系统</w:t>
      </w:r>
      <w:r>
        <w:rPr>
          <w:rFonts w:hint="default" w:ascii="Times New Roman" w:hAnsi="Times New Roman" w:cs="Times New Roman" w:eastAsiaTheme="minorEastAsia"/>
          <w:szCs w:val="21"/>
        </w:rPr>
        <w:t>Ⅱ</w:t>
      </w:r>
    </w:p>
    <w:tbl>
      <w:tblPr>
        <w:tblStyle w:val="8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4"/>
        <w:gridCol w:w="1383"/>
        <w:gridCol w:w="5308"/>
        <w:gridCol w:w="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54" w:type="dxa"/>
            <w:vAlign w:val="center"/>
          </w:tcPr>
          <w:p>
            <w:pPr>
              <w:jc w:val="center"/>
              <w:rPr>
                <w:rFonts w:ascii="Times New Roman" w:hAnsi="Times New Roman" w:eastAsiaTheme="minorEastAsia"/>
                <w:bCs/>
                <w:szCs w:val="21"/>
              </w:rPr>
            </w:pPr>
            <w:r>
              <w:rPr>
                <w:rFonts w:ascii="Times New Roman" w:hAnsi="Times New Roman" w:eastAsiaTheme="minorEastAsia"/>
                <w:bCs/>
                <w:szCs w:val="21"/>
              </w:rPr>
              <w:t>序号</w:t>
            </w:r>
          </w:p>
        </w:tc>
        <w:tc>
          <w:tcPr>
            <w:tcW w:w="1383" w:type="dxa"/>
            <w:vAlign w:val="center"/>
          </w:tcPr>
          <w:p>
            <w:pPr>
              <w:jc w:val="center"/>
              <w:rPr>
                <w:rFonts w:ascii="Times New Roman" w:hAnsi="Times New Roman" w:eastAsiaTheme="minorEastAsia"/>
                <w:bCs/>
                <w:szCs w:val="21"/>
              </w:rPr>
            </w:pPr>
            <w:r>
              <w:rPr>
                <w:rFonts w:ascii="Times New Roman" w:hAnsi="Times New Roman" w:eastAsiaTheme="minorEastAsia"/>
                <w:bCs/>
                <w:szCs w:val="21"/>
              </w:rPr>
              <w:t>指标项</w:t>
            </w:r>
          </w:p>
        </w:tc>
        <w:tc>
          <w:tcPr>
            <w:tcW w:w="5308" w:type="dxa"/>
            <w:vAlign w:val="center"/>
          </w:tcPr>
          <w:p>
            <w:pPr>
              <w:jc w:val="center"/>
              <w:rPr>
                <w:rFonts w:ascii="Times New Roman" w:hAnsi="Times New Roman" w:eastAsiaTheme="minorEastAsia"/>
                <w:bCs/>
                <w:szCs w:val="21"/>
              </w:rPr>
            </w:pPr>
            <w:r>
              <w:rPr>
                <w:rFonts w:ascii="Times New Roman" w:hAnsi="Times New Roman" w:eastAsiaTheme="minorEastAsia"/>
                <w:bCs/>
                <w:szCs w:val="21"/>
              </w:rPr>
              <w:t>指标要求</w:t>
            </w:r>
          </w:p>
        </w:tc>
        <w:tc>
          <w:tcPr>
            <w:tcW w:w="977" w:type="dxa"/>
            <w:shd w:val="clear" w:color="auto" w:fill="auto"/>
            <w:vAlign w:val="center"/>
          </w:tcPr>
          <w:p>
            <w:pPr>
              <w:jc w:val="center"/>
              <w:textAlignment w:val="center"/>
              <w:rPr>
                <w:rFonts w:ascii="Times New Roman" w:hAnsi="Times New Roman" w:eastAsiaTheme="minorEastAsia"/>
                <w:kern w:val="0"/>
                <w:szCs w:val="21"/>
                <w:lang w:bidi="ar"/>
              </w:rPr>
            </w:pPr>
            <w:r>
              <w:rPr>
                <w:rFonts w:hint="eastAsia" w:ascii="Times New Roman" w:hAnsi="Times New Roman" w:eastAsiaTheme="minorEastAsia"/>
                <w:kern w:val="0"/>
                <w:szCs w:val="21"/>
                <w:lang w:bidi="ar"/>
              </w:rPr>
              <w:t>是否提供证明材料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4" w:type="dxa"/>
            <w:vAlign w:val="center"/>
          </w:tcPr>
          <w:p>
            <w:pPr>
              <w:jc w:val="center"/>
              <w:rPr>
                <w:rFonts w:ascii="Times New Roman" w:hAnsi="Times New Roman" w:eastAsiaTheme="minorEastAsia"/>
                <w:szCs w:val="21"/>
              </w:rPr>
            </w:pPr>
            <w:r>
              <w:rPr>
                <w:rFonts w:hint="eastAsia" w:ascii="Times New Roman" w:hAnsi="Times New Roman" w:eastAsiaTheme="minorEastAsia"/>
                <w:szCs w:val="21"/>
              </w:rPr>
              <w:t>1</w:t>
            </w:r>
          </w:p>
        </w:tc>
        <w:tc>
          <w:tcPr>
            <w:tcW w:w="1383" w:type="dxa"/>
            <w:vAlign w:val="center"/>
          </w:tcPr>
          <w:p>
            <w:pPr>
              <w:jc w:val="center"/>
              <w:rPr>
                <w:rFonts w:ascii="Times New Roman" w:hAnsi="Times New Roman" w:eastAsiaTheme="minorEastAsia"/>
                <w:bCs/>
                <w:szCs w:val="21"/>
              </w:rPr>
            </w:pPr>
            <w:r>
              <w:rPr>
                <w:rFonts w:hint="eastAsia" w:eastAsiaTheme="minorEastAsia"/>
                <w:szCs w:val="21"/>
              </w:rPr>
              <w:t>塔机</w:t>
            </w:r>
          </w:p>
        </w:tc>
        <w:tc>
          <w:tcPr>
            <w:tcW w:w="5308" w:type="dxa"/>
          </w:tcPr>
          <w:p>
            <w:pPr>
              <w:rPr>
                <w:rFonts w:ascii="Times New Roman" w:hAnsi="Times New Roman" w:eastAsiaTheme="minorEastAsia"/>
                <w:szCs w:val="21"/>
              </w:rPr>
            </w:pPr>
            <w:r>
              <w:rPr>
                <w:rFonts w:hint="eastAsia" w:ascii="Times New Roman" w:hAnsi="Times New Roman" w:eastAsiaTheme="minorEastAsia"/>
                <w:szCs w:val="21"/>
              </w:rPr>
              <w:t>处理器：不低于2个64核128线程、基频不低于3.1GHz</w:t>
            </w:r>
          </w:p>
          <w:p>
            <w:pPr>
              <w:rPr>
                <w:rFonts w:ascii="Times New Roman" w:hAnsi="Times New Roman" w:eastAsiaTheme="minorEastAsia"/>
                <w:szCs w:val="21"/>
              </w:rPr>
            </w:pPr>
            <w:r>
              <w:rPr>
                <w:rFonts w:hint="eastAsia" w:ascii="Times New Roman" w:hAnsi="Times New Roman" w:eastAsiaTheme="minorEastAsia"/>
                <w:szCs w:val="21"/>
              </w:rPr>
              <w:t>内存：不低于DDR5 ECC4800 384G内存</w:t>
            </w:r>
          </w:p>
          <w:p>
            <w:pPr>
              <w:rPr>
                <w:rFonts w:ascii="Times New Roman" w:hAnsi="Times New Roman" w:eastAsiaTheme="minorEastAsia"/>
                <w:szCs w:val="21"/>
              </w:rPr>
            </w:pPr>
            <w:r>
              <w:rPr>
                <w:rFonts w:hint="eastAsia" w:ascii="Times New Roman" w:hAnsi="Times New Roman" w:eastAsiaTheme="minorEastAsia"/>
                <w:szCs w:val="21"/>
              </w:rPr>
              <w:t>存储：不低于7.68TB SSD+18TB SATA硬盘</w:t>
            </w:r>
          </w:p>
          <w:p>
            <w:pPr>
              <w:rPr>
                <w:rFonts w:ascii="Times New Roman" w:hAnsi="Times New Roman" w:eastAsiaTheme="minorEastAsia"/>
                <w:szCs w:val="21"/>
              </w:rPr>
            </w:pPr>
            <w:r>
              <w:rPr>
                <w:rFonts w:hint="eastAsia" w:ascii="Times New Roman" w:hAnsi="Times New Roman" w:eastAsiaTheme="minorEastAsia"/>
                <w:szCs w:val="21"/>
              </w:rPr>
              <w:t>显卡：不低于4个GPU，单卡显存不低于48G</w:t>
            </w:r>
          </w:p>
          <w:p>
            <w:pPr>
              <w:rPr>
                <w:rFonts w:ascii="Times New Roman" w:hAnsi="Times New Roman" w:eastAsiaTheme="minorEastAsia"/>
                <w:szCs w:val="21"/>
              </w:rPr>
            </w:pPr>
            <w:r>
              <w:rPr>
                <w:rFonts w:hint="eastAsia" w:ascii="Times New Roman" w:hAnsi="Times New Roman" w:eastAsiaTheme="minorEastAsia"/>
                <w:szCs w:val="21"/>
              </w:rPr>
              <w:t>网络：不低于2个万兆电口</w:t>
            </w:r>
          </w:p>
          <w:p>
            <w:pPr>
              <w:rPr>
                <w:rFonts w:ascii="Times New Roman" w:hAnsi="Times New Roman" w:eastAsiaTheme="minorEastAsia"/>
                <w:szCs w:val="21"/>
              </w:rPr>
            </w:pPr>
            <w:r>
              <w:rPr>
                <w:rFonts w:hint="eastAsia" w:ascii="Times New Roman" w:hAnsi="Times New Roman" w:eastAsiaTheme="minorEastAsia"/>
                <w:szCs w:val="21"/>
              </w:rPr>
              <w:t>电源：不低于3000W 2+2冗余电源</w:t>
            </w:r>
          </w:p>
          <w:p>
            <w:pPr>
              <w:rPr>
                <w:rFonts w:ascii="宋体" w:hAnsi="宋体" w:cs="宋体" w:eastAsiaTheme="minorEastAsia"/>
                <w:color w:val="000000" w:themeColor="text1"/>
                <w:szCs w:val="21"/>
                <w14:textFill>
                  <w14:solidFill>
                    <w14:schemeClr w14:val="tx1"/>
                  </w14:solidFill>
                </w14:textFill>
              </w:rPr>
            </w:pPr>
            <w:r>
              <w:rPr>
                <w:rFonts w:hint="eastAsia" w:ascii="Times New Roman" w:hAnsi="Times New Roman" w:eastAsiaTheme="minorEastAsia"/>
                <w:szCs w:val="21"/>
              </w:rPr>
              <w:t>扩展能力：不低于4个U2硬盘</w:t>
            </w:r>
          </w:p>
        </w:tc>
        <w:tc>
          <w:tcPr>
            <w:tcW w:w="977" w:type="dxa"/>
            <w:vAlign w:val="center"/>
          </w:tcPr>
          <w:p>
            <w:pPr>
              <w:jc w:val="center"/>
              <w:rPr>
                <w:rFonts w:eastAsiaTheme="minorEastAsia"/>
                <w:szCs w:val="21"/>
              </w:rPr>
            </w:pPr>
            <w:r>
              <w:rPr>
                <w:rFonts w:hint="eastAsia" w:ascii="宋体" w:hAnsi="宋体" w:eastAsiaTheme="min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4" w:type="dxa"/>
            <w:vAlign w:val="center"/>
          </w:tcPr>
          <w:p>
            <w:pPr>
              <w:jc w:val="center"/>
              <w:rPr>
                <w:rFonts w:ascii="Times New Roman" w:hAnsi="Times New Roman" w:eastAsiaTheme="minorEastAsia"/>
                <w:szCs w:val="21"/>
              </w:rPr>
            </w:pPr>
            <w:r>
              <w:rPr>
                <w:rFonts w:hint="eastAsia" w:ascii="Times New Roman" w:hAnsi="Times New Roman" w:eastAsiaTheme="minorEastAsia"/>
                <w:szCs w:val="21"/>
              </w:rPr>
              <w:t>2</w:t>
            </w:r>
          </w:p>
        </w:tc>
        <w:tc>
          <w:tcPr>
            <w:tcW w:w="1383" w:type="dxa"/>
            <w:vAlign w:val="center"/>
          </w:tcPr>
          <w:p>
            <w:pPr>
              <w:jc w:val="center"/>
              <w:rPr>
                <w:rFonts w:eastAsiaTheme="minorEastAsia"/>
                <w:szCs w:val="21"/>
              </w:rPr>
            </w:pPr>
            <w:r>
              <w:rPr>
                <w:rFonts w:hint="eastAsia" w:ascii="Times New Roman" w:hAnsi="Times New Roman" w:eastAsiaTheme="minorEastAsia"/>
                <w:bCs/>
                <w:szCs w:val="21"/>
              </w:rPr>
              <w:t>人物关联功能</w:t>
            </w:r>
          </w:p>
        </w:tc>
        <w:tc>
          <w:tcPr>
            <w:tcW w:w="5308" w:type="dxa"/>
          </w:tcPr>
          <w:p>
            <w:pPr>
              <w:rPr>
                <w:rFonts w:eastAsiaTheme="minorEastAsia"/>
                <w:szCs w:val="21"/>
              </w:rPr>
            </w:pPr>
            <w:r>
              <w:rPr>
                <w:rFonts w:hint="eastAsia" w:ascii="宋体" w:hAnsi="宋体" w:cs="宋体" w:eastAsiaTheme="minorEastAsia"/>
                <w:color w:val="000000"/>
                <w:kern w:val="0"/>
                <w:szCs w:val="21"/>
                <w:lang w:bidi="ar"/>
              </w:rPr>
              <w:t>支持关系图谱展示人物之间的关联关系</w:t>
            </w:r>
          </w:p>
        </w:tc>
        <w:tc>
          <w:tcPr>
            <w:tcW w:w="977" w:type="dxa"/>
            <w:vAlign w:val="center"/>
          </w:tcPr>
          <w:p>
            <w:pPr>
              <w:jc w:val="center"/>
              <w:rPr>
                <w:rFonts w:ascii="Times New Roman" w:hAnsi="Times New Roman" w:eastAsiaTheme="minorEastAsia"/>
                <w:szCs w:val="21"/>
              </w:rPr>
            </w:pPr>
            <w:r>
              <w:rPr>
                <w:rFonts w:eastAsiaTheme="minorEastAsia"/>
                <w:szCs w:val="21"/>
              </w:rPr>
              <w:t>软件功能截图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4" w:type="dxa"/>
            <w:vAlign w:val="center"/>
          </w:tcPr>
          <w:p>
            <w:pPr>
              <w:jc w:val="center"/>
              <w:rPr>
                <w:rFonts w:ascii="Times New Roman" w:hAnsi="Times New Roman" w:eastAsiaTheme="minorEastAsia"/>
                <w:szCs w:val="21"/>
              </w:rPr>
            </w:pPr>
            <w:r>
              <w:rPr>
                <w:rFonts w:hint="eastAsia" w:ascii="Times New Roman" w:hAnsi="Times New Roman" w:eastAsiaTheme="minorEastAsia"/>
                <w:szCs w:val="21"/>
              </w:rPr>
              <w:t>3</w:t>
            </w:r>
          </w:p>
        </w:tc>
        <w:tc>
          <w:tcPr>
            <w:tcW w:w="1383" w:type="dxa"/>
            <w:vAlign w:val="center"/>
          </w:tcPr>
          <w:p>
            <w:pPr>
              <w:jc w:val="center"/>
              <w:rPr>
                <w:rFonts w:eastAsiaTheme="minorEastAsia"/>
                <w:szCs w:val="21"/>
              </w:rPr>
            </w:pPr>
            <w:r>
              <w:rPr>
                <w:rFonts w:hint="eastAsia" w:eastAsiaTheme="minorEastAsia"/>
                <w:szCs w:val="21"/>
              </w:rPr>
              <w:t>资金分析功能</w:t>
            </w:r>
          </w:p>
        </w:tc>
        <w:tc>
          <w:tcPr>
            <w:tcW w:w="5308" w:type="dxa"/>
          </w:tcPr>
          <w:p>
            <w:pPr>
              <w:rPr>
                <w:rFonts w:eastAsiaTheme="minorEastAsia"/>
                <w:szCs w:val="21"/>
              </w:rPr>
            </w:pPr>
            <w:r>
              <w:rPr>
                <w:rFonts w:hint="eastAsia" w:ascii="宋体" w:hAnsi="宋体" w:cs="宋体" w:eastAsiaTheme="minorEastAsia"/>
                <w:color w:val="000000" w:themeColor="text1"/>
                <w:szCs w:val="21"/>
                <w14:textFill>
                  <w14:solidFill>
                    <w14:schemeClr w14:val="tx1"/>
                  </w14:solidFill>
                </w14:textFill>
              </w:rPr>
              <w:t>支持</w:t>
            </w:r>
            <w:r>
              <w:rPr>
                <w:rFonts w:hint="eastAsia" w:ascii="宋体" w:hAnsi="宋体" w:cs="宋体" w:eastAsiaTheme="minorEastAsia"/>
                <w:color w:val="000000"/>
                <w:kern w:val="0"/>
                <w:szCs w:val="21"/>
                <w:lang w:bidi="ar"/>
              </w:rPr>
              <w:t>针对各种违法犯罪行为的金融往来特征</w:t>
            </w:r>
            <w:r>
              <w:rPr>
                <w:rFonts w:hint="eastAsia" w:ascii="宋体" w:hAnsi="宋体" w:cs="宋体" w:eastAsiaTheme="minorEastAsia"/>
                <w:color w:val="000000" w:themeColor="text1"/>
                <w:szCs w:val="21"/>
                <w14:textFill>
                  <w14:solidFill>
                    <w14:schemeClr w14:val="tx1"/>
                  </w14:solidFill>
                </w14:textFill>
              </w:rPr>
              <w:t>资金交易分析</w:t>
            </w:r>
          </w:p>
        </w:tc>
        <w:tc>
          <w:tcPr>
            <w:tcW w:w="977" w:type="dxa"/>
            <w:vAlign w:val="center"/>
          </w:tcPr>
          <w:p>
            <w:pPr>
              <w:jc w:val="center"/>
              <w:rPr>
                <w:rFonts w:ascii="Times New Roman" w:hAnsi="Times New Roman" w:eastAsiaTheme="minorEastAsia"/>
                <w:szCs w:val="21"/>
              </w:rPr>
            </w:pPr>
            <w:r>
              <w:rPr>
                <w:rFonts w:eastAsiaTheme="minorEastAsia"/>
                <w:szCs w:val="21"/>
              </w:rPr>
              <w:t>软件功能截图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4" w:type="dxa"/>
            <w:vAlign w:val="center"/>
          </w:tcPr>
          <w:p>
            <w:pPr>
              <w:jc w:val="center"/>
              <w:rPr>
                <w:rFonts w:ascii="Times New Roman" w:hAnsi="Times New Roman" w:eastAsiaTheme="minorEastAsia"/>
                <w:szCs w:val="21"/>
              </w:rPr>
            </w:pPr>
            <w:r>
              <w:rPr>
                <w:rFonts w:hint="eastAsia" w:ascii="Times New Roman" w:hAnsi="Times New Roman" w:eastAsiaTheme="minorEastAsia"/>
                <w:szCs w:val="21"/>
              </w:rPr>
              <w:t>4</w:t>
            </w:r>
          </w:p>
        </w:tc>
        <w:tc>
          <w:tcPr>
            <w:tcW w:w="1383" w:type="dxa"/>
            <w:vAlign w:val="center"/>
          </w:tcPr>
          <w:p>
            <w:pPr>
              <w:jc w:val="center"/>
              <w:rPr>
                <w:rFonts w:eastAsiaTheme="minorEastAsia"/>
                <w:szCs w:val="21"/>
              </w:rPr>
            </w:pPr>
            <w:r>
              <w:rPr>
                <w:rFonts w:hint="eastAsia" w:eastAsiaTheme="minorEastAsia"/>
                <w:szCs w:val="21"/>
              </w:rPr>
              <w:t>人物信息功能</w:t>
            </w:r>
          </w:p>
        </w:tc>
        <w:tc>
          <w:tcPr>
            <w:tcW w:w="5308" w:type="dxa"/>
          </w:tcPr>
          <w:p>
            <w:pPr>
              <w:rPr>
                <w:rFonts w:ascii="宋体" w:hAnsi="宋体" w:cs="宋体" w:eastAsiaTheme="minorEastAsia"/>
                <w:color w:val="000000" w:themeColor="text1"/>
                <w:szCs w:val="21"/>
                <w14:textFill>
                  <w14:solidFill>
                    <w14:schemeClr w14:val="tx1"/>
                  </w14:solidFill>
                </w14:textFill>
              </w:rPr>
            </w:pPr>
            <w:r>
              <w:rPr>
                <w:rFonts w:hint="eastAsia" w:ascii="宋体" w:hAnsi="宋体" w:cs="宋体" w:eastAsiaTheme="minorEastAsia"/>
                <w:color w:val="000000"/>
                <w:kern w:val="0"/>
                <w:szCs w:val="21"/>
                <w:lang w:bidi="ar"/>
              </w:rPr>
              <w:t>支持将检材中所有者常用昵称，各种常用账号信息汇总</w:t>
            </w:r>
          </w:p>
        </w:tc>
        <w:tc>
          <w:tcPr>
            <w:tcW w:w="977" w:type="dxa"/>
            <w:vAlign w:val="center"/>
          </w:tcPr>
          <w:p>
            <w:pPr>
              <w:jc w:val="center"/>
              <w:rPr>
                <w:rFonts w:ascii="Times New Roman" w:hAnsi="Times New Roman" w:eastAsiaTheme="minorEastAsia"/>
                <w:szCs w:val="21"/>
              </w:rPr>
            </w:pPr>
            <w:r>
              <w:rPr>
                <w:rFonts w:eastAsiaTheme="minorEastAsia"/>
                <w:szCs w:val="21"/>
              </w:rPr>
              <w:t>软件功能截图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4" w:type="dxa"/>
            <w:vAlign w:val="center"/>
          </w:tcPr>
          <w:p>
            <w:pPr>
              <w:jc w:val="center"/>
              <w:rPr>
                <w:rFonts w:ascii="Times New Roman" w:hAnsi="Times New Roman" w:eastAsiaTheme="minorEastAsia"/>
                <w:szCs w:val="21"/>
              </w:rPr>
            </w:pPr>
            <w:r>
              <w:rPr>
                <w:rFonts w:hint="eastAsia" w:ascii="Times New Roman" w:hAnsi="Times New Roman" w:eastAsiaTheme="minorEastAsia"/>
                <w:szCs w:val="21"/>
              </w:rPr>
              <w:t>5</w:t>
            </w:r>
          </w:p>
        </w:tc>
        <w:tc>
          <w:tcPr>
            <w:tcW w:w="1383" w:type="dxa"/>
            <w:vAlign w:val="center"/>
          </w:tcPr>
          <w:p>
            <w:pPr>
              <w:jc w:val="center"/>
              <w:rPr>
                <w:rFonts w:eastAsiaTheme="minorEastAsia"/>
                <w:szCs w:val="21"/>
              </w:rPr>
            </w:pPr>
            <w:r>
              <w:rPr>
                <w:rFonts w:hint="eastAsia" w:eastAsiaTheme="minorEastAsia"/>
                <w:szCs w:val="21"/>
              </w:rPr>
              <w:t>关键字检索功能</w:t>
            </w:r>
          </w:p>
        </w:tc>
        <w:tc>
          <w:tcPr>
            <w:tcW w:w="5308" w:type="dxa"/>
          </w:tcPr>
          <w:p>
            <w:pPr>
              <w:rPr>
                <w:rFonts w:ascii="宋体" w:hAnsi="宋体" w:cs="宋体" w:eastAsiaTheme="minorEastAsia"/>
                <w:color w:val="000000" w:themeColor="text1"/>
                <w:szCs w:val="21"/>
                <w14:textFill>
                  <w14:solidFill>
                    <w14:schemeClr w14:val="tx1"/>
                  </w14:solidFill>
                </w14:textFill>
              </w:rPr>
            </w:pPr>
            <w:r>
              <w:rPr>
                <w:rFonts w:hint="eastAsia" w:ascii="Times New Roman" w:hAnsi="Times New Roman" w:eastAsiaTheme="minorEastAsia"/>
                <w:szCs w:val="21"/>
              </w:rPr>
              <w:t>支持</w:t>
            </w:r>
            <w:r>
              <w:rPr>
                <w:rFonts w:hint="eastAsia" w:ascii="宋体" w:hAnsi="宋体" w:cs="宋体" w:eastAsiaTheme="minorEastAsia"/>
                <w:color w:val="000000"/>
                <w:kern w:val="0"/>
                <w:szCs w:val="21"/>
                <w:lang w:bidi="ar"/>
              </w:rPr>
              <w:t>检材中文件信息进行全文检索，包括文件名称、文件内容</w:t>
            </w:r>
          </w:p>
        </w:tc>
        <w:tc>
          <w:tcPr>
            <w:tcW w:w="977" w:type="dxa"/>
            <w:vAlign w:val="center"/>
          </w:tcPr>
          <w:p>
            <w:pPr>
              <w:jc w:val="center"/>
              <w:rPr>
                <w:rFonts w:ascii="Times New Roman" w:hAnsi="Times New Roman" w:eastAsiaTheme="minorEastAsia"/>
                <w:szCs w:val="21"/>
              </w:rPr>
            </w:pPr>
            <w:r>
              <w:rPr>
                <w:rFonts w:eastAsiaTheme="minorEastAsia"/>
                <w:szCs w:val="21"/>
              </w:rPr>
              <w:t>软件功能截图</w:t>
            </w:r>
          </w:p>
        </w:tc>
      </w:tr>
    </w:tbl>
    <w:p>
      <w:pPr>
        <w:ind w:firstLine="420" w:firstLineChars="200"/>
        <w:rPr>
          <w:rFonts w:ascii="宋体" w:hAnsi="宋体" w:eastAsiaTheme="minorEastAsia"/>
          <w:szCs w:val="21"/>
        </w:rPr>
      </w:pPr>
    </w:p>
    <w:p>
      <w:pPr>
        <w:pStyle w:val="5"/>
        <w:spacing w:before="15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第7包</w:t>
      </w:r>
      <w:r>
        <w:rPr>
          <w:rFonts w:hint="eastAsia" w:asciiTheme="minorEastAsia" w:hAnsiTheme="minorEastAsia" w:eastAsiaTheme="minorEastAsia" w:cstheme="minorEastAsia"/>
          <w:szCs w:val="21"/>
          <w:lang w:val="en-US" w:eastAsia="zh-CN"/>
        </w:rPr>
        <w:t xml:space="preserve"> </w:t>
      </w:r>
      <w:r>
        <w:rPr>
          <w:rFonts w:hint="eastAsia" w:asciiTheme="minorEastAsia" w:hAnsiTheme="minorEastAsia" w:eastAsiaTheme="minorEastAsia" w:cstheme="minorEastAsia"/>
          <w:szCs w:val="21"/>
        </w:rPr>
        <w:t>手机密码破解设备</w:t>
      </w:r>
      <w:r>
        <w:rPr>
          <w:rFonts w:hint="default" w:ascii="Times New Roman" w:hAnsi="Times New Roman" w:cs="Times New Roman" w:eastAsiaTheme="minorEastAsia"/>
          <w:szCs w:val="21"/>
        </w:rPr>
        <w:t>Ⅲ</w:t>
      </w:r>
    </w:p>
    <w:tbl>
      <w:tblPr>
        <w:tblStyle w:val="81"/>
        <w:tblW w:w="46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8"/>
        <w:gridCol w:w="1110"/>
        <w:gridCol w:w="5157"/>
        <w:gridCol w:w="1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12"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Theme="minorEastAsia"/>
                <w:b/>
                <w:szCs w:val="21"/>
              </w:rPr>
            </w:pPr>
            <w:r>
              <w:rPr>
                <w:rFonts w:hint="eastAsia" w:ascii="宋体" w:hAnsi="宋体" w:eastAsiaTheme="minorEastAsia"/>
                <w:b/>
                <w:szCs w:val="21"/>
              </w:rPr>
              <w:t>序号</w:t>
            </w:r>
          </w:p>
        </w:tc>
        <w:tc>
          <w:tcPr>
            <w:tcW w:w="694"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Theme="minorEastAsia"/>
                <w:b/>
                <w:szCs w:val="21"/>
              </w:rPr>
            </w:pPr>
            <w:r>
              <w:rPr>
                <w:rFonts w:hint="eastAsia" w:ascii="宋体" w:hAnsi="宋体" w:eastAsiaTheme="minorEastAsia"/>
                <w:b/>
                <w:szCs w:val="21"/>
              </w:rPr>
              <w:t>指标项</w:t>
            </w:r>
          </w:p>
        </w:tc>
        <w:tc>
          <w:tcPr>
            <w:tcW w:w="3225" w:type="pct"/>
            <w:tcBorders>
              <w:top w:val="single" w:color="auto" w:sz="4" w:space="0"/>
              <w:left w:val="single" w:color="auto" w:sz="4" w:space="0"/>
              <w:bottom w:val="single" w:color="auto" w:sz="4" w:space="0"/>
              <w:right w:val="single" w:color="auto" w:sz="4" w:space="0"/>
            </w:tcBorders>
            <w:vAlign w:val="center"/>
          </w:tcPr>
          <w:p>
            <w:pPr>
              <w:ind w:right="-17" w:rightChars="-8"/>
              <w:jc w:val="center"/>
              <w:rPr>
                <w:rFonts w:ascii="宋体" w:hAnsi="宋体" w:eastAsiaTheme="minorEastAsia"/>
                <w:b/>
                <w:szCs w:val="21"/>
              </w:rPr>
            </w:pPr>
            <w:r>
              <w:rPr>
                <w:rFonts w:hint="eastAsia" w:ascii="宋体" w:hAnsi="宋体" w:eastAsiaTheme="minorEastAsia"/>
                <w:b/>
                <w:szCs w:val="21"/>
              </w:rPr>
              <w:t>指标要求</w:t>
            </w:r>
          </w:p>
        </w:tc>
        <w:tc>
          <w:tcPr>
            <w:tcW w:w="769"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Theme="minorEastAsia"/>
                <w:b/>
                <w:szCs w:val="21"/>
              </w:rPr>
            </w:pPr>
            <w:r>
              <w:rPr>
                <w:rFonts w:hint="eastAsia" w:ascii="宋体" w:hAnsi="宋体" w:eastAsiaTheme="minorEastAsia"/>
                <w:b/>
                <w:szCs w:val="21"/>
              </w:rPr>
              <w:t>证明材料要求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1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62"/>
              </w:numPr>
              <w:jc w:val="center"/>
              <w:rPr>
                <w:rFonts w:ascii="宋体" w:hAnsi="宋体" w:eastAsiaTheme="minorEastAsia"/>
                <w:color w:val="000000"/>
                <w:kern w:val="0"/>
                <w:szCs w:val="21"/>
              </w:rPr>
            </w:pPr>
          </w:p>
        </w:tc>
        <w:tc>
          <w:tcPr>
            <w:tcW w:w="694" w:type="pct"/>
            <w:vMerge w:val="restart"/>
            <w:tcBorders>
              <w:top w:val="single" w:color="auto" w:sz="4" w:space="0"/>
              <w:left w:val="single" w:color="auto" w:sz="4" w:space="0"/>
              <w:right w:val="single" w:color="auto" w:sz="4" w:space="0"/>
            </w:tcBorders>
            <w:vAlign w:val="center"/>
          </w:tcPr>
          <w:p>
            <w:pPr>
              <w:rPr>
                <w:rFonts w:ascii="宋体" w:hAnsi="宋体" w:eastAsiaTheme="minorEastAsia"/>
                <w:color w:val="000000"/>
                <w:szCs w:val="21"/>
              </w:rPr>
            </w:pPr>
            <w:r>
              <w:rPr>
                <w:rFonts w:hint="eastAsia" w:asciiTheme="minorEastAsia" w:hAnsiTheme="minorEastAsia" w:eastAsiaTheme="minorEastAsia" w:cstheme="minorEastAsia"/>
                <w:bCs/>
                <w:szCs w:val="21"/>
              </w:rPr>
              <w:t>硬件配置</w:t>
            </w:r>
          </w:p>
        </w:tc>
        <w:tc>
          <w:tcPr>
            <w:tcW w:w="3225" w:type="pct"/>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eastAsiaTheme="minorEastAsia"/>
                <w:color w:val="000000"/>
                <w:szCs w:val="21"/>
              </w:rPr>
            </w:pPr>
            <w:r>
              <w:rPr>
                <w:rFonts w:hint="eastAsia" w:ascii="Times New Roman" w:hAnsi="Times New Roman" w:eastAsiaTheme="minorEastAsia"/>
                <w:szCs w:val="21"/>
              </w:rPr>
              <w:t>处理器：不低于8核心、16线程、2.4GHz</w:t>
            </w:r>
          </w:p>
        </w:tc>
        <w:tc>
          <w:tcPr>
            <w:tcW w:w="769" w:type="pct"/>
            <w:tcBorders>
              <w:top w:val="single" w:color="auto" w:sz="4" w:space="0"/>
              <w:left w:val="single" w:color="auto" w:sz="4" w:space="0"/>
              <w:bottom w:val="single" w:color="auto" w:sz="4" w:space="0"/>
              <w:right w:val="single" w:color="auto" w:sz="4" w:space="0"/>
            </w:tcBorders>
            <w:vAlign w:val="center"/>
          </w:tcPr>
          <w:p>
            <w:pPr>
              <w:textAlignment w:val="center"/>
              <w:rPr>
                <w:rFonts w:ascii="宋体" w:hAnsi="宋体" w:eastAsiaTheme="minorEastAsia"/>
                <w:color w:val="000000"/>
                <w:szCs w:val="21"/>
              </w:rPr>
            </w:pPr>
            <w:r>
              <w:rPr>
                <w:rFonts w:hint="eastAsia" w:asciiTheme="minorEastAsia" w:hAnsiTheme="minorEastAsia" w:eastAsiaTheme="minorEastAsia" w:cstheme="minorEastAsia"/>
                <w:bCs/>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31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62"/>
              </w:numPr>
              <w:jc w:val="center"/>
              <w:rPr>
                <w:rFonts w:ascii="宋体" w:hAnsi="宋体" w:eastAsiaTheme="minorEastAsia"/>
                <w:color w:val="000000"/>
                <w:kern w:val="0"/>
                <w:szCs w:val="21"/>
              </w:rPr>
            </w:pPr>
          </w:p>
        </w:tc>
        <w:tc>
          <w:tcPr>
            <w:tcW w:w="694" w:type="pct"/>
            <w:vMerge w:val="continue"/>
            <w:tcBorders>
              <w:left w:val="single" w:color="auto" w:sz="4" w:space="0"/>
              <w:right w:val="single" w:color="auto" w:sz="4" w:space="0"/>
            </w:tcBorders>
            <w:vAlign w:val="center"/>
          </w:tcPr>
          <w:p>
            <w:pPr>
              <w:rPr>
                <w:rFonts w:ascii="宋体" w:hAnsi="宋体" w:eastAsiaTheme="minorEastAsia"/>
                <w:color w:val="000000"/>
                <w:szCs w:val="21"/>
              </w:rPr>
            </w:pPr>
          </w:p>
        </w:tc>
        <w:tc>
          <w:tcPr>
            <w:tcW w:w="3225" w:type="pct"/>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eastAsiaTheme="minorEastAsia"/>
                <w:color w:val="000000"/>
                <w:szCs w:val="21"/>
              </w:rPr>
            </w:pPr>
            <w:r>
              <w:rPr>
                <w:rFonts w:hint="eastAsia" w:ascii="Times New Roman" w:hAnsi="Times New Roman" w:eastAsiaTheme="minorEastAsia"/>
                <w:szCs w:val="21"/>
              </w:rPr>
              <w:t>内存：不低于64GB内存</w:t>
            </w:r>
          </w:p>
        </w:tc>
        <w:tc>
          <w:tcPr>
            <w:tcW w:w="769" w:type="pct"/>
            <w:tcBorders>
              <w:top w:val="single" w:color="auto" w:sz="4" w:space="0"/>
              <w:left w:val="single" w:color="auto" w:sz="4" w:space="0"/>
              <w:bottom w:val="single" w:color="auto" w:sz="4" w:space="0"/>
              <w:right w:val="single" w:color="auto" w:sz="4" w:space="0"/>
            </w:tcBorders>
            <w:vAlign w:val="center"/>
          </w:tcPr>
          <w:p>
            <w:pPr>
              <w:textAlignment w:val="center"/>
              <w:rPr>
                <w:rFonts w:ascii="宋体" w:hAnsi="宋体" w:eastAsiaTheme="minorEastAsia"/>
                <w:color w:val="000000"/>
                <w:szCs w:val="21"/>
              </w:rPr>
            </w:pPr>
            <w:r>
              <w:rPr>
                <w:rFonts w:hint="eastAsia" w:asciiTheme="minorEastAsia" w:hAnsiTheme="minorEastAsia" w:eastAsiaTheme="minorEastAsia" w:cstheme="minorEastAsia"/>
                <w:bCs/>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1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62"/>
              </w:numPr>
              <w:jc w:val="center"/>
              <w:rPr>
                <w:rFonts w:ascii="宋体" w:hAnsi="宋体" w:eastAsiaTheme="minorEastAsia"/>
                <w:color w:val="000000"/>
                <w:kern w:val="0"/>
                <w:szCs w:val="21"/>
              </w:rPr>
            </w:pPr>
          </w:p>
        </w:tc>
        <w:tc>
          <w:tcPr>
            <w:tcW w:w="694" w:type="pct"/>
            <w:vMerge w:val="continue"/>
            <w:tcBorders>
              <w:left w:val="single" w:color="auto" w:sz="4" w:space="0"/>
              <w:right w:val="single" w:color="auto" w:sz="4" w:space="0"/>
            </w:tcBorders>
            <w:vAlign w:val="center"/>
          </w:tcPr>
          <w:p>
            <w:pPr>
              <w:rPr>
                <w:rFonts w:ascii="宋体" w:hAnsi="宋体" w:eastAsiaTheme="minorEastAsia"/>
                <w:color w:val="000000"/>
                <w:szCs w:val="21"/>
              </w:rPr>
            </w:pPr>
          </w:p>
        </w:tc>
        <w:tc>
          <w:tcPr>
            <w:tcW w:w="3225" w:type="pct"/>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eastAsiaTheme="minorEastAsia"/>
                <w:color w:val="000000"/>
                <w:szCs w:val="21"/>
              </w:rPr>
            </w:pPr>
            <w:r>
              <w:rPr>
                <w:rFonts w:hint="eastAsia" w:ascii="Times New Roman" w:hAnsi="Times New Roman" w:eastAsiaTheme="minorEastAsia"/>
                <w:szCs w:val="21"/>
              </w:rPr>
              <w:t>存储：不低于8TB SSD + 18TB HDD硬盘</w:t>
            </w:r>
          </w:p>
        </w:tc>
        <w:tc>
          <w:tcPr>
            <w:tcW w:w="769" w:type="pct"/>
            <w:tcBorders>
              <w:top w:val="single" w:color="auto" w:sz="4" w:space="0"/>
              <w:left w:val="single" w:color="auto" w:sz="4" w:space="0"/>
              <w:bottom w:val="single" w:color="auto" w:sz="4" w:space="0"/>
              <w:right w:val="single" w:color="auto" w:sz="4" w:space="0"/>
            </w:tcBorders>
            <w:vAlign w:val="center"/>
          </w:tcPr>
          <w:p>
            <w:pPr>
              <w:textAlignment w:val="center"/>
              <w:rPr>
                <w:rFonts w:ascii="宋体" w:hAnsi="宋体" w:eastAsiaTheme="minorEastAsia"/>
                <w:color w:val="000000"/>
                <w:szCs w:val="21"/>
              </w:rPr>
            </w:pPr>
            <w:r>
              <w:rPr>
                <w:rFonts w:hint="eastAsia" w:asciiTheme="minorEastAsia" w:hAnsiTheme="minorEastAsia" w:eastAsiaTheme="minorEastAsia" w:cstheme="minorEastAsia"/>
                <w:bCs/>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1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62"/>
              </w:numPr>
              <w:jc w:val="center"/>
              <w:rPr>
                <w:rFonts w:ascii="宋体" w:hAnsi="宋体" w:eastAsiaTheme="minorEastAsia"/>
                <w:color w:val="000000"/>
                <w:kern w:val="0"/>
                <w:szCs w:val="21"/>
              </w:rPr>
            </w:pPr>
          </w:p>
        </w:tc>
        <w:tc>
          <w:tcPr>
            <w:tcW w:w="694" w:type="pct"/>
            <w:vMerge w:val="continue"/>
            <w:tcBorders>
              <w:left w:val="single" w:color="auto" w:sz="4" w:space="0"/>
              <w:right w:val="single" w:color="auto" w:sz="4" w:space="0"/>
            </w:tcBorders>
            <w:vAlign w:val="center"/>
          </w:tcPr>
          <w:p>
            <w:pPr>
              <w:rPr>
                <w:rFonts w:ascii="宋体" w:hAnsi="宋体" w:eastAsiaTheme="minorEastAsia"/>
                <w:color w:val="000000"/>
                <w:szCs w:val="21"/>
              </w:rPr>
            </w:pPr>
          </w:p>
        </w:tc>
        <w:tc>
          <w:tcPr>
            <w:tcW w:w="3225" w:type="pct"/>
            <w:tcBorders>
              <w:top w:val="single" w:color="auto" w:sz="4" w:space="0"/>
              <w:left w:val="single" w:color="auto" w:sz="4" w:space="0"/>
              <w:bottom w:val="single" w:color="auto" w:sz="4" w:space="0"/>
              <w:right w:val="single" w:color="auto" w:sz="4" w:space="0"/>
            </w:tcBorders>
            <w:vAlign w:val="center"/>
          </w:tcPr>
          <w:p>
            <w:pPr>
              <w:adjustRightInd w:val="0"/>
              <w:snapToGrid w:val="0"/>
              <w:rPr>
                <w:rFonts w:eastAsiaTheme="minorEastAsia"/>
                <w:szCs w:val="21"/>
              </w:rPr>
            </w:pPr>
            <w:r>
              <w:rPr>
                <w:rFonts w:hint="eastAsia" w:ascii="Times New Roman" w:hAnsi="Times New Roman" w:eastAsiaTheme="minorEastAsia"/>
                <w:szCs w:val="21"/>
              </w:rPr>
              <w:t>显卡：不低于12GB显存</w:t>
            </w:r>
          </w:p>
        </w:tc>
        <w:tc>
          <w:tcPr>
            <w:tcW w:w="769" w:type="pct"/>
            <w:tcBorders>
              <w:top w:val="single" w:color="auto" w:sz="4" w:space="0"/>
              <w:left w:val="single" w:color="auto" w:sz="4" w:space="0"/>
              <w:bottom w:val="single" w:color="auto" w:sz="4" w:space="0"/>
              <w:right w:val="single" w:color="auto" w:sz="4" w:space="0"/>
            </w:tcBorders>
            <w:vAlign w:val="center"/>
          </w:tcPr>
          <w:p>
            <w:pPr>
              <w:textAlignment w:val="center"/>
              <w:rPr>
                <w:rFonts w:ascii="宋体" w:hAnsi="宋体" w:eastAsiaTheme="minorEastAsia"/>
                <w:color w:val="000000"/>
                <w:szCs w:val="21"/>
              </w:rPr>
            </w:pPr>
            <w:r>
              <w:rPr>
                <w:rFonts w:hint="eastAsia" w:asciiTheme="minorEastAsia" w:hAnsiTheme="minorEastAsia" w:eastAsiaTheme="minorEastAsia" w:cstheme="minorEastAsia"/>
                <w:bCs/>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1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62"/>
              </w:numPr>
              <w:jc w:val="center"/>
              <w:rPr>
                <w:rFonts w:ascii="宋体" w:hAnsi="宋体" w:eastAsiaTheme="minorEastAsia"/>
                <w:color w:val="000000"/>
                <w:kern w:val="0"/>
                <w:szCs w:val="21"/>
              </w:rPr>
            </w:pPr>
          </w:p>
        </w:tc>
        <w:tc>
          <w:tcPr>
            <w:tcW w:w="694" w:type="pct"/>
            <w:vMerge w:val="continue"/>
            <w:tcBorders>
              <w:left w:val="single" w:color="auto" w:sz="4" w:space="0"/>
              <w:right w:val="single" w:color="auto" w:sz="4" w:space="0"/>
            </w:tcBorders>
            <w:vAlign w:val="center"/>
          </w:tcPr>
          <w:p>
            <w:pPr>
              <w:rPr>
                <w:rFonts w:ascii="宋体" w:hAnsi="宋体" w:eastAsiaTheme="minorEastAsia"/>
                <w:color w:val="000000"/>
                <w:szCs w:val="21"/>
              </w:rPr>
            </w:pPr>
          </w:p>
        </w:tc>
        <w:tc>
          <w:tcPr>
            <w:tcW w:w="3225" w:type="pct"/>
            <w:tcBorders>
              <w:top w:val="single" w:color="auto" w:sz="4" w:space="0"/>
              <w:left w:val="single" w:color="auto" w:sz="4" w:space="0"/>
              <w:bottom w:val="single" w:color="auto" w:sz="4" w:space="0"/>
              <w:right w:val="single" w:color="auto" w:sz="4" w:space="0"/>
            </w:tcBorders>
            <w:vAlign w:val="center"/>
          </w:tcPr>
          <w:p>
            <w:pPr>
              <w:adjustRightInd w:val="0"/>
              <w:snapToGrid w:val="0"/>
              <w:rPr>
                <w:rFonts w:eastAsiaTheme="minorEastAsia"/>
                <w:szCs w:val="21"/>
              </w:rPr>
            </w:pPr>
            <w:r>
              <w:rPr>
                <w:rFonts w:hint="eastAsia" w:ascii="Times New Roman" w:hAnsi="Times New Roman" w:eastAsiaTheme="minorEastAsia"/>
                <w:szCs w:val="21"/>
              </w:rPr>
              <w:t>显示器：不低于34寸</w:t>
            </w:r>
          </w:p>
        </w:tc>
        <w:tc>
          <w:tcPr>
            <w:tcW w:w="769" w:type="pct"/>
            <w:tcBorders>
              <w:top w:val="single" w:color="auto" w:sz="4" w:space="0"/>
              <w:left w:val="single" w:color="auto" w:sz="4" w:space="0"/>
              <w:bottom w:val="single" w:color="auto" w:sz="4" w:space="0"/>
              <w:right w:val="single" w:color="auto" w:sz="4" w:space="0"/>
            </w:tcBorders>
            <w:vAlign w:val="center"/>
          </w:tcPr>
          <w:p>
            <w:pPr>
              <w:textAlignment w:val="center"/>
              <w:rPr>
                <w:rFonts w:ascii="宋体" w:hAnsi="宋体" w:eastAsiaTheme="minorEastAsia"/>
                <w:color w:val="000000"/>
                <w:szCs w:val="21"/>
              </w:rPr>
            </w:pPr>
            <w:r>
              <w:rPr>
                <w:rFonts w:hint="eastAsia" w:asciiTheme="minorEastAsia" w:hAnsiTheme="minorEastAsia" w:eastAsiaTheme="minorEastAsia" w:cstheme="minorEastAsia"/>
                <w:bCs/>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1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62"/>
              </w:numPr>
              <w:jc w:val="center"/>
              <w:rPr>
                <w:rFonts w:ascii="宋体" w:hAnsi="宋体" w:eastAsiaTheme="minorEastAsia"/>
                <w:color w:val="000000"/>
                <w:kern w:val="0"/>
                <w:szCs w:val="21"/>
              </w:rPr>
            </w:pPr>
          </w:p>
        </w:tc>
        <w:tc>
          <w:tcPr>
            <w:tcW w:w="694" w:type="pct"/>
            <w:vMerge w:val="continue"/>
            <w:tcBorders>
              <w:left w:val="single" w:color="auto" w:sz="4" w:space="0"/>
              <w:right w:val="single" w:color="auto" w:sz="4" w:space="0"/>
            </w:tcBorders>
            <w:vAlign w:val="center"/>
          </w:tcPr>
          <w:p>
            <w:pPr>
              <w:rPr>
                <w:rFonts w:asciiTheme="minorEastAsia" w:hAnsiTheme="minorEastAsia" w:eastAsiaTheme="minorEastAsia" w:cstheme="minorEastAsia"/>
                <w:bCs/>
                <w:color w:val="000000"/>
                <w:kern w:val="0"/>
                <w:szCs w:val="21"/>
                <w:lang w:bidi="ar"/>
              </w:rPr>
            </w:pPr>
          </w:p>
        </w:tc>
        <w:tc>
          <w:tcPr>
            <w:tcW w:w="3225" w:type="pct"/>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Times New Roman" w:hAnsi="Times New Roman" w:eastAsiaTheme="minorEastAsia"/>
                <w:szCs w:val="21"/>
                <w:highlight w:val="cyan"/>
              </w:rPr>
            </w:pPr>
            <w:r>
              <w:rPr>
                <w:rFonts w:hint="eastAsia" w:ascii="Times New Roman" w:hAnsi="Times New Roman" w:eastAsiaTheme="minorEastAsia"/>
                <w:szCs w:val="21"/>
              </w:rPr>
              <w:t>光驱：不少于1个蓝光刻录机</w:t>
            </w:r>
          </w:p>
        </w:tc>
        <w:tc>
          <w:tcPr>
            <w:tcW w:w="769" w:type="pct"/>
            <w:tcBorders>
              <w:top w:val="single" w:color="auto" w:sz="4" w:space="0"/>
              <w:left w:val="single" w:color="auto" w:sz="4" w:space="0"/>
              <w:bottom w:val="single" w:color="auto" w:sz="4" w:space="0"/>
              <w:right w:val="single" w:color="auto" w:sz="4" w:space="0"/>
            </w:tcBorders>
            <w:vAlign w:val="center"/>
          </w:tcPr>
          <w:p>
            <w:pPr>
              <w:textAlignment w:val="center"/>
              <w:rPr>
                <w:rFonts w:asciiTheme="minorEastAsia" w:hAnsiTheme="minorEastAsia" w:eastAsiaTheme="minorEastAsia" w:cstheme="minorEastAsia"/>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1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62"/>
              </w:numPr>
              <w:jc w:val="center"/>
              <w:rPr>
                <w:rFonts w:ascii="宋体" w:hAnsi="宋体" w:eastAsiaTheme="minorEastAsia"/>
                <w:color w:val="000000"/>
                <w:kern w:val="0"/>
                <w:szCs w:val="21"/>
              </w:rPr>
            </w:pPr>
          </w:p>
        </w:tc>
        <w:tc>
          <w:tcPr>
            <w:tcW w:w="694" w:type="pct"/>
            <w:vMerge w:val="restart"/>
            <w:tcBorders>
              <w:left w:val="single" w:color="auto" w:sz="4" w:space="0"/>
              <w:right w:val="single" w:color="auto" w:sz="4" w:space="0"/>
            </w:tcBorders>
            <w:vAlign w:val="center"/>
          </w:tcPr>
          <w:p>
            <w:pPr>
              <w:rPr>
                <w:rFonts w:ascii="宋体" w:hAnsi="宋体" w:eastAsiaTheme="minorEastAsia"/>
                <w:color w:val="000000"/>
                <w:szCs w:val="21"/>
              </w:rPr>
            </w:pPr>
            <w:r>
              <w:rPr>
                <w:rFonts w:hint="eastAsia" w:asciiTheme="minorEastAsia" w:hAnsiTheme="minorEastAsia" w:eastAsiaTheme="minorEastAsia" w:cstheme="minorEastAsia"/>
                <w:bCs/>
                <w:color w:val="000000"/>
                <w:kern w:val="0"/>
                <w:szCs w:val="21"/>
                <w:lang w:bidi="ar"/>
              </w:rPr>
              <w:t>解密能力</w:t>
            </w:r>
          </w:p>
        </w:tc>
        <w:tc>
          <w:tcPr>
            <w:tcW w:w="3225" w:type="pct"/>
            <w:tcBorders>
              <w:top w:val="single" w:color="auto" w:sz="4" w:space="0"/>
              <w:left w:val="single" w:color="auto" w:sz="4" w:space="0"/>
              <w:bottom w:val="single" w:color="auto" w:sz="4" w:space="0"/>
              <w:right w:val="single" w:color="auto" w:sz="4" w:space="0"/>
            </w:tcBorders>
            <w:vAlign w:val="center"/>
          </w:tcPr>
          <w:p>
            <w:pPr>
              <w:textAlignment w:val="center"/>
              <w:rPr>
                <w:rFonts w:eastAsiaTheme="minorEastAsia"/>
                <w:szCs w:val="21"/>
              </w:rPr>
            </w:pPr>
            <w:r>
              <w:rPr>
                <w:rFonts w:hint="eastAsia" w:asciiTheme="minorEastAsia" w:hAnsiTheme="minorEastAsia" w:eastAsiaTheme="minorEastAsia" w:cstheme="minorEastAsia"/>
                <w:bCs/>
                <w:color w:val="000000"/>
                <w:kern w:val="0"/>
                <w:szCs w:val="21"/>
                <w:lang w:bidi="ar"/>
              </w:rPr>
              <w:t>支持苹果、华为、小米、OPPO、VIVO、三星、诺基亚、摩托罗拉、一加、魅族、奇酷、糖果、联想、海尔、中兴、乐视等品牌机型的密码解密</w:t>
            </w:r>
          </w:p>
        </w:tc>
        <w:tc>
          <w:tcPr>
            <w:tcW w:w="769" w:type="pct"/>
            <w:tcBorders>
              <w:top w:val="single" w:color="auto" w:sz="4" w:space="0"/>
              <w:left w:val="single" w:color="auto" w:sz="4" w:space="0"/>
              <w:bottom w:val="single" w:color="auto" w:sz="4" w:space="0"/>
              <w:right w:val="single" w:color="auto" w:sz="4" w:space="0"/>
            </w:tcBorders>
            <w:vAlign w:val="center"/>
          </w:tcPr>
          <w:p>
            <w:pPr>
              <w:textAlignment w:val="center"/>
              <w:rPr>
                <w:rFonts w:ascii="宋体" w:hAnsi="宋体" w:eastAsiaTheme="minorEastAsia"/>
                <w:color w:val="000000"/>
                <w:szCs w:val="21"/>
              </w:rPr>
            </w:pPr>
            <w:r>
              <w:rPr>
                <w:rFonts w:hint="eastAsia" w:asciiTheme="minorEastAsia" w:hAnsiTheme="minorEastAsia" w:eastAsiaTheme="minorEastAsia" w:cstheme="minorEastAsia"/>
                <w:bCs/>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1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62"/>
              </w:numPr>
              <w:jc w:val="center"/>
              <w:rPr>
                <w:rFonts w:ascii="宋体" w:hAnsi="宋体" w:eastAsiaTheme="minorEastAsia"/>
                <w:color w:val="000000"/>
                <w:kern w:val="0"/>
                <w:szCs w:val="21"/>
              </w:rPr>
            </w:pPr>
          </w:p>
        </w:tc>
        <w:tc>
          <w:tcPr>
            <w:tcW w:w="694" w:type="pct"/>
            <w:vMerge w:val="continue"/>
            <w:tcBorders>
              <w:left w:val="single" w:color="auto" w:sz="4" w:space="0"/>
              <w:right w:val="single" w:color="auto" w:sz="4" w:space="0"/>
            </w:tcBorders>
            <w:vAlign w:val="center"/>
          </w:tcPr>
          <w:p>
            <w:pPr>
              <w:rPr>
                <w:rFonts w:ascii="宋体" w:hAnsi="宋体" w:eastAsiaTheme="minorEastAsia"/>
                <w:color w:val="000000"/>
                <w:szCs w:val="21"/>
              </w:rPr>
            </w:pPr>
          </w:p>
        </w:tc>
        <w:tc>
          <w:tcPr>
            <w:tcW w:w="3225" w:type="pct"/>
            <w:tcBorders>
              <w:top w:val="single" w:color="auto" w:sz="4" w:space="0"/>
              <w:left w:val="single" w:color="auto" w:sz="4" w:space="0"/>
              <w:bottom w:val="single" w:color="auto" w:sz="4" w:space="0"/>
              <w:right w:val="single" w:color="auto" w:sz="4" w:space="0"/>
            </w:tcBorders>
            <w:vAlign w:val="center"/>
          </w:tcPr>
          <w:p>
            <w:pPr>
              <w:textAlignment w:val="center"/>
              <w:rPr>
                <w:rFonts w:eastAsiaTheme="minorEastAsia"/>
                <w:szCs w:val="21"/>
              </w:rPr>
            </w:pPr>
            <w:r>
              <w:rPr>
                <w:rFonts w:hint="eastAsia" w:eastAsiaTheme="minorEastAsia"/>
                <w:szCs w:val="21"/>
              </w:rPr>
              <w:t>支持集成VIVO、OPPO、三星等品牌的应用锁移除功能</w:t>
            </w:r>
          </w:p>
        </w:tc>
        <w:tc>
          <w:tcPr>
            <w:tcW w:w="769" w:type="pct"/>
            <w:tcBorders>
              <w:top w:val="single" w:color="auto" w:sz="4" w:space="0"/>
              <w:left w:val="single" w:color="auto" w:sz="4" w:space="0"/>
              <w:bottom w:val="single" w:color="auto" w:sz="4" w:space="0"/>
              <w:right w:val="single" w:color="auto" w:sz="4" w:space="0"/>
            </w:tcBorders>
            <w:vAlign w:val="center"/>
          </w:tcPr>
          <w:p>
            <w:pPr>
              <w:textAlignment w:val="center"/>
              <w:rPr>
                <w:rFonts w:ascii="宋体" w:hAnsi="宋体" w:eastAsiaTheme="minorEastAsia"/>
                <w:color w:val="000000"/>
                <w:szCs w:val="21"/>
              </w:rPr>
            </w:pPr>
            <w:r>
              <w:rPr>
                <w:rFonts w:hint="eastAsia" w:asciiTheme="minorEastAsia" w:hAnsiTheme="minorEastAsia" w:eastAsiaTheme="minorEastAsia" w:cstheme="minorEastAsia"/>
                <w:bCs/>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1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62"/>
              </w:numPr>
              <w:jc w:val="center"/>
              <w:rPr>
                <w:rFonts w:ascii="宋体" w:hAnsi="宋体" w:eastAsiaTheme="minorEastAsia"/>
                <w:color w:val="000000"/>
                <w:kern w:val="0"/>
                <w:szCs w:val="21"/>
              </w:rPr>
            </w:pPr>
          </w:p>
        </w:tc>
        <w:tc>
          <w:tcPr>
            <w:tcW w:w="694" w:type="pct"/>
            <w:vMerge w:val="continue"/>
            <w:tcBorders>
              <w:left w:val="single" w:color="auto" w:sz="4" w:space="0"/>
              <w:right w:val="single" w:color="auto" w:sz="4" w:space="0"/>
            </w:tcBorders>
            <w:vAlign w:val="center"/>
          </w:tcPr>
          <w:p>
            <w:pPr>
              <w:rPr>
                <w:rFonts w:ascii="宋体" w:hAnsi="宋体" w:eastAsiaTheme="minorEastAsia"/>
                <w:color w:val="000000"/>
                <w:szCs w:val="21"/>
              </w:rPr>
            </w:pPr>
          </w:p>
        </w:tc>
        <w:tc>
          <w:tcPr>
            <w:tcW w:w="3225" w:type="pct"/>
            <w:tcBorders>
              <w:top w:val="single" w:color="auto" w:sz="4" w:space="0"/>
              <w:left w:val="single" w:color="auto" w:sz="4" w:space="0"/>
              <w:bottom w:val="single" w:color="auto" w:sz="4" w:space="0"/>
              <w:right w:val="single" w:color="auto" w:sz="4" w:space="0"/>
            </w:tcBorders>
            <w:vAlign w:val="center"/>
          </w:tcPr>
          <w:p>
            <w:pPr>
              <w:textAlignment w:val="center"/>
              <w:rPr>
                <w:rFonts w:eastAsiaTheme="minorEastAsia"/>
                <w:szCs w:val="21"/>
              </w:rPr>
            </w:pPr>
            <w:r>
              <w:rPr>
                <w:rFonts w:hint="eastAsia" w:eastAsiaTheme="minorEastAsia"/>
                <w:szCs w:val="21"/>
              </w:rPr>
              <w:t>支持手机逻辑取证、镜像取证、密码绕过、恢复用户删除数据</w:t>
            </w:r>
          </w:p>
        </w:tc>
        <w:tc>
          <w:tcPr>
            <w:tcW w:w="769" w:type="pct"/>
            <w:tcBorders>
              <w:top w:val="single" w:color="auto" w:sz="4" w:space="0"/>
              <w:left w:val="single" w:color="auto" w:sz="4" w:space="0"/>
              <w:bottom w:val="single" w:color="auto" w:sz="4" w:space="0"/>
              <w:right w:val="single" w:color="auto" w:sz="4" w:space="0"/>
            </w:tcBorders>
            <w:vAlign w:val="center"/>
          </w:tcPr>
          <w:p>
            <w:pPr>
              <w:textAlignment w:val="center"/>
              <w:rPr>
                <w:rFonts w:ascii="宋体" w:hAnsi="宋体" w:eastAsiaTheme="minorEastAsia"/>
                <w:color w:val="000000"/>
                <w:szCs w:val="21"/>
              </w:rPr>
            </w:pPr>
            <w:r>
              <w:rPr>
                <w:rFonts w:hint="eastAsia" w:asciiTheme="minorEastAsia" w:hAnsiTheme="minorEastAsia" w:eastAsiaTheme="minorEastAsia" w:cstheme="minorEastAsia"/>
                <w:bCs/>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1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62"/>
              </w:numPr>
              <w:jc w:val="center"/>
              <w:rPr>
                <w:rFonts w:ascii="宋体" w:hAnsi="宋体" w:eastAsiaTheme="minorEastAsia"/>
                <w:color w:val="000000"/>
                <w:kern w:val="0"/>
                <w:szCs w:val="21"/>
              </w:rPr>
            </w:pPr>
          </w:p>
        </w:tc>
        <w:tc>
          <w:tcPr>
            <w:tcW w:w="694" w:type="pct"/>
            <w:tcBorders>
              <w:left w:val="single" w:color="auto" w:sz="4" w:space="0"/>
              <w:right w:val="single" w:color="auto" w:sz="4" w:space="0"/>
            </w:tcBorders>
            <w:vAlign w:val="center"/>
          </w:tcPr>
          <w:p>
            <w:pPr>
              <w:jc w:val="center"/>
              <w:textAlignment w:val="center"/>
              <w:rPr>
                <w:rFonts w:ascii="宋体" w:hAnsi="宋体" w:eastAsiaTheme="minorEastAsia"/>
                <w:color w:val="000000"/>
                <w:szCs w:val="21"/>
              </w:rPr>
            </w:pPr>
            <w:r>
              <w:rPr>
                <w:rFonts w:hint="eastAsia" w:ascii="Times New Roman" w:hAnsi="Times New Roman" w:eastAsiaTheme="minorEastAsia"/>
                <w:kern w:val="0"/>
                <w:szCs w:val="21"/>
              </w:rPr>
              <w:t>手机数据提取和恢复能力</w:t>
            </w:r>
          </w:p>
        </w:tc>
        <w:tc>
          <w:tcPr>
            <w:tcW w:w="3225" w:type="pct"/>
            <w:tcBorders>
              <w:top w:val="single" w:color="auto" w:sz="4" w:space="0"/>
              <w:left w:val="single" w:color="auto" w:sz="4" w:space="0"/>
              <w:bottom w:val="single" w:color="auto" w:sz="4" w:space="0"/>
              <w:right w:val="single" w:color="auto" w:sz="4" w:space="0"/>
            </w:tcBorders>
            <w:vAlign w:val="center"/>
          </w:tcPr>
          <w:p>
            <w:pPr>
              <w:pStyle w:val="25"/>
              <w:textAlignment w:val="center"/>
              <w:rPr>
                <w:rFonts w:eastAsiaTheme="minorEastAsia"/>
                <w:szCs w:val="21"/>
              </w:rPr>
            </w:pPr>
            <w:r>
              <w:rPr>
                <w:rFonts w:hint="eastAsia" w:ascii="Times New Roman" w:hAnsi="Times New Roman" w:eastAsiaTheme="minorEastAsia"/>
                <w:kern w:val="0"/>
                <w:szCs w:val="21"/>
              </w:rPr>
              <w:t>支持手机系统提取恢复能力获取手机IMEI、IMSI、通讯簿、短信、通话记录、位置信息、备忘录、日程表、Wi-Fi、多媒体文件（图片/视频/音频）；支持恢复已删除的电话簿、短信、通话记录等信息，包括iPhone手机、Android手机等，其中iPhone手机越狱和未越狱均可实现删除数据恢复，Android手机可自动root后进行删除数据恢复；支持手机内存镜像的获取和解析，包括Android手机、iPhone手机</w:t>
            </w:r>
          </w:p>
        </w:tc>
        <w:tc>
          <w:tcPr>
            <w:tcW w:w="769" w:type="pct"/>
            <w:tcBorders>
              <w:top w:val="single" w:color="auto" w:sz="4" w:space="0"/>
              <w:left w:val="single" w:color="auto" w:sz="4" w:space="0"/>
              <w:bottom w:val="single" w:color="auto" w:sz="4" w:space="0"/>
              <w:right w:val="single" w:color="auto" w:sz="4" w:space="0"/>
            </w:tcBorders>
            <w:vAlign w:val="center"/>
          </w:tcPr>
          <w:p>
            <w:pP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1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62"/>
              </w:numPr>
              <w:jc w:val="center"/>
              <w:rPr>
                <w:rFonts w:ascii="宋体" w:hAnsi="宋体" w:eastAsiaTheme="minorEastAsia"/>
                <w:color w:val="000000"/>
                <w:kern w:val="0"/>
                <w:szCs w:val="21"/>
              </w:rPr>
            </w:pPr>
          </w:p>
        </w:tc>
        <w:tc>
          <w:tcPr>
            <w:tcW w:w="694" w:type="pct"/>
            <w:tcBorders>
              <w:left w:val="single" w:color="auto" w:sz="4" w:space="0"/>
              <w:right w:val="single" w:color="auto" w:sz="4" w:space="0"/>
            </w:tcBorders>
            <w:vAlign w:val="center"/>
          </w:tcPr>
          <w:p>
            <w:pPr>
              <w:jc w:val="center"/>
              <w:textAlignment w:val="center"/>
              <w:rPr>
                <w:rFonts w:ascii="宋体" w:hAnsi="宋体" w:eastAsiaTheme="minorEastAsia"/>
                <w:color w:val="000000"/>
                <w:szCs w:val="21"/>
              </w:rPr>
            </w:pPr>
            <w:r>
              <w:rPr>
                <w:rFonts w:hint="eastAsia" w:ascii="Times New Roman" w:hAnsi="Times New Roman" w:eastAsiaTheme="minorEastAsia"/>
                <w:kern w:val="0"/>
                <w:szCs w:val="21"/>
              </w:rPr>
              <w:t>比对分析能力</w:t>
            </w:r>
          </w:p>
        </w:tc>
        <w:tc>
          <w:tcPr>
            <w:tcW w:w="3225" w:type="pct"/>
            <w:tcBorders>
              <w:top w:val="single" w:color="auto" w:sz="4" w:space="0"/>
              <w:left w:val="single" w:color="auto" w:sz="4" w:space="0"/>
              <w:bottom w:val="single" w:color="auto" w:sz="4" w:space="0"/>
              <w:right w:val="single" w:color="auto" w:sz="4" w:space="0"/>
            </w:tcBorders>
            <w:vAlign w:val="center"/>
          </w:tcPr>
          <w:p>
            <w:pPr>
              <w:textAlignment w:val="center"/>
              <w:rPr>
                <w:rFonts w:eastAsiaTheme="minorEastAsia"/>
                <w:szCs w:val="21"/>
              </w:rPr>
            </w:pPr>
            <w:r>
              <w:rPr>
                <w:rFonts w:hint="eastAsia" w:ascii="Times New Roman" w:hAnsi="Times New Roman" w:eastAsiaTheme="minorEastAsia"/>
                <w:kern w:val="0"/>
                <w:szCs w:val="21"/>
              </w:rPr>
              <w:t>支持导出报告，在报告中对数据进行搜索展示搜索结果；在报告里对任意有用数据的标记、备注、自动存储</w:t>
            </w:r>
          </w:p>
        </w:tc>
        <w:tc>
          <w:tcPr>
            <w:tcW w:w="769" w:type="pct"/>
            <w:tcBorders>
              <w:top w:val="single" w:color="auto" w:sz="4" w:space="0"/>
              <w:left w:val="single" w:color="auto" w:sz="4" w:space="0"/>
              <w:bottom w:val="single" w:color="auto" w:sz="4" w:space="0"/>
              <w:right w:val="single" w:color="auto" w:sz="4" w:space="0"/>
            </w:tcBorders>
            <w:vAlign w:val="center"/>
          </w:tcPr>
          <w:p>
            <w:pP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1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62"/>
              </w:numPr>
              <w:jc w:val="center"/>
              <w:rPr>
                <w:rFonts w:ascii="宋体" w:hAnsi="宋体" w:eastAsiaTheme="minorEastAsia"/>
                <w:color w:val="000000"/>
                <w:kern w:val="0"/>
                <w:szCs w:val="21"/>
              </w:rPr>
            </w:pPr>
          </w:p>
        </w:tc>
        <w:tc>
          <w:tcPr>
            <w:tcW w:w="694" w:type="pct"/>
            <w:tcBorders>
              <w:left w:val="single" w:color="auto" w:sz="4" w:space="0"/>
              <w:bottom w:val="single" w:color="auto" w:sz="4" w:space="0"/>
              <w:right w:val="single" w:color="auto" w:sz="4" w:space="0"/>
            </w:tcBorders>
            <w:vAlign w:val="center"/>
          </w:tcPr>
          <w:p>
            <w:pPr>
              <w:jc w:val="center"/>
              <w:textAlignment w:val="center"/>
              <w:rPr>
                <w:rFonts w:ascii="Times New Roman" w:hAnsi="Times New Roman" w:eastAsiaTheme="minorEastAsia"/>
                <w:kern w:val="0"/>
                <w:szCs w:val="21"/>
              </w:rPr>
            </w:pPr>
            <w:r>
              <w:rPr>
                <w:rFonts w:hint="eastAsia" w:ascii="Times New Roman" w:hAnsi="Times New Roman" w:eastAsiaTheme="minorEastAsia"/>
                <w:kern w:val="0"/>
                <w:szCs w:val="21"/>
              </w:rPr>
              <w:t>物联网管理API</w:t>
            </w:r>
          </w:p>
        </w:tc>
        <w:tc>
          <w:tcPr>
            <w:tcW w:w="3225" w:type="pct"/>
            <w:tcBorders>
              <w:top w:val="single" w:color="auto" w:sz="4" w:space="0"/>
              <w:left w:val="single" w:color="auto" w:sz="4" w:space="0"/>
              <w:bottom w:val="single" w:color="auto" w:sz="4" w:space="0"/>
              <w:right w:val="single" w:color="auto" w:sz="4" w:space="0"/>
            </w:tcBorders>
            <w:vAlign w:val="center"/>
          </w:tcPr>
          <w:p>
            <w:pPr>
              <w:textAlignment w:val="center"/>
              <w:rPr>
                <w:rFonts w:ascii="Times New Roman" w:hAnsi="Times New Roman" w:eastAsiaTheme="minorEastAsia"/>
                <w:kern w:val="0"/>
                <w:szCs w:val="21"/>
              </w:rPr>
            </w:pPr>
            <w:r>
              <w:rPr>
                <w:rFonts w:hint="eastAsia" w:ascii="Times New Roman" w:hAnsi="Times New Roman" w:eastAsiaTheme="minorEastAsia"/>
                <w:kern w:val="0"/>
                <w:szCs w:val="21"/>
              </w:rPr>
              <w:t>支持开放的物联网管理API接口，供实验室管理系统采集设备工作状态和工作量</w:t>
            </w:r>
          </w:p>
        </w:tc>
        <w:tc>
          <w:tcPr>
            <w:tcW w:w="769" w:type="pct"/>
            <w:tcBorders>
              <w:top w:val="single" w:color="auto" w:sz="4" w:space="0"/>
              <w:left w:val="single" w:color="auto" w:sz="4" w:space="0"/>
              <w:bottom w:val="single" w:color="auto" w:sz="4" w:space="0"/>
              <w:right w:val="single" w:color="auto" w:sz="4" w:space="0"/>
            </w:tcBorders>
            <w:vAlign w:val="center"/>
          </w:tcPr>
          <w:p>
            <w:pPr>
              <w:textAlignment w:val="center"/>
              <w:rPr>
                <w:rFonts w:hint="eastAsia" w:asciiTheme="minorEastAsia" w:hAnsiTheme="minorEastAsia" w:eastAsiaTheme="minorEastAsia" w:cstheme="minorEastAsia"/>
                <w:bCs/>
                <w:color w:val="000000"/>
                <w:szCs w:val="21"/>
                <w:lang w:eastAsia="zh-CN"/>
              </w:rPr>
            </w:pPr>
            <w:r>
              <w:rPr>
                <w:rFonts w:hint="eastAsia" w:asciiTheme="minorEastAsia" w:hAnsiTheme="minorEastAsia" w:eastAsiaTheme="minorEastAsia" w:cstheme="minorEastAsia"/>
                <w:bCs/>
                <w:color w:val="000000"/>
                <w:szCs w:val="21"/>
                <w:lang w:val="en-US" w:eastAsia="zh-CN"/>
              </w:rPr>
              <w:t>/</w:t>
            </w:r>
          </w:p>
        </w:tc>
      </w:tr>
    </w:tbl>
    <w:p>
      <w:pPr>
        <w:pStyle w:val="5"/>
        <w:spacing w:before="15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第8包</w:t>
      </w:r>
      <w:r>
        <w:rPr>
          <w:rFonts w:hint="eastAsia" w:asciiTheme="minorEastAsia" w:hAnsiTheme="minorEastAsia" w:eastAsiaTheme="minorEastAsia" w:cstheme="minorEastAsia"/>
          <w:szCs w:val="21"/>
          <w:lang w:val="en-US" w:eastAsia="zh-CN"/>
        </w:rPr>
        <w:t xml:space="preserve"> </w:t>
      </w:r>
      <w:r>
        <w:rPr>
          <w:rFonts w:hint="eastAsia" w:asciiTheme="minorEastAsia" w:hAnsiTheme="minorEastAsia" w:eastAsiaTheme="minorEastAsia" w:cstheme="minorEastAsia"/>
          <w:szCs w:val="21"/>
        </w:rPr>
        <w:t>电子</w:t>
      </w:r>
      <w:r>
        <w:rPr>
          <w:rFonts w:asciiTheme="minorEastAsia" w:hAnsiTheme="minorEastAsia" w:eastAsiaTheme="minorEastAsia" w:cstheme="minorEastAsia"/>
          <w:szCs w:val="21"/>
        </w:rPr>
        <w:t>物证存储系统</w:t>
      </w:r>
    </w:p>
    <w:tbl>
      <w:tblPr>
        <w:tblStyle w:val="81"/>
        <w:tblW w:w="480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9"/>
        <w:gridCol w:w="1311"/>
        <w:gridCol w:w="4496"/>
        <w:gridCol w:w="1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2" w:type="pct"/>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heme="minorEastAsia" w:hAnsiTheme="minorEastAsia" w:eastAsiaTheme="minorEastAsia" w:cstheme="minorEastAsia"/>
                <w:bCs/>
                <w:color w:val="000000"/>
                <w:kern w:val="0"/>
                <w:szCs w:val="21"/>
              </w:rPr>
            </w:pPr>
            <w:r>
              <w:rPr>
                <w:rFonts w:asciiTheme="minorEastAsia" w:hAnsiTheme="minorEastAsia" w:eastAsiaTheme="minorEastAsia" w:cstheme="minorEastAsia"/>
                <w:bCs/>
                <w:color w:val="000000"/>
                <w:kern w:val="0"/>
                <w:szCs w:val="21"/>
              </w:rPr>
              <w:t>序号</w:t>
            </w:r>
          </w:p>
        </w:tc>
        <w:tc>
          <w:tcPr>
            <w:tcW w:w="800" w:type="pct"/>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heme="minorEastAsia" w:hAnsiTheme="minorEastAsia" w:eastAsiaTheme="minorEastAsia" w:cstheme="minorEastAsia"/>
                <w:bCs/>
                <w:color w:val="000000"/>
                <w:kern w:val="0"/>
                <w:szCs w:val="21"/>
              </w:rPr>
            </w:pPr>
            <w:r>
              <w:rPr>
                <w:rFonts w:asciiTheme="minorEastAsia" w:hAnsiTheme="minorEastAsia" w:eastAsiaTheme="minorEastAsia" w:cstheme="minorEastAsia"/>
                <w:bCs/>
                <w:color w:val="000000"/>
                <w:kern w:val="0"/>
                <w:szCs w:val="21"/>
              </w:rPr>
              <w:t>指标项</w:t>
            </w:r>
          </w:p>
        </w:tc>
        <w:tc>
          <w:tcPr>
            <w:tcW w:w="2743" w:type="pct"/>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heme="minorEastAsia" w:hAnsiTheme="minorEastAsia" w:eastAsiaTheme="minorEastAsia" w:cstheme="minorEastAsia"/>
                <w:bCs/>
                <w:color w:val="000000"/>
                <w:kern w:val="0"/>
                <w:szCs w:val="21"/>
              </w:rPr>
            </w:pPr>
            <w:r>
              <w:rPr>
                <w:rFonts w:asciiTheme="minorEastAsia" w:hAnsiTheme="minorEastAsia" w:eastAsiaTheme="minorEastAsia" w:cstheme="minorEastAsia"/>
                <w:bCs/>
                <w:color w:val="000000"/>
                <w:kern w:val="0"/>
                <w:szCs w:val="21"/>
              </w:rPr>
              <w:t>指标要求</w:t>
            </w:r>
          </w:p>
        </w:tc>
        <w:tc>
          <w:tcPr>
            <w:tcW w:w="1055" w:type="pct"/>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heme="minorEastAsia" w:hAnsiTheme="minorEastAsia" w:eastAsiaTheme="minorEastAsia" w:cstheme="minorEastAsia"/>
                <w:bCs/>
                <w:color w:val="000000"/>
                <w:kern w:val="0"/>
                <w:szCs w:val="21"/>
              </w:rPr>
            </w:pPr>
            <w:r>
              <w:rPr>
                <w:rFonts w:asciiTheme="minorEastAsia" w:hAnsiTheme="minorEastAsia" w:eastAsiaTheme="minorEastAsia" w:cstheme="minorEastAsia"/>
                <w:bCs/>
                <w:color w:val="000000"/>
                <w:kern w:val="0"/>
                <w:szCs w:val="21"/>
              </w:rPr>
              <w:t>证明材料要求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2"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szCs w:val="21"/>
              </w:rPr>
            </w:pPr>
            <w:r>
              <w:rPr>
                <w:rFonts w:hint="eastAsia" w:ascii="Times New Roman" w:hAnsi="Times New Roman" w:eastAsiaTheme="minorEastAsia"/>
                <w:bCs/>
                <w:szCs w:val="21"/>
              </w:rPr>
              <w:t>1</w:t>
            </w:r>
          </w:p>
        </w:tc>
        <w:tc>
          <w:tcPr>
            <w:tcW w:w="800" w:type="pct"/>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cs="宋体" w:eastAsiaTheme="minorEastAsia"/>
                <w:szCs w:val="21"/>
              </w:rPr>
            </w:pPr>
            <w:r>
              <w:rPr>
                <w:rFonts w:hint="eastAsia" w:ascii="宋体" w:hAnsi="宋体" w:cs="宋体" w:eastAsiaTheme="minorEastAsia"/>
                <w:szCs w:val="21"/>
              </w:rPr>
              <w:t>存储节点</w:t>
            </w:r>
          </w:p>
        </w:tc>
        <w:tc>
          <w:tcPr>
            <w:tcW w:w="2743" w:type="pct"/>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cs="宋体" w:eastAsiaTheme="minorEastAsia"/>
                <w:szCs w:val="21"/>
              </w:rPr>
            </w:pPr>
            <w:r>
              <w:rPr>
                <w:rFonts w:hint="eastAsia" w:ascii="宋体" w:hAnsi="宋体" w:cs="宋体" w:eastAsiaTheme="minorEastAsia"/>
                <w:szCs w:val="21"/>
              </w:rPr>
              <w:t>不少于3节点</w:t>
            </w:r>
          </w:p>
        </w:tc>
        <w:tc>
          <w:tcPr>
            <w:tcW w:w="1055"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szCs w:val="21"/>
              </w:rPr>
            </w:pPr>
            <w:r>
              <w:rPr>
                <w:rFonts w:hint="eastAsia" w:asciiTheme="minorEastAsia" w:hAnsiTheme="minorEastAsia" w:eastAsiaTheme="minorEastAsia" w:cstheme="minorEastAsia"/>
                <w:bCs/>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2"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szCs w:val="21"/>
              </w:rPr>
            </w:pPr>
            <w:r>
              <w:rPr>
                <w:rFonts w:hint="eastAsia" w:ascii="Times New Roman" w:hAnsi="Times New Roman" w:eastAsiaTheme="minorEastAsia"/>
                <w:bCs/>
                <w:szCs w:val="21"/>
              </w:rPr>
              <w:t>2</w:t>
            </w:r>
          </w:p>
        </w:tc>
        <w:tc>
          <w:tcPr>
            <w:tcW w:w="800" w:type="pct"/>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cs="宋体" w:eastAsiaTheme="minorEastAsia"/>
                <w:szCs w:val="21"/>
              </w:rPr>
            </w:pPr>
            <w:r>
              <w:rPr>
                <w:rFonts w:hint="eastAsia" w:ascii="宋体" w:hAnsi="宋体" w:cs="宋体" w:eastAsiaTheme="minorEastAsia"/>
                <w:szCs w:val="21"/>
              </w:rPr>
              <w:t>处理器</w:t>
            </w:r>
          </w:p>
        </w:tc>
        <w:tc>
          <w:tcPr>
            <w:tcW w:w="2743" w:type="pct"/>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cs="宋体" w:eastAsiaTheme="minorEastAsia"/>
                <w:szCs w:val="21"/>
              </w:rPr>
            </w:pPr>
            <w:r>
              <w:rPr>
                <w:rFonts w:hint="eastAsia" w:ascii="宋体" w:hAnsi="宋体" w:cs="宋体" w:eastAsiaTheme="minorEastAsia"/>
                <w:szCs w:val="21"/>
              </w:rPr>
              <w:t>每节点不少于2个CPU/主频不低于2.1GHz/内核不低于12Core</w:t>
            </w:r>
          </w:p>
        </w:tc>
        <w:tc>
          <w:tcPr>
            <w:tcW w:w="1055"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szCs w:val="21"/>
              </w:rPr>
            </w:pPr>
            <w:r>
              <w:rPr>
                <w:rFonts w:hint="eastAsia" w:asciiTheme="minorEastAsia" w:hAnsiTheme="minorEastAsia" w:eastAsiaTheme="minorEastAsia" w:cstheme="minorEastAsia"/>
                <w:bCs/>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2"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szCs w:val="21"/>
              </w:rPr>
            </w:pPr>
            <w:r>
              <w:rPr>
                <w:rFonts w:hint="eastAsia" w:ascii="Times New Roman" w:hAnsi="Times New Roman" w:eastAsiaTheme="minorEastAsia"/>
                <w:bCs/>
                <w:szCs w:val="21"/>
              </w:rPr>
              <w:t>3</w:t>
            </w:r>
          </w:p>
        </w:tc>
        <w:tc>
          <w:tcPr>
            <w:tcW w:w="800" w:type="pct"/>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cs="宋体" w:eastAsiaTheme="minorEastAsia"/>
                <w:szCs w:val="21"/>
              </w:rPr>
            </w:pPr>
            <w:r>
              <w:rPr>
                <w:rFonts w:hint="eastAsia" w:ascii="宋体" w:hAnsi="宋体" w:cs="宋体" w:eastAsiaTheme="minorEastAsia"/>
                <w:szCs w:val="21"/>
              </w:rPr>
              <w:t>内存</w:t>
            </w:r>
          </w:p>
        </w:tc>
        <w:tc>
          <w:tcPr>
            <w:tcW w:w="2743" w:type="pct"/>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cs="宋体" w:eastAsiaTheme="minorEastAsia"/>
                <w:szCs w:val="21"/>
              </w:rPr>
            </w:pPr>
            <w:r>
              <w:rPr>
                <w:rFonts w:hint="eastAsia" w:ascii="宋体" w:hAnsi="宋体" w:cs="宋体" w:eastAsiaTheme="minorEastAsia"/>
                <w:szCs w:val="21"/>
              </w:rPr>
              <w:t>每节点不低于DDR4 256GB ECC内存</w:t>
            </w:r>
          </w:p>
        </w:tc>
        <w:tc>
          <w:tcPr>
            <w:tcW w:w="1055"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szCs w:val="21"/>
              </w:rPr>
            </w:pPr>
            <w:r>
              <w:rPr>
                <w:rFonts w:hint="eastAsia" w:asciiTheme="minorEastAsia" w:hAnsiTheme="minorEastAsia" w:eastAsiaTheme="minorEastAsia" w:cstheme="minorEastAsia"/>
                <w:bCs/>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2"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szCs w:val="21"/>
              </w:rPr>
            </w:pPr>
            <w:r>
              <w:rPr>
                <w:rFonts w:hint="eastAsia" w:ascii="Times New Roman" w:hAnsi="Times New Roman" w:eastAsiaTheme="minorEastAsia"/>
                <w:bCs/>
                <w:szCs w:val="21"/>
              </w:rPr>
              <w:t>4</w:t>
            </w:r>
          </w:p>
        </w:tc>
        <w:tc>
          <w:tcPr>
            <w:tcW w:w="800" w:type="pct"/>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cs="宋体" w:eastAsiaTheme="minorEastAsia"/>
                <w:szCs w:val="21"/>
              </w:rPr>
            </w:pPr>
            <w:r>
              <w:rPr>
                <w:rFonts w:hint="eastAsia" w:ascii="宋体" w:hAnsi="宋体" w:cs="宋体" w:eastAsiaTheme="minorEastAsia"/>
                <w:szCs w:val="21"/>
              </w:rPr>
              <w:t>存储</w:t>
            </w:r>
          </w:p>
        </w:tc>
        <w:tc>
          <w:tcPr>
            <w:tcW w:w="2743" w:type="pct"/>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cs="宋体" w:eastAsiaTheme="minorEastAsia"/>
                <w:szCs w:val="21"/>
              </w:rPr>
            </w:pPr>
            <w:r>
              <w:rPr>
                <w:rFonts w:hint="eastAsia" w:ascii="宋体" w:hAnsi="宋体" w:cs="宋体" w:eastAsiaTheme="minorEastAsia"/>
                <w:szCs w:val="21"/>
              </w:rPr>
              <w:t>每节点不低于1.92T SSD*1 + 20TB HDD*24</w:t>
            </w:r>
          </w:p>
        </w:tc>
        <w:tc>
          <w:tcPr>
            <w:tcW w:w="1055"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szCs w:val="21"/>
              </w:rPr>
            </w:pPr>
            <w:r>
              <w:rPr>
                <w:rFonts w:hint="eastAsia" w:asciiTheme="minorEastAsia" w:hAnsiTheme="minorEastAsia" w:eastAsiaTheme="minorEastAsia" w:cstheme="minorEastAsia"/>
                <w:bCs/>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2"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szCs w:val="21"/>
              </w:rPr>
            </w:pPr>
            <w:r>
              <w:rPr>
                <w:rFonts w:hint="eastAsia" w:ascii="Times New Roman" w:hAnsi="Times New Roman" w:eastAsiaTheme="minorEastAsia"/>
                <w:bCs/>
                <w:szCs w:val="21"/>
              </w:rPr>
              <w:t>5</w:t>
            </w:r>
          </w:p>
        </w:tc>
        <w:tc>
          <w:tcPr>
            <w:tcW w:w="800" w:type="pct"/>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cs="宋体" w:eastAsiaTheme="minorEastAsia"/>
                <w:szCs w:val="21"/>
              </w:rPr>
            </w:pPr>
            <w:r>
              <w:rPr>
                <w:rFonts w:hint="eastAsia" w:ascii="宋体" w:hAnsi="宋体" w:cs="宋体" w:eastAsiaTheme="minorEastAsia"/>
                <w:szCs w:val="21"/>
              </w:rPr>
              <w:t>阵列卡</w:t>
            </w:r>
          </w:p>
        </w:tc>
        <w:tc>
          <w:tcPr>
            <w:tcW w:w="2743" w:type="pct"/>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cs="宋体" w:eastAsiaTheme="minorEastAsia"/>
                <w:szCs w:val="21"/>
              </w:rPr>
            </w:pPr>
            <w:r>
              <w:rPr>
                <w:rFonts w:hint="eastAsia" w:ascii="宋体" w:hAnsi="宋体" w:cs="宋体" w:eastAsiaTheme="minorEastAsia"/>
                <w:szCs w:val="21"/>
              </w:rPr>
              <w:t>每节点不低于4GB RAID卡</w:t>
            </w:r>
          </w:p>
        </w:tc>
        <w:tc>
          <w:tcPr>
            <w:tcW w:w="1055"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szCs w:val="21"/>
              </w:rPr>
            </w:pPr>
            <w:r>
              <w:rPr>
                <w:rFonts w:hint="eastAsia" w:asciiTheme="minorEastAsia" w:hAnsiTheme="minorEastAsia" w:eastAsiaTheme="minorEastAsia" w:cstheme="minorEastAsia"/>
                <w:bCs/>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2"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szCs w:val="21"/>
              </w:rPr>
            </w:pPr>
            <w:r>
              <w:rPr>
                <w:rFonts w:hint="eastAsia" w:ascii="Times New Roman" w:hAnsi="Times New Roman" w:eastAsiaTheme="minorEastAsia"/>
                <w:bCs/>
                <w:szCs w:val="21"/>
              </w:rPr>
              <w:t>6</w:t>
            </w:r>
          </w:p>
        </w:tc>
        <w:tc>
          <w:tcPr>
            <w:tcW w:w="800" w:type="pct"/>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cs="宋体" w:eastAsiaTheme="minorEastAsia"/>
                <w:szCs w:val="21"/>
              </w:rPr>
            </w:pPr>
            <w:r>
              <w:rPr>
                <w:rFonts w:hint="eastAsia" w:ascii="宋体" w:hAnsi="宋体" w:cs="宋体" w:eastAsiaTheme="minorEastAsia"/>
                <w:szCs w:val="21"/>
              </w:rPr>
              <w:t>网络</w:t>
            </w:r>
          </w:p>
        </w:tc>
        <w:tc>
          <w:tcPr>
            <w:tcW w:w="2743" w:type="pct"/>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cs="宋体" w:eastAsiaTheme="minorEastAsia"/>
                <w:szCs w:val="21"/>
              </w:rPr>
            </w:pPr>
            <w:r>
              <w:rPr>
                <w:rFonts w:hint="eastAsia" w:ascii="宋体" w:hAnsi="宋体" w:cs="宋体" w:eastAsiaTheme="minorEastAsia"/>
                <w:szCs w:val="21"/>
              </w:rPr>
              <w:t>每节点双口千兆+2张双光口25G网卡含光模块</w:t>
            </w:r>
          </w:p>
        </w:tc>
        <w:tc>
          <w:tcPr>
            <w:tcW w:w="1055"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szCs w:val="21"/>
              </w:rPr>
            </w:pPr>
            <w:r>
              <w:rPr>
                <w:rFonts w:hint="eastAsia" w:asciiTheme="minorEastAsia" w:hAnsiTheme="minorEastAsia" w:eastAsiaTheme="minorEastAsia" w:cstheme="minorEastAsia"/>
                <w:bCs/>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2"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color w:val="000000" w:themeColor="text1"/>
                <w:szCs w:val="21"/>
                <w14:textFill>
                  <w14:solidFill>
                    <w14:schemeClr w14:val="tx1"/>
                  </w14:solidFill>
                </w14:textFill>
              </w:rPr>
            </w:pPr>
            <w:r>
              <w:rPr>
                <w:rFonts w:hint="eastAsia" w:ascii="Times New Roman" w:hAnsi="Times New Roman" w:eastAsiaTheme="minorEastAsia"/>
                <w:bCs/>
                <w:color w:val="000000" w:themeColor="text1"/>
                <w:szCs w:val="21"/>
                <w14:textFill>
                  <w14:solidFill>
                    <w14:schemeClr w14:val="tx1"/>
                  </w14:solidFill>
                </w14:textFill>
              </w:rPr>
              <w:t>7</w:t>
            </w:r>
          </w:p>
        </w:tc>
        <w:tc>
          <w:tcPr>
            <w:tcW w:w="800" w:type="pct"/>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cs="宋体" w:eastAsiaTheme="minorEastAsia"/>
                <w:szCs w:val="21"/>
              </w:rPr>
            </w:pPr>
            <w:r>
              <w:rPr>
                <w:rFonts w:hint="eastAsia" w:ascii="宋体" w:hAnsi="宋体" w:cs="宋体" w:eastAsiaTheme="minorEastAsia"/>
                <w:szCs w:val="21"/>
              </w:rPr>
              <w:t>电源</w:t>
            </w:r>
          </w:p>
        </w:tc>
        <w:tc>
          <w:tcPr>
            <w:tcW w:w="2743" w:type="pct"/>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cs="宋体" w:eastAsiaTheme="minorEastAsia"/>
                <w:szCs w:val="21"/>
              </w:rPr>
            </w:pPr>
            <w:r>
              <w:rPr>
                <w:rFonts w:hint="eastAsia" w:ascii="宋体" w:hAnsi="宋体" w:cs="宋体" w:eastAsiaTheme="minorEastAsia"/>
                <w:szCs w:val="21"/>
              </w:rPr>
              <w:t>不低于1200W交流电源*2</w:t>
            </w:r>
          </w:p>
        </w:tc>
        <w:tc>
          <w:tcPr>
            <w:tcW w:w="1055"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2"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szCs w:val="21"/>
              </w:rPr>
            </w:pPr>
            <w:r>
              <w:rPr>
                <w:rFonts w:hint="eastAsia" w:ascii="Times New Roman" w:hAnsi="Times New Roman" w:eastAsiaTheme="minorEastAsia"/>
                <w:bCs/>
                <w:szCs w:val="21"/>
              </w:rPr>
              <w:t>8</w:t>
            </w:r>
          </w:p>
        </w:tc>
        <w:tc>
          <w:tcPr>
            <w:tcW w:w="800" w:type="pct"/>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cs="宋体" w:eastAsiaTheme="minorEastAsia"/>
                <w:color w:val="000000" w:themeColor="text1"/>
                <w:szCs w:val="21"/>
                <w14:textFill>
                  <w14:solidFill>
                    <w14:schemeClr w14:val="tx1"/>
                  </w14:solidFill>
                </w14:textFill>
              </w:rPr>
            </w:pPr>
            <w:r>
              <w:rPr>
                <w:rFonts w:hint="eastAsia" w:ascii="宋体" w:hAnsi="宋体" w:cs="宋体" w:eastAsiaTheme="minorEastAsia"/>
                <w:color w:val="000000" w:themeColor="text1"/>
                <w:szCs w:val="21"/>
                <w14:textFill>
                  <w14:solidFill>
                    <w14:schemeClr w14:val="tx1"/>
                  </w14:solidFill>
                </w14:textFill>
              </w:rPr>
              <w:t>分布式软件</w:t>
            </w:r>
          </w:p>
        </w:tc>
        <w:tc>
          <w:tcPr>
            <w:tcW w:w="2743" w:type="pct"/>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cs="宋体" w:eastAsiaTheme="minorEastAsia"/>
                <w:color w:val="000000" w:themeColor="text1"/>
                <w:szCs w:val="21"/>
                <w14:textFill>
                  <w14:solidFill>
                    <w14:schemeClr w14:val="tx1"/>
                  </w14:solidFill>
                </w14:textFill>
              </w:rPr>
            </w:pPr>
            <w:r>
              <w:rPr>
                <w:rFonts w:hint="eastAsia" w:ascii="宋体" w:hAnsi="宋体" w:cs="宋体" w:eastAsiaTheme="minorEastAsia"/>
                <w:color w:val="000000" w:themeColor="text1"/>
                <w:szCs w:val="21"/>
                <w14:textFill>
                  <w14:solidFill>
                    <w14:schemeClr w14:val="tx1"/>
                  </w14:solidFill>
                </w14:textFill>
              </w:rPr>
              <w:t>基于分布式存储架构，支持通用存储硬件，满足任何一个节点出现故障，不影响数据的正常访问功能</w:t>
            </w:r>
          </w:p>
        </w:tc>
        <w:tc>
          <w:tcPr>
            <w:tcW w:w="1055"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2"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szCs w:val="21"/>
              </w:rPr>
            </w:pPr>
            <w:r>
              <w:rPr>
                <w:rFonts w:hint="eastAsia" w:ascii="Times New Roman" w:hAnsi="Times New Roman" w:eastAsiaTheme="minorEastAsia"/>
                <w:bCs/>
                <w:szCs w:val="21"/>
              </w:rPr>
              <w:t>9</w:t>
            </w:r>
          </w:p>
        </w:tc>
        <w:tc>
          <w:tcPr>
            <w:tcW w:w="800" w:type="pct"/>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cs="宋体" w:eastAsiaTheme="minorEastAsia"/>
                <w:szCs w:val="21"/>
              </w:rPr>
            </w:pPr>
            <w:r>
              <w:rPr>
                <w:rFonts w:hint="eastAsia" w:ascii="宋体" w:hAnsi="宋体" w:cs="宋体" w:eastAsiaTheme="minorEastAsia"/>
                <w:szCs w:val="21"/>
              </w:rPr>
              <w:t>配套交换机</w:t>
            </w:r>
          </w:p>
        </w:tc>
        <w:tc>
          <w:tcPr>
            <w:tcW w:w="2743" w:type="pct"/>
            <w:tcBorders>
              <w:top w:val="single" w:color="auto" w:sz="4" w:space="0"/>
              <w:left w:val="single" w:color="auto" w:sz="4" w:space="0"/>
              <w:bottom w:val="single" w:color="auto" w:sz="4" w:space="0"/>
              <w:right w:val="single" w:color="auto" w:sz="4" w:space="0"/>
            </w:tcBorders>
            <w:vAlign w:val="center"/>
          </w:tcPr>
          <w:p>
            <w:pPr>
              <w:adjustRightInd w:val="0"/>
              <w:snapToGrid w:val="0"/>
              <w:rPr>
                <w:rFonts w:eastAsiaTheme="minorEastAsia"/>
                <w:color w:val="000000" w:themeColor="text1"/>
                <w:szCs w:val="21"/>
                <w14:textFill>
                  <w14:solidFill>
                    <w14:schemeClr w14:val="tx1"/>
                  </w14:solidFill>
                </w14:textFill>
              </w:rPr>
            </w:pPr>
            <w:r>
              <w:rPr>
                <w:rFonts w:hint="eastAsia" w:ascii="宋体" w:hAnsi="宋体" w:cs="宋体" w:eastAsiaTheme="minorEastAsia"/>
                <w:szCs w:val="21"/>
              </w:rPr>
              <w:t>1台24口万兆SFP+,6口40GE QSFP,至少包含14个万兆多模模块+2个40G模块</w:t>
            </w:r>
          </w:p>
        </w:tc>
        <w:tc>
          <w:tcPr>
            <w:tcW w:w="1055"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szCs w:val="21"/>
              </w:rPr>
            </w:pPr>
            <w:r>
              <w:rPr>
                <w:rFonts w:hint="eastAsia" w:ascii="Times New Roman" w:hAnsi="Times New Roman" w:eastAsiaTheme="min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2"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szCs w:val="21"/>
              </w:rPr>
            </w:pPr>
            <w:r>
              <w:rPr>
                <w:rFonts w:hint="eastAsia" w:ascii="Times New Roman" w:hAnsi="Times New Roman" w:eastAsiaTheme="minorEastAsia"/>
                <w:bCs/>
                <w:szCs w:val="21"/>
              </w:rPr>
              <w:t>10</w:t>
            </w:r>
          </w:p>
        </w:tc>
        <w:tc>
          <w:tcPr>
            <w:tcW w:w="800" w:type="pct"/>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cs="宋体" w:eastAsiaTheme="minorEastAsia"/>
                <w:color w:val="000000" w:themeColor="text1"/>
                <w:szCs w:val="21"/>
                <w14:textFill>
                  <w14:solidFill>
                    <w14:schemeClr w14:val="tx1"/>
                  </w14:solidFill>
                </w14:textFill>
              </w:rPr>
            </w:pPr>
            <w:r>
              <w:rPr>
                <w:rFonts w:hint="eastAsia" w:ascii="宋体" w:hAnsi="宋体" w:cs="宋体" w:eastAsiaTheme="minorEastAsia"/>
                <w:color w:val="000000" w:themeColor="text1"/>
                <w:szCs w:val="21"/>
                <w14:textFill>
                  <w14:solidFill>
                    <w14:schemeClr w14:val="tx1"/>
                  </w14:solidFill>
                </w14:textFill>
              </w:rPr>
              <w:t>集群管理</w:t>
            </w:r>
          </w:p>
        </w:tc>
        <w:tc>
          <w:tcPr>
            <w:tcW w:w="2743" w:type="pct"/>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cs="宋体" w:eastAsiaTheme="minorEastAsia"/>
                <w:color w:val="000000" w:themeColor="text1"/>
                <w:szCs w:val="21"/>
                <w14:textFill>
                  <w14:solidFill>
                    <w14:schemeClr w14:val="tx1"/>
                  </w14:solidFill>
                </w14:textFill>
              </w:rPr>
            </w:pPr>
            <w:r>
              <w:rPr>
                <w:rFonts w:hint="eastAsia" w:ascii="宋体" w:hAnsi="宋体" w:cs="宋体" w:eastAsiaTheme="minorEastAsia"/>
                <w:color w:val="000000" w:themeColor="text1"/>
                <w:szCs w:val="21"/>
                <w14:textFill>
                  <w14:solidFill>
                    <w14:schemeClr w14:val="tx1"/>
                  </w14:solidFill>
                </w14:textFill>
              </w:rPr>
              <w:t>提供GUI管理界面，支持运维可视化，无需第三方软件或插件，即可支持同一Web界面管理多套存储集群</w:t>
            </w:r>
          </w:p>
        </w:tc>
        <w:tc>
          <w:tcPr>
            <w:tcW w:w="1055"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软件功能截图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02"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Cs/>
                <w:szCs w:val="21"/>
              </w:rPr>
            </w:pPr>
            <w:r>
              <w:rPr>
                <w:rFonts w:hint="eastAsia" w:ascii="Times New Roman" w:hAnsi="Times New Roman" w:eastAsiaTheme="minorEastAsia"/>
                <w:bCs/>
                <w:szCs w:val="21"/>
              </w:rPr>
              <w:t>11</w:t>
            </w:r>
          </w:p>
        </w:tc>
        <w:tc>
          <w:tcPr>
            <w:tcW w:w="800" w:type="pct"/>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cs="宋体" w:eastAsiaTheme="minorEastAsia"/>
                <w:color w:val="000000" w:themeColor="text1"/>
                <w:szCs w:val="21"/>
                <w14:textFill>
                  <w14:solidFill>
                    <w14:schemeClr w14:val="tx1"/>
                  </w14:solidFill>
                </w14:textFill>
              </w:rPr>
            </w:pPr>
            <w:r>
              <w:rPr>
                <w:rFonts w:hint="eastAsia" w:ascii="宋体" w:hAnsi="宋体" w:cs="宋体" w:eastAsiaTheme="minorEastAsia"/>
                <w:color w:val="000000" w:themeColor="text1"/>
                <w:szCs w:val="21"/>
                <w14:textFill>
                  <w14:solidFill>
                    <w14:schemeClr w14:val="tx1"/>
                  </w14:solidFill>
                </w14:textFill>
              </w:rPr>
              <w:t>数据迁移</w:t>
            </w:r>
          </w:p>
        </w:tc>
        <w:tc>
          <w:tcPr>
            <w:tcW w:w="2743" w:type="pct"/>
            <w:tcBorders>
              <w:top w:val="single" w:color="auto" w:sz="4" w:space="0"/>
              <w:left w:val="single" w:color="auto" w:sz="4" w:space="0"/>
              <w:bottom w:val="single" w:color="auto" w:sz="4" w:space="0"/>
              <w:right w:val="single" w:color="auto" w:sz="4" w:space="0"/>
            </w:tcBorders>
            <w:vAlign w:val="center"/>
          </w:tcPr>
          <w:p>
            <w:pPr>
              <w:snapToGrid w:val="0"/>
              <w:rPr>
                <w:rFonts w:ascii="宋体" w:hAnsi="宋体" w:cs="宋体" w:eastAsiaTheme="minorEastAsia"/>
                <w:color w:val="000000" w:themeColor="text1"/>
                <w:szCs w:val="21"/>
                <w14:textFill>
                  <w14:solidFill>
                    <w14:schemeClr w14:val="tx1"/>
                  </w14:solidFill>
                </w14:textFill>
              </w:rPr>
            </w:pPr>
            <w:r>
              <w:rPr>
                <w:rFonts w:hint="eastAsia" w:ascii="宋体" w:hAnsi="宋体" w:cs="宋体" w:eastAsiaTheme="minorEastAsia"/>
                <w:color w:val="000000" w:themeColor="text1"/>
                <w:szCs w:val="21"/>
                <w14:textFill>
                  <w14:solidFill>
                    <w14:schemeClr w14:val="tx1"/>
                  </w14:solidFill>
                </w14:textFill>
              </w:rPr>
              <w:t>产品原生支持数据迁移功能（子模块），迁移过程可视化</w:t>
            </w:r>
          </w:p>
        </w:tc>
        <w:tc>
          <w:tcPr>
            <w:tcW w:w="1055"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软件功能截图</w:t>
            </w:r>
          </w:p>
        </w:tc>
      </w:tr>
    </w:tbl>
    <w:p>
      <w:pPr>
        <w:pStyle w:val="5"/>
        <w:spacing w:before="15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w:t>
      </w:r>
      <w:r>
        <w:rPr>
          <w:rFonts w:asciiTheme="minorEastAsia" w:hAnsiTheme="minorEastAsia" w:eastAsiaTheme="minorEastAsia" w:cstheme="minorEastAsia"/>
          <w:szCs w:val="21"/>
        </w:rPr>
        <w:t>9</w:t>
      </w:r>
      <w:r>
        <w:rPr>
          <w:rFonts w:hint="eastAsia" w:asciiTheme="minorEastAsia" w:hAnsiTheme="minorEastAsia" w:eastAsiaTheme="minorEastAsia" w:cstheme="minorEastAsia"/>
          <w:szCs w:val="21"/>
        </w:rPr>
        <w:t xml:space="preserve">包 </w:t>
      </w:r>
      <w:r>
        <w:rPr>
          <w:color w:val="000000"/>
          <w:kern w:val="0"/>
          <w:szCs w:val="21"/>
          <w:lang w:val="en-US" w:bidi="ar"/>
        </w:rPr>
        <w:t>声纹工作站Ⅰ</w:t>
      </w:r>
    </w:p>
    <w:tbl>
      <w:tblPr>
        <w:tblStyle w:val="81"/>
        <w:tblW w:w="5345" w:type="pct"/>
        <w:jc w:val="center"/>
        <w:tblLayout w:type="autofit"/>
        <w:tblCellMar>
          <w:top w:w="0" w:type="dxa"/>
          <w:left w:w="108" w:type="dxa"/>
          <w:bottom w:w="0" w:type="dxa"/>
          <w:right w:w="108" w:type="dxa"/>
        </w:tblCellMar>
      </w:tblPr>
      <w:tblGrid>
        <w:gridCol w:w="583"/>
        <w:gridCol w:w="1893"/>
        <w:gridCol w:w="5388"/>
        <w:gridCol w:w="1246"/>
      </w:tblGrid>
      <w:tr>
        <w:tblPrEx>
          <w:tblCellMar>
            <w:top w:w="0" w:type="dxa"/>
            <w:left w:w="108" w:type="dxa"/>
            <w:bottom w:w="0" w:type="dxa"/>
            <w:right w:w="108" w:type="dxa"/>
          </w:tblCellMar>
        </w:tblPrEx>
        <w:trPr>
          <w:trHeight w:val="525" w:hRule="atLeast"/>
          <w:jc w:val="center"/>
        </w:trPr>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b/>
                <w:bCs/>
                <w:szCs w:val="21"/>
              </w:rPr>
            </w:pPr>
            <w:r>
              <w:rPr>
                <w:rFonts w:hint="eastAsia" w:ascii="Times New Roman" w:hAnsi="Times New Roman" w:eastAsia="宋体"/>
                <w:b/>
                <w:bCs/>
                <w:kern w:val="0"/>
                <w:szCs w:val="21"/>
                <w:lang w:bidi="ar"/>
              </w:rPr>
              <w:t>序号</w:t>
            </w:r>
          </w:p>
        </w:tc>
        <w:tc>
          <w:tcPr>
            <w:tcW w:w="10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b/>
                <w:bCs/>
                <w:szCs w:val="21"/>
              </w:rPr>
            </w:pPr>
            <w:r>
              <w:rPr>
                <w:rFonts w:hint="eastAsia" w:ascii="Times New Roman" w:hAnsi="Times New Roman" w:eastAsia="宋体"/>
                <w:b/>
                <w:bCs/>
                <w:kern w:val="0"/>
                <w:szCs w:val="21"/>
                <w:lang w:bidi="ar"/>
              </w:rPr>
              <w:t>指标项</w:t>
            </w:r>
          </w:p>
        </w:tc>
        <w:tc>
          <w:tcPr>
            <w:tcW w:w="295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b/>
                <w:bCs/>
                <w:szCs w:val="21"/>
              </w:rPr>
            </w:pPr>
            <w:r>
              <w:rPr>
                <w:rFonts w:hint="eastAsia" w:ascii="Times New Roman" w:hAnsi="Times New Roman" w:eastAsia="宋体"/>
                <w:b/>
                <w:bCs/>
                <w:kern w:val="0"/>
                <w:szCs w:val="21"/>
                <w:lang w:bidi="ar"/>
              </w:rPr>
              <w:t>技术要求</w:t>
            </w:r>
          </w:p>
        </w:tc>
        <w:tc>
          <w:tcPr>
            <w:tcW w:w="68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b/>
                <w:bCs/>
                <w:szCs w:val="21"/>
              </w:rPr>
            </w:pPr>
            <w:r>
              <w:rPr>
                <w:rFonts w:hint="eastAsia" w:ascii="Times New Roman" w:hAnsi="Times New Roman" w:eastAsia="宋体"/>
                <w:b/>
                <w:bCs/>
                <w:kern w:val="0"/>
                <w:szCs w:val="21"/>
                <w:lang w:bidi="ar"/>
              </w:rPr>
              <w:t>证明材料要求</w:t>
            </w:r>
          </w:p>
        </w:tc>
      </w:tr>
      <w:tr>
        <w:tblPrEx>
          <w:tblCellMar>
            <w:top w:w="0" w:type="dxa"/>
            <w:left w:w="108" w:type="dxa"/>
            <w:bottom w:w="0" w:type="dxa"/>
            <w:right w:w="108" w:type="dxa"/>
          </w:tblCellMar>
        </w:tblPrEx>
        <w:trPr>
          <w:trHeight w:val="525" w:hRule="atLeast"/>
          <w:jc w:val="center"/>
        </w:trPr>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1</w:t>
            </w:r>
          </w:p>
        </w:tc>
        <w:tc>
          <w:tcPr>
            <w:tcW w:w="10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架构</w:t>
            </w:r>
          </w:p>
        </w:tc>
        <w:tc>
          <w:tcPr>
            <w:tcW w:w="295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集成一体化工作台，模块化设计</w:t>
            </w:r>
          </w:p>
        </w:tc>
        <w:tc>
          <w:tcPr>
            <w:tcW w:w="68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原厂证明材料</w:t>
            </w:r>
          </w:p>
        </w:tc>
      </w:tr>
      <w:tr>
        <w:tblPrEx>
          <w:tblCellMar>
            <w:top w:w="0" w:type="dxa"/>
            <w:left w:w="108" w:type="dxa"/>
            <w:bottom w:w="0" w:type="dxa"/>
            <w:right w:w="108" w:type="dxa"/>
          </w:tblCellMar>
        </w:tblPrEx>
        <w:trPr>
          <w:trHeight w:val="788" w:hRule="atLeast"/>
          <w:jc w:val="center"/>
        </w:trPr>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2</w:t>
            </w:r>
          </w:p>
        </w:tc>
        <w:tc>
          <w:tcPr>
            <w:tcW w:w="103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基本图谱显示</w:t>
            </w:r>
          </w:p>
        </w:tc>
        <w:tc>
          <w:tcPr>
            <w:tcW w:w="295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支持音频文件以不少于9种语谱图方式展示，包括时域波形图、宽带语图、窄带语图、共振峰、基频、能量曲线、过零率曲线、倒谱、直方图等多种特征图谱</w:t>
            </w:r>
          </w:p>
        </w:tc>
        <w:tc>
          <w:tcPr>
            <w:tcW w:w="68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软件功能截图</w:t>
            </w:r>
          </w:p>
        </w:tc>
      </w:tr>
      <w:tr>
        <w:tblPrEx>
          <w:tblCellMar>
            <w:top w:w="0" w:type="dxa"/>
            <w:left w:w="108" w:type="dxa"/>
            <w:bottom w:w="0" w:type="dxa"/>
            <w:right w:w="108" w:type="dxa"/>
          </w:tblCellMar>
        </w:tblPrEx>
        <w:trPr>
          <w:trHeight w:val="525" w:hRule="atLeast"/>
          <w:jc w:val="center"/>
        </w:trPr>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3</w:t>
            </w:r>
          </w:p>
        </w:tc>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295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支持在宽带语图、窄带语图上叠加显示不少于4种曲线，包括共振峰、基频、能量、过零率曲线</w:t>
            </w:r>
          </w:p>
        </w:tc>
        <w:tc>
          <w:tcPr>
            <w:tcW w:w="68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软件功能截图</w:t>
            </w:r>
          </w:p>
        </w:tc>
      </w:tr>
      <w:tr>
        <w:tblPrEx>
          <w:tblCellMar>
            <w:top w:w="0" w:type="dxa"/>
            <w:left w:w="108" w:type="dxa"/>
            <w:bottom w:w="0" w:type="dxa"/>
            <w:right w:w="108" w:type="dxa"/>
          </w:tblCellMar>
        </w:tblPrEx>
        <w:trPr>
          <w:trHeight w:val="525" w:hRule="atLeast"/>
          <w:jc w:val="center"/>
        </w:trPr>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4</w:t>
            </w:r>
          </w:p>
        </w:tc>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295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支持在倒谱图或自相关图上叠加显示不少于4种曲线，包括共振峰、基频、能量、过零率曲线</w:t>
            </w:r>
          </w:p>
        </w:tc>
        <w:tc>
          <w:tcPr>
            <w:tcW w:w="68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软件功能截图</w:t>
            </w:r>
          </w:p>
        </w:tc>
      </w:tr>
      <w:tr>
        <w:tblPrEx>
          <w:tblCellMar>
            <w:top w:w="0" w:type="dxa"/>
            <w:left w:w="108" w:type="dxa"/>
            <w:bottom w:w="0" w:type="dxa"/>
            <w:right w:w="108" w:type="dxa"/>
          </w:tblCellMar>
        </w:tblPrEx>
        <w:trPr>
          <w:trHeight w:val="525" w:hRule="atLeast"/>
          <w:jc w:val="center"/>
        </w:trPr>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5</w:t>
            </w:r>
          </w:p>
        </w:tc>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295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支持在宽带语图、窄带语图、波形图等不少于3种模式下，对纵轴进行锁定、缩放和取消锁定等操作</w:t>
            </w:r>
          </w:p>
        </w:tc>
        <w:tc>
          <w:tcPr>
            <w:tcW w:w="68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软件功能截图</w:t>
            </w:r>
          </w:p>
        </w:tc>
      </w:tr>
      <w:tr>
        <w:tblPrEx>
          <w:tblCellMar>
            <w:top w:w="0" w:type="dxa"/>
            <w:left w:w="108" w:type="dxa"/>
            <w:bottom w:w="0" w:type="dxa"/>
            <w:right w:w="108" w:type="dxa"/>
          </w:tblCellMar>
        </w:tblPrEx>
        <w:trPr>
          <w:trHeight w:val="788" w:hRule="atLeast"/>
          <w:jc w:val="center"/>
        </w:trPr>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kern w:val="0"/>
                <w:szCs w:val="21"/>
                <w:lang w:bidi="ar"/>
              </w:rPr>
            </w:pPr>
            <w:r>
              <w:rPr>
                <w:rFonts w:hint="eastAsia" w:ascii="Times New Roman" w:hAnsi="Times New Roman" w:eastAsia="宋体"/>
                <w:kern w:val="0"/>
                <w:szCs w:val="21"/>
                <w:lang w:bidi="ar"/>
              </w:rPr>
              <w:t>6</w:t>
            </w:r>
          </w:p>
        </w:tc>
        <w:tc>
          <w:tcPr>
            <w:tcW w:w="1039" w:type="pct"/>
            <w:vMerge w:val="restart"/>
            <w:tcBorders>
              <w:top w:val="single" w:color="000000" w:sz="4" w:space="0"/>
              <w:left w:val="single" w:color="000000" w:sz="4" w:space="0"/>
              <w:right w:val="single" w:color="000000" w:sz="4" w:space="0"/>
            </w:tcBorders>
            <w:shd w:val="clear" w:color="auto" w:fill="auto"/>
            <w:vAlign w:val="center"/>
          </w:tcPr>
          <w:p>
            <w:pPr>
              <w:jc w:val="center"/>
              <w:textAlignment w:val="center"/>
              <w:rPr>
                <w:rFonts w:ascii="Times New Roman" w:hAnsi="Times New Roman" w:eastAsia="宋体"/>
                <w:kern w:val="0"/>
                <w:szCs w:val="21"/>
                <w:lang w:bidi="ar"/>
              </w:rPr>
            </w:pPr>
            <w:r>
              <w:rPr>
                <w:rFonts w:hint="eastAsia" w:ascii="Times New Roman" w:hAnsi="Times New Roman" w:eastAsia="宋体"/>
                <w:kern w:val="0"/>
                <w:szCs w:val="21"/>
                <w:lang w:bidi="ar"/>
              </w:rPr>
              <w:t>频谱分析</w:t>
            </w:r>
          </w:p>
        </w:tc>
        <w:tc>
          <w:tcPr>
            <w:tcW w:w="295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kern w:val="0"/>
                <w:szCs w:val="21"/>
                <w:lang w:bidi="ar"/>
              </w:rPr>
            </w:pPr>
            <w:r>
              <w:rPr>
                <w:rFonts w:hint="eastAsia" w:ascii="Times New Roman" w:hAnsi="Times New Roman" w:eastAsia="宋体"/>
                <w:kern w:val="0"/>
                <w:szCs w:val="21"/>
                <w:lang w:bidi="ar"/>
              </w:rPr>
              <w:t>支持不少于2种频谱计算方式，包括FFT谱、LPC谱</w:t>
            </w:r>
          </w:p>
        </w:tc>
        <w:tc>
          <w:tcPr>
            <w:tcW w:w="68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kern w:val="0"/>
                <w:szCs w:val="21"/>
                <w:lang w:bidi="ar"/>
              </w:rPr>
            </w:pPr>
            <w:r>
              <w:rPr>
                <w:rFonts w:hint="eastAsia" w:ascii="Times New Roman" w:hAnsi="Times New Roman" w:eastAsia="宋体"/>
                <w:kern w:val="0"/>
                <w:szCs w:val="21"/>
                <w:lang w:bidi="ar"/>
              </w:rPr>
              <w:t>软件功能截图</w:t>
            </w:r>
          </w:p>
        </w:tc>
      </w:tr>
      <w:tr>
        <w:tblPrEx>
          <w:tblCellMar>
            <w:top w:w="0" w:type="dxa"/>
            <w:left w:w="108" w:type="dxa"/>
            <w:bottom w:w="0" w:type="dxa"/>
            <w:right w:w="108" w:type="dxa"/>
          </w:tblCellMar>
        </w:tblPrEx>
        <w:trPr>
          <w:trHeight w:val="788" w:hRule="atLeast"/>
          <w:jc w:val="center"/>
        </w:trPr>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kern w:val="0"/>
                <w:szCs w:val="21"/>
                <w:lang w:bidi="ar"/>
              </w:rPr>
            </w:pPr>
            <w:r>
              <w:rPr>
                <w:rFonts w:hint="eastAsia" w:ascii="Times New Roman" w:hAnsi="Times New Roman" w:eastAsia="宋体"/>
                <w:kern w:val="0"/>
                <w:szCs w:val="21"/>
                <w:lang w:bidi="ar"/>
              </w:rPr>
              <w:t>7</w:t>
            </w:r>
          </w:p>
        </w:tc>
        <w:tc>
          <w:tcPr>
            <w:tcW w:w="1039" w:type="pct"/>
            <w:vMerge w:val="continue"/>
            <w:tcBorders>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kern w:val="0"/>
                <w:szCs w:val="21"/>
                <w:lang w:bidi="ar"/>
              </w:rPr>
            </w:pPr>
          </w:p>
        </w:tc>
        <w:tc>
          <w:tcPr>
            <w:tcW w:w="295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kern w:val="0"/>
                <w:szCs w:val="21"/>
                <w:lang w:bidi="ar"/>
              </w:rPr>
            </w:pPr>
            <w:r>
              <w:rPr>
                <w:rFonts w:hint="eastAsia" w:ascii="Times New Roman" w:hAnsi="Times New Roman" w:eastAsia="宋体"/>
                <w:kern w:val="0"/>
                <w:szCs w:val="21"/>
                <w:lang w:bidi="ar"/>
              </w:rPr>
              <w:t>支持短时或长时的2种频谱，包括LPC线性谱、FFT谱的放大与缩小查看</w:t>
            </w:r>
          </w:p>
        </w:tc>
        <w:tc>
          <w:tcPr>
            <w:tcW w:w="68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kern w:val="0"/>
                <w:szCs w:val="21"/>
                <w:lang w:bidi="ar"/>
              </w:rPr>
            </w:pPr>
            <w:r>
              <w:rPr>
                <w:rFonts w:hint="eastAsia" w:ascii="Times New Roman" w:hAnsi="Times New Roman" w:eastAsia="宋体"/>
                <w:kern w:val="0"/>
                <w:szCs w:val="21"/>
                <w:lang w:bidi="ar"/>
              </w:rPr>
              <w:t>软件功能截图</w:t>
            </w:r>
          </w:p>
        </w:tc>
      </w:tr>
      <w:tr>
        <w:tblPrEx>
          <w:tblCellMar>
            <w:top w:w="0" w:type="dxa"/>
            <w:left w:w="108" w:type="dxa"/>
            <w:bottom w:w="0" w:type="dxa"/>
            <w:right w:w="108" w:type="dxa"/>
          </w:tblCellMar>
        </w:tblPrEx>
        <w:trPr>
          <w:trHeight w:val="788" w:hRule="atLeast"/>
          <w:jc w:val="center"/>
        </w:trPr>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8</w:t>
            </w:r>
          </w:p>
        </w:tc>
        <w:tc>
          <w:tcPr>
            <w:tcW w:w="103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鉴定报告</w:t>
            </w:r>
          </w:p>
        </w:tc>
        <w:tc>
          <w:tcPr>
            <w:tcW w:w="295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提供《检验记录》模板，《检验记录》至少包括：基本信息、检材与样本、分别检验、听觉检验、频谱比对、综合评断鉴定意见等模块</w:t>
            </w:r>
          </w:p>
        </w:tc>
        <w:tc>
          <w:tcPr>
            <w:tcW w:w="68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软件功能截图</w:t>
            </w:r>
          </w:p>
        </w:tc>
      </w:tr>
      <w:tr>
        <w:tblPrEx>
          <w:tblCellMar>
            <w:top w:w="0" w:type="dxa"/>
            <w:left w:w="108" w:type="dxa"/>
            <w:bottom w:w="0" w:type="dxa"/>
            <w:right w:w="108" w:type="dxa"/>
          </w:tblCellMar>
        </w:tblPrEx>
        <w:trPr>
          <w:trHeight w:val="525" w:hRule="atLeast"/>
          <w:jc w:val="center"/>
        </w:trPr>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9</w:t>
            </w:r>
          </w:p>
        </w:tc>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295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支持导入分析比对、数据截图等内容，并最终生成word报告文档</w:t>
            </w:r>
          </w:p>
        </w:tc>
        <w:tc>
          <w:tcPr>
            <w:tcW w:w="68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软件功能截图</w:t>
            </w:r>
          </w:p>
        </w:tc>
      </w:tr>
      <w:tr>
        <w:tblPrEx>
          <w:tblCellMar>
            <w:top w:w="0" w:type="dxa"/>
            <w:left w:w="108" w:type="dxa"/>
            <w:bottom w:w="0" w:type="dxa"/>
            <w:right w:w="108" w:type="dxa"/>
          </w:tblCellMar>
        </w:tblPrEx>
        <w:trPr>
          <w:trHeight w:val="525" w:hRule="atLeast"/>
          <w:jc w:val="center"/>
        </w:trPr>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10</w:t>
            </w:r>
          </w:p>
        </w:tc>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295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支持检验记录及鉴定意见预览或导出</w:t>
            </w:r>
          </w:p>
        </w:tc>
        <w:tc>
          <w:tcPr>
            <w:tcW w:w="68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软件功能截图</w:t>
            </w:r>
          </w:p>
        </w:tc>
      </w:tr>
      <w:tr>
        <w:tblPrEx>
          <w:tblCellMar>
            <w:top w:w="0" w:type="dxa"/>
            <w:left w:w="108" w:type="dxa"/>
            <w:bottom w:w="0" w:type="dxa"/>
            <w:right w:w="108" w:type="dxa"/>
          </w:tblCellMar>
        </w:tblPrEx>
        <w:trPr>
          <w:trHeight w:val="525" w:hRule="atLeast"/>
          <w:jc w:val="center"/>
        </w:trPr>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11</w:t>
            </w:r>
          </w:p>
        </w:tc>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295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提供检验记录预设模板，支持对综合评断和鉴定意见等预设内容进行修改</w:t>
            </w:r>
          </w:p>
        </w:tc>
        <w:tc>
          <w:tcPr>
            <w:tcW w:w="68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软件功能截图</w:t>
            </w:r>
          </w:p>
        </w:tc>
      </w:tr>
      <w:tr>
        <w:tblPrEx>
          <w:tblCellMar>
            <w:top w:w="0" w:type="dxa"/>
            <w:left w:w="108" w:type="dxa"/>
            <w:bottom w:w="0" w:type="dxa"/>
            <w:right w:w="108" w:type="dxa"/>
          </w:tblCellMar>
        </w:tblPrEx>
        <w:trPr>
          <w:trHeight w:val="525" w:hRule="atLeast"/>
          <w:jc w:val="center"/>
        </w:trPr>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12</w:t>
            </w:r>
          </w:p>
        </w:tc>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295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内置常用技术规范，支持预览、添加或删除等操作</w:t>
            </w:r>
          </w:p>
        </w:tc>
        <w:tc>
          <w:tcPr>
            <w:tcW w:w="68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软件功能截图</w:t>
            </w:r>
          </w:p>
        </w:tc>
      </w:tr>
      <w:tr>
        <w:tblPrEx>
          <w:tblCellMar>
            <w:top w:w="0" w:type="dxa"/>
            <w:left w:w="108" w:type="dxa"/>
            <w:bottom w:w="0" w:type="dxa"/>
            <w:right w:w="108" w:type="dxa"/>
          </w:tblCellMar>
        </w:tblPrEx>
        <w:trPr>
          <w:trHeight w:val="525" w:hRule="atLeast"/>
          <w:jc w:val="center"/>
        </w:trPr>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13</w:t>
            </w:r>
          </w:p>
        </w:tc>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295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内置常用多种格式的鉴定文书，支持下载、添加或删除操作</w:t>
            </w:r>
          </w:p>
        </w:tc>
        <w:tc>
          <w:tcPr>
            <w:tcW w:w="68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软件功能截图</w:t>
            </w:r>
          </w:p>
        </w:tc>
      </w:tr>
      <w:tr>
        <w:tblPrEx>
          <w:tblCellMar>
            <w:top w:w="0" w:type="dxa"/>
            <w:left w:w="108" w:type="dxa"/>
            <w:bottom w:w="0" w:type="dxa"/>
            <w:right w:w="108" w:type="dxa"/>
          </w:tblCellMar>
        </w:tblPrEx>
        <w:trPr>
          <w:trHeight w:val="788" w:hRule="atLeast"/>
          <w:jc w:val="center"/>
        </w:trPr>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14</w:t>
            </w:r>
          </w:p>
        </w:tc>
        <w:tc>
          <w:tcPr>
            <w:tcW w:w="10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2957"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鉴定文书至少包括：概论、检验、论证和鉴定意见等模块。其中论证内容和鉴定意见提供预设模板和自定义模板；支持对模板内容进行修改</w:t>
            </w:r>
          </w:p>
        </w:tc>
        <w:tc>
          <w:tcPr>
            <w:tcW w:w="68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软件功能截图</w:t>
            </w:r>
          </w:p>
        </w:tc>
      </w:tr>
    </w:tbl>
    <w:p>
      <w:pPr>
        <w:pStyle w:val="5"/>
        <w:spacing w:before="156"/>
        <w:rPr>
          <w:color w:val="000000"/>
          <w:kern w:val="0"/>
          <w:szCs w:val="21"/>
          <w:lang w:val="en-US" w:bidi="ar"/>
        </w:rPr>
      </w:pPr>
      <w:r>
        <w:rPr>
          <w:rFonts w:hint="eastAsia" w:asciiTheme="minorEastAsia" w:hAnsiTheme="minorEastAsia" w:eastAsiaTheme="minorEastAsia" w:cstheme="minorEastAsia"/>
          <w:szCs w:val="21"/>
        </w:rPr>
        <w:t>第1</w:t>
      </w:r>
      <w:r>
        <w:rPr>
          <w:rFonts w:asciiTheme="minorEastAsia" w:hAnsiTheme="minorEastAsia" w:eastAsiaTheme="minorEastAsia" w:cstheme="minorEastAsia"/>
          <w:szCs w:val="21"/>
        </w:rPr>
        <w:t>0</w:t>
      </w:r>
      <w:r>
        <w:rPr>
          <w:rFonts w:hint="eastAsia" w:asciiTheme="minorEastAsia" w:hAnsiTheme="minorEastAsia" w:eastAsiaTheme="minorEastAsia" w:cstheme="minorEastAsia"/>
          <w:szCs w:val="21"/>
        </w:rPr>
        <w:t>包 声纹工作站</w:t>
      </w:r>
      <w:r>
        <w:rPr>
          <w:color w:val="000000"/>
          <w:kern w:val="0"/>
          <w:szCs w:val="21"/>
          <w:lang w:val="en-US" w:bidi="ar"/>
        </w:rPr>
        <w:t>Ⅱ</w:t>
      </w:r>
    </w:p>
    <w:tbl>
      <w:tblPr>
        <w:tblStyle w:val="8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7"/>
        <w:gridCol w:w="872"/>
        <w:gridCol w:w="5671"/>
        <w:gridCol w:w="1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37" w:type="dxa"/>
            <w:vAlign w:val="center"/>
          </w:tcPr>
          <w:p>
            <w:pPr>
              <w:jc w:val="center"/>
              <w:rPr>
                <w:rFonts w:ascii="Times New Roman" w:hAnsi="Times New Roman" w:eastAsia="宋体"/>
                <w:b/>
                <w:color w:val="000000"/>
                <w:szCs w:val="21"/>
              </w:rPr>
            </w:pPr>
            <w:r>
              <w:rPr>
                <w:rFonts w:hint="eastAsia" w:ascii="Times New Roman" w:hAnsi="Times New Roman" w:eastAsia="宋体"/>
                <w:b/>
                <w:color w:val="000000"/>
                <w:szCs w:val="21"/>
              </w:rPr>
              <w:t>序号</w:t>
            </w:r>
          </w:p>
        </w:tc>
        <w:tc>
          <w:tcPr>
            <w:tcW w:w="872" w:type="dxa"/>
            <w:vAlign w:val="center"/>
          </w:tcPr>
          <w:p>
            <w:pPr>
              <w:jc w:val="center"/>
              <w:rPr>
                <w:rFonts w:ascii="Times New Roman" w:hAnsi="Times New Roman" w:eastAsia="宋体"/>
                <w:b/>
                <w:color w:val="000000"/>
                <w:szCs w:val="21"/>
              </w:rPr>
            </w:pPr>
            <w:r>
              <w:rPr>
                <w:rFonts w:ascii="Times New Roman" w:hAnsi="Times New Roman" w:eastAsia="宋体"/>
                <w:b/>
                <w:color w:val="000000"/>
                <w:szCs w:val="21"/>
              </w:rPr>
              <w:t>指标项</w:t>
            </w:r>
          </w:p>
        </w:tc>
        <w:tc>
          <w:tcPr>
            <w:tcW w:w="5671" w:type="dxa"/>
            <w:vAlign w:val="center"/>
          </w:tcPr>
          <w:p>
            <w:pPr>
              <w:jc w:val="center"/>
              <w:rPr>
                <w:rFonts w:ascii="Times New Roman" w:hAnsi="Times New Roman" w:eastAsia="宋体"/>
                <w:b/>
                <w:color w:val="000000"/>
                <w:szCs w:val="21"/>
              </w:rPr>
            </w:pPr>
            <w:r>
              <w:rPr>
                <w:rFonts w:hint="eastAsia" w:ascii="Times New Roman" w:hAnsi="Times New Roman" w:eastAsia="宋体"/>
                <w:b/>
                <w:color w:val="000000"/>
                <w:szCs w:val="21"/>
              </w:rPr>
              <w:t>指标</w:t>
            </w:r>
            <w:r>
              <w:rPr>
                <w:rFonts w:ascii="Times New Roman" w:hAnsi="Times New Roman" w:eastAsia="宋体"/>
                <w:b/>
                <w:color w:val="000000"/>
                <w:szCs w:val="21"/>
              </w:rPr>
              <w:t>要求</w:t>
            </w:r>
          </w:p>
        </w:tc>
        <w:tc>
          <w:tcPr>
            <w:tcW w:w="1182" w:type="dxa"/>
            <w:vAlign w:val="center"/>
          </w:tcPr>
          <w:p>
            <w:pPr>
              <w:jc w:val="center"/>
              <w:rPr>
                <w:rFonts w:ascii="Times New Roman" w:hAnsi="Times New Roman" w:eastAsia="宋体"/>
                <w:b/>
                <w:color w:val="000000"/>
                <w:szCs w:val="21"/>
              </w:rPr>
            </w:pPr>
            <w:r>
              <w:rPr>
                <w:rFonts w:ascii="Times New Roman" w:hAnsi="Times New Roman" w:eastAsia="宋体"/>
                <w:b/>
                <w:color w:val="000000"/>
                <w:szCs w:val="21"/>
              </w:rPr>
              <w:t>证明材料</w:t>
            </w:r>
            <w:r>
              <w:rPr>
                <w:rFonts w:hint="eastAsia" w:ascii="Times New Roman" w:hAnsi="Times New Roman" w:eastAsia="宋体"/>
                <w:b/>
                <w:color w:val="000000"/>
                <w:szCs w:val="21"/>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7" w:type="dxa"/>
            <w:vAlign w:val="center"/>
          </w:tcPr>
          <w:p>
            <w:pPr>
              <w:numPr>
                <w:ilvl w:val="0"/>
                <w:numId w:val="63"/>
              </w:numPr>
              <w:jc w:val="center"/>
              <w:rPr>
                <w:rFonts w:ascii="Times New Roman" w:hAnsi="Times New Roman" w:eastAsia="宋体"/>
                <w:bCs/>
                <w:color w:val="000000"/>
                <w:szCs w:val="21"/>
              </w:rPr>
            </w:pPr>
          </w:p>
        </w:tc>
        <w:tc>
          <w:tcPr>
            <w:tcW w:w="872" w:type="dxa"/>
            <w:vAlign w:val="center"/>
          </w:tcPr>
          <w:p>
            <w:pPr>
              <w:tabs>
                <w:tab w:val="left" w:pos="926"/>
              </w:tabs>
              <w:jc w:val="center"/>
              <w:rPr>
                <w:rFonts w:ascii="Times New Roman" w:hAnsi="Times New Roman" w:eastAsia="宋体"/>
                <w:color w:val="000000"/>
                <w:szCs w:val="21"/>
                <w:lang w:val="en-US"/>
              </w:rPr>
            </w:pPr>
            <w:r>
              <w:rPr>
                <w:rFonts w:hint="eastAsia" w:ascii="Times New Roman" w:hAnsi="Times New Roman" w:eastAsia="宋体"/>
                <w:szCs w:val="21"/>
                <w:lang w:val="en-US"/>
              </w:rPr>
              <w:t>工作站工作台</w:t>
            </w:r>
          </w:p>
        </w:tc>
        <w:tc>
          <w:tcPr>
            <w:tcW w:w="5671" w:type="dxa"/>
            <w:vAlign w:val="center"/>
          </w:tcPr>
          <w:p>
            <w:pPr>
              <w:tabs>
                <w:tab w:val="left" w:pos="926"/>
              </w:tabs>
              <w:jc w:val="both"/>
              <w:rPr>
                <w:rFonts w:ascii="Times New Roman" w:hAnsi="Times New Roman" w:eastAsia="宋体"/>
                <w:szCs w:val="21"/>
                <w:lang w:val="en-US"/>
              </w:rPr>
            </w:pPr>
            <w:r>
              <w:rPr>
                <w:rFonts w:hint="eastAsia" w:ascii="Times New Roman" w:hAnsi="Times New Roman" w:eastAsia="宋体"/>
                <w:szCs w:val="21"/>
                <w:lang w:val="en-US"/>
              </w:rPr>
              <w:t>耳机支架、可移动屏幕支架、环绕LED灯带、摄像头、手机无线充模块、电话接口、万兆网口、只读读卡器接口、隐藏式音频接口、不少于4个5孔220V电源接口、两通道话筒/线路的输入和播放、独立的耳机/音箱输出控制、不低于14寸交互触摸屏、不少于3个SATA硬盘读写仓、不少于4个USB接口、信号屏蔽区、DVD蓝光刻录光驱、尺寸：不低于(D)900mm*(W)1950mm(H)770</w:t>
            </w:r>
          </w:p>
        </w:tc>
        <w:tc>
          <w:tcPr>
            <w:tcW w:w="1182" w:type="dxa"/>
            <w:vAlign w:val="center"/>
          </w:tcPr>
          <w:p>
            <w:pPr>
              <w:jc w:val="center"/>
              <w:rPr>
                <w:rFonts w:ascii="Times New Roman" w:hAnsi="Times New Roman" w:eastAsia="宋体"/>
                <w:color w:val="000000"/>
                <w:szCs w:val="21"/>
                <w:lang w:val="en-US"/>
              </w:rPr>
            </w:pPr>
            <w:r>
              <w:rPr>
                <w:rFonts w:hint="eastAsia" w:ascii="Times New Roman" w:hAnsi="Times New Roman" w:eastAsia="宋体"/>
                <w:szCs w:val="21"/>
                <w:lang w:val="en-US"/>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7" w:type="dxa"/>
            <w:vAlign w:val="center"/>
          </w:tcPr>
          <w:p>
            <w:pPr>
              <w:numPr>
                <w:ilvl w:val="0"/>
                <w:numId w:val="63"/>
              </w:numPr>
              <w:jc w:val="center"/>
              <w:rPr>
                <w:rFonts w:ascii="Times New Roman" w:hAnsi="Times New Roman" w:eastAsia="宋体"/>
                <w:bCs/>
                <w:color w:val="000000"/>
                <w:szCs w:val="21"/>
              </w:rPr>
            </w:pPr>
          </w:p>
        </w:tc>
        <w:tc>
          <w:tcPr>
            <w:tcW w:w="872" w:type="dxa"/>
            <w:vAlign w:val="center"/>
          </w:tcPr>
          <w:p>
            <w:pPr>
              <w:tabs>
                <w:tab w:val="left" w:pos="926"/>
              </w:tabs>
              <w:jc w:val="center"/>
              <w:rPr>
                <w:rFonts w:ascii="Times New Roman" w:hAnsi="Times New Roman" w:eastAsia="宋体"/>
                <w:color w:val="000000"/>
                <w:szCs w:val="21"/>
                <w:lang w:val="en-US"/>
              </w:rPr>
            </w:pPr>
            <w:r>
              <w:rPr>
                <w:rFonts w:hint="eastAsia" w:ascii="Times New Roman" w:hAnsi="Times New Roman" w:eastAsia="宋体"/>
                <w:color w:val="000000"/>
                <w:szCs w:val="21"/>
                <w:lang w:val="en-US"/>
              </w:rPr>
              <w:t>工作站主机</w:t>
            </w:r>
            <w:r>
              <w:rPr>
                <w:rFonts w:hint="eastAsia" w:ascii="Times New Roman" w:hAnsi="Times New Roman" w:eastAsia="宋体"/>
                <w:szCs w:val="21"/>
                <w:lang w:val="en-US"/>
              </w:rPr>
              <w:t>、显示器</w:t>
            </w:r>
          </w:p>
        </w:tc>
        <w:tc>
          <w:tcPr>
            <w:tcW w:w="5671" w:type="dxa"/>
            <w:vAlign w:val="center"/>
          </w:tcPr>
          <w:p>
            <w:pPr>
              <w:tabs>
                <w:tab w:val="left" w:pos="926"/>
              </w:tabs>
              <w:jc w:val="both"/>
              <w:rPr>
                <w:rFonts w:ascii="Times New Roman" w:hAnsi="Times New Roman" w:eastAsia="宋体"/>
                <w:color w:val="000000"/>
                <w:szCs w:val="21"/>
                <w:lang w:val="en-US"/>
              </w:rPr>
            </w:pPr>
            <w:r>
              <w:rPr>
                <w:rFonts w:hint="eastAsia" w:ascii="Times New Roman" w:hAnsi="Times New Roman" w:eastAsia="宋体"/>
                <w:szCs w:val="21"/>
                <w:lang w:val="en-US"/>
              </w:rPr>
              <w:t>处理器：最大加速频率≥6GHz、内核数≥24核心、线程数≥32线程；内存：不少于64GB DDR5、显卡：不低于RTX 4070 12G、硬盘：不少于2×1TB SSD硬盘+机械硬盘4×4TB；显示器：不少于2，≥34英寸、分辨率≥3440X1440、刷新率75-144Hz</w:t>
            </w:r>
          </w:p>
        </w:tc>
        <w:tc>
          <w:tcPr>
            <w:tcW w:w="1182" w:type="dxa"/>
            <w:vAlign w:val="center"/>
          </w:tcPr>
          <w:p>
            <w:pPr>
              <w:jc w:val="center"/>
              <w:rPr>
                <w:rFonts w:ascii="Times New Roman" w:hAnsi="Times New Roman" w:eastAsia="宋体"/>
                <w:color w:val="000000"/>
                <w:szCs w:val="21"/>
                <w:lang w:val="en-US"/>
              </w:rPr>
            </w:pPr>
            <w:r>
              <w:rPr>
                <w:rFonts w:hint="eastAsia" w:ascii="Times New Roman" w:hAnsi="Times New Roman" w:eastAsia="宋体"/>
                <w:szCs w:val="21"/>
                <w:lang w:val="en-US"/>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7" w:type="dxa"/>
            <w:vAlign w:val="center"/>
          </w:tcPr>
          <w:p>
            <w:pPr>
              <w:numPr>
                <w:ilvl w:val="0"/>
                <w:numId w:val="63"/>
              </w:numPr>
              <w:jc w:val="center"/>
              <w:rPr>
                <w:rFonts w:ascii="Times New Roman" w:hAnsi="Times New Roman" w:eastAsia="宋体"/>
                <w:bCs/>
                <w:color w:val="000000"/>
                <w:szCs w:val="21"/>
              </w:rPr>
            </w:pPr>
          </w:p>
        </w:tc>
        <w:tc>
          <w:tcPr>
            <w:tcW w:w="872" w:type="dxa"/>
            <w:vAlign w:val="center"/>
          </w:tcPr>
          <w:p>
            <w:pPr>
              <w:tabs>
                <w:tab w:val="left" w:pos="926"/>
              </w:tabs>
              <w:jc w:val="center"/>
              <w:rPr>
                <w:rFonts w:ascii="Times New Roman" w:hAnsi="Times New Roman" w:eastAsia="宋体"/>
                <w:color w:val="000000"/>
                <w:szCs w:val="21"/>
                <w:lang w:val="en-US"/>
              </w:rPr>
            </w:pPr>
            <w:r>
              <w:rPr>
                <w:rFonts w:hint="eastAsia" w:ascii="Times New Roman" w:hAnsi="Times New Roman" w:eastAsia="宋体"/>
                <w:szCs w:val="21"/>
                <w:lang w:val="en-US"/>
              </w:rPr>
              <w:t>监听耳机</w:t>
            </w:r>
          </w:p>
        </w:tc>
        <w:tc>
          <w:tcPr>
            <w:tcW w:w="5671" w:type="dxa"/>
            <w:vAlign w:val="center"/>
          </w:tcPr>
          <w:p>
            <w:pPr>
              <w:tabs>
                <w:tab w:val="left" w:pos="926"/>
              </w:tabs>
              <w:jc w:val="both"/>
              <w:rPr>
                <w:rFonts w:ascii="Times New Roman" w:hAnsi="Times New Roman" w:eastAsia="宋体"/>
                <w:color w:val="000000"/>
                <w:szCs w:val="21"/>
                <w:lang w:val="en-US"/>
              </w:rPr>
            </w:pPr>
            <w:r>
              <w:rPr>
                <w:rFonts w:hint="eastAsia" w:ascii="Times New Roman" w:hAnsi="Times New Roman" w:eastAsia="宋体"/>
                <w:szCs w:val="21"/>
                <w:lang w:val="en-US"/>
              </w:rPr>
              <w:t>响应频率:10Hz-50kHz、灵敏度:≥94dB、阻抗：20Ω</w:t>
            </w:r>
          </w:p>
        </w:tc>
        <w:tc>
          <w:tcPr>
            <w:tcW w:w="1182" w:type="dxa"/>
            <w:vAlign w:val="center"/>
          </w:tcPr>
          <w:p>
            <w:pPr>
              <w:jc w:val="center"/>
              <w:rPr>
                <w:rFonts w:ascii="Times New Roman" w:hAnsi="Times New Roman" w:eastAsia="宋体"/>
                <w:color w:val="000000"/>
                <w:szCs w:val="21"/>
                <w:lang w:val="en-US"/>
              </w:rPr>
            </w:pPr>
            <w:r>
              <w:rPr>
                <w:rFonts w:hint="eastAsia" w:ascii="Times New Roman" w:hAnsi="Times New Roman" w:eastAsia="宋体"/>
                <w:szCs w:val="21"/>
                <w:lang w:val="en-US"/>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7" w:type="dxa"/>
            <w:vAlign w:val="center"/>
          </w:tcPr>
          <w:p>
            <w:pPr>
              <w:numPr>
                <w:ilvl w:val="0"/>
                <w:numId w:val="63"/>
              </w:numPr>
              <w:jc w:val="center"/>
              <w:rPr>
                <w:rFonts w:ascii="Times New Roman" w:hAnsi="Times New Roman" w:eastAsia="宋体"/>
                <w:bCs/>
                <w:color w:val="000000"/>
                <w:szCs w:val="21"/>
              </w:rPr>
            </w:pPr>
          </w:p>
        </w:tc>
        <w:tc>
          <w:tcPr>
            <w:tcW w:w="872" w:type="dxa"/>
            <w:vAlign w:val="center"/>
          </w:tcPr>
          <w:p>
            <w:pPr>
              <w:tabs>
                <w:tab w:val="left" w:pos="926"/>
              </w:tabs>
              <w:jc w:val="center"/>
              <w:rPr>
                <w:rFonts w:ascii="Times New Roman" w:hAnsi="Times New Roman" w:eastAsia="宋体"/>
                <w:color w:val="000000"/>
                <w:szCs w:val="21"/>
                <w:lang w:val="en-US"/>
              </w:rPr>
            </w:pPr>
            <w:r>
              <w:rPr>
                <w:rFonts w:hint="eastAsia" w:ascii="Times New Roman" w:hAnsi="Times New Roman" w:eastAsia="宋体"/>
                <w:szCs w:val="21"/>
                <w:lang w:val="en-US"/>
              </w:rPr>
              <w:t>监听音响</w:t>
            </w:r>
          </w:p>
        </w:tc>
        <w:tc>
          <w:tcPr>
            <w:tcW w:w="5671" w:type="dxa"/>
            <w:vAlign w:val="center"/>
          </w:tcPr>
          <w:p>
            <w:pPr>
              <w:tabs>
                <w:tab w:val="left" w:pos="926"/>
              </w:tabs>
              <w:jc w:val="both"/>
              <w:rPr>
                <w:rFonts w:ascii="Times New Roman" w:hAnsi="Times New Roman" w:eastAsia="宋体"/>
                <w:color w:val="000000"/>
                <w:szCs w:val="21"/>
                <w:lang w:val="en-US"/>
              </w:rPr>
            </w:pPr>
            <w:r>
              <w:rPr>
                <w:rFonts w:hint="eastAsia" w:ascii="Times New Roman" w:hAnsi="Times New Roman" w:eastAsia="宋体"/>
                <w:szCs w:val="21"/>
                <w:lang w:val="en-US"/>
              </w:rPr>
              <w:t>频率响应：75Hz-18KHz、灵敏度:89dB</w:t>
            </w:r>
          </w:p>
        </w:tc>
        <w:tc>
          <w:tcPr>
            <w:tcW w:w="1182" w:type="dxa"/>
            <w:vAlign w:val="center"/>
          </w:tcPr>
          <w:p>
            <w:pPr>
              <w:jc w:val="center"/>
              <w:rPr>
                <w:rFonts w:ascii="Times New Roman" w:hAnsi="Times New Roman" w:eastAsia="宋体"/>
                <w:color w:val="000000"/>
                <w:szCs w:val="21"/>
                <w:lang w:val="en-US"/>
              </w:rPr>
            </w:pPr>
            <w:r>
              <w:rPr>
                <w:rFonts w:hint="eastAsia" w:ascii="Times New Roman" w:hAnsi="Times New Roman" w:eastAsia="宋体"/>
                <w:szCs w:val="21"/>
                <w:lang w:val="en-US"/>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7" w:type="dxa"/>
            <w:vAlign w:val="center"/>
          </w:tcPr>
          <w:p>
            <w:pPr>
              <w:numPr>
                <w:ilvl w:val="0"/>
                <w:numId w:val="63"/>
              </w:numPr>
              <w:jc w:val="center"/>
              <w:rPr>
                <w:rFonts w:ascii="Times New Roman" w:hAnsi="Times New Roman" w:eastAsia="宋体"/>
                <w:bCs/>
                <w:color w:val="000000"/>
                <w:szCs w:val="21"/>
              </w:rPr>
            </w:pPr>
          </w:p>
        </w:tc>
        <w:tc>
          <w:tcPr>
            <w:tcW w:w="872" w:type="dxa"/>
            <w:vAlign w:val="center"/>
          </w:tcPr>
          <w:p>
            <w:pPr>
              <w:tabs>
                <w:tab w:val="left" w:pos="926"/>
              </w:tabs>
              <w:jc w:val="center"/>
              <w:rPr>
                <w:rFonts w:ascii="Times New Roman" w:hAnsi="Times New Roman" w:eastAsia="宋体"/>
                <w:color w:val="000000"/>
                <w:szCs w:val="21"/>
                <w:lang w:val="en-US"/>
              </w:rPr>
            </w:pPr>
            <w:r>
              <w:rPr>
                <w:rFonts w:hint="eastAsia" w:ascii="Times New Roman" w:hAnsi="Times New Roman" w:eastAsia="宋体"/>
                <w:szCs w:val="21"/>
                <w:lang w:val="en-US"/>
              </w:rPr>
              <w:t>专业声卡</w:t>
            </w:r>
          </w:p>
        </w:tc>
        <w:tc>
          <w:tcPr>
            <w:tcW w:w="5671" w:type="dxa"/>
            <w:vAlign w:val="center"/>
          </w:tcPr>
          <w:p>
            <w:pPr>
              <w:tabs>
                <w:tab w:val="left" w:pos="926"/>
              </w:tabs>
              <w:jc w:val="both"/>
              <w:rPr>
                <w:rFonts w:ascii="Times New Roman" w:hAnsi="Times New Roman" w:eastAsia="宋体"/>
                <w:color w:val="000000"/>
                <w:szCs w:val="21"/>
                <w:lang w:val="en-US"/>
              </w:rPr>
            </w:pPr>
            <w:r>
              <w:rPr>
                <w:rFonts w:hint="eastAsia" w:ascii="Times New Roman" w:hAnsi="Times New Roman" w:eastAsia="宋体"/>
                <w:szCs w:val="21"/>
                <w:lang w:val="en-US"/>
              </w:rPr>
              <w:t>频响范围：20Hz-20000Hz、动态范围：≥100dB、可调增益：≥50dB</w:t>
            </w:r>
          </w:p>
        </w:tc>
        <w:tc>
          <w:tcPr>
            <w:tcW w:w="1182" w:type="dxa"/>
            <w:vAlign w:val="center"/>
          </w:tcPr>
          <w:p>
            <w:pPr>
              <w:jc w:val="center"/>
              <w:rPr>
                <w:rFonts w:ascii="Times New Roman" w:hAnsi="Times New Roman" w:eastAsia="宋体"/>
                <w:color w:val="000000"/>
                <w:szCs w:val="21"/>
                <w:lang w:val="en-US"/>
              </w:rPr>
            </w:pPr>
            <w:r>
              <w:rPr>
                <w:rFonts w:hint="eastAsia" w:ascii="Times New Roman" w:hAnsi="Times New Roman" w:eastAsia="宋体"/>
                <w:szCs w:val="21"/>
                <w:lang w:val="en-US"/>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7" w:type="dxa"/>
            <w:vAlign w:val="center"/>
          </w:tcPr>
          <w:p>
            <w:pPr>
              <w:numPr>
                <w:ilvl w:val="0"/>
                <w:numId w:val="63"/>
              </w:numPr>
              <w:jc w:val="center"/>
              <w:rPr>
                <w:rFonts w:ascii="Times New Roman" w:hAnsi="Times New Roman" w:eastAsia="宋体"/>
                <w:bCs/>
                <w:color w:val="000000"/>
                <w:szCs w:val="21"/>
              </w:rPr>
            </w:pPr>
          </w:p>
        </w:tc>
        <w:tc>
          <w:tcPr>
            <w:tcW w:w="872" w:type="dxa"/>
            <w:vAlign w:val="center"/>
          </w:tcPr>
          <w:p>
            <w:pPr>
              <w:tabs>
                <w:tab w:val="left" w:pos="926"/>
              </w:tabs>
              <w:jc w:val="center"/>
              <w:rPr>
                <w:rFonts w:ascii="Times New Roman" w:hAnsi="Times New Roman" w:eastAsia="宋体"/>
                <w:color w:val="000000"/>
                <w:szCs w:val="21"/>
                <w:lang w:val="en-US"/>
              </w:rPr>
            </w:pPr>
            <w:r>
              <w:rPr>
                <w:rFonts w:hint="eastAsia" w:ascii="Times New Roman" w:hAnsi="Times New Roman" w:eastAsia="宋体"/>
                <w:szCs w:val="21"/>
                <w:lang w:val="en-US"/>
              </w:rPr>
              <w:t>声纹采集终端</w:t>
            </w:r>
          </w:p>
        </w:tc>
        <w:tc>
          <w:tcPr>
            <w:tcW w:w="5671" w:type="dxa"/>
            <w:vAlign w:val="center"/>
          </w:tcPr>
          <w:p>
            <w:pPr>
              <w:tabs>
                <w:tab w:val="left" w:pos="926"/>
              </w:tabs>
              <w:jc w:val="both"/>
              <w:rPr>
                <w:rFonts w:ascii="Times New Roman" w:hAnsi="Times New Roman" w:eastAsia="宋体"/>
                <w:color w:val="000000"/>
                <w:szCs w:val="21"/>
                <w:lang w:val="en-US"/>
              </w:rPr>
            </w:pPr>
            <w:r>
              <w:rPr>
                <w:rFonts w:hint="eastAsia" w:ascii="Times New Roman" w:hAnsi="Times New Roman" w:eastAsia="宋体"/>
                <w:szCs w:val="21"/>
                <w:lang w:val="en-US"/>
              </w:rPr>
              <w:t>有效采集距离支持0.3～1米的远场采集；角色分离：支持交谈模式下声纹数据采集，定向采集目标发言人语音，准确分离问答双方</w:t>
            </w:r>
          </w:p>
        </w:tc>
        <w:tc>
          <w:tcPr>
            <w:tcW w:w="1182" w:type="dxa"/>
            <w:vAlign w:val="center"/>
          </w:tcPr>
          <w:p>
            <w:pPr>
              <w:jc w:val="center"/>
              <w:rPr>
                <w:rFonts w:ascii="Times New Roman" w:hAnsi="Times New Roman" w:eastAsia="宋体"/>
                <w:color w:val="000000"/>
                <w:szCs w:val="21"/>
                <w:lang w:val="en-US"/>
              </w:rPr>
            </w:pPr>
            <w:r>
              <w:rPr>
                <w:rFonts w:hint="eastAsia" w:ascii="Times New Roman" w:hAnsi="Times New Roman" w:eastAsia="宋体"/>
                <w:color w:val="000000"/>
                <w:szCs w:val="21"/>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7" w:type="dxa"/>
            <w:vAlign w:val="center"/>
          </w:tcPr>
          <w:p>
            <w:pPr>
              <w:numPr>
                <w:ilvl w:val="0"/>
                <w:numId w:val="63"/>
              </w:numPr>
              <w:jc w:val="center"/>
              <w:rPr>
                <w:rFonts w:ascii="Times New Roman" w:hAnsi="Times New Roman" w:eastAsia="宋体"/>
                <w:bCs/>
                <w:color w:val="000000"/>
                <w:szCs w:val="21"/>
              </w:rPr>
            </w:pPr>
          </w:p>
        </w:tc>
        <w:tc>
          <w:tcPr>
            <w:tcW w:w="872" w:type="dxa"/>
            <w:vAlign w:val="center"/>
          </w:tcPr>
          <w:p>
            <w:pPr>
              <w:tabs>
                <w:tab w:val="left" w:pos="926"/>
              </w:tabs>
              <w:jc w:val="center"/>
              <w:rPr>
                <w:rFonts w:ascii="Times New Roman" w:hAnsi="Times New Roman" w:eastAsia="宋体"/>
                <w:color w:val="000000"/>
                <w:szCs w:val="21"/>
                <w:lang w:val="en-US"/>
              </w:rPr>
            </w:pPr>
            <w:r>
              <w:rPr>
                <w:rFonts w:hint="eastAsia" w:ascii="Times New Roman" w:hAnsi="Times New Roman" w:eastAsia="宋体"/>
                <w:color w:val="000000"/>
                <w:szCs w:val="21"/>
                <w:lang w:val="en-US"/>
              </w:rPr>
              <w:t>麦克风</w:t>
            </w:r>
          </w:p>
        </w:tc>
        <w:tc>
          <w:tcPr>
            <w:tcW w:w="5671" w:type="dxa"/>
            <w:vAlign w:val="center"/>
          </w:tcPr>
          <w:p>
            <w:pPr>
              <w:tabs>
                <w:tab w:val="left" w:pos="926"/>
              </w:tabs>
              <w:jc w:val="both"/>
              <w:rPr>
                <w:rFonts w:ascii="Times New Roman" w:hAnsi="Times New Roman" w:eastAsia="宋体"/>
                <w:color w:val="000000"/>
                <w:szCs w:val="21"/>
                <w:lang w:val="en-US"/>
              </w:rPr>
            </w:pPr>
            <w:r>
              <w:rPr>
                <w:rFonts w:hint="eastAsia" w:ascii="Times New Roman" w:hAnsi="Times New Roman" w:eastAsia="宋体"/>
                <w:szCs w:val="21"/>
                <w:lang w:val="en-US"/>
              </w:rPr>
              <w:t>无线麦克风：频率响应：40Hz-18KHz；动圈麦克风：频率响应：40Hz~16000Hz；电容式麦克风：频率响应:20Hz~20 KHz</w:t>
            </w:r>
          </w:p>
        </w:tc>
        <w:tc>
          <w:tcPr>
            <w:tcW w:w="1182" w:type="dxa"/>
            <w:vAlign w:val="center"/>
          </w:tcPr>
          <w:p>
            <w:pPr>
              <w:jc w:val="center"/>
              <w:rPr>
                <w:rFonts w:ascii="Times New Roman" w:hAnsi="Times New Roman" w:eastAsia="宋体"/>
                <w:color w:val="000000"/>
                <w:szCs w:val="21"/>
                <w:lang w:val="en-US"/>
              </w:rPr>
            </w:pPr>
            <w:r>
              <w:rPr>
                <w:rFonts w:hint="eastAsia" w:ascii="Times New Roman" w:hAnsi="Times New Roman" w:eastAsia="宋体"/>
                <w:szCs w:val="21"/>
                <w:lang w:val="en-US"/>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7" w:type="dxa"/>
            <w:vAlign w:val="center"/>
          </w:tcPr>
          <w:p>
            <w:pPr>
              <w:numPr>
                <w:ilvl w:val="0"/>
                <w:numId w:val="63"/>
              </w:numPr>
              <w:jc w:val="center"/>
              <w:rPr>
                <w:rFonts w:ascii="Times New Roman" w:hAnsi="Times New Roman" w:eastAsia="宋体"/>
                <w:bCs/>
                <w:color w:val="000000"/>
                <w:szCs w:val="21"/>
              </w:rPr>
            </w:pPr>
          </w:p>
        </w:tc>
        <w:tc>
          <w:tcPr>
            <w:tcW w:w="872" w:type="dxa"/>
            <w:vAlign w:val="center"/>
          </w:tcPr>
          <w:p>
            <w:pPr>
              <w:tabs>
                <w:tab w:val="left" w:pos="926"/>
              </w:tabs>
              <w:jc w:val="center"/>
              <w:rPr>
                <w:rFonts w:ascii="Times New Roman" w:hAnsi="Times New Roman" w:eastAsia="宋体"/>
                <w:color w:val="000000"/>
                <w:szCs w:val="21"/>
                <w:lang w:val="en-US"/>
              </w:rPr>
            </w:pPr>
            <w:r>
              <w:rPr>
                <w:rFonts w:hint="eastAsia" w:ascii="Times New Roman" w:hAnsi="Times New Roman" w:eastAsia="宋体"/>
                <w:szCs w:val="21"/>
                <w:lang w:val="en-US"/>
              </w:rPr>
              <w:t>光盘打印刻录一体机</w:t>
            </w:r>
          </w:p>
        </w:tc>
        <w:tc>
          <w:tcPr>
            <w:tcW w:w="5671" w:type="dxa"/>
            <w:vAlign w:val="center"/>
          </w:tcPr>
          <w:p>
            <w:pPr>
              <w:tabs>
                <w:tab w:val="left" w:pos="926"/>
              </w:tabs>
              <w:jc w:val="both"/>
              <w:rPr>
                <w:rFonts w:ascii="Times New Roman" w:hAnsi="Times New Roman" w:eastAsia="宋体"/>
                <w:color w:val="000000"/>
                <w:szCs w:val="21"/>
                <w:lang w:val="en-US"/>
              </w:rPr>
            </w:pPr>
            <w:r>
              <w:rPr>
                <w:rFonts w:hint="eastAsia" w:ascii="Times New Roman" w:hAnsi="Times New Roman" w:eastAsia="宋体"/>
                <w:szCs w:val="21"/>
                <w:lang w:val="en-US" w:bidi="en-US"/>
              </w:rPr>
              <w:t>光盘打印及记录速度≥10张/小时</w:t>
            </w:r>
          </w:p>
        </w:tc>
        <w:tc>
          <w:tcPr>
            <w:tcW w:w="1182" w:type="dxa"/>
            <w:vAlign w:val="center"/>
          </w:tcPr>
          <w:p>
            <w:pPr>
              <w:jc w:val="center"/>
              <w:rPr>
                <w:rFonts w:ascii="Times New Roman" w:hAnsi="Times New Roman" w:eastAsia="宋体"/>
                <w:color w:val="000000"/>
                <w:szCs w:val="21"/>
                <w:lang w:val="en-US"/>
              </w:rPr>
            </w:pPr>
            <w:r>
              <w:rPr>
                <w:rFonts w:hint="eastAsia" w:ascii="Times New Roman" w:hAnsi="Times New Roman" w:eastAsia="宋体"/>
                <w:szCs w:val="21"/>
                <w:lang w:val="en-US"/>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7" w:type="dxa"/>
            <w:vAlign w:val="center"/>
          </w:tcPr>
          <w:p>
            <w:pPr>
              <w:numPr>
                <w:ilvl w:val="0"/>
                <w:numId w:val="63"/>
              </w:numPr>
              <w:jc w:val="center"/>
              <w:rPr>
                <w:rFonts w:ascii="Times New Roman" w:hAnsi="Times New Roman" w:eastAsia="宋体"/>
                <w:bCs/>
                <w:color w:val="000000"/>
                <w:szCs w:val="21"/>
              </w:rPr>
            </w:pPr>
          </w:p>
        </w:tc>
        <w:tc>
          <w:tcPr>
            <w:tcW w:w="872" w:type="dxa"/>
            <w:vAlign w:val="center"/>
          </w:tcPr>
          <w:p>
            <w:pPr>
              <w:tabs>
                <w:tab w:val="left" w:pos="926"/>
              </w:tabs>
              <w:jc w:val="center"/>
              <w:rPr>
                <w:rFonts w:ascii="Times New Roman" w:hAnsi="Times New Roman" w:eastAsia="宋体"/>
                <w:color w:val="000000"/>
                <w:szCs w:val="21"/>
                <w:lang w:val="en-US"/>
              </w:rPr>
            </w:pPr>
            <w:r>
              <w:rPr>
                <w:rFonts w:hint="eastAsia" w:ascii="Times New Roman" w:hAnsi="Times New Roman" w:eastAsia="宋体"/>
                <w:szCs w:val="21"/>
                <w:lang w:val="en-US"/>
              </w:rPr>
              <w:t>音频对录仪</w:t>
            </w:r>
          </w:p>
        </w:tc>
        <w:tc>
          <w:tcPr>
            <w:tcW w:w="5671" w:type="dxa"/>
            <w:vAlign w:val="center"/>
          </w:tcPr>
          <w:p>
            <w:pPr>
              <w:tabs>
                <w:tab w:val="left" w:pos="926"/>
              </w:tabs>
              <w:jc w:val="both"/>
              <w:rPr>
                <w:rFonts w:ascii="Times New Roman" w:hAnsi="Times New Roman" w:eastAsia="宋体"/>
                <w:color w:val="000000"/>
                <w:szCs w:val="21"/>
                <w:lang w:val="en-US"/>
              </w:rPr>
            </w:pPr>
            <w:r>
              <w:rPr>
                <w:rFonts w:hint="eastAsia" w:ascii="Times New Roman" w:hAnsi="Times New Roman" w:eastAsia="宋体"/>
                <w:szCs w:val="21"/>
                <w:lang w:val="en-US"/>
              </w:rPr>
              <w:t>支持3.5MM音频接口、支持UCB Tycpe-C接口、支持Apple lightning接口；采集语音格式：Windows PCM WAV，单声道，16位量化精度</w:t>
            </w:r>
          </w:p>
        </w:tc>
        <w:tc>
          <w:tcPr>
            <w:tcW w:w="1182" w:type="dxa"/>
            <w:vAlign w:val="center"/>
          </w:tcPr>
          <w:p>
            <w:pPr>
              <w:jc w:val="center"/>
              <w:rPr>
                <w:rFonts w:ascii="Times New Roman" w:hAnsi="Times New Roman" w:eastAsia="宋体"/>
                <w:color w:val="000000"/>
                <w:szCs w:val="21"/>
                <w:lang w:val="en-US"/>
              </w:rPr>
            </w:pPr>
            <w:r>
              <w:rPr>
                <w:rFonts w:hint="eastAsia" w:ascii="Times New Roman" w:hAnsi="Times New Roman" w:eastAsia="宋体"/>
                <w:szCs w:val="21"/>
                <w:lang w:val="en-US"/>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7" w:type="dxa"/>
            <w:vAlign w:val="center"/>
          </w:tcPr>
          <w:p>
            <w:pPr>
              <w:numPr>
                <w:ilvl w:val="0"/>
                <w:numId w:val="63"/>
              </w:numPr>
              <w:jc w:val="center"/>
              <w:rPr>
                <w:rFonts w:ascii="Times New Roman" w:hAnsi="Times New Roman" w:eastAsia="宋体"/>
                <w:bCs/>
                <w:color w:val="000000"/>
                <w:szCs w:val="21"/>
              </w:rPr>
            </w:pPr>
          </w:p>
        </w:tc>
        <w:tc>
          <w:tcPr>
            <w:tcW w:w="872" w:type="dxa"/>
            <w:vAlign w:val="center"/>
          </w:tcPr>
          <w:p>
            <w:pPr>
              <w:tabs>
                <w:tab w:val="left" w:pos="926"/>
              </w:tabs>
              <w:jc w:val="center"/>
              <w:rPr>
                <w:rFonts w:ascii="Times New Roman" w:hAnsi="Times New Roman" w:eastAsia="宋体"/>
                <w:color w:val="000000"/>
                <w:szCs w:val="21"/>
                <w:lang w:val="en-US"/>
              </w:rPr>
            </w:pPr>
            <w:r>
              <w:rPr>
                <w:rFonts w:hint="eastAsia" w:ascii="Times New Roman" w:hAnsi="Times New Roman" w:eastAsia="宋体"/>
                <w:szCs w:val="21"/>
                <w:lang w:val="en-US"/>
              </w:rPr>
              <w:t>多功能物证翻拍仪</w:t>
            </w:r>
          </w:p>
        </w:tc>
        <w:tc>
          <w:tcPr>
            <w:tcW w:w="5671" w:type="dxa"/>
            <w:vAlign w:val="center"/>
          </w:tcPr>
          <w:p>
            <w:pPr>
              <w:tabs>
                <w:tab w:val="left" w:pos="926"/>
              </w:tabs>
              <w:jc w:val="both"/>
              <w:rPr>
                <w:rFonts w:ascii="Times New Roman" w:hAnsi="Times New Roman" w:eastAsia="宋体"/>
                <w:color w:val="000000"/>
                <w:szCs w:val="21"/>
                <w:lang w:val="en-US"/>
              </w:rPr>
            </w:pPr>
            <w:r>
              <w:rPr>
                <w:rFonts w:hint="eastAsia" w:ascii="Times New Roman" w:hAnsi="Times New Roman" w:eastAsia="宋体"/>
                <w:szCs w:val="21"/>
                <w:lang w:val="en-US"/>
              </w:rPr>
              <w:t>软件开图像素:1700万、光源:自然光+触控LED补光；色彩:24位、扫描速度:约1秒、扫描范围:A3及以下操作系统:支持国产操作系统、Windows 10、WIN 7等、接口:1个USB B TYPE、2 个 USB HUB</w:t>
            </w:r>
          </w:p>
        </w:tc>
        <w:tc>
          <w:tcPr>
            <w:tcW w:w="1182" w:type="dxa"/>
            <w:vAlign w:val="center"/>
          </w:tcPr>
          <w:p>
            <w:pPr>
              <w:jc w:val="center"/>
              <w:rPr>
                <w:rFonts w:ascii="Times New Roman" w:hAnsi="Times New Roman" w:eastAsia="宋体"/>
                <w:color w:val="000000"/>
                <w:szCs w:val="21"/>
                <w:lang w:val="en-US"/>
              </w:rPr>
            </w:pPr>
            <w:r>
              <w:rPr>
                <w:rFonts w:hint="eastAsia" w:ascii="Times New Roman" w:hAnsi="Times New Roman" w:eastAsia="宋体"/>
                <w:szCs w:val="21"/>
                <w:lang w:val="en-US"/>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7" w:type="dxa"/>
            <w:vAlign w:val="center"/>
          </w:tcPr>
          <w:p>
            <w:pPr>
              <w:numPr>
                <w:ilvl w:val="0"/>
                <w:numId w:val="63"/>
              </w:numPr>
              <w:jc w:val="center"/>
              <w:rPr>
                <w:rFonts w:ascii="Times New Roman" w:hAnsi="Times New Roman" w:eastAsia="宋体"/>
                <w:bCs/>
                <w:color w:val="000000"/>
                <w:szCs w:val="21"/>
              </w:rPr>
            </w:pPr>
          </w:p>
        </w:tc>
        <w:tc>
          <w:tcPr>
            <w:tcW w:w="872" w:type="dxa"/>
            <w:vAlign w:val="center"/>
          </w:tcPr>
          <w:p>
            <w:pPr>
              <w:tabs>
                <w:tab w:val="left" w:pos="926"/>
              </w:tabs>
              <w:jc w:val="center"/>
              <w:rPr>
                <w:rFonts w:ascii="Times New Roman" w:hAnsi="Times New Roman" w:eastAsia="宋体"/>
                <w:color w:val="000000"/>
                <w:szCs w:val="21"/>
                <w:lang w:val="en-US"/>
              </w:rPr>
            </w:pPr>
            <w:r>
              <w:rPr>
                <w:rFonts w:hint="eastAsia" w:ascii="Times New Roman" w:hAnsi="Times New Roman" w:eastAsia="宋体"/>
                <w:szCs w:val="21"/>
                <w:lang w:val="en-US"/>
              </w:rPr>
              <w:t>案件管理</w:t>
            </w:r>
          </w:p>
        </w:tc>
        <w:tc>
          <w:tcPr>
            <w:tcW w:w="5671" w:type="dxa"/>
            <w:vAlign w:val="center"/>
          </w:tcPr>
          <w:p>
            <w:pPr>
              <w:tabs>
                <w:tab w:val="left" w:pos="926"/>
              </w:tabs>
              <w:jc w:val="both"/>
              <w:rPr>
                <w:rFonts w:ascii="Times New Roman" w:hAnsi="Times New Roman" w:eastAsia="宋体"/>
                <w:color w:val="000000"/>
                <w:szCs w:val="21"/>
                <w:lang w:val="en-US"/>
              </w:rPr>
            </w:pPr>
            <w:r>
              <w:rPr>
                <w:rFonts w:hint="eastAsia" w:ascii="Times New Roman" w:hAnsi="Times New Roman" w:eastAsia="宋体"/>
                <w:szCs w:val="21"/>
                <w:lang w:val="en-US"/>
              </w:rPr>
              <w:t>系统支持对鉴定案件进行管理，包括新建案件、打开历史案件、重命名、删除案件等操作，支持案件快速搜索，支持案件导入导出</w:t>
            </w:r>
          </w:p>
        </w:tc>
        <w:tc>
          <w:tcPr>
            <w:tcW w:w="1182" w:type="dxa"/>
            <w:vAlign w:val="center"/>
          </w:tcPr>
          <w:p>
            <w:pPr>
              <w:jc w:val="center"/>
              <w:rPr>
                <w:rFonts w:ascii="Times New Roman" w:hAnsi="Times New Roman" w:eastAsia="宋体"/>
                <w:color w:val="000000"/>
                <w:szCs w:val="21"/>
                <w:lang w:val="en-US"/>
              </w:rPr>
            </w:pPr>
            <w:r>
              <w:rPr>
                <w:rFonts w:hint="eastAsia" w:ascii="Times New Roman" w:hAnsi="Times New Roman" w:eastAsia="宋体"/>
                <w:color w:val="000000"/>
                <w:szCs w:val="21"/>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7" w:type="dxa"/>
            <w:vAlign w:val="center"/>
          </w:tcPr>
          <w:p>
            <w:pPr>
              <w:numPr>
                <w:ilvl w:val="0"/>
                <w:numId w:val="63"/>
              </w:numPr>
              <w:jc w:val="center"/>
              <w:rPr>
                <w:rFonts w:ascii="Times New Roman" w:hAnsi="Times New Roman" w:eastAsia="宋体"/>
                <w:bCs/>
                <w:color w:val="000000"/>
                <w:szCs w:val="21"/>
              </w:rPr>
            </w:pPr>
          </w:p>
        </w:tc>
        <w:tc>
          <w:tcPr>
            <w:tcW w:w="872" w:type="dxa"/>
            <w:vAlign w:val="center"/>
          </w:tcPr>
          <w:p>
            <w:pPr>
              <w:tabs>
                <w:tab w:val="left" w:pos="926"/>
              </w:tabs>
              <w:jc w:val="center"/>
              <w:rPr>
                <w:rFonts w:ascii="Times New Roman" w:hAnsi="Times New Roman" w:eastAsia="宋体"/>
                <w:color w:val="000000"/>
                <w:szCs w:val="21"/>
                <w:lang w:val="en-US"/>
              </w:rPr>
            </w:pPr>
            <w:r>
              <w:rPr>
                <w:rFonts w:hint="eastAsia" w:ascii="Times New Roman" w:hAnsi="Times New Roman" w:eastAsia="宋体"/>
                <w:szCs w:val="21"/>
                <w:lang w:val="en-US"/>
              </w:rPr>
              <w:t>音频导入、创建</w:t>
            </w:r>
          </w:p>
        </w:tc>
        <w:tc>
          <w:tcPr>
            <w:tcW w:w="5671" w:type="dxa"/>
            <w:vAlign w:val="center"/>
          </w:tcPr>
          <w:p>
            <w:pPr>
              <w:tabs>
                <w:tab w:val="left" w:pos="926"/>
              </w:tabs>
              <w:jc w:val="both"/>
              <w:rPr>
                <w:rFonts w:ascii="Times New Roman" w:hAnsi="Times New Roman" w:eastAsia="宋体"/>
                <w:color w:val="000000"/>
                <w:szCs w:val="21"/>
                <w:lang w:val="en-US"/>
              </w:rPr>
            </w:pPr>
            <w:r>
              <w:rPr>
                <w:rFonts w:hint="eastAsia" w:ascii="Times New Roman" w:hAnsi="Times New Roman" w:eastAsia="宋体"/>
                <w:szCs w:val="21"/>
                <w:lang w:val="en-US"/>
              </w:rPr>
              <w:t>支持多种常见音频格式的导入，输出采样精度为16bit的wav格式；支持新建空白文件，并可选择8kHz、16kHz、32kHz、44.1kHz等采样率进行录音，生成wav文件</w:t>
            </w:r>
          </w:p>
        </w:tc>
        <w:tc>
          <w:tcPr>
            <w:tcW w:w="1182" w:type="dxa"/>
            <w:vAlign w:val="center"/>
          </w:tcPr>
          <w:p>
            <w:pPr>
              <w:jc w:val="center"/>
              <w:rPr>
                <w:rFonts w:ascii="Times New Roman" w:hAnsi="Times New Roman" w:eastAsia="宋体"/>
                <w:color w:val="000000"/>
                <w:szCs w:val="21"/>
                <w:lang w:val="en-US"/>
              </w:rPr>
            </w:pPr>
            <w:r>
              <w:rPr>
                <w:rFonts w:hint="eastAsia" w:ascii="Times New Roman" w:hAnsi="Times New Roman" w:eastAsia="宋体"/>
                <w:color w:val="000000"/>
                <w:szCs w:val="21"/>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7" w:type="dxa"/>
            <w:vAlign w:val="center"/>
          </w:tcPr>
          <w:p>
            <w:pPr>
              <w:numPr>
                <w:ilvl w:val="0"/>
                <w:numId w:val="63"/>
              </w:numPr>
              <w:jc w:val="center"/>
              <w:rPr>
                <w:rFonts w:ascii="Times New Roman" w:hAnsi="Times New Roman" w:eastAsia="宋体"/>
                <w:bCs/>
                <w:color w:val="000000"/>
                <w:szCs w:val="21"/>
              </w:rPr>
            </w:pPr>
          </w:p>
        </w:tc>
        <w:tc>
          <w:tcPr>
            <w:tcW w:w="872" w:type="dxa"/>
            <w:vAlign w:val="center"/>
          </w:tcPr>
          <w:p>
            <w:pPr>
              <w:tabs>
                <w:tab w:val="left" w:pos="926"/>
              </w:tabs>
              <w:jc w:val="center"/>
              <w:rPr>
                <w:rFonts w:ascii="Times New Roman" w:hAnsi="Times New Roman" w:eastAsia="宋体"/>
                <w:color w:val="000000"/>
                <w:szCs w:val="21"/>
                <w:lang w:val="en-US"/>
              </w:rPr>
            </w:pPr>
            <w:r>
              <w:rPr>
                <w:rFonts w:hint="eastAsia" w:ascii="Times New Roman" w:hAnsi="Times New Roman" w:eastAsia="宋体"/>
                <w:color w:val="000000"/>
                <w:szCs w:val="21"/>
                <w:lang w:val="en-US"/>
              </w:rPr>
              <w:t>语音质量检测</w:t>
            </w:r>
          </w:p>
        </w:tc>
        <w:tc>
          <w:tcPr>
            <w:tcW w:w="5671" w:type="dxa"/>
            <w:vAlign w:val="center"/>
          </w:tcPr>
          <w:p>
            <w:pPr>
              <w:tabs>
                <w:tab w:val="left" w:pos="926"/>
              </w:tabs>
              <w:jc w:val="both"/>
              <w:rPr>
                <w:rFonts w:ascii="Times New Roman" w:hAnsi="Times New Roman" w:eastAsia="宋体"/>
                <w:color w:val="000000"/>
                <w:szCs w:val="21"/>
                <w:lang w:val="en-US"/>
              </w:rPr>
            </w:pPr>
            <w:r>
              <w:rPr>
                <w:rFonts w:hint="eastAsia" w:ascii="Times New Roman" w:hAnsi="Times New Roman" w:eastAsia="宋体"/>
                <w:szCs w:val="21"/>
                <w:lang w:val="en-US"/>
              </w:rPr>
              <w:t>包含文件名称、类型、大小、路径、持续时间、音频通道、采样频率、采样精度、编码格式、MD5值、CRC32值、SHA1值、SHA256值显示</w:t>
            </w:r>
          </w:p>
        </w:tc>
        <w:tc>
          <w:tcPr>
            <w:tcW w:w="1182" w:type="dxa"/>
            <w:vAlign w:val="center"/>
          </w:tcPr>
          <w:p>
            <w:pPr>
              <w:jc w:val="center"/>
              <w:rPr>
                <w:rFonts w:ascii="Times New Roman" w:hAnsi="Times New Roman" w:eastAsia="宋体"/>
                <w:color w:val="000000"/>
                <w:szCs w:val="21"/>
                <w:lang w:val="en-US"/>
              </w:rPr>
            </w:pPr>
            <w:r>
              <w:rPr>
                <w:rFonts w:hint="eastAsia" w:ascii="Times New Roman" w:hAnsi="Times New Roman" w:eastAsia="宋体"/>
                <w:color w:val="000000"/>
                <w:szCs w:val="21"/>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7" w:type="dxa"/>
            <w:vAlign w:val="center"/>
          </w:tcPr>
          <w:p>
            <w:pPr>
              <w:numPr>
                <w:ilvl w:val="0"/>
                <w:numId w:val="63"/>
              </w:numPr>
              <w:jc w:val="center"/>
              <w:rPr>
                <w:rFonts w:ascii="Times New Roman" w:hAnsi="Times New Roman" w:eastAsia="宋体"/>
                <w:bCs/>
                <w:color w:val="000000"/>
                <w:szCs w:val="21"/>
              </w:rPr>
            </w:pPr>
          </w:p>
        </w:tc>
        <w:tc>
          <w:tcPr>
            <w:tcW w:w="872" w:type="dxa"/>
            <w:vAlign w:val="center"/>
          </w:tcPr>
          <w:p>
            <w:pPr>
              <w:tabs>
                <w:tab w:val="left" w:pos="926"/>
              </w:tabs>
              <w:jc w:val="center"/>
              <w:rPr>
                <w:rFonts w:ascii="Times New Roman" w:hAnsi="Times New Roman" w:eastAsia="宋体"/>
                <w:color w:val="000000"/>
                <w:szCs w:val="21"/>
                <w:lang w:val="en-US"/>
              </w:rPr>
            </w:pPr>
            <w:r>
              <w:rPr>
                <w:rFonts w:hint="eastAsia" w:ascii="Times New Roman" w:hAnsi="Times New Roman" w:eastAsia="宋体"/>
                <w:color w:val="000000"/>
                <w:szCs w:val="21"/>
                <w:lang w:val="en-US"/>
              </w:rPr>
              <w:t>语音编辑</w:t>
            </w:r>
          </w:p>
        </w:tc>
        <w:tc>
          <w:tcPr>
            <w:tcW w:w="5671" w:type="dxa"/>
            <w:vAlign w:val="center"/>
          </w:tcPr>
          <w:p>
            <w:pPr>
              <w:tabs>
                <w:tab w:val="left" w:pos="926"/>
              </w:tabs>
              <w:jc w:val="both"/>
              <w:rPr>
                <w:rFonts w:ascii="Times New Roman" w:hAnsi="Times New Roman" w:eastAsia="宋体"/>
                <w:color w:val="000000"/>
                <w:szCs w:val="21"/>
                <w:lang w:val="en-US"/>
              </w:rPr>
            </w:pPr>
            <w:r>
              <w:rPr>
                <w:rFonts w:hint="eastAsia" w:ascii="Times New Roman" w:hAnsi="Times New Roman" w:eastAsia="宋体"/>
                <w:szCs w:val="21"/>
                <w:lang w:val="en-US"/>
              </w:rPr>
              <w:t>支持在语谱图上对语音横选、竖选、框选、剪切、复制、粘贴、删除、切片、撤销和恢复操作</w:t>
            </w:r>
          </w:p>
        </w:tc>
        <w:tc>
          <w:tcPr>
            <w:tcW w:w="1182" w:type="dxa"/>
            <w:vAlign w:val="center"/>
          </w:tcPr>
          <w:p>
            <w:pPr>
              <w:jc w:val="center"/>
              <w:rPr>
                <w:rFonts w:ascii="Times New Roman" w:hAnsi="Times New Roman" w:eastAsia="宋体"/>
                <w:color w:val="000000"/>
                <w:szCs w:val="21"/>
                <w:lang w:val="en-US"/>
              </w:rPr>
            </w:pPr>
            <w:r>
              <w:rPr>
                <w:rFonts w:hint="eastAsia" w:ascii="Times New Roman" w:hAnsi="Times New Roman" w:eastAsia="宋体"/>
                <w:color w:val="000000"/>
                <w:szCs w:val="21"/>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7" w:type="dxa"/>
            <w:vAlign w:val="center"/>
          </w:tcPr>
          <w:p>
            <w:pPr>
              <w:numPr>
                <w:ilvl w:val="0"/>
                <w:numId w:val="63"/>
              </w:numPr>
              <w:jc w:val="center"/>
              <w:rPr>
                <w:rFonts w:ascii="Times New Roman" w:hAnsi="Times New Roman" w:eastAsia="宋体"/>
                <w:bCs/>
                <w:color w:val="000000"/>
                <w:szCs w:val="21"/>
              </w:rPr>
            </w:pPr>
          </w:p>
        </w:tc>
        <w:tc>
          <w:tcPr>
            <w:tcW w:w="872" w:type="dxa"/>
            <w:vAlign w:val="center"/>
          </w:tcPr>
          <w:p>
            <w:pPr>
              <w:tabs>
                <w:tab w:val="left" w:pos="926"/>
              </w:tabs>
              <w:jc w:val="center"/>
              <w:rPr>
                <w:rFonts w:ascii="Times New Roman" w:hAnsi="Times New Roman" w:eastAsia="宋体"/>
                <w:color w:val="000000"/>
                <w:szCs w:val="21"/>
                <w:lang w:val="en-US"/>
              </w:rPr>
            </w:pPr>
            <w:r>
              <w:rPr>
                <w:rFonts w:hint="eastAsia" w:ascii="Times New Roman" w:hAnsi="Times New Roman" w:eastAsia="宋体"/>
                <w:szCs w:val="21"/>
                <w:lang w:val="en-US"/>
              </w:rPr>
              <w:t>语谱图展示</w:t>
            </w:r>
          </w:p>
        </w:tc>
        <w:tc>
          <w:tcPr>
            <w:tcW w:w="5671" w:type="dxa"/>
            <w:vAlign w:val="center"/>
          </w:tcPr>
          <w:p>
            <w:pPr>
              <w:tabs>
                <w:tab w:val="left" w:pos="926"/>
              </w:tabs>
              <w:jc w:val="both"/>
              <w:rPr>
                <w:rFonts w:ascii="Times New Roman" w:hAnsi="Times New Roman" w:eastAsia="宋体"/>
                <w:color w:val="000000"/>
                <w:szCs w:val="21"/>
                <w:lang w:val="en-US"/>
              </w:rPr>
            </w:pPr>
            <w:r>
              <w:rPr>
                <w:rFonts w:hint="eastAsia" w:ascii="Times New Roman" w:hAnsi="Times New Roman" w:eastAsia="宋体"/>
                <w:szCs w:val="21"/>
                <w:lang w:val="en-US"/>
              </w:rPr>
              <w:t>支持音频文件以多种语谱图方式展示：波形图、宽带图、窄带图、共振峰、基频、能量曲线、过零率曲线等特征图谱，并支持叠加展示</w:t>
            </w:r>
          </w:p>
        </w:tc>
        <w:tc>
          <w:tcPr>
            <w:tcW w:w="1182" w:type="dxa"/>
            <w:vAlign w:val="center"/>
          </w:tcPr>
          <w:p>
            <w:pPr>
              <w:jc w:val="center"/>
              <w:rPr>
                <w:rFonts w:ascii="Times New Roman" w:hAnsi="Times New Roman" w:eastAsia="宋体"/>
                <w:color w:val="000000"/>
                <w:szCs w:val="21"/>
                <w:lang w:val="en-US"/>
              </w:rPr>
            </w:pPr>
            <w:r>
              <w:rPr>
                <w:rFonts w:hint="eastAsia" w:ascii="Times New Roman" w:hAnsi="Times New Roman" w:eastAsia="宋体"/>
                <w:color w:val="000000"/>
                <w:szCs w:val="21"/>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7" w:type="dxa"/>
            <w:vAlign w:val="center"/>
          </w:tcPr>
          <w:p>
            <w:pPr>
              <w:numPr>
                <w:ilvl w:val="0"/>
                <w:numId w:val="63"/>
              </w:numPr>
              <w:jc w:val="center"/>
              <w:rPr>
                <w:rFonts w:ascii="Times New Roman" w:hAnsi="Times New Roman" w:eastAsia="宋体"/>
                <w:bCs/>
                <w:color w:val="000000"/>
                <w:szCs w:val="21"/>
              </w:rPr>
            </w:pPr>
          </w:p>
        </w:tc>
        <w:tc>
          <w:tcPr>
            <w:tcW w:w="872" w:type="dxa"/>
            <w:vAlign w:val="center"/>
          </w:tcPr>
          <w:p>
            <w:pPr>
              <w:tabs>
                <w:tab w:val="left" w:pos="926"/>
              </w:tabs>
              <w:jc w:val="center"/>
              <w:rPr>
                <w:rFonts w:ascii="Times New Roman" w:hAnsi="Times New Roman" w:eastAsia="宋体"/>
                <w:color w:val="000000"/>
                <w:szCs w:val="21"/>
                <w:lang w:val="en-US"/>
              </w:rPr>
            </w:pPr>
            <w:r>
              <w:rPr>
                <w:rFonts w:hint="eastAsia" w:ascii="Times New Roman" w:hAnsi="Times New Roman" w:eastAsia="宋体"/>
                <w:szCs w:val="21"/>
                <w:lang w:val="en-US"/>
              </w:rPr>
              <w:t>语谱图可视化分析</w:t>
            </w:r>
          </w:p>
        </w:tc>
        <w:tc>
          <w:tcPr>
            <w:tcW w:w="5671" w:type="dxa"/>
            <w:vAlign w:val="center"/>
          </w:tcPr>
          <w:p>
            <w:pPr>
              <w:tabs>
                <w:tab w:val="left" w:pos="926"/>
              </w:tabs>
              <w:jc w:val="both"/>
              <w:rPr>
                <w:rFonts w:ascii="Times New Roman" w:hAnsi="Times New Roman" w:eastAsia="宋体"/>
                <w:color w:val="000000"/>
                <w:szCs w:val="21"/>
                <w:lang w:val="en-US"/>
              </w:rPr>
            </w:pPr>
            <w:r>
              <w:rPr>
                <w:rFonts w:hint="eastAsia" w:ascii="Times New Roman" w:hAnsi="Times New Roman" w:eastAsia="宋体"/>
                <w:szCs w:val="21"/>
                <w:lang w:val="en-US"/>
              </w:rPr>
              <w:t>支持多个窗口平铺展示，支持对文件放大后的局部位置进行对齐查看，并可独立切换或联动切换不同的语谱图进行比对，窗口数量可以自定义增减</w:t>
            </w:r>
          </w:p>
        </w:tc>
        <w:tc>
          <w:tcPr>
            <w:tcW w:w="1182" w:type="dxa"/>
            <w:vAlign w:val="center"/>
          </w:tcPr>
          <w:p>
            <w:pPr>
              <w:jc w:val="center"/>
              <w:rPr>
                <w:rFonts w:ascii="Times New Roman" w:hAnsi="Times New Roman" w:eastAsia="宋体"/>
                <w:color w:val="000000"/>
                <w:szCs w:val="21"/>
                <w:lang w:val="en-US"/>
              </w:rPr>
            </w:pPr>
            <w:r>
              <w:rPr>
                <w:rFonts w:hint="eastAsia" w:ascii="Times New Roman" w:hAnsi="Times New Roman" w:eastAsia="宋体"/>
                <w:color w:val="000000"/>
                <w:szCs w:val="21"/>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7" w:type="dxa"/>
            <w:vAlign w:val="center"/>
          </w:tcPr>
          <w:p>
            <w:pPr>
              <w:numPr>
                <w:ilvl w:val="0"/>
                <w:numId w:val="63"/>
              </w:numPr>
              <w:jc w:val="center"/>
              <w:rPr>
                <w:rFonts w:ascii="Times New Roman" w:hAnsi="Times New Roman" w:eastAsia="宋体"/>
                <w:bCs/>
                <w:color w:val="000000"/>
                <w:szCs w:val="21"/>
              </w:rPr>
            </w:pPr>
          </w:p>
        </w:tc>
        <w:tc>
          <w:tcPr>
            <w:tcW w:w="872" w:type="dxa"/>
            <w:vAlign w:val="center"/>
          </w:tcPr>
          <w:p>
            <w:pPr>
              <w:tabs>
                <w:tab w:val="left" w:pos="926"/>
              </w:tabs>
              <w:jc w:val="center"/>
              <w:rPr>
                <w:rFonts w:ascii="Times New Roman" w:hAnsi="Times New Roman" w:eastAsia="宋体"/>
                <w:color w:val="000000"/>
                <w:szCs w:val="21"/>
                <w:lang w:val="en-US"/>
              </w:rPr>
            </w:pPr>
            <w:r>
              <w:rPr>
                <w:rFonts w:hint="eastAsia" w:ascii="Times New Roman" w:hAnsi="Times New Roman" w:eastAsia="宋体"/>
                <w:szCs w:val="21"/>
                <w:lang w:val="en-US"/>
              </w:rPr>
              <w:t>语谱图参数设置</w:t>
            </w:r>
          </w:p>
        </w:tc>
        <w:tc>
          <w:tcPr>
            <w:tcW w:w="5671" w:type="dxa"/>
            <w:vAlign w:val="center"/>
          </w:tcPr>
          <w:p>
            <w:pPr>
              <w:tabs>
                <w:tab w:val="left" w:pos="926"/>
              </w:tabs>
              <w:jc w:val="both"/>
              <w:rPr>
                <w:rFonts w:ascii="Times New Roman" w:hAnsi="Times New Roman" w:eastAsia="宋体"/>
                <w:color w:val="000000"/>
                <w:szCs w:val="21"/>
                <w:lang w:val="en-US"/>
              </w:rPr>
            </w:pPr>
            <w:r>
              <w:rPr>
                <w:rFonts w:hint="eastAsia" w:ascii="Times New Roman" w:hAnsi="Times New Roman" w:eastAsia="宋体"/>
                <w:szCs w:val="21"/>
                <w:lang w:val="en-US"/>
              </w:rPr>
              <w:t>支持对语谱图颜色、带宽、帧长、帧移、加窗类型、FFT点数、高频提升系数、动态范围，亮度、对比度、渲染幅度范围等语谱图参数进行设置</w:t>
            </w:r>
          </w:p>
        </w:tc>
        <w:tc>
          <w:tcPr>
            <w:tcW w:w="1182" w:type="dxa"/>
            <w:vAlign w:val="center"/>
          </w:tcPr>
          <w:p>
            <w:pPr>
              <w:jc w:val="center"/>
              <w:rPr>
                <w:rFonts w:ascii="Times New Roman" w:hAnsi="Times New Roman" w:eastAsia="宋体"/>
                <w:color w:val="000000"/>
                <w:szCs w:val="21"/>
                <w:lang w:val="en-US"/>
              </w:rPr>
            </w:pPr>
            <w:r>
              <w:rPr>
                <w:rFonts w:hint="eastAsia" w:ascii="Times New Roman" w:hAnsi="Times New Roman" w:eastAsia="宋体"/>
                <w:color w:val="000000"/>
                <w:szCs w:val="21"/>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7" w:type="dxa"/>
            <w:vAlign w:val="center"/>
          </w:tcPr>
          <w:p>
            <w:pPr>
              <w:numPr>
                <w:ilvl w:val="0"/>
                <w:numId w:val="63"/>
              </w:numPr>
              <w:jc w:val="center"/>
              <w:rPr>
                <w:rFonts w:ascii="Times New Roman" w:hAnsi="Times New Roman" w:eastAsia="宋体"/>
                <w:bCs/>
                <w:color w:val="000000"/>
                <w:szCs w:val="21"/>
              </w:rPr>
            </w:pPr>
          </w:p>
        </w:tc>
        <w:tc>
          <w:tcPr>
            <w:tcW w:w="872" w:type="dxa"/>
            <w:vAlign w:val="center"/>
          </w:tcPr>
          <w:p>
            <w:pPr>
              <w:tabs>
                <w:tab w:val="left" w:pos="926"/>
              </w:tabs>
              <w:jc w:val="center"/>
              <w:rPr>
                <w:rFonts w:ascii="Times New Roman" w:hAnsi="Times New Roman" w:eastAsia="宋体"/>
                <w:color w:val="000000"/>
                <w:szCs w:val="21"/>
                <w:lang w:val="en-US"/>
              </w:rPr>
            </w:pPr>
            <w:r>
              <w:rPr>
                <w:rFonts w:hint="eastAsia" w:ascii="Times New Roman" w:hAnsi="Times New Roman" w:eastAsia="宋体"/>
                <w:szCs w:val="21"/>
                <w:lang w:val="en-US"/>
              </w:rPr>
              <w:t>共振峰参数设置</w:t>
            </w:r>
          </w:p>
        </w:tc>
        <w:tc>
          <w:tcPr>
            <w:tcW w:w="5671" w:type="dxa"/>
            <w:vAlign w:val="center"/>
          </w:tcPr>
          <w:p>
            <w:pPr>
              <w:tabs>
                <w:tab w:val="left" w:pos="926"/>
              </w:tabs>
              <w:jc w:val="both"/>
              <w:rPr>
                <w:rFonts w:ascii="Times New Roman" w:hAnsi="Times New Roman" w:eastAsia="宋体"/>
                <w:color w:val="000000"/>
                <w:szCs w:val="21"/>
                <w:lang w:val="en-US"/>
              </w:rPr>
            </w:pPr>
            <w:r>
              <w:rPr>
                <w:rFonts w:hint="eastAsia" w:ascii="Times New Roman" w:hAnsi="Times New Roman" w:eastAsia="宋体"/>
                <w:szCs w:val="21"/>
                <w:lang w:val="en-US"/>
              </w:rPr>
              <w:t>可对共振峰颜色、共振峰个数、PC阶数进行调整</w:t>
            </w:r>
          </w:p>
        </w:tc>
        <w:tc>
          <w:tcPr>
            <w:tcW w:w="1182" w:type="dxa"/>
            <w:vAlign w:val="center"/>
          </w:tcPr>
          <w:p>
            <w:pPr>
              <w:jc w:val="center"/>
              <w:rPr>
                <w:rFonts w:ascii="Times New Roman" w:hAnsi="Times New Roman" w:eastAsia="宋体"/>
                <w:color w:val="000000"/>
                <w:szCs w:val="21"/>
                <w:lang w:val="en-US"/>
              </w:rPr>
            </w:pPr>
            <w:r>
              <w:rPr>
                <w:rFonts w:hint="eastAsia" w:ascii="Times New Roman" w:hAnsi="Times New Roman" w:eastAsia="宋体"/>
                <w:color w:val="000000"/>
                <w:szCs w:val="21"/>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7" w:type="dxa"/>
            <w:vAlign w:val="center"/>
          </w:tcPr>
          <w:p>
            <w:pPr>
              <w:numPr>
                <w:ilvl w:val="0"/>
                <w:numId w:val="63"/>
              </w:numPr>
              <w:jc w:val="center"/>
              <w:rPr>
                <w:rFonts w:ascii="Times New Roman" w:hAnsi="Times New Roman" w:eastAsia="宋体"/>
                <w:bCs/>
                <w:color w:val="000000"/>
                <w:szCs w:val="21"/>
              </w:rPr>
            </w:pPr>
          </w:p>
        </w:tc>
        <w:tc>
          <w:tcPr>
            <w:tcW w:w="872" w:type="dxa"/>
            <w:vAlign w:val="center"/>
          </w:tcPr>
          <w:p>
            <w:pPr>
              <w:tabs>
                <w:tab w:val="left" w:pos="926"/>
              </w:tabs>
              <w:jc w:val="center"/>
              <w:rPr>
                <w:rFonts w:ascii="Times New Roman" w:hAnsi="Times New Roman" w:eastAsia="宋体"/>
                <w:color w:val="000000"/>
                <w:szCs w:val="21"/>
                <w:lang w:val="en-US"/>
              </w:rPr>
            </w:pPr>
            <w:r>
              <w:rPr>
                <w:rFonts w:hint="eastAsia" w:ascii="Times New Roman" w:hAnsi="Times New Roman" w:eastAsia="宋体"/>
                <w:szCs w:val="21"/>
                <w:lang w:val="en-US"/>
              </w:rPr>
              <w:t>共振峰提取</w:t>
            </w:r>
          </w:p>
        </w:tc>
        <w:tc>
          <w:tcPr>
            <w:tcW w:w="5671" w:type="dxa"/>
            <w:vAlign w:val="center"/>
          </w:tcPr>
          <w:p>
            <w:pPr>
              <w:tabs>
                <w:tab w:val="left" w:pos="926"/>
              </w:tabs>
              <w:jc w:val="both"/>
              <w:rPr>
                <w:rFonts w:ascii="Times New Roman" w:hAnsi="Times New Roman" w:eastAsia="宋体"/>
                <w:color w:val="000000"/>
                <w:szCs w:val="21"/>
                <w:lang w:val="en-US"/>
              </w:rPr>
            </w:pPr>
            <w:r>
              <w:rPr>
                <w:rFonts w:hint="eastAsia" w:ascii="Times New Roman" w:hAnsi="Times New Roman" w:eastAsia="宋体"/>
                <w:szCs w:val="21"/>
                <w:lang w:val="en-US"/>
              </w:rPr>
              <w:t>支持对检材和样本中音节的特征数值进行定量检测，实时测定共振峰的中心频率、带宽、强度、走势等特征</w:t>
            </w:r>
          </w:p>
        </w:tc>
        <w:tc>
          <w:tcPr>
            <w:tcW w:w="1182" w:type="dxa"/>
            <w:vAlign w:val="center"/>
          </w:tcPr>
          <w:p>
            <w:pPr>
              <w:jc w:val="center"/>
              <w:rPr>
                <w:rFonts w:ascii="Times New Roman" w:hAnsi="Times New Roman" w:eastAsia="宋体"/>
                <w:color w:val="000000"/>
                <w:szCs w:val="21"/>
                <w:lang w:val="en-US"/>
              </w:rPr>
            </w:pPr>
            <w:r>
              <w:rPr>
                <w:rFonts w:hint="eastAsia" w:ascii="Times New Roman" w:hAnsi="Times New Roman" w:eastAsia="宋体"/>
                <w:color w:val="000000"/>
                <w:szCs w:val="21"/>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7" w:type="dxa"/>
            <w:vAlign w:val="center"/>
          </w:tcPr>
          <w:p>
            <w:pPr>
              <w:numPr>
                <w:ilvl w:val="0"/>
                <w:numId w:val="63"/>
              </w:numPr>
              <w:jc w:val="center"/>
              <w:rPr>
                <w:rFonts w:ascii="Times New Roman" w:hAnsi="Times New Roman" w:eastAsia="宋体"/>
                <w:bCs/>
                <w:color w:val="000000"/>
                <w:szCs w:val="21"/>
              </w:rPr>
            </w:pPr>
          </w:p>
        </w:tc>
        <w:tc>
          <w:tcPr>
            <w:tcW w:w="872" w:type="dxa"/>
            <w:vAlign w:val="center"/>
          </w:tcPr>
          <w:p>
            <w:pPr>
              <w:tabs>
                <w:tab w:val="left" w:pos="926"/>
              </w:tabs>
              <w:jc w:val="center"/>
              <w:rPr>
                <w:rFonts w:ascii="Times New Roman" w:hAnsi="Times New Roman" w:eastAsia="宋体"/>
                <w:color w:val="000000"/>
                <w:szCs w:val="21"/>
                <w:lang w:val="en-US"/>
              </w:rPr>
            </w:pPr>
            <w:r>
              <w:rPr>
                <w:rFonts w:hint="eastAsia" w:ascii="Times New Roman" w:hAnsi="Times New Roman" w:eastAsia="宋体"/>
                <w:szCs w:val="21"/>
                <w:lang w:val="en-US"/>
              </w:rPr>
              <w:t>LPC谱计算</w:t>
            </w:r>
          </w:p>
        </w:tc>
        <w:tc>
          <w:tcPr>
            <w:tcW w:w="5671" w:type="dxa"/>
            <w:vAlign w:val="center"/>
          </w:tcPr>
          <w:p>
            <w:pPr>
              <w:tabs>
                <w:tab w:val="left" w:pos="926"/>
              </w:tabs>
              <w:jc w:val="both"/>
              <w:rPr>
                <w:rFonts w:ascii="Times New Roman" w:hAnsi="Times New Roman" w:eastAsia="宋体"/>
                <w:color w:val="000000"/>
                <w:szCs w:val="21"/>
                <w:lang w:val="en-US"/>
              </w:rPr>
            </w:pPr>
            <w:r>
              <w:rPr>
                <w:rFonts w:hint="eastAsia" w:ascii="Times New Roman" w:hAnsi="Times New Roman" w:eastAsia="宋体"/>
                <w:szCs w:val="21"/>
                <w:lang w:val="en-US"/>
              </w:rPr>
              <w:t>系统具有LPC谱分析显示功能，支持对语音进行短时或长时FFT谱/LPC谱的计算</w:t>
            </w:r>
          </w:p>
        </w:tc>
        <w:tc>
          <w:tcPr>
            <w:tcW w:w="1182" w:type="dxa"/>
            <w:vAlign w:val="center"/>
          </w:tcPr>
          <w:p>
            <w:pPr>
              <w:jc w:val="center"/>
              <w:rPr>
                <w:rFonts w:ascii="Times New Roman" w:hAnsi="Times New Roman" w:eastAsia="宋体"/>
                <w:color w:val="000000"/>
                <w:szCs w:val="21"/>
                <w:lang w:val="en-US"/>
              </w:rPr>
            </w:pPr>
            <w:r>
              <w:rPr>
                <w:rFonts w:hint="eastAsia" w:ascii="Times New Roman" w:hAnsi="Times New Roman" w:eastAsia="宋体"/>
                <w:color w:val="000000"/>
                <w:szCs w:val="21"/>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7" w:type="dxa"/>
            <w:vAlign w:val="center"/>
          </w:tcPr>
          <w:p>
            <w:pPr>
              <w:numPr>
                <w:ilvl w:val="0"/>
                <w:numId w:val="63"/>
              </w:numPr>
              <w:jc w:val="center"/>
              <w:rPr>
                <w:rFonts w:ascii="Times New Roman" w:hAnsi="Times New Roman" w:eastAsia="宋体"/>
                <w:bCs/>
                <w:color w:val="000000"/>
                <w:szCs w:val="21"/>
              </w:rPr>
            </w:pPr>
          </w:p>
        </w:tc>
        <w:tc>
          <w:tcPr>
            <w:tcW w:w="872" w:type="dxa"/>
            <w:vAlign w:val="center"/>
          </w:tcPr>
          <w:p>
            <w:pPr>
              <w:tabs>
                <w:tab w:val="left" w:pos="926"/>
              </w:tabs>
              <w:jc w:val="center"/>
              <w:rPr>
                <w:rFonts w:ascii="Times New Roman" w:hAnsi="Times New Roman" w:eastAsia="宋体"/>
                <w:color w:val="000000"/>
                <w:szCs w:val="21"/>
                <w:lang w:val="en-US"/>
              </w:rPr>
            </w:pPr>
            <w:r>
              <w:rPr>
                <w:rFonts w:hint="eastAsia" w:ascii="Times New Roman" w:hAnsi="Times New Roman" w:eastAsia="宋体"/>
                <w:szCs w:val="21"/>
                <w:lang w:val="en-US"/>
              </w:rPr>
              <w:t>标记功能</w:t>
            </w:r>
          </w:p>
        </w:tc>
        <w:tc>
          <w:tcPr>
            <w:tcW w:w="5671" w:type="dxa"/>
            <w:vAlign w:val="center"/>
          </w:tcPr>
          <w:p>
            <w:pPr>
              <w:tabs>
                <w:tab w:val="left" w:pos="926"/>
              </w:tabs>
              <w:jc w:val="both"/>
              <w:rPr>
                <w:rFonts w:ascii="Times New Roman" w:hAnsi="Times New Roman" w:eastAsia="宋体"/>
                <w:color w:val="000000"/>
                <w:szCs w:val="21"/>
                <w:lang w:val="en-US"/>
              </w:rPr>
            </w:pPr>
            <w:r>
              <w:rPr>
                <w:rFonts w:hint="eastAsia" w:ascii="Times New Roman" w:hAnsi="Times New Roman" w:eastAsia="宋体"/>
                <w:szCs w:val="21"/>
                <w:lang w:val="en-US"/>
              </w:rPr>
              <w:t>系统支持音素自动标注，音频文件自定义区域或全文进行自动标注；自动统计文字检索、音素检索、自定义标记中的高频语句、词汇、字和音素</w:t>
            </w:r>
          </w:p>
        </w:tc>
        <w:tc>
          <w:tcPr>
            <w:tcW w:w="1182" w:type="dxa"/>
            <w:vAlign w:val="center"/>
          </w:tcPr>
          <w:p>
            <w:pPr>
              <w:jc w:val="center"/>
              <w:rPr>
                <w:rFonts w:ascii="Times New Roman" w:hAnsi="Times New Roman" w:eastAsia="宋体"/>
                <w:color w:val="000000"/>
                <w:szCs w:val="21"/>
                <w:lang w:val="en-US"/>
              </w:rPr>
            </w:pPr>
            <w:r>
              <w:rPr>
                <w:rFonts w:hint="eastAsia" w:ascii="Times New Roman" w:hAnsi="Times New Roman" w:eastAsia="宋体"/>
                <w:color w:val="000000"/>
                <w:szCs w:val="21"/>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7" w:type="dxa"/>
            <w:vAlign w:val="center"/>
          </w:tcPr>
          <w:p>
            <w:pPr>
              <w:numPr>
                <w:ilvl w:val="0"/>
                <w:numId w:val="63"/>
              </w:numPr>
              <w:jc w:val="center"/>
              <w:rPr>
                <w:rFonts w:ascii="Times New Roman" w:hAnsi="Times New Roman" w:eastAsia="宋体"/>
                <w:bCs/>
                <w:color w:val="000000"/>
                <w:szCs w:val="21"/>
              </w:rPr>
            </w:pPr>
          </w:p>
        </w:tc>
        <w:tc>
          <w:tcPr>
            <w:tcW w:w="872" w:type="dxa"/>
            <w:vAlign w:val="center"/>
          </w:tcPr>
          <w:p>
            <w:pPr>
              <w:tabs>
                <w:tab w:val="left" w:pos="926"/>
              </w:tabs>
              <w:jc w:val="center"/>
              <w:rPr>
                <w:rFonts w:ascii="Times New Roman" w:hAnsi="Times New Roman" w:eastAsia="宋体"/>
                <w:color w:val="000000"/>
                <w:szCs w:val="21"/>
                <w:lang w:val="en-US"/>
              </w:rPr>
            </w:pPr>
            <w:r>
              <w:rPr>
                <w:rFonts w:hint="eastAsia" w:ascii="Times New Roman" w:hAnsi="Times New Roman" w:eastAsia="宋体"/>
                <w:szCs w:val="21"/>
                <w:lang w:val="en-US"/>
              </w:rPr>
              <w:t>截图功能</w:t>
            </w:r>
          </w:p>
        </w:tc>
        <w:tc>
          <w:tcPr>
            <w:tcW w:w="5671" w:type="dxa"/>
            <w:vAlign w:val="center"/>
          </w:tcPr>
          <w:p>
            <w:pPr>
              <w:tabs>
                <w:tab w:val="left" w:pos="926"/>
              </w:tabs>
              <w:jc w:val="both"/>
              <w:rPr>
                <w:rFonts w:ascii="Times New Roman" w:hAnsi="Times New Roman" w:eastAsia="宋体"/>
                <w:color w:val="000000"/>
                <w:szCs w:val="21"/>
                <w:lang w:val="en-US"/>
              </w:rPr>
            </w:pPr>
            <w:r>
              <w:rPr>
                <w:rFonts w:hint="eastAsia" w:ascii="Times New Roman" w:hAnsi="Times New Roman" w:eastAsia="宋体"/>
                <w:szCs w:val="21"/>
                <w:lang w:val="en-US"/>
              </w:rPr>
              <w:t>支持自由截图和选区截图两种方式的截图操作</w:t>
            </w:r>
          </w:p>
        </w:tc>
        <w:tc>
          <w:tcPr>
            <w:tcW w:w="1182" w:type="dxa"/>
            <w:vAlign w:val="center"/>
          </w:tcPr>
          <w:p>
            <w:pPr>
              <w:jc w:val="center"/>
              <w:rPr>
                <w:rFonts w:ascii="Times New Roman" w:hAnsi="Times New Roman" w:eastAsia="宋体"/>
                <w:color w:val="000000"/>
                <w:szCs w:val="21"/>
                <w:lang w:val="en-US"/>
              </w:rPr>
            </w:pPr>
            <w:r>
              <w:rPr>
                <w:rFonts w:hint="eastAsia" w:ascii="Times New Roman" w:hAnsi="Times New Roman" w:eastAsia="宋体"/>
                <w:color w:val="000000"/>
                <w:szCs w:val="21"/>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7" w:type="dxa"/>
            <w:vAlign w:val="center"/>
          </w:tcPr>
          <w:p>
            <w:pPr>
              <w:numPr>
                <w:ilvl w:val="0"/>
                <w:numId w:val="63"/>
              </w:numPr>
              <w:jc w:val="center"/>
              <w:rPr>
                <w:rFonts w:ascii="Times New Roman" w:hAnsi="Times New Roman" w:eastAsia="宋体"/>
                <w:bCs/>
                <w:color w:val="000000"/>
                <w:szCs w:val="21"/>
              </w:rPr>
            </w:pPr>
          </w:p>
        </w:tc>
        <w:tc>
          <w:tcPr>
            <w:tcW w:w="872" w:type="dxa"/>
            <w:vAlign w:val="center"/>
          </w:tcPr>
          <w:p>
            <w:pPr>
              <w:tabs>
                <w:tab w:val="left" w:pos="926"/>
              </w:tabs>
              <w:jc w:val="center"/>
              <w:rPr>
                <w:rFonts w:ascii="Times New Roman" w:hAnsi="Times New Roman" w:eastAsia="宋体"/>
                <w:color w:val="000000"/>
                <w:szCs w:val="21"/>
                <w:lang w:val="en-US"/>
              </w:rPr>
            </w:pPr>
            <w:r>
              <w:rPr>
                <w:rFonts w:hint="eastAsia" w:ascii="Times New Roman" w:hAnsi="Times New Roman" w:eastAsia="宋体"/>
                <w:szCs w:val="21"/>
                <w:lang w:val="en-US"/>
              </w:rPr>
              <w:t>音素测量比对</w:t>
            </w:r>
          </w:p>
        </w:tc>
        <w:tc>
          <w:tcPr>
            <w:tcW w:w="5671" w:type="dxa"/>
            <w:vAlign w:val="center"/>
          </w:tcPr>
          <w:p>
            <w:pPr>
              <w:tabs>
                <w:tab w:val="left" w:pos="926"/>
              </w:tabs>
              <w:jc w:val="both"/>
              <w:rPr>
                <w:rFonts w:ascii="Times New Roman" w:hAnsi="Times New Roman" w:eastAsia="宋体"/>
                <w:color w:val="000000"/>
                <w:szCs w:val="21"/>
                <w:lang w:val="en-US"/>
              </w:rPr>
            </w:pPr>
            <w:r>
              <w:rPr>
                <w:rFonts w:hint="eastAsia" w:ascii="Times New Roman" w:hAnsi="Times New Roman" w:eastAsia="宋体"/>
                <w:szCs w:val="21"/>
                <w:lang w:val="en-US"/>
              </w:rPr>
              <w:t>系统支持音素测量比对功能，测量分析结果自动生成带有语图谱、LPC线性谱及对应的共振峰数值，包括共振峰的中心频率、带宽、强度数值，以及两者的均值和偏差分析</w:t>
            </w:r>
          </w:p>
        </w:tc>
        <w:tc>
          <w:tcPr>
            <w:tcW w:w="1182" w:type="dxa"/>
            <w:vAlign w:val="center"/>
          </w:tcPr>
          <w:p>
            <w:pPr>
              <w:jc w:val="center"/>
              <w:rPr>
                <w:rFonts w:ascii="Times New Roman" w:hAnsi="Times New Roman" w:eastAsia="宋体"/>
                <w:color w:val="000000"/>
                <w:szCs w:val="21"/>
                <w:lang w:val="en-US"/>
              </w:rPr>
            </w:pPr>
            <w:r>
              <w:rPr>
                <w:rFonts w:hint="eastAsia" w:ascii="Times New Roman" w:hAnsi="Times New Roman" w:eastAsia="宋体"/>
                <w:color w:val="000000"/>
                <w:szCs w:val="21"/>
                <w:lang w:val="en-US"/>
              </w:rPr>
              <w:t>/</w:t>
            </w:r>
          </w:p>
        </w:tc>
      </w:tr>
    </w:tbl>
    <w:p>
      <w:pPr>
        <w:rPr>
          <w:lang w:val="en-US" w:bidi="ar"/>
        </w:rPr>
      </w:pPr>
    </w:p>
    <w:p>
      <w:pPr>
        <w:pStyle w:val="5"/>
        <w:spacing w:before="15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第1</w:t>
      </w:r>
      <w:r>
        <w:rPr>
          <w:rFonts w:asciiTheme="minorEastAsia" w:hAnsiTheme="minorEastAsia" w:eastAsiaTheme="minorEastAsia" w:cstheme="minorEastAsia"/>
          <w:szCs w:val="21"/>
        </w:rPr>
        <w:t>1</w:t>
      </w:r>
      <w:r>
        <w:rPr>
          <w:rFonts w:hint="eastAsia" w:asciiTheme="minorEastAsia" w:hAnsiTheme="minorEastAsia" w:eastAsiaTheme="minorEastAsia" w:cstheme="minorEastAsia"/>
          <w:szCs w:val="21"/>
        </w:rPr>
        <w:t>包声纹工作站</w:t>
      </w:r>
      <w:r>
        <w:rPr>
          <w:color w:val="000000"/>
          <w:kern w:val="0"/>
          <w:szCs w:val="21"/>
          <w:lang w:val="en-US" w:bidi="ar"/>
        </w:rPr>
        <w:t>Ⅲ</w:t>
      </w:r>
    </w:p>
    <w:bookmarkEnd w:id="110"/>
    <w:bookmarkEnd w:id="111"/>
    <w:tbl>
      <w:tblPr>
        <w:tblStyle w:val="8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417"/>
        <w:gridCol w:w="4111"/>
        <w:gridCol w:w="1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tcBorders>
              <w:tl2br w:val="nil"/>
              <w:tr2bl w:val="nil"/>
            </w:tcBorders>
            <w:shd w:val="clear" w:color="auto" w:fill="auto"/>
            <w:vAlign w:val="center"/>
          </w:tcPr>
          <w:p>
            <w:pPr>
              <w:jc w:val="center"/>
              <w:rPr>
                <w:rFonts w:ascii="Times New Roman" w:hAnsi="Times New Roman" w:eastAsia="宋体"/>
                <w:b/>
                <w:color w:val="000000"/>
                <w:kern w:val="0"/>
                <w:szCs w:val="21"/>
                <w:lang w:val="en-US"/>
              </w:rPr>
            </w:pPr>
            <w:r>
              <w:rPr>
                <w:rFonts w:hint="eastAsia" w:ascii="Times New Roman" w:hAnsi="Times New Roman" w:eastAsia="宋体"/>
                <w:b/>
                <w:color w:val="000000"/>
                <w:kern w:val="0"/>
                <w:szCs w:val="21"/>
                <w:lang w:val="en-US"/>
              </w:rPr>
              <w:t>序号</w:t>
            </w:r>
          </w:p>
        </w:tc>
        <w:tc>
          <w:tcPr>
            <w:tcW w:w="1417" w:type="dxa"/>
            <w:tcBorders>
              <w:tl2br w:val="nil"/>
              <w:tr2bl w:val="nil"/>
            </w:tcBorders>
            <w:shd w:val="clear" w:color="auto" w:fill="auto"/>
            <w:vAlign w:val="center"/>
          </w:tcPr>
          <w:p>
            <w:pPr>
              <w:jc w:val="center"/>
              <w:rPr>
                <w:rFonts w:ascii="Times New Roman" w:hAnsi="Times New Roman" w:eastAsia="宋体"/>
                <w:b/>
                <w:color w:val="000000"/>
                <w:kern w:val="0"/>
                <w:szCs w:val="21"/>
                <w:lang w:val="en-US"/>
              </w:rPr>
            </w:pPr>
            <w:r>
              <w:rPr>
                <w:rFonts w:hint="eastAsia" w:ascii="Times New Roman" w:hAnsi="Times New Roman" w:eastAsia="宋体"/>
                <w:b/>
                <w:color w:val="000000"/>
                <w:kern w:val="0"/>
                <w:szCs w:val="21"/>
                <w:lang w:val="en-US"/>
              </w:rPr>
              <w:t>指标项</w:t>
            </w:r>
          </w:p>
        </w:tc>
        <w:tc>
          <w:tcPr>
            <w:tcW w:w="4111" w:type="dxa"/>
            <w:tcBorders>
              <w:tl2br w:val="nil"/>
              <w:tr2bl w:val="nil"/>
            </w:tcBorders>
            <w:shd w:val="clear" w:color="auto" w:fill="auto"/>
            <w:vAlign w:val="center"/>
          </w:tcPr>
          <w:p>
            <w:pPr>
              <w:jc w:val="center"/>
              <w:rPr>
                <w:rFonts w:ascii="Times New Roman" w:hAnsi="Times New Roman" w:eastAsia="宋体"/>
                <w:b/>
                <w:color w:val="000000"/>
                <w:kern w:val="0"/>
                <w:szCs w:val="21"/>
                <w:lang w:val="en-US"/>
              </w:rPr>
            </w:pPr>
            <w:r>
              <w:rPr>
                <w:rFonts w:hint="eastAsia" w:ascii="Times New Roman" w:hAnsi="Times New Roman" w:eastAsia="宋体"/>
                <w:b/>
                <w:color w:val="000000"/>
                <w:kern w:val="0"/>
                <w:szCs w:val="21"/>
                <w:lang w:val="en-US"/>
              </w:rPr>
              <w:t>指标要求</w:t>
            </w:r>
          </w:p>
        </w:tc>
        <w:tc>
          <w:tcPr>
            <w:tcW w:w="1185" w:type="dxa"/>
            <w:tcBorders>
              <w:tl2br w:val="nil"/>
              <w:tr2bl w:val="nil"/>
            </w:tcBorders>
            <w:shd w:val="clear" w:color="auto" w:fill="auto"/>
            <w:vAlign w:val="center"/>
          </w:tcPr>
          <w:p>
            <w:pPr>
              <w:jc w:val="center"/>
              <w:rPr>
                <w:rFonts w:ascii="Times New Roman" w:hAnsi="Times New Roman" w:eastAsia="宋体"/>
                <w:b/>
                <w:color w:val="000000"/>
                <w:kern w:val="0"/>
                <w:szCs w:val="21"/>
                <w:lang w:val="en-US"/>
              </w:rPr>
            </w:pPr>
            <w:r>
              <w:rPr>
                <w:rFonts w:hint="eastAsia" w:ascii="Times New Roman" w:hAnsi="Times New Roman" w:eastAsia="宋体"/>
                <w:b/>
                <w:color w:val="000000"/>
                <w:kern w:val="0"/>
                <w:szCs w:val="21"/>
                <w:lang w:val="en-US"/>
              </w:rPr>
              <w:t>证明材料要求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704" w:type="dxa"/>
            <w:tcBorders>
              <w:tl2br w:val="nil"/>
              <w:tr2bl w:val="nil"/>
            </w:tcBorders>
            <w:shd w:val="clear" w:color="auto" w:fill="auto"/>
            <w:noWrap/>
            <w:vAlign w:val="center"/>
          </w:tcPr>
          <w:p>
            <w:pPr>
              <w:numPr>
                <w:ilvl w:val="0"/>
                <w:numId w:val="64"/>
              </w:numPr>
              <w:jc w:val="center"/>
              <w:rPr>
                <w:rFonts w:ascii="Times New Roman" w:hAnsi="Times New Roman" w:eastAsia="宋体"/>
                <w:color w:val="000000"/>
                <w:kern w:val="0"/>
                <w:szCs w:val="21"/>
                <w:lang w:val="en-US"/>
              </w:rPr>
            </w:pPr>
          </w:p>
        </w:tc>
        <w:tc>
          <w:tcPr>
            <w:tcW w:w="1417" w:type="dxa"/>
            <w:tcBorders>
              <w:tl2br w:val="nil"/>
              <w:tr2bl w:val="nil"/>
            </w:tcBorders>
            <w:shd w:val="clear" w:color="auto" w:fill="auto"/>
            <w:noWrap/>
            <w:vAlign w:val="center"/>
          </w:tcPr>
          <w:p>
            <w:pPr>
              <w:jc w:val="center"/>
              <w:rPr>
                <w:rFonts w:ascii="Times New Roman" w:hAnsi="Times New Roman" w:eastAsia="宋体"/>
                <w:color w:val="000000"/>
                <w:kern w:val="0"/>
                <w:szCs w:val="21"/>
                <w:lang w:val="en-US"/>
              </w:rPr>
            </w:pPr>
            <w:r>
              <w:rPr>
                <w:rFonts w:hint="eastAsia" w:ascii="Times New Roman" w:hAnsi="Times New Roman" w:eastAsia="宋体"/>
                <w:color w:val="000000"/>
                <w:kern w:val="0"/>
                <w:szCs w:val="21"/>
                <w:lang w:val="en-US"/>
              </w:rPr>
              <w:t>案件管理</w:t>
            </w:r>
          </w:p>
        </w:tc>
        <w:tc>
          <w:tcPr>
            <w:tcW w:w="4111" w:type="dxa"/>
            <w:tcBorders>
              <w:tl2br w:val="nil"/>
              <w:tr2bl w:val="nil"/>
            </w:tcBorders>
            <w:shd w:val="clear" w:color="auto" w:fill="auto"/>
            <w:noWrap/>
            <w:vAlign w:val="center"/>
          </w:tcPr>
          <w:p>
            <w:pPr>
              <w:jc w:val="both"/>
              <w:rPr>
                <w:rFonts w:ascii="Times New Roman" w:hAnsi="Times New Roman" w:eastAsia="宋体"/>
                <w:kern w:val="0"/>
                <w:szCs w:val="21"/>
                <w:lang w:val="en-US"/>
              </w:rPr>
            </w:pPr>
            <w:r>
              <w:rPr>
                <w:rFonts w:hint="eastAsia" w:ascii="Times New Roman" w:hAnsi="Times New Roman" w:eastAsia="宋体"/>
                <w:kern w:val="0"/>
                <w:szCs w:val="21"/>
                <w:lang w:val="en-US"/>
              </w:rPr>
              <w:t>系统支持对案件列表进行管理，支持新建案件、打开历史案件、重命名、删除案件等操作</w:t>
            </w:r>
          </w:p>
        </w:tc>
        <w:tc>
          <w:tcPr>
            <w:tcW w:w="1185" w:type="dxa"/>
            <w:tcBorders>
              <w:tl2br w:val="nil"/>
              <w:tr2bl w:val="nil"/>
            </w:tcBorders>
            <w:shd w:val="clear" w:color="auto" w:fill="auto"/>
            <w:vAlign w:val="center"/>
          </w:tcPr>
          <w:p>
            <w:pPr>
              <w:jc w:val="center"/>
              <w:rPr>
                <w:rFonts w:ascii="Times New Roman" w:hAnsi="Times New Roman" w:eastAsia="宋体"/>
                <w:color w:val="000000"/>
                <w:kern w:val="0"/>
                <w:szCs w:val="21"/>
                <w:lang w:val="en-US"/>
              </w:rPr>
            </w:pPr>
            <w:r>
              <w:rPr>
                <w:rFonts w:hint="eastAsia" w:ascii="Times New Roman" w:hAnsi="Times New Roman" w:eastAsia="宋体"/>
                <w:color w:val="000000"/>
                <w:kern w:val="0"/>
                <w:szCs w:val="21"/>
                <w:lang w:val="en-US"/>
              </w:rPr>
              <w:t>原厂证明材料或承诺函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704" w:type="dxa"/>
            <w:tcBorders>
              <w:tl2br w:val="nil"/>
              <w:tr2bl w:val="nil"/>
            </w:tcBorders>
            <w:shd w:val="clear" w:color="auto" w:fill="auto"/>
            <w:noWrap/>
            <w:vAlign w:val="center"/>
          </w:tcPr>
          <w:p>
            <w:pPr>
              <w:numPr>
                <w:ilvl w:val="0"/>
                <w:numId w:val="64"/>
              </w:numPr>
              <w:jc w:val="center"/>
              <w:rPr>
                <w:rFonts w:ascii="Times New Roman" w:hAnsi="Times New Roman" w:eastAsia="宋体"/>
                <w:color w:val="000000"/>
                <w:kern w:val="0"/>
                <w:szCs w:val="21"/>
                <w:lang w:val="en-US"/>
              </w:rPr>
            </w:pPr>
          </w:p>
        </w:tc>
        <w:tc>
          <w:tcPr>
            <w:tcW w:w="1417" w:type="dxa"/>
            <w:tcBorders>
              <w:tl2br w:val="nil"/>
              <w:tr2bl w:val="nil"/>
            </w:tcBorders>
            <w:shd w:val="clear" w:color="auto" w:fill="auto"/>
            <w:noWrap/>
            <w:vAlign w:val="center"/>
          </w:tcPr>
          <w:p>
            <w:pPr>
              <w:jc w:val="center"/>
              <w:rPr>
                <w:rFonts w:ascii="Times New Roman" w:hAnsi="Times New Roman" w:eastAsia="宋体"/>
                <w:color w:val="000000"/>
                <w:kern w:val="0"/>
                <w:szCs w:val="21"/>
                <w:lang w:val="en-US"/>
              </w:rPr>
            </w:pPr>
            <w:r>
              <w:rPr>
                <w:rFonts w:hint="eastAsia" w:ascii="Times New Roman" w:hAnsi="Times New Roman" w:eastAsia="宋体"/>
                <w:color w:val="000000"/>
                <w:kern w:val="0"/>
                <w:szCs w:val="21"/>
                <w:lang w:val="en-US"/>
              </w:rPr>
              <w:t>案件管理</w:t>
            </w:r>
          </w:p>
        </w:tc>
        <w:tc>
          <w:tcPr>
            <w:tcW w:w="4111" w:type="dxa"/>
            <w:tcBorders>
              <w:tl2br w:val="nil"/>
              <w:tr2bl w:val="nil"/>
            </w:tcBorders>
            <w:shd w:val="clear" w:color="auto" w:fill="auto"/>
            <w:noWrap/>
            <w:vAlign w:val="center"/>
          </w:tcPr>
          <w:p>
            <w:pPr>
              <w:jc w:val="both"/>
              <w:rPr>
                <w:rFonts w:ascii="Times New Roman" w:hAnsi="Times New Roman" w:eastAsia="宋体"/>
                <w:kern w:val="0"/>
                <w:szCs w:val="21"/>
                <w:lang w:val="en-US"/>
              </w:rPr>
            </w:pPr>
            <w:r>
              <w:rPr>
                <w:rFonts w:hint="eastAsia" w:ascii="Times New Roman" w:hAnsi="Times New Roman" w:eastAsia="宋体"/>
                <w:kern w:val="0"/>
                <w:szCs w:val="21"/>
                <w:lang w:val="en-US"/>
              </w:rPr>
              <w:t>系统支持案件的导出和导入操作，支持案件资料异地处理或转交他人处理</w:t>
            </w:r>
          </w:p>
        </w:tc>
        <w:tc>
          <w:tcPr>
            <w:tcW w:w="1185" w:type="dxa"/>
            <w:tcBorders>
              <w:tl2br w:val="nil"/>
              <w:tr2bl w:val="nil"/>
            </w:tcBorders>
            <w:shd w:val="clear" w:color="auto" w:fill="auto"/>
            <w:vAlign w:val="center"/>
          </w:tcPr>
          <w:p>
            <w:pPr>
              <w:jc w:val="center"/>
              <w:rPr>
                <w:rFonts w:ascii="Times New Roman" w:hAnsi="Times New Roman" w:eastAsia="宋体"/>
                <w:color w:val="000000"/>
                <w:kern w:val="0"/>
                <w:szCs w:val="21"/>
                <w:lang w:val="en-US"/>
              </w:rPr>
            </w:pPr>
            <w:r>
              <w:rPr>
                <w:rFonts w:hint="eastAsia" w:ascii="Times New Roman" w:hAnsi="Times New Roman" w:eastAsia="宋体"/>
                <w:color w:val="000000"/>
                <w:kern w:val="0"/>
                <w:szCs w:val="21"/>
                <w:lang w:val="en-US"/>
              </w:rPr>
              <w:t>原厂证明材料或承诺函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704" w:type="dxa"/>
            <w:tcBorders>
              <w:tl2br w:val="nil"/>
              <w:tr2bl w:val="nil"/>
            </w:tcBorders>
            <w:shd w:val="clear" w:color="auto" w:fill="auto"/>
            <w:noWrap/>
            <w:vAlign w:val="center"/>
          </w:tcPr>
          <w:p>
            <w:pPr>
              <w:numPr>
                <w:ilvl w:val="0"/>
                <w:numId w:val="64"/>
              </w:numPr>
              <w:jc w:val="center"/>
              <w:rPr>
                <w:rFonts w:ascii="Times New Roman" w:hAnsi="Times New Roman" w:eastAsia="宋体"/>
                <w:color w:val="000000"/>
                <w:kern w:val="0"/>
                <w:szCs w:val="21"/>
                <w:lang w:val="en-US"/>
              </w:rPr>
            </w:pPr>
          </w:p>
        </w:tc>
        <w:tc>
          <w:tcPr>
            <w:tcW w:w="1417" w:type="dxa"/>
            <w:tcBorders>
              <w:tl2br w:val="nil"/>
              <w:tr2bl w:val="nil"/>
            </w:tcBorders>
            <w:shd w:val="clear" w:color="auto" w:fill="auto"/>
            <w:noWrap/>
            <w:vAlign w:val="center"/>
          </w:tcPr>
          <w:p>
            <w:pPr>
              <w:jc w:val="center"/>
              <w:rPr>
                <w:rFonts w:ascii="Times New Roman" w:hAnsi="Times New Roman" w:eastAsia="宋体"/>
                <w:color w:val="000000"/>
                <w:kern w:val="0"/>
                <w:szCs w:val="21"/>
                <w:lang w:val="en-US"/>
              </w:rPr>
            </w:pPr>
            <w:r>
              <w:rPr>
                <w:rFonts w:hint="eastAsia" w:ascii="Times New Roman" w:hAnsi="Times New Roman" w:eastAsia="宋体"/>
                <w:color w:val="000000"/>
                <w:kern w:val="0"/>
                <w:szCs w:val="21"/>
                <w:lang w:val="en-US"/>
              </w:rPr>
              <w:t>案件管理</w:t>
            </w:r>
          </w:p>
        </w:tc>
        <w:tc>
          <w:tcPr>
            <w:tcW w:w="4111" w:type="dxa"/>
            <w:tcBorders>
              <w:tl2br w:val="nil"/>
              <w:tr2bl w:val="nil"/>
            </w:tcBorders>
            <w:shd w:val="clear" w:color="auto" w:fill="auto"/>
            <w:noWrap/>
            <w:vAlign w:val="center"/>
          </w:tcPr>
          <w:p>
            <w:pPr>
              <w:jc w:val="both"/>
              <w:rPr>
                <w:rFonts w:ascii="Times New Roman" w:hAnsi="Times New Roman" w:eastAsia="宋体"/>
                <w:kern w:val="0"/>
                <w:szCs w:val="21"/>
                <w:lang w:val="en-US"/>
              </w:rPr>
            </w:pPr>
            <w:r>
              <w:rPr>
                <w:rFonts w:hint="eastAsia" w:ascii="Times New Roman" w:hAnsi="Times New Roman" w:eastAsia="宋体"/>
                <w:kern w:val="0"/>
                <w:szCs w:val="21"/>
                <w:lang w:val="en-US"/>
              </w:rPr>
              <w:t>支持通过搜索关键字实现案件的快速搜索</w:t>
            </w:r>
          </w:p>
        </w:tc>
        <w:tc>
          <w:tcPr>
            <w:tcW w:w="1185" w:type="dxa"/>
            <w:tcBorders>
              <w:tl2br w:val="nil"/>
              <w:tr2bl w:val="nil"/>
            </w:tcBorders>
            <w:shd w:val="clear" w:color="auto" w:fill="auto"/>
            <w:vAlign w:val="center"/>
          </w:tcPr>
          <w:p>
            <w:pPr>
              <w:jc w:val="center"/>
              <w:rPr>
                <w:rFonts w:ascii="Times New Roman" w:hAnsi="Times New Roman" w:eastAsia="宋体"/>
                <w:color w:val="000000"/>
                <w:kern w:val="0"/>
                <w:szCs w:val="21"/>
                <w:lang w:val="en-US"/>
              </w:rPr>
            </w:pPr>
            <w:r>
              <w:rPr>
                <w:rFonts w:hint="eastAsia" w:ascii="Times New Roman" w:hAnsi="Times New Roman" w:eastAsia="宋体"/>
                <w:color w:val="000000"/>
                <w:kern w:val="0"/>
                <w:szCs w:val="21"/>
                <w:lang w:val="en-US"/>
              </w:rPr>
              <w:t>原厂证明材料或承诺函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4" w:type="dxa"/>
            <w:tcBorders>
              <w:tl2br w:val="nil"/>
              <w:tr2bl w:val="nil"/>
            </w:tcBorders>
            <w:shd w:val="clear" w:color="auto" w:fill="auto"/>
            <w:noWrap/>
            <w:vAlign w:val="center"/>
          </w:tcPr>
          <w:p>
            <w:pPr>
              <w:numPr>
                <w:ilvl w:val="0"/>
                <w:numId w:val="64"/>
              </w:numPr>
              <w:jc w:val="center"/>
              <w:rPr>
                <w:rFonts w:ascii="Times New Roman" w:hAnsi="Times New Roman" w:eastAsia="宋体"/>
                <w:color w:val="000000"/>
                <w:kern w:val="0"/>
                <w:szCs w:val="21"/>
                <w:lang w:val="en-US"/>
              </w:rPr>
            </w:pPr>
          </w:p>
        </w:tc>
        <w:tc>
          <w:tcPr>
            <w:tcW w:w="1417" w:type="dxa"/>
            <w:tcBorders>
              <w:tl2br w:val="nil"/>
              <w:tr2bl w:val="nil"/>
            </w:tcBorders>
            <w:shd w:val="clear" w:color="auto" w:fill="auto"/>
            <w:noWrap/>
            <w:vAlign w:val="center"/>
          </w:tcPr>
          <w:p>
            <w:pPr>
              <w:jc w:val="center"/>
              <w:rPr>
                <w:rFonts w:ascii="Times New Roman" w:hAnsi="Times New Roman" w:eastAsia="宋体"/>
                <w:color w:val="000000"/>
                <w:kern w:val="0"/>
                <w:szCs w:val="21"/>
                <w:lang w:val="en-US"/>
              </w:rPr>
            </w:pPr>
            <w:r>
              <w:rPr>
                <w:rFonts w:hint="eastAsia" w:ascii="Times New Roman" w:hAnsi="Times New Roman" w:eastAsia="宋体"/>
                <w:color w:val="000000"/>
                <w:kern w:val="0"/>
                <w:szCs w:val="21"/>
                <w:lang w:val="en-US"/>
              </w:rPr>
              <w:t>案件管理</w:t>
            </w:r>
          </w:p>
        </w:tc>
        <w:tc>
          <w:tcPr>
            <w:tcW w:w="4111" w:type="dxa"/>
            <w:tcBorders>
              <w:tl2br w:val="nil"/>
              <w:tr2bl w:val="nil"/>
            </w:tcBorders>
            <w:shd w:val="clear" w:color="auto" w:fill="auto"/>
            <w:noWrap/>
            <w:vAlign w:val="center"/>
          </w:tcPr>
          <w:p>
            <w:pPr>
              <w:jc w:val="both"/>
              <w:rPr>
                <w:rFonts w:ascii="Times New Roman" w:hAnsi="Times New Roman" w:eastAsia="宋体"/>
                <w:kern w:val="0"/>
                <w:szCs w:val="21"/>
                <w:lang w:val="en-US"/>
              </w:rPr>
            </w:pPr>
            <w:r>
              <w:rPr>
                <w:rFonts w:hint="eastAsia" w:ascii="Times New Roman" w:hAnsi="Times New Roman" w:eastAsia="宋体"/>
                <w:kern w:val="0"/>
                <w:szCs w:val="21"/>
                <w:lang w:val="en-US"/>
              </w:rPr>
              <w:t>系统具有回收站功能，支持案件防误删管理，在回收站中用户可对案件进行还原和彻底删除</w:t>
            </w:r>
          </w:p>
        </w:tc>
        <w:tc>
          <w:tcPr>
            <w:tcW w:w="1185" w:type="dxa"/>
            <w:tcBorders>
              <w:tl2br w:val="nil"/>
              <w:tr2bl w:val="nil"/>
            </w:tcBorders>
            <w:shd w:val="clear" w:color="auto" w:fill="auto"/>
            <w:vAlign w:val="center"/>
          </w:tcPr>
          <w:p>
            <w:pPr>
              <w:jc w:val="center"/>
              <w:rPr>
                <w:rFonts w:ascii="Times New Roman" w:hAnsi="Times New Roman" w:eastAsia="宋体"/>
                <w:color w:val="000000"/>
                <w:kern w:val="0"/>
                <w:szCs w:val="21"/>
                <w:lang w:val="en-US"/>
              </w:rPr>
            </w:pPr>
            <w:r>
              <w:rPr>
                <w:rFonts w:hint="eastAsia" w:ascii="Times New Roman" w:hAnsi="Times New Roman" w:eastAsia="宋体"/>
                <w:color w:val="000000"/>
                <w:kern w:val="0"/>
                <w:szCs w:val="21"/>
                <w:lang w:val="en-US"/>
              </w:rPr>
              <w:t>原厂证明材料或承诺函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704" w:type="dxa"/>
            <w:tcBorders>
              <w:tl2br w:val="nil"/>
              <w:tr2bl w:val="nil"/>
            </w:tcBorders>
            <w:shd w:val="clear" w:color="auto" w:fill="auto"/>
            <w:noWrap/>
            <w:vAlign w:val="center"/>
          </w:tcPr>
          <w:p>
            <w:pPr>
              <w:numPr>
                <w:ilvl w:val="0"/>
                <w:numId w:val="64"/>
              </w:numPr>
              <w:jc w:val="center"/>
              <w:rPr>
                <w:rFonts w:ascii="Times New Roman" w:hAnsi="Times New Roman" w:eastAsia="宋体"/>
                <w:color w:val="000000"/>
                <w:kern w:val="0"/>
                <w:szCs w:val="21"/>
                <w:lang w:val="en-US"/>
              </w:rPr>
            </w:pPr>
          </w:p>
        </w:tc>
        <w:tc>
          <w:tcPr>
            <w:tcW w:w="1417" w:type="dxa"/>
            <w:tcBorders>
              <w:tl2br w:val="nil"/>
              <w:tr2bl w:val="nil"/>
            </w:tcBorders>
            <w:shd w:val="clear" w:color="auto" w:fill="auto"/>
            <w:noWrap/>
            <w:vAlign w:val="center"/>
          </w:tcPr>
          <w:p>
            <w:pPr>
              <w:jc w:val="center"/>
              <w:rPr>
                <w:rFonts w:ascii="Times New Roman" w:hAnsi="Times New Roman" w:eastAsia="宋体"/>
                <w:color w:val="000000"/>
                <w:kern w:val="0"/>
                <w:szCs w:val="21"/>
                <w:lang w:val="en-US"/>
              </w:rPr>
            </w:pPr>
            <w:r>
              <w:rPr>
                <w:rFonts w:hint="eastAsia" w:ascii="Times New Roman" w:hAnsi="Times New Roman" w:eastAsia="宋体"/>
                <w:color w:val="000000"/>
                <w:kern w:val="0"/>
                <w:szCs w:val="21"/>
                <w:lang w:val="en-US"/>
              </w:rPr>
              <w:t>案件管理</w:t>
            </w:r>
          </w:p>
        </w:tc>
        <w:tc>
          <w:tcPr>
            <w:tcW w:w="4111" w:type="dxa"/>
            <w:tcBorders>
              <w:tl2br w:val="nil"/>
              <w:tr2bl w:val="nil"/>
            </w:tcBorders>
            <w:shd w:val="clear" w:color="auto" w:fill="auto"/>
            <w:noWrap/>
            <w:vAlign w:val="center"/>
          </w:tcPr>
          <w:p>
            <w:pPr>
              <w:jc w:val="both"/>
              <w:rPr>
                <w:rFonts w:ascii="Times New Roman" w:hAnsi="Times New Roman" w:eastAsia="宋体"/>
                <w:kern w:val="0"/>
                <w:szCs w:val="21"/>
                <w:lang w:val="en-US"/>
              </w:rPr>
            </w:pPr>
            <w:r>
              <w:rPr>
                <w:rFonts w:hint="eastAsia" w:ascii="Times New Roman" w:hAnsi="Times New Roman" w:eastAsia="宋体"/>
                <w:kern w:val="0"/>
                <w:szCs w:val="21"/>
                <w:lang w:val="en-US"/>
              </w:rPr>
              <w:t>系统支持对导入的案件音频自动生成案件受理表，记录检材和样本的文件属性，可填写送检单位及办案人员信息</w:t>
            </w:r>
          </w:p>
        </w:tc>
        <w:tc>
          <w:tcPr>
            <w:tcW w:w="1185" w:type="dxa"/>
            <w:tcBorders>
              <w:tl2br w:val="nil"/>
              <w:tr2bl w:val="nil"/>
            </w:tcBorders>
            <w:shd w:val="clear" w:color="auto" w:fill="auto"/>
            <w:vAlign w:val="center"/>
          </w:tcPr>
          <w:p>
            <w:pPr>
              <w:jc w:val="center"/>
              <w:rPr>
                <w:rFonts w:ascii="Times New Roman" w:hAnsi="Times New Roman" w:eastAsia="宋体"/>
                <w:color w:val="000000"/>
                <w:kern w:val="0"/>
                <w:szCs w:val="21"/>
                <w:lang w:val="en-US"/>
              </w:rPr>
            </w:pPr>
            <w:r>
              <w:rPr>
                <w:rFonts w:hint="eastAsia" w:ascii="Times New Roman" w:hAnsi="Times New Roman" w:eastAsia="宋体"/>
                <w:color w:val="000000"/>
                <w:kern w:val="0"/>
                <w:szCs w:val="21"/>
                <w:lang w:val="en-US"/>
              </w:rPr>
              <w:t>原厂证明材料或承诺函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704" w:type="dxa"/>
            <w:tcBorders>
              <w:tl2br w:val="nil"/>
              <w:tr2bl w:val="nil"/>
            </w:tcBorders>
            <w:shd w:val="clear" w:color="auto" w:fill="auto"/>
            <w:noWrap/>
            <w:vAlign w:val="center"/>
          </w:tcPr>
          <w:p>
            <w:pPr>
              <w:numPr>
                <w:ilvl w:val="0"/>
                <w:numId w:val="64"/>
              </w:numPr>
              <w:jc w:val="center"/>
              <w:rPr>
                <w:rFonts w:ascii="Times New Roman" w:hAnsi="Times New Roman" w:eastAsia="宋体"/>
                <w:color w:val="000000"/>
                <w:kern w:val="0"/>
                <w:szCs w:val="21"/>
                <w:lang w:val="en-US"/>
              </w:rPr>
            </w:pPr>
          </w:p>
        </w:tc>
        <w:tc>
          <w:tcPr>
            <w:tcW w:w="1417" w:type="dxa"/>
            <w:tcBorders>
              <w:tl2br w:val="nil"/>
              <w:tr2bl w:val="nil"/>
            </w:tcBorders>
            <w:shd w:val="clear" w:color="auto" w:fill="auto"/>
            <w:noWrap/>
            <w:vAlign w:val="center"/>
          </w:tcPr>
          <w:p>
            <w:pPr>
              <w:jc w:val="center"/>
              <w:rPr>
                <w:rFonts w:ascii="Times New Roman" w:hAnsi="Times New Roman" w:eastAsia="宋体"/>
                <w:color w:val="000000"/>
                <w:kern w:val="0"/>
                <w:szCs w:val="21"/>
                <w:lang w:val="en-US"/>
              </w:rPr>
            </w:pPr>
            <w:r>
              <w:rPr>
                <w:rFonts w:hint="eastAsia" w:ascii="Times New Roman" w:hAnsi="Times New Roman" w:eastAsia="宋体"/>
                <w:color w:val="000000"/>
                <w:kern w:val="0"/>
                <w:szCs w:val="21"/>
                <w:lang w:val="en-US"/>
              </w:rPr>
              <w:t>案件管理</w:t>
            </w:r>
          </w:p>
        </w:tc>
        <w:tc>
          <w:tcPr>
            <w:tcW w:w="4111" w:type="dxa"/>
            <w:tcBorders>
              <w:tl2br w:val="nil"/>
              <w:tr2bl w:val="nil"/>
            </w:tcBorders>
            <w:shd w:val="clear" w:color="auto" w:fill="auto"/>
            <w:noWrap/>
            <w:vAlign w:val="center"/>
          </w:tcPr>
          <w:p>
            <w:pPr>
              <w:jc w:val="both"/>
              <w:rPr>
                <w:rFonts w:ascii="Times New Roman" w:hAnsi="Times New Roman" w:eastAsia="宋体"/>
                <w:kern w:val="0"/>
                <w:szCs w:val="21"/>
                <w:lang w:val="en-US"/>
              </w:rPr>
            </w:pPr>
            <w:r>
              <w:rPr>
                <w:rFonts w:hint="eastAsia" w:ascii="Times New Roman" w:hAnsi="Times New Roman" w:eastAsia="宋体"/>
                <w:szCs w:val="21"/>
              </w:rPr>
              <w:t>支持任意新建文件夹，层级和数量不限制，可导入音视频和图片等文件；</w:t>
            </w:r>
            <w:r>
              <w:rPr>
                <w:rFonts w:hint="eastAsia" w:ascii="Times New Roman" w:hAnsi="Times New Roman" w:eastAsia="宋体"/>
                <w:szCs w:val="21"/>
                <w:lang w:val="en-US"/>
              </w:rPr>
              <w:t>可通过系统软件对相关案件进行归档或分类处理</w:t>
            </w:r>
          </w:p>
        </w:tc>
        <w:tc>
          <w:tcPr>
            <w:tcW w:w="1185" w:type="dxa"/>
            <w:tcBorders>
              <w:tl2br w:val="nil"/>
              <w:tr2bl w:val="nil"/>
            </w:tcBorders>
            <w:shd w:val="clear" w:color="auto" w:fill="auto"/>
            <w:vAlign w:val="center"/>
          </w:tcPr>
          <w:p>
            <w:pPr>
              <w:jc w:val="center"/>
              <w:rPr>
                <w:rFonts w:ascii="Times New Roman" w:hAnsi="Times New Roman" w:eastAsia="宋体"/>
                <w:color w:val="000000"/>
                <w:kern w:val="0"/>
                <w:szCs w:val="21"/>
                <w:lang w:val="en-US"/>
              </w:rPr>
            </w:pPr>
            <w:r>
              <w:rPr>
                <w:rFonts w:hint="eastAsia" w:ascii="Times New Roman" w:hAnsi="Times New Roman" w:eastAsia="宋体"/>
                <w:color w:val="000000"/>
                <w:kern w:val="0"/>
                <w:szCs w:val="21"/>
                <w:lang w:val="en-US"/>
              </w:rPr>
              <w:t>原厂证明材料或承诺函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704" w:type="dxa"/>
            <w:tcBorders>
              <w:tl2br w:val="nil"/>
              <w:tr2bl w:val="nil"/>
            </w:tcBorders>
            <w:shd w:val="clear" w:color="auto" w:fill="auto"/>
            <w:noWrap/>
            <w:vAlign w:val="center"/>
          </w:tcPr>
          <w:p>
            <w:pPr>
              <w:numPr>
                <w:ilvl w:val="0"/>
                <w:numId w:val="64"/>
              </w:numPr>
              <w:jc w:val="center"/>
              <w:rPr>
                <w:rFonts w:ascii="Times New Roman" w:hAnsi="Times New Roman" w:eastAsia="宋体"/>
                <w:color w:val="000000"/>
                <w:kern w:val="0"/>
                <w:szCs w:val="21"/>
                <w:lang w:val="en-US"/>
              </w:rPr>
            </w:pPr>
          </w:p>
        </w:tc>
        <w:tc>
          <w:tcPr>
            <w:tcW w:w="1417" w:type="dxa"/>
            <w:tcBorders>
              <w:tl2br w:val="nil"/>
              <w:tr2bl w:val="nil"/>
            </w:tcBorders>
            <w:shd w:val="clear" w:color="auto" w:fill="auto"/>
            <w:noWrap/>
            <w:vAlign w:val="center"/>
          </w:tcPr>
          <w:p>
            <w:pPr>
              <w:jc w:val="center"/>
              <w:rPr>
                <w:rFonts w:ascii="Times New Roman" w:hAnsi="Times New Roman" w:eastAsia="宋体"/>
                <w:color w:val="000000"/>
                <w:kern w:val="0"/>
                <w:szCs w:val="21"/>
                <w:lang w:val="en-US"/>
              </w:rPr>
            </w:pPr>
            <w:r>
              <w:rPr>
                <w:rFonts w:hint="eastAsia" w:ascii="Times New Roman" w:hAnsi="Times New Roman" w:eastAsia="宋体"/>
                <w:color w:val="000000"/>
                <w:kern w:val="0"/>
                <w:szCs w:val="21"/>
                <w:lang w:val="en-US"/>
              </w:rPr>
              <w:t>案件管理</w:t>
            </w:r>
          </w:p>
        </w:tc>
        <w:tc>
          <w:tcPr>
            <w:tcW w:w="4111" w:type="dxa"/>
            <w:tcBorders>
              <w:tl2br w:val="nil"/>
              <w:tr2bl w:val="nil"/>
            </w:tcBorders>
            <w:shd w:val="clear" w:color="auto" w:fill="auto"/>
            <w:noWrap/>
            <w:vAlign w:val="center"/>
          </w:tcPr>
          <w:p>
            <w:pPr>
              <w:jc w:val="both"/>
              <w:rPr>
                <w:rFonts w:ascii="Times New Roman" w:hAnsi="Times New Roman" w:eastAsia="宋体"/>
                <w:szCs w:val="21"/>
              </w:rPr>
            </w:pPr>
            <w:r>
              <w:rPr>
                <w:rFonts w:hint="eastAsia" w:ascii="Times New Roman" w:hAnsi="Times New Roman" w:eastAsia="宋体"/>
                <w:szCs w:val="21"/>
              </w:rPr>
              <w:t>同一案件中，支持复制或移动已经分类的音频</w:t>
            </w:r>
          </w:p>
        </w:tc>
        <w:tc>
          <w:tcPr>
            <w:tcW w:w="1185" w:type="dxa"/>
            <w:tcBorders>
              <w:tl2br w:val="nil"/>
              <w:tr2bl w:val="nil"/>
            </w:tcBorders>
            <w:shd w:val="clear" w:color="auto" w:fill="auto"/>
            <w:vAlign w:val="center"/>
          </w:tcPr>
          <w:p>
            <w:pPr>
              <w:jc w:val="center"/>
              <w:rPr>
                <w:rFonts w:ascii="Times New Roman" w:hAnsi="Times New Roman" w:eastAsia="宋体"/>
                <w:color w:val="000000"/>
                <w:kern w:val="0"/>
                <w:szCs w:val="21"/>
                <w:lang w:val="en-US"/>
              </w:rPr>
            </w:pPr>
            <w:r>
              <w:rPr>
                <w:rFonts w:hint="eastAsia" w:ascii="Times New Roman" w:hAnsi="Times New Roman" w:eastAsia="宋体"/>
                <w:color w:val="000000"/>
                <w:kern w:val="0"/>
                <w:szCs w:val="21"/>
                <w:lang w:val="en-US"/>
              </w:rPr>
              <w:t>原厂证明材料或承诺函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704" w:type="dxa"/>
            <w:tcBorders>
              <w:tl2br w:val="nil"/>
              <w:tr2bl w:val="nil"/>
            </w:tcBorders>
            <w:shd w:val="clear" w:color="auto" w:fill="auto"/>
            <w:noWrap/>
            <w:vAlign w:val="center"/>
          </w:tcPr>
          <w:p>
            <w:pPr>
              <w:numPr>
                <w:ilvl w:val="0"/>
                <w:numId w:val="64"/>
              </w:numPr>
              <w:jc w:val="center"/>
              <w:rPr>
                <w:rFonts w:ascii="Times New Roman" w:hAnsi="Times New Roman" w:eastAsia="宋体"/>
                <w:color w:val="000000"/>
                <w:kern w:val="0"/>
                <w:szCs w:val="21"/>
                <w:lang w:val="en-US"/>
              </w:rPr>
            </w:pPr>
          </w:p>
        </w:tc>
        <w:tc>
          <w:tcPr>
            <w:tcW w:w="1417" w:type="dxa"/>
            <w:tcBorders>
              <w:tl2br w:val="nil"/>
              <w:tr2bl w:val="nil"/>
            </w:tcBorders>
            <w:shd w:val="clear" w:color="auto" w:fill="auto"/>
            <w:noWrap/>
            <w:vAlign w:val="center"/>
          </w:tcPr>
          <w:p>
            <w:pPr>
              <w:jc w:val="center"/>
              <w:rPr>
                <w:rFonts w:ascii="Times New Roman" w:hAnsi="Times New Roman" w:eastAsia="宋体"/>
                <w:color w:val="000000"/>
                <w:kern w:val="0"/>
                <w:szCs w:val="21"/>
                <w:lang w:val="en-US"/>
              </w:rPr>
            </w:pPr>
            <w:r>
              <w:rPr>
                <w:rFonts w:hint="eastAsia" w:ascii="Times New Roman" w:hAnsi="Times New Roman" w:eastAsia="宋体"/>
                <w:color w:val="000000"/>
                <w:kern w:val="0"/>
                <w:szCs w:val="21"/>
                <w:lang w:val="en-US"/>
              </w:rPr>
              <w:t>案件日志管理</w:t>
            </w:r>
          </w:p>
        </w:tc>
        <w:tc>
          <w:tcPr>
            <w:tcW w:w="4111" w:type="dxa"/>
            <w:tcBorders>
              <w:tl2br w:val="nil"/>
              <w:tr2bl w:val="nil"/>
            </w:tcBorders>
            <w:shd w:val="clear" w:color="auto" w:fill="auto"/>
            <w:noWrap/>
            <w:vAlign w:val="center"/>
          </w:tcPr>
          <w:p>
            <w:pPr>
              <w:jc w:val="both"/>
              <w:rPr>
                <w:rFonts w:ascii="Times New Roman" w:hAnsi="Times New Roman" w:eastAsia="宋体"/>
                <w:kern w:val="0"/>
                <w:szCs w:val="21"/>
                <w:lang w:val="en-US"/>
              </w:rPr>
            </w:pPr>
            <w:r>
              <w:rPr>
                <w:rFonts w:hint="eastAsia" w:ascii="Times New Roman" w:hAnsi="Times New Roman" w:eastAsia="宋体"/>
                <w:szCs w:val="21"/>
              </w:rPr>
              <w:t>支持对案件操作过程、操作时间进行记录，同时支持将日志导出查看</w:t>
            </w:r>
          </w:p>
        </w:tc>
        <w:tc>
          <w:tcPr>
            <w:tcW w:w="1185" w:type="dxa"/>
            <w:tcBorders>
              <w:tl2br w:val="nil"/>
              <w:tr2bl w:val="nil"/>
            </w:tcBorders>
            <w:shd w:val="clear" w:color="auto" w:fill="auto"/>
            <w:vAlign w:val="center"/>
          </w:tcPr>
          <w:p>
            <w:pPr>
              <w:jc w:val="center"/>
              <w:rPr>
                <w:rFonts w:ascii="Times New Roman" w:hAnsi="Times New Roman" w:eastAsia="宋体"/>
                <w:color w:val="000000"/>
                <w:kern w:val="0"/>
                <w:szCs w:val="21"/>
                <w:lang w:val="en-US"/>
              </w:rPr>
            </w:pPr>
            <w:r>
              <w:rPr>
                <w:rFonts w:hint="eastAsia" w:ascii="Times New Roman" w:hAnsi="Times New Roman" w:eastAsia="宋体"/>
                <w:color w:val="000000"/>
                <w:kern w:val="0"/>
                <w:szCs w:val="21"/>
                <w:lang w:val="en-US"/>
              </w:rPr>
              <w:t>原厂证明材料或承诺函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704" w:type="dxa"/>
            <w:tcBorders>
              <w:tl2br w:val="nil"/>
              <w:tr2bl w:val="nil"/>
            </w:tcBorders>
            <w:shd w:val="clear" w:color="auto" w:fill="auto"/>
            <w:noWrap/>
            <w:vAlign w:val="center"/>
          </w:tcPr>
          <w:p>
            <w:pPr>
              <w:numPr>
                <w:ilvl w:val="0"/>
                <w:numId w:val="64"/>
              </w:numPr>
              <w:jc w:val="center"/>
              <w:rPr>
                <w:rFonts w:ascii="Times New Roman" w:hAnsi="Times New Roman" w:eastAsia="宋体"/>
                <w:color w:val="000000"/>
                <w:kern w:val="0"/>
                <w:szCs w:val="21"/>
                <w:lang w:val="en-US"/>
              </w:rPr>
            </w:pPr>
          </w:p>
        </w:tc>
        <w:tc>
          <w:tcPr>
            <w:tcW w:w="1417" w:type="dxa"/>
            <w:tcBorders>
              <w:tl2br w:val="nil"/>
              <w:tr2bl w:val="nil"/>
            </w:tcBorders>
            <w:shd w:val="clear" w:color="auto" w:fill="auto"/>
            <w:noWrap/>
            <w:vAlign w:val="center"/>
          </w:tcPr>
          <w:p>
            <w:pPr>
              <w:jc w:val="center"/>
              <w:rPr>
                <w:rFonts w:ascii="Times New Roman" w:hAnsi="Times New Roman" w:eastAsia="宋体"/>
                <w:color w:val="000000"/>
                <w:kern w:val="0"/>
                <w:szCs w:val="21"/>
                <w:lang w:val="en-US"/>
              </w:rPr>
            </w:pPr>
            <w:r>
              <w:rPr>
                <w:rFonts w:hint="eastAsia" w:ascii="Times New Roman" w:hAnsi="Times New Roman" w:eastAsia="宋体"/>
                <w:color w:val="000000"/>
                <w:kern w:val="0"/>
                <w:szCs w:val="21"/>
                <w:lang w:val="en-US"/>
              </w:rPr>
              <w:t>语音编辑</w:t>
            </w:r>
          </w:p>
        </w:tc>
        <w:tc>
          <w:tcPr>
            <w:tcW w:w="4111" w:type="dxa"/>
            <w:tcBorders>
              <w:tl2br w:val="nil"/>
              <w:tr2bl w:val="nil"/>
            </w:tcBorders>
            <w:shd w:val="clear" w:color="auto" w:fill="auto"/>
            <w:noWrap/>
            <w:vAlign w:val="center"/>
          </w:tcPr>
          <w:p>
            <w:pPr>
              <w:jc w:val="both"/>
              <w:rPr>
                <w:rFonts w:ascii="Times New Roman" w:hAnsi="Times New Roman" w:eastAsia="宋体"/>
                <w:kern w:val="0"/>
                <w:szCs w:val="21"/>
                <w:lang w:val="en-US"/>
              </w:rPr>
            </w:pPr>
            <w:r>
              <w:rPr>
                <w:rFonts w:hint="eastAsia" w:ascii="Times New Roman" w:hAnsi="Times New Roman" w:eastAsia="宋体"/>
                <w:kern w:val="0"/>
                <w:szCs w:val="21"/>
                <w:lang w:val="en-US"/>
              </w:rPr>
              <w:t>支持在语谱图上对语音横选、竖选、框选、剪切、复制、粘贴、删除、切片、撤销和恢复等操作</w:t>
            </w:r>
          </w:p>
        </w:tc>
        <w:tc>
          <w:tcPr>
            <w:tcW w:w="1185" w:type="dxa"/>
            <w:tcBorders>
              <w:tl2br w:val="nil"/>
              <w:tr2bl w:val="nil"/>
            </w:tcBorders>
            <w:shd w:val="clear" w:color="auto" w:fill="auto"/>
            <w:vAlign w:val="center"/>
          </w:tcPr>
          <w:p>
            <w:pPr>
              <w:jc w:val="center"/>
              <w:rPr>
                <w:rFonts w:ascii="Times New Roman" w:hAnsi="Times New Roman" w:eastAsia="宋体"/>
                <w:color w:val="000000"/>
                <w:kern w:val="0"/>
                <w:szCs w:val="21"/>
                <w:lang w:val="en-US"/>
              </w:rPr>
            </w:pPr>
            <w:r>
              <w:rPr>
                <w:rFonts w:hint="eastAsia" w:ascii="Times New Roman" w:hAnsi="Times New Roman" w:eastAsia="宋体"/>
                <w:color w:val="000000"/>
                <w:kern w:val="0"/>
                <w:szCs w:val="21"/>
                <w:lang w:val="en-US"/>
              </w:rPr>
              <w:t>原厂证明材料或承诺函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jc w:val="center"/>
        </w:trPr>
        <w:tc>
          <w:tcPr>
            <w:tcW w:w="704" w:type="dxa"/>
            <w:tcBorders>
              <w:tl2br w:val="nil"/>
              <w:tr2bl w:val="nil"/>
            </w:tcBorders>
            <w:shd w:val="clear" w:color="auto" w:fill="auto"/>
            <w:noWrap/>
            <w:vAlign w:val="center"/>
          </w:tcPr>
          <w:p>
            <w:pPr>
              <w:numPr>
                <w:ilvl w:val="0"/>
                <w:numId w:val="64"/>
              </w:numPr>
              <w:jc w:val="center"/>
              <w:rPr>
                <w:rFonts w:ascii="Times New Roman" w:hAnsi="Times New Roman" w:eastAsia="宋体"/>
                <w:color w:val="000000"/>
                <w:kern w:val="0"/>
                <w:szCs w:val="21"/>
                <w:lang w:val="en-US"/>
              </w:rPr>
            </w:pPr>
          </w:p>
        </w:tc>
        <w:tc>
          <w:tcPr>
            <w:tcW w:w="1417" w:type="dxa"/>
            <w:tcBorders>
              <w:tl2br w:val="nil"/>
              <w:tr2bl w:val="nil"/>
            </w:tcBorders>
            <w:shd w:val="clear" w:color="auto" w:fill="auto"/>
            <w:noWrap/>
            <w:vAlign w:val="center"/>
          </w:tcPr>
          <w:p>
            <w:pPr>
              <w:jc w:val="center"/>
              <w:rPr>
                <w:rFonts w:ascii="Times New Roman" w:hAnsi="Times New Roman" w:eastAsia="宋体"/>
                <w:color w:val="000000"/>
                <w:kern w:val="0"/>
                <w:szCs w:val="21"/>
                <w:lang w:val="en-US"/>
              </w:rPr>
            </w:pPr>
            <w:r>
              <w:rPr>
                <w:rFonts w:hint="eastAsia" w:ascii="Times New Roman" w:hAnsi="Times New Roman" w:eastAsia="宋体"/>
                <w:color w:val="000000"/>
                <w:kern w:val="0"/>
                <w:szCs w:val="21"/>
                <w:lang w:val="en-US"/>
              </w:rPr>
              <w:t>文件导入</w:t>
            </w:r>
          </w:p>
        </w:tc>
        <w:tc>
          <w:tcPr>
            <w:tcW w:w="4111" w:type="dxa"/>
            <w:tcBorders>
              <w:tl2br w:val="nil"/>
              <w:tr2bl w:val="nil"/>
            </w:tcBorders>
            <w:shd w:val="clear" w:color="auto" w:fill="auto"/>
            <w:noWrap/>
            <w:vAlign w:val="center"/>
          </w:tcPr>
          <w:p>
            <w:pPr>
              <w:jc w:val="both"/>
              <w:rPr>
                <w:rFonts w:ascii="Times New Roman" w:hAnsi="Times New Roman" w:eastAsia="宋体"/>
                <w:kern w:val="0"/>
                <w:szCs w:val="21"/>
                <w:lang w:val="en-US"/>
              </w:rPr>
            </w:pPr>
            <w:r>
              <w:rPr>
                <w:rFonts w:hint="eastAsia" w:ascii="Times New Roman" w:hAnsi="Times New Roman" w:eastAsia="宋体"/>
                <w:kern w:val="0"/>
                <w:szCs w:val="21"/>
                <w:lang w:val="en-US"/>
              </w:rPr>
              <w:t>支持不少于18种常见音视频格式的导入，具备音视频批量导入功能，支持导入音频文件格式：m4a、mp3、wav、amr、wma、m4a、aiff、aac、ape、aud、silk等。支持导入视频文件格式：avi、flv、m4v、mkv、mov、mpg、swf、vob、mp4等</w:t>
            </w:r>
          </w:p>
        </w:tc>
        <w:tc>
          <w:tcPr>
            <w:tcW w:w="1185" w:type="dxa"/>
            <w:tcBorders>
              <w:tl2br w:val="nil"/>
              <w:tr2bl w:val="nil"/>
            </w:tcBorders>
            <w:shd w:val="clear" w:color="auto" w:fill="auto"/>
            <w:vAlign w:val="center"/>
          </w:tcPr>
          <w:p>
            <w:pPr>
              <w:jc w:val="center"/>
              <w:rPr>
                <w:rFonts w:ascii="Times New Roman" w:hAnsi="Times New Roman" w:eastAsia="宋体"/>
                <w:color w:val="000000"/>
                <w:kern w:val="0"/>
                <w:szCs w:val="21"/>
                <w:lang w:val="en-US"/>
              </w:rPr>
            </w:pPr>
            <w:r>
              <w:rPr>
                <w:rFonts w:hint="eastAsia" w:ascii="Times New Roman" w:hAnsi="Times New Roman" w:eastAsia="宋体"/>
                <w:color w:val="000000"/>
                <w:kern w:val="0"/>
                <w:szCs w:val="21"/>
                <w:lang w:val="en-US"/>
              </w:rPr>
              <w:t>原厂证明材料或承诺函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704" w:type="dxa"/>
            <w:tcBorders>
              <w:tl2br w:val="nil"/>
              <w:tr2bl w:val="nil"/>
            </w:tcBorders>
            <w:shd w:val="clear" w:color="auto" w:fill="auto"/>
            <w:noWrap/>
            <w:vAlign w:val="center"/>
          </w:tcPr>
          <w:p>
            <w:pPr>
              <w:numPr>
                <w:ilvl w:val="0"/>
                <w:numId w:val="64"/>
              </w:numPr>
              <w:jc w:val="center"/>
              <w:rPr>
                <w:rFonts w:ascii="Times New Roman" w:hAnsi="Times New Roman" w:eastAsia="宋体"/>
                <w:color w:val="000000"/>
                <w:kern w:val="0"/>
                <w:szCs w:val="21"/>
                <w:lang w:val="en-US"/>
              </w:rPr>
            </w:pPr>
          </w:p>
        </w:tc>
        <w:tc>
          <w:tcPr>
            <w:tcW w:w="1417" w:type="dxa"/>
            <w:tcBorders>
              <w:tl2br w:val="nil"/>
              <w:tr2bl w:val="nil"/>
            </w:tcBorders>
            <w:shd w:val="clear" w:color="auto" w:fill="auto"/>
            <w:noWrap/>
            <w:vAlign w:val="center"/>
          </w:tcPr>
          <w:p>
            <w:pPr>
              <w:jc w:val="center"/>
              <w:rPr>
                <w:rFonts w:ascii="Times New Roman" w:hAnsi="Times New Roman" w:eastAsia="宋体"/>
                <w:color w:val="000000"/>
                <w:kern w:val="0"/>
                <w:szCs w:val="21"/>
                <w:lang w:val="en-US"/>
              </w:rPr>
            </w:pPr>
            <w:r>
              <w:rPr>
                <w:rFonts w:hint="eastAsia" w:ascii="Times New Roman" w:hAnsi="Times New Roman" w:eastAsia="宋体"/>
                <w:color w:val="000000"/>
                <w:kern w:val="0"/>
                <w:szCs w:val="21"/>
                <w:lang w:val="en-US"/>
              </w:rPr>
              <w:t>格式转换</w:t>
            </w:r>
          </w:p>
        </w:tc>
        <w:tc>
          <w:tcPr>
            <w:tcW w:w="4111" w:type="dxa"/>
            <w:tcBorders>
              <w:tl2br w:val="nil"/>
              <w:tr2bl w:val="nil"/>
            </w:tcBorders>
            <w:shd w:val="clear" w:color="auto" w:fill="auto"/>
            <w:noWrap/>
            <w:vAlign w:val="center"/>
          </w:tcPr>
          <w:p>
            <w:pPr>
              <w:jc w:val="both"/>
              <w:rPr>
                <w:rFonts w:ascii="Times New Roman" w:hAnsi="Times New Roman" w:eastAsia="宋体"/>
                <w:kern w:val="0"/>
                <w:szCs w:val="21"/>
                <w:lang w:val="en-US"/>
              </w:rPr>
            </w:pPr>
            <w:r>
              <w:rPr>
                <w:rFonts w:hint="eastAsia" w:ascii="Times New Roman" w:hAnsi="Times New Roman" w:eastAsia="宋体"/>
                <w:kern w:val="0"/>
                <w:szCs w:val="21"/>
                <w:lang w:val="en-US"/>
              </w:rPr>
              <w:t>支持音视频格式转化，可将多种音视频文件格式转化为标准的</w:t>
            </w:r>
            <w:r>
              <w:rPr>
                <w:rFonts w:ascii="Times New Roman" w:hAnsi="Times New Roman" w:eastAsia="宋体"/>
                <w:kern w:val="0"/>
                <w:szCs w:val="21"/>
                <w:lang w:val="en-US"/>
              </w:rPr>
              <w:t>WAV</w:t>
            </w:r>
            <w:r>
              <w:rPr>
                <w:rFonts w:hint="eastAsia" w:ascii="Times New Roman" w:hAnsi="Times New Roman" w:eastAsia="宋体"/>
                <w:kern w:val="0"/>
                <w:szCs w:val="21"/>
                <w:lang w:val="en-US"/>
              </w:rPr>
              <w:t>格式，并导出转化后的音频文件进行音频处理</w:t>
            </w:r>
          </w:p>
        </w:tc>
        <w:tc>
          <w:tcPr>
            <w:tcW w:w="1185" w:type="dxa"/>
            <w:tcBorders>
              <w:tl2br w:val="nil"/>
              <w:tr2bl w:val="nil"/>
            </w:tcBorders>
            <w:shd w:val="clear" w:color="auto" w:fill="auto"/>
            <w:vAlign w:val="center"/>
          </w:tcPr>
          <w:p>
            <w:pPr>
              <w:jc w:val="center"/>
              <w:rPr>
                <w:rFonts w:ascii="Times New Roman" w:hAnsi="Times New Roman" w:eastAsia="宋体"/>
                <w:color w:val="000000"/>
                <w:kern w:val="0"/>
                <w:szCs w:val="21"/>
                <w:lang w:val="en-US"/>
              </w:rPr>
            </w:pPr>
            <w:r>
              <w:rPr>
                <w:rFonts w:hint="eastAsia" w:ascii="Times New Roman" w:hAnsi="Times New Roman" w:eastAsia="宋体"/>
                <w:color w:val="000000"/>
                <w:kern w:val="0"/>
                <w:szCs w:val="21"/>
                <w:lang w:val="en-US"/>
              </w:rPr>
              <w:t>原厂证明材料或承诺函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704" w:type="dxa"/>
            <w:tcBorders>
              <w:tl2br w:val="nil"/>
              <w:tr2bl w:val="nil"/>
            </w:tcBorders>
            <w:shd w:val="clear" w:color="auto" w:fill="auto"/>
            <w:noWrap/>
            <w:vAlign w:val="center"/>
          </w:tcPr>
          <w:p>
            <w:pPr>
              <w:numPr>
                <w:ilvl w:val="0"/>
                <w:numId w:val="64"/>
              </w:numPr>
              <w:jc w:val="center"/>
              <w:rPr>
                <w:rFonts w:ascii="Times New Roman" w:hAnsi="Times New Roman" w:eastAsia="宋体"/>
                <w:color w:val="000000"/>
                <w:kern w:val="0"/>
                <w:szCs w:val="21"/>
                <w:lang w:val="en-US"/>
              </w:rPr>
            </w:pPr>
          </w:p>
        </w:tc>
        <w:tc>
          <w:tcPr>
            <w:tcW w:w="1417" w:type="dxa"/>
            <w:tcBorders>
              <w:tl2br w:val="nil"/>
              <w:tr2bl w:val="nil"/>
            </w:tcBorders>
            <w:shd w:val="clear" w:color="auto" w:fill="auto"/>
            <w:noWrap/>
            <w:vAlign w:val="center"/>
          </w:tcPr>
          <w:p>
            <w:pPr>
              <w:jc w:val="center"/>
              <w:rPr>
                <w:rFonts w:ascii="Times New Roman" w:hAnsi="Times New Roman" w:eastAsia="宋体"/>
                <w:color w:val="000000"/>
                <w:kern w:val="0"/>
                <w:szCs w:val="21"/>
                <w:lang w:val="en-US"/>
              </w:rPr>
            </w:pPr>
            <w:r>
              <w:rPr>
                <w:rFonts w:hint="eastAsia" w:ascii="Times New Roman" w:hAnsi="Times New Roman" w:eastAsia="宋体"/>
                <w:color w:val="000000"/>
                <w:kern w:val="0"/>
                <w:szCs w:val="21"/>
                <w:lang w:val="en-US"/>
              </w:rPr>
              <w:t>采样率转换</w:t>
            </w:r>
          </w:p>
        </w:tc>
        <w:tc>
          <w:tcPr>
            <w:tcW w:w="4111" w:type="dxa"/>
            <w:tcBorders>
              <w:tl2br w:val="nil"/>
              <w:tr2bl w:val="nil"/>
            </w:tcBorders>
            <w:shd w:val="clear" w:color="auto" w:fill="auto"/>
            <w:noWrap/>
            <w:vAlign w:val="center"/>
          </w:tcPr>
          <w:p>
            <w:pPr>
              <w:jc w:val="both"/>
              <w:rPr>
                <w:rFonts w:ascii="Times New Roman" w:hAnsi="Times New Roman" w:eastAsia="宋体"/>
                <w:kern w:val="0"/>
                <w:szCs w:val="21"/>
                <w:lang w:val="en-US"/>
              </w:rPr>
            </w:pPr>
            <w:r>
              <w:rPr>
                <w:rFonts w:hint="eastAsia" w:ascii="Times New Roman" w:hAnsi="Times New Roman" w:eastAsia="宋体"/>
                <w:kern w:val="0"/>
                <w:szCs w:val="21"/>
                <w:lang w:val="en-US"/>
              </w:rPr>
              <w:t>支持对常见的采样率进行转换，在进行采样率转换时，可根据检材样本属性选择合适的采样率进行转换</w:t>
            </w:r>
          </w:p>
        </w:tc>
        <w:tc>
          <w:tcPr>
            <w:tcW w:w="1185" w:type="dxa"/>
            <w:tcBorders>
              <w:tl2br w:val="nil"/>
              <w:tr2bl w:val="nil"/>
            </w:tcBorders>
            <w:shd w:val="clear" w:color="auto" w:fill="auto"/>
            <w:vAlign w:val="center"/>
          </w:tcPr>
          <w:p>
            <w:pPr>
              <w:jc w:val="center"/>
              <w:rPr>
                <w:rFonts w:ascii="Times New Roman" w:hAnsi="Times New Roman" w:eastAsia="宋体"/>
                <w:color w:val="000000"/>
                <w:kern w:val="0"/>
                <w:szCs w:val="21"/>
                <w:lang w:val="en-US"/>
              </w:rPr>
            </w:pPr>
            <w:r>
              <w:rPr>
                <w:rFonts w:hint="eastAsia" w:ascii="Times New Roman" w:hAnsi="Times New Roman" w:eastAsia="宋体"/>
                <w:color w:val="000000"/>
                <w:kern w:val="0"/>
                <w:szCs w:val="21"/>
                <w:lang w:val="en-US"/>
              </w:rPr>
              <w:t>原厂证明材料或承诺函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704" w:type="dxa"/>
            <w:tcBorders>
              <w:tl2br w:val="nil"/>
              <w:tr2bl w:val="nil"/>
            </w:tcBorders>
            <w:shd w:val="clear" w:color="auto" w:fill="auto"/>
            <w:noWrap/>
            <w:vAlign w:val="center"/>
          </w:tcPr>
          <w:p>
            <w:pPr>
              <w:numPr>
                <w:ilvl w:val="0"/>
                <w:numId w:val="64"/>
              </w:numPr>
              <w:jc w:val="center"/>
              <w:rPr>
                <w:rFonts w:ascii="Times New Roman" w:hAnsi="Times New Roman" w:eastAsia="宋体"/>
                <w:color w:val="000000"/>
                <w:kern w:val="0"/>
                <w:szCs w:val="21"/>
                <w:lang w:val="en-US"/>
              </w:rPr>
            </w:pPr>
          </w:p>
        </w:tc>
        <w:tc>
          <w:tcPr>
            <w:tcW w:w="1417" w:type="dxa"/>
            <w:tcBorders>
              <w:tl2br w:val="nil"/>
              <w:tr2bl w:val="nil"/>
            </w:tcBorders>
            <w:shd w:val="clear" w:color="auto" w:fill="auto"/>
            <w:noWrap/>
            <w:vAlign w:val="center"/>
          </w:tcPr>
          <w:p>
            <w:pPr>
              <w:jc w:val="center"/>
              <w:rPr>
                <w:rFonts w:ascii="Times New Roman" w:hAnsi="Times New Roman" w:eastAsia="宋体"/>
                <w:color w:val="000000"/>
                <w:kern w:val="0"/>
                <w:szCs w:val="21"/>
                <w:lang w:val="en-US"/>
              </w:rPr>
            </w:pPr>
            <w:r>
              <w:rPr>
                <w:rFonts w:hint="eastAsia" w:ascii="Times New Roman" w:hAnsi="Times New Roman" w:eastAsia="宋体"/>
                <w:color w:val="000000"/>
                <w:kern w:val="0"/>
                <w:szCs w:val="21"/>
                <w:lang w:val="en-US"/>
              </w:rPr>
              <w:t>声道分离</w:t>
            </w:r>
          </w:p>
        </w:tc>
        <w:tc>
          <w:tcPr>
            <w:tcW w:w="4111" w:type="dxa"/>
            <w:tcBorders>
              <w:tl2br w:val="nil"/>
              <w:tr2bl w:val="nil"/>
            </w:tcBorders>
            <w:shd w:val="clear" w:color="auto" w:fill="auto"/>
            <w:noWrap/>
            <w:vAlign w:val="center"/>
          </w:tcPr>
          <w:p>
            <w:pPr>
              <w:jc w:val="both"/>
              <w:rPr>
                <w:rFonts w:ascii="Times New Roman" w:hAnsi="Times New Roman" w:eastAsia="宋体"/>
                <w:kern w:val="0"/>
                <w:szCs w:val="21"/>
                <w:lang w:val="en-US"/>
              </w:rPr>
            </w:pPr>
            <w:r>
              <w:rPr>
                <w:rFonts w:hint="eastAsia" w:ascii="Times New Roman" w:hAnsi="Times New Roman" w:eastAsia="宋体"/>
                <w:kern w:val="0"/>
                <w:szCs w:val="21"/>
                <w:lang w:val="en-US"/>
              </w:rPr>
              <w:t>支持对多声道音视频文件的声道分离，输出为左声道和右声道音频文件</w:t>
            </w:r>
          </w:p>
        </w:tc>
        <w:tc>
          <w:tcPr>
            <w:tcW w:w="1185" w:type="dxa"/>
            <w:tcBorders>
              <w:tl2br w:val="nil"/>
              <w:tr2bl w:val="nil"/>
            </w:tcBorders>
            <w:shd w:val="clear" w:color="auto" w:fill="auto"/>
            <w:vAlign w:val="center"/>
          </w:tcPr>
          <w:p>
            <w:pPr>
              <w:jc w:val="center"/>
              <w:rPr>
                <w:rFonts w:ascii="Times New Roman" w:hAnsi="Times New Roman" w:eastAsia="宋体"/>
                <w:color w:val="000000"/>
                <w:kern w:val="0"/>
                <w:szCs w:val="21"/>
                <w:lang w:val="en-US"/>
              </w:rPr>
            </w:pPr>
            <w:r>
              <w:rPr>
                <w:rFonts w:hint="eastAsia" w:ascii="Times New Roman" w:hAnsi="Times New Roman" w:eastAsia="宋体"/>
                <w:color w:val="000000"/>
                <w:kern w:val="0"/>
                <w:szCs w:val="21"/>
                <w:lang w:val="en-US"/>
              </w:rPr>
              <w:t>原厂证明材料或承诺函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704" w:type="dxa"/>
            <w:tcBorders>
              <w:tl2br w:val="nil"/>
              <w:tr2bl w:val="nil"/>
            </w:tcBorders>
            <w:shd w:val="clear" w:color="auto" w:fill="auto"/>
            <w:noWrap/>
            <w:vAlign w:val="center"/>
          </w:tcPr>
          <w:p>
            <w:pPr>
              <w:numPr>
                <w:ilvl w:val="0"/>
                <w:numId w:val="64"/>
              </w:numPr>
              <w:jc w:val="center"/>
              <w:rPr>
                <w:rFonts w:ascii="Times New Roman" w:hAnsi="Times New Roman" w:eastAsia="宋体"/>
                <w:color w:val="000000"/>
                <w:kern w:val="0"/>
                <w:szCs w:val="21"/>
                <w:lang w:val="en-US"/>
              </w:rPr>
            </w:pPr>
          </w:p>
        </w:tc>
        <w:tc>
          <w:tcPr>
            <w:tcW w:w="1417" w:type="dxa"/>
            <w:tcBorders>
              <w:tl2br w:val="nil"/>
              <w:tr2bl w:val="nil"/>
            </w:tcBorders>
            <w:shd w:val="clear" w:color="auto" w:fill="auto"/>
            <w:noWrap/>
            <w:vAlign w:val="center"/>
          </w:tcPr>
          <w:p>
            <w:pPr>
              <w:jc w:val="center"/>
              <w:rPr>
                <w:rFonts w:ascii="Times New Roman" w:hAnsi="Times New Roman" w:eastAsia="宋体"/>
                <w:color w:val="000000"/>
                <w:kern w:val="0"/>
                <w:szCs w:val="21"/>
                <w:lang w:val="en-US"/>
              </w:rPr>
            </w:pPr>
            <w:r>
              <w:rPr>
                <w:rFonts w:hint="eastAsia" w:ascii="Times New Roman" w:hAnsi="Times New Roman" w:eastAsia="宋体"/>
                <w:color w:val="000000"/>
                <w:kern w:val="0"/>
                <w:szCs w:val="21"/>
                <w:lang w:val="en-US"/>
              </w:rPr>
              <w:t>语音质量检测</w:t>
            </w:r>
          </w:p>
        </w:tc>
        <w:tc>
          <w:tcPr>
            <w:tcW w:w="4111" w:type="dxa"/>
            <w:tcBorders>
              <w:tl2br w:val="nil"/>
              <w:tr2bl w:val="nil"/>
            </w:tcBorders>
            <w:shd w:val="clear" w:color="auto" w:fill="auto"/>
            <w:noWrap/>
            <w:vAlign w:val="center"/>
          </w:tcPr>
          <w:p>
            <w:pPr>
              <w:jc w:val="both"/>
              <w:rPr>
                <w:rFonts w:ascii="Times New Roman" w:hAnsi="Times New Roman" w:eastAsia="宋体"/>
                <w:kern w:val="0"/>
                <w:szCs w:val="21"/>
                <w:lang w:val="en-US"/>
              </w:rPr>
            </w:pPr>
            <w:r>
              <w:rPr>
                <w:rFonts w:hint="eastAsia" w:ascii="Times New Roman" w:hAnsi="Times New Roman" w:eastAsia="宋体"/>
                <w:kern w:val="0"/>
                <w:szCs w:val="21"/>
                <w:lang w:val="en-US"/>
              </w:rPr>
              <w:t>支持查看源文件名称、时长、采样率、大小、采样精度、声道、创建时间、修改时间、编码格式、</w:t>
            </w:r>
            <w:r>
              <w:rPr>
                <w:rFonts w:ascii="Times New Roman" w:hAnsi="Times New Roman" w:eastAsia="宋体"/>
                <w:kern w:val="0"/>
                <w:szCs w:val="21"/>
                <w:lang w:val="en-US"/>
              </w:rPr>
              <w:t>CRC32</w:t>
            </w:r>
            <w:r>
              <w:rPr>
                <w:rFonts w:hint="eastAsia" w:ascii="Times New Roman" w:hAnsi="Times New Roman" w:eastAsia="宋体"/>
                <w:kern w:val="0"/>
                <w:szCs w:val="21"/>
                <w:lang w:val="en-US"/>
              </w:rPr>
              <w:t>编码、</w:t>
            </w:r>
            <w:r>
              <w:rPr>
                <w:rFonts w:ascii="Times New Roman" w:hAnsi="Times New Roman" w:eastAsia="宋体"/>
                <w:kern w:val="0"/>
                <w:szCs w:val="21"/>
                <w:lang w:val="en-US"/>
              </w:rPr>
              <w:t>MD5</w:t>
            </w:r>
            <w:r>
              <w:rPr>
                <w:rFonts w:hint="eastAsia" w:ascii="Times New Roman" w:hAnsi="Times New Roman" w:eastAsia="宋体"/>
                <w:kern w:val="0"/>
                <w:szCs w:val="21"/>
                <w:lang w:val="en-US"/>
              </w:rPr>
              <w:t>编码等信息</w:t>
            </w:r>
          </w:p>
        </w:tc>
        <w:tc>
          <w:tcPr>
            <w:tcW w:w="1185" w:type="dxa"/>
            <w:tcBorders>
              <w:tl2br w:val="nil"/>
              <w:tr2bl w:val="nil"/>
            </w:tcBorders>
            <w:shd w:val="clear" w:color="auto" w:fill="auto"/>
            <w:vAlign w:val="center"/>
          </w:tcPr>
          <w:p>
            <w:pPr>
              <w:jc w:val="center"/>
              <w:rPr>
                <w:rFonts w:ascii="Times New Roman" w:hAnsi="Times New Roman" w:eastAsia="宋体"/>
                <w:color w:val="000000"/>
                <w:kern w:val="0"/>
                <w:szCs w:val="21"/>
                <w:lang w:val="en-US"/>
              </w:rPr>
            </w:pPr>
            <w:r>
              <w:rPr>
                <w:rFonts w:hint="eastAsia" w:ascii="Times New Roman" w:hAnsi="Times New Roman" w:eastAsia="宋体"/>
                <w:color w:val="000000"/>
                <w:kern w:val="0"/>
                <w:szCs w:val="21"/>
                <w:lang w:val="en-US"/>
              </w:rPr>
              <w:t>原厂证明材料或承诺函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704" w:type="dxa"/>
            <w:tcBorders>
              <w:tl2br w:val="nil"/>
              <w:tr2bl w:val="nil"/>
            </w:tcBorders>
            <w:shd w:val="clear" w:color="auto" w:fill="auto"/>
            <w:noWrap/>
            <w:vAlign w:val="center"/>
          </w:tcPr>
          <w:p>
            <w:pPr>
              <w:numPr>
                <w:ilvl w:val="0"/>
                <w:numId w:val="64"/>
              </w:numPr>
              <w:jc w:val="center"/>
              <w:rPr>
                <w:rFonts w:ascii="Times New Roman" w:hAnsi="Times New Roman" w:eastAsia="宋体"/>
                <w:color w:val="000000"/>
                <w:kern w:val="0"/>
                <w:szCs w:val="21"/>
                <w:lang w:val="en-US"/>
              </w:rPr>
            </w:pPr>
          </w:p>
        </w:tc>
        <w:tc>
          <w:tcPr>
            <w:tcW w:w="1417" w:type="dxa"/>
            <w:tcBorders>
              <w:tl2br w:val="nil"/>
              <w:tr2bl w:val="nil"/>
            </w:tcBorders>
            <w:shd w:val="clear" w:color="auto" w:fill="auto"/>
            <w:noWrap/>
            <w:vAlign w:val="center"/>
          </w:tcPr>
          <w:p>
            <w:pPr>
              <w:jc w:val="center"/>
              <w:rPr>
                <w:rFonts w:ascii="Times New Roman" w:hAnsi="Times New Roman" w:eastAsia="宋体"/>
                <w:color w:val="000000"/>
                <w:kern w:val="0"/>
                <w:szCs w:val="21"/>
                <w:lang w:val="en-US"/>
              </w:rPr>
            </w:pPr>
            <w:r>
              <w:rPr>
                <w:rFonts w:hint="eastAsia" w:ascii="Times New Roman" w:hAnsi="Times New Roman" w:eastAsia="宋体"/>
                <w:color w:val="000000"/>
                <w:kern w:val="0"/>
                <w:szCs w:val="21"/>
                <w:lang w:val="en-US"/>
              </w:rPr>
              <w:t>音频操作</w:t>
            </w:r>
          </w:p>
        </w:tc>
        <w:tc>
          <w:tcPr>
            <w:tcW w:w="4111" w:type="dxa"/>
            <w:tcBorders>
              <w:tl2br w:val="nil"/>
              <w:tr2bl w:val="nil"/>
            </w:tcBorders>
            <w:shd w:val="clear" w:color="auto" w:fill="auto"/>
            <w:noWrap/>
            <w:vAlign w:val="center"/>
          </w:tcPr>
          <w:p>
            <w:pPr>
              <w:jc w:val="both"/>
              <w:rPr>
                <w:rFonts w:ascii="Times New Roman" w:hAnsi="Times New Roman" w:eastAsia="宋体"/>
                <w:kern w:val="0"/>
                <w:szCs w:val="21"/>
                <w:lang w:val="en-US"/>
              </w:rPr>
            </w:pPr>
            <w:r>
              <w:rPr>
                <w:rFonts w:hint="eastAsia" w:ascii="Times New Roman" w:hAnsi="Times New Roman" w:eastAsia="宋体"/>
                <w:kern w:val="0"/>
                <w:szCs w:val="21"/>
                <w:lang w:val="en-US"/>
              </w:rPr>
              <w:t>系统支持整条音频或音频选取区域片段的播放、暂定、停止、循环播放等操作</w:t>
            </w:r>
          </w:p>
        </w:tc>
        <w:tc>
          <w:tcPr>
            <w:tcW w:w="1185" w:type="dxa"/>
            <w:tcBorders>
              <w:tl2br w:val="nil"/>
              <w:tr2bl w:val="nil"/>
            </w:tcBorders>
            <w:shd w:val="clear" w:color="auto" w:fill="auto"/>
            <w:vAlign w:val="center"/>
          </w:tcPr>
          <w:p>
            <w:pPr>
              <w:jc w:val="center"/>
              <w:rPr>
                <w:rFonts w:ascii="Times New Roman" w:hAnsi="Times New Roman" w:eastAsia="宋体"/>
                <w:color w:val="000000"/>
                <w:kern w:val="0"/>
                <w:szCs w:val="21"/>
                <w:lang w:val="en-US"/>
              </w:rPr>
            </w:pPr>
            <w:r>
              <w:rPr>
                <w:rFonts w:hint="eastAsia" w:ascii="Times New Roman" w:hAnsi="Times New Roman" w:eastAsia="宋体"/>
                <w:color w:val="000000"/>
                <w:kern w:val="0"/>
                <w:szCs w:val="21"/>
                <w:lang w:val="en-US"/>
              </w:rPr>
              <w:t>原厂证明材料或承诺函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704" w:type="dxa"/>
            <w:tcBorders>
              <w:tl2br w:val="nil"/>
              <w:tr2bl w:val="nil"/>
            </w:tcBorders>
            <w:shd w:val="clear" w:color="auto" w:fill="auto"/>
            <w:noWrap/>
            <w:vAlign w:val="center"/>
          </w:tcPr>
          <w:p>
            <w:pPr>
              <w:numPr>
                <w:ilvl w:val="0"/>
                <w:numId w:val="64"/>
              </w:numPr>
              <w:jc w:val="center"/>
              <w:rPr>
                <w:rFonts w:ascii="Times New Roman" w:hAnsi="Times New Roman" w:eastAsia="宋体"/>
                <w:color w:val="000000"/>
                <w:kern w:val="0"/>
                <w:szCs w:val="21"/>
                <w:lang w:val="en-US"/>
              </w:rPr>
            </w:pPr>
          </w:p>
        </w:tc>
        <w:tc>
          <w:tcPr>
            <w:tcW w:w="1417" w:type="dxa"/>
            <w:tcBorders>
              <w:tl2br w:val="nil"/>
              <w:tr2bl w:val="nil"/>
            </w:tcBorders>
            <w:shd w:val="clear" w:color="auto" w:fill="auto"/>
            <w:noWrap/>
            <w:vAlign w:val="center"/>
          </w:tcPr>
          <w:p>
            <w:pPr>
              <w:jc w:val="center"/>
              <w:rPr>
                <w:rFonts w:ascii="Times New Roman" w:hAnsi="Times New Roman" w:eastAsia="宋体"/>
                <w:color w:val="000000"/>
                <w:kern w:val="0"/>
                <w:szCs w:val="21"/>
                <w:lang w:val="en-US"/>
              </w:rPr>
            </w:pPr>
            <w:r>
              <w:rPr>
                <w:rFonts w:hint="eastAsia" w:ascii="Times New Roman" w:hAnsi="Times New Roman" w:eastAsia="宋体"/>
                <w:color w:val="000000"/>
                <w:kern w:val="0"/>
                <w:szCs w:val="21"/>
                <w:lang w:val="en-US"/>
              </w:rPr>
              <w:t>音素检索</w:t>
            </w:r>
          </w:p>
        </w:tc>
        <w:tc>
          <w:tcPr>
            <w:tcW w:w="4111" w:type="dxa"/>
            <w:tcBorders>
              <w:tl2br w:val="nil"/>
              <w:tr2bl w:val="nil"/>
            </w:tcBorders>
            <w:shd w:val="clear" w:color="auto" w:fill="auto"/>
            <w:noWrap/>
            <w:vAlign w:val="center"/>
          </w:tcPr>
          <w:p>
            <w:pPr>
              <w:jc w:val="both"/>
              <w:rPr>
                <w:rFonts w:ascii="Times New Roman" w:hAnsi="Times New Roman" w:eastAsia="宋体"/>
                <w:kern w:val="0"/>
                <w:szCs w:val="21"/>
                <w:lang w:val="en-US"/>
              </w:rPr>
            </w:pPr>
            <w:r>
              <w:rPr>
                <w:rFonts w:hint="eastAsia" w:ascii="Times New Roman" w:hAnsi="Times New Roman" w:eastAsia="宋体"/>
                <w:kern w:val="0"/>
                <w:szCs w:val="21"/>
                <w:lang w:val="en-US"/>
              </w:rPr>
              <w:t>系统支持音素自动标注，音频文件自定义区域或全文进行自动标注</w:t>
            </w:r>
          </w:p>
        </w:tc>
        <w:tc>
          <w:tcPr>
            <w:tcW w:w="1185" w:type="dxa"/>
            <w:tcBorders>
              <w:tl2br w:val="nil"/>
              <w:tr2bl w:val="nil"/>
            </w:tcBorders>
            <w:shd w:val="clear" w:color="auto" w:fill="auto"/>
            <w:vAlign w:val="center"/>
          </w:tcPr>
          <w:p>
            <w:pPr>
              <w:jc w:val="center"/>
              <w:rPr>
                <w:rFonts w:ascii="Times New Roman" w:hAnsi="Times New Roman" w:eastAsia="宋体"/>
                <w:color w:val="000000"/>
                <w:kern w:val="0"/>
                <w:szCs w:val="21"/>
                <w:lang w:val="en-US"/>
              </w:rPr>
            </w:pPr>
            <w:r>
              <w:rPr>
                <w:rFonts w:hint="eastAsia" w:ascii="Times New Roman" w:hAnsi="Times New Roman" w:eastAsia="宋体"/>
                <w:color w:val="000000"/>
                <w:kern w:val="0"/>
                <w:szCs w:val="21"/>
                <w:lang w:val="en-US"/>
              </w:rPr>
              <w:t>原厂证明材料或承诺函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4" w:type="dxa"/>
            <w:tcBorders>
              <w:tl2br w:val="nil"/>
              <w:tr2bl w:val="nil"/>
            </w:tcBorders>
            <w:shd w:val="clear" w:color="auto" w:fill="auto"/>
            <w:noWrap/>
            <w:vAlign w:val="center"/>
          </w:tcPr>
          <w:p>
            <w:pPr>
              <w:numPr>
                <w:ilvl w:val="0"/>
                <w:numId w:val="64"/>
              </w:numPr>
              <w:jc w:val="center"/>
              <w:rPr>
                <w:rFonts w:ascii="Times New Roman" w:hAnsi="Times New Roman" w:eastAsia="宋体"/>
                <w:color w:val="000000"/>
                <w:kern w:val="0"/>
                <w:szCs w:val="21"/>
                <w:lang w:val="en-US"/>
              </w:rPr>
            </w:pPr>
          </w:p>
        </w:tc>
        <w:tc>
          <w:tcPr>
            <w:tcW w:w="1417" w:type="dxa"/>
            <w:tcBorders>
              <w:tl2br w:val="nil"/>
              <w:tr2bl w:val="nil"/>
            </w:tcBorders>
            <w:shd w:val="clear" w:color="auto" w:fill="auto"/>
            <w:noWrap/>
            <w:vAlign w:val="center"/>
          </w:tcPr>
          <w:p>
            <w:pPr>
              <w:jc w:val="center"/>
              <w:rPr>
                <w:rFonts w:ascii="Times New Roman" w:hAnsi="Times New Roman" w:eastAsia="宋体"/>
                <w:color w:val="000000"/>
                <w:kern w:val="0"/>
                <w:szCs w:val="21"/>
                <w:lang w:val="en-US"/>
              </w:rPr>
            </w:pPr>
            <w:r>
              <w:rPr>
                <w:rFonts w:hint="eastAsia" w:ascii="Times New Roman" w:hAnsi="Times New Roman" w:eastAsia="宋体"/>
                <w:color w:val="000000"/>
                <w:kern w:val="0"/>
                <w:szCs w:val="21"/>
                <w:lang w:val="en-US"/>
              </w:rPr>
              <w:t>标记功能</w:t>
            </w:r>
          </w:p>
        </w:tc>
        <w:tc>
          <w:tcPr>
            <w:tcW w:w="4111" w:type="dxa"/>
            <w:tcBorders>
              <w:tl2br w:val="nil"/>
              <w:tr2bl w:val="nil"/>
            </w:tcBorders>
            <w:shd w:val="clear" w:color="auto" w:fill="auto"/>
            <w:noWrap/>
            <w:vAlign w:val="center"/>
          </w:tcPr>
          <w:p>
            <w:pPr>
              <w:jc w:val="both"/>
              <w:rPr>
                <w:rFonts w:ascii="Times New Roman" w:hAnsi="Times New Roman" w:eastAsia="宋体"/>
                <w:color w:val="000000"/>
                <w:kern w:val="0"/>
                <w:szCs w:val="21"/>
                <w:lang w:val="en-US"/>
              </w:rPr>
            </w:pPr>
            <w:r>
              <w:rPr>
                <w:rFonts w:hint="eastAsia" w:ascii="Times New Roman" w:hAnsi="Times New Roman" w:eastAsia="宋体"/>
                <w:color w:val="000000"/>
                <w:kern w:val="0"/>
                <w:szCs w:val="21"/>
                <w:lang w:val="en-US"/>
              </w:rPr>
              <w:t>系统具备标记功能，支持多种不同类型自定义标记，支持根据标记列表进行标记搜索，同时标记列表支持升降序排序，并且支持标记导出功能</w:t>
            </w:r>
          </w:p>
        </w:tc>
        <w:tc>
          <w:tcPr>
            <w:tcW w:w="1185" w:type="dxa"/>
            <w:tcBorders>
              <w:tl2br w:val="nil"/>
              <w:tr2bl w:val="nil"/>
            </w:tcBorders>
            <w:shd w:val="clear" w:color="auto" w:fill="auto"/>
            <w:vAlign w:val="center"/>
          </w:tcPr>
          <w:p>
            <w:pPr>
              <w:jc w:val="center"/>
              <w:rPr>
                <w:rFonts w:ascii="Times New Roman" w:hAnsi="Times New Roman" w:eastAsia="宋体"/>
                <w:color w:val="000000"/>
                <w:kern w:val="0"/>
                <w:szCs w:val="21"/>
                <w:lang w:val="en-US"/>
              </w:rPr>
            </w:pPr>
            <w:r>
              <w:rPr>
                <w:rFonts w:hint="eastAsia" w:ascii="Times New Roman" w:hAnsi="Times New Roman" w:eastAsia="宋体"/>
                <w:color w:val="000000"/>
                <w:kern w:val="0"/>
                <w:szCs w:val="21"/>
                <w:lang w:val="en-US"/>
              </w:rPr>
              <w:t>原厂证明材料或承诺函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704" w:type="dxa"/>
            <w:tcBorders>
              <w:tl2br w:val="nil"/>
              <w:tr2bl w:val="nil"/>
            </w:tcBorders>
            <w:shd w:val="clear" w:color="auto" w:fill="auto"/>
            <w:noWrap/>
            <w:vAlign w:val="center"/>
          </w:tcPr>
          <w:p>
            <w:pPr>
              <w:numPr>
                <w:ilvl w:val="0"/>
                <w:numId w:val="64"/>
              </w:numPr>
              <w:jc w:val="center"/>
              <w:rPr>
                <w:rFonts w:ascii="Times New Roman" w:hAnsi="Times New Roman" w:eastAsia="宋体"/>
                <w:color w:val="000000"/>
                <w:kern w:val="0"/>
                <w:szCs w:val="21"/>
                <w:lang w:val="en-US"/>
              </w:rPr>
            </w:pPr>
          </w:p>
        </w:tc>
        <w:tc>
          <w:tcPr>
            <w:tcW w:w="1417" w:type="dxa"/>
            <w:tcBorders>
              <w:tl2br w:val="nil"/>
              <w:tr2bl w:val="nil"/>
            </w:tcBorders>
            <w:shd w:val="clear" w:color="auto" w:fill="auto"/>
            <w:noWrap/>
            <w:vAlign w:val="center"/>
          </w:tcPr>
          <w:p>
            <w:pPr>
              <w:jc w:val="center"/>
              <w:rPr>
                <w:rFonts w:ascii="Times New Roman" w:hAnsi="Times New Roman" w:eastAsia="宋体"/>
                <w:color w:val="000000"/>
                <w:kern w:val="0"/>
                <w:szCs w:val="21"/>
                <w:lang w:val="en-US"/>
              </w:rPr>
            </w:pPr>
            <w:r>
              <w:rPr>
                <w:rFonts w:hint="eastAsia" w:ascii="Times New Roman" w:hAnsi="Times New Roman" w:eastAsia="宋体"/>
                <w:color w:val="000000"/>
                <w:kern w:val="0"/>
                <w:szCs w:val="21"/>
                <w:lang w:val="en-US"/>
              </w:rPr>
              <w:t>标记快捷键</w:t>
            </w:r>
          </w:p>
        </w:tc>
        <w:tc>
          <w:tcPr>
            <w:tcW w:w="4111" w:type="dxa"/>
            <w:tcBorders>
              <w:tl2br w:val="nil"/>
              <w:tr2bl w:val="nil"/>
            </w:tcBorders>
            <w:shd w:val="clear" w:color="auto" w:fill="auto"/>
            <w:noWrap/>
            <w:vAlign w:val="center"/>
          </w:tcPr>
          <w:p>
            <w:pPr>
              <w:jc w:val="both"/>
              <w:rPr>
                <w:rFonts w:ascii="Times New Roman" w:hAnsi="Times New Roman" w:eastAsia="宋体"/>
                <w:color w:val="000000"/>
                <w:kern w:val="0"/>
                <w:szCs w:val="21"/>
                <w:lang w:val="en-US"/>
              </w:rPr>
            </w:pPr>
            <w:r>
              <w:rPr>
                <w:rFonts w:hint="eastAsia" w:ascii="Times New Roman" w:hAnsi="Times New Roman" w:eastAsia="宋体"/>
                <w:color w:val="000000"/>
                <w:kern w:val="0"/>
                <w:szCs w:val="21"/>
                <w:lang w:val="en-US"/>
              </w:rPr>
              <w:t>支持通过快捷建进行快速标记，标记结果显示在标记列表中</w:t>
            </w:r>
          </w:p>
        </w:tc>
        <w:tc>
          <w:tcPr>
            <w:tcW w:w="1185" w:type="dxa"/>
            <w:tcBorders>
              <w:tl2br w:val="nil"/>
              <w:tr2bl w:val="nil"/>
            </w:tcBorders>
            <w:shd w:val="clear" w:color="auto" w:fill="auto"/>
            <w:vAlign w:val="center"/>
          </w:tcPr>
          <w:p>
            <w:pPr>
              <w:jc w:val="center"/>
              <w:rPr>
                <w:rFonts w:ascii="Times New Roman" w:hAnsi="Times New Roman" w:eastAsia="宋体"/>
                <w:color w:val="000000"/>
                <w:kern w:val="0"/>
                <w:szCs w:val="21"/>
                <w:lang w:val="en-US"/>
              </w:rPr>
            </w:pPr>
            <w:r>
              <w:rPr>
                <w:rFonts w:hint="eastAsia" w:ascii="Times New Roman" w:hAnsi="Times New Roman" w:eastAsia="宋体"/>
                <w:color w:val="000000"/>
                <w:kern w:val="0"/>
                <w:szCs w:val="21"/>
                <w:lang w:val="en-US"/>
              </w:rPr>
              <w:t>原厂证明材料或承诺函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704" w:type="dxa"/>
            <w:tcBorders>
              <w:tl2br w:val="nil"/>
              <w:tr2bl w:val="nil"/>
            </w:tcBorders>
            <w:shd w:val="clear" w:color="auto" w:fill="auto"/>
            <w:noWrap/>
            <w:vAlign w:val="center"/>
          </w:tcPr>
          <w:p>
            <w:pPr>
              <w:numPr>
                <w:ilvl w:val="0"/>
                <w:numId w:val="64"/>
              </w:numPr>
              <w:jc w:val="center"/>
              <w:rPr>
                <w:rFonts w:ascii="Times New Roman" w:hAnsi="Times New Roman" w:eastAsia="宋体"/>
                <w:color w:val="000000"/>
                <w:kern w:val="0"/>
                <w:szCs w:val="21"/>
                <w:lang w:val="en-US"/>
              </w:rPr>
            </w:pPr>
          </w:p>
        </w:tc>
        <w:tc>
          <w:tcPr>
            <w:tcW w:w="1417" w:type="dxa"/>
            <w:tcBorders>
              <w:tl2br w:val="nil"/>
              <w:tr2bl w:val="nil"/>
            </w:tcBorders>
            <w:shd w:val="clear" w:color="auto" w:fill="auto"/>
            <w:noWrap/>
            <w:vAlign w:val="center"/>
          </w:tcPr>
          <w:p>
            <w:pPr>
              <w:jc w:val="center"/>
              <w:rPr>
                <w:rFonts w:ascii="Times New Roman" w:hAnsi="Times New Roman" w:eastAsia="宋体"/>
                <w:color w:val="000000"/>
                <w:kern w:val="0"/>
                <w:szCs w:val="21"/>
                <w:lang w:val="en-US"/>
              </w:rPr>
            </w:pPr>
            <w:r>
              <w:rPr>
                <w:rFonts w:hint="eastAsia" w:ascii="Times New Roman" w:hAnsi="Times New Roman" w:eastAsia="宋体"/>
                <w:color w:val="000000"/>
                <w:kern w:val="0"/>
                <w:szCs w:val="21"/>
                <w:lang w:val="en-US"/>
              </w:rPr>
              <w:t>标记定位</w:t>
            </w:r>
          </w:p>
        </w:tc>
        <w:tc>
          <w:tcPr>
            <w:tcW w:w="4111" w:type="dxa"/>
            <w:tcBorders>
              <w:tl2br w:val="nil"/>
              <w:tr2bl w:val="nil"/>
            </w:tcBorders>
            <w:shd w:val="clear" w:color="auto" w:fill="auto"/>
            <w:noWrap/>
            <w:vAlign w:val="center"/>
          </w:tcPr>
          <w:p>
            <w:pPr>
              <w:jc w:val="both"/>
              <w:rPr>
                <w:rFonts w:ascii="Times New Roman" w:hAnsi="Times New Roman" w:eastAsia="宋体"/>
                <w:kern w:val="0"/>
                <w:szCs w:val="21"/>
                <w:lang w:val="en-US"/>
              </w:rPr>
            </w:pPr>
            <w:r>
              <w:rPr>
                <w:rFonts w:hint="eastAsia" w:ascii="Times New Roman" w:hAnsi="Times New Roman" w:eastAsia="宋体"/>
                <w:szCs w:val="21"/>
              </w:rPr>
              <w:t>支持通过标记定位到对应语谱图，支持对语谱图进行播放、放大查看、手动调整标记范围、自动保存等操作</w:t>
            </w:r>
          </w:p>
        </w:tc>
        <w:tc>
          <w:tcPr>
            <w:tcW w:w="1185" w:type="dxa"/>
            <w:tcBorders>
              <w:tl2br w:val="nil"/>
              <w:tr2bl w:val="nil"/>
            </w:tcBorders>
            <w:shd w:val="clear" w:color="auto" w:fill="auto"/>
            <w:vAlign w:val="center"/>
          </w:tcPr>
          <w:p>
            <w:pPr>
              <w:jc w:val="center"/>
              <w:rPr>
                <w:rFonts w:ascii="Times New Roman" w:hAnsi="Times New Roman" w:eastAsia="宋体"/>
                <w:color w:val="000000"/>
                <w:kern w:val="0"/>
                <w:szCs w:val="21"/>
                <w:lang w:val="en-US"/>
              </w:rPr>
            </w:pPr>
            <w:r>
              <w:rPr>
                <w:rFonts w:hint="eastAsia" w:ascii="Times New Roman" w:hAnsi="Times New Roman" w:eastAsia="宋体"/>
                <w:color w:val="000000"/>
                <w:kern w:val="0"/>
                <w:szCs w:val="21"/>
                <w:lang w:val="en-US"/>
              </w:rPr>
              <w:t>原厂证明材料或承诺函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704" w:type="dxa"/>
            <w:tcBorders>
              <w:tl2br w:val="nil"/>
              <w:tr2bl w:val="nil"/>
            </w:tcBorders>
            <w:shd w:val="clear" w:color="auto" w:fill="auto"/>
            <w:noWrap/>
            <w:vAlign w:val="center"/>
          </w:tcPr>
          <w:p>
            <w:pPr>
              <w:numPr>
                <w:ilvl w:val="0"/>
                <w:numId w:val="64"/>
              </w:numPr>
              <w:jc w:val="center"/>
              <w:rPr>
                <w:rFonts w:ascii="Times New Roman" w:hAnsi="Times New Roman" w:eastAsia="宋体"/>
                <w:color w:val="000000"/>
                <w:kern w:val="0"/>
                <w:szCs w:val="21"/>
                <w:lang w:val="en-US"/>
              </w:rPr>
            </w:pPr>
          </w:p>
        </w:tc>
        <w:tc>
          <w:tcPr>
            <w:tcW w:w="1417" w:type="dxa"/>
            <w:tcBorders>
              <w:tl2br w:val="nil"/>
              <w:tr2bl w:val="nil"/>
            </w:tcBorders>
            <w:shd w:val="clear" w:color="auto" w:fill="auto"/>
            <w:noWrap/>
            <w:vAlign w:val="center"/>
          </w:tcPr>
          <w:p>
            <w:pPr>
              <w:jc w:val="center"/>
              <w:rPr>
                <w:rFonts w:ascii="Times New Roman" w:hAnsi="Times New Roman" w:eastAsia="宋体"/>
                <w:color w:val="000000"/>
                <w:kern w:val="0"/>
                <w:szCs w:val="21"/>
                <w:lang w:val="en-US"/>
              </w:rPr>
            </w:pPr>
            <w:r>
              <w:rPr>
                <w:rFonts w:hint="eastAsia" w:ascii="Times New Roman" w:hAnsi="Times New Roman" w:eastAsia="宋体"/>
                <w:color w:val="000000"/>
                <w:kern w:val="0"/>
                <w:szCs w:val="21"/>
                <w:lang w:val="en-US"/>
              </w:rPr>
              <w:t>标记管理</w:t>
            </w:r>
          </w:p>
        </w:tc>
        <w:tc>
          <w:tcPr>
            <w:tcW w:w="4111" w:type="dxa"/>
            <w:tcBorders>
              <w:tl2br w:val="nil"/>
              <w:tr2bl w:val="nil"/>
            </w:tcBorders>
            <w:shd w:val="clear" w:color="auto" w:fill="auto"/>
            <w:noWrap/>
            <w:vAlign w:val="center"/>
          </w:tcPr>
          <w:p>
            <w:pPr>
              <w:jc w:val="both"/>
              <w:rPr>
                <w:rFonts w:ascii="Times New Roman" w:hAnsi="Times New Roman" w:eastAsia="宋体"/>
                <w:szCs w:val="21"/>
              </w:rPr>
            </w:pPr>
            <w:r>
              <w:rPr>
                <w:rFonts w:hint="eastAsia" w:ascii="Times New Roman" w:hAnsi="Times New Roman" w:eastAsia="宋体"/>
                <w:szCs w:val="21"/>
              </w:rPr>
              <w:t>支持对标记进行管理。支持标记的隐藏、显示、修改、删除等操作。支持标记批量删除和防误删</w:t>
            </w:r>
          </w:p>
        </w:tc>
        <w:tc>
          <w:tcPr>
            <w:tcW w:w="1185" w:type="dxa"/>
            <w:tcBorders>
              <w:tl2br w:val="nil"/>
              <w:tr2bl w:val="nil"/>
            </w:tcBorders>
            <w:shd w:val="clear" w:color="auto" w:fill="auto"/>
            <w:vAlign w:val="center"/>
          </w:tcPr>
          <w:p>
            <w:pPr>
              <w:jc w:val="center"/>
              <w:rPr>
                <w:rFonts w:ascii="Times New Roman" w:hAnsi="Times New Roman" w:eastAsia="宋体"/>
                <w:color w:val="000000"/>
                <w:kern w:val="0"/>
                <w:szCs w:val="21"/>
                <w:lang w:val="en-US"/>
              </w:rPr>
            </w:pPr>
            <w:r>
              <w:rPr>
                <w:rFonts w:hint="eastAsia" w:ascii="Times New Roman" w:hAnsi="Times New Roman" w:eastAsia="宋体"/>
                <w:color w:val="000000"/>
                <w:kern w:val="0"/>
                <w:szCs w:val="21"/>
                <w:lang w:val="en-US"/>
              </w:rPr>
              <w:t>原厂证明材料或承诺函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704" w:type="dxa"/>
            <w:tcBorders>
              <w:tl2br w:val="nil"/>
              <w:tr2bl w:val="nil"/>
            </w:tcBorders>
            <w:shd w:val="clear" w:color="auto" w:fill="auto"/>
            <w:noWrap/>
            <w:vAlign w:val="center"/>
          </w:tcPr>
          <w:p>
            <w:pPr>
              <w:numPr>
                <w:ilvl w:val="0"/>
                <w:numId w:val="64"/>
              </w:numPr>
              <w:jc w:val="center"/>
              <w:rPr>
                <w:rFonts w:ascii="Times New Roman" w:hAnsi="Times New Roman" w:eastAsia="宋体"/>
                <w:color w:val="000000"/>
                <w:kern w:val="0"/>
                <w:szCs w:val="21"/>
                <w:lang w:val="en-US"/>
              </w:rPr>
            </w:pPr>
          </w:p>
        </w:tc>
        <w:tc>
          <w:tcPr>
            <w:tcW w:w="1417" w:type="dxa"/>
            <w:tcBorders>
              <w:tl2br w:val="nil"/>
              <w:tr2bl w:val="nil"/>
            </w:tcBorders>
            <w:shd w:val="clear" w:color="auto" w:fill="auto"/>
            <w:noWrap/>
            <w:vAlign w:val="center"/>
          </w:tcPr>
          <w:p>
            <w:pPr>
              <w:jc w:val="center"/>
              <w:rPr>
                <w:rFonts w:ascii="Times New Roman" w:hAnsi="Times New Roman" w:eastAsia="宋体"/>
                <w:color w:val="000000"/>
                <w:kern w:val="0"/>
                <w:szCs w:val="21"/>
                <w:lang w:val="en-US"/>
              </w:rPr>
            </w:pPr>
            <w:r>
              <w:rPr>
                <w:rFonts w:hint="eastAsia" w:ascii="Times New Roman" w:hAnsi="Times New Roman" w:eastAsia="宋体"/>
                <w:color w:val="000000"/>
                <w:kern w:val="0"/>
                <w:szCs w:val="21"/>
                <w:lang w:val="en-US"/>
              </w:rPr>
              <w:t>语谱图显示切换</w:t>
            </w:r>
          </w:p>
        </w:tc>
        <w:tc>
          <w:tcPr>
            <w:tcW w:w="4111" w:type="dxa"/>
            <w:tcBorders>
              <w:tl2br w:val="nil"/>
              <w:tr2bl w:val="nil"/>
            </w:tcBorders>
            <w:shd w:val="clear" w:color="auto" w:fill="auto"/>
            <w:noWrap/>
            <w:vAlign w:val="center"/>
          </w:tcPr>
          <w:p>
            <w:pPr>
              <w:jc w:val="both"/>
              <w:rPr>
                <w:rFonts w:ascii="Times New Roman" w:hAnsi="Times New Roman" w:eastAsia="宋体"/>
                <w:kern w:val="0"/>
                <w:szCs w:val="21"/>
                <w:lang w:val="en-US"/>
              </w:rPr>
            </w:pPr>
            <w:r>
              <w:rPr>
                <w:rFonts w:hint="eastAsia" w:ascii="Times New Roman" w:hAnsi="Times New Roman" w:eastAsia="宋体"/>
                <w:kern w:val="0"/>
                <w:szCs w:val="21"/>
                <w:lang w:val="en-US"/>
              </w:rPr>
              <w:t>支持对音频文件一键切换</w:t>
            </w:r>
            <w:r>
              <w:rPr>
                <w:rFonts w:ascii="Times New Roman" w:hAnsi="Times New Roman" w:eastAsia="宋体"/>
                <w:kern w:val="0"/>
                <w:szCs w:val="21"/>
                <w:lang w:val="en-US"/>
              </w:rPr>
              <w:t>4K</w:t>
            </w:r>
            <w:r>
              <w:rPr>
                <w:rFonts w:hint="eastAsia" w:ascii="Times New Roman" w:hAnsi="Times New Roman" w:eastAsia="宋体"/>
                <w:kern w:val="0"/>
                <w:szCs w:val="21"/>
                <w:lang w:val="en-US"/>
              </w:rPr>
              <w:t>或者</w:t>
            </w:r>
            <w:r>
              <w:rPr>
                <w:rFonts w:ascii="Times New Roman" w:hAnsi="Times New Roman" w:eastAsia="宋体"/>
                <w:kern w:val="0"/>
                <w:szCs w:val="21"/>
                <w:lang w:val="en-US"/>
              </w:rPr>
              <w:t>8K</w:t>
            </w:r>
            <w:r>
              <w:rPr>
                <w:rFonts w:hint="eastAsia" w:ascii="Times New Roman" w:hAnsi="Times New Roman" w:eastAsia="宋体"/>
                <w:kern w:val="0"/>
                <w:szCs w:val="21"/>
                <w:lang w:val="en-US"/>
              </w:rPr>
              <w:t>显示语谱图</w:t>
            </w:r>
          </w:p>
        </w:tc>
        <w:tc>
          <w:tcPr>
            <w:tcW w:w="1185" w:type="dxa"/>
            <w:tcBorders>
              <w:tl2br w:val="nil"/>
              <w:tr2bl w:val="nil"/>
            </w:tcBorders>
            <w:shd w:val="clear" w:color="auto" w:fill="auto"/>
            <w:vAlign w:val="center"/>
          </w:tcPr>
          <w:p>
            <w:pPr>
              <w:jc w:val="center"/>
              <w:rPr>
                <w:rFonts w:ascii="Times New Roman" w:hAnsi="Times New Roman" w:eastAsia="宋体"/>
                <w:color w:val="000000"/>
                <w:kern w:val="0"/>
                <w:szCs w:val="21"/>
                <w:lang w:val="en-US"/>
              </w:rPr>
            </w:pPr>
            <w:r>
              <w:rPr>
                <w:rFonts w:hint="eastAsia" w:ascii="Times New Roman" w:hAnsi="Times New Roman" w:eastAsia="宋体"/>
                <w:color w:val="000000"/>
                <w:kern w:val="0"/>
                <w:szCs w:val="21"/>
                <w:lang w:val="en-US"/>
              </w:rPr>
              <w:t>原厂证明材料或承诺函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704" w:type="dxa"/>
            <w:tcBorders>
              <w:tl2br w:val="nil"/>
              <w:tr2bl w:val="nil"/>
            </w:tcBorders>
            <w:shd w:val="clear" w:color="auto" w:fill="auto"/>
            <w:noWrap/>
            <w:vAlign w:val="center"/>
          </w:tcPr>
          <w:p>
            <w:pPr>
              <w:numPr>
                <w:ilvl w:val="0"/>
                <w:numId w:val="64"/>
              </w:numPr>
              <w:jc w:val="center"/>
              <w:rPr>
                <w:rFonts w:ascii="Times New Roman" w:hAnsi="Times New Roman" w:eastAsia="宋体"/>
                <w:color w:val="000000"/>
                <w:kern w:val="0"/>
                <w:szCs w:val="21"/>
                <w:lang w:val="en-US"/>
              </w:rPr>
            </w:pPr>
          </w:p>
        </w:tc>
        <w:tc>
          <w:tcPr>
            <w:tcW w:w="1417" w:type="dxa"/>
            <w:tcBorders>
              <w:tl2br w:val="nil"/>
              <w:tr2bl w:val="nil"/>
            </w:tcBorders>
            <w:shd w:val="clear" w:color="auto" w:fill="auto"/>
            <w:noWrap/>
            <w:vAlign w:val="center"/>
          </w:tcPr>
          <w:p>
            <w:pPr>
              <w:jc w:val="center"/>
              <w:rPr>
                <w:rFonts w:ascii="Times New Roman" w:hAnsi="Times New Roman" w:eastAsia="宋体"/>
                <w:color w:val="000000"/>
                <w:kern w:val="0"/>
                <w:szCs w:val="21"/>
                <w:lang w:val="en-US"/>
              </w:rPr>
            </w:pPr>
            <w:r>
              <w:rPr>
                <w:rFonts w:hint="eastAsia" w:ascii="Times New Roman" w:hAnsi="Times New Roman" w:eastAsia="宋体"/>
                <w:color w:val="000000"/>
                <w:kern w:val="0"/>
                <w:szCs w:val="21"/>
                <w:lang w:val="en-US"/>
              </w:rPr>
              <w:t>变声调节</w:t>
            </w:r>
          </w:p>
        </w:tc>
        <w:tc>
          <w:tcPr>
            <w:tcW w:w="4111" w:type="dxa"/>
            <w:tcBorders>
              <w:tl2br w:val="nil"/>
              <w:tr2bl w:val="nil"/>
            </w:tcBorders>
            <w:shd w:val="clear" w:color="auto" w:fill="auto"/>
            <w:noWrap/>
            <w:vAlign w:val="center"/>
          </w:tcPr>
          <w:p>
            <w:pPr>
              <w:jc w:val="both"/>
              <w:rPr>
                <w:rFonts w:ascii="Times New Roman" w:hAnsi="Times New Roman" w:eastAsia="宋体"/>
                <w:kern w:val="0"/>
                <w:szCs w:val="21"/>
                <w:lang w:val="en-US"/>
              </w:rPr>
            </w:pPr>
            <w:r>
              <w:rPr>
                <w:rFonts w:hint="eastAsia" w:ascii="Times New Roman" w:hAnsi="Times New Roman" w:eastAsia="宋体"/>
                <w:kern w:val="0"/>
                <w:szCs w:val="21"/>
                <w:lang w:val="en-US"/>
              </w:rPr>
              <w:t>支持对音频从语速、音高和音色等维度进行变声调节</w:t>
            </w:r>
          </w:p>
        </w:tc>
        <w:tc>
          <w:tcPr>
            <w:tcW w:w="1185" w:type="dxa"/>
            <w:tcBorders>
              <w:tl2br w:val="nil"/>
              <w:tr2bl w:val="nil"/>
            </w:tcBorders>
            <w:shd w:val="clear" w:color="auto" w:fill="auto"/>
            <w:vAlign w:val="center"/>
          </w:tcPr>
          <w:p>
            <w:pPr>
              <w:jc w:val="center"/>
              <w:rPr>
                <w:rFonts w:ascii="Times New Roman" w:hAnsi="Times New Roman" w:eastAsia="宋体"/>
                <w:color w:val="000000"/>
                <w:kern w:val="0"/>
                <w:szCs w:val="21"/>
                <w:lang w:val="en-US"/>
              </w:rPr>
            </w:pPr>
            <w:r>
              <w:rPr>
                <w:rFonts w:hint="eastAsia" w:ascii="Times New Roman" w:hAnsi="Times New Roman" w:eastAsia="宋体"/>
                <w:color w:val="000000"/>
                <w:kern w:val="0"/>
                <w:szCs w:val="21"/>
                <w:lang w:val="en-US"/>
              </w:rPr>
              <w:t>原厂证明材料或承诺函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704" w:type="dxa"/>
            <w:tcBorders>
              <w:tl2br w:val="nil"/>
              <w:tr2bl w:val="nil"/>
            </w:tcBorders>
            <w:shd w:val="clear" w:color="auto" w:fill="auto"/>
            <w:noWrap/>
            <w:vAlign w:val="center"/>
          </w:tcPr>
          <w:p>
            <w:pPr>
              <w:numPr>
                <w:ilvl w:val="0"/>
                <w:numId w:val="64"/>
              </w:numPr>
              <w:jc w:val="center"/>
              <w:rPr>
                <w:rFonts w:ascii="Times New Roman" w:hAnsi="Times New Roman" w:eastAsia="宋体"/>
                <w:color w:val="000000"/>
                <w:kern w:val="0"/>
                <w:szCs w:val="21"/>
                <w:lang w:val="en-US"/>
              </w:rPr>
            </w:pPr>
          </w:p>
        </w:tc>
        <w:tc>
          <w:tcPr>
            <w:tcW w:w="1417" w:type="dxa"/>
            <w:tcBorders>
              <w:tl2br w:val="nil"/>
              <w:tr2bl w:val="nil"/>
            </w:tcBorders>
            <w:shd w:val="clear" w:color="auto" w:fill="auto"/>
            <w:noWrap/>
            <w:vAlign w:val="center"/>
          </w:tcPr>
          <w:p>
            <w:pPr>
              <w:jc w:val="center"/>
              <w:rPr>
                <w:rFonts w:ascii="Times New Roman" w:hAnsi="Times New Roman" w:eastAsia="宋体"/>
                <w:color w:val="000000"/>
                <w:kern w:val="0"/>
                <w:szCs w:val="21"/>
                <w:lang w:val="en-US"/>
              </w:rPr>
            </w:pPr>
            <w:r>
              <w:rPr>
                <w:rFonts w:hint="eastAsia" w:ascii="Times New Roman" w:hAnsi="Times New Roman" w:eastAsia="宋体"/>
                <w:color w:val="000000"/>
                <w:kern w:val="0"/>
                <w:szCs w:val="21"/>
                <w:lang w:val="en-US"/>
              </w:rPr>
              <w:t>图谱缩放</w:t>
            </w:r>
          </w:p>
        </w:tc>
        <w:tc>
          <w:tcPr>
            <w:tcW w:w="4111" w:type="dxa"/>
            <w:tcBorders>
              <w:tl2br w:val="nil"/>
              <w:tr2bl w:val="nil"/>
            </w:tcBorders>
            <w:shd w:val="clear" w:color="auto" w:fill="auto"/>
            <w:noWrap/>
            <w:vAlign w:val="center"/>
          </w:tcPr>
          <w:p>
            <w:pPr>
              <w:jc w:val="both"/>
              <w:rPr>
                <w:rFonts w:ascii="Times New Roman" w:hAnsi="Times New Roman" w:eastAsia="宋体"/>
                <w:kern w:val="0"/>
                <w:szCs w:val="21"/>
                <w:lang w:val="en-US"/>
              </w:rPr>
            </w:pPr>
            <w:r>
              <w:rPr>
                <w:rFonts w:hint="eastAsia" w:ascii="Times New Roman" w:hAnsi="Times New Roman" w:eastAsia="宋体"/>
                <w:kern w:val="0"/>
                <w:szCs w:val="21"/>
                <w:lang w:val="en-US"/>
              </w:rPr>
              <w:t>系统支持光标点击或鼠标滑轮的方式对波形图、语谱图等各类谱图进行放大或缩小</w:t>
            </w:r>
          </w:p>
        </w:tc>
        <w:tc>
          <w:tcPr>
            <w:tcW w:w="1185" w:type="dxa"/>
            <w:tcBorders>
              <w:tl2br w:val="nil"/>
              <w:tr2bl w:val="nil"/>
            </w:tcBorders>
            <w:shd w:val="clear" w:color="auto" w:fill="auto"/>
            <w:vAlign w:val="center"/>
          </w:tcPr>
          <w:p>
            <w:pPr>
              <w:jc w:val="center"/>
              <w:rPr>
                <w:rFonts w:ascii="Times New Roman" w:hAnsi="Times New Roman" w:eastAsia="宋体"/>
                <w:color w:val="000000"/>
                <w:kern w:val="0"/>
                <w:szCs w:val="21"/>
                <w:lang w:val="en-US"/>
              </w:rPr>
            </w:pPr>
            <w:r>
              <w:rPr>
                <w:rFonts w:hint="eastAsia" w:ascii="Times New Roman" w:hAnsi="Times New Roman" w:eastAsia="宋体"/>
                <w:color w:val="000000"/>
                <w:kern w:val="0"/>
                <w:szCs w:val="21"/>
                <w:lang w:val="en-US"/>
              </w:rPr>
              <w:t>原厂证明材料或承诺函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704" w:type="dxa"/>
            <w:tcBorders>
              <w:tl2br w:val="nil"/>
              <w:tr2bl w:val="nil"/>
            </w:tcBorders>
            <w:shd w:val="clear" w:color="auto" w:fill="auto"/>
            <w:noWrap/>
            <w:vAlign w:val="center"/>
          </w:tcPr>
          <w:p>
            <w:pPr>
              <w:numPr>
                <w:ilvl w:val="0"/>
                <w:numId w:val="64"/>
              </w:numPr>
              <w:jc w:val="center"/>
              <w:rPr>
                <w:rFonts w:ascii="Times New Roman" w:hAnsi="Times New Roman" w:eastAsia="宋体"/>
                <w:color w:val="000000"/>
                <w:kern w:val="0"/>
                <w:szCs w:val="21"/>
                <w:lang w:val="en-US"/>
              </w:rPr>
            </w:pPr>
          </w:p>
        </w:tc>
        <w:tc>
          <w:tcPr>
            <w:tcW w:w="1417" w:type="dxa"/>
            <w:tcBorders>
              <w:tl2br w:val="nil"/>
              <w:tr2bl w:val="nil"/>
            </w:tcBorders>
            <w:shd w:val="clear" w:color="auto" w:fill="auto"/>
            <w:noWrap/>
            <w:vAlign w:val="center"/>
          </w:tcPr>
          <w:p>
            <w:pPr>
              <w:jc w:val="center"/>
              <w:rPr>
                <w:rFonts w:ascii="Times New Roman" w:hAnsi="Times New Roman" w:eastAsia="宋体"/>
                <w:color w:val="000000"/>
                <w:kern w:val="0"/>
                <w:szCs w:val="21"/>
                <w:lang w:val="en-US"/>
              </w:rPr>
            </w:pPr>
            <w:r>
              <w:rPr>
                <w:rFonts w:hint="eastAsia" w:ascii="Times New Roman" w:hAnsi="Times New Roman" w:eastAsia="宋体"/>
                <w:color w:val="000000"/>
                <w:kern w:val="0"/>
                <w:szCs w:val="21"/>
                <w:lang w:val="en-US"/>
              </w:rPr>
              <w:t>相似音素</w:t>
            </w:r>
          </w:p>
        </w:tc>
        <w:tc>
          <w:tcPr>
            <w:tcW w:w="4111" w:type="dxa"/>
            <w:tcBorders>
              <w:tl2br w:val="nil"/>
              <w:tr2bl w:val="nil"/>
            </w:tcBorders>
            <w:shd w:val="clear" w:color="auto" w:fill="auto"/>
            <w:noWrap/>
            <w:vAlign w:val="center"/>
          </w:tcPr>
          <w:p>
            <w:pPr>
              <w:jc w:val="both"/>
              <w:rPr>
                <w:rFonts w:ascii="Times New Roman" w:hAnsi="Times New Roman" w:eastAsia="宋体"/>
                <w:szCs w:val="21"/>
              </w:rPr>
            </w:pPr>
            <w:r>
              <w:rPr>
                <w:rFonts w:hint="eastAsia" w:ascii="Times New Roman" w:hAnsi="Times New Roman" w:eastAsia="宋体"/>
                <w:szCs w:val="21"/>
                <w:lang w:val="en-US"/>
              </w:rPr>
              <w:t>支持相似音素搜索，系统支持</w:t>
            </w:r>
            <w:r>
              <w:rPr>
                <w:rFonts w:hint="eastAsia" w:ascii="Times New Roman" w:hAnsi="Times New Roman" w:eastAsia="宋体"/>
                <w:szCs w:val="21"/>
              </w:rPr>
              <w:t>对选定</w:t>
            </w:r>
            <w:r>
              <w:rPr>
                <w:rFonts w:hint="eastAsia" w:ascii="Times New Roman" w:hAnsi="Times New Roman" w:eastAsia="宋体"/>
                <w:szCs w:val="21"/>
                <w:lang w:val="en-US"/>
              </w:rPr>
              <w:t>的</w:t>
            </w:r>
            <w:r>
              <w:rPr>
                <w:rFonts w:hint="eastAsia" w:ascii="Times New Roman" w:hAnsi="Times New Roman" w:eastAsia="宋体"/>
                <w:szCs w:val="21"/>
              </w:rPr>
              <w:t>语谱图，可在当前文件和其它文件中搜索具有相似语谱图的选区</w:t>
            </w:r>
          </w:p>
        </w:tc>
        <w:tc>
          <w:tcPr>
            <w:tcW w:w="1185" w:type="dxa"/>
            <w:tcBorders>
              <w:tl2br w:val="nil"/>
              <w:tr2bl w:val="nil"/>
            </w:tcBorders>
            <w:shd w:val="clear" w:color="auto" w:fill="auto"/>
            <w:vAlign w:val="center"/>
          </w:tcPr>
          <w:p>
            <w:pPr>
              <w:jc w:val="center"/>
              <w:rPr>
                <w:rFonts w:ascii="Times New Roman" w:hAnsi="Times New Roman" w:eastAsia="宋体"/>
                <w:color w:val="000000"/>
                <w:kern w:val="0"/>
                <w:szCs w:val="21"/>
                <w:lang w:val="en-US"/>
              </w:rPr>
            </w:pPr>
            <w:r>
              <w:rPr>
                <w:rFonts w:hint="eastAsia" w:ascii="Times New Roman" w:hAnsi="Times New Roman" w:eastAsia="宋体"/>
                <w:color w:val="000000"/>
                <w:kern w:val="0"/>
                <w:szCs w:val="21"/>
                <w:lang w:val="en-US"/>
              </w:rPr>
              <w:t>原厂证明材料或承诺函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704" w:type="dxa"/>
            <w:tcBorders>
              <w:tl2br w:val="nil"/>
              <w:tr2bl w:val="nil"/>
            </w:tcBorders>
            <w:shd w:val="clear" w:color="auto" w:fill="auto"/>
            <w:noWrap/>
            <w:vAlign w:val="center"/>
          </w:tcPr>
          <w:p>
            <w:pPr>
              <w:numPr>
                <w:ilvl w:val="0"/>
                <w:numId w:val="64"/>
              </w:numPr>
              <w:jc w:val="center"/>
              <w:rPr>
                <w:rFonts w:ascii="Times New Roman" w:hAnsi="Times New Roman" w:eastAsia="宋体"/>
                <w:color w:val="000000"/>
                <w:kern w:val="0"/>
                <w:szCs w:val="21"/>
                <w:lang w:val="en-US"/>
              </w:rPr>
            </w:pPr>
          </w:p>
        </w:tc>
        <w:tc>
          <w:tcPr>
            <w:tcW w:w="1417" w:type="dxa"/>
            <w:tcBorders>
              <w:tl2br w:val="nil"/>
              <w:tr2bl w:val="nil"/>
            </w:tcBorders>
            <w:shd w:val="clear" w:color="auto" w:fill="auto"/>
            <w:noWrap/>
            <w:vAlign w:val="center"/>
          </w:tcPr>
          <w:p>
            <w:pPr>
              <w:jc w:val="center"/>
              <w:rPr>
                <w:rFonts w:ascii="Times New Roman" w:hAnsi="Times New Roman" w:eastAsia="宋体"/>
                <w:color w:val="000000"/>
                <w:kern w:val="0"/>
                <w:szCs w:val="21"/>
                <w:lang w:val="en-US"/>
              </w:rPr>
            </w:pPr>
            <w:r>
              <w:rPr>
                <w:rFonts w:hint="eastAsia" w:ascii="Times New Roman" w:hAnsi="Times New Roman" w:eastAsia="宋体"/>
                <w:color w:val="000000"/>
                <w:kern w:val="0"/>
                <w:szCs w:val="21"/>
                <w:lang w:val="en-US"/>
              </w:rPr>
              <w:t>语音转写</w:t>
            </w:r>
          </w:p>
        </w:tc>
        <w:tc>
          <w:tcPr>
            <w:tcW w:w="4111" w:type="dxa"/>
            <w:tcBorders>
              <w:tl2br w:val="nil"/>
              <w:tr2bl w:val="nil"/>
            </w:tcBorders>
            <w:shd w:val="clear" w:color="auto" w:fill="auto"/>
            <w:noWrap/>
            <w:vAlign w:val="center"/>
          </w:tcPr>
          <w:p>
            <w:pPr>
              <w:jc w:val="both"/>
              <w:rPr>
                <w:rFonts w:ascii="Times New Roman" w:hAnsi="Times New Roman" w:eastAsia="宋体"/>
                <w:color w:val="000000"/>
                <w:kern w:val="0"/>
                <w:szCs w:val="21"/>
                <w:lang w:val="en-US"/>
              </w:rPr>
            </w:pPr>
            <w:r>
              <w:rPr>
                <w:rFonts w:hint="eastAsia" w:ascii="Times New Roman" w:hAnsi="Times New Roman" w:eastAsia="宋体"/>
                <w:color w:val="000000"/>
                <w:kern w:val="0"/>
                <w:szCs w:val="21"/>
                <w:lang w:val="en-US"/>
              </w:rPr>
              <w:t>系统支持语音转文字功能，对导入的中文普通话音频、粤语音频一键转写成文字</w:t>
            </w:r>
          </w:p>
        </w:tc>
        <w:tc>
          <w:tcPr>
            <w:tcW w:w="1185" w:type="dxa"/>
            <w:tcBorders>
              <w:tl2br w:val="nil"/>
              <w:tr2bl w:val="nil"/>
            </w:tcBorders>
            <w:shd w:val="clear" w:color="auto" w:fill="auto"/>
            <w:vAlign w:val="center"/>
          </w:tcPr>
          <w:p>
            <w:pPr>
              <w:jc w:val="center"/>
              <w:rPr>
                <w:rFonts w:ascii="Times New Roman" w:hAnsi="Times New Roman" w:eastAsia="宋体"/>
                <w:color w:val="000000"/>
                <w:kern w:val="0"/>
                <w:szCs w:val="21"/>
                <w:lang w:val="en-US"/>
              </w:rPr>
            </w:pPr>
            <w:r>
              <w:rPr>
                <w:rFonts w:hint="eastAsia" w:ascii="Times New Roman" w:hAnsi="Times New Roman" w:eastAsia="宋体"/>
                <w:color w:val="000000"/>
                <w:kern w:val="0"/>
                <w:szCs w:val="21"/>
                <w:lang w:val="en-US"/>
              </w:rPr>
              <w:t>原厂证明材料或承诺函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704" w:type="dxa"/>
            <w:tcBorders>
              <w:tl2br w:val="nil"/>
              <w:tr2bl w:val="nil"/>
            </w:tcBorders>
            <w:shd w:val="clear" w:color="auto" w:fill="auto"/>
            <w:noWrap/>
            <w:vAlign w:val="center"/>
          </w:tcPr>
          <w:p>
            <w:pPr>
              <w:numPr>
                <w:ilvl w:val="0"/>
                <w:numId w:val="64"/>
              </w:numPr>
              <w:jc w:val="center"/>
              <w:rPr>
                <w:rFonts w:ascii="Times New Roman" w:hAnsi="Times New Roman" w:eastAsia="宋体"/>
                <w:color w:val="000000"/>
                <w:kern w:val="0"/>
                <w:szCs w:val="21"/>
                <w:lang w:val="en-US"/>
              </w:rPr>
            </w:pPr>
          </w:p>
        </w:tc>
        <w:tc>
          <w:tcPr>
            <w:tcW w:w="1417" w:type="dxa"/>
            <w:tcBorders>
              <w:tl2br w:val="nil"/>
              <w:tr2bl w:val="nil"/>
            </w:tcBorders>
            <w:shd w:val="clear" w:color="auto" w:fill="auto"/>
            <w:noWrap/>
            <w:vAlign w:val="center"/>
          </w:tcPr>
          <w:p>
            <w:pPr>
              <w:jc w:val="center"/>
              <w:rPr>
                <w:rFonts w:ascii="Times New Roman" w:hAnsi="Times New Roman" w:eastAsia="宋体"/>
                <w:color w:val="000000"/>
                <w:kern w:val="0"/>
                <w:szCs w:val="21"/>
                <w:lang w:val="en-US"/>
              </w:rPr>
            </w:pPr>
            <w:r>
              <w:rPr>
                <w:rFonts w:hint="eastAsia" w:ascii="Times New Roman" w:hAnsi="Times New Roman" w:eastAsia="宋体"/>
                <w:color w:val="000000"/>
                <w:kern w:val="0"/>
                <w:szCs w:val="21"/>
                <w:lang w:val="en-US"/>
              </w:rPr>
              <w:t>波形叠加</w:t>
            </w:r>
          </w:p>
        </w:tc>
        <w:tc>
          <w:tcPr>
            <w:tcW w:w="4111" w:type="dxa"/>
            <w:tcBorders>
              <w:tl2br w:val="nil"/>
              <w:tr2bl w:val="nil"/>
            </w:tcBorders>
            <w:shd w:val="clear" w:color="auto" w:fill="auto"/>
            <w:noWrap/>
            <w:vAlign w:val="center"/>
          </w:tcPr>
          <w:p>
            <w:pPr>
              <w:jc w:val="both"/>
              <w:rPr>
                <w:rFonts w:ascii="Times New Roman" w:hAnsi="Times New Roman" w:eastAsia="宋体"/>
                <w:color w:val="000000"/>
                <w:kern w:val="0"/>
                <w:szCs w:val="21"/>
                <w:lang w:val="en-US"/>
              </w:rPr>
            </w:pPr>
            <w:r>
              <w:rPr>
                <w:rFonts w:hint="eastAsia" w:ascii="Times New Roman" w:hAnsi="Times New Roman" w:eastAsia="宋体"/>
                <w:color w:val="000000"/>
                <w:kern w:val="0"/>
                <w:szCs w:val="21"/>
                <w:lang w:val="en-US"/>
              </w:rPr>
              <w:t>系统支持波形比对，对检材和样本中的两个语音文件频谱图的波形从时间和频率分布进行比对</w:t>
            </w:r>
          </w:p>
        </w:tc>
        <w:tc>
          <w:tcPr>
            <w:tcW w:w="1185" w:type="dxa"/>
            <w:tcBorders>
              <w:tl2br w:val="nil"/>
              <w:tr2bl w:val="nil"/>
            </w:tcBorders>
            <w:shd w:val="clear" w:color="auto" w:fill="auto"/>
            <w:vAlign w:val="center"/>
          </w:tcPr>
          <w:p>
            <w:pPr>
              <w:jc w:val="center"/>
              <w:rPr>
                <w:rFonts w:ascii="Times New Roman" w:hAnsi="Times New Roman" w:eastAsia="宋体"/>
                <w:color w:val="000000"/>
                <w:kern w:val="0"/>
                <w:szCs w:val="21"/>
                <w:lang w:val="en-US"/>
              </w:rPr>
            </w:pPr>
            <w:r>
              <w:rPr>
                <w:rFonts w:hint="eastAsia" w:ascii="Times New Roman" w:hAnsi="Times New Roman" w:eastAsia="宋体"/>
                <w:color w:val="000000"/>
                <w:kern w:val="0"/>
                <w:szCs w:val="21"/>
                <w:lang w:val="en-US"/>
              </w:rPr>
              <w:t>原厂证明材料或承诺函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704" w:type="dxa"/>
            <w:tcBorders>
              <w:tl2br w:val="nil"/>
              <w:tr2bl w:val="nil"/>
            </w:tcBorders>
            <w:shd w:val="clear" w:color="auto" w:fill="auto"/>
            <w:noWrap/>
            <w:vAlign w:val="center"/>
          </w:tcPr>
          <w:p>
            <w:pPr>
              <w:numPr>
                <w:ilvl w:val="0"/>
                <w:numId w:val="64"/>
              </w:numPr>
              <w:jc w:val="center"/>
              <w:rPr>
                <w:rFonts w:ascii="Times New Roman" w:hAnsi="Times New Roman" w:eastAsia="宋体"/>
                <w:color w:val="000000"/>
                <w:kern w:val="0"/>
                <w:szCs w:val="21"/>
                <w:lang w:val="en-US"/>
              </w:rPr>
            </w:pPr>
          </w:p>
        </w:tc>
        <w:tc>
          <w:tcPr>
            <w:tcW w:w="1417" w:type="dxa"/>
            <w:tcBorders>
              <w:tl2br w:val="nil"/>
              <w:tr2bl w:val="nil"/>
            </w:tcBorders>
            <w:shd w:val="clear" w:color="auto" w:fill="auto"/>
            <w:noWrap/>
            <w:vAlign w:val="center"/>
          </w:tcPr>
          <w:p>
            <w:pPr>
              <w:jc w:val="center"/>
              <w:rPr>
                <w:rFonts w:ascii="Times New Roman" w:hAnsi="Times New Roman" w:eastAsia="宋体"/>
                <w:color w:val="000000"/>
                <w:kern w:val="0"/>
                <w:szCs w:val="21"/>
                <w:lang w:val="en-US"/>
              </w:rPr>
            </w:pPr>
            <w:r>
              <w:rPr>
                <w:rFonts w:hint="eastAsia" w:ascii="Times New Roman" w:hAnsi="Times New Roman" w:eastAsia="宋体"/>
                <w:color w:val="000000"/>
                <w:kern w:val="0"/>
                <w:szCs w:val="21"/>
                <w:lang w:val="en-US"/>
              </w:rPr>
              <w:t>参考线设置</w:t>
            </w:r>
          </w:p>
        </w:tc>
        <w:tc>
          <w:tcPr>
            <w:tcW w:w="4111" w:type="dxa"/>
            <w:tcBorders>
              <w:tl2br w:val="nil"/>
              <w:tr2bl w:val="nil"/>
            </w:tcBorders>
            <w:shd w:val="clear" w:color="auto" w:fill="auto"/>
            <w:noWrap/>
            <w:vAlign w:val="center"/>
          </w:tcPr>
          <w:p>
            <w:pPr>
              <w:jc w:val="both"/>
              <w:rPr>
                <w:rFonts w:ascii="Times New Roman" w:hAnsi="Times New Roman" w:eastAsia="宋体"/>
                <w:color w:val="000000"/>
                <w:kern w:val="0"/>
                <w:szCs w:val="21"/>
                <w:lang w:val="en-US"/>
              </w:rPr>
            </w:pPr>
            <w:r>
              <w:rPr>
                <w:rFonts w:hint="eastAsia" w:ascii="Times New Roman" w:hAnsi="Times New Roman" w:eastAsia="宋体"/>
                <w:color w:val="000000"/>
                <w:kern w:val="0"/>
                <w:szCs w:val="21"/>
                <w:lang w:val="en-US"/>
              </w:rPr>
              <w:t>系统支持参考线及数值显示，可在语谱图中显示或隐藏参考线，光标处可显示时间、频率、强度等数值</w:t>
            </w:r>
          </w:p>
        </w:tc>
        <w:tc>
          <w:tcPr>
            <w:tcW w:w="1185" w:type="dxa"/>
            <w:tcBorders>
              <w:tl2br w:val="nil"/>
              <w:tr2bl w:val="nil"/>
            </w:tcBorders>
            <w:shd w:val="clear" w:color="auto" w:fill="auto"/>
            <w:vAlign w:val="center"/>
          </w:tcPr>
          <w:p>
            <w:pPr>
              <w:jc w:val="center"/>
              <w:rPr>
                <w:rFonts w:ascii="Times New Roman" w:hAnsi="Times New Roman" w:eastAsia="宋体"/>
                <w:color w:val="000000"/>
                <w:kern w:val="0"/>
                <w:szCs w:val="21"/>
                <w:lang w:val="en-US"/>
              </w:rPr>
            </w:pPr>
            <w:r>
              <w:rPr>
                <w:rFonts w:hint="eastAsia" w:ascii="Times New Roman" w:hAnsi="Times New Roman" w:eastAsia="宋体"/>
                <w:color w:val="000000"/>
                <w:kern w:val="0"/>
                <w:szCs w:val="21"/>
                <w:lang w:val="en-US"/>
              </w:rPr>
              <w:t>原厂证明材料或承诺函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704" w:type="dxa"/>
            <w:tcBorders>
              <w:tl2br w:val="nil"/>
              <w:tr2bl w:val="nil"/>
            </w:tcBorders>
            <w:shd w:val="clear" w:color="auto" w:fill="auto"/>
            <w:noWrap/>
            <w:vAlign w:val="center"/>
          </w:tcPr>
          <w:p>
            <w:pPr>
              <w:numPr>
                <w:ilvl w:val="0"/>
                <w:numId w:val="64"/>
              </w:numPr>
              <w:jc w:val="center"/>
              <w:rPr>
                <w:rFonts w:ascii="Times New Roman" w:hAnsi="Times New Roman" w:eastAsia="宋体"/>
                <w:color w:val="000000"/>
                <w:kern w:val="0"/>
                <w:szCs w:val="21"/>
                <w:lang w:val="en-US"/>
              </w:rPr>
            </w:pPr>
          </w:p>
        </w:tc>
        <w:tc>
          <w:tcPr>
            <w:tcW w:w="1417" w:type="dxa"/>
            <w:tcBorders>
              <w:tl2br w:val="nil"/>
              <w:tr2bl w:val="nil"/>
            </w:tcBorders>
            <w:shd w:val="clear" w:color="auto" w:fill="auto"/>
            <w:noWrap/>
            <w:vAlign w:val="center"/>
          </w:tcPr>
          <w:p>
            <w:pPr>
              <w:jc w:val="center"/>
              <w:rPr>
                <w:rFonts w:ascii="Times New Roman" w:hAnsi="Times New Roman" w:eastAsia="宋体"/>
                <w:color w:val="000000"/>
                <w:kern w:val="0"/>
                <w:szCs w:val="21"/>
                <w:lang w:val="en-US"/>
              </w:rPr>
            </w:pPr>
            <w:r>
              <w:rPr>
                <w:rFonts w:hint="eastAsia" w:ascii="Times New Roman" w:hAnsi="Times New Roman" w:eastAsia="宋体"/>
                <w:color w:val="000000"/>
                <w:kern w:val="0"/>
                <w:szCs w:val="21"/>
                <w:lang w:val="en-US"/>
              </w:rPr>
              <w:t>截图功能</w:t>
            </w:r>
          </w:p>
        </w:tc>
        <w:tc>
          <w:tcPr>
            <w:tcW w:w="4111" w:type="dxa"/>
            <w:tcBorders>
              <w:tl2br w:val="nil"/>
              <w:tr2bl w:val="nil"/>
            </w:tcBorders>
            <w:shd w:val="clear" w:color="auto" w:fill="auto"/>
            <w:noWrap/>
            <w:vAlign w:val="center"/>
          </w:tcPr>
          <w:p>
            <w:pPr>
              <w:jc w:val="both"/>
              <w:rPr>
                <w:rFonts w:ascii="Times New Roman" w:hAnsi="Times New Roman" w:eastAsia="宋体"/>
                <w:color w:val="000000"/>
                <w:kern w:val="0"/>
                <w:szCs w:val="21"/>
                <w:lang w:val="en-US"/>
              </w:rPr>
            </w:pPr>
            <w:r>
              <w:rPr>
                <w:rFonts w:hint="eastAsia" w:ascii="Times New Roman" w:hAnsi="Times New Roman" w:eastAsia="宋体"/>
                <w:color w:val="000000"/>
                <w:kern w:val="0"/>
                <w:szCs w:val="21"/>
                <w:lang w:val="en-US"/>
              </w:rPr>
              <w:t>支持截图操作</w:t>
            </w:r>
          </w:p>
        </w:tc>
        <w:tc>
          <w:tcPr>
            <w:tcW w:w="1185" w:type="dxa"/>
            <w:tcBorders>
              <w:tl2br w:val="nil"/>
              <w:tr2bl w:val="nil"/>
            </w:tcBorders>
            <w:shd w:val="clear" w:color="auto" w:fill="auto"/>
            <w:vAlign w:val="center"/>
          </w:tcPr>
          <w:p>
            <w:pPr>
              <w:jc w:val="center"/>
              <w:rPr>
                <w:rFonts w:ascii="Times New Roman" w:hAnsi="Times New Roman" w:eastAsia="宋体"/>
                <w:color w:val="000000"/>
                <w:kern w:val="0"/>
                <w:szCs w:val="21"/>
                <w:lang w:val="en-US"/>
              </w:rPr>
            </w:pPr>
            <w:r>
              <w:rPr>
                <w:rFonts w:hint="eastAsia" w:ascii="Times New Roman" w:hAnsi="Times New Roman" w:eastAsia="宋体"/>
                <w:color w:val="000000"/>
                <w:kern w:val="0"/>
                <w:szCs w:val="21"/>
                <w:lang w:val="en-US"/>
              </w:rPr>
              <w:t>原厂证明材料或承诺函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704" w:type="dxa"/>
            <w:tcBorders>
              <w:tl2br w:val="nil"/>
              <w:tr2bl w:val="nil"/>
            </w:tcBorders>
            <w:shd w:val="clear" w:color="auto" w:fill="auto"/>
            <w:noWrap/>
            <w:vAlign w:val="center"/>
          </w:tcPr>
          <w:p>
            <w:pPr>
              <w:numPr>
                <w:ilvl w:val="0"/>
                <w:numId w:val="64"/>
              </w:numPr>
              <w:jc w:val="center"/>
              <w:rPr>
                <w:rFonts w:ascii="Times New Roman" w:hAnsi="Times New Roman" w:eastAsia="宋体"/>
                <w:color w:val="000000"/>
                <w:kern w:val="0"/>
                <w:szCs w:val="21"/>
                <w:lang w:val="en-US"/>
              </w:rPr>
            </w:pPr>
          </w:p>
        </w:tc>
        <w:tc>
          <w:tcPr>
            <w:tcW w:w="1417" w:type="dxa"/>
            <w:tcBorders>
              <w:tl2br w:val="nil"/>
              <w:tr2bl w:val="nil"/>
            </w:tcBorders>
            <w:shd w:val="clear" w:color="auto" w:fill="auto"/>
            <w:noWrap/>
            <w:vAlign w:val="center"/>
          </w:tcPr>
          <w:p>
            <w:pPr>
              <w:jc w:val="center"/>
              <w:rPr>
                <w:rFonts w:ascii="Times New Roman" w:hAnsi="Times New Roman" w:eastAsia="宋体"/>
                <w:color w:val="000000"/>
                <w:kern w:val="0"/>
                <w:szCs w:val="21"/>
                <w:lang w:val="en-US"/>
              </w:rPr>
            </w:pPr>
            <w:r>
              <w:rPr>
                <w:rFonts w:hint="eastAsia" w:ascii="Times New Roman" w:hAnsi="Times New Roman" w:eastAsia="宋体"/>
                <w:color w:val="000000"/>
                <w:kern w:val="0"/>
                <w:szCs w:val="21"/>
                <w:lang w:val="en-US"/>
              </w:rPr>
              <w:t>截图关联语谱图</w:t>
            </w:r>
          </w:p>
        </w:tc>
        <w:tc>
          <w:tcPr>
            <w:tcW w:w="4111" w:type="dxa"/>
            <w:tcBorders>
              <w:tl2br w:val="nil"/>
              <w:tr2bl w:val="nil"/>
            </w:tcBorders>
            <w:shd w:val="clear" w:color="auto" w:fill="auto"/>
            <w:noWrap/>
            <w:vAlign w:val="center"/>
          </w:tcPr>
          <w:p>
            <w:pPr>
              <w:jc w:val="both"/>
              <w:rPr>
                <w:rFonts w:ascii="Times New Roman" w:hAnsi="Times New Roman" w:eastAsia="宋体"/>
                <w:color w:val="000000"/>
                <w:kern w:val="0"/>
                <w:szCs w:val="21"/>
                <w:lang w:val="en-US"/>
              </w:rPr>
            </w:pPr>
            <w:r>
              <w:rPr>
                <w:rFonts w:hint="eastAsia" w:ascii="Times New Roman" w:hAnsi="Times New Roman" w:eastAsia="宋体"/>
                <w:color w:val="000000"/>
                <w:kern w:val="0"/>
                <w:szCs w:val="21"/>
                <w:lang w:val="en-US"/>
              </w:rPr>
              <w:t>截图具备关联语谱图功能，通过截图关联的语谱图区域，快速找到对应语谱图并自动还原该图片在截图时的真实语谱图情况</w:t>
            </w:r>
          </w:p>
        </w:tc>
        <w:tc>
          <w:tcPr>
            <w:tcW w:w="1185" w:type="dxa"/>
            <w:tcBorders>
              <w:tl2br w:val="nil"/>
              <w:tr2bl w:val="nil"/>
            </w:tcBorders>
            <w:shd w:val="clear" w:color="auto" w:fill="auto"/>
            <w:vAlign w:val="center"/>
          </w:tcPr>
          <w:p>
            <w:pPr>
              <w:jc w:val="center"/>
              <w:rPr>
                <w:rFonts w:ascii="Times New Roman" w:hAnsi="Times New Roman" w:eastAsia="宋体"/>
                <w:color w:val="000000"/>
                <w:kern w:val="0"/>
                <w:szCs w:val="21"/>
                <w:lang w:val="en-US"/>
              </w:rPr>
            </w:pPr>
            <w:r>
              <w:rPr>
                <w:rFonts w:hint="eastAsia" w:ascii="Times New Roman" w:hAnsi="Times New Roman" w:eastAsia="宋体"/>
                <w:color w:val="000000"/>
                <w:kern w:val="0"/>
                <w:szCs w:val="21"/>
                <w:lang w:val="en-US"/>
              </w:rPr>
              <w:t>原厂证明材料或承诺函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704" w:type="dxa"/>
            <w:tcBorders>
              <w:tl2br w:val="nil"/>
              <w:tr2bl w:val="nil"/>
            </w:tcBorders>
            <w:shd w:val="clear" w:color="auto" w:fill="auto"/>
            <w:noWrap/>
            <w:vAlign w:val="center"/>
          </w:tcPr>
          <w:p>
            <w:pPr>
              <w:numPr>
                <w:ilvl w:val="0"/>
                <w:numId w:val="64"/>
              </w:numPr>
              <w:jc w:val="center"/>
              <w:rPr>
                <w:rFonts w:ascii="Times New Roman" w:hAnsi="Times New Roman" w:eastAsia="宋体"/>
                <w:color w:val="000000"/>
                <w:kern w:val="0"/>
                <w:szCs w:val="21"/>
                <w:lang w:val="en-US"/>
              </w:rPr>
            </w:pPr>
          </w:p>
        </w:tc>
        <w:tc>
          <w:tcPr>
            <w:tcW w:w="1417" w:type="dxa"/>
            <w:tcBorders>
              <w:tl2br w:val="nil"/>
              <w:tr2bl w:val="nil"/>
            </w:tcBorders>
            <w:shd w:val="clear" w:color="auto" w:fill="auto"/>
            <w:noWrap/>
            <w:vAlign w:val="center"/>
          </w:tcPr>
          <w:p>
            <w:pPr>
              <w:jc w:val="center"/>
              <w:rPr>
                <w:rFonts w:ascii="Times New Roman" w:hAnsi="Times New Roman" w:eastAsia="宋体"/>
                <w:color w:val="000000"/>
                <w:kern w:val="0"/>
                <w:szCs w:val="21"/>
                <w:lang w:val="en-US"/>
              </w:rPr>
            </w:pPr>
            <w:r>
              <w:rPr>
                <w:rFonts w:hint="eastAsia" w:ascii="Times New Roman" w:hAnsi="Times New Roman" w:eastAsia="宋体"/>
                <w:color w:val="000000"/>
                <w:kern w:val="0"/>
                <w:szCs w:val="21"/>
                <w:lang w:val="en-US"/>
              </w:rPr>
              <w:t>LPC谱计算</w:t>
            </w:r>
          </w:p>
        </w:tc>
        <w:tc>
          <w:tcPr>
            <w:tcW w:w="4111" w:type="dxa"/>
            <w:tcBorders>
              <w:tl2br w:val="nil"/>
              <w:tr2bl w:val="nil"/>
            </w:tcBorders>
            <w:shd w:val="clear" w:color="auto" w:fill="auto"/>
            <w:noWrap/>
            <w:vAlign w:val="center"/>
          </w:tcPr>
          <w:p>
            <w:pPr>
              <w:jc w:val="both"/>
              <w:rPr>
                <w:rFonts w:ascii="Times New Roman" w:hAnsi="Times New Roman" w:eastAsia="宋体"/>
                <w:color w:val="000000"/>
                <w:kern w:val="0"/>
                <w:szCs w:val="21"/>
                <w:lang w:val="en-US"/>
              </w:rPr>
            </w:pPr>
            <w:r>
              <w:rPr>
                <w:rFonts w:hint="eastAsia" w:ascii="Times New Roman" w:hAnsi="Times New Roman" w:eastAsia="宋体"/>
                <w:color w:val="000000"/>
                <w:kern w:val="0"/>
                <w:szCs w:val="21"/>
                <w:lang w:val="en-US"/>
              </w:rPr>
              <w:t>系统具有LPC谱分析显示功能，支持对语音进行短时或长时FFT谱/LPC谱的计算</w:t>
            </w:r>
          </w:p>
        </w:tc>
        <w:tc>
          <w:tcPr>
            <w:tcW w:w="1185" w:type="dxa"/>
            <w:tcBorders>
              <w:tl2br w:val="nil"/>
              <w:tr2bl w:val="nil"/>
            </w:tcBorders>
            <w:shd w:val="clear" w:color="auto" w:fill="auto"/>
            <w:vAlign w:val="center"/>
          </w:tcPr>
          <w:p>
            <w:pPr>
              <w:jc w:val="center"/>
              <w:rPr>
                <w:rFonts w:ascii="Times New Roman" w:hAnsi="Times New Roman" w:eastAsia="宋体"/>
                <w:color w:val="000000"/>
                <w:kern w:val="0"/>
                <w:szCs w:val="21"/>
                <w:lang w:val="en-US"/>
              </w:rPr>
            </w:pPr>
            <w:r>
              <w:rPr>
                <w:rFonts w:hint="eastAsia" w:ascii="Times New Roman" w:hAnsi="Times New Roman" w:eastAsia="宋体"/>
                <w:color w:val="000000"/>
                <w:kern w:val="0"/>
                <w:szCs w:val="21"/>
                <w:lang w:val="en-US"/>
              </w:rPr>
              <w:t>原厂证明材料或承诺函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704" w:type="dxa"/>
            <w:tcBorders>
              <w:tl2br w:val="nil"/>
              <w:tr2bl w:val="nil"/>
            </w:tcBorders>
            <w:shd w:val="clear" w:color="auto" w:fill="auto"/>
            <w:noWrap/>
            <w:vAlign w:val="center"/>
          </w:tcPr>
          <w:p>
            <w:pPr>
              <w:numPr>
                <w:ilvl w:val="0"/>
                <w:numId w:val="64"/>
              </w:numPr>
              <w:jc w:val="center"/>
              <w:rPr>
                <w:rFonts w:ascii="Times New Roman" w:hAnsi="Times New Roman" w:eastAsia="宋体"/>
                <w:color w:val="000000"/>
                <w:kern w:val="0"/>
                <w:szCs w:val="21"/>
                <w:lang w:val="en-US"/>
              </w:rPr>
            </w:pPr>
          </w:p>
        </w:tc>
        <w:tc>
          <w:tcPr>
            <w:tcW w:w="1417" w:type="dxa"/>
            <w:tcBorders>
              <w:tl2br w:val="nil"/>
              <w:tr2bl w:val="nil"/>
            </w:tcBorders>
            <w:shd w:val="clear" w:color="auto" w:fill="auto"/>
            <w:noWrap/>
            <w:vAlign w:val="center"/>
          </w:tcPr>
          <w:p>
            <w:pPr>
              <w:jc w:val="center"/>
              <w:rPr>
                <w:rFonts w:ascii="Times New Roman" w:hAnsi="Times New Roman" w:eastAsia="宋体"/>
                <w:color w:val="000000"/>
                <w:kern w:val="0"/>
                <w:szCs w:val="21"/>
                <w:lang w:val="en-US"/>
              </w:rPr>
            </w:pPr>
            <w:r>
              <w:rPr>
                <w:rFonts w:hint="eastAsia" w:ascii="Times New Roman" w:hAnsi="Times New Roman" w:eastAsia="宋体"/>
                <w:color w:val="000000"/>
                <w:kern w:val="0"/>
                <w:szCs w:val="21"/>
                <w:lang w:val="en-US"/>
              </w:rPr>
              <w:t>加窗类型</w:t>
            </w:r>
          </w:p>
        </w:tc>
        <w:tc>
          <w:tcPr>
            <w:tcW w:w="4111" w:type="dxa"/>
            <w:tcBorders>
              <w:tl2br w:val="nil"/>
              <w:tr2bl w:val="nil"/>
            </w:tcBorders>
            <w:shd w:val="clear" w:color="auto" w:fill="auto"/>
            <w:noWrap/>
            <w:vAlign w:val="center"/>
          </w:tcPr>
          <w:p>
            <w:pPr>
              <w:jc w:val="both"/>
              <w:rPr>
                <w:rFonts w:ascii="Times New Roman" w:hAnsi="Times New Roman" w:eastAsia="宋体"/>
                <w:color w:val="000000"/>
                <w:kern w:val="0"/>
                <w:szCs w:val="21"/>
                <w:lang w:val="en-US"/>
              </w:rPr>
            </w:pPr>
            <w:r>
              <w:rPr>
                <w:rFonts w:hint="eastAsia" w:ascii="Times New Roman" w:hAnsi="Times New Roman" w:eastAsia="宋体"/>
                <w:color w:val="000000"/>
                <w:kern w:val="0"/>
                <w:szCs w:val="21"/>
                <w:lang w:val="en-US"/>
              </w:rPr>
              <w:t>支持加窗类型选择，包括但不限于：Hamming、Hann、Bartlett、Blackman等</w:t>
            </w:r>
          </w:p>
        </w:tc>
        <w:tc>
          <w:tcPr>
            <w:tcW w:w="1185" w:type="dxa"/>
            <w:tcBorders>
              <w:tl2br w:val="nil"/>
              <w:tr2bl w:val="nil"/>
            </w:tcBorders>
            <w:shd w:val="clear" w:color="auto" w:fill="auto"/>
            <w:vAlign w:val="center"/>
          </w:tcPr>
          <w:p>
            <w:pPr>
              <w:jc w:val="center"/>
              <w:rPr>
                <w:rFonts w:ascii="Times New Roman" w:hAnsi="Times New Roman" w:eastAsia="宋体"/>
                <w:color w:val="000000"/>
                <w:kern w:val="0"/>
                <w:szCs w:val="21"/>
                <w:lang w:val="en-US"/>
              </w:rPr>
            </w:pPr>
            <w:r>
              <w:rPr>
                <w:rFonts w:hint="eastAsia" w:ascii="Times New Roman" w:hAnsi="Times New Roman" w:eastAsia="宋体"/>
                <w:color w:val="000000"/>
                <w:kern w:val="0"/>
                <w:szCs w:val="21"/>
                <w:lang w:val="en-US"/>
              </w:rPr>
              <w:t>原厂证明材料或承诺函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704" w:type="dxa"/>
            <w:tcBorders>
              <w:tl2br w:val="nil"/>
              <w:tr2bl w:val="nil"/>
            </w:tcBorders>
            <w:shd w:val="clear" w:color="auto" w:fill="auto"/>
            <w:noWrap/>
            <w:vAlign w:val="center"/>
          </w:tcPr>
          <w:p>
            <w:pPr>
              <w:numPr>
                <w:ilvl w:val="0"/>
                <w:numId w:val="64"/>
              </w:numPr>
              <w:jc w:val="center"/>
              <w:rPr>
                <w:rFonts w:ascii="Times New Roman" w:hAnsi="Times New Roman" w:eastAsia="宋体"/>
                <w:color w:val="000000"/>
                <w:kern w:val="0"/>
                <w:szCs w:val="21"/>
                <w:lang w:val="en-US"/>
              </w:rPr>
            </w:pPr>
          </w:p>
        </w:tc>
        <w:tc>
          <w:tcPr>
            <w:tcW w:w="1417" w:type="dxa"/>
            <w:tcBorders>
              <w:tl2br w:val="nil"/>
              <w:tr2bl w:val="nil"/>
            </w:tcBorders>
            <w:shd w:val="clear" w:color="auto" w:fill="auto"/>
            <w:noWrap/>
            <w:vAlign w:val="center"/>
          </w:tcPr>
          <w:p>
            <w:pPr>
              <w:jc w:val="center"/>
              <w:rPr>
                <w:rFonts w:ascii="Times New Roman" w:hAnsi="Times New Roman" w:eastAsia="宋体"/>
                <w:color w:val="000000"/>
                <w:kern w:val="0"/>
                <w:szCs w:val="21"/>
                <w:lang w:val="en-US"/>
              </w:rPr>
            </w:pPr>
            <w:r>
              <w:rPr>
                <w:rFonts w:hint="eastAsia" w:ascii="Times New Roman" w:hAnsi="Times New Roman" w:eastAsia="宋体"/>
                <w:szCs w:val="21"/>
              </w:rPr>
              <w:t>神经网络降噪</w:t>
            </w:r>
          </w:p>
        </w:tc>
        <w:tc>
          <w:tcPr>
            <w:tcW w:w="4111" w:type="dxa"/>
            <w:tcBorders>
              <w:tl2br w:val="nil"/>
              <w:tr2bl w:val="nil"/>
            </w:tcBorders>
            <w:shd w:val="clear" w:color="auto" w:fill="auto"/>
            <w:noWrap/>
          </w:tcPr>
          <w:p>
            <w:pPr>
              <w:spacing w:line="360" w:lineRule="auto"/>
              <w:rPr>
                <w:rFonts w:ascii="Times New Roman" w:hAnsi="Times New Roman" w:eastAsia="宋体"/>
                <w:szCs w:val="21"/>
              </w:rPr>
            </w:pPr>
            <w:r>
              <w:rPr>
                <w:rFonts w:hint="eastAsia" w:ascii="Times New Roman" w:hAnsi="Times New Roman" w:eastAsia="宋体"/>
                <w:szCs w:val="21"/>
              </w:rPr>
              <w:t>支持一键神经网络降噪功能</w:t>
            </w:r>
          </w:p>
        </w:tc>
        <w:tc>
          <w:tcPr>
            <w:tcW w:w="1185" w:type="dxa"/>
            <w:tcBorders>
              <w:tl2br w:val="nil"/>
              <w:tr2bl w:val="nil"/>
            </w:tcBorders>
            <w:shd w:val="clear" w:color="auto" w:fill="auto"/>
            <w:vAlign w:val="center"/>
          </w:tcPr>
          <w:p>
            <w:pPr>
              <w:jc w:val="center"/>
              <w:rPr>
                <w:rFonts w:ascii="Times New Roman" w:hAnsi="Times New Roman" w:eastAsia="宋体"/>
                <w:color w:val="000000"/>
                <w:kern w:val="0"/>
                <w:szCs w:val="21"/>
                <w:lang w:val="en-US"/>
              </w:rPr>
            </w:pPr>
            <w:r>
              <w:rPr>
                <w:rFonts w:hint="eastAsia" w:ascii="Times New Roman" w:hAnsi="Times New Roman" w:eastAsia="宋体"/>
                <w:color w:val="000000"/>
                <w:kern w:val="0"/>
                <w:szCs w:val="21"/>
                <w:lang w:val="en-US"/>
              </w:rPr>
              <w:t>原厂证明材料或承诺函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4" w:type="dxa"/>
            <w:tcBorders>
              <w:tl2br w:val="nil"/>
              <w:tr2bl w:val="nil"/>
            </w:tcBorders>
            <w:shd w:val="clear" w:color="auto" w:fill="auto"/>
            <w:noWrap/>
            <w:vAlign w:val="center"/>
          </w:tcPr>
          <w:p>
            <w:pPr>
              <w:numPr>
                <w:ilvl w:val="0"/>
                <w:numId w:val="64"/>
              </w:numPr>
              <w:jc w:val="center"/>
              <w:rPr>
                <w:rFonts w:ascii="Times New Roman" w:hAnsi="Times New Roman" w:eastAsia="宋体"/>
                <w:color w:val="000000"/>
                <w:kern w:val="0"/>
                <w:szCs w:val="21"/>
                <w:lang w:val="en-US"/>
              </w:rPr>
            </w:pPr>
          </w:p>
        </w:tc>
        <w:tc>
          <w:tcPr>
            <w:tcW w:w="1417" w:type="dxa"/>
            <w:tcBorders>
              <w:tl2br w:val="nil"/>
              <w:tr2bl w:val="nil"/>
            </w:tcBorders>
            <w:shd w:val="clear" w:color="auto" w:fill="auto"/>
            <w:noWrap/>
            <w:vAlign w:val="center"/>
          </w:tcPr>
          <w:p>
            <w:pPr>
              <w:jc w:val="center"/>
              <w:rPr>
                <w:rFonts w:ascii="Times New Roman" w:hAnsi="Times New Roman" w:eastAsia="宋体"/>
                <w:color w:val="000000"/>
                <w:kern w:val="0"/>
                <w:szCs w:val="21"/>
                <w:lang w:val="en-US"/>
              </w:rPr>
            </w:pPr>
            <w:r>
              <w:rPr>
                <w:rFonts w:hint="eastAsia" w:ascii="Times New Roman" w:hAnsi="Times New Roman" w:eastAsia="宋体"/>
                <w:szCs w:val="21"/>
              </w:rPr>
              <w:t>智能增益</w:t>
            </w:r>
          </w:p>
        </w:tc>
        <w:tc>
          <w:tcPr>
            <w:tcW w:w="4111" w:type="dxa"/>
            <w:tcBorders>
              <w:tl2br w:val="nil"/>
              <w:tr2bl w:val="nil"/>
            </w:tcBorders>
            <w:shd w:val="clear" w:color="auto" w:fill="auto"/>
            <w:noWrap/>
          </w:tcPr>
          <w:p>
            <w:pPr>
              <w:spacing w:line="360" w:lineRule="auto"/>
              <w:rPr>
                <w:rFonts w:ascii="Times New Roman" w:hAnsi="Times New Roman" w:eastAsia="宋体"/>
                <w:szCs w:val="21"/>
              </w:rPr>
            </w:pPr>
            <w:r>
              <w:rPr>
                <w:rFonts w:hint="eastAsia" w:ascii="Times New Roman" w:hAnsi="Times New Roman" w:eastAsia="宋体"/>
                <w:szCs w:val="21"/>
              </w:rPr>
              <w:t>支持0-100%范围可调</w:t>
            </w:r>
          </w:p>
        </w:tc>
        <w:tc>
          <w:tcPr>
            <w:tcW w:w="1185" w:type="dxa"/>
            <w:tcBorders>
              <w:tl2br w:val="nil"/>
              <w:tr2bl w:val="nil"/>
            </w:tcBorders>
            <w:shd w:val="clear" w:color="auto" w:fill="auto"/>
            <w:vAlign w:val="center"/>
          </w:tcPr>
          <w:p>
            <w:pPr>
              <w:jc w:val="center"/>
              <w:rPr>
                <w:rFonts w:ascii="Times New Roman" w:hAnsi="Times New Roman" w:eastAsia="宋体"/>
                <w:color w:val="000000"/>
                <w:kern w:val="0"/>
                <w:szCs w:val="21"/>
                <w:lang w:val="en-US"/>
              </w:rPr>
            </w:pPr>
            <w:r>
              <w:rPr>
                <w:rFonts w:hint="eastAsia" w:ascii="Times New Roman" w:hAnsi="Times New Roman" w:eastAsia="宋体"/>
                <w:color w:val="000000"/>
                <w:kern w:val="0"/>
                <w:szCs w:val="21"/>
                <w:lang w:val="en-US"/>
              </w:rPr>
              <w:t>原厂证明材料或承诺函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704" w:type="dxa"/>
            <w:tcBorders>
              <w:tl2br w:val="nil"/>
              <w:tr2bl w:val="nil"/>
            </w:tcBorders>
            <w:shd w:val="clear" w:color="auto" w:fill="auto"/>
            <w:noWrap/>
            <w:vAlign w:val="center"/>
          </w:tcPr>
          <w:p>
            <w:pPr>
              <w:numPr>
                <w:ilvl w:val="0"/>
                <w:numId w:val="64"/>
              </w:numPr>
              <w:jc w:val="center"/>
              <w:rPr>
                <w:rFonts w:ascii="Times New Roman" w:hAnsi="Times New Roman" w:eastAsia="宋体"/>
                <w:color w:val="000000"/>
                <w:kern w:val="0"/>
                <w:szCs w:val="21"/>
                <w:lang w:val="en-US"/>
              </w:rPr>
            </w:pPr>
          </w:p>
        </w:tc>
        <w:tc>
          <w:tcPr>
            <w:tcW w:w="1417" w:type="dxa"/>
            <w:tcBorders>
              <w:tl2br w:val="nil"/>
              <w:tr2bl w:val="nil"/>
            </w:tcBorders>
            <w:shd w:val="clear" w:color="auto" w:fill="auto"/>
            <w:noWrap/>
            <w:vAlign w:val="center"/>
          </w:tcPr>
          <w:p>
            <w:pPr>
              <w:jc w:val="center"/>
              <w:rPr>
                <w:rFonts w:ascii="Times New Roman" w:hAnsi="Times New Roman" w:eastAsia="宋体"/>
                <w:color w:val="000000"/>
                <w:kern w:val="0"/>
                <w:szCs w:val="21"/>
                <w:lang w:val="en-US"/>
              </w:rPr>
            </w:pPr>
            <w:r>
              <w:rPr>
                <w:rFonts w:hint="eastAsia" w:ascii="Times New Roman" w:hAnsi="Times New Roman" w:eastAsia="宋体"/>
                <w:szCs w:val="21"/>
              </w:rPr>
              <w:t>能量调整</w:t>
            </w:r>
          </w:p>
        </w:tc>
        <w:tc>
          <w:tcPr>
            <w:tcW w:w="4111" w:type="dxa"/>
            <w:tcBorders>
              <w:tl2br w:val="nil"/>
              <w:tr2bl w:val="nil"/>
            </w:tcBorders>
            <w:shd w:val="clear" w:color="auto" w:fill="auto"/>
            <w:noWrap/>
          </w:tcPr>
          <w:p>
            <w:pPr>
              <w:spacing w:line="360" w:lineRule="auto"/>
              <w:rPr>
                <w:rFonts w:ascii="Times New Roman" w:hAnsi="Times New Roman" w:eastAsia="宋体"/>
                <w:szCs w:val="21"/>
              </w:rPr>
            </w:pPr>
            <w:r>
              <w:rPr>
                <w:rFonts w:hint="eastAsia" w:ascii="Times New Roman" w:hAnsi="Times New Roman" w:eastAsia="宋体"/>
                <w:szCs w:val="21"/>
              </w:rPr>
              <w:t>支持在-20至20dB范围内自定义调节增益参数</w:t>
            </w:r>
          </w:p>
        </w:tc>
        <w:tc>
          <w:tcPr>
            <w:tcW w:w="1185" w:type="dxa"/>
            <w:tcBorders>
              <w:tl2br w:val="nil"/>
              <w:tr2bl w:val="nil"/>
            </w:tcBorders>
            <w:shd w:val="clear" w:color="auto" w:fill="auto"/>
            <w:vAlign w:val="center"/>
          </w:tcPr>
          <w:p>
            <w:pPr>
              <w:jc w:val="center"/>
              <w:rPr>
                <w:rFonts w:ascii="Times New Roman" w:hAnsi="Times New Roman" w:eastAsia="宋体"/>
                <w:color w:val="000000"/>
                <w:kern w:val="0"/>
                <w:szCs w:val="21"/>
                <w:lang w:val="en-US"/>
              </w:rPr>
            </w:pPr>
            <w:r>
              <w:rPr>
                <w:rFonts w:hint="eastAsia" w:ascii="Times New Roman" w:hAnsi="Times New Roman" w:eastAsia="宋体"/>
                <w:color w:val="000000"/>
                <w:kern w:val="0"/>
                <w:szCs w:val="21"/>
                <w:lang w:val="en-US"/>
              </w:rPr>
              <w:t>原厂证明材料或承诺函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704" w:type="dxa"/>
            <w:tcBorders>
              <w:tl2br w:val="nil"/>
              <w:tr2bl w:val="nil"/>
            </w:tcBorders>
            <w:shd w:val="clear" w:color="auto" w:fill="auto"/>
            <w:noWrap/>
            <w:vAlign w:val="center"/>
          </w:tcPr>
          <w:p>
            <w:pPr>
              <w:numPr>
                <w:ilvl w:val="0"/>
                <w:numId w:val="64"/>
              </w:numPr>
              <w:jc w:val="center"/>
              <w:rPr>
                <w:rFonts w:ascii="Times New Roman" w:hAnsi="Times New Roman" w:eastAsia="宋体"/>
                <w:color w:val="000000"/>
                <w:kern w:val="0"/>
                <w:szCs w:val="21"/>
                <w:lang w:val="en-US"/>
              </w:rPr>
            </w:pPr>
          </w:p>
        </w:tc>
        <w:tc>
          <w:tcPr>
            <w:tcW w:w="1417" w:type="dxa"/>
            <w:tcBorders>
              <w:tl2br w:val="nil"/>
              <w:tr2bl w:val="nil"/>
            </w:tcBorders>
            <w:shd w:val="clear" w:color="auto" w:fill="auto"/>
            <w:noWrap/>
            <w:vAlign w:val="center"/>
          </w:tcPr>
          <w:p>
            <w:pPr>
              <w:jc w:val="center"/>
              <w:rPr>
                <w:rFonts w:ascii="Times New Roman" w:hAnsi="Times New Roman" w:eastAsia="宋体"/>
                <w:color w:val="000000"/>
                <w:kern w:val="0"/>
                <w:szCs w:val="21"/>
                <w:lang w:val="en-US"/>
              </w:rPr>
            </w:pPr>
            <w:r>
              <w:rPr>
                <w:rFonts w:hint="eastAsia" w:ascii="Times New Roman" w:hAnsi="Times New Roman" w:eastAsia="宋体"/>
                <w:szCs w:val="21"/>
              </w:rPr>
              <w:t>维纳滤波降噪</w:t>
            </w:r>
          </w:p>
        </w:tc>
        <w:tc>
          <w:tcPr>
            <w:tcW w:w="4111" w:type="dxa"/>
            <w:tcBorders>
              <w:tl2br w:val="nil"/>
              <w:tr2bl w:val="nil"/>
            </w:tcBorders>
            <w:shd w:val="clear" w:color="auto" w:fill="auto"/>
            <w:noWrap/>
          </w:tcPr>
          <w:p>
            <w:pPr>
              <w:spacing w:line="360" w:lineRule="auto"/>
              <w:rPr>
                <w:rFonts w:ascii="Times New Roman" w:hAnsi="Times New Roman" w:eastAsia="宋体"/>
                <w:szCs w:val="21"/>
              </w:rPr>
            </w:pPr>
            <w:r>
              <w:rPr>
                <w:rFonts w:hint="eastAsia" w:ascii="Times New Roman" w:hAnsi="Times New Roman" w:eastAsia="宋体"/>
                <w:szCs w:val="21"/>
              </w:rPr>
              <w:t>至少提供极强、强、中和弱四个降噪等级可选项</w:t>
            </w:r>
          </w:p>
        </w:tc>
        <w:tc>
          <w:tcPr>
            <w:tcW w:w="1185" w:type="dxa"/>
            <w:tcBorders>
              <w:tl2br w:val="nil"/>
              <w:tr2bl w:val="nil"/>
            </w:tcBorders>
            <w:shd w:val="clear" w:color="auto" w:fill="auto"/>
            <w:vAlign w:val="center"/>
          </w:tcPr>
          <w:p>
            <w:pPr>
              <w:jc w:val="center"/>
              <w:rPr>
                <w:rFonts w:ascii="Times New Roman" w:hAnsi="Times New Roman" w:eastAsia="宋体"/>
                <w:color w:val="000000"/>
                <w:kern w:val="0"/>
                <w:szCs w:val="21"/>
                <w:lang w:val="en-US"/>
              </w:rPr>
            </w:pPr>
            <w:r>
              <w:rPr>
                <w:rFonts w:hint="eastAsia" w:ascii="Times New Roman" w:hAnsi="Times New Roman" w:eastAsia="宋体"/>
                <w:color w:val="000000"/>
                <w:kern w:val="0"/>
                <w:szCs w:val="21"/>
                <w:lang w:val="en-US"/>
              </w:rPr>
              <w:t>原厂证明材料或承诺函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704" w:type="dxa"/>
            <w:tcBorders>
              <w:tl2br w:val="nil"/>
              <w:tr2bl w:val="nil"/>
            </w:tcBorders>
            <w:shd w:val="clear" w:color="auto" w:fill="auto"/>
            <w:noWrap/>
            <w:vAlign w:val="center"/>
          </w:tcPr>
          <w:p>
            <w:pPr>
              <w:numPr>
                <w:ilvl w:val="0"/>
                <w:numId w:val="64"/>
              </w:numPr>
              <w:jc w:val="center"/>
              <w:rPr>
                <w:rFonts w:ascii="Times New Roman" w:hAnsi="Times New Roman" w:eastAsia="宋体"/>
                <w:color w:val="000000"/>
                <w:kern w:val="0"/>
                <w:szCs w:val="21"/>
                <w:lang w:val="en-US"/>
              </w:rPr>
            </w:pPr>
          </w:p>
        </w:tc>
        <w:tc>
          <w:tcPr>
            <w:tcW w:w="1417" w:type="dxa"/>
            <w:tcBorders>
              <w:tl2br w:val="nil"/>
              <w:tr2bl w:val="nil"/>
            </w:tcBorders>
            <w:shd w:val="clear" w:color="auto" w:fill="auto"/>
            <w:noWrap/>
            <w:vAlign w:val="center"/>
          </w:tcPr>
          <w:p>
            <w:pPr>
              <w:jc w:val="center"/>
              <w:rPr>
                <w:rFonts w:ascii="Times New Roman" w:hAnsi="Times New Roman" w:eastAsia="宋体"/>
                <w:color w:val="000000"/>
                <w:kern w:val="0"/>
                <w:szCs w:val="21"/>
                <w:lang w:val="en-US"/>
              </w:rPr>
            </w:pPr>
            <w:r>
              <w:rPr>
                <w:rFonts w:hint="eastAsia" w:ascii="Times New Roman" w:hAnsi="Times New Roman" w:eastAsia="宋体"/>
                <w:szCs w:val="21"/>
                <w:lang w:val="en-US"/>
              </w:rPr>
              <w:t>采样降噪</w:t>
            </w:r>
          </w:p>
        </w:tc>
        <w:tc>
          <w:tcPr>
            <w:tcW w:w="4111" w:type="dxa"/>
            <w:tcBorders>
              <w:tl2br w:val="nil"/>
              <w:tr2bl w:val="nil"/>
            </w:tcBorders>
            <w:shd w:val="clear" w:color="auto" w:fill="auto"/>
            <w:noWrap/>
          </w:tcPr>
          <w:p>
            <w:pPr>
              <w:spacing w:line="360" w:lineRule="auto"/>
              <w:rPr>
                <w:rFonts w:ascii="Times New Roman" w:hAnsi="Times New Roman" w:eastAsia="宋体"/>
                <w:szCs w:val="21"/>
                <w:lang w:val="en-US"/>
              </w:rPr>
            </w:pPr>
            <w:r>
              <w:rPr>
                <w:rFonts w:hint="eastAsia" w:ascii="Times New Roman" w:hAnsi="Times New Roman" w:eastAsia="宋体"/>
                <w:szCs w:val="21"/>
                <w:lang w:val="en-US"/>
              </w:rPr>
              <w:t>支持对音频中的噪声进行标记，再根据标记内容对音频中的相同噪声进行谱减</w:t>
            </w:r>
          </w:p>
        </w:tc>
        <w:tc>
          <w:tcPr>
            <w:tcW w:w="1185" w:type="dxa"/>
            <w:tcBorders>
              <w:tl2br w:val="nil"/>
              <w:tr2bl w:val="nil"/>
            </w:tcBorders>
            <w:shd w:val="clear" w:color="auto" w:fill="auto"/>
            <w:vAlign w:val="center"/>
          </w:tcPr>
          <w:p>
            <w:pPr>
              <w:jc w:val="center"/>
              <w:rPr>
                <w:rFonts w:ascii="Times New Roman" w:hAnsi="Times New Roman" w:eastAsia="宋体"/>
                <w:color w:val="000000"/>
                <w:kern w:val="0"/>
                <w:szCs w:val="21"/>
                <w:lang w:val="en-US"/>
              </w:rPr>
            </w:pPr>
            <w:r>
              <w:rPr>
                <w:rFonts w:hint="eastAsia" w:ascii="Times New Roman" w:hAnsi="Times New Roman" w:eastAsia="宋体"/>
                <w:color w:val="000000"/>
                <w:kern w:val="0"/>
                <w:szCs w:val="21"/>
                <w:lang w:val="en-US"/>
              </w:rPr>
              <w:t>原厂证明材料或承诺函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704" w:type="dxa"/>
            <w:tcBorders>
              <w:tl2br w:val="nil"/>
              <w:tr2bl w:val="nil"/>
            </w:tcBorders>
            <w:shd w:val="clear" w:color="auto" w:fill="auto"/>
            <w:noWrap/>
            <w:vAlign w:val="center"/>
          </w:tcPr>
          <w:p>
            <w:pPr>
              <w:numPr>
                <w:ilvl w:val="0"/>
                <w:numId w:val="64"/>
              </w:numPr>
              <w:jc w:val="center"/>
              <w:rPr>
                <w:rFonts w:ascii="Times New Roman" w:hAnsi="Times New Roman" w:eastAsia="宋体"/>
                <w:color w:val="000000"/>
                <w:kern w:val="0"/>
                <w:szCs w:val="21"/>
                <w:lang w:val="en-US"/>
              </w:rPr>
            </w:pPr>
          </w:p>
        </w:tc>
        <w:tc>
          <w:tcPr>
            <w:tcW w:w="1417" w:type="dxa"/>
            <w:tcBorders>
              <w:tl2br w:val="nil"/>
              <w:tr2bl w:val="nil"/>
            </w:tcBorders>
            <w:shd w:val="clear" w:color="auto" w:fill="auto"/>
            <w:noWrap/>
            <w:vAlign w:val="center"/>
          </w:tcPr>
          <w:p>
            <w:pPr>
              <w:jc w:val="center"/>
              <w:rPr>
                <w:rFonts w:ascii="Times New Roman" w:hAnsi="Times New Roman" w:eastAsia="宋体"/>
                <w:color w:val="000000"/>
                <w:kern w:val="0"/>
                <w:szCs w:val="21"/>
                <w:lang w:val="en-US"/>
              </w:rPr>
            </w:pPr>
            <w:r>
              <w:rPr>
                <w:rFonts w:hint="eastAsia" w:ascii="Times New Roman" w:hAnsi="Times New Roman" w:eastAsia="宋体"/>
                <w:szCs w:val="21"/>
                <w:lang w:val="en-US"/>
              </w:rPr>
              <w:t>声纹比对</w:t>
            </w:r>
          </w:p>
        </w:tc>
        <w:tc>
          <w:tcPr>
            <w:tcW w:w="4111" w:type="dxa"/>
            <w:tcBorders>
              <w:tl2br w:val="nil"/>
              <w:tr2bl w:val="nil"/>
            </w:tcBorders>
            <w:shd w:val="clear" w:color="auto" w:fill="auto"/>
            <w:noWrap/>
          </w:tcPr>
          <w:p>
            <w:pPr>
              <w:spacing w:line="360" w:lineRule="auto"/>
              <w:rPr>
                <w:rFonts w:ascii="Times New Roman" w:hAnsi="Times New Roman" w:eastAsia="宋体"/>
                <w:szCs w:val="21"/>
                <w:lang w:val="en-US"/>
              </w:rPr>
            </w:pPr>
            <w:r>
              <w:rPr>
                <w:rFonts w:ascii="Times New Roman" w:hAnsi="Times New Roman" w:eastAsia="宋体"/>
                <w:szCs w:val="21"/>
                <w:lang w:val="en-US"/>
              </w:rPr>
              <w:t>支持音频声纹比对功能</w:t>
            </w:r>
          </w:p>
        </w:tc>
        <w:tc>
          <w:tcPr>
            <w:tcW w:w="1185" w:type="dxa"/>
            <w:tcBorders>
              <w:tl2br w:val="nil"/>
              <w:tr2bl w:val="nil"/>
            </w:tcBorders>
            <w:shd w:val="clear" w:color="auto" w:fill="auto"/>
            <w:vAlign w:val="center"/>
          </w:tcPr>
          <w:p>
            <w:pPr>
              <w:jc w:val="center"/>
              <w:rPr>
                <w:rFonts w:ascii="Times New Roman" w:hAnsi="Times New Roman" w:eastAsia="宋体"/>
                <w:color w:val="000000"/>
                <w:kern w:val="0"/>
                <w:szCs w:val="21"/>
                <w:lang w:val="en-US"/>
              </w:rPr>
            </w:pPr>
            <w:r>
              <w:rPr>
                <w:rFonts w:hint="eastAsia" w:ascii="Times New Roman" w:hAnsi="Times New Roman" w:eastAsia="宋体"/>
                <w:color w:val="000000"/>
                <w:kern w:val="0"/>
                <w:szCs w:val="21"/>
                <w:lang w:val="en-US"/>
              </w:rPr>
              <w:t>原厂证明材料或承诺函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704" w:type="dxa"/>
            <w:tcBorders>
              <w:tl2br w:val="nil"/>
              <w:tr2bl w:val="nil"/>
            </w:tcBorders>
            <w:shd w:val="clear" w:color="auto" w:fill="auto"/>
            <w:noWrap/>
            <w:vAlign w:val="center"/>
          </w:tcPr>
          <w:p>
            <w:pPr>
              <w:numPr>
                <w:ilvl w:val="0"/>
                <w:numId w:val="64"/>
              </w:numPr>
              <w:jc w:val="center"/>
              <w:rPr>
                <w:rFonts w:ascii="Times New Roman" w:hAnsi="Times New Roman" w:eastAsia="宋体"/>
                <w:color w:val="000000"/>
                <w:kern w:val="0"/>
                <w:szCs w:val="21"/>
                <w:lang w:val="en-US"/>
              </w:rPr>
            </w:pPr>
          </w:p>
        </w:tc>
        <w:tc>
          <w:tcPr>
            <w:tcW w:w="1417" w:type="dxa"/>
            <w:tcBorders>
              <w:tl2br w:val="nil"/>
              <w:tr2bl w:val="nil"/>
            </w:tcBorders>
            <w:shd w:val="clear" w:color="auto" w:fill="auto"/>
            <w:noWrap/>
            <w:vAlign w:val="center"/>
          </w:tcPr>
          <w:p>
            <w:pPr>
              <w:jc w:val="center"/>
              <w:rPr>
                <w:rFonts w:ascii="Times New Roman" w:hAnsi="Times New Roman" w:eastAsia="宋体"/>
                <w:color w:val="000000"/>
                <w:kern w:val="0"/>
                <w:szCs w:val="21"/>
                <w:lang w:val="en-US"/>
              </w:rPr>
            </w:pPr>
            <w:r>
              <w:rPr>
                <w:rFonts w:hint="eastAsia" w:ascii="Times New Roman" w:hAnsi="Times New Roman" w:eastAsia="宋体"/>
                <w:szCs w:val="21"/>
              </w:rPr>
              <w:t>鉴定报告</w:t>
            </w:r>
          </w:p>
        </w:tc>
        <w:tc>
          <w:tcPr>
            <w:tcW w:w="4111" w:type="dxa"/>
            <w:tcBorders>
              <w:tl2br w:val="nil"/>
              <w:tr2bl w:val="nil"/>
            </w:tcBorders>
            <w:shd w:val="clear" w:color="auto" w:fill="auto"/>
            <w:noWrap/>
            <w:vAlign w:val="center"/>
          </w:tcPr>
          <w:p>
            <w:pPr>
              <w:jc w:val="both"/>
              <w:rPr>
                <w:rFonts w:ascii="Times New Roman" w:hAnsi="Times New Roman" w:eastAsia="宋体"/>
                <w:kern w:val="0"/>
                <w:szCs w:val="21"/>
                <w:lang w:val="en-US"/>
              </w:rPr>
            </w:pPr>
            <w:r>
              <w:rPr>
                <w:rFonts w:hint="eastAsia" w:ascii="Times New Roman" w:hAnsi="Times New Roman" w:eastAsia="宋体"/>
                <w:szCs w:val="21"/>
              </w:rPr>
              <w:t>支持检验记录及鉴定意见预览或导出</w:t>
            </w:r>
          </w:p>
        </w:tc>
        <w:tc>
          <w:tcPr>
            <w:tcW w:w="1185" w:type="dxa"/>
            <w:tcBorders>
              <w:tl2br w:val="nil"/>
              <w:tr2bl w:val="nil"/>
            </w:tcBorders>
            <w:shd w:val="clear" w:color="auto" w:fill="auto"/>
            <w:vAlign w:val="center"/>
          </w:tcPr>
          <w:p>
            <w:pPr>
              <w:jc w:val="center"/>
              <w:rPr>
                <w:rFonts w:ascii="Times New Roman" w:hAnsi="Times New Roman" w:eastAsia="宋体"/>
                <w:color w:val="000000"/>
                <w:kern w:val="0"/>
                <w:szCs w:val="21"/>
                <w:lang w:val="en-US"/>
              </w:rPr>
            </w:pPr>
            <w:r>
              <w:rPr>
                <w:rFonts w:hint="eastAsia" w:ascii="Times New Roman" w:hAnsi="Times New Roman" w:eastAsia="宋体"/>
                <w:color w:val="000000"/>
                <w:kern w:val="0"/>
                <w:szCs w:val="21"/>
                <w:lang w:val="en-US"/>
              </w:rPr>
              <w:t>原厂证明材料或承诺函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704" w:type="dxa"/>
            <w:tcBorders>
              <w:tl2br w:val="nil"/>
              <w:tr2bl w:val="nil"/>
            </w:tcBorders>
            <w:shd w:val="clear" w:color="auto" w:fill="auto"/>
            <w:noWrap/>
            <w:vAlign w:val="center"/>
          </w:tcPr>
          <w:p>
            <w:pPr>
              <w:numPr>
                <w:ilvl w:val="0"/>
                <w:numId w:val="64"/>
              </w:numPr>
              <w:jc w:val="center"/>
              <w:rPr>
                <w:rFonts w:ascii="Times New Roman" w:hAnsi="Times New Roman" w:eastAsia="宋体"/>
                <w:color w:val="000000"/>
                <w:kern w:val="0"/>
                <w:szCs w:val="21"/>
                <w:lang w:val="en-US"/>
              </w:rPr>
            </w:pPr>
          </w:p>
        </w:tc>
        <w:tc>
          <w:tcPr>
            <w:tcW w:w="1417" w:type="dxa"/>
            <w:tcBorders>
              <w:tl2br w:val="nil"/>
              <w:tr2bl w:val="nil"/>
            </w:tcBorders>
            <w:shd w:val="clear" w:color="auto" w:fill="auto"/>
            <w:noWrap/>
            <w:vAlign w:val="center"/>
          </w:tcPr>
          <w:p>
            <w:pPr>
              <w:jc w:val="center"/>
              <w:rPr>
                <w:rFonts w:ascii="Times New Roman" w:hAnsi="Times New Roman" w:eastAsia="宋体"/>
                <w:szCs w:val="21"/>
              </w:rPr>
            </w:pPr>
            <w:r>
              <w:rPr>
                <w:rFonts w:hint="eastAsia" w:ascii="Times New Roman" w:hAnsi="Times New Roman" w:eastAsia="宋体"/>
                <w:szCs w:val="21"/>
              </w:rPr>
              <w:t>鉴定报告</w:t>
            </w:r>
          </w:p>
        </w:tc>
        <w:tc>
          <w:tcPr>
            <w:tcW w:w="4111" w:type="dxa"/>
            <w:tcBorders>
              <w:tl2br w:val="nil"/>
              <w:tr2bl w:val="nil"/>
            </w:tcBorders>
            <w:shd w:val="clear" w:color="auto" w:fill="auto"/>
            <w:noWrap/>
            <w:vAlign w:val="center"/>
          </w:tcPr>
          <w:p>
            <w:pPr>
              <w:jc w:val="both"/>
              <w:rPr>
                <w:rFonts w:ascii="Times New Roman" w:hAnsi="Times New Roman" w:eastAsia="宋体"/>
                <w:szCs w:val="21"/>
                <w:lang w:val="en-US"/>
              </w:rPr>
            </w:pPr>
            <w:r>
              <w:rPr>
                <w:rFonts w:hint="eastAsia" w:ascii="Times New Roman" w:hAnsi="Times New Roman" w:eastAsia="宋体"/>
                <w:szCs w:val="21"/>
                <w:lang w:val="en-US"/>
              </w:rPr>
              <w:t>提供《检验记录》模板，《检验记录》至少包括：基本信息、检材与样本、听觉检验、频谱比对、综合评断鉴定意见等</w:t>
            </w:r>
          </w:p>
        </w:tc>
        <w:tc>
          <w:tcPr>
            <w:tcW w:w="1185" w:type="dxa"/>
            <w:tcBorders>
              <w:tl2br w:val="nil"/>
              <w:tr2bl w:val="nil"/>
            </w:tcBorders>
            <w:shd w:val="clear" w:color="auto" w:fill="auto"/>
            <w:vAlign w:val="center"/>
          </w:tcPr>
          <w:p>
            <w:pPr>
              <w:jc w:val="center"/>
              <w:rPr>
                <w:rFonts w:ascii="Times New Roman" w:hAnsi="Times New Roman" w:eastAsia="宋体"/>
                <w:color w:val="000000"/>
                <w:kern w:val="0"/>
                <w:szCs w:val="21"/>
                <w:lang w:val="en-US"/>
              </w:rPr>
            </w:pPr>
            <w:r>
              <w:rPr>
                <w:rFonts w:hint="eastAsia" w:ascii="Times New Roman" w:hAnsi="Times New Roman" w:eastAsia="宋体"/>
                <w:color w:val="000000"/>
                <w:kern w:val="0"/>
                <w:szCs w:val="21"/>
                <w:lang w:val="en-US"/>
              </w:rPr>
              <w:t>原厂证明材料或承诺函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704" w:type="dxa"/>
            <w:tcBorders>
              <w:tl2br w:val="nil"/>
              <w:tr2bl w:val="nil"/>
            </w:tcBorders>
            <w:shd w:val="clear" w:color="auto" w:fill="auto"/>
            <w:noWrap/>
            <w:vAlign w:val="center"/>
          </w:tcPr>
          <w:p>
            <w:pPr>
              <w:numPr>
                <w:ilvl w:val="0"/>
                <w:numId w:val="64"/>
              </w:numPr>
              <w:jc w:val="center"/>
              <w:rPr>
                <w:rFonts w:ascii="Times New Roman" w:hAnsi="Times New Roman" w:eastAsia="宋体"/>
                <w:color w:val="000000"/>
                <w:kern w:val="0"/>
                <w:szCs w:val="21"/>
                <w:lang w:val="en-US"/>
              </w:rPr>
            </w:pPr>
          </w:p>
        </w:tc>
        <w:tc>
          <w:tcPr>
            <w:tcW w:w="1417" w:type="dxa"/>
            <w:tcBorders>
              <w:tl2br w:val="nil"/>
              <w:tr2bl w:val="nil"/>
            </w:tcBorders>
            <w:shd w:val="clear" w:color="auto" w:fill="auto"/>
            <w:noWrap/>
            <w:vAlign w:val="center"/>
          </w:tcPr>
          <w:p>
            <w:pPr>
              <w:jc w:val="center"/>
              <w:rPr>
                <w:rFonts w:ascii="Times New Roman" w:hAnsi="Times New Roman" w:eastAsia="宋体"/>
                <w:szCs w:val="21"/>
              </w:rPr>
            </w:pPr>
            <w:r>
              <w:rPr>
                <w:rFonts w:hint="eastAsia" w:ascii="Times New Roman" w:hAnsi="Times New Roman" w:eastAsia="宋体"/>
                <w:szCs w:val="21"/>
              </w:rPr>
              <w:t>鉴定报告</w:t>
            </w:r>
          </w:p>
        </w:tc>
        <w:tc>
          <w:tcPr>
            <w:tcW w:w="4111" w:type="dxa"/>
            <w:tcBorders>
              <w:tl2br w:val="nil"/>
              <w:tr2bl w:val="nil"/>
            </w:tcBorders>
            <w:shd w:val="clear" w:color="auto" w:fill="auto"/>
            <w:noWrap/>
            <w:vAlign w:val="center"/>
          </w:tcPr>
          <w:p>
            <w:pPr>
              <w:jc w:val="both"/>
              <w:rPr>
                <w:rFonts w:ascii="Times New Roman" w:hAnsi="Times New Roman" w:eastAsia="宋体"/>
                <w:szCs w:val="21"/>
                <w:lang w:val="en-US"/>
              </w:rPr>
            </w:pPr>
            <w:r>
              <w:rPr>
                <w:rFonts w:hint="eastAsia" w:ascii="Times New Roman" w:hAnsi="Times New Roman" w:eastAsia="宋体"/>
                <w:szCs w:val="21"/>
                <w:lang w:val="en-US"/>
              </w:rPr>
              <w:t>支持导入分析比对、数据截图等内容，并最终生成word报告文档</w:t>
            </w:r>
          </w:p>
        </w:tc>
        <w:tc>
          <w:tcPr>
            <w:tcW w:w="1185" w:type="dxa"/>
            <w:tcBorders>
              <w:tl2br w:val="nil"/>
              <w:tr2bl w:val="nil"/>
            </w:tcBorders>
            <w:shd w:val="clear" w:color="auto" w:fill="auto"/>
            <w:vAlign w:val="center"/>
          </w:tcPr>
          <w:p>
            <w:pPr>
              <w:jc w:val="center"/>
              <w:rPr>
                <w:rFonts w:ascii="Times New Roman" w:hAnsi="Times New Roman" w:eastAsia="宋体"/>
                <w:color w:val="000000"/>
                <w:kern w:val="0"/>
                <w:szCs w:val="21"/>
                <w:lang w:val="en-US"/>
              </w:rPr>
            </w:pPr>
            <w:r>
              <w:rPr>
                <w:rFonts w:hint="eastAsia" w:ascii="Times New Roman" w:hAnsi="Times New Roman" w:eastAsia="宋体"/>
                <w:color w:val="000000"/>
                <w:kern w:val="0"/>
                <w:szCs w:val="21"/>
                <w:lang w:val="en-US"/>
              </w:rPr>
              <w:t>原厂证明材料或承诺函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704" w:type="dxa"/>
            <w:tcBorders>
              <w:tl2br w:val="nil"/>
              <w:tr2bl w:val="nil"/>
            </w:tcBorders>
            <w:shd w:val="clear" w:color="auto" w:fill="auto"/>
            <w:noWrap/>
            <w:vAlign w:val="center"/>
          </w:tcPr>
          <w:p>
            <w:pPr>
              <w:numPr>
                <w:ilvl w:val="0"/>
                <w:numId w:val="64"/>
              </w:numPr>
              <w:jc w:val="center"/>
              <w:rPr>
                <w:rFonts w:ascii="Times New Roman" w:hAnsi="Times New Roman" w:eastAsia="宋体"/>
                <w:color w:val="000000"/>
                <w:kern w:val="0"/>
                <w:szCs w:val="21"/>
                <w:lang w:val="en-US"/>
              </w:rPr>
            </w:pPr>
          </w:p>
        </w:tc>
        <w:tc>
          <w:tcPr>
            <w:tcW w:w="1417" w:type="dxa"/>
            <w:tcBorders>
              <w:tl2br w:val="nil"/>
              <w:tr2bl w:val="nil"/>
            </w:tcBorders>
            <w:shd w:val="clear" w:color="auto" w:fill="auto"/>
            <w:noWrap/>
            <w:vAlign w:val="center"/>
          </w:tcPr>
          <w:p>
            <w:pPr>
              <w:jc w:val="center"/>
              <w:rPr>
                <w:rFonts w:hint="eastAsia" w:ascii="Times New Roman" w:hAnsi="Times New Roman" w:eastAsia="宋体"/>
                <w:color w:val="auto"/>
                <w:szCs w:val="21"/>
                <w:highlight w:val="none"/>
              </w:rPr>
            </w:pPr>
            <w:r>
              <w:rPr>
                <w:rFonts w:hint="eastAsia" w:ascii="Times New Roman" w:hAnsi="Times New Roman" w:eastAsia="宋体"/>
                <w:color w:val="auto"/>
                <w:szCs w:val="21"/>
                <w:highlight w:val="none"/>
                <w:lang w:val="en-US" w:eastAsia="zh-CN"/>
              </w:rPr>
              <w:t>音频对录仪</w:t>
            </w:r>
          </w:p>
        </w:tc>
        <w:tc>
          <w:tcPr>
            <w:tcW w:w="4111" w:type="dxa"/>
            <w:tcBorders>
              <w:tl2br w:val="nil"/>
              <w:tr2bl w:val="nil"/>
            </w:tcBorders>
            <w:shd w:val="clear" w:color="auto" w:fill="auto"/>
            <w:noWrap/>
            <w:vAlign w:val="center"/>
          </w:tcPr>
          <w:p>
            <w:pPr>
              <w:numPr>
                <w:ilvl w:val="0"/>
                <w:numId w:val="65"/>
              </w:numPr>
              <w:jc w:val="both"/>
              <w:rPr>
                <w:rFonts w:hint="eastAsia" w:ascii="Times New Roman" w:hAnsi="Times New Roman" w:eastAsia="宋体"/>
                <w:color w:val="auto"/>
                <w:szCs w:val="21"/>
                <w:highlight w:val="none"/>
                <w:lang w:val="en-US" w:eastAsia="zh-CN"/>
              </w:rPr>
            </w:pPr>
            <w:r>
              <w:rPr>
                <w:rFonts w:hint="eastAsia" w:ascii="Times New Roman" w:hAnsi="Times New Roman" w:eastAsia="宋体"/>
                <w:color w:val="auto"/>
                <w:szCs w:val="21"/>
                <w:highlight w:val="none"/>
                <w:lang w:val="en-US" w:eastAsia="zh-CN"/>
              </w:rPr>
              <w:t>监听功能：支持对微信、QQ等社交通讯APP实时通话语音进行实时监听，且拨打/接听过程中通话不受影响，可同步监听并采集语音数据；</w:t>
            </w:r>
          </w:p>
          <w:p>
            <w:pPr>
              <w:numPr>
                <w:ilvl w:val="0"/>
                <w:numId w:val="65"/>
              </w:numPr>
              <w:jc w:val="both"/>
              <w:rPr>
                <w:rFonts w:hint="eastAsia" w:ascii="Times New Roman" w:hAnsi="Times New Roman" w:eastAsia="宋体"/>
                <w:color w:val="auto"/>
                <w:szCs w:val="21"/>
                <w:highlight w:val="none"/>
                <w:lang w:val="en-US"/>
              </w:rPr>
            </w:pPr>
            <w:r>
              <w:rPr>
                <w:rFonts w:hint="eastAsia" w:ascii="Times New Roman" w:hAnsi="Times New Roman" w:eastAsia="宋体"/>
                <w:color w:val="auto"/>
                <w:szCs w:val="21"/>
                <w:highlight w:val="none"/>
                <w:lang w:val="en-US"/>
              </w:rPr>
              <w:t>有线转录：支持通过有线方式无损转录音频设备中的语音数据，音量可调节，支持文件导出，支持文件名称可编辑，快速转录语音数据到电脑或本设备</w:t>
            </w:r>
            <w:r>
              <w:rPr>
                <w:rFonts w:hint="eastAsia" w:ascii="Times New Roman" w:hAnsi="Times New Roman" w:eastAsia="宋体"/>
                <w:color w:val="auto"/>
                <w:szCs w:val="21"/>
                <w:highlight w:val="none"/>
                <w:lang w:val="en-US" w:eastAsia="zh-CN"/>
              </w:rPr>
              <w:t>；</w:t>
            </w:r>
          </w:p>
          <w:p>
            <w:pPr>
              <w:numPr>
                <w:ilvl w:val="0"/>
                <w:numId w:val="65"/>
              </w:numPr>
              <w:jc w:val="both"/>
              <w:rPr>
                <w:rFonts w:hint="eastAsia" w:ascii="Times New Roman" w:hAnsi="Times New Roman" w:eastAsia="宋体"/>
                <w:color w:val="auto"/>
                <w:szCs w:val="21"/>
                <w:highlight w:val="none"/>
                <w:lang w:val="en-US"/>
              </w:rPr>
            </w:pPr>
            <w:r>
              <w:rPr>
                <w:rFonts w:hint="eastAsia" w:ascii="Times New Roman" w:hAnsi="Times New Roman" w:eastAsia="宋体"/>
                <w:color w:val="auto"/>
                <w:szCs w:val="21"/>
                <w:highlight w:val="none"/>
                <w:lang w:val="en-US"/>
              </w:rPr>
              <w:t>自适应采集算法：内置自适应算法，采集到的音频质量与原始音频基本一致</w:t>
            </w:r>
            <w:r>
              <w:rPr>
                <w:rFonts w:hint="eastAsia" w:ascii="Times New Roman" w:hAnsi="Times New Roman" w:eastAsia="宋体"/>
                <w:color w:val="auto"/>
                <w:szCs w:val="21"/>
                <w:highlight w:val="none"/>
                <w:lang w:val="en-US" w:eastAsia="zh-CN"/>
              </w:rPr>
              <w:t>；</w:t>
            </w:r>
          </w:p>
          <w:p>
            <w:pPr>
              <w:numPr>
                <w:ilvl w:val="0"/>
                <w:numId w:val="65"/>
              </w:numPr>
              <w:jc w:val="both"/>
              <w:rPr>
                <w:rFonts w:hint="eastAsia" w:ascii="Times New Roman" w:hAnsi="Times New Roman" w:eastAsia="宋体"/>
                <w:color w:val="auto"/>
                <w:szCs w:val="21"/>
                <w:highlight w:val="none"/>
                <w:lang w:val="en-US"/>
              </w:rPr>
            </w:pPr>
            <w:r>
              <w:rPr>
                <w:rFonts w:hint="eastAsia" w:ascii="Times New Roman" w:hAnsi="Times New Roman" w:eastAsia="宋体"/>
                <w:color w:val="auto"/>
                <w:szCs w:val="21"/>
                <w:highlight w:val="none"/>
                <w:lang w:val="en-US"/>
              </w:rPr>
              <w:t>集成化设计：内置不小于64GB大容量存储卡</w:t>
            </w:r>
            <w:r>
              <w:rPr>
                <w:rFonts w:hint="eastAsia" w:ascii="Times New Roman" w:hAnsi="Times New Roman" w:eastAsia="宋体"/>
                <w:color w:val="auto"/>
                <w:szCs w:val="21"/>
                <w:highlight w:val="none"/>
                <w:lang w:val="en-US" w:eastAsia="zh-CN"/>
              </w:rPr>
              <w:t>；</w:t>
            </w:r>
          </w:p>
          <w:p>
            <w:pPr>
              <w:numPr>
                <w:ilvl w:val="0"/>
                <w:numId w:val="65"/>
              </w:numPr>
              <w:jc w:val="both"/>
              <w:rPr>
                <w:rFonts w:hint="eastAsia" w:ascii="Times New Roman" w:hAnsi="Times New Roman" w:eastAsia="宋体"/>
                <w:color w:val="auto"/>
                <w:szCs w:val="21"/>
                <w:highlight w:val="none"/>
                <w:lang w:val="en-US"/>
              </w:rPr>
            </w:pPr>
            <w:r>
              <w:rPr>
                <w:rFonts w:hint="eastAsia" w:ascii="Times New Roman" w:hAnsi="Times New Roman" w:eastAsia="宋体"/>
                <w:color w:val="auto"/>
                <w:szCs w:val="21"/>
                <w:highlight w:val="none"/>
                <w:lang w:val="en-US"/>
              </w:rPr>
              <w:t>全触屏模式：配备不小于4寸全触屏操作界面</w:t>
            </w:r>
            <w:r>
              <w:rPr>
                <w:rFonts w:hint="eastAsia" w:ascii="Times New Roman" w:hAnsi="Times New Roman" w:eastAsia="宋体"/>
                <w:color w:val="auto"/>
                <w:szCs w:val="21"/>
                <w:highlight w:val="none"/>
                <w:lang w:val="en-US" w:eastAsia="zh-CN"/>
              </w:rPr>
              <w:t>；</w:t>
            </w:r>
          </w:p>
          <w:p>
            <w:pPr>
              <w:numPr>
                <w:ilvl w:val="0"/>
                <w:numId w:val="65"/>
              </w:numPr>
              <w:jc w:val="both"/>
              <w:rPr>
                <w:rFonts w:hint="eastAsia" w:ascii="Times New Roman" w:hAnsi="Times New Roman" w:eastAsia="宋体"/>
                <w:color w:val="auto"/>
                <w:szCs w:val="21"/>
                <w:highlight w:val="none"/>
                <w:lang w:val="en-US"/>
              </w:rPr>
            </w:pPr>
            <w:r>
              <w:rPr>
                <w:rFonts w:hint="eastAsia" w:ascii="Times New Roman" w:hAnsi="Times New Roman" w:eastAsia="宋体"/>
                <w:color w:val="auto"/>
                <w:szCs w:val="21"/>
                <w:highlight w:val="none"/>
                <w:lang w:val="en-US"/>
              </w:rPr>
              <w:t>音视频一键导入存储：支持音视频快速导入</w:t>
            </w:r>
            <w:r>
              <w:rPr>
                <w:rFonts w:hint="eastAsia" w:ascii="Times New Roman" w:hAnsi="Times New Roman" w:eastAsia="宋体"/>
                <w:color w:val="auto"/>
                <w:szCs w:val="21"/>
                <w:highlight w:val="none"/>
                <w:lang w:val="en-US" w:eastAsia="zh-CN"/>
              </w:rPr>
              <w:t>/导出</w:t>
            </w:r>
            <w:r>
              <w:rPr>
                <w:rFonts w:hint="eastAsia" w:ascii="Times New Roman" w:hAnsi="Times New Roman" w:eastAsia="宋体"/>
                <w:color w:val="auto"/>
                <w:szCs w:val="21"/>
                <w:highlight w:val="none"/>
                <w:lang w:val="en-US"/>
              </w:rPr>
              <w:t>与存储</w:t>
            </w:r>
            <w:r>
              <w:rPr>
                <w:rFonts w:hint="eastAsia" w:ascii="Times New Roman" w:hAnsi="Times New Roman" w:eastAsia="宋体"/>
                <w:color w:val="auto"/>
                <w:szCs w:val="21"/>
                <w:highlight w:val="none"/>
                <w:lang w:val="en-US" w:eastAsia="zh-CN"/>
              </w:rPr>
              <w:t>；</w:t>
            </w:r>
          </w:p>
          <w:p>
            <w:pPr>
              <w:numPr>
                <w:ilvl w:val="0"/>
                <w:numId w:val="65"/>
              </w:numPr>
              <w:jc w:val="both"/>
              <w:rPr>
                <w:rFonts w:hint="eastAsia" w:ascii="Times New Roman" w:hAnsi="Times New Roman" w:eastAsia="宋体"/>
                <w:color w:val="auto"/>
                <w:szCs w:val="21"/>
                <w:highlight w:val="none"/>
                <w:lang w:val="en-US"/>
              </w:rPr>
            </w:pPr>
            <w:r>
              <w:rPr>
                <w:rFonts w:hint="eastAsia" w:ascii="Times New Roman" w:hAnsi="Times New Roman" w:eastAsia="宋体"/>
                <w:color w:val="auto"/>
                <w:szCs w:val="21"/>
                <w:highlight w:val="none"/>
                <w:lang w:val="en-US"/>
              </w:rPr>
              <w:t>设备转录接口兼容TYPE-C、Lightning、3.5mm等标准接口</w:t>
            </w:r>
            <w:r>
              <w:rPr>
                <w:rFonts w:hint="eastAsia" w:ascii="Times New Roman" w:hAnsi="Times New Roman" w:eastAsia="宋体"/>
                <w:color w:val="auto"/>
                <w:szCs w:val="21"/>
                <w:highlight w:val="none"/>
                <w:lang w:val="en-US" w:eastAsia="zh-CN"/>
              </w:rPr>
              <w:t>；</w:t>
            </w:r>
          </w:p>
          <w:p>
            <w:pPr>
              <w:numPr>
                <w:ilvl w:val="0"/>
                <w:numId w:val="65"/>
              </w:numPr>
              <w:jc w:val="both"/>
              <w:rPr>
                <w:rFonts w:hint="eastAsia" w:ascii="Times New Roman" w:hAnsi="Times New Roman" w:eastAsia="宋体"/>
                <w:color w:val="auto"/>
                <w:szCs w:val="21"/>
                <w:highlight w:val="none"/>
                <w:lang w:val="en-US"/>
              </w:rPr>
            </w:pPr>
            <w:r>
              <w:rPr>
                <w:rFonts w:hint="eastAsia" w:ascii="Times New Roman" w:hAnsi="Times New Roman" w:eastAsia="宋体"/>
                <w:color w:val="auto"/>
                <w:szCs w:val="21"/>
                <w:highlight w:val="none"/>
                <w:lang w:val="en-US"/>
              </w:rPr>
              <w:t>支持对接多源数据处理工作站、智能声纹鉴定工作站等业务平</w:t>
            </w:r>
          </w:p>
        </w:tc>
        <w:tc>
          <w:tcPr>
            <w:tcW w:w="1185" w:type="dxa"/>
            <w:tcBorders>
              <w:tl2br w:val="nil"/>
              <w:tr2bl w:val="nil"/>
            </w:tcBorders>
            <w:shd w:val="clear" w:color="auto" w:fill="auto"/>
            <w:vAlign w:val="center"/>
          </w:tcPr>
          <w:p>
            <w:pPr>
              <w:jc w:val="center"/>
              <w:rPr>
                <w:rFonts w:hint="eastAsia" w:ascii="Times New Roman" w:hAnsi="Times New Roman" w:eastAsia="宋体"/>
                <w:color w:val="auto"/>
                <w:kern w:val="0"/>
                <w:szCs w:val="21"/>
                <w:highlight w:val="none"/>
                <w:lang w:val="en-US"/>
              </w:rPr>
            </w:pPr>
            <w:r>
              <w:rPr>
                <w:rFonts w:hint="eastAsia" w:ascii="Times New Roman" w:hAnsi="Times New Roman" w:eastAsia="宋体"/>
                <w:color w:val="auto"/>
                <w:kern w:val="0"/>
                <w:szCs w:val="21"/>
                <w:highlight w:val="none"/>
                <w:lang w:val="en-US"/>
              </w:rPr>
              <w:t>原厂证明材料或承诺函</w:t>
            </w:r>
          </w:p>
        </w:tc>
      </w:tr>
    </w:tbl>
    <w:p/>
    <w:p>
      <w:pPr>
        <w:pStyle w:val="4"/>
        <w:spacing w:before="156"/>
      </w:pPr>
      <w:r>
        <w:rPr>
          <w:rFonts w:hint="eastAsia"/>
        </w:rPr>
        <w:t>其他指标要求</w:t>
      </w:r>
    </w:p>
    <w:p>
      <w:pPr>
        <w:ind w:firstLine="420" w:firstLineChars="200"/>
        <w:rPr>
          <w:rFonts w:ascii="Times New Roman" w:hAnsi="Times New Roman" w:eastAsia="宋体"/>
          <w:szCs w:val="21"/>
        </w:rPr>
      </w:pPr>
      <w:r>
        <w:rPr>
          <w:rFonts w:ascii="Times New Roman" w:hAnsi="Times New Roman" w:eastAsia="宋体"/>
          <w:szCs w:val="21"/>
        </w:rPr>
        <w:t xml:space="preserve">指标按重要性分为 </w:t>
      </w:r>
      <w:r>
        <w:rPr>
          <w:rFonts w:ascii="Times New Roman" w:hAnsi="Times New Roman" w:eastAsia="宋体"/>
        </w:rPr>
        <w:t>“</w:t>
      </w:r>
      <w:r>
        <w:rPr>
          <w:rFonts w:ascii="Segoe UI Symbol" w:hAnsi="Segoe UI Symbol" w:eastAsia="宋体" w:cs="Segoe UI Symbol"/>
        </w:rPr>
        <w:t>★</w:t>
      </w:r>
      <w:r>
        <w:rPr>
          <w:rFonts w:ascii="Times New Roman" w:hAnsi="Times New Roman" w:eastAsia="宋体"/>
        </w:rPr>
        <w:t>”、</w:t>
      </w:r>
      <w:r>
        <w:rPr>
          <w:rFonts w:ascii="Times New Roman" w:hAnsi="Times New Roman" w:eastAsia="宋体"/>
          <w:szCs w:val="21"/>
        </w:rPr>
        <w:t>“▲”和一般无标示指标。</w:t>
      </w:r>
      <w:r>
        <w:rPr>
          <w:rFonts w:ascii="Times New Roman" w:hAnsi="Times New Roman" w:eastAsia="宋体"/>
        </w:rPr>
        <w:t>“</w:t>
      </w:r>
      <w:r>
        <w:rPr>
          <w:rFonts w:ascii="Segoe UI Symbol" w:hAnsi="Segoe UI Symbol" w:eastAsia="宋体" w:cs="Segoe UI Symbol"/>
        </w:rPr>
        <w:t>★</w:t>
      </w:r>
      <w:r>
        <w:rPr>
          <w:rFonts w:ascii="Times New Roman" w:hAnsi="Times New Roman" w:eastAsia="宋体"/>
        </w:rPr>
        <w:t>”代表关键指标，</w:t>
      </w:r>
      <w:r>
        <w:rPr>
          <w:rFonts w:ascii="Times New Roman" w:hAnsi="Times New Roman" w:eastAsia="宋体"/>
          <w:szCs w:val="21"/>
        </w:rPr>
        <w:t xml:space="preserve"> “▲”代表重要指标，无标识则表示一般指标项。</w:t>
      </w:r>
    </w:p>
    <w:p>
      <w:pPr>
        <w:pStyle w:val="5"/>
        <w:rPr>
          <w:rFonts w:hint="eastAsia" w:asciiTheme="minorEastAsia" w:hAnsiTheme="minorEastAsia" w:eastAsiaTheme="minorEastAsia" w:cstheme="minorEastAsia"/>
          <w:szCs w:val="21"/>
        </w:rPr>
      </w:pPr>
      <w:bookmarkStart w:id="113" w:name="_Toc20437"/>
      <w:bookmarkStart w:id="114" w:name="_Toc15382"/>
      <w:bookmarkStart w:id="115" w:name="_Toc19536"/>
      <w:bookmarkStart w:id="116" w:name="_Toc16531157"/>
      <w:bookmarkStart w:id="117" w:name="_Toc16333"/>
      <w:bookmarkStart w:id="118" w:name="_Toc16531383"/>
      <w:bookmarkStart w:id="119" w:name="_Hlk132728128"/>
      <w:r>
        <w:rPr>
          <w:rFonts w:hint="eastAsia" w:asciiTheme="minorEastAsia" w:hAnsiTheme="minorEastAsia" w:eastAsiaTheme="minorEastAsia" w:cstheme="minorEastAsia"/>
          <w:szCs w:val="21"/>
        </w:rPr>
        <w:t>第1包 手机取证塔</w:t>
      </w:r>
      <w:r>
        <w:rPr>
          <w:rFonts w:hint="default" w:ascii="Times New Roman" w:hAnsi="Times New Roman" w:cs="Times New Roman" w:eastAsiaTheme="minorEastAsia"/>
          <w:szCs w:val="21"/>
        </w:rPr>
        <w:t>Ⅰ</w:t>
      </w:r>
    </w:p>
    <w:tbl>
      <w:tblPr>
        <w:tblStyle w:val="8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2"/>
        <w:gridCol w:w="878"/>
        <w:gridCol w:w="985"/>
        <w:gridCol w:w="3857"/>
        <w:gridCol w:w="2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43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序号</w:t>
            </w:r>
          </w:p>
        </w:tc>
        <w:tc>
          <w:tcPr>
            <w:tcW w:w="51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重要性</w:t>
            </w:r>
          </w:p>
        </w:tc>
        <w:tc>
          <w:tcPr>
            <w:tcW w:w="57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指标项</w:t>
            </w:r>
          </w:p>
        </w:tc>
        <w:tc>
          <w:tcPr>
            <w:tcW w:w="226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指标要求</w:t>
            </w:r>
          </w:p>
        </w:tc>
        <w:tc>
          <w:tcPr>
            <w:tcW w:w="121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证明材料要求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51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kern w:val="0"/>
                <w:szCs w:val="21"/>
                <w:lang w:bidi="ar"/>
              </w:rPr>
              <w:t>▲</w:t>
            </w:r>
          </w:p>
        </w:tc>
        <w:tc>
          <w:tcPr>
            <w:tcW w:w="578"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并行能力</w:t>
            </w:r>
          </w:p>
        </w:tc>
        <w:tc>
          <w:tcPr>
            <w:tcW w:w="226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kern w:val="0"/>
                <w:szCs w:val="21"/>
              </w:rPr>
            </w:pPr>
            <w:r>
              <w:rPr>
                <w:rFonts w:hint="eastAsia" w:asciiTheme="minorEastAsia" w:hAnsiTheme="minorEastAsia" w:eastAsiaTheme="minorEastAsia" w:cstheme="minorEastAsia"/>
                <w:bCs/>
                <w:szCs w:val="21"/>
                <w:lang w:bidi="ar"/>
              </w:rPr>
              <w:t>支持不低于15路手机取证，至少包括12路直连取证和3路Wi-Fi取证</w:t>
            </w:r>
          </w:p>
        </w:tc>
        <w:tc>
          <w:tcPr>
            <w:tcW w:w="1213"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szCs w:val="21"/>
                <w:lang w:bidi="ar"/>
              </w:rPr>
              <w:t>产品合格证/官方网站截图/白皮书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51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p>
        </w:tc>
        <w:tc>
          <w:tcPr>
            <w:tcW w:w="57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取证能力</w:t>
            </w:r>
          </w:p>
        </w:tc>
        <w:tc>
          <w:tcPr>
            <w:tcW w:w="226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支持不少于以下4种操作方式，包括对手机取证案件的新建、编辑、删除、导入、导出等功能，支持对取证结果进行数据排重、特殊号码过滤等；支持自定义取证策略，实现同一个案件同一个取证策略</w:t>
            </w:r>
          </w:p>
        </w:tc>
        <w:tc>
          <w:tcPr>
            <w:tcW w:w="1213"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51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p>
        </w:tc>
        <w:tc>
          <w:tcPr>
            <w:tcW w:w="57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226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支持列表、会话等方式的数据浏览，支持不少于3种包括对语音、视频、图片等多媒体文件直接播放，红包、分享链接、转账等直观展示，微信、QQ、支付宝等资金往来数据单独归类</w:t>
            </w:r>
          </w:p>
        </w:tc>
        <w:tc>
          <w:tcPr>
            <w:tcW w:w="1213"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51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p>
        </w:tc>
        <w:tc>
          <w:tcPr>
            <w:tcW w:w="57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226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支持不少于3种报告的支持方式，包括对多关键字搜索、时间段搜索、搜索结果溯源以及导出搜索报告；支持对数据添加标签并导出标签报告；支持导出不少于Word、HTML、PDF、CSV等格式的取证报告并进行管理，且HTML报告需支持会话展示、查看以及搜索</w:t>
            </w:r>
          </w:p>
        </w:tc>
        <w:tc>
          <w:tcPr>
            <w:tcW w:w="1213"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51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szCs w:val="21"/>
                <w:lang w:bidi="ar"/>
              </w:rPr>
              <w:t>★</w:t>
            </w:r>
          </w:p>
        </w:tc>
        <w:tc>
          <w:tcPr>
            <w:tcW w:w="57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226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支持不少于以下3种脚本方式：可自定义编写Python程序，实现对新APP数据的快速提取的平台；通过平台编写的提取程序获取的结果可合并到案例数据中，同时可通过平台发布或下载各类拓展功能；针对未知新应用自动生成解析脚本，智能提取应用数据，用户可修改脚本代码，调优解析准确性</w:t>
            </w:r>
          </w:p>
        </w:tc>
        <w:tc>
          <w:tcPr>
            <w:tcW w:w="121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51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p>
        </w:tc>
        <w:tc>
          <w:tcPr>
            <w:tcW w:w="57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226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支持不少于2种维汉翻译，支持普通维文、拉丁维文-汉语机器翻译功能</w:t>
            </w:r>
          </w:p>
        </w:tc>
        <w:tc>
          <w:tcPr>
            <w:tcW w:w="1213"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51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p>
        </w:tc>
        <w:tc>
          <w:tcPr>
            <w:tcW w:w="57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Wi-Fi取证</w:t>
            </w:r>
          </w:p>
        </w:tc>
        <w:tc>
          <w:tcPr>
            <w:tcW w:w="226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支持不少于5种品牌包括小米、华为、OPPO、荣耀手机Wi-Fi手机搬家/克隆方式取证</w:t>
            </w:r>
          </w:p>
        </w:tc>
        <w:tc>
          <w:tcPr>
            <w:tcW w:w="1213"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51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p>
        </w:tc>
        <w:tc>
          <w:tcPr>
            <w:tcW w:w="57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226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支持不少于3路Wi-Fi并行取证，同时硬件具备信号屏蔽能力</w:t>
            </w:r>
          </w:p>
        </w:tc>
        <w:tc>
          <w:tcPr>
            <w:tcW w:w="1213"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51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p>
        </w:tc>
        <w:tc>
          <w:tcPr>
            <w:tcW w:w="57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数据提取、恢复和提权</w:t>
            </w:r>
          </w:p>
        </w:tc>
        <w:tc>
          <w:tcPr>
            <w:tcW w:w="226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支持可直接接入SIM卡进行数据提取和恢复，支持的SIM卡不少于3种类型包括标准SIM、MicroSIM、NanoSIM接口等类型</w:t>
            </w:r>
          </w:p>
        </w:tc>
        <w:tc>
          <w:tcPr>
            <w:tcW w:w="1213"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51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p>
        </w:tc>
        <w:tc>
          <w:tcPr>
            <w:tcW w:w="57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226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支持手机已删除数据的恢复，其中支持不少于2种方式包括iOS手机删除数据恢复、Android手机可自动ROOT后进行删除数据恢复，在ROOT失败情况下，也能支持Android手机解析和恢复QQ、微信、微博等应用程序数据</w:t>
            </w:r>
          </w:p>
        </w:tc>
        <w:tc>
          <w:tcPr>
            <w:tcW w:w="1213"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51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p>
        </w:tc>
        <w:tc>
          <w:tcPr>
            <w:tcW w:w="57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226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支持不少于3种平台，包括对Android、iOS、鸿蒙OS手机回收站文件恢复，支持Android、iOS手机缩略图恢复；支持iOS加密备份的keychain解析</w:t>
            </w:r>
          </w:p>
        </w:tc>
        <w:tc>
          <w:tcPr>
            <w:tcW w:w="1213"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51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szCs w:val="21"/>
                <w:lang w:bidi="ar"/>
              </w:rPr>
              <w:t>★</w:t>
            </w:r>
          </w:p>
        </w:tc>
        <w:tc>
          <w:tcPr>
            <w:tcW w:w="57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226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支持不少于4种品牌包括对vivo、华为、荣耀、小米等手机自动备份取证</w:t>
            </w:r>
          </w:p>
        </w:tc>
        <w:tc>
          <w:tcPr>
            <w:tcW w:w="121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51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szCs w:val="21"/>
                <w:lang w:bidi="ar"/>
              </w:rPr>
              <w:t>★</w:t>
            </w:r>
          </w:p>
        </w:tc>
        <w:tc>
          <w:tcPr>
            <w:tcW w:w="57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226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支持手机APK静态行为分析，支持不少于3种类型包括自动提取权限、开发者、服务器地址等信息</w:t>
            </w:r>
          </w:p>
        </w:tc>
        <w:tc>
          <w:tcPr>
            <w:tcW w:w="121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51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szCs w:val="21"/>
                <w:lang w:bidi="ar"/>
              </w:rPr>
              <w:t>★</w:t>
            </w:r>
          </w:p>
        </w:tc>
        <w:tc>
          <w:tcPr>
            <w:tcW w:w="57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226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支持iOS动态提权，支持不少于2种方式包括免签名、免联网提权</w:t>
            </w:r>
          </w:p>
        </w:tc>
        <w:tc>
          <w:tcPr>
            <w:tcW w:w="121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51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szCs w:val="21"/>
                <w:lang w:bidi="ar"/>
              </w:rPr>
              <w:t>★</w:t>
            </w:r>
          </w:p>
        </w:tc>
        <w:tc>
          <w:tcPr>
            <w:tcW w:w="57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226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支持不少于5种品牌包括华为，OPPO，vivo，小米，荣耀品牌手机自动打开USB调试模式</w:t>
            </w:r>
          </w:p>
        </w:tc>
        <w:tc>
          <w:tcPr>
            <w:tcW w:w="121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51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kern w:val="0"/>
                <w:szCs w:val="21"/>
                <w:lang w:bidi="ar"/>
              </w:rPr>
              <w:t>▲</w:t>
            </w:r>
          </w:p>
        </w:tc>
        <w:tc>
          <w:tcPr>
            <w:tcW w:w="57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智能分析</w:t>
            </w:r>
          </w:p>
        </w:tc>
        <w:tc>
          <w:tcPr>
            <w:tcW w:w="226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支持不少于以下2种方式操作，包括对各种即时通讯软件多媒体文件的转码，并在软件内直接播放；支持微信公众号文章缓存页面重组，可直观查看微信公众号文章</w:t>
            </w:r>
          </w:p>
        </w:tc>
        <w:tc>
          <w:tcPr>
            <w:tcW w:w="121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51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p>
        </w:tc>
        <w:tc>
          <w:tcPr>
            <w:tcW w:w="57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226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支持手机即时通讯类应用程序的痕迹记录解析，支持不少于15种包括腾讯QQ、QQ极速版、TIM、微信、微信分身版、Sugram、Sugram畅聊版、易信、连信、潮信、蜜语、轻甜、触宝电话、米聊、旺信等</w:t>
            </w:r>
          </w:p>
        </w:tc>
        <w:tc>
          <w:tcPr>
            <w:tcW w:w="1213"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51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p>
        </w:tc>
        <w:tc>
          <w:tcPr>
            <w:tcW w:w="57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226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支持分析机主身份属性与关键行为，身份属性不少于8种包括姓名、身份证、住址、手机号码、虚拟身份（QQ、微信、E-mail等）、银行卡号、车辆、毕业学校等基本属性，需支持基本信息编辑和人物标签化。分析机主自拍头像，关键行为不少于4种包括关键联系人、经济行为、轨迹信息、应用信息</w:t>
            </w:r>
          </w:p>
        </w:tc>
        <w:tc>
          <w:tcPr>
            <w:tcW w:w="1213"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51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szCs w:val="21"/>
                <w:lang w:bidi="ar"/>
              </w:rPr>
              <w:t>★</w:t>
            </w:r>
          </w:p>
        </w:tc>
        <w:tc>
          <w:tcPr>
            <w:tcW w:w="57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226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支持包括时空分析：以时间、空间及行为等多维度分析机主的事件，使用时间轴、地图结合详情的形式，刻画机主的轨迹事件。行为习惯分析：刻画分析对象行为倾向，不少于3种包括通联、上网、出行行为。视频图像分析：利用AI图片技术，进行人脸照片、证件照、银行卡、二维码类不少于4种类型图片识别，人脸照片通过出现、合影行为分析机主以及对象的亲密关系，支持以图搜图的功能</w:t>
            </w:r>
          </w:p>
        </w:tc>
        <w:tc>
          <w:tcPr>
            <w:tcW w:w="121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kern w:val="0"/>
                <w:szCs w:val="21"/>
                <w:lang w:bidi="ar"/>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51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p>
        </w:tc>
        <w:tc>
          <w:tcPr>
            <w:tcW w:w="57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226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支持不少于3种交易方式如银行短信、支付宝、微信账单数据的分析，刻画机主与好友间、机主之间的资金往来情况，支持转账记录时间轴方式展示</w:t>
            </w:r>
          </w:p>
        </w:tc>
        <w:tc>
          <w:tcPr>
            <w:tcW w:w="1213"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51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p>
        </w:tc>
        <w:tc>
          <w:tcPr>
            <w:tcW w:w="57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226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支持通过分析同个案件内的多个持有人手机数据，刻画出机主间存在的通联、轨迹、文件、身份、设备等不少于5种维度关联关系，支持同人分析</w:t>
            </w:r>
          </w:p>
        </w:tc>
        <w:tc>
          <w:tcPr>
            <w:tcW w:w="1213"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51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p>
        </w:tc>
        <w:tc>
          <w:tcPr>
            <w:tcW w:w="57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226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支持可提取和分类展示人名、地名、手机号、身份证号、车牌号、银行卡号、快递单号等不少于7种特殊身份标识及其来源</w:t>
            </w:r>
          </w:p>
        </w:tc>
        <w:tc>
          <w:tcPr>
            <w:tcW w:w="1213"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51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p>
        </w:tc>
        <w:tc>
          <w:tcPr>
            <w:tcW w:w="57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226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支持可根据输入的通联帐号以及关键词多种组合条件搜索满足条件的通联数据；需支持不少于3种匹配方式如文本、通配符、正则表达式</w:t>
            </w:r>
          </w:p>
        </w:tc>
        <w:tc>
          <w:tcPr>
            <w:tcW w:w="1213"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51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p>
        </w:tc>
        <w:tc>
          <w:tcPr>
            <w:tcW w:w="57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226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支持不少于3种类型调证数据导入分析，支持即时通讯如微信及QQ聊天记录中的数据导入分析，提供会话详情展示聊天记录数据；可将账单数据导入，提供经济行为分析；可将话单数据导入分析，将调证数据与取证数据可融合分析</w:t>
            </w:r>
          </w:p>
        </w:tc>
        <w:tc>
          <w:tcPr>
            <w:tcW w:w="121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51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szCs w:val="21"/>
                <w:lang w:bidi="ar"/>
              </w:rPr>
              <w:t>★</w:t>
            </w:r>
          </w:p>
        </w:tc>
        <w:tc>
          <w:tcPr>
            <w:tcW w:w="57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区块链分析</w:t>
            </w:r>
          </w:p>
        </w:tc>
        <w:tc>
          <w:tcPr>
            <w:tcW w:w="226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支持对钱包地址的检索，通过交易数据，关联分析资金流向；对钱包数据详情展示，支持不少于5种类型，包括钱包余额、交易次数、收入、支出情况、交易时间等；标识交易记录中可调证、不可调证的交易所；邮件监控目标钱包地址，监控任务字段，支持不少于4种类型，包括币类型、币地址、接收邮箱、备注等，需支持修改监控时长、邮件模板等</w:t>
            </w:r>
          </w:p>
        </w:tc>
        <w:tc>
          <w:tcPr>
            <w:tcW w:w="121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kern w:val="0"/>
                <w:szCs w:val="21"/>
                <w:lang w:bidi="ar"/>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51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kern w:val="0"/>
                <w:szCs w:val="21"/>
                <w:lang w:bidi="ar"/>
              </w:rPr>
              <w:t>▲</w:t>
            </w:r>
          </w:p>
        </w:tc>
        <w:tc>
          <w:tcPr>
            <w:tcW w:w="57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226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支持比特币（BTC）、以太坊（ETH）、波场币(TRX)、币安币（BNB）、泰达币（USDT）等不少于5种代币的交易查询</w:t>
            </w:r>
          </w:p>
        </w:tc>
        <w:tc>
          <w:tcPr>
            <w:tcW w:w="1213"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szCs w:val="21"/>
                <w:lang w:bidi="ar"/>
              </w:rPr>
              <w:t>产品合格证/官方网站截图/白皮书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51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p>
        </w:tc>
        <w:tc>
          <w:tcPr>
            <w:tcW w:w="57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226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具备区块链钱包地址标签系统，标签数据至少覆盖3个主流交易平台，包括BINANCE、Huobi、OKEX等</w:t>
            </w:r>
          </w:p>
        </w:tc>
        <w:tc>
          <w:tcPr>
            <w:tcW w:w="1213"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51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p>
        </w:tc>
        <w:tc>
          <w:tcPr>
            <w:tcW w:w="578"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解锁服务</w:t>
            </w:r>
          </w:p>
        </w:tc>
        <w:tc>
          <w:tcPr>
            <w:tcW w:w="226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提供不少于5次免费手机解锁服务；</w:t>
            </w:r>
          </w:p>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1.需支持iPhone11以下屏幕锁破解；</w:t>
            </w:r>
          </w:p>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2.需支持iPhone8-14（iOS16-17.5.1）AFU数据提取（在不重启、不关机状态下绕过屏幕锁）；</w:t>
            </w:r>
          </w:p>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3.需支持众多主流芯片Android手机屏幕锁破解，包含不限于骁龙8Gen3、骁龙8Gen2、骁龙8+Gen1、天玑9200、天玑9000、天玑8100）</w:t>
            </w:r>
          </w:p>
        </w:tc>
        <w:tc>
          <w:tcPr>
            <w:tcW w:w="121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承诺函</w:t>
            </w:r>
          </w:p>
        </w:tc>
      </w:tr>
    </w:tbl>
    <w:p>
      <w:pPr>
        <w:rPr>
          <w:rFonts w:asciiTheme="minorEastAsia" w:hAnsiTheme="minorEastAsia" w:eastAsiaTheme="minorEastAsia" w:cstheme="minorEastAsia"/>
          <w:bCs/>
          <w:szCs w:val="21"/>
        </w:rPr>
      </w:pP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第1包 便携式手机取证设备</w:t>
      </w:r>
      <w:r>
        <w:rPr>
          <w:rFonts w:hint="default" w:ascii="Times New Roman" w:hAnsi="Times New Roman" w:cs="Times New Roman" w:eastAsiaTheme="minorEastAsia"/>
          <w:szCs w:val="21"/>
        </w:rPr>
        <w:t>Ⅰ</w:t>
      </w:r>
    </w:p>
    <w:tbl>
      <w:tblPr>
        <w:tblStyle w:val="81"/>
        <w:tblW w:w="4998" w:type="pct"/>
        <w:jc w:val="center"/>
        <w:tblLayout w:type="autofit"/>
        <w:tblCellMar>
          <w:top w:w="0" w:type="dxa"/>
          <w:left w:w="108" w:type="dxa"/>
          <w:bottom w:w="0" w:type="dxa"/>
          <w:right w:w="108" w:type="dxa"/>
        </w:tblCellMar>
      </w:tblPr>
      <w:tblGrid>
        <w:gridCol w:w="656"/>
        <w:gridCol w:w="726"/>
        <w:gridCol w:w="1195"/>
        <w:gridCol w:w="3678"/>
        <w:gridCol w:w="2264"/>
      </w:tblGrid>
      <w:tr>
        <w:tblPrEx>
          <w:tblCellMar>
            <w:top w:w="0" w:type="dxa"/>
            <w:left w:w="108" w:type="dxa"/>
            <w:bottom w:w="0" w:type="dxa"/>
            <w:right w:w="108" w:type="dxa"/>
          </w:tblCellMar>
        </w:tblPrEx>
        <w:trPr>
          <w:trHeight w:val="300" w:hRule="atLeast"/>
          <w:tblHeader/>
          <w:jc w:val="center"/>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序号</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重要性</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指标项</w:t>
            </w:r>
          </w:p>
        </w:tc>
        <w:tc>
          <w:tcPr>
            <w:tcW w:w="215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技术要求</w:t>
            </w:r>
          </w:p>
        </w:tc>
        <w:tc>
          <w:tcPr>
            <w:tcW w:w="13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证明材料要求</w:t>
            </w:r>
          </w:p>
        </w:tc>
      </w:tr>
      <w:tr>
        <w:tblPrEx>
          <w:tblCellMar>
            <w:top w:w="0" w:type="dxa"/>
            <w:left w:w="108" w:type="dxa"/>
            <w:bottom w:w="0" w:type="dxa"/>
            <w:right w:w="108" w:type="dxa"/>
          </w:tblCellMar>
        </w:tblPrEx>
        <w:trPr>
          <w:trHeight w:val="300" w:hRule="atLeast"/>
          <w:jc w:val="center"/>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heme="minorEastAsia" w:hAnsiTheme="minorEastAsia" w:eastAsiaTheme="minorEastAsia" w:cstheme="minorEastAsia"/>
                <w:bCs/>
                <w:color w:val="000000"/>
                <w:kern w:val="0"/>
                <w:szCs w:val="21"/>
                <w:lang w:bidi="ar"/>
              </w:rPr>
            </w:pPr>
          </w:p>
        </w:tc>
        <w:tc>
          <w:tcPr>
            <w:tcW w:w="70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heme="minorEastAsia" w:hAnsiTheme="minorEastAsia" w:eastAsiaTheme="minorEastAsia" w:cstheme="minorEastAsia"/>
                <w:bCs/>
                <w:color w:val="000000"/>
                <w:kern w:val="0"/>
                <w:szCs w:val="21"/>
                <w:lang w:bidi="ar"/>
              </w:rPr>
            </w:pPr>
          </w:p>
        </w:tc>
        <w:tc>
          <w:tcPr>
            <w:tcW w:w="2158"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支持多关键字搜索、时间段搜索、搜索结果溯源以及导出搜索报告；支持导出不低于4种格式的取证报告并进行管理，含Word、HTML、PDF、CSV等，且HTML报告需支持会话展示、查看以及搜索</w:t>
            </w:r>
          </w:p>
        </w:tc>
        <w:tc>
          <w:tcPr>
            <w:tcW w:w="13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承诺函</w:t>
            </w:r>
          </w:p>
        </w:tc>
      </w:tr>
      <w:tr>
        <w:tblPrEx>
          <w:tblCellMar>
            <w:top w:w="0" w:type="dxa"/>
            <w:left w:w="108" w:type="dxa"/>
            <w:bottom w:w="0" w:type="dxa"/>
            <w:right w:w="108" w:type="dxa"/>
          </w:tblCellMar>
        </w:tblPrEx>
        <w:trPr>
          <w:trHeight w:val="300" w:hRule="atLeast"/>
          <w:jc w:val="center"/>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color w:val="000000"/>
                <w:kern w:val="0"/>
                <w:szCs w:val="21"/>
                <w:lang w:bidi="ar"/>
              </w:rPr>
              <w:t>▲</w:t>
            </w:r>
          </w:p>
        </w:tc>
        <w:tc>
          <w:tcPr>
            <w:tcW w:w="7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heme="minorEastAsia" w:hAnsiTheme="minorEastAsia" w:eastAsiaTheme="minorEastAsia" w:cstheme="minorEastAsia"/>
                <w:szCs w:val="21"/>
              </w:rPr>
            </w:pPr>
          </w:p>
        </w:tc>
        <w:tc>
          <w:tcPr>
            <w:tcW w:w="2158"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支持至少1种自定义编写Python程序。对于新应用应能自动生成解析脚本，智能提取应用数据，用户应能修改脚本代码</w:t>
            </w:r>
          </w:p>
        </w:tc>
        <w:tc>
          <w:tcPr>
            <w:tcW w:w="13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color w:val="000000"/>
                <w:szCs w:val="21"/>
                <w:lang w:bidi="ar"/>
              </w:rPr>
              <w:t>产品合格证/官方网站截图/白皮书</w:t>
            </w:r>
          </w:p>
        </w:tc>
      </w:tr>
      <w:tr>
        <w:tblPrEx>
          <w:tblCellMar>
            <w:top w:w="0" w:type="dxa"/>
            <w:left w:w="108" w:type="dxa"/>
            <w:bottom w:w="0" w:type="dxa"/>
            <w:right w:w="108" w:type="dxa"/>
          </w:tblCellMar>
        </w:tblPrEx>
        <w:trPr>
          <w:trHeight w:val="300" w:hRule="atLeast"/>
          <w:jc w:val="center"/>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heme="minorEastAsia" w:hAnsiTheme="minorEastAsia" w:eastAsiaTheme="minorEastAsia" w:cstheme="minorEastAsia"/>
                <w:bCs/>
                <w:color w:val="000000"/>
                <w:kern w:val="0"/>
                <w:szCs w:val="21"/>
                <w:lang w:bidi="ar"/>
              </w:rPr>
            </w:pP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多语言支持</w:t>
            </w:r>
          </w:p>
        </w:tc>
        <w:tc>
          <w:tcPr>
            <w:tcW w:w="2158"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支持不低于2种维汉翻译，具备普通维文、拉丁维文-汉语机器翻译功能</w:t>
            </w:r>
          </w:p>
        </w:tc>
        <w:tc>
          <w:tcPr>
            <w:tcW w:w="13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承诺函</w:t>
            </w:r>
          </w:p>
        </w:tc>
      </w:tr>
      <w:tr>
        <w:tblPrEx>
          <w:tblCellMar>
            <w:top w:w="0" w:type="dxa"/>
            <w:left w:w="108" w:type="dxa"/>
            <w:bottom w:w="0" w:type="dxa"/>
            <w:right w:w="108" w:type="dxa"/>
          </w:tblCellMar>
        </w:tblPrEx>
        <w:trPr>
          <w:trHeight w:val="300" w:hRule="atLeast"/>
          <w:jc w:val="center"/>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heme="minorEastAsia" w:hAnsiTheme="minorEastAsia" w:eastAsiaTheme="minorEastAsia" w:cstheme="minorEastAsia"/>
                <w:bCs/>
                <w:color w:val="000000"/>
                <w:kern w:val="0"/>
                <w:szCs w:val="21"/>
                <w:lang w:bidi="ar"/>
              </w:rPr>
            </w:pPr>
          </w:p>
        </w:tc>
        <w:tc>
          <w:tcPr>
            <w:tcW w:w="70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heme="minorEastAsia" w:hAnsiTheme="minorEastAsia" w:eastAsiaTheme="minorEastAsia" w:cstheme="minorEastAsia"/>
                <w:bCs/>
                <w:color w:val="000000"/>
                <w:kern w:val="0"/>
                <w:szCs w:val="21"/>
                <w:lang w:bidi="ar"/>
              </w:rPr>
            </w:pPr>
          </w:p>
        </w:tc>
        <w:tc>
          <w:tcPr>
            <w:tcW w:w="2158"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支持不低于3种手机系统回收站文件恢复，含Android、iOS、鸿蒙OS等。支持Android、iOS手机缩略图恢复</w:t>
            </w:r>
          </w:p>
        </w:tc>
        <w:tc>
          <w:tcPr>
            <w:tcW w:w="13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承诺函</w:t>
            </w:r>
          </w:p>
        </w:tc>
      </w:tr>
      <w:tr>
        <w:tblPrEx>
          <w:tblCellMar>
            <w:top w:w="0" w:type="dxa"/>
            <w:left w:w="108" w:type="dxa"/>
            <w:bottom w:w="0" w:type="dxa"/>
            <w:right w:w="108" w:type="dxa"/>
          </w:tblCellMar>
        </w:tblPrEx>
        <w:trPr>
          <w:trHeight w:val="300" w:hRule="atLeast"/>
          <w:jc w:val="center"/>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color w:val="000000"/>
                <w:kern w:val="0"/>
                <w:szCs w:val="21"/>
                <w:lang w:bidi="ar"/>
              </w:rPr>
              <w:t>▲</w:t>
            </w:r>
          </w:p>
        </w:tc>
        <w:tc>
          <w:tcPr>
            <w:tcW w:w="7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heme="minorEastAsia" w:hAnsiTheme="minorEastAsia" w:eastAsiaTheme="minorEastAsia" w:cstheme="minorEastAsia"/>
                <w:szCs w:val="21"/>
              </w:rPr>
            </w:pPr>
          </w:p>
        </w:tc>
        <w:tc>
          <w:tcPr>
            <w:tcW w:w="2158"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支持手机APK静态行为分析，不少于3个信息，含分析权限、开发者、服务器地址等</w:t>
            </w:r>
          </w:p>
        </w:tc>
        <w:tc>
          <w:tcPr>
            <w:tcW w:w="13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color w:val="000000"/>
                <w:szCs w:val="21"/>
                <w:lang w:bidi="ar"/>
              </w:rPr>
              <w:t>产品合格证/官方网站截图/白皮书</w:t>
            </w:r>
          </w:p>
        </w:tc>
      </w:tr>
      <w:tr>
        <w:tblPrEx>
          <w:tblCellMar>
            <w:top w:w="0" w:type="dxa"/>
            <w:left w:w="108" w:type="dxa"/>
            <w:bottom w:w="0" w:type="dxa"/>
            <w:right w:w="108" w:type="dxa"/>
          </w:tblCellMar>
        </w:tblPrEx>
        <w:trPr>
          <w:trHeight w:val="300" w:hRule="atLeast"/>
          <w:jc w:val="center"/>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heme="minorEastAsia" w:hAnsiTheme="minorEastAsia" w:eastAsiaTheme="minorEastAsia" w:cstheme="minorEastAsia"/>
                <w:bCs/>
                <w:color w:val="000000"/>
                <w:kern w:val="0"/>
                <w:szCs w:val="21"/>
                <w:lang w:bidi="ar"/>
              </w:rPr>
            </w:pPr>
          </w:p>
        </w:tc>
        <w:tc>
          <w:tcPr>
            <w:tcW w:w="7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heme="minorEastAsia" w:hAnsiTheme="minorEastAsia" w:eastAsiaTheme="minorEastAsia" w:cstheme="minorEastAsia"/>
                <w:szCs w:val="21"/>
              </w:rPr>
            </w:pPr>
          </w:p>
        </w:tc>
        <w:tc>
          <w:tcPr>
            <w:tcW w:w="2158"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应提供iPhone手机提权服务，至少支持不低于5个系统版本，包含iOS10.0-16.6.1版本，其中iOS14.0-15.4.1（iPhoneXS以上机型）应支持免联网免签名提权</w:t>
            </w:r>
          </w:p>
        </w:tc>
        <w:tc>
          <w:tcPr>
            <w:tcW w:w="13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承诺函</w:t>
            </w:r>
          </w:p>
        </w:tc>
      </w:tr>
      <w:tr>
        <w:tblPrEx>
          <w:tblCellMar>
            <w:top w:w="0" w:type="dxa"/>
            <w:left w:w="108" w:type="dxa"/>
            <w:bottom w:w="0" w:type="dxa"/>
            <w:right w:w="108" w:type="dxa"/>
          </w:tblCellMar>
        </w:tblPrEx>
        <w:trPr>
          <w:trHeight w:val="300" w:hRule="atLeast"/>
          <w:jc w:val="center"/>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heme="minorEastAsia" w:hAnsiTheme="minorEastAsia" w:eastAsiaTheme="minorEastAsia" w:cstheme="minorEastAsia"/>
                <w:bCs/>
                <w:color w:val="000000"/>
                <w:kern w:val="0"/>
                <w:szCs w:val="21"/>
                <w:lang w:bidi="ar"/>
              </w:rPr>
            </w:pPr>
          </w:p>
        </w:tc>
        <w:tc>
          <w:tcPr>
            <w:tcW w:w="7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heme="minorEastAsia" w:hAnsiTheme="minorEastAsia" w:eastAsiaTheme="minorEastAsia" w:cstheme="minorEastAsia"/>
                <w:szCs w:val="21"/>
              </w:rPr>
            </w:pPr>
          </w:p>
        </w:tc>
        <w:tc>
          <w:tcPr>
            <w:tcW w:w="2158"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支持不低于1种安卓手机自动打开开发者选项和USB调试模式开关</w:t>
            </w:r>
          </w:p>
        </w:tc>
        <w:tc>
          <w:tcPr>
            <w:tcW w:w="13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承诺函</w:t>
            </w:r>
          </w:p>
        </w:tc>
      </w:tr>
      <w:tr>
        <w:tblPrEx>
          <w:tblCellMar>
            <w:top w:w="0" w:type="dxa"/>
            <w:left w:w="108" w:type="dxa"/>
            <w:bottom w:w="0" w:type="dxa"/>
            <w:right w:w="108" w:type="dxa"/>
          </w:tblCellMar>
        </w:tblPrEx>
        <w:trPr>
          <w:trHeight w:val="300" w:hRule="atLeast"/>
          <w:jc w:val="center"/>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heme="minorEastAsia" w:hAnsiTheme="minorEastAsia" w:eastAsiaTheme="minorEastAsia" w:cstheme="minorEastAsia"/>
                <w:bCs/>
                <w:color w:val="000000"/>
                <w:kern w:val="0"/>
                <w:szCs w:val="21"/>
                <w:lang w:bidi="ar"/>
              </w:rPr>
            </w:pPr>
          </w:p>
        </w:tc>
        <w:tc>
          <w:tcPr>
            <w:tcW w:w="70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应用程序解析</w:t>
            </w:r>
          </w:p>
        </w:tc>
        <w:tc>
          <w:tcPr>
            <w:tcW w:w="2158"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支持不低于6种等输入法应用的获取解析，含iOS输入法、搜狗输入法、百度输入法、QQ输入法、讯飞输入法、章鱼输入法等输入法</w:t>
            </w:r>
          </w:p>
        </w:tc>
        <w:tc>
          <w:tcPr>
            <w:tcW w:w="13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承诺函</w:t>
            </w:r>
          </w:p>
        </w:tc>
      </w:tr>
      <w:tr>
        <w:tblPrEx>
          <w:tblCellMar>
            <w:top w:w="0" w:type="dxa"/>
            <w:left w:w="108" w:type="dxa"/>
            <w:bottom w:w="0" w:type="dxa"/>
            <w:right w:w="108" w:type="dxa"/>
          </w:tblCellMar>
        </w:tblPrEx>
        <w:trPr>
          <w:trHeight w:val="354" w:hRule="atLeast"/>
          <w:jc w:val="center"/>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heme="minorEastAsia" w:hAnsiTheme="minorEastAsia" w:eastAsiaTheme="minorEastAsia" w:cstheme="minorEastAsia"/>
                <w:bCs/>
                <w:color w:val="000000"/>
                <w:kern w:val="0"/>
                <w:szCs w:val="21"/>
                <w:lang w:bidi="ar"/>
              </w:rPr>
            </w:pPr>
          </w:p>
        </w:tc>
        <w:tc>
          <w:tcPr>
            <w:tcW w:w="7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heme="minorEastAsia" w:hAnsiTheme="minorEastAsia" w:eastAsiaTheme="minorEastAsia" w:cstheme="minorEastAsia"/>
                <w:szCs w:val="21"/>
              </w:rPr>
            </w:pPr>
          </w:p>
        </w:tc>
        <w:tc>
          <w:tcPr>
            <w:tcW w:w="2158"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bCs/>
                <w:color w:val="FF0000"/>
                <w:kern w:val="0"/>
                <w:szCs w:val="21"/>
                <w:lang w:bidi="ar"/>
              </w:rPr>
            </w:pPr>
            <w:r>
              <w:rPr>
                <w:rFonts w:hint="eastAsia" w:asciiTheme="minorEastAsia" w:hAnsiTheme="minorEastAsia" w:eastAsiaTheme="minorEastAsia" w:cstheme="minorEastAsia"/>
                <w:bCs/>
                <w:color w:val="000000"/>
                <w:kern w:val="0"/>
                <w:szCs w:val="21"/>
                <w:lang w:bidi="ar"/>
              </w:rPr>
              <w:t>支持不低于6个区块链应用解析，含imToken、布洛克城、币牛牛、HyperPay、欧易Okex、Coinbase、Bitpie等区块链应用解析</w:t>
            </w:r>
          </w:p>
        </w:tc>
        <w:tc>
          <w:tcPr>
            <w:tcW w:w="13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承诺函</w:t>
            </w:r>
          </w:p>
        </w:tc>
      </w:tr>
      <w:tr>
        <w:tblPrEx>
          <w:tblCellMar>
            <w:top w:w="0" w:type="dxa"/>
            <w:left w:w="108" w:type="dxa"/>
            <w:bottom w:w="0" w:type="dxa"/>
            <w:right w:w="108" w:type="dxa"/>
          </w:tblCellMar>
        </w:tblPrEx>
        <w:trPr>
          <w:trHeight w:val="300" w:hRule="atLeast"/>
          <w:jc w:val="center"/>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heme="minorEastAsia" w:hAnsiTheme="minorEastAsia" w:eastAsiaTheme="minorEastAsia" w:cstheme="minorEastAsia"/>
                <w:bCs/>
                <w:color w:val="000000"/>
                <w:kern w:val="0"/>
                <w:szCs w:val="21"/>
                <w:lang w:bidi="ar"/>
              </w:rPr>
            </w:pPr>
          </w:p>
        </w:tc>
        <w:tc>
          <w:tcPr>
            <w:tcW w:w="70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智能功能</w:t>
            </w:r>
          </w:p>
        </w:tc>
        <w:tc>
          <w:tcPr>
            <w:tcW w:w="2158"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支持语音识别，不低于2种模式。含支持单个或批量语音识别，可将语音文件自动识别成文字内容，且识别结果需支持列表展示与会话展示</w:t>
            </w:r>
          </w:p>
        </w:tc>
        <w:tc>
          <w:tcPr>
            <w:tcW w:w="13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承诺函</w:t>
            </w:r>
          </w:p>
        </w:tc>
      </w:tr>
      <w:tr>
        <w:tblPrEx>
          <w:tblCellMar>
            <w:top w:w="0" w:type="dxa"/>
            <w:left w:w="108" w:type="dxa"/>
            <w:bottom w:w="0" w:type="dxa"/>
            <w:right w:w="108" w:type="dxa"/>
          </w:tblCellMar>
        </w:tblPrEx>
        <w:trPr>
          <w:trHeight w:val="300" w:hRule="atLeast"/>
          <w:jc w:val="center"/>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heme="minorEastAsia" w:hAnsiTheme="minorEastAsia" w:eastAsiaTheme="minorEastAsia" w:cstheme="minorEastAsia"/>
                <w:bCs/>
                <w:color w:val="000000"/>
                <w:kern w:val="0"/>
                <w:szCs w:val="21"/>
                <w:lang w:bidi="ar"/>
              </w:rPr>
            </w:pPr>
          </w:p>
        </w:tc>
        <w:tc>
          <w:tcPr>
            <w:tcW w:w="7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heme="minorEastAsia" w:hAnsiTheme="minorEastAsia" w:eastAsiaTheme="minorEastAsia" w:cstheme="minorEastAsia"/>
                <w:szCs w:val="21"/>
              </w:rPr>
            </w:pPr>
          </w:p>
        </w:tc>
        <w:tc>
          <w:tcPr>
            <w:tcW w:w="2158"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人物画像分析：分析机主身份属性与关键行为，身份属性不低于8种，含包括姓名、身份证、住址、手机号码、虚拟身份（QQ、微信、E-mail等）、银行卡号、车辆、毕业学校等基本属性，需支持基本信息编辑和人物标签化。分析机主自拍头像，关键行为不低于4种，包括关键联系人、经济行为、轨迹信息、应用信息</w:t>
            </w:r>
          </w:p>
        </w:tc>
        <w:tc>
          <w:tcPr>
            <w:tcW w:w="13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承诺函</w:t>
            </w:r>
          </w:p>
        </w:tc>
      </w:tr>
      <w:tr>
        <w:tblPrEx>
          <w:tblCellMar>
            <w:top w:w="0" w:type="dxa"/>
            <w:left w:w="108" w:type="dxa"/>
            <w:bottom w:w="0" w:type="dxa"/>
            <w:right w:w="108" w:type="dxa"/>
          </w:tblCellMar>
        </w:tblPrEx>
        <w:trPr>
          <w:trHeight w:val="300" w:hRule="atLeast"/>
          <w:jc w:val="center"/>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szCs w:val="21"/>
                <w:lang w:bidi="ar"/>
              </w:rPr>
              <w:t>★</w:t>
            </w:r>
          </w:p>
        </w:tc>
        <w:tc>
          <w:tcPr>
            <w:tcW w:w="7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heme="minorEastAsia" w:hAnsiTheme="minorEastAsia" w:eastAsiaTheme="minorEastAsia" w:cstheme="minorEastAsia"/>
                <w:szCs w:val="21"/>
              </w:rPr>
            </w:pPr>
          </w:p>
        </w:tc>
        <w:tc>
          <w:tcPr>
            <w:tcW w:w="2158"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支持利用AI图片技术，不低于4种识别，含人脸照片、证件照、银行卡、二维码类图片识别等，支持以图搜图的功能；</w:t>
            </w:r>
          </w:p>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支持对分析的案例数据进行全库的敏感文件比对碰撞，一步步溯源，找出文件在案例中最早出现的详情；支持来源及流向进行图形化展示；支持相似图片追踪功能</w:t>
            </w:r>
          </w:p>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支持自定义取证策略，实现同一个案件同一个取证策略，无需反复修改不同检材的取证方法；</w:t>
            </w:r>
          </w:p>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支持iOS加密备份的keychain解析；</w:t>
            </w:r>
          </w:p>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支持微信公众号文章缓存页面重组</w:t>
            </w:r>
          </w:p>
        </w:tc>
        <w:tc>
          <w:tcPr>
            <w:tcW w:w="13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检验报告</w:t>
            </w:r>
          </w:p>
        </w:tc>
      </w:tr>
      <w:tr>
        <w:tblPrEx>
          <w:tblCellMar>
            <w:top w:w="0" w:type="dxa"/>
            <w:left w:w="108" w:type="dxa"/>
            <w:bottom w:w="0" w:type="dxa"/>
            <w:right w:w="108" w:type="dxa"/>
          </w:tblCellMar>
        </w:tblPrEx>
        <w:trPr>
          <w:trHeight w:val="300" w:hRule="atLeast"/>
          <w:jc w:val="center"/>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color w:val="000000"/>
                <w:kern w:val="0"/>
                <w:szCs w:val="21"/>
                <w:lang w:bidi="ar"/>
              </w:rPr>
              <w:t>▲</w:t>
            </w:r>
          </w:p>
        </w:tc>
        <w:tc>
          <w:tcPr>
            <w:tcW w:w="7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heme="minorEastAsia" w:hAnsiTheme="minorEastAsia" w:eastAsiaTheme="minorEastAsia" w:cstheme="minorEastAsia"/>
                <w:szCs w:val="21"/>
              </w:rPr>
            </w:pPr>
          </w:p>
        </w:tc>
        <w:tc>
          <w:tcPr>
            <w:tcW w:w="2158"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支持多人关系分析：通过分析同个案件内的多个持有人手机数据，刻画机主间存在的关联关系不低于5种，含通联、轨迹、文件、身份、设备等多维度关联关系，支持同人分析</w:t>
            </w:r>
          </w:p>
        </w:tc>
        <w:tc>
          <w:tcPr>
            <w:tcW w:w="13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color w:val="000000"/>
                <w:szCs w:val="21"/>
                <w:lang w:bidi="ar"/>
              </w:rPr>
              <w:t>产品合格证/官方网站截图/白皮书</w:t>
            </w:r>
          </w:p>
        </w:tc>
      </w:tr>
      <w:tr>
        <w:tblPrEx>
          <w:tblCellMar>
            <w:top w:w="0" w:type="dxa"/>
            <w:left w:w="108" w:type="dxa"/>
            <w:bottom w:w="0" w:type="dxa"/>
            <w:right w:w="108" w:type="dxa"/>
          </w:tblCellMar>
        </w:tblPrEx>
        <w:trPr>
          <w:trHeight w:val="300" w:hRule="atLeast"/>
          <w:jc w:val="center"/>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heme="minorEastAsia" w:hAnsiTheme="minorEastAsia" w:eastAsiaTheme="minorEastAsia" w:cstheme="minorEastAsia"/>
                <w:bCs/>
                <w:color w:val="000000"/>
                <w:kern w:val="0"/>
                <w:szCs w:val="21"/>
                <w:lang w:bidi="ar"/>
              </w:rPr>
            </w:pPr>
          </w:p>
        </w:tc>
        <w:tc>
          <w:tcPr>
            <w:tcW w:w="7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heme="minorEastAsia" w:hAnsiTheme="minorEastAsia" w:eastAsiaTheme="minorEastAsia" w:cstheme="minorEastAsia"/>
                <w:szCs w:val="21"/>
              </w:rPr>
            </w:pPr>
          </w:p>
        </w:tc>
        <w:tc>
          <w:tcPr>
            <w:tcW w:w="2158"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支持身份挖掘：可提取和分类展示不低于7种特殊身份标识及其来源，含人名、地名、手机号、身份证号、车牌号、银行卡号、快递单号等</w:t>
            </w:r>
          </w:p>
        </w:tc>
        <w:tc>
          <w:tcPr>
            <w:tcW w:w="13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承诺函</w:t>
            </w:r>
          </w:p>
        </w:tc>
      </w:tr>
      <w:tr>
        <w:tblPrEx>
          <w:tblCellMar>
            <w:top w:w="0" w:type="dxa"/>
            <w:left w:w="108" w:type="dxa"/>
            <w:bottom w:w="0" w:type="dxa"/>
            <w:right w:w="108" w:type="dxa"/>
          </w:tblCellMar>
        </w:tblPrEx>
        <w:trPr>
          <w:trHeight w:val="300" w:hRule="atLeast"/>
          <w:jc w:val="center"/>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szCs w:val="21"/>
                <w:lang w:bidi="ar"/>
              </w:rPr>
              <w:t>★</w:t>
            </w:r>
          </w:p>
        </w:tc>
        <w:tc>
          <w:tcPr>
            <w:tcW w:w="7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heme="minorEastAsia" w:hAnsiTheme="minorEastAsia" w:eastAsiaTheme="minorEastAsia" w:cstheme="minorEastAsia"/>
                <w:szCs w:val="21"/>
              </w:rPr>
            </w:pPr>
          </w:p>
        </w:tc>
        <w:tc>
          <w:tcPr>
            <w:tcW w:w="2158"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导入不低于2种调证数据，含账话单数据、即时通讯等调证数据，与取证数据可融合分析；对微信群成员邀请关系分析，微信群聊人员对应邀请关系及微信群成员之间关系展示，在图中搜索指定的人员信息并导出查看</w:t>
            </w:r>
          </w:p>
        </w:tc>
        <w:tc>
          <w:tcPr>
            <w:tcW w:w="13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检验报告</w:t>
            </w:r>
          </w:p>
        </w:tc>
      </w:tr>
      <w:tr>
        <w:tblPrEx>
          <w:tblCellMar>
            <w:top w:w="0" w:type="dxa"/>
            <w:left w:w="108" w:type="dxa"/>
            <w:bottom w:w="0" w:type="dxa"/>
            <w:right w:w="108" w:type="dxa"/>
          </w:tblCellMar>
        </w:tblPrEx>
        <w:trPr>
          <w:trHeight w:val="300" w:hRule="atLeast"/>
          <w:jc w:val="center"/>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heme="minorEastAsia" w:hAnsiTheme="minorEastAsia" w:eastAsiaTheme="minorEastAsia" w:cstheme="minorEastAsia"/>
                <w:bCs/>
                <w:color w:val="000000"/>
                <w:kern w:val="0"/>
                <w:szCs w:val="21"/>
                <w:lang w:bidi="ar"/>
              </w:rPr>
            </w:pPr>
          </w:p>
        </w:tc>
        <w:tc>
          <w:tcPr>
            <w:tcW w:w="70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区块链分析</w:t>
            </w:r>
          </w:p>
        </w:tc>
        <w:tc>
          <w:tcPr>
            <w:tcW w:w="2158"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bCs/>
                <w:strike/>
                <w:color w:val="000000"/>
                <w:kern w:val="0"/>
                <w:szCs w:val="21"/>
                <w:lang w:bidi="ar"/>
              </w:rPr>
            </w:pPr>
            <w:r>
              <w:rPr>
                <w:rFonts w:hint="eastAsia" w:asciiTheme="minorEastAsia" w:hAnsiTheme="minorEastAsia" w:eastAsiaTheme="minorEastAsia" w:cstheme="minorEastAsia"/>
                <w:bCs/>
                <w:color w:val="000000"/>
                <w:kern w:val="0"/>
                <w:szCs w:val="21"/>
                <w:lang w:bidi="ar"/>
              </w:rPr>
              <w:t>支持标识交易记录中不低于2种交易所，含可调证、不可调证的交易所</w:t>
            </w:r>
          </w:p>
        </w:tc>
        <w:tc>
          <w:tcPr>
            <w:tcW w:w="13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承诺函</w:t>
            </w:r>
          </w:p>
        </w:tc>
      </w:tr>
      <w:tr>
        <w:tblPrEx>
          <w:tblCellMar>
            <w:top w:w="0" w:type="dxa"/>
            <w:left w:w="108" w:type="dxa"/>
            <w:bottom w:w="0" w:type="dxa"/>
            <w:right w:w="108" w:type="dxa"/>
          </w:tblCellMar>
        </w:tblPrEx>
        <w:trPr>
          <w:trHeight w:val="300" w:hRule="atLeast"/>
          <w:jc w:val="center"/>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color w:val="000000"/>
                <w:kern w:val="0"/>
                <w:szCs w:val="21"/>
                <w:lang w:bidi="ar"/>
              </w:rPr>
              <w:t>▲</w:t>
            </w:r>
          </w:p>
        </w:tc>
        <w:tc>
          <w:tcPr>
            <w:tcW w:w="7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heme="minorEastAsia" w:hAnsiTheme="minorEastAsia" w:eastAsiaTheme="minorEastAsia" w:cstheme="minorEastAsia"/>
                <w:szCs w:val="21"/>
              </w:rPr>
            </w:pPr>
          </w:p>
        </w:tc>
        <w:tc>
          <w:tcPr>
            <w:tcW w:w="2158"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支持邮件监控目标钱包地址获取，监控任务字段不低于6个字段，含币类型、币地址、接收邮箱、备注等，支持修改监控时长、邮件模板等</w:t>
            </w:r>
          </w:p>
        </w:tc>
        <w:tc>
          <w:tcPr>
            <w:tcW w:w="13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color w:val="000000"/>
                <w:szCs w:val="21"/>
                <w:lang w:bidi="ar"/>
              </w:rPr>
              <w:t>产品合格证/官方网站截图/白皮书</w:t>
            </w:r>
          </w:p>
        </w:tc>
      </w:tr>
      <w:tr>
        <w:tblPrEx>
          <w:tblCellMar>
            <w:top w:w="0" w:type="dxa"/>
            <w:left w:w="108" w:type="dxa"/>
            <w:bottom w:w="0" w:type="dxa"/>
            <w:right w:w="108" w:type="dxa"/>
          </w:tblCellMar>
        </w:tblPrEx>
        <w:trPr>
          <w:trHeight w:val="300" w:hRule="atLeast"/>
          <w:jc w:val="center"/>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szCs w:val="21"/>
                <w:lang w:bidi="ar"/>
              </w:rPr>
              <w:t>★</w:t>
            </w:r>
          </w:p>
        </w:tc>
        <w:tc>
          <w:tcPr>
            <w:tcW w:w="7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heme="minorEastAsia" w:hAnsiTheme="minorEastAsia" w:eastAsiaTheme="minorEastAsia" w:cstheme="minorEastAsia"/>
                <w:szCs w:val="21"/>
              </w:rPr>
            </w:pPr>
          </w:p>
        </w:tc>
        <w:tc>
          <w:tcPr>
            <w:tcW w:w="2158"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比特币（BTC）、以太坊（ETH）、波场币(TRX)、币安币（BNB）、泰达币（USDT-OMNI、USDT-ERC20、USDT-TRC20等）、BUSD-BEP20、BTCB-BEP20、ETH-BEP20、WBNB-BEP20、USDC-BEP20、TUSD-BEP20、Cake-BEP20、DAI-BEP20、1INCH-BEP20、COMP-BEP20等不少于17种代币；系统应具有独有的区块链钱包地址标签系统，标签数据至少覆盖2种主流交易平台，至少包括Huobi、BINANCE</w:t>
            </w:r>
          </w:p>
        </w:tc>
        <w:tc>
          <w:tcPr>
            <w:tcW w:w="13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检验报告</w:t>
            </w:r>
          </w:p>
        </w:tc>
      </w:tr>
      <w:tr>
        <w:tblPrEx>
          <w:tblCellMar>
            <w:top w:w="0" w:type="dxa"/>
            <w:left w:w="108" w:type="dxa"/>
            <w:bottom w:w="0" w:type="dxa"/>
            <w:right w:w="108" w:type="dxa"/>
          </w:tblCellMar>
        </w:tblPrEx>
        <w:trPr>
          <w:trHeight w:val="300" w:hRule="atLeast"/>
          <w:jc w:val="center"/>
        </w:trPr>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解锁服务</w:t>
            </w:r>
          </w:p>
        </w:tc>
        <w:tc>
          <w:tcPr>
            <w:tcW w:w="2158"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提供不低于5次免费手机解锁服务</w:t>
            </w:r>
          </w:p>
          <w:p>
            <w:pPr>
              <w:widowControl w:val="0"/>
              <w:numPr>
                <w:ilvl w:val="0"/>
                <w:numId w:val="67"/>
              </w:num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需支持iPhone11以下屏幕锁破解；</w:t>
            </w:r>
          </w:p>
          <w:p>
            <w:pPr>
              <w:widowControl w:val="0"/>
              <w:numPr>
                <w:ilvl w:val="0"/>
                <w:numId w:val="67"/>
              </w:num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需支持iPhone8-14（iOS16-17.5.1）AFU数据提取（在不重启、不关机状态下绕过屏幕锁）；</w:t>
            </w:r>
          </w:p>
          <w:p>
            <w:pPr>
              <w:widowControl w:val="0"/>
              <w:numPr>
                <w:ilvl w:val="0"/>
                <w:numId w:val="67"/>
              </w:num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需支持众多主流芯片Android手机屏幕锁破解，包含不限于骁龙8Gen3、骁龙8Gen2、骁龙8+Gen1、天玑9200、天玑9000、天玑8100</w:t>
            </w:r>
          </w:p>
        </w:tc>
        <w:tc>
          <w:tcPr>
            <w:tcW w:w="13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承诺函</w:t>
            </w:r>
          </w:p>
        </w:tc>
      </w:tr>
    </w:tbl>
    <w:p>
      <w:pPr>
        <w:rPr>
          <w:rFonts w:asciiTheme="minorEastAsia" w:hAnsiTheme="minorEastAsia" w:eastAsiaTheme="minorEastAsia" w:cstheme="minorEastAsia"/>
          <w:bCs/>
          <w:szCs w:val="21"/>
        </w:rPr>
      </w:pP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第1包</w:t>
      </w:r>
      <w:r>
        <w:rPr>
          <w:rFonts w:asciiTheme="minorEastAsia" w:hAnsiTheme="minorEastAsia" w:eastAsiaTheme="minorEastAsia" w:cstheme="minorEastAsia"/>
          <w:szCs w:val="21"/>
        </w:rPr>
        <w:t xml:space="preserve"> </w:t>
      </w:r>
      <w:r>
        <w:rPr>
          <w:rFonts w:hint="eastAsia" w:asciiTheme="minorEastAsia" w:hAnsiTheme="minorEastAsia" w:eastAsiaTheme="minorEastAsia" w:cstheme="minorEastAsia"/>
          <w:szCs w:val="21"/>
        </w:rPr>
        <w:t>介质取证塔</w:t>
      </w:r>
      <w:r>
        <w:rPr>
          <w:rFonts w:hint="default" w:ascii="Times New Roman" w:hAnsi="Times New Roman" w:cs="Times New Roman" w:eastAsiaTheme="minorEastAsia"/>
          <w:szCs w:val="21"/>
        </w:rPr>
        <w:t>Ⅰ</w:t>
      </w:r>
    </w:p>
    <w:tbl>
      <w:tblPr>
        <w:tblStyle w:val="8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815"/>
        <w:gridCol w:w="1250"/>
        <w:gridCol w:w="3821"/>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38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序号</w:t>
            </w:r>
          </w:p>
        </w:tc>
        <w:tc>
          <w:tcPr>
            <w:tcW w:w="47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重要性</w:t>
            </w:r>
          </w:p>
        </w:tc>
        <w:tc>
          <w:tcPr>
            <w:tcW w:w="73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指标项</w:t>
            </w:r>
          </w:p>
        </w:tc>
        <w:tc>
          <w:tcPr>
            <w:tcW w:w="224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指标要求</w:t>
            </w:r>
          </w:p>
        </w:tc>
        <w:tc>
          <w:tcPr>
            <w:tcW w:w="116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证明材料要求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38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color w:val="000000"/>
                <w:kern w:val="0"/>
                <w:szCs w:val="21"/>
                <w:lang w:bidi="ar"/>
              </w:rPr>
            </w:pPr>
          </w:p>
        </w:tc>
        <w:tc>
          <w:tcPr>
            <w:tcW w:w="478"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heme="minorEastAsia" w:hAnsiTheme="minorEastAsia" w:eastAsiaTheme="minorEastAsia" w:cstheme="minorEastAsia"/>
                <w:bCs/>
                <w:color w:val="000000"/>
                <w:kern w:val="0"/>
                <w:szCs w:val="21"/>
                <w:lang w:bidi="ar"/>
              </w:rPr>
            </w:pPr>
          </w:p>
        </w:tc>
        <w:tc>
          <w:tcPr>
            <w:tcW w:w="734"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硬盘复制</w:t>
            </w:r>
          </w:p>
        </w:tc>
        <w:tc>
          <w:tcPr>
            <w:tcW w:w="2243"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kern w:val="0"/>
                <w:szCs w:val="21"/>
                <w:lang w:bidi="ar"/>
              </w:rPr>
            </w:pPr>
            <w:r>
              <w:rPr>
                <w:rFonts w:hint="eastAsia" w:asciiTheme="minorEastAsia" w:hAnsiTheme="minorEastAsia" w:eastAsiaTheme="minorEastAsia" w:cstheme="minorEastAsia"/>
                <w:bCs/>
                <w:color w:val="000000"/>
                <w:kern w:val="0"/>
                <w:szCs w:val="21"/>
                <w:lang w:bidi="ar"/>
              </w:rPr>
              <w:t>支持不少于8路硬盘只读及同时镜像</w:t>
            </w:r>
          </w:p>
        </w:tc>
        <w:tc>
          <w:tcPr>
            <w:tcW w:w="116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trPr>
        <w:tc>
          <w:tcPr>
            <w:tcW w:w="38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color w:val="000000"/>
                <w:kern w:val="0"/>
                <w:szCs w:val="21"/>
                <w:lang w:bidi="ar"/>
              </w:rPr>
            </w:pPr>
          </w:p>
        </w:tc>
        <w:tc>
          <w:tcPr>
            <w:tcW w:w="478"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heme="minorEastAsia" w:hAnsiTheme="minorEastAsia" w:eastAsiaTheme="minorEastAsia" w:cstheme="minorEastAsia"/>
                <w:bCs/>
                <w:color w:val="000000"/>
                <w:kern w:val="0"/>
                <w:szCs w:val="21"/>
                <w:lang w:bidi="ar"/>
              </w:rPr>
            </w:pPr>
          </w:p>
        </w:tc>
        <w:tc>
          <w:tcPr>
            <w:tcW w:w="734"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Theme="minorEastAsia" w:hAnsiTheme="minorEastAsia" w:eastAsiaTheme="minorEastAsia" w:cstheme="minorEastAsia"/>
                <w:szCs w:val="21"/>
              </w:rPr>
            </w:pPr>
          </w:p>
        </w:tc>
        <w:tc>
          <w:tcPr>
            <w:tcW w:w="2243"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kern w:val="0"/>
                <w:szCs w:val="21"/>
                <w:lang w:bidi="ar"/>
              </w:rPr>
            </w:pPr>
            <w:r>
              <w:rPr>
                <w:rFonts w:hint="eastAsia" w:asciiTheme="minorEastAsia" w:hAnsiTheme="minorEastAsia" w:eastAsiaTheme="minorEastAsia" w:cstheme="minorEastAsia"/>
                <w:bCs/>
                <w:color w:val="000000"/>
                <w:kern w:val="0"/>
                <w:szCs w:val="21"/>
                <w:lang w:bidi="ar"/>
              </w:rPr>
              <w:t>具备镜像功能，支持不少于3种校验格式（MD5，SHA1，SHA-256等），支持不少于3种镜像文件制作（DD镜像、E01镜像、AFF镜像）</w:t>
            </w:r>
          </w:p>
        </w:tc>
        <w:tc>
          <w:tcPr>
            <w:tcW w:w="116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color w:val="000000"/>
                <w:kern w:val="0"/>
                <w:szCs w:val="21"/>
                <w:lang w:bidi="ar"/>
              </w:rPr>
            </w:pPr>
          </w:p>
        </w:tc>
        <w:tc>
          <w:tcPr>
            <w:tcW w:w="478"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szCs w:val="21"/>
                <w:lang w:bidi="ar"/>
              </w:rPr>
              <w:t>★</w:t>
            </w:r>
          </w:p>
        </w:tc>
        <w:tc>
          <w:tcPr>
            <w:tcW w:w="73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取证能力</w:t>
            </w:r>
          </w:p>
        </w:tc>
        <w:tc>
          <w:tcPr>
            <w:tcW w:w="2243"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kern w:val="0"/>
                <w:szCs w:val="21"/>
                <w:lang w:bidi="ar"/>
              </w:rPr>
            </w:pPr>
            <w:r>
              <w:rPr>
                <w:rFonts w:hint="eastAsia" w:asciiTheme="minorEastAsia" w:hAnsiTheme="minorEastAsia" w:eastAsiaTheme="minorEastAsia" w:cstheme="minorEastAsia"/>
                <w:bCs/>
                <w:szCs w:val="21"/>
                <w:lang w:bidi="ar"/>
              </w:rPr>
              <w:t>支持FAT32、exFAT、NTFS、ReFS、CDFS、UDF、HFSX/HFS＋、APFS、EXT4、BTRFS、UFS、ReiserFS、XFS等不少于13种文件系统格式的解析</w:t>
            </w:r>
          </w:p>
        </w:tc>
        <w:tc>
          <w:tcPr>
            <w:tcW w:w="116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38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color w:val="000000"/>
                <w:kern w:val="0"/>
                <w:szCs w:val="21"/>
                <w:lang w:bidi="ar"/>
              </w:rPr>
            </w:pPr>
          </w:p>
        </w:tc>
        <w:tc>
          <w:tcPr>
            <w:tcW w:w="478"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szCs w:val="21"/>
                <w:lang w:bidi="ar"/>
              </w:rPr>
              <w:t>★</w:t>
            </w:r>
          </w:p>
        </w:tc>
        <w:tc>
          <w:tcPr>
            <w:tcW w:w="73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2243"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支持EOl、ExOl、L01、DD、001、ISO、VMDK、VHD、AFF、AFD、GHO、HDD、VHDX、QCOW等不少于14种镜像文件的加载和分析</w:t>
            </w:r>
          </w:p>
        </w:tc>
        <w:tc>
          <w:tcPr>
            <w:tcW w:w="1166"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检验报告</w:t>
            </w:r>
          </w:p>
          <w:p>
            <w:pPr>
              <w:jc w:val="center"/>
              <w:textAlignment w:val="center"/>
              <w:rPr>
                <w:rFonts w:asciiTheme="minorEastAsia" w:hAnsiTheme="minorEastAsia" w:eastAsiaTheme="minorEastAsia" w:cstheme="minorEastAsia"/>
                <w:bCs/>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2" w:hRule="atLeast"/>
        </w:trPr>
        <w:tc>
          <w:tcPr>
            <w:tcW w:w="38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color w:val="000000"/>
                <w:kern w:val="0"/>
                <w:szCs w:val="21"/>
                <w:lang w:bidi="ar"/>
              </w:rPr>
            </w:pPr>
          </w:p>
        </w:tc>
        <w:tc>
          <w:tcPr>
            <w:tcW w:w="478"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szCs w:val="21"/>
                <w:lang w:bidi="ar"/>
              </w:rPr>
              <w:t>★</w:t>
            </w:r>
          </w:p>
        </w:tc>
        <w:tc>
          <w:tcPr>
            <w:tcW w:w="73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2243"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支持RAID自盘组自动计算磁盘序列功能，支持JBOD、RAIDO、RAIDl、RAID5、RAID6、RAIDFl等不少于6种阵列重组</w:t>
            </w:r>
          </w:p>
        </w:tc>
        <w:tc>
          <w:tcPr>
            <w:tcW w:w="116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color w:val="000000"/>
                <w:kern w:val="0"/>
                <w:szCs w:val="21"/>
                <w:lang w:bidi="ar"/>
              </w:rPr>
            </w:pPr>
          </w:p>
        </w:tc>
        <w:tc>
          <w:tcPr>
            <w:tcW w:w="478"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szCs w:val="21"/>
                <w:lang w:bidi="ar"/>
              </w:rPr>
              <w:t>★</w:t>
            </w:r>
          </w:p>
        </w:tc>
        <w:tc>
          <w:tcPr>
            <w:tcW w:w="73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2243"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支持EFS、BitLocker、TrueCrypt、VeraCrypt、Luks、FileVault2不少于6种离线解密</w:t>
            </w:r>
          </w:p>
        </w:tc>
        <w:tc>
          <w:tcPr>
            <w:tcW w:w="116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trPr>
        <w:tc>
          <w:tcPr>
            <w:tcW w:w="38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color w:val="000000"/>
                <w:kern w:val="0"/>
                <w:szCs w:val="21"/>
                <w:lang w:bidi="ar"/>
              </w:rPr>
            </w:pPr>
          </w:p>
        </w:tc>
        <w:tc>
          <w:tcPr>
            <w:tcW w:w="478"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heme="minorEastAsia" w:hAnsiTheme="minorEastAsia" w:eastAsiaTheme="minorEastAsia" w:cstheme="minorEastAsia"/>
                <w:bCs/>
                <w:szCs w:val="21"/>
              </w:rPr>
            </w:pPr>
          </w:p>
        </w:tc>
        <w:tc>
          <w:tcPr>
            <w:tcW w:w="73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2243"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color w:val="000000"/>
                <w:kern w:val="0"/>
                <w:szCs w:val="21"/>
                <w:lang w:bidi="ar"/>
              </w:rPr>
              <w:t>支持不少于3种邮箱类应用程序解析，包括但不限于Foxmail、邮箱大师、OfficeOutlook等</w:t>
            </w:r>
          </w:p>
        </w:tc>
        <w:tc>
          <w:tcPr>
            <w:tcW w:w="116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trPr>
        <w:tc>
          <w:tcPr>
            <w:tcW w:w="38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color w:val="000000"/>
                <w:kern w:val="0"/>
                <w:szCs w:val="21"/>
                <w:lang w:bidi="ar"/>
              </w:rPr>
            </w:pPr>
          </w:p>
        </w:tc>
        <w:tc>
          <w:tcPr>
            <w:tcW w:w="478"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heme="minorEastAsia" w:hAnsiTheme="minorEastAsia" w:eastAsiaTheme="minorEastAsia" w:cstheme="minorEastAsia"/>
                <w:bCs/>
                <w:szCs w:val="21"/>
              </w:rPr>
            </w:pPr>
          </w:p>
        </w:tc>
        <w:tc>
          <w:tcPr>
            <w:tcW w:w="73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2243"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color w:val="000000"/>
                <w:kern w:val="0"/>
                <w:szCs w:val="21"/>
                <w:lang w:bidi="ar"/>
              </w:rPr>
              <w:t>支持电脑端QQ、微信登陆状态下，无需手机扫码验证即可获取不少于3种类型包括在线解析微信、QQ、钉钉的聊天记录、好友信息、群组信息，并支持删除记录的恢复</w:t>
            </w:r>
          </w:p>
        </w:tc>
        <w:tc>
          <w:tcPr>
            <w:tcW w:w="116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38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color w:val="000000"/>
                <w:kern w:val="0"/>
                <w:szCs w:val="21"/>
                <w:lang w:bidi="ar"/>
              </w:rPr>
            </w:pPr>
          </w:p>
        </w:tc>
        <w:tc>
          <w:tcPr>
            <w:tcW w:w="478"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heme="minorEastAsia" w:hAnsiTheme="minorEastAsia" w:eastAsiaTheme="minorEastAsia" w:cstheme="minorEastAsia"/>
                <w:bCs/>
                <w:szCs w:val="21"/>
              </w:rPr>
            </w:pPr>
          </w:p>
        </w:tc>
        <w:tc>
          <w:tcPr>
            <w:tcW w:w="73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2243"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color w:val="000000"/>
                <w:kern w:val="0"/>
                <w:szCs w:val="21"/>
                <w:lang w:bidi="ar"/>
              </w:rPr>
              <w:t>支持通过手机扫码对不少于2类加密数据进行解密解析，包括QQ、微信加密数据</w:t>
            </w:r>
          </w:p>
        </w:tc>
        <w:tc>
          <w:tcPr>
            <w:tcW w:w="116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trPr>
        <w:tc>
          <w:tcPr>
            <w:tcW w:w="38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color w:val="000000"/>
                <w:kern w:val="0"/>
                <w:szCs w:val="21"/>
                <w:lang w:bidi="ar"/>
              </w:rPr>
            </w:pPr>
          </w:p>
        </w:tc>
        <w:tc>
          <w:tcPr>
            <w:tcW w:w="478"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szCs w:val="21"/>
                <w:lang w:bidi="ar"/>
              </w:rPr>
              <w:t>★</w:t>
            </w:r>
          </w:p>
        </w:tc>
        <w:tc>
          <w:tcPr>
            <w:tcW w:w="73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2243"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rPr>
                <w:rFonts w:asciiTheme="minorEastAsia" w:hAnsiTheme="minorEastAsia" w:eastAsiaTheme="minorEastAsia" w:cstheme="minorEastAsia"/>
                <w:bCs/>
                <w:kern w:val="0"/>
                <w:szCs w:val="21"/>
                <w:lang w:bidi="ar"/>
              </w:rPr>
            </w:pPr>
            <w:r>
              <w:rPr>
                <w:rFonts w:hint="eastAsia" w:asciiTheme="minorEastAsia" w:hAnsiTheme="minorEastAsia" w:eastAsiaTheme="minorEastAsia" w:cstheme="minorEastAsia"/>
                <w:bCs/>
                <w:color w:val="000000"/>
                <w:szCs w:val="21"/>
                <w:lang w:bidi="ar"/>
              </w:rPr>
              <w:t>支持用户自主编程，编程方式简单，可视化、可调试、可拓展，可实现应用程序解析扩展、数据分析等不少于2种个性化需求</w:t>
            </w:r>
          </w:p>
        </w:tc>
        <w:tc>
          <w:tcPr>
            <w:tcW w:w="1166"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检验报告</w:t>
            </w:r>
          </w:p>
          <w:p>
            <w:pPr>
              <w:jc w:val="center"/>
              <w:textAlignment w:val="center"/>
              <w:rPr>
                <w:rFonts w:asciiTheme="minorEastAsia" w:hAnsiTheme="minorEastAsia" w:eastAsiaTheme="minorEastAsia" w:cstheme="minorEastAsia"/>
                <w:bCs/>
                <w:color w:val="000000"/>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38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kern w:val="0"/>
                <w:szCs w:val="21"/>
                <w:lang w:bidi="ar"/>
              </w:rPr>
            </w:pPr>
          </w:p>
        </w:tc>
        <w:tc>
          <w:tcPr>
            <w:tcW w:w="478"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heme="minorEastAsia" w:hAnsiTheme="minorEastAsia" w:eastAsiaTheme="minorEastAsia" w:cstheme="minorEastAsia"/>
                <w:bCs/>
                <w:kern w:val="0"/>
                <w:szCs w:val="21"/>
                <w:lang w:bidi="ar"/>
              </w:rPr>
            </w:pPr>
          </w:p>
        </w:tc>
        <w:tc>
          <w:tcPr>
            <w:tcW w:w="73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2243"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kern w:val="0"/>
                <w:szCs w:val="21"/>
                <w:lang w:bidi="ar"/>
              </w:rPr>
            </w:pPr>
            <w:r>
              <w:rPr>
                <w:rFonts w:hint="eastAsia" w:asciiTheme="minorEastAsia" w:hAnsiTheme="minorEastAsia" w:eastAsiaTheme="minorEastAsia" w:cstheme="minorEastAsia"/>
                <w:bCs/>
                <w:color w:val="000000"/>
                <w:kern w:val="0"/>
                <w:szCs w:val="21"/>
                <w:lang w:bidi="ar"/>
              </w:rPr>
              <w:t>支持文件签名分析、NTFS文件溯源分析、涉案分析等不少于3种分析功能</w:t>
            </w:r>
          </w:p>
        </w:tc>
        <w:tc>
          <w:tcPr>
            <w:tcW w:w="116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kern w:val="0"/>
                <w:szCs w:val="21"/>
                <w:lang w:bidi="ar"/>
              </w:rPr>
            </w:pPr>
            <w:r>
              <w:rPr>
                <w:rFonts w:hint="eastAsia" w:asciiTheme="minorEastAsia" w:hAnsiTheme="minorEastAsia" w:eastAsiaTheme="minorEastAsia" w:cstheme="minorEastAsia"/>
                <w:bCs/>
                <w:color w:val="000000"/>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38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kern w:val="0"/>
                <w:szCs w:val="21"/>
                <w:lang w:bidi="ar"/>
              </w:rPr>
            </w:pPr>
          </w:p>
        </w:tc>
        <w:tc>
          <w:tcPr>
            <w:tcW w:w="478"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heme="minorEastAsia" w:hAnsiTheme="minorEastAsia" w:eastAsiaTheme="minorEastAsia" w:cstheme="minorEastAsia"/>
                <w:bCs/>
                <w:kern w:val="0"/>
                <w:szCs w:val="21"/>
                <w:lang w:bidi="ar"/>
              </w:rPr>
            </w:pPr>
          </w:p>
        </w:tc>
        <w:tc>
          <w:tcPr>
            <w:tcW w:w="73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2243"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kern w:val="0"/>
                <w:szCs w:val="21"/>
                <w:lang w:bidi="ar"/>
              </w:rPr>
            </w:pPr>
            <w:r>
              <w:rPr>
                <w:rFonts w:hint="eastAsia" w:asciiTheme="minorEastAsia" w:hAnsiTheme="minorEastAsia" w:eastAsiaTheme="minorEastAsia" w:cstheme="minorEastAsia"/>
                <w:bCs/>
                <w:color w:val="000000"/>
                <w:kern w:val="0"/>
                <w:szCs w:val="21"/>
                <w:lang w:bidi="ar"/>
              </w:rPr>
              <w:t>支持内存镜像解析、镜像挂载本地磁盘等不少于2种功能</w:t>
            </w:r>
          </w:p>
        </w:tc>
        <w:tc>
          <w:tcPr>
            <w:tcW w:w="116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kern w:val="0"/>
                <w:szCs w:val="21"/>
                <w:lang w:bidi="ar"/>
              </w:rPr>
            </w:pPr>
            <w:r>
              <w:rPr>
                <w:rFonts w:hint="eastAsia" w:asciiTheme="minorEastAsia" w:hAnsiTheme="minorEastAsia" w:eastAsiaTheme="minorEastAsia" w:cstheme="minorEastAsia"/>
                <w:bCs/>
                <w:color w:val="000000"/>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trPr>
        <w:tc>
          <w:tcPr>
            <w:tcW w:w="38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color w:val="000000"/>
                <w:kern w:val="0"/>
                <w:szCs w:val="21"/>
                <w:lang w:bidi="ar"/>
              </w:rPr>
            </w:pPr>
          </w:p>
        </w:tc>
        <w:tc>
          <w:tcPr>
            <w:tcW w:w="478"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szCs w:val="21"/>
                <w:lang w:bidi="ar"/>
              </w:rPr>
              <w:t>★</w:t>
            </w:r>
          </w:p>
        </w:tc>
        <w:tc>
          <w:tcPr>
            <w:tcW w:w="73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2243"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支持将通过财务数据采集得到的企业电子数据（DAT文件）迅速导入系统中，包括财务账、固定资产账、存货账和工资账等不少于4种信息。将不同格式的财务账生成统一标准财务账格式</w:t>
            </w:r>
          </w:p>
        </w:tc>
        <w:tc>
          <w:tcPr>
            <w:tcW w:w="116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38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color w:val="000000"/>
                <w:kern w:val="0"/>
                <w:szCs w:val="21"/>
                <w:lang w:bidi="ar"/>
              </w:rPr>
            </w:pPr>
          </w:p>
        </w:tc>
        <w:tc>
          <w:tcPr>
            <w:tcW w:w="478"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heme="minorEastAsia" w:hAnsiTheme="minorEastAsia" w:eastAsiaTheme="minorEastAsia" w:cstheme="minorEastAsia"/>
                <w:bCs/>
                <w:color w:val="000000"/>
                <w:kern w:val="0"/>
                <w:szCs w:val="21"/>
                <w:lang w:bidi="ar"/>
              </w:rPr>
            </w:pPr>
          </w:p>
        </w:tc>
        <w:tc>
          <w:tcPr>
            <w:tcW w:w="734"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解密能力</w:t>
            </w:r>
          </w:p>
        </w:tc>
        <w:tc>
          <w:tcPr>
            <w:tcW w:w="2243"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kern w:val="0"/>
                <w:szCs w:val="21"/>
                <w:lang w:bidi="ar"/>
              </w:rPr>
            </w:pPr>
            <w:r>
              <w:rPr>
                <w:rFonts w:hint="eastAsia" w:asciiTheme="minorEastAsia" w:hAnsiTheme="minorEastAsia" w:eastAsiaTheme="minorEastAsia" w:cstheme="minorEastAsia"/>
                <w:bCs/>
                <w:color w:val="000000"/>
                <w:kern w:val="0"/>
                <w:szCs w:val="21"/>
                <w:lang w:bidi="ar"/>
              </w:rPr>
              <w:t>支持Bitlocker、TrueCrypt、VeraCrypt等不少于3种内存秘钥搜索及解密</w:t>
            </w:r>
          </w:p>
        </w:tc>
        <w:tc>
          <w:tcPr>
            <w:tcW w:w="116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38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478"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heme="minorEastAsia" w:hAnsiTheme="minorEastAsia" w:eastAsiaTheme="minorEastAsia" w:cstheme="minorEastAsia"/>
                <w:bCs/>
                <w:szCs w:val="21"/>
              </w:rPr>
            </w:pPr>
          </w:p>
        </w:tc>
        <w:tc>
          <w:tcPr>
            <w:tcW w:w="734"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Theme="minorEastAsia" w:hAnsiTheme="minorEastAsia" w:eastAsiaTheme="minorEastAsia" w:cstheme="minorEastAsia"/>
                <w:szCs w:val="21"/>
              </w:rPr>
            </w:pPr>
          </w:p>
        </w:tc>
        <w:tc>
          <w:tcPr>
            <w:tcW w:w="2243"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kern w:val="0"/>
                <w:szCs w:val="21"/>
                <w:lang w:bidi="ar"/>
              </w:rPr>
            </w:pPr>
            <w:r>
              <w:rPr>
                <w:rFonts w:hint="eastAsia" w:asciiTheme="minorEastAsia" w:hAnsiTheme="minorEastAsia" w:eastAsiaTheme="minorEastAsia" w:cstheme="minorEastAsia"/>
                <w:bCs/>
                <w:color w:val="000000"/>
                <w:kern w:val="0"/>
                <w:szCs w:val="21"/>
                <w:lang w:bidi="ar"/>
              </w:rPr>
              <w:t>支持VirtualBox、QEMU(KVM)、VMware虚拟磁盘等不少于3种解密</w:t>
            </w:r>
          </w:p>
        </w:tc>
        <w:tc>
          <w:tcPr>
            <w:tcW w:w="116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kern w:val="0"/>
                <w:szCs w:val="21"/>
                <w:lang w:bidi="ar"/>
              </w:rPr>
            </w:pPr>
            <w:r>
              <w:rPr>
                <w:rFonts w:hint="eastAsia" w:asciiTheme="minorEastAsia" w:hAnsiTheme="minorEastAsia" w:eastAsiaTheme="minorEastAsia" w:cstheme="minorEastAsia"/>
                <w:bCs/>
                <w:color w:val="000000"/>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38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color w:val="000000"/>
                <w:kern w:val="0"/>
                <w:szCs w:val="21"/>
                <w:lang w:bidi="ar"/>
              </w:rPr>
            </w:pPr>
          </w:p>
        </w:tc>
        <w:tc>
          <w:tcPr>
            <w:tcW w:w="478"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heme="minorEastAsia" w:hAnsiTheme="minorEastAsia" w:eastAsiaTheme="minorEastAsia" w:cstheme="minorEastAsia"/>
                <w:bCs/>
                <w:color w:val="000000"/>
                <w:kern w:val="0"/>
                <w:szCs w:val="21"/>
                <w:lang w:bidi="ar"/>
              </w:rPr>
            </w:pPr>
          </w:p>
        </w:tc>
        <w:tc>
          <w:tcPr>
            <w:tcW w:w="734"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textAlignment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数据恢复</w:t>
            </w:r>
          </w:p>
        </w:tc>
        <w:tc>
          <w:tcPr>
            <w:tcW w:w="2243"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kern w:val="0"/>
                <w:szCs w:val="21"/>
                <w:lang w:bidi="ar"/>
              </w:rPr>
            </w:pPr>
            <w:r>
              <w:rPr>
                <w:rFonts w:hint="eastAsia" w:asciiTheme="minorEastAsia" w:hAnsiTheme="minorEastAsia" w:eastAsiaTheme="minorEastAsia" w:cstheme="minorEastAsia"/>
                <w:bCs/>
                <w:color w:val="000000"/>
                <w:kern w:val="0"/>
                <w:szCs w:val="21"/>
                <w:lang w:bidi="ar"/>
              </w:rPr>
              <w:t>支持简单删除的文件恢复、格式化后的文件恢复、被删除的磁盘分区恢复等不少于3种类型进行恢复，</w:t>
            </w:r>
            <w:r>
              <w:rPr>
                <w:rFonts w:hint="eastAsia" w:asciiTheme="minorEastAsia" w:hAnsiTheme="minorEastAsia" w:eastAsiaTheme="minorEastAsia" w:cstheme="minorEastAsia"/>
                <w:bCs/>
                <w:szCs w:val="21"/>
                <w:lang w:bidi="ar"/>
              </w:rPr>
              <w:t>支持根据文件头尾特征对被删除文件进行恢复</w:t>
            </w:r>
          </w:p>
        </w:tc>
        <w:tc>
          <w:tcPr>
            <w:tcW w:w="116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38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478"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heme="minorEastAsia" w:hAnsiTheme="minorEastAsia" w:eastAsiaTheme="minorEastAsia" w:cstheme="minorEastAsia"/>
                <w:bCs/>
                <w:szCs w:val="21"/>
              </w:rPr>
            </w:pPr>
          </w:p>
        </w:tc>
        <w:tc>
          <w:tcPr>
            <w:tcW w:w="734"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Theme="minorEastAsia" w:hAnsiTheme="minorEastAsia" w:eastAsiaTheme="minorEastAsia" w:cstheme="minorEastAsia"/>
                <w:szCs w:val="21"/>
              </w:rPr>
            </w:pPr>
          </w:p>
        </w:tc>
        <w:tc>
          <w:tcPr>
            <w:tcW w:w="2243"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kern w:val="0"/>
                <w:szCs w:val="21"/>
                <w:lang w:bidi="ar"/>
              </w:rPr>
            </w:pPr>
            <w:r>
              <w:rPr>
                <w:rFonts w:hint="eastAsia" w:asciiTheme="minorEastAsia" w:hAnsiTheme="minorEastAsia" w:eastAsiaTheme="minorEastAsia" w:cstheme="minorEastAsia"/>
                <w:bCs/>
                <w:color w:val="000000"/>
                <w:kern w:val="0"/>
                <w:szCs w:val="21"/>
                <w:lang w:bidi="ar"/>
              </w:rPr>
              <w:t>支持修复不少于4种损坏的文件，包括视频、音频、图片、PDF及压缩文档等</w:t>
            </w:r>
          </w:p>
        </w:tc>
        <w:tc>
          <w:tcPr>
            <w:tcW w:w="116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kern w:val="0"/>
                <w:szCs w:val="21"/>
                <w:lang w:bidi="ar"/>
              </w:rPr>
            </w:pPr>
            <w:r>
              <w:rPr>
                <w:rFonts w:hint="eastAsia" w:asciiTheme="minorEastAsia" w:hAnsiTheme="minorEastAsia" w:eastAsiaTheme="minorEastAsia" w:cstheme="minorEastAsia"/>
                <w:bCs/>
                <w:color w:val="000000"/>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38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color w:val="000000"/>
                <w:kern w:val="0"/>
                <w:szCs w:val="21"/>
                <w:lang w:bidi="ar"/>
              </w:rPr>
            </w:pPr>
          </w:p>
        </w:tc>
        <w:tc>
          <w:tcPr>
            <w:tcW w:w="478"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heme="minorEastAsia" w:hAnsiTheme="minorEastAsia" w:eastAsiaTheme="minorEastAsia" w:cstheme="minorEastAsia"/>
                <w:bCs/>
                <w:color w:val="000000"/>
                <w:kern w:val="0"/>
                <w:szCs w:val="21"/>
                <w:lang w:bidi="ar"/>
              </w:rPr>
            </w:pPr>
          </w:p>
        </w:tc>
        <w:tc>
          <w:tcPr>
            <w:tcW w:w="734" w:type="pct"/>
            <w:vMerge w:val="restart"/>
            <w:tcBorders>
              <w:top w:val="single" w:color="auto" w:sz="4" w:space="0"/>
              <w:left w:val="single" w:color="auto" w:sz="4" w:space="0"/>
              <w:right w:val="single" w:color="auto" w:sz="4" w:space="0"/>
            </w:tcBorders>
            <w:shd w:val="clear" w:color="auto" w:fill="auto"/>
            <w:noWrap/>
            <w:vAlign w:val="center"/>
          </w:tcPr>
          <w:p>
            <w:pPr>
              <w:textAlignment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多语言支持</w:t>
            </w:r>
          </w:p>
        </w:tc>
        <w:tc>
          <w:tcPr>
            <w:tcW w:w="2243"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kern w:val="0"/>
                <w:szCs w:val="21"/>
                <w:lang w:bidi="ar"/>
              </w:rPr>
            </w:pPr>
            <w:r>
              <w:rPr>
                <w:rFonts w:hint="eastAsia" w:asciiTheme="minorEastAsia" w:hAnsiTheme="minorEastAsia" w:eastAsiaTheme="minorEastAsia" w:cstheme="minorEastAsia"/>
                <w:bCs/>
                <w:color w:val="000000"/>
                <w:kern w:val="0"/>
                <w:szCs w:val="21"/>
                <w:lang w:bidi="ar"/>
              </w:rPr>
              <w:t>支持联网状态下对即时通讯内容的维文转汉文翻译、语音转文字等不少于2种功能</w:t>
            </w:r>
          </w:p>
        </w:tc>
        <w:tc>
          <w:tcPr>
            <w:tcW w:w="116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38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478"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heme="minorEastAsia" w:hAnsiTheme="minorEastAsia" w:eastAsiaTheme="minorEastAsia" w:cstheme="minorEastAsia"/>
                <w:bCs/>
                <w:szCs w:val="21"/>
              </w:rPr>
            </w:pPr>
          </w:p>
        </w:tc>
        <w:tc>
          <w:tcPr>
            <w:tcW w:w="734" w:type="pct"/>
            <w:vMerge w:val="continue"/>
            <w:tcBorders>
              <w:left w:val="single" w:color="auto" w:sz="4" w:space="0"/>
              <w:bottom w:val="single" w:color="auto" w:sz="4" w:space="0"/>
              <w:right w:val="single" w:color="auto" w:sz="4" w:space="0"/>
            </w:tcBorders>
            <w:shd w:val="clear" w:color="auto" w:fill="auto"/>
            <w:noWrap/>
            <w:vAlign w:val="center"/>
          </w:tcPr>
          <w:p>
            <w:pPr>
              <w:rPr>
                <w:rFonts w:asciiTheme="minorEastAsia" w:hAnsiTheme="minorEastAsia" w:eastAsiaTheme="minorEastAsia" w:cstheme="minorEastAsia"/>
                <w:szCs w:val="21"/>
              </w:rPr>
            </w:pPr>
          </w:p>
        </w:tc>
        <w:tc>
          <w:tcPr>
            <w:tcW w:w="2243"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kern w:val="0"/>
                <w:szCs w:val="21"/>
                <w:lang w:bidi="ar"/>
              </w:rPr>
            </w:pPr>
            <w:r>
              <w:rPr>
                <w:rFonts w:hint="eastAsia" w:asciiTheme="minorEastAsia" w:hAnsiTheme="minorEastAsia" w:eastAsiaTheme="minorEastAsia" w:cstheme="minorEastAsia"/>
                <w:bCs/>
                <w:color w:val="000000"/>
                <w:kern w:val="0"/>
                <w:szCs w:val="21"/>
                <w:lang w:bidi="ar"/>
              </w:rPr>
              <w:t>支持对即时通讯中的不少于2种语音进行转换，包括不限于将维文转化成汉文、语音转文字等</w:t>
            </w:r>
          </w:p>
        </w:tc>
        <w:tc>
          <w:tcPr>
            <w:tcW w:w="116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kern w:val="0"/>
                <w:szCs w:val="21"/>
                <w:lang w:bidi="ar"/>
              </w:rPr>
            </w:pPr>
            <w:r>
              <w:rPr>
                <w:rFonts w:hint="eastAsia" w:asciiTheme="minorEastAsia" w:hAnsiTheme="minorEastAsia" w:eastAsiaTheme="minorEastAsia" w:cstheme="minorEastAsia"/>
                <w:bCs/>
                <w:color w:val="000000"/>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38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kern w:val="0"/>
                <w:szCs w:val="21"/>
                <w:lang w:bidi="ar"/>
              </w:rPr>
            </w:pPr>
          </w:p>
        </w:tc>
        <w:tc>
          <w:tcPr>
            <w:tcW w:w="478"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heme="minorEastAsia" w:hAnsiTheme="minorEastAsia" w:eastAsiaTheme="minorEastAsia" w:cstheme="minorEastAsia"/>
                <w:bCs/>
                <w:kern w:val="0"/>
                <w:szCs w:val="21"/>
                <w:lang w:bidi="ar"/>
              </w:rPr>
            </w:pPr>
          </w:p>
        </w:tc>
        <w:tc>
          <w:tcPr>
            <w:tcW w:w="734" w:type="pct"/>
            <w:vMerge w:val="restart"/>
            <w:tcBorders>
              <w:top w:val="single" w:color="auto" w:sz="4" w:space="0"/>
              <w:left w:val="single" w:color="auto" w:sz="4" w:space="0"/>
              <w:right w:val="single" w:color="auto" w:sz="4" w:space="0"/>
            </w:tcBorders>
            <w:shd w:val="clear" w:color="auto" w:fill="auto"/>
            <w:noWrap/>
            <w:vAlign w:val="center"/>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仿真</w:t>
            </w:r>
          </w:p>
        </w:tc>
        <w:tc>
          <w:tcPr>
            <w:tcW w:w="2243"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kern w:val="0"/>
                <w:szCs w:val="21"/>
                <w:lang w:bidi="ar"/>
              </w:rPr>
            </w:pPr>
            <w:r>
              <w:rPr>
                <w:rFonts w:hint="eastAsia" w:asciiTheme="minorEastAsia" w:hAnsiTheme="minorEastAsia" w:eastAsiaTheme="minorEastAsia" w:cstheme="minorEastAsia"/>
                <w:bCs/>
                <w:color w:val="000000"/>
                <w:kern w:val="0"/>
                <w:szCs w:val="21"/>
                <w:lang w:bidi="ar"/>
              </w:rPr>
              <w:t>支持直接查看物理磁盘或镜像中的分区、操作系统及用户等不少于2种重要信息</w:t>
            </w:r>
          </w:p>
        </w:tc>
        <w:tc>
          <w:tcPr>
            <w:tcW w:w="116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kern w:val="0"/>
                <w:szCs w:val="21"/>
                <w:lang w:bidi="ar"/>
              </w:rPr>
            </w:pPr>
            <w:r>
              <w:rPr>
                <w:rFonts w:hint="eastAsia" w:asciiTheme="minorEastAsia" w:hAnsiTheme="minorEastAsia" w:eastAsiaTheme="minorEastAsia" w:cstheme="minorEastAsia"/>
                <w:bCs/>
                <w:color w:val="000000"/>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38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kern w:val="0"/>
                <w:szCs w:val="21"/>
                <w:lang w:bidi="ar"/>
              </w:rPr>
            </w:pPr>
          </w:p>
        </w:tc>
        <w:tc>
          <w:tcPr>
            <w:tcW w:w="478"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heme="minorEastAsia" w:hAnsiTheme="minorEastAsia" w:eastAsiaTheme="minorEastAsia" w:cstheme="minorEastAsia"/>
                <w:bCs/>
                <w:kern w:val="0"/>
                <w:szCs w:val="21"/>
                <w:lang w:bidi="ar"/>
              </w:rPr>
            </w:pPr>
          </w:p>
        </w:tc>
        <w:tc>
          <w:tcPr>
            <w:tcW w:w="734" w:type="pct"/>
            <w:vMerge w:val="continue"/>
            <w:tcBorders>
              <w:left w:val="single" w:color="auto" w:sz="4" w:space="0"/>
              <w:right w:val="single" w:color="auto" w:sz="4" w:space="0"/>
            </w:tcBorders>
            <w:shd w:val="clear" w:color="auto" w:fill="auto"/>
            <w:noWrap/>
            <w:vAlign w:val="center"/>
          </w:tcPr>
          <w:p>
            <w:pPr>
              <w:rPr>
                <w:rFonts w:asciiTheme="minorEastAsia" w:hAnsiTheme="minorEastAsia" w:eastAsiaTheme="minorEastAsia" w:cstheme="minorEastAsia"/>
                <w:szCs w:val="21"/>
              </w:rPr>
            </w:pPr>
          </w:p>
        </w:tc>
        <w:tc>
          <w:tcPr>
            <w:tcW w:w="2243"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kern w:val="0"/>
                <w:szCs w:val="21"/>
                <w:lang w:bidi="ar"/>
              </w:rPr>
            </w:pPr>
            <w:r>
              <w:rPr>
                <w:rFonts w:hint="eastAsia" w:asciiTheme="minorEastAsia" w:hAnsiTheme="minorEastAsia" w:eastAsiaTheme="minorEastAsia" w:cstheme="minorEastAsia"/>
                <w:bCs/>
                <w:color w:val="000000"/>
                <w:kern w:val="0"/>
                <w:szCs w:val="21"/>
                <w:lang w:bidi="ar"/>
              </w:rPr>
              <w:t>支持不少于2种系统仿真失败时的启动项修复</w:t>
            </w:r>
          </w:p>
        </w:tc>
        <w:tc>
          <w:tcPr>
            <w:tcW w:w="116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kern w:val="0"/>
                <w:szCs w:val="21"/>
                <w:lang w:bidi="ar"/>
              </w:rPr>
            </w:pPr>
            <w:r>
              <w:rPr>
                <w:rFonts w:hint="eastAsia" w:asciiTheme="minorEastAsia" w:hAnsiTheme="minorEastAsia" w:eastAsiaTheme="minorEastAsia" w:cstheme="minorEastAsia"/>
                <w:bCs/>
                <w:color w:val="000000"/>
                <w:szCs w:val="21"/>
                <w:lang w:bidi="ar"/>
              </w:rPr>
              <w:t>承诺函</w:t>
            </w:r>
          </w:p>
        </w:tc>
      </w:tr>
    </w:tbl>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第1包 一体化电子取证工作站</w:t>
      </w:r>
      <w:r>
        <w:rPr>
          <w:rFonts w:hint="default" w:ascii="Times New Roman" w:hAnsi="Times New Roman" w:cs="Times New Roman" w:eastAsiaTheme="minorEastAsia"/>
          <w:szCs w:val="21"/>
          <w:highlight w:val="none"/>
        </w:rPr>
        <w:t>Ⅰ</w:t>
      </w:r>
    </w:p>
    <w:tbl>
      <w:tblPr>
        <w:tblStyle w:val="8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7"/>
        <w:gridCol w:w="869"/>
        <w:gridCol w:w="1516"/>
        <w:gridCol w:w="4152"/>
        <w:gridCol w:w="1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36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序号</w:t>
            </w:r>
          </w:p>
        </w:tc>
        <w:tc>
          <w:tcPr>
            <w:tcW w:w="51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重要性</w:t>
            </w:r>
          </w:p>
        </w:tc>
        <w:tc>
          <w:tcPr>
            <w:tcW w:w="89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指标项</w:t>
            </w:r>
          </w:p>
        </w:tc>
        <w:tc>
          <w:tcPr>
            <w:tcW w:w="243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指标要求</w:t>
            </w:r>
          </w:p>
        </w:tc>
        <w:tc>
          <w:tcPr>
            <w:tcW w:w="80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证明材料要求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36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kern w:val="0"/>
                <w:szCs w:val="21"/>
                <w:lang w:bidi="ar"/>
              </w:rPr>
            </w:pPr>
          </w:p>
        </w:tc>
        <w:tc>
          <w:tcPr>
            <w:tcW w:w="510"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color w:val="000000"/>
                <w:kern w:val="0"/>
                <w:szCs w:val="21"/>
                <w:lang w:bidi="ar"/>
              </w:rPr>
              <w:t>▲</w:t>
            </w:r>
          </w:p>
        </w:tc>
        <w:tc>
          <w:tcPr>
            <w:tcW w:w="89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并行能力</w:t>
            </w:r>
          </w:p>
        </w:tc>
        <w:tc>
          <w:tcPr>
            <w:tcW w:w="2437"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kern w:val="0"/>
                <w:szCs w:val="21"/>
                <w:lang w:bidi="ar"/>
              </w:rPr>
            </w:pPr>
            <w:r>
              <w:rPr>
                <w:rFonts w:hint="eastAsia" w:asciiTheme="minorEastAsia" w:hAnsiTheme="minorEastAsia" w:eastAsiaTheme="minorEastAsia" w:cstheme="minorEastAsia"/>
                <w:bCs/>
                <w:color w:val="000000"/>
                <w:kern w:val="0"/>
                <w:szCs w:val="21"/>
                <w:lang w:bidi="ar"/>
              </w:rPr>
              <w:t>支持不低于12路手机取证，至少包括8路直连取证和4路Wi-Fi取证</w:t>
            </w:r>
          </w:p>
        </w:tc>
        <w:tc>
          <w:tcPr>
            <w:tcW w:w="801" w:type="pct"/>
            <w:tcBorders>
              <w:top w:val="single" w:color="auto" w:sz="4" w:space="0"/>
              <w:left w:val="single" w:color="auto" w:sz="4" w:space="0"/>
              <w:bottom w:val="single" w:color="auto" w:sz="4" w:space="0"/>
              <w:right w:val="single" w:color="auto" w:sz="4" w:space="0"/>
            </w:tcBorders>
            <w:shd w:val="clear" w:color="auto" w:fill="auto"/>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color w:val="000000"/>
                <w:szCs w:val="21"/>
                <w:lang w:bidi="ar"/>
              </w:rPr>
              <w:t>产品合格证/官方网站截图/白皮书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36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kern w:val="0"/>
                <w:szCs w:val="21"/>
                <w:lang w:bidi="ar"/>
              </w:rPr>
            </w:pPr>
          </w:p>
        </w:tc>
        <w:tc>
          <w:tcPr>
            <w:tcW w:w="510" w:type="pct"/>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ind w:firstLine="210" w:firstLineChars="100"/>
              <w:jc w:val="center"/>
              <w:rPr>
                <w:rFonts w:asciiTheme="minorEastAsia" w:hAnsiTheme="minorEastAsia" w:eastAsiaTheme="minorEastAsia" w:cstheme="minorEastAsia"/>
                <w:bCs/>
                <w:kern w:val="0"/>
                <w:szCs w:val="21"/>
                <w:lang w:bidi="ar"/>
              </w:rPr>
            </w:pPr>
            <w:r>
              <w:rPr>
                <w:rFonts w:hint="eastAsia" w:asciiTheme="minorEastAsia" w:hAnsiTheme="minorEastAsia" w:eastAsiaTheme="minorEastAsia" w:cstheme="minorEastAsia"/>
                <w:color w:val="000000"/>
                <w:kern w:val="0"/>
                <w:szCs w:val="21"/>
                <w:lang w:bidi="ar"/>
              </w:rPr>
              <w:t>▲</w:t>
            </w:r>
          </w:p>
        </w:tc>
        <w:tc>
          <w:tcPr>
            <w:tcW w:w="890"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Theme="minorEastAsia" w:hAnsiTheme="minorEastAsia" w:eastAsiaTheme="minorEastAsia" w:cstheme="minorEastAsia"/>
                <w:szCs w:val="21"/>
              </w:rPr>
            </w:pPr>
          </w:p>
        </w:tc>
        <w:tc>
          <w:tcPr>
            <w:tcW w:w="2437"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kern w:val="0"/>
                <w:szCs w:val="21"/>
                <w:lang w:bidi="ar"/>
              </w:rPr>
            </w:pPr>
            <w:r>
              <w:rPr>
                <w:rFonts w:hint="eastAsia" w:asciiTheme="minorEastAsia" w:hAnsiTheme="minorEastAsia" w:eastAsiaTheme="minorEastAsia" w:cstheme="minorEastAsia"/>
                <w:bCs/>
                <w:color w:val="000000"/>
                <w:kern w:val="0"/>
                <w:szCs w:val="21"/>
                <w:lang w:bidi="ar"/>
              </w:rPr>
              <w:t>支持在手机取证时可同时处理数据浏览、数据搜索、导出报告、数据分析等不少于4类取证工作</w:t>
            </w:r>
          </w:p>
        </w:tc>
        <w:tc>
          <w:tcPr>
            <w:tcW w:w="801" w:type="pct"/>
            <w:tcBorders>
              <w:top w:val="single" w:color="auto" w:sz="4" w:space="0"/>
              <w:left w:val="single" w:color="auto" w:sz="4" w:space="0"/>
              <w:bottom w:val="single" w:color="auto" w:sz="4" w:space="0"/>
              <w:right w:val="single" w:color="auto" w:sz="4" w:space="0"/>
            </w:tcBorders>
            <w:shd w:val="clear" w:color="auto" w:fill="auto"/>
          </w:tcPr>
          <w:p>
            <w:pPr>
              <w:snapToGrid w:val="0"/>
              <w:rPr>
                <w:rFonts w:asciiTheme="minorEastAsia" w:hAnsiTheme="minorEastAsia" w:eastAsiaTheme="minorEastAsia" w:cstheme="minorEastAsia"/>
                <w:bCs/>
                <w:kern w:val="0"/>
                <w:szCs w:val="21"/>
                <w:lang w:bidi="ar"/>
              </w:rPr>
            </w:pPr>
            <w:r>
              <w:rPr>
                <w:rFonts w:hint="eastAsia" w:asciiTheme="minorEastAsia" w:hAnsiTheme="minorEastAsia" w:eastAsiaTheme="minorEastAsia" w:cstheme="minorEastAsia"/>
                <w:color w:val="000000"/>
                <w:szCs w:val="21"/>
                <w:lang w:bidi="ar"/>
              </w:rPr>
              <w:t>产品合格证/官方网站截图/白皮书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 w:hRule="atLeast"/>
          <w:jc w:val="center"/>
        </w:trPr>
        <w:tc>
          <w:tcPr>
            <w:tcW w:w="36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kern w:val="0"/>
                <w:szCs w:val="21"/>
                <w:lang w:bidi="ar"/>
              </w:rPr>
            </w:pPr>
          </w:p>
        </w:tc>
        <w:tc>
          <w:tcPr>
            <w:tcW w:w="510"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color w:val="000000"/>
                <w:kern w:val="0"/>
                <w:szCs w:val="21"/>
                <w:lang w:bidi="ar"/>
              </w:rPr>
              <w:t>▲</w:t>
            </w:r>
          </w:p>
        </w:tc>
        <w:tc>
          <w:tcPr>
            <w:tcW w:w="89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多维度取证</w:t>
            </w:r>
          </w:p>
        </w:tc>
        <w:tc>
          <w:tcPr>
            <w:tcW w:w="2437"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kern w:val="0"/>
                <w:szCs w:val="21"/>
                <w:lang w:bidi="ar"/>
              </w:rPr>
            </w:pPr>
            <w:r>
              <w:rPr>
                <w:rFonts w:hint="eastAsia" w:asciiTheme="minorEastAsia" w:hAnsiTheme="minorEastAsia" w:eastAsiaTheme="minorEastAsia" w:cstheme="minorEastAsia"/>
                <w:bCs/>
                <w:color w:val="000000"/>
                <w:kern w:val="0"/>
                <w:szCs w:val="21"/>
                <w:lang w:bidi="ar"/>
              </w:rPr>
              <w:t>支持汽车导航、财务数据等不少于2种对象取证</w:t>
            </w:r>
          </w:p>
        </w:tc>
        <w:tc>
          <w:tcPr>
            <w:tcW w:w="801" w:type="pct"/>
            <w:tcBorders>
              <w:top w:val="single" w:color="auto" w:sz="4" w:space="0"/>
              <w:left w:val="single" w:color="auto" w:sz="4" w:space="0"/>
              <w:bottom w:val="single" w:color="auto" w:sz="4" w:space="0"/>
              <w:right w:val="single" w:color="auto" w:sz="4" w:space="0"/>
            </w:tcBorders>
            <w:shd w:val="clear" w:color="auto" w:fill="auto"/>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color w:val="000000"/>
                <w:szCs w:val="21"/>
                <w:lang w:bidi="ar"/>
              </w:rPr>
              <w:t>产品合格证/官方网站截图/白皮书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 w:hRule="atLeast"/>
          <w:jc w:val="center"/>
        </w:trPr>
        <w:tc>
          <w:tcPr>
            <w:tcW w:w="36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kern w:val="0"/>
                <w:szCs w:val="21"/>
                <w:lang w:bidi="ar"/>
              </w:rPr>
            </w:pPr>
          </w:p>
        </w:tc>
        <w:tc>
          <w:tcPr>
            <w:tcW w:w="510" w:type="pct"/>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jc w:val="center"/>
              <w:rPr>
                <w:rFonts w:asciiTheme="minorEastAsia" w:hAnsiTheme="minorEastAsia" w:eastAsiaTheme="minorEastAsia" w:cstheme="minorEastAsia"/>
                <w:bCs/>
                <w:kern w:val="0"/>
                <w:szCs w:val="21"/>
                <w:lang w:bidi="ar"/>
              </w:rPr>
            </w:pPr>
            <w:r>
              <w:rPr>
                <w:rFonts w:hint="eastAsia" w:asciiTheme="minorEastAsia" w:hAnsiTheme="minorEastAsia" w:eastAsiaTheme="minorEastAsia" w:cstheme="minorEastAsia"/>
                <w:szCs w:val="21"/>
                <w:lang w:bidi="ar"/>
              </w:rPr>
              <w:t>★</w:t>
            </w:r>
          </w:p>
        </w:tc>
        <w:tc>
          <w:tcPr>
            <w:tcW w:w="89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2437"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kern w:val="0"/>
                <w:szCs w:val="21"/>
                <w:lang w:bidi="ar"/>
              </w:rPr>
            </w:pPr>
            <w:r>
              <w:rPr>
                <w:rFonts w:hint="eastAsia" w:asciiTheme="minorEastAsia" w:hAnsiTheme="minorEastAsia" w:eastAsiaTheme="minorEastAsia" w:cstheme="minorEastAsia"/>
                <w:bCs/>
                <w:color w:val="000000"/>
                <w:kern w:val="0"/>
                <w:szCs w:val="21"/>
                <w:lang w:bidi="ar"/>
              </w:rPr>
              <w:t>支持手机、计算机融合分析，包括人物画像、社会关系分析、时空分析、经济行为分析、行为习惯分析、视频图像分析、多人关系分析、涉嫌分析、高频词分析、敏感人分析等不少于10种分析功能</w:t>
            </w:r>
          </w:p>
        </w:tc>
        <w:tc>
          <w:tcPr>
            <w:tcW w:w="801"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heme="minorEastAsia" w:hAnsiTheme="minorEastAsia" w:eastAsiaTheme="minorEastAsia" w:cstheme="minorEastAsia"/>
                <w:bCs/>
                <w:kern w:val="0"/>
                <w:szCs w:val="21"/>
                <w:lang w:bidi="ar"/>
              </w:rPr>
            </w:pPr>
            <w:r>
              <w:rPr>
                <w:rFonts w:hint="eastAsia" w:asciiTheme="minorEastAsia" w:hAnsiTheme="minorEastAsia" w:eastAsiaTheme="minorEastAsia" w:cstheme="minorEastAsia"/>
                <w:bCs/>
                <w:color w:val="000000"/>
                <w:kern w:val="0"/>
                <w:szCs w:val="21"/>
                <w:lang w:bidi="ar"/>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6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kern w:val="0"/>
                <w:szCs w:val="21"/>
                <w:lang w:bidi="ar"/>
              </w:rPr>
            </w:pPr>
          </w:p>
        </w:tc>
        <w:tc>
          <w:tcPr>
            <w:tcW w:w="510"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heme="minorEastAsia" w:hAnsiTheme="minorEastAsia" w:eastAsiaTheme="minorEastAsia" w:cstheme="minorEastAsia"/>
                <w:bCs/>
                <w:color w:val="000000"/>
                <w:kern w:val="0"/>
                <w:szCs w:val="21"/>
                <w:lang w:bidi="ar"/>
              </w:rPr>
            </w:pPr>
          </w:p>
        </w:tc>
        <w:tc>
          <w:tcPr>
            <w:tcW w:w="89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2437"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color w:val="000000"/>
                <w:kern w:val="0"/>
                <w:szCs w:val="21"/>
                <w:lang w:bidi="ar"/>
              </w:rPr>
              <w:t>支持不少于8路硬盘只读及同时镜像，支持对异常扇区磁盘多次尝试复制功能，多次尝试复制失败后系统自动跳过异常扇区继续进行复制操作</w:t>
            </w:r>
          </w:p>
        </w:tc>
        <w:tc>
          <w:tcPr>
            <w:tcW w:w="801" w:type="pct"/>
            <w:tcBorders>
              <w:top w:val="single" w:color="auto" w:sz="4" w:space="0"/>
              <w:left w:val="single" w:color="auto" w:sz="4" w:space="0"/>
              <w:bottom w:val="single" w:color="auto" w:sz="4" w:space="0"/>
              <w:right w:val="single" w:color="auto" w:sz="4" w:space="0"/>
            </w:tcBorders>
            <w:shd w:val="clear" w:color="auto" w:fill="auto"/>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 w:hRule="atLeast"/>
          <w:jc w:val="center"/>
        </w:trPr>
        <w:tc>
          <w:tcPr>
            <w:tcW w:w="36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kern w:val="0"/>
                <w:szCs w:val="21"/>
                <w:lang w:bidi="ar"/>
              </w:rPr>
            </w:pPr>
          </w:p>
        </w:tc>
        <w:tc>
          <w:tcPr>
            <w:tcW w:w="510"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heme="minorEastAsia" w:hAnsiTheme="minorEastAsia" w:eastAsiaTheme="minorEastAsia" w:cstheme="minorEastAsia"/>
                <w:bCs/>
                <w:szCs w:val="21"/>
              </w:rPr>
            </w:pPr>
          </w:p>
        </w:tc>
        <w:tc>
          <w:tcPr>
            <w:tcW w:w="890"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Theme="minorEastAsia" w:hAnsiTheme="minorEastAsia" w:eastAsiaTheme="minorEastAsia" w:cstheme="minorEastAsia"/>
                <w:szCs w:val="21"/>
              </w:rPr>
            </w:pPr>
          </w:p>
        </w:tc>
        <w:tc>
          <w:tcPr>
            <w:tcW w:w="2437"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支持电脑端QQ、微信登陆状态下，无需手机扫码验证即可在线解析微信、QQ、钉钉等不少于3种即时通讯的聊天记录、好友信息、群组信息，并支持删除记录的恢复</w:t>
            </w:r>
          </w:p>
        </w:tc>
        <w:tc>
          <w:tcPr>
            <w:tcW w:w="801" w:type="pct"/>
            <w:tcBorders>
              <w:top w:val="single" w:color="auto" w:sz="4" w:space="0"/>
              <w:left w:val="single" w:color="auto" w:sz="4" w:space="0"/>
              <w:bottom w:val="single" w:color="auto" w:sz="4" w:space="0"/>
              <w:right w:val="single" w:color="auto" w:sz="4" w:space="0"/>
            </w:tcBorders>
            <w:shd w:val="clear" w:color="auto" w:fill="auto"/>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 w:hRule="atLeast"/>
          <w:jc w:val="center"/>
        </w:trPr>
        <w:tc>
          <w:tcPr>
            <w:tcW w:w="36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kern w:val="0"/>
                <w:szCs w:val="21"/>
                <w:lang w:bidi="ar"/>
              </w:rPr>
            </w:pPr>
          </w:p>
        </w:tc>
        <w:tc>
          <w:tcPr>
            <w:tcW w:w="510"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heme="minorEastAsia" w:hAnsiTheme="minorEastAsia" w:eastAsiaTheme="minorEastAsia" w:cstheme="minorEastAsia"/>
                <w:bCs/>
                <w:color w:val="000000"/>
                <w:kern w:val="0"/>
                <w:szCs w:val="21"/>
                <w:lang w:bidi="ar"/>
              </w:rPr>
            </w:pPr>
          </w:p>
        </w:tc>
        <w:tc>
          <w:tcPr>
            <w:tcW w:w="890"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Theme="minorEastAsia" w:hAnsiTheme="minorEastAsia" w:eastAsiaTheme="minorEastAsia" w:cstheme="minorEastAsia"/>
                <w:szCs w:val="21"/>
              </w:rPr>
            </w:pPr>
          </w:p>
        </w:tc>
        <w:tc>
          <w:tcPr>
            <w:tcW w:w="2437"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支持根据文件签名等特征信息，在未分配簇、Pagefile.sys、Hiberfil.sys等不少于3个位置进行文件签名恢复</w:t>
            </w:r>
          </w:p>
        </w:tc>
        <w:tc>
          <w:tcPr>
            <w:tcW w:w="801" w:type="pct"/>
            <w:tcBorders>
              <w:top w:val="single" w:color="auto" w:sz="4" w:space="0"/>
              <w:left w:val="single" w:color="auto" w:sz="4" w:space="0"/>
              <w:bottom w:val="single" w:color="auto" w:sz="4" w:space="0"/>
              <w:right w:val="single" w:color="auto" w:sz="4" w:space="0"/>
            </w:tcBorders>
            <w:shd w:val="clear" w:color="auto" w:fill="auto"/>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 w:hRule="atLeast"/>
          <w:jc w:val="center"/>
        </w:trPr>
        <w:tc>
          <w:tcPr>
            <w:tcW w:w="36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kern w:val="0"/>
                <w:szCs w:val="21"/>
                <w:lang w:bidi="ar"/>
              </w:rPr>
            </w:pPr>
          </w:p>
        </w:tc>
        <w:tc>
          <w:tcPr>
            <w:tcW w:w="510"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heme="minorEastAsia" w:hAnsiTheme="minorEastAsia" w:eastAsiaTheme="minorEastAsia" w:cstheme="minorEastAsia"/>
                <w:bCs/>
                <w:color w:val="000000"/>
                <w:kern w:val="0"/>
                <w:szCs w:val="21"/>
                <w:lang w:bidi="ar"/>
              </w:rPr>
            </w:pPr>
          </w:p>
        </w:tc>
        <w:tc>
          <w:tcPr>
            <w:tcW w:w="890"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Theme="minorEastAsia" w:hAnsiTheme="minorEastAsia" w:eastAsiaTheme="minorEastAsia" w:cstheme="minorEastAsia"/>
                <w:szCs w:val="21"/>
              </w:rPr>
            </w:pPr>
          </w:p>
        </w:tc>
        <w:tc>
          <w:tcPr>
            <w:tcW w:w="2437"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支持NTFS文件溯源分析、涉案分析等不少于2种分析功能</w:t>
            </w:r>
          </w:p>
        </w:tc>
        <w:tc>
          <w:tcPr>
            <w:tcW w:w="801" w:type="pct"/>
            <w:tcBorders>
              <w:top w:val="single" w:color="auto" w:sz="4" w:space="0"/>
              <w:left w:val="single" w:color="auto" w:sz="4" w:space="0"/>
              <w:bottom w:val="single" w:color="auto" w:sz="4" w:space="0"/>
              <w:right w:val="single" w:color="auto" w:sz="4" w:space="0"/>
            </w:tcBorders>
            <w:shd w:val="clear" w:color="auto" w:fill="auto"/>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 w:hRule="atLeast"/>
          <w:jc w:val="center"/>
        </w:trPr>
        <w:tc>
          <w:tcPr>
            <w:tcW w:w="36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kern w:val="0"/>
                <w:szCs w:val="21"/>
                <w:lang w:bidi="ar"/>
              </w:rPr>
            </w:pPr>
          </w:p>
        </w:tc>
        <w:tc>
          <w:tcPr>
            <w:tcW w:w="510"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heme="minorEastAsia" w:hAnsiTheme="minorEastAsia" w:eastAsiaTheme="minorEastAsia" w:cstheme="minorEastAsia"/>
                <w:bCs/>
                <w:color w:val="000000"/>
                <w:kern w:val="0"/>
                <w:szCs w:val="21"/>
                <w:lang w:bidi="ar"/>
              </w:rPr>
            </w:pPr>
          </w:p>
        </w:tc>
        <w:tc>
          <w:tcPr>
            <w:tcW w:w="890"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Theme="minorEastAsia" w:hAnsiTheme="minorEastAsia" w:eastAsiaTheme="minorEastAsia" w:cstheme="minorEastAsia"/>
                <w:szCs w:val="21"/>
              </w:rPr>
            </w:pPr>
          </w:p>
        </w:tc>
        <w:tc>
          <w:tcPr>
            <w:tcW w:w="2437"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支持将通过财务数据采集得到的企业电子数据（DAT文件）迅速导入系统中，包括财务账、固定资产账、存货账和工资账等不少于4种信息。将不同格式的财务账生成统一标准财务账格式</w:t>
            </w:r>
          </w:p>
        </w:tc>
        <w:tc>
          <w:tcPr>
            <w:tcW w:w="801" w:type="pct"/>
            <w:tcBorders>
              <w:top w:val="single" w:color="auto" w:sz="4" w:space="0"/>
              <w:left w:val="single" w:color="auto" w:sz="4" w:space="0"/>
              <w:bottom w:val="single" w:color="auto" w:sz="4" w:space="0"/>
              <w:right w:val="single" w:color="auto" w:sz="4" w:space="0"/>
            </w:tcBorders>
            <w:shd w:val="clear" w:color="auto" w:fill="auto"/>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36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kern w:val="0"/>
                <w:szCs w:val="21"/>
                <w:lang w:bidi="ar"/>
              </w:rPr>
            </w:pPr>
          </w:p>
        </w:tc>
        <w:tc>
          <w:tcPr>
            <w:tcW w:w="510"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heme="minorEastAsia" w:hAnsiTheme="minorEastAsia" w:eastAsiaTheme="minorEastAsia" w:cstheme="minorEastAsia"/>
                <w:bCs/>
                <w:color w:val="000000"/>
                <w:kern w:val="0"/>
                <w:szCs w:val="21"/>
                <w:lang w:bidi="ar"/>
              </w:rPr>
            </w:pPr>
          </w:p>
        </w:tc>
        <w:tc>
          <w:tcPr>
            <w:tcW w:w="89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解密能力</w:t>
            </w:r>
          </w:p>
        </w:tc>
        <w:tc>
          <w:tcPr>
            <w:tcW w:w="2437"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支持Bitlocker、TrueCrypt、VeraCrypt等不少于3种内存秘钥搜索及解密</w:t>
            </w:r>
          </w:p>
        </w:tc>
        <w:tc>
          <w:tcPr>
            <w:tcW w:w="801" w:type="pct"/>
            <w:tcBorders>
              <w:top w:val="single" w:color="auto" w:sz="4" w:space="0"/>
              <w:left w:val="single" w:color="auto" w:sz="4" w:space="0"/>
              <w:bottom w:val="single" w:color="auto" w:sz="4" w:space="0"/>
              <w:right w:val="single" w:color="auto" w:sz="4" w:space="0"/>
            </w:tcBorders>
            <w:shd w:val="clear" w:color="auto" w:fill="auto"/>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7" w:hRule="atLeast"/>
          <w:jc w:val="center"/>
        </w:trPr>
        <w:tc>
          <w:tcPr>
            <w:tcW w:w="36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kern w:val="0"/>
                <w:szCs w:val="21"/>
                <w:lang w:bidi="ar"/>
              </w:rPr>
            </w:pPr>
          </w:p>
        </w:tc>
        <w:tc>
          <w:tcPr>
            <w:tcW w:w="510"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heme="minorEastAsia" w:hAnsiTheme="minorEastAsia" w:eastAsiaTheme="minorEastAsia" w:cstheme="minorEastAsia"/>
                <w:bCs/>
                <w:szCs w:val="21"/>
              </w:rPr>
            </w:pPr>
          </w:p>
        </w:tc>
        <w:tc>
          <w:tcPr>
            <w:tcW w:w="890"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Theme="minorEastAsia" w:hAnsiTheme="minorEastAsia" w:eastAsiaTheme="minorEastAsia" w:cstheme="minorEastAsia"/>
                <w:szCs w:val="21"/>
              </w:rPr>
            </w:pPr>
          </w:p>
        </w:tc>
        <w:tc>
          <w:tcPr>
            <w:tcW w:w="2437"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支持VirtualBox、QEMU(KVM)、VMware等不少于3种虚拟磁盘解密</w:t>
            </w:r>
          </w:p>
        </w:tc>
        <w:tc>
          <w:tcPr>
            <w:tcW w:w="801" w:type="pct"/>
            <w:tcBorders>
              <w:top w:val="single" w:color="auto" w:sz="4" w:space="0"/>
              <w:left w:val="single" w:color="auto" w:sz="4" w:space="0"/>
              <w:bottom w:val="single" w:color="auto" w:sz="4" w:space="0"/>
              <w:right w:val="single" w:color="auto" w:sz="4" w:space="0"/>
            </w:tcBorders>
            <w:shd w:val="clear" w:color="auto" w:fill="auto"/>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 w:hRule="atLeast"/>
          <w:jc w:val="center"/>
        </w:trPr>
        <w:tc>
          <w:tcPr>
            <w:tcW w:w="36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kern w:val="0"/>
                <w:szCs w:val="21"/>
                <w:lang w:bidi="ar"/>
              </w:rPr>
            </w:pPr>
          </w:p>
        </w:tc>
        <w:tc>
          <w:tcPr>
            <w:tcW w:w="510"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heme="minorEastAsia" w:hAnsiTheme="minorEastAsia" w:eastAsiaTheme="minorEastAsia" w:cstheme="minorEastAsia"/>
                <w:bCs/>
                <w:color w:val="000000"/>
                <w:kern w:val="0"/>
                <w:szCs w:val="21"/>
                <w:lang w:bidi="ar"/>
              </w:rPr>
            </w:pPr>
          </w:p>
        </w:tc>
        <w:tc>
          <w:tcPr>
            <w:tcW w:w="89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数据恢复</w:t>
            </w:r>
          </w:p>
        </w:tc>
        <w:tc>
          <w:tcPr>
            <w:tcW w:w="2437"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支持简单删除的文件、格式化后的文件、被删除的磁盘分区等不少于3种场景的数据恢复，支持根据文件头尾特征对被删除文件进行恢复</w:t>
            </w:r>
          </w:p>
        </w:tc>
        <w:tc>
          <w:tcPr>
            <w:tcW w:w="801" w:type="pct"/>
            <w:tcBorders>
              <w:top w:val="single" w:color="auto" w:sz="4" w:space="0"/>
              <w:left w:val="single" w:color="auto" w:sz="4" w:space="0"/>
              <w:bottom w:val="single" w:color="auto" w:sz="4" w:space="0"/>
              <w:right w:val="single" w:color="auto" w:sz="4" w:space="0"/>
            </w:tcBorders>
            <w:shd w:val="clear" w:color="auto" w:fill="auto"/>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 w:hRule="atLeast"/>
          <w:jc w:val="center"/>
        </w:trPr>
        <w:tc>
          <w:tcPr>
            <w:tcW w:w="36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kern w:val="0"/>
                <w:szCs w:val="21"/>
                <w:lang w:bidi="ar"/>
              </w:rPr>
            </w:pPr>
          </w:p>
        </w:tc>
        <w:tc>
          <w:tcPr>
            <w:tcW w:w="510"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heme="minorEastAsia" w:hAnsiTheme="minorEastAsia" w:eastAsiaTheme="minorEastAsia" w:cstheme="minorEastAsia"/>
                <w:bCs/>
                <w:color w:val="000000"/>
                <w:kern w:val="0"/>
                <w:szCs w:val="21"/>
                <w:lang w:bidi="ar"/>
              </w:rPr>
            </w:pPr>
          </w:p>
        </w:tc>
        <w:tc>
          <w:tcPr>
            <w:tcW w:w="890"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Theme="minorEastAsia" w:hAnsiTheme="minorEastAsia" w:eastAsiaTheme="minorEastAsia" w:cstheme="minorEastAsia"/>
                <w:szCs w:val="21"/>
              </w:rPr>
            </w:pPr>
          </w:p>
        </w:tc>
        <w:tc>
          <w:tcPr>
            <w:tcW w:w="2437"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支持修复不少于5种类型的文件，包括视频、音频、图片、PDF及压缩文档等</w:t>
            </w:r>
          </w:p>
        </w:tc>
        <w:tc>
          <w:tcPr>
            <w:tcW w:w="801" w:type="pct"/>
            <w:tcBorders>
              <w:top w:val="single" w:color="auto" w:sz="4" w:space="0"/>
              <w:left w:val="single" w:color="auto" w:sz="4" w:space="0"/>
              <w:bottom w:val="single" w:color="auto" w:sz="4" w:space="0"/>
              <w:right w:val="single" w:color="auto" w:sz="4" w:space="0"/>
            </w:tcBorders>
            <w:shd w:val="clear" w:color="auto" w:fill="auto"/>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36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kern w:val="0"/>
                <w:szCs w:val="21"/>
                <w:lang w:bidi="ar"/>
              </w:rPr>
            </w:pPr>
          </w:p>
        </w:tc>
        <w:tc>
          <w:tcPr>
            <w:tcW w:w="510"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heme="minorEastAsia" w:hAnsiTheme="minorEastAsia" w:eastAsiaTheme="minorEastAsia" w:cstheme="minorEastAsia"/>
                <w:bCs/>
                <w:color w:val="000000"/>
                <w:kern w:val="0"/>
                <w:szCs w:val="21"/>
                <w:lang w:bidi="ar"/>
              </w:rPr>
            </w:pPr>
          </w:p>
        </w:tc>
        <w:tc>
          <w:tcPr>
            <w:tcW w:w="89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手机取证能力</w:t>
            </w:r>
          </w:p>
        </w:tc>
        <w:tc>
          <w:tcPr>
            <w:tcW w:w="2437"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支持手机取证案件的新建、编辑、删除、导入、导出等不少于5种功能，支持对取证结果进行数据排重、特殊号码过滤等</w:t>
            </w:r>
          </w:p>
        </w:tc>
        <w:tc>
          <w:tcPr>
            <w:tcW w:w="801" w:type="pct"/>
            <w:tcBorders>
              <w:top w:val="single" w:color="auto" w:sz="4" w:space="0"/>
              <w:left w:val="single" w:color="auto" w:sz="4" w:space="0"/>
              <w:bottom w:val="single" w:color="auto" w:sz="4" w:space="0"/>
              <w:right w:val="single" w:color="auto" w:sz="4" w:space="0"/>
            </w:tcBorders>
            <w:shd w:val="clear" w:color="auto" w:fill="auto"/>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36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kern w:val="0"/>
                <w:szCs w:val="21"/>
                <w:lang w:bidi="ar"/>
              </w:rPr>
            </w:pPr>
          </w:p>
        </w:tc>
        <w:tc>
          <w:tcPr>
            <w:tcW w:w="510"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heme="minorEastAsia" w:hAnsiTheme="minorEastAsia" w:eastAsiaTheme="minorEastAsia" w:cstheme="minorEastAsia"/>
                <w:bCs/>
                <w:color w:val="000000"/>
                <w:kern w:val="0"/>
                <w:szCs w:val="21"/>
                <w:lang w:bidi="ar"/>
              </w:rPr>
            </w:pPr>
          </w:p>
        </w:tc>
        <w:tc>
          <w:tcPr>
            <w:tcW w:w="890"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Theme="minorEastAsia" w:hAnsiTheme="minorEastAsia" w:eastAsiaTheme="minorEastAsia" w:cstheme="minorEastAsia"/>
                <w:szCs w:val="21"/>
              </w:rPr>
            </w:pPr>
          </w:p>
        </w:tc>
        <w:tc>
          <w:tcPr>
            <w:tcW w:w="2437"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支持列表、会话等不少于2种方式的数据浏览，语音、视频、图片等多媒体文件直接播放，红包、分享链接、转账等直观展示，微信、QQ、支付宝等资金往来数据单独归类</w:t>
            </w:r>
          </w:p>
        </w:tc>
        <w:tc>
          <w:tcPr>
            <w:tcW w:w="801" w:type="pct"/>
            <w:tcBorders>
              <w:top w:val="single" w:color="auto" w:sz="4" w:space="0"/>
              <w:left w:val="single" w:color="auto" w:sz="4" w:space="0"/>
              <w:bottom w:val="single" w:color="auto" w:sz="4" w:space="0"/>
              <w:right w:val="single" w:color="auto" w:sz="4" w:space="0"/>
            </w:tcBorders>
            <w:shd w:val="clear" w:color="auto" w:fill="auto"/>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36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kern w:val="0"/>
                <w:szCs w:val="21"/>
                <w:lang w:bidi="ar"/>
              </w:rPr>
            </w:pPr>
          </w:p>
        </w:tc>
        <w:tc>
          <w:tcPr>
            <w:tcW w:w="510"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heme="minorEastAsia" w:hAnsiTheme="minorEastAsia" w:eastAsiaTheme="minorEastAsia" w:cstheme="minorEastAsia"/>
                <w:bCs/>
                <w:color w:val="000000"/>
                <w:kern w:val="0"/>
                <w:szCs w:val="21"/>
                <w:lang w:bidi="ar"/>
              </w:rPr>
            </w:pPr>
          </w:p>
        </w:tc>
        <w:tc>
          <w:tcPr>
            <w:tcW w:w="890"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Theme="minorEastAsia" w:hAnsiTheme="minorEastAsia" w:eastAsiaTheme="minorEastAsia" w:cstheme="minorEastAsia"/>
                <w:szCs w:val="21"/>
              </w:rPr>
            </w:pPr>
          </w:p>
        </w:tc>
        <w:tc>
          <w:tcPr>
            <w:tcW w:w="2437"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多关键字搜索、时间段搜索、搜索结果溯源以及导出搜索报告；支持对数据添加标签并导出标签报告；支持导出Word、HTML、PDF、CSV等不少于4种格式的取证报告并进行管理，且HTML报告需支持会话展示、查看以及搜索</w:t>
            </w:r>
          </w:p>
        </w:tc>
        <w:tc>
          <w:tcPr>
            <w:tcW w:w="801" w:type="pct"/>
            <w:tcBorders>
              <w:top w:val="single" w:color="auto" w:sz="4" w:space="0"/>
              <w:left w:val="single" w:color="auto" w:sz="4" w:space="0"/>
              <w:bottom w:val="single" w:color="auto" w:sz="4" w:space="0"/>
              <w:right w:val="single" w:color="auto" w:sz="4" w:space="0"/>
            </w:tcBorders>
            <w:shd w:val="clear" w:color="auto" w:fill="auto"/>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 w:hRule="atLeast"/>
          <w:jc w:val="center"/>
        </w:trPr>
        <w:tc>
          <w:tcPr>
            <w:tcW w:w="36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kern w:val="0"/>
                <w:szCs w:val="21"/>
                <w:lang w:bidi="ar"/>
              </w:rPr>
            </w:pPr>
          </w:p>
        </w:tc>
        <w:tc>
          <w:tcPr>
            <w:tcW w:w="510"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heme="minorEastAsia" w:hAnsiTheme="minorEastAsia" w:eastAsiaTheme="minorEastAsia" w:cstheme="minorEastAsia"/>
                <w:bCs/>
                <w:color w:val="000000"/>
                <w:kern w:val="0"/>
                <w:szCs w:val="21"/>
                <w:lang w:bidi="ar"/>
              </w:rPr>
            </w:pPr>
          </w:p>
        </w:tc>
        <w:tc>
          <w:tcPr>
            <w:tcW w:w="890" w:type="pct"/>
            <w:tcBorders>
              <w:top w:val="single" w:color="auto" w:sz="4" w:space="0"/>
              <w:left w:val="single" w:color="auto" w:sz="4" w:space="0"/>
              <w:bottom w:val="single" w:color="auto" w:sz="4" w:space="0"/>
              <w:right w:val="single" w:color="auto" w:sz="4" w:space="0"/>
            </w:tcBorders>
            <w:shd w:val="clear" w:color="auto" w:fill="auto"/>
            <w:noWrap/>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多语言支持</w:t>
            </w:r>
          </w:p>
        </w:tc>
        <w:tc>
          <w:tcPr>
            <w:tcW w:w="2437"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支持维汉翻译，支持普通维文、拉丁维文-汉语等不少于3种机器翻译功能</w:t>
            </w:r>
          </w:p>
        </w:tc>
        <w:tc>
          <w:tcPr>
            <w:tcW w:w="801" w:type="pct"/>
            <w:tcBorders>
              <w:top w:val="single" w:color="auto" w:sz="4" w:space="0"/>
              <w:left w:val="single" w:color="auto" w:sz="4" w:space="0"/>
              <w:bottom w:val="single" w:color="auto" w:sz="4" w:space="0"/>
              <w:right w:val="single" w:color="auto" w:sz="4" w:space="0"/>
            </w:tcBorders>
            <w:shd w:val="clear" w:color="auto" w:fill="auto"/>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 w:hRule="atLeast"/>
          <w:jc w:val="center"/>
        </w:trPr>
        <w:tc>
          <w:tcPr>
            <w:tcW w:w="36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kern w:val="0"/>
                <w:szCs w:val="21"/>
                <w:lang w:bidi="ar"/>
              </w:rPr>
            </w:pPr>
          </w:p>
        </w:tc>
        <w:tc>
          <w:tcPr>
            <w:tcW w:w="510"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szCs w:val="21"/>
                <w:lang w:bidi="ar"/>
              </w:rPr>
              <w:t>★</w:t>
            </w:r>
          </w:p>
        </w:tc>
        <w:tc>
          <w:tcPr>
            <w:tcW w:w="89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Wi-Fi取证</w:t>
            </w:r>
          </w:p>
        </w:tc>
        <w:tc>
          <w:tcPr>
            <w:tcW w:w="2437"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支持小米、华为、OPPO、荣耀手机Wi-Fi手机搬家／克隆等不少于4种方式取证，支持免网卡方式、备用机方式和Wi-Fi精灵等不少于3种方式</w:t>
            </w:r>
          </w:p>
        </w:tc>
        <w:tc>
          <w:tcPr>
            <w:tcW w:w="80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 w:hRule="atLeast"/>
          <w:jc w:val="center"/>
        </w:trPr>
        <w:tc>
          <w:tcPr>
            <w:tcW w:w="36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kern w:val="0"/>
                <w:szCs w:val="21"/>
                <w:lang w:bidi="ar"/>
              </w:rPr>
            </w:pPr>
          </w:p>
        </w:tc>
        <w:tc>
          <w:tcPr>
            <w:tcW w:w="510"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heme="minorEastAsia" w:hAnsiTheme="minorEastAsia" w:eastAsiaTheme="minorEastAsia" w:cstheme="minorEastAsia"/>
                <w:bCs/>
                <w:color w:val="000000"/>
                <w:kern w:val="0"/>
                <w:szCs w:val="21"/>
                <w:lang w:bidi="ar"/>
              </w:rPr>
            </w:pPr>
          </w:p>
        </w:tc>
        <w:tc>
          <w:tcPr>
            <w:tcW w:w="890"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Theme="minorEastAsia" w:hAnsiTheme="minorEastAsia" w:eastAsiaTheme="minorEastAsia" w:cstheme="minorEastAsia"/>
                <w:szCs w:val="21"/>
              </w:rPr>
            </w:pPr>
          </w:p>
        </w:tc>
        <w:tc>
          <w:tcPr>
            <w:tcW w:w="2437"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支持不少于4路Wi-Fi并行取证，同时硬件具备信号屏蔽能力</w:t>
            </w:r>
          </w:p>
        </w:tc>
        <w:tc>
          <w:tcPr>
            <w:tcW w:w="80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36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kern w:val="0"/>
                <w:szCs w:val="21"/>
                <w:lang w:bidi="ar"/>
              </w:rPr>
            </w:pPr>
          </w:p>
        </w:tc>
        <w:tc>
          <w:tcPr>
            <w:tcW w:w="510"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heme="minorEastAsia" w:hAnsiTheme="minorEastAsia" w:eastAsiaTheme="minorEastAsia" w:cstheme="minorEastAsia"/>
                <w:bCs/>
                <w:szCs w:val="21"/>
              </w:rPr>
            </w:pPr>
          </w:p>
        </w:tc>
        <w:tc>
          <w:tcPr>
            <w:tcW w:w="890"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Theme="minorEastAsia" w:hAnsiTheme="minorEastAsia" w:eastAsiaTheme="minorEastAsia" w:cstheme="minorEastAsia"/>
                <w:szCs w:val="21"/>
              </w:rPr>
            </w:pPr>
          </w:p>
        </w:tc>
        <w:tc>
          <w:tcPr>
            <w:tcW w:w="2437"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获取手机IMEI、通讯簿、短信、通话记录、位置信息、备忘录、日历、Wi-Fi/蓝牙连接记录、多媒体文件（图片/视频/音频）、系统日志（开关机时间、应用程序使用记录、应用程序使用卸载记录、使用过的手机号码、iOS设备连接过的主机、iOS应用程序通知消息等）和密码密钥等不少于15种信息，需支持恢复已删除的电话簿、短信、日历等不少于3种信息</w:t>
            </w:r>
          </w:p>
        </w:tc>
        <w:tc>
          <w:tcPr>
            <w:tcW w:w="80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36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kern w:val="0"/>
                <w:szCs w:val="21"/>
                <w:lang w:bidi="ar"/>
              </w:rPr>
            </w:pPr>
          </w:p>
        </w:tc>
        <w:tc>
          <w:tcPr>
            <w:tcW w:w="510"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heme="minorEastAsia" w:hAnsiTheme="minorEastAsia" w:eastAsiaTheme="minorEastAsia" w:cstheme="minorEastAsia"/>
                <w:bCs/>
                <w:color w:val="000000"/>
                <w:kern w:val="0"/>
                <w:szCs w:val="21"/>
                <w:lang w:bidi="ar"/>
              </w:rPr>
            </w:pPr>
          </w:p>
        </w:tc>
        <w:tc>
          <w:tcPr>
            <w:tcW w:w="890"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Theme="minorEastAsia" w:hAnsiTheme="minorEastAsia" w:eastAsiaTheme="minorEastAsia" w:cstheme="minorEastAsia"/>
                <w:szCs w:val="21"/>
              </w:rPr>
            </w:pPr>
          </w:p>
        </w:tc>
        <w:tc>
          <w:tcPr>
            <w:tcW w:w="2437"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支持Android、iOS、鸿蒙OS等不少于3种手机操作系统回收站文件恢复，支持Android、iOS手机缩略图恢复</w:t>
            </w:r>
          </w:p>
        </w:tc>
        <w:tc>
          <w:tcPr>
            <w:tcW w:w="801" w:type="pct"/>
            <w:tcBorders>
              <w:top w:val="single" w:color="auto" w:sz="4" w:space="0"/>
              <w:left w:val="single" w:color="auto" w:sz="4" w:space="0"/>
              <w:bottom w:val="single" w:color="auto" w:sz="4" w:space="0"/>
              <w:right w:val="single" w:color="auto" w:sz="4" w:space="0"/>
            </w:tcBorders>
            <w:shd w:val="clear" w:color="auto" w:fill="auto"/>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36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kern w:val="0"/>
                <w:szCs w:val="21"/>
                <w:lang w:bidi="ar"/>
              </w:rPr>
            </w:pPr>
          </w:p>
        </w:tc>
        <w:tc>
          <w:tcPr>
            <w:tcW w:w="510"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heme="minorEastAsia" w:hAnsiTheme="minorEastAsia" w:eastAsiaTheme="minorEastAsia" w:cstheme="minorEastAsia"/>
                <w:bCs/>
                <w:color w:val="000000"/>
                <w:kern w:val="0"/>
                <w:szCs w:val="21"/>
                <w:lang w:bidi="ar"/>
              </w:rPr>
            </w:pPr>
          </w:p>
        </w:tc>
        <w:tc>
          <w:tcPr>
            <w:tcW w:w="890"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Theme="minorEastAsia" w:hAnsiTheme="minorEastAsia" w:eastAsiaTheme="minorEastAsia" w:cstheme="minorEastAsia"/>
                <w:szCs w:val="21"/>
              </w:rPr>
            </w:pPr>
          </w:p>
        </w:tc>
        <w:tc>
          <w:tcPr>
            <w:tcW w:w="2437"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支持不少于3种备份文件解析，包括iTunes（iPhone）备份、Android手机备份、VCF备份文件</w:t>
            </w:r>
          </w:p>
        </w:tc>
        <w:tc>
          <w:tcPr>
            <w:tcW w:w="801" w:type="pct"/>
            <w:tcBorders>
              <w:top w:val="single" w:color="auto" w:sz="4" w:space="0"/>
              <w:left w:val="single" w:color="auto" w:sz="4" w:space="0"/>
              <w:bottom w:val="single" w:color="auto" w:sz="4" w:space="0"/>
              <w:right w:val="single" w:color="auto" w:sz="4" w:space="0"/>
            </w:tcBorders>
            <w:shd w:val="clear" w:color="auto" w:fill="auto"/>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36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kern w:val="0"/>
                <w:szCs w:val="21"/>
                <w:lang w:bidi="ar"/>
              </w:rPr>
            </w:pPr>
          </w:p>
        </w:tc>
        <w:tc>
          <w:tcPr>
            <w:tcW w:w="510"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heme="minorEastAsia" w:hAnsiTheme="minorEastAsia" w:eastAsiaTheme="minorEastAsia" w:cstheme="minorEastAsia"/>
                <w:bCs/>
                <w:color w:val="000000"/>
                <w:kern w:val="0"/>
                <w:szCs w:val="21"/>
                <w:lang w:bidi="ar"/>
              </w:rPr>
            </w:pPr>
          </w:p>
        </w:tc>
        <w:tc>
          <w:tcPr>
            <w:tcW w:w="89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应用程序解析</w:t>
            </w:r>
          </w:p>
        </w:tc>
        <w:tc>
          <w:tcPr>
            <w:tcW w:w="2437"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支持不少于15种手机即时通讯类应用程序的痕迹记录解析，包含腾讯QQ、QQ极速版、TIM、微信、微信分身版、Sugram、Sugram畅聊版、易信、连信、潮信、蜜语、轻甜、触宝电话、米聊、旺信等</w:t>
            </w:r>
          </w:p>
        </w:tc>
        <w:tc>
          <w:tcPr>
            <w:tcW w:w="801" w:type="pct"/>
            <w:tcBorders>
              <w:top w:val="single" w:color="auto" w:sz="4" w:space="0"/>
              <w:left w:val="single" w:color="auto" w:sz="4" w:space="0"/>
              <w:bottom w:val="single" w:color="auto" w:sz="4" w:space="0"/>
              <w:right w:val="single" w:color="auto" w:sz="4" w:space="0"/>
            </w:tcBorders>
            <w:shd w:val="clear" w:color="auto" w:fill="auto"/>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36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kern w:val="0"/>
                <w:szCs w:val="21"/>
                <w:lang w:bidi="ar"/>
              </w:rPr>
            </w:pPr>
          </w:p>
        </w:tc>
        <w:tc>
          <w:tcPr>
            <w:tcW w:w="510" w:type="pct"/>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210" w:firstLineChars="100"/>
              <w:jc w:val="center"/>
              <w:textAlignment w:val="center"/>
              <w:rPr>
                <w:rFonts w:asciiTheme="minorEastAsia" w:hAnsiTheme="minorEastAsia" w:eastAsiaTheme="minorEastAsia" w:cstheme="minorEastAsia"/>
                <w:bCs/>
                <w:color w:val="000000"/>
                <w:kern w:val="0"/>
                <w:szCs w:val="21"/>
                <w:lang w:bidi="ar"/>
              </w:rPr>
            </w:pPr>
          </w:p>
        </w:tc>
        <w:tc>
          <w:tcPr>
            <w:tcW w:w="890"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Theme="minorEastAsia" w:hAnsiTheme="minorEastAsia" w:eastAsiaTheme="minorEastAsia" w:cstheme="minorEastAsia"/>
                <w:szCs w:val="21"/>
              </w:rPr>
            </w:pPr>
          </w:p>
        </w:tc>
        <w:tc>
          <w:tcPr>
            <w:tcW w:w="2437"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支持不少于14种微博社交类应用数据的获取解析，包含新浪微博、Twitter、天涯社区、QQ空间、百度贴吧、百度贴吧极速版、知乎、今日头条、今日头条极速版、学习强国、豆瓣、小红书、世纪佳缘、珍爱网等</w:t>
            </w:r>
          </w:p>
        </w:tc>
        <w:tc>
          <w:tcPr>
            <w:tcW w:w="801" w:type="pct"/>
            <w:tcBorders>
              <w:top w:val="single" w:color="auto" w:sz="4" w:space="0"/>
              <w:left w:val="single" w:color="auto" w:sz="4" w:space="0"/>
              <w:bottom w:val="single" w:color="auto" w:sz="4" w:space="0"/>
              <w:right w:val="single" w:color="auto" w:sz="4" w:space="0"/>
            </w:tcBorders>
            <w:shd w:val="clear" w:color="auto" w:fill="auto"/>
          </w:tcPr>
          <w:p>
            <w:pPr>
              <w:ind w:firstLine="210" w:firstLineChars="100"/>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36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kern w:val="0"/>
                <w:szCs w:val="21"/>
                <w:lang w:bidi="ar"/>
              </w:rPr>
            </w:pPr>
          </w:p>
        </w:tc>
        <w:tc>
          <w:tcPr>
            <w:tcW w:w="510" w:type="pct"/>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210" w:firstLineChars="100"/>
              <w:jc w:val="center"/>
              <w:textAlignment w:val="center"/>
              <w:rPr>
                <w:rFonts w:asciiTheme="minorEastAsia" w:hAnsiTheme="minorEastAsia" w:eastAsiaTheme="minorEastAsia" w:cstheme="minorEastAsia"/>
                <w:bCs/>
                <w:color w:val="000000"/>
                <w:kern w:val="0"/>
                <w:szCs w:val="21"/>
                <w:lang w:bidi="ar"/>
              </w:rPr>
            </w:pPr>
          </w:p>
        </w:tc>
        <w:tc>
          <w:tcPr>
            <w:tcW w:w="890"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Theme="minorEastAsia" w:hAnsiTheme="minorEastAsia" w:eastAsiaTheme="minorEastAsia" w:cstheme="minorEastAsia"/>
                <w:szCs w:val="21"/>
              </w:rPr>
            </w:pPr>
          </w:p>
        </w:tc>
        <w:tc>
          <w:tcPr>
            <w:tcW w:w="2437"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支持iOS输入法、搜狗输入法、百度输入法、QQ输入法、讯飞输入法、章鱼输入法等不少于6种输入法应用的获取解析</w:t>
            </w:r>
          </w:p>
        </w:tc>
        <w:tc>
          <w:tcPr>
            <w:tcW w:w="801" w:type="pct"/>
            <w:tcBorders>
              <w:top w:val="single" w:color="auto" w:sz="4" w:space="0"/>
              <w:left w:val="single" w:color="auto" w:sz="4" w:space="0"/>
              <w:bottom w:val="single" w:color="auto" w:sz="4" w:space="0"/>
              <w:right w:val="single" w:color="auto" w:sz="4" w:space="0"/>
            </w:tcBorders>
            <w:shd w:val="clear" w:color="auto" w:fill="auto"/>
          </w:tcPr>
          <w:p>
            <w:pPr>
              <w:ind w:firstLine="210" w:firstLineChars="100"/>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jc w:val="center"/>
        </w:trPr>
        <w:tc>
          <w:tcPr>
            <w:tcW w:w="36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kern w:val="0"/>
                <w:szCs w:val="21"/>
                <w:lang w:bidi="ar"/>
              </w:rPr>
            </w:pPr>
          </w:p>
        </w:tc>
        <w:tc>
          <w:tcPr>
            <w:tcW w:w="510"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heme="minorEastAsia" w:hAnsiTheme="minorEastAsia" w:eastAsiaTheme="minorEastAsia" w:cstheme="minorEastAsia"/>
                <w:bCs/>
                <w:color w:val="000000"/>
                <w:kern w:val="0"/>
                <w:szCs w:val="21"/>
                <w:lang w:bidi="ar"/>
              </w:rPr>
            </w:pPr>
          </w:p>
        </w:tc>
        <w:tc>
          <w:tcPr>
            <w:tcW w:w="89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智能分析</w:t>
            </w:r>
          </w:p>
        </w:tc>
        <w:tc>
          <w:tcPr>
            <w:tcW w:w="2437"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人物画像分析：分析机主身份属性与关键行为，身份属性包括姓名、身份证、住址、手机号码、虚拟身份（QQ、微信、E-mail等）、银行卡号、车辆、毕业学校等不少于8种基本属性，需支持基本信息编辑和人物标签化。分析机主自拍头像，包括关键联系人、经济行为、轨迹信息、应用信息等不少于4种关键行为</w:t>
            </w:r>
          </w:p>
        </w:tc>
        <w:tc>
          <w:tcPr>
            <w:tcW w:w="801" w:type="pct"/>
            <w:tcBorders>
              <w:top w:val="single" w:color="auto" w:sz="4" w:space="0"/>
              <w:left w:val="single" w:color="auto" w:sz="4" w:space="0"/>
              <w:bottom w:val="single" w:color="auto" w:sz="4" w:space="0"/>
              <w:right w:val="single" w:color="auto" w:sz="4" w:space="0"/>
            </w:tcBorders>
            <w:shd w:val="clear" w:color="auto" w:fill="auto"/>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jc w:val="center"/>
        </w:trPr>
        <w:tc>
          <w:tcPr>
            <w:tcW w:w="36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kern w:val="0"/>
                <w:szCs w:val="21"/>
                <w:lang w:bidi="ar"/>
              </w:rPr>
            </w:pPr>
          </w:p>
        </w:tc>
        <w:tc>
          <w:tcPr>
            <w:tcW w:w="510" w:type="pct"/>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210" w:firstLineChars="100"/>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color w:val="000000"/>
                <w:kern w:val="0"/>
                <w:szCs w:val="21"/>
                <w:lang w:bidi="ar"/>
              </w:rPr>
              <w:t>▲</w:t>
            </w:r>
          </w:p>
        </w:tc>
        <w:tc>
          <w:tcPr>
            <w:tcW w:w="890"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Theme="minorEastAsia" w:hAnsiTheme="minorEastAsia" w:eastAsiaTheme="minorEastAsia" w:cstheme="minorEastAsia"/>
                <w:szCs w:val="21"/>
              </w:rPr>
            </w:pPr>
          </w:p>
        </w:tc>
        <w:tc>
          <w:tcPr>
            <w:tcW w:w="2437"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需支持不少于3种分析能力：</w:t>
            </w:r>
          </w:p>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时空分析：以时间、空间及行为等多维度分析机主的事件，使用时间轴、地图结合详情的形式，刻画机主的轨迹事件。</w:t>
            </w:r>
          </w:p>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行为习惯分析：刻画分析对象行为倾向，包括通联、上网、出行行为。</w:t>
            </w:r>
          </w:p>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视频图像分析：利用AI图片技术，进行人脸照片、证件照、银行卡、二维码类图片识别，人脸照片通过出现、合影行为分析机主以及对象的亲密关系，支持以图搜图的能力</w:t>
            </w:r>
          </w:p>
        </w:tc>
        <w:tc>
          <w:tcPr>
            <w:tcW w:w="801" w:type="pct"/>
            <w:tcBorders>
              <w:top w:val="single" w:color="auto" w:sz="4" w:space="0"/>
              <w:left w:val="single" w:color="auto" w:sz="4" w:space="0"/>
              <w:bottom w:val="single" w:color="auto" w:sz="4" w:space="0"/>
              <w:right w:val="single" w:color="auto" w:sz="4" w:space="0"/>
            </w:tcBorders>
            <w:shd w:val="clear" w:color="auto" w:fill="auto"/>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color w:val="000000"/>
                <w:szCs w:val="21"/>
                <w:lang w:bidi="ar"/>
              </w:rPr>
              <w:t>产品合格证/官方网站截图/白皮书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jc w:val="center"/>
        </w:trPr>
        <w:tc>
          <w:tcPr>
            <w:tcW w:w="36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kern w:val="0"/>
                <w:szCs w:val="21"/>
                <w:lang w:bidi="ar"/>
              </w:rPr>
            </w:pPr>
          </w:p>
        </w:tc>
        <w:tc>
          <w:tcPr>
            <w:tcW w:w="510" w:type="pct"/>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210" w:firstLineChars="100"/>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color w:val="000000"/>
                <w:kern w:val="0"/>
                <w:szCs w:val="21"/>
                <w:lang w:bidi="ar"/>
              </w:rPr>
              <w:t>▲</w:t>
            </w:r>
          </w:p>
        </w:tc>
        <w:tc>
          <w:tcPr>
            <w:tcW w:w="890"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Theme="minorEastAsia" w:hAnsiTheme="minorEastAsia" w:eastAsiaTheme="minorEastAsia" w:cstheme="minorEastAsia"/>
                <w:szCs w:val="21"/>
              </w:rPr>
            </w:pPr>
          </w:p>
        </w:tc>
        <w:tc>
          <w:tcPr>
            <w:tcW w:w="2437"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支持经济行为分析：通过对银行短信、支付宝、微信账单等不少于3类数据的分析，刻画机主与好友间、机主之间的资金往来情况，支持转账记录时间轴方式展示</w:t>
            </w:r>
          </w:p>
        </w:tc>
        <w:tc>
          <w:tcPr>
            <w:tcW w:w="801" w:type="pct"/>
            <w:tcBorders>
              <w:top w:val="single" w:color="auto" w:sz="4" w:space="0"/>
              <w:left w:val="single" w:color="auto" w:sz="4" w:space="0"/>
              <w:bottom w:val="single" w:color="auto" w:sz="4" w:space="0"/>
              <w:right w:val="single" w:color="auto" w:sz="4" w:space="0"/>
            </w:tcBorders>
            <w:shd w:val="clear" w:color="auto" w:fill="auto"/>
          </w:tcPr>
          <w:p>
            <w:pPr>
              <w:snapToGrid w:val="0"/>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color w:val="000000"/>
                <w:szCs w:val="21"/>
                <w:lang w:bidi="ar"/>
              </w:rPr>
              <w:t>产品合格证/官方网站截图/白皮书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jc w:val="center"/>
        </w:trPr>
        <w:tc>
          <w:tcPr>
            <w:tcW w:w="36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kern w:val="0"/>
                <w:szCs w:val="21"/>
                <w:lang w:bidi="ar"/>
              </w:rPr>
            </w:pPr>
          </w:p>
        </w:tc>
        <w:tc>
          <w:tcPr>
            <w:tcW w:w="510" w:type="pct"/>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210" w:firstLineChars="100"/>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color w:val="000000"/>
                <w:kern w:val="0"/>
                <w:szCs w:val="21"/>
                <w:lang w:bidi="ar"/>
              </w:rPr>
              <w:t>▲</w:t>
            </w:r>
          </w:p>
        </w:tc>
        <w:tc>
          <w:tcPr>
            <w:tcW w:w="890"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Theme="minorEastAsia" w:hAnsiTheme="minorEastAsia" w:eastAsiaTheme="minorEastAsia" w:cstheme="minorEastAsia"/>
                <w:szCs w:val="21"/>
              </w:rPr>
            </w:pPr>
          </w:p>
        </w:tc>
        <w:tc>
          <w:tcPr>
            <w:tcW w:w="2437"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支持多人关系分析：通过分析同个案件内的多个持有人手机数据，刻画出机主间存在的通联、轨迹、文件、身份、设备等不少于5种维度关联关系，支持同人分析</w:t>
            </w:r>
          </w:p>
        </w:tc>
        <w:tc>
          <w:tcPr>
            <w:tcW w:w="801" w:type="pct"/>
            <w:tcBorders>
              <w:top w:val="single" w:color="auto" w:sz="4" w:space="0"/>
              <w:left w:val="single" w:color="auto" w:sz="4" w:space="0"/>
              <w:bottom w:val="single" w:color="auto" w:sz="4" w:space="0"/>
              <w:right w:val="single" w:color="auto" w:sz="4" w:space="0"/>
            </w:tcBorders>
            <w:shd w:val="clear" w:color="auto" w:fill="auto"/>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color w:val="000000"/>
                <w:szCs w:val="21"/>
                <w:lang w:bidi="ar"/>
              </w:rPr>
              <w:t>产品合格证/官方网站截图/白皮书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8" w:hRule="atLeast"/>
          <w:jc w:val="center"/>
        </w:trPr>
        <w:tc>
          <w:tcPr>
            <w:tcW w:w="36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kern w:val="0"/>
                <w:szCs w:val="21"/>
                <w:lang w:bidi="ar"/>
              </w:rPr>
            </w:pPr>
          </w:p>
        </w:tc>
        <w:tc>
          <w:tcPr>
            <w:tcW w:w="510" w:type="pct"/>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210" w:firstLineChars="100"/>
              <w:jc w:val="center"/>
              <w:textAlignment w:val="center"/>
              <w:rPr>
                <w:rFonts w:asciiTheme="minorEastAsia" w:hAnsiTheme="minorEastAsia" w:eastAsiaTheme="minorEastAsia" w:cstheme="minorEastAsia"/>
                <w:bCs/>
                <w:color w:val="000000"/>
                <w:kern w:val="0"/>
                <w:szCs w:val="21"/>
                <w:lang w:bidi="ar"/>
              </w:rPr>
            </w:pPr>
          </w:p>
        </w:tc>
        <w:tc>
          <w:tcPr>
            <w:tcW w:w="890"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Theme="minorEastAsia" w:hAnsiTheme="minorEastAsia" w:eastAsiaTheme="minorEastAsia" w:cstheme="minorEastAsia"/>
                <w:szCs w:val="21"/>
              </w:rPr>
            </w:pPr>
          </w:p>
        </w:tc>
        <w:tc>
          <w:tcPr>
            <w:tcW w:w="2437"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支持身份挖掘：可提取和分类展示人名、地名、手机号、身份证号、车牌号、银行卡号、快递单号等不少于7种特殊身份标识及其来源</w:t>
            </w:r>
          </w:p>
        </w:tc>
        <w:tc>
          <w:tcPr>
            <w:tcW w:w="801" w:type="pct"/>
            <w:tcBorders>
              <w:top w:val="single" w:color="auto" w:sz="4" w:space="0"/>
              <w:left w:val="single" w:color="auto" w:sz="4" w:space="0"/>
              <w:bottom w:val="single" w:color="auto" w:sz="4" w:space="0"/>
              <w:right w:val="single" w:color="auto" w:sz="4" w:space="0"/>
            </w:tcBorders>
            <w:shd w:val="clear" w:color="auto" w:fill="auto"/>
          </w:tcPr>
          <w:p>
            <w:pPr>
              <w:ind w:firstLine="210" w:firstLineChars="100"/>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jc w:val="center"/>
        </w:trPr>
        <w:tc>
          <w:tcPr>
            <w:tcW w:w="36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kern w:val="0"/>
                <w:szCs w:val="21"/>
                <w:lang w:bidi="ar"/>
              </w:rPr>
            </w:pPr>
          </w:p>
        </w:tc>
        <w:tc>
          <w:tcPr>
            <w:tcW w:w="510" w:type="pct"/>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210" w:firstLineChars="100"/>
              <w:jc w:val="center"/>
              <w:textAlignment w:val="center"/>
              <w:rPr>
                <w:rFonts w:asciiTheme="minorEastAsia" w:hAnsiTheme="minorEastAsia" w:eastAsiaTheme="minorEastAsia" w:cstheme="minorEastAsia"/>
                <w:bCs/>
                <w:color w:val="000000"/>
                <w:kern w:val="0"/>
                <w:szCs w:val="21"/>
                <w:lang w:bidi="ar"/>
              </w:rPr>
            </w:pPr>
          </w:p>
        </w:tc>
        <w:tc>
          <w:tcPr>
            <w:tcW w:w="890"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Theme="minorEastAsia" w:hAnsiTheme="minorEastAsia" w:eastAsiaTheme="minorEastAsia" w:cstheme="minorEastAsia"/>
                <w:szCs w:val="21"/>
              </w:rPr>
            </w:pPr>
          </w:p>
        </w:tc>
        <w:tc>
          <w:tcPr>
            <w:tcW w:w="2437"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支持高级查询：可根据输入的通联帐号以及关键词多种组合条件搜索满足条件的通联数据；需支持通配符、正则表达式等不少于2种匹配方式</w:t>
            </w:r>
          </w:p>
        </w:tc>
        <w:tc>
          <w:tcPr>
            <w:tcW w:w="801" w:type="pct"/>
            <w:tcBorders>
              <w:top w:val="single" w:color="auto" w:sz="4" w:space="0"/>
              <w:left w:val="single" w:color="auto" w:sz="4" w:space="0"/>
              <w:bottom w:val="single" w:color="auto" w:sz="4" w:space="0"/>
              <w:right w:val="single" w:color="auto" w:sz="4" w:space="0"/>
            </w:tcBorders>
            <w:shd w:val="clear" w:color="auto" w:fill="auto"/>
          </w:tcPr>
          <w:p>
            <w:pPr>
              <w:ind w:firstLine="210" w:firstLineChars="100"/>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36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kern w:val="0"/>
                <w:szCs w:val="21"/>
                <w:lang w:bidi="ar"/>
              </w:rPr>
            </w:pPr>
          </w:p>
        </w:tc>
        <w:tc>
          <w:tcPr>
            <w:tcW w:w="510"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heme="minorEastAsia" w:hAnsiTheme="minorEastAsia" w:eastAsiaTheme="minorEastAsia" w:cstheme="minorEastAsia"/>
                <w:bCs/>
                <w:color w:val="000000"/>
                <w:kern w:val="0"/>
                <w:szCs w:val="21"/>
                <w:lang w:bidi="ar"/>
              </w:rPr>
            </w:pPr>
          </w:p>
        </w:tc>
        <w:tc>
          <w:tcPr>
            <w:tcW w:w="89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区块链分析</w:t>
            </w:r>
          </w:p>
        </w:tc>
        <w:tc>
          <w:tcPr>
            <w:tcW w:w="2437"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支持对钱包数据详情展示，包括钱包余额、交易次数、收入、支出情况、交易时间等不少于5种信息</w:t>
            </w:r>
          </w:p>
        </w:tc>
        <w:tc>
          <w:tcPr>
            <w:tcW w:w="801" w:type="pct"/>
            <w:tcBorders>
              <w:top w:val="single" w:color="auto" w:sz="4" w:space="0"/>
              <w:left w:val="single" w:color="auto" w:sz="4" w:space="0"/>
              <w:bottom w:val="single" w:color="auto" w:sz="4" w:space="0"/>
              <w:right w:val="single" w:color="auto" w:sz="4" w:space="0"/>
            </w:tcBorders>
            <w:shd w:val="clear" w:color="auto" w:fill="auto"/>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36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kern w:val="0"/>
                <w:szCs w:val="21"/>
                <w:lang w:bidi="ar"/>
              </w:rPr>
            </w:pPr>
          </w:p>
        </w:tc>
        <w:tc>
          <w:tcPr>
            <w:tcW w:w="510" w:type="pct"/>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210" w:firstLineChars="100"/>
              <w:jc w:val="center"/>
              <w:textAlignment w:val="center"/>
              <w:rPr>
                <w:rFonts w:asciiTheme="minorEastAsia" w:hAnsiTheme="minorEastAsia" w:eastAsiaTheme="minorEastAsia" w:cstheme="minorEastAsia"/>
                <w:bCs/>
                <w:color w:val="000000"/>
                <w:kern w:val="0"/>
                <w:szCs w:val="21"/>
                <w:lang w:bidi="ar"/>
              </w:rPr>
            </w:pPr>
          </w:p>
        </w:tc>
        <w:tc>
          <w:tcPr>
            <w:tcW w:w="890"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Theme="minorEastAsia" w:hAnsiTheme="minorEastAsia" w:eastAsiaTheme="minorEastAsia" w:cstheme="minorEastAsia"/>
                <w:szCs w:val="21"/>
              </w:rPr>
            </w:pPr>
          </w:p>
        </w:tc>
        <w:tc>
          <w:tcPr>
            <w:tcW w:w="2437"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支持邮件监控目标钱包地址获取，监控任务字段不少于4种，包括币类型、币地址、接收邮箱、备注等，支持修改监控时长、邮件模板等</w:t>
            </w:r>
          </w:p>
        </w:tc>
        <w:tc>
          <w:tcPr>
            <w:tcW w:w="801" w:type="pct"/>
            <w:tcBorders>
              <w:top w:val="single" w:color="auto" w:sz="4" w:space="0"/>
              <w:left w:val="single" w:color="auto" w:sz="4" w:space="0"/>
              <w:bottom w:val="single" w:color="auto" w:sz="4" w:space="0"/>
              <w:right w:val="single" w:color="auto" w:sz="4" w:space="0"/>
            </w:tcBorders>
            <w:shd w:val="clear" w:color="auto" w:fill="auto"/>
          </w:tcPr>
          <w:p>
            <w:pPr>
              <w:ind w:firstLine="210" w:firstLineChars="100"/>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36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kern w:val="0"/>
                <w:szCs w:val="21"/>
                <w:lang w:bidi="ar"/>
              </w:rPr>
            </w:pPr>
          </w:p>
        </w:tc>
        <w:tc>
          <w:tcPr>
            <w:tcW w:w="510" w:type="pct"/>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210" w:firstLineChars="100"/>
              <w:jc w:val="center"/>
              <w:textAlignment w:val="center"/>
              <w:rPr>
                <w:rFonts w:asciiTheme="minorEastAsia" w:hAnsiTheme="minorEastAsia" w:eastAsiaTheme="minorEastAsia" w:cstheme="minorEastAsia"/>
                <w:bCs/>
                <w:color w:val="000000"/>
                <w:kern w:val="0"/>
                <w:szCs w:val="21"/>
                <w:lang w:bidi="ar"/>
              </w:rPr>
            </w:pPr>
          </w:p>
        </w:tc>
        <w:tc>
          <w:tcPr>
            <w:tcW w:w="890"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Theme="minorEastAsia" w:hAnsiTheme="minorEastAsia" w:eastAsiaTheme="minorEastAsia" w:cstheme="minorEastAsia"/>
                <w:szCs w:val="21"/>
              </w:rPr>
            </w:pPr>
          </w:p>
        </w:tc>
        <w:tc>
          <w:tcPr>
            <w:tcW w:w="2437"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具备区块链钱包地址标签系统，标签数据覆盖不少于3种主流交易平台，包括BINANCE、Huobi、OKEX等</w:t>
            </w:r>
          </w:p>
        </w:tc>
        <w:tc>
          <w:tcPr>
            <w:tcW w:w="801" w:type="pct"/>
            <w:tcBorders>
              <w:top w:val="single" w:color="auto" w:sz="4" w:space="0"/>
              <w:left w:val="single" w:color="auto" w:sz="4" w:space="0"/>
              <w:bottom w:val="single" w:color="auto" w:sz="4" w:space="0"/>
              <w:right w:val="single" w:color="auto" w:sz="4" w:space="0"/>
            </w:tcBorders>
            <w:shd w:val="clear" w:color="auto" w:fill="auto"/>
          </w:tcPr>
          <w:p>
            <w:pPr>
              <w:ind w:firstLine="210" w:firstLineChars="100"/>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36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kern w:val="0"/>
                <w:szCs w:val="21"/>
                <w:lang w:bidi="ar"/>
              </w:rPr>
            </w:pPr>
          </w:p>
        </w:tc>
        <w:tc>
          <w:tcPr>
            <w:tcW w:w="510"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szCs w:val="21"/>
                <w:lang w:bidi="ar"/>
              </w:rPr>
              <w:t>★</w:t>
            </w:r>
          </w:p>
        </w:tc>
        <w:tc>
          <w:tcPr>
            <w:tcW w:w="890" w:type="pct"/>
            <w:tcBorders>
              <w:top w:val="single" w:color="auto" w:sz="4" w:space="0"/>
              <w:left w:val="single" w:color="auto" w:sz="4" w:space="0"/>
              <w:bottom w:val="single" w:color="auto" w:sz="4" w:space="0"/>
              <w:right w:val="single" w:color="auto" w:sz="4" w:space="0"/>
            </w:tcBorders>
            <w:shd w:val="clear" w:color="auto" w:fill="auto"/>
            <w:noWrap/>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汽车取证</w:t>
            </w:r>
          </w:p>
        </w:tc>
        <w:tc>
          <w:tcPr>
            <w:tcW w:w="2437"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支持福特、比亚迪、日产等不少于3种品牌与车型，可提取导航、通话记录、通讯录、设备连接记录及车速、GPS、档位、开关门等车身事件信息；飞歌、路畅、抖8等不少于3种第三方Android、WinCE信息娱乐导航系统的取证；丰田、别克、雪佛兰等不少于3种品牌与车型，可提取车架号、模块故障码以及发动机电脑、变速箱电脑、车身电脑等零部件的信息</w:t>
            </w:r>
          </w:p>
        </w:tc>
        <w:tc>
          <w:tcPr>
            <w:tcW w:w="80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36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kern w:val="0"/>
                <w:szCs w:val="21"/>
                <w:lang w:bidi="ar"/>
              </w:rPr>
            </w:pPr>
          </w:p>
        </w:tc>
        <w:tc>
          <w:tcPr>
            <w:tcW w:w="510"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heme="minorEastAsia" w:hAnsiTheme="minorEastAsia" w:eastAsiaTheme="minorEastAsia" w:cstheme="minorEastAsia"/>
                <w:bCs/>
                <w:color w:val="000000"/>
                <w:kern w:val="0"/>
                <w:szCs w:val="21"/>
                <w:lang w:bidi="ar"/>
              </w:rPr>
            </w:pPr>
          </w:p>
        </w:tc>
        <w:tc>
          <w:tcPr>
            <w:tcW w:w="890" w:type="pct"/>
            <w:tcBorders>
              <w:top w:val="single" w:color="auto" w:sz="4" w:space="0"/>
              <w:left w:val="single" w:color="auto" w:sz="4" w:space="0"/>
              <w:bottom w:val="single" w:color="auto" w:sz="4" w:space="0"/>
              <w:right w:val="single" w:color="auto" w:sz="4" w:space="0"/>
            </w:tcBorders>
            <w:shd w:val="clear" w:color="auto" w:fill="auto"/>
            <w:noWrap/>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现场固定</w:t>
            </w:r>
          </w:p>
        </w:tc>
        <w:tc>
          <w:tcPr>
            <w:tcW w:w="2437"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支持对现场计算机、手机等不少于2种检材提取和固定，完成后固定数据的存储介质需处于只读状态，并直观展示案件相关信息</w:t>
            </w:r>
          </w:p>
        </w:tc>
        <w:tc>
          <w:tcPr>
            <w:tcW w:w="80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36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kern w:val="0"/>
                <w:szCs w:val="21"/>
                <w:lang w:bidi="ar"/>
              </w:rPr>
            </w:pPr>
          </w:p>
        </w:tc>
        <w:tc>
          <w:tcPr>
            <w:tcW w:w="510"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heme="minorEastAsia" w:hAnsiTheme="minorEastAsia" w:eastAsiaTheme="minorEastAsia" w:cstheme="minorEastAsia"/>
                <w:bCs/>
                <w:color w:val="000000"/>
                <w:kern w:val="0"/>
                <w:szCs w:val="21"/>
                <w:lang w:bidi="ar"/>
              </w:rPr>
            </w:pPr>
          </w:p>
        </w:tc>
        <w:tc>
          <w:tcPr>
            <w:tcW w:w="890" w:type="pct"/>
            <w:tcBorders>
              <w:top w:val="single" w:color="auto" w:sz="4" w:space="0"/>
              <w:left w:val="single" w:color="auto" w:sz="4" w:space="0"/>
              <w:bottom w:val="single" w:color="auto" w:sz="4" w:space="0"/>
              <w:right w:val="single" w:color="auto" w:sz="4" w:space="0"/>
            </w:tcBorders>
            <w:shd w:val="clear" w:color="auto" w:fill="auto"/>
            <w:noWrap/>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解锁服务</w:t>
            </w:r>
          </w:p>
        </w:tc>
        <w:tc>
          <w:tcPr>
            <w:tcW w:w="2437"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提供不少于5次免费手机解锁服务（1.需支持iPhone11以下屏幕锁破解；2.需支持iPhone8-14（iOS16-17.5.1）AFU数据提取</w:t>
            </w:r>
            <w:bookmarkStart w:id="120" w:name="OLE_LINK12"/>
            <w:r>
              <w:rPr>
                <w:rFonts w:hint="eastAsia" w:asciiTheme="minorEastAsia" w:hAnsiTheme="minorEastAsia" w:eastAsiaTheme="minorEastAsia" w:cstheme="minorEastAsia"/>
                <w:bCs/>
                <w:szCs w:val="21"/>
                <w:lang w:bidi="ar"/>
              </w:rPr>
              <w:t>（在不重启、不关机状态下绕过屏幕锁）</w:t>
            </w:r>
            <w:bookmarkEnd w:id="120"/>
            <w:r>
              <w:rPr>
                <w:rFonts w:hint="eastAsia" w:asciiTheme="minorEastAsia" w:hAnsiTheme="minorEastAsia" w:eastAsiaTheme="minorEastAsia" w:cstheme="minorEastAsia"/>
                <w:bCs/>
                <w:szCs w:val="21"/>
                <w:lang w:bidi="ar"/>
              </w:rPr>
              <w:t>；3.需支持众多主流芯片Android手机屏幕锁破解，包含不限于骁龙8Gen3、骁龙8Gen2、骁龙8+Gen1、天玑9200、天玑9000、天玑8100）</w:t>
            </w:r>
          </w:p>
        </w:tc>
        <w:tc>
          <w:tcPr>
            <w:tcW w:w="80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承诺函</w:t>
            </w:r>
          </w:p>
        </w:tc>
      </w:tr>
    </w:tbl>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第1包 电子物证现场提取设备</w:t>
      </w:r>
      <w:r>
        <w:rPr>
          <w:rFonts w:hint="default" w:ascii="Times New Roman" w:hAnsi="Times New Roman" w:cs="Times New Roman" w:eastAsiaTheme="minorEastAsia"/>
          <w:szCs w:val="21"/>
        </w:rPr>
        <w:t>Ⅰ</w:t>
      </w:r>
    </w:p>
    <w:tbl>
      <w:tblPr>
        <w:tblStyle w:val="8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7"/>
        <w:gridCol w:w="895"/>
        <w:gridCol w:w="1173"/>
        <w:gridCol w:w="3913"/>
        <w:gridCol w:w="1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40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序号</w:t>
            </w:r>
          </w:p>
        </w:tc>
        <w:tc>
          <w:tcPr>
            <w:tcW w:w="52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重要性</w:t>
            </w:r>
          </w:p>
        </w:tc>
        <w:tc>
          <w:tcPr>
            <w:tcW w:w="68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指标项</w:t>
            </w:r>
          </w:p>
        </w:tc>
        <w:tc>
          <w:tcPr>
            <w:tcW w:w="229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指标要求</w:t>
            </w:r>
          </w:p>
        </w:tc>
        <w:tc>
          <w:tcPr>
            <w:tcW w:w="108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证明材料要求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40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525" w:type="pct"/>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jc w:val="center"/>
              <w:rPr>
                <w:rFonts w:asciiTheme="minorEastAsia" w:hAnsiTheme="minorEastAsia" w:eastAsiaTheme="minorEastAsia" w:cstheme="minorEastAsia"/>
                <w:bCs/>
                <w:szCs w:val="21"/>
              </w:rPr>
            </w:pPr>
          </w:p>
        </w:tc>
        <w:tc>
          <w:tcPr>
            <w:tcW w:w="688" w:type="pct"/>
            <w:vMerge w:val="restart"/>
            <w:tcBorders>
              <w:top w:val="single" w:color="auto" w:sz="4" w:space="0"/>
              <w:left w:val="single" w:color="auto" w:sz="4" w:space="0"/>
              <w:right w:val="single" w:color="auto" w:sz="4" w:space="0"/>
            </w:tcBorders>
            <w:shd w:val="clear" w:color="auto" w:fill="auto"/>
            <w:noWrap/>
            <w:vAlign w:val="center"/>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复制能力</w:t>
            </w:r>
          </w:p>
        </w:tc>
        <w:tc>
          <w:tcPr>
            <w:tcW w:w="2296"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kern w:val="0"/>
                <w:szCs w:val="21"/>
                <w:lang w:bidi="ar"/>
              </w:rPr>
            </w:pPr>
            <w:r>
              <w:rPr>
                <w:rFonts w:hint="eastAsia" w:asciiTheme="minorEastAsia" w:hAnsiTheme="minorEastAsia" w:eastAsiaTheme="minorEastAsia" w:cstheme="minorEastAsia"/>
                <w:bCs/>
                <w:color w:val="000000"/>
                <w:kern w:val="0"/>
                <w:szCs w:val="21"/>
                <w:lang w:bidi="ar"/>
              </w:rPr>
              <w:t>支持不少于2种复制模式，1对1,2对2复制</w:t>
            </w:r>
          </w:p>
        </w:tc>
        <w:tc>
          <w:tcPr>
            <w:tcW w:w="1086"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heme="minorEastAsia" w:hAnsiTheme="minorEastAsia" w:eastAsiaTheme="minorEastAsia" w:cstheme="minorEastAsia"/>
                <w:bCs/>
                <w:kern w:val="0"/>
                <w:szCs w:val="21"/>
                <w:lang w:bidi="ar"/>
              </w:rPr>
            </w:pPr>
            <w:r>
              <w:rPr>
                <w:rFonts w:hint="eastAsia" w:asciiTheme="minorEastAsia" w:hAnsiTheme="minorEastAsia" w:eastAsiaTheme="minorEastAsia" w:cstheme="minorEastAsia"/>
                <w:bCs/>
                <w:color w:val="000000"/>
                <w:kern w:val="0"/>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40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525" w:type="pct"/>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ind w:left="420"/>
              <w:jc w:val="center"/>
              <w:rPr>
                <w:rFonts w:asciiTheme="minorEastAsia" w:hAnsiTheme="minorEastAsia" w:eastAsiaTheme="minorEastAsia" w:cstheme="minorEastAsia"/>
                <w:bCs/>
                <w:kern w:val="0"/>
                <w:szCs w:val="21"/>
                <w:lang w:bidi="ar"/>
              </w:rPr>
            </w:pPr>
          </w:p>
        </w:tc>
        <w:tc>
          <w:tcPr>
            <w:tcW w:w="68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Theme="minorEastAsia" w:hAnsiTheme="minorEastAsia" w:eastAsiaTheme="minorEastAsia" w:cstheme="minorEastAsia"/>
                <w:szCs w:val="21"/>
              </w:rPr>
            </w:pPr>
          </w:p>
        </w:tc>
        <w:tc>
          <w:tcPr>
            <w:tcW w:w="2296"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kern w:val="0"/>
                <w:szCs w:val="21"/>
                <w:lang w:bidi="ar"/>
              </w:rPr>
            </w:pPr>
            <w:r>
              <w:rPr>
                <w:rFonts w:hint="eastAsia" w:asciiTheme="minorEastAsia" w:hAnsiTheme="minorEastAsia" w:eastAsiaTheme="minorEastAsia" w:cstheme="minorEastAsia"/>
                <w:bCs/>
                <w:color w:val="000000"/>
                <w:kern w:val="0"/>
                <w:szCs w:val="21"/>
                <w:lang w:bidi="ar"/>
              </w:rPr>
              <w:t>具备高性能的镜像功能，需支持MD5，SHA1，SHA-256等不少于3种格式的校验，支持DD镜像、E01镜像、AFF镜像等不少于3种镜像文件制作功能</w:t>
            </w:r>
          </w:p>
        </w:tc>
        <w:tc>
          <w:tcPr>
            <w:tcW w:w="1086"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ind w:left="420"/>
              <w:rPr>
                <w:rFonts w:asciiTheme="minorEastAsia" w:hAnsiTheme="minorEastAsia" w:eastAsiaTheme="minorEastAsia" w:cstheme="minorEastAsia"/>
                <w:bCs/>
                <w:kern w:val="0"/>
                <w:szCs w:val="21"/>
                <w:lang w:bidi="ar"/>
              </w:rPr>
            </w:pPr>
            <w:r>
              <w:rPr>
                <w:rFonts w:hint="eastAsia" w:asciiTheme="minorEastAsia" w:hAnsiTheme="minorEastAsia" w:eastAsiaTheme="minorEastAsia" w:cstheme="minorEastAsia"/>
                <w:bCs/>
                <w:color w:val="000000"/>
                <w:kern w:val="0"/>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40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525"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heme="minorEastAsia" w:hAnsiTheme="minorEastAsia" w:eastAsiaTheme="minorEastAsia" w:cstheme="minorEastAsia"/>
                <w:bCs/>
                <w:color w:val="000000"/>
                <w:kern w:val="0"/>
                <w:szCs w:val="21"/>
                <w:lang w:bidi="ar"/>
              </w:rPr>
            </w:pPr>
          </w:p>
        </w:tc>
        <w:tc>
          <w:tcPr>
            <w:tcW w:w="688" w:type="pct"/>
            <w:vMerge w:val="restart"/>
            <w:tcBorders>
              <w:top w:val="single" w:color="auto" w:sz="4" w:space="0"/>
              <w:left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取证能力</w:t>
            </w:r>
          </w:p>
        </w:tc>
        <w:tc>
          <w:tcPr>
            <w:tcW w:w="2296"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kern w:val="0"/>
                <w:szCs w:val="21"/>
                <w:lang w:bidi="ar"/>
              </w:rPr>
            </w:pPr>
            <w:r>
              <w:rPr>
                <w:rFonts w:hint="eastAsia" w:asciiTheme="minorEastAsia" w:hAnsiTheme="minorEastAsia" w:eastAsiaTheme="minorEastAsia" w:cstheme="minorEastAsia"/>
                <w:bCs/>
                <w:color w:val="000000"/>
                <w:kern w:val="0"/>
                <w:szCs w:val="21"/>
                <w:lang w:bidi="ar"/>
              </w:rPr>
              <w:t>支持FAT32、exFAT、NTFS、ReFS、CDFS、UDF、HFSX/HFS+、APFS、EXT4、BTRFS等不少于10种主流文件系统格式的解析</w:t>
            </w:r>
          </w:p>
        </w:tc>
        <w:tc>
          <w:tcPr>
            <w:tcW w:w="108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40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525"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heme="minorEastAsia" w:hAnsiTheme="minorEastAsia" w:eastAsiaTheme="minorEastAsia" w:cstheme="minorEastAsia"/>
                <w:bCs/>
                <w:szCs w:val="21"/>
              </w:rPr>
            </w:pPr>
          </w:p>
        </w:tc>
        <w:tc>
          <w:tcPr>
            <w:tcW w:w="688" w:type="pct"/>
            <w:vMerge w:val="continue"/>
            <w:tcBorders>
              <w:left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2296"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支持E01、Ex01、L01、DD、001、ISO、VMDK、VHD、AFF、GHO、HDD、VHDX等不少于12种镜像文件的加载和分析</w:t>
            </w:r>
          </w:p>
        </w:tc>
        <w:tc>
          <w:tcPr>
            <w:tcW w:w="108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trPr>
        <w:tc>
          <w:tcPr>
            <w:tcW w:w="40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525"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heme="minorEastAsia" w:hAnsiTheme="minorEastAsia" w:eastAsiaTheme="minorEastAsia" w:cstheme="minorEastAsia"/>
                <w:bCs/>
                <w:color w:val="000000"/>
                <w:kern w:val="0"/>
                <w:szCs w:val="21"/>
                <w:lang w:bidi="ar"/>
              </w:rPr>
            </w:pPr>
          </w:p>
        </w:tc>
        <w:tc>
          <w:tcPr>
            <w:tcW w:w="688" w:type="pct"/>
            <w:vMerge w:val="continue"/>
            <w:tcBorders>
              <w:left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2296"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支持RAID磁盘组自动计算磁盘序列功能，可提供最符合条件的RAID类型建议；支持JBOD、RAID0、RAID1、RAID5、RAID6、RAIDF1不少于6种阵列重组</w:t>
            </w:r>
          </w:p>
        </w:tc>
        <w:tc>
          <w:tcPr>
            <w:tcW w:w="108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40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525"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heme="minorEastAsia" w:hAnsiTheme="minorEastAsia" w:eastAsiaTheme="minorEastAsia" w:cstheme="minorEastAsia"/>
                <w:bCs/>
                <w:color w:val="000000"/>
                <w:kern w:val="0"/>
                <w:szCs w:val="21"/>
                <w:lang w:bidi="ar"/>
              </w:rPr>
            </w:pPr>
          </w:p>
        </w:tc>
        <w:tc>
          <w:tcPr>
            <w:tcW w:w="688" w:type="pct"/>
            <w:vMerge w:val="continue"/>
            <w:tcBorders>
              <w:left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2296"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支持macOS的RAID0解析、FusionDrive融合磁盘解析、APFSFusion融合磁盘解析不少于3种类型磁盘解析</w:t>
            </w:r>
          </w:p>
        </w:tc>
        <w:tc>
          <w:tcPr>
            <w:tcW w:w="108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40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525"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heme="minorEastAsia" w:hAnsiTheme="minorEastAsia" w:eastAsiaTheme="minorEastAsia" w:cstheme="minorEastAsia"/>
                <w:bCs/>
                <w:color w:val="000000"/>
                <w:kern w:val="0"/>
                <w:szCs w:val="21"/>
                <w:lang w:bidi="ar"/>
              </w:rPr>
            </w:pPr>
          </w:p>
        </w:tc>
        <w:tc>
          <w:tcPr>
            <w:tcW w:w="688" w:type="pct"/>
            <w:vMerge w:val="continue"/>
            <w:tcBorders>
              <w:left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2296"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支持Linux下的LVM解析、MDADM软RAID解析不少于2种磁盘类型解析</w:t>
            </w:r>
          </w:p>
        </w:tc>
        <w:tc>
          <w:tcPr>
            <w:tcW w:w="108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trPr>
        <w:tc>
          <w:tcPr>
            <w:tcW w:w="40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525"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heme="minorEastAsia" w:hAnsiTheme="minorEastAsia" w:eastAsiaTheme="minorEastAsia" w:cstheme="minorEastAsia"/>
                <w:bCs/>
                <w:color w:val="000000"/>
                <w:kern w:val="0"/>
                <w:szCs w:val="21"/>
                <w:lang w:bidi="ar"/>
              </w:rPr>
            </w:pPr>
          </w:p>
        </w:tc>
        <w:tc>
          <w:tcPr>
            <w:tcW w:w="688" w:type="pct"/>
            <w:vMerge w:val="continue"/>
            <w:tcBorders>
              <w:left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2296"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支持EFS、BitLocker、TrueCrypt、VeraCrypt、Luks、FileVault2不少于6种加密类型的离线解密；支持APFS文件系统加密数据离线解密</w:t>
            </w:r>
          </w:p>
        </w:tc>
        <w:tc>
          <w:tcPr>
            <w:tcW w:w="108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40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525"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heme="minorEastAsia" w:hAnsiTheme="minorEastAsia" w:eastAsiaTheme="minorEastAsia" w:cstheme="minorEastAsia"/>
                <w:bCs/>
                <w:color w:val="000000"/>
                <w:kern w:val="0"/>
                <w:szCs w:val="21"/>
                <w:lang w:bidi="ar"/>
              </w:rPr>
            </w:pPr>
          </w:p>
        </w:tc>
        <w:tc>
          <w:tcPr>
            <w:tcW w:w="688" w:type="pct"/>
            <w:vMerge w:val="continue"/>
            <w:tcBorders>
              <w:left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2296"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支持反取证软件、加密文件等不少于2种检测功能</w:t>
            </w:r>
          </w:p>
        </w:tc>
        <w:tc>
          <w:tcPr>
            <w:tcW w:w="108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40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525"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heme="minorEastAsia" w:hAnsiTheme="minorEastAsia" w:eastAsiaTheme="minorEastAsia" w:cstheme="minorEastAsia"/>
                <w:bCs/>
                <w:color w:val="000000"/>
                <w:kern w:val="0"/>
                <w:szCs w:val="21"/>
                <w:lang w:bidi="ar"/>
              </w:rPr>
            </w:pPr>
          </w:p>
        </w:tc>
        <w:tc>
          <w:tcPr>
            <w:tcW w:w="688" w:type="pct"/>
            <w:vMerge w:val="continue"/>
            <w:tcBorders>
              <w:left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2296"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支持进行文件分类和视频文件分帧不少于2种功能</w:t>
            </w:r>
          </w:p>
        </w:tc>
        <w:tc>
          <w:tcPr>
            <w:tcW w:w="108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40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525"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heme="minorEastAsia" w:hAnsiTheme="minorEastAsia" w:eastAsiaTheme="minorEastAsia" w:cstheme="minorEastAsia"/>
                <w:bCs/>
                <w:color w:val="000000"/>
                <w:kern w:val="0"/>
                <w:szCs w:val="21"/>
                <w:lang w:bidi="ar"/>
              </w:rPr>
            </w:pPr>
          </w:p>
        </w:tc>
        <w:tc>
          <w:tcPr>
            <w:tcW w:w="688" w:type="pct"/>
            <w:vMerge w:val="continue"/>
            <w:tcBorders>
              <w:left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2296"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支持通过手机扫码对QQ、微信等不少于2种加密数据进行解密解析</w:t>
            </w:r>
          </w:p>
        </w:tc>
        <w:tc>
          <w:tcPr>
            <w:tcW w:w="108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trPr>
        <w:tc>
          <w:tcPr>
            <w:tcW w:w="40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525"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heme="minorEastAsia" w:hAnsiTheme="minorEastAsia" w:eastAsiaTheme="minorEastAsia" w:cstheme="minorEastAsia"/>
                <w:bCs/>
                <w:color w:val="000000"/>
                <w:kern w:val="0"/>
                <w:szCs w:val="21"/>
                <w:lang w:bidi="ar"/>
              </w:rPr>
            </w:pPr>
          </w:p>
        </w:tc>
        <w:tc>
          <w:tcPr>
            <w:tcW w:w="688" w:type="pct"/>
            <w:vMerge w:val="continue"/>
            <w:tcBorders>
              <w:left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2296"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支持用户自主编程，编程方式简单可视化、可调试、可拓展，可实现应用程序解析扩展、数据分析等不少于2种个性化需求</w:t>
            </w:r>
          </w:p>
        </w:tc>
        <w:tc>
          <w:tcPr>
            <w:tcW w:w="108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40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525"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heme="minorEastAsia" w:hAnsiTheme="minorEastAsia" w:eastAsiaTheme="minorEastAsia" w:cstheme="minorEastAsia"/>
                <w:bCs/>
                <w:color w:val="000000"/>
                <w:kern w:val="0"/>
                <w:szCs w:val="21"/>
                <w:lang w:bidi="ar"/>
              </w:rPr>
            </w:pPr>
          </w:p>
        </w:tc>
        <w:tc>
          <w:tcPr>
            <w:tcW w:w="688" w:type="pct"/>
            <w:vMerge w:val="continue"/>
            <w:tcBorders>
              <w:left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2296"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提供不少于3种基础人工智能能力调用接口，包括但不限于OCR、图片分类、人脸检测等</w:t>
            </w:r>
          </w:p>
        </w:tc>
        <w:tc>
          <w:tcPr>
            <w:tcW w:w="108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2" w:hRule="atLeast"/>
        </w:trPr>
        <w:tc>
          <w:tcPr>
            <w:tcW w:w="40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525"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heme="minorEastAsia" w:hAnsiTheme="minorEastAsia" w:eastAsiaTheme="minorEastAsia" w:cstheme="minorEastAsia"/>
                <w:bCs/>
                <w:color w:val="000000"/>
                <w:kern w:val="0"/>
                <w:szCs w:val="21"/>
                <w:lang w:bidi="ar"/>
              </w:rPr>
            </w:pPr>
          </w:p>
        </w:tc>
        <w:tc>
          <w:tcPr>
            <w:tcW w:w="688" w:type="pct"/>
            <w:vMerge w:val="continue"/>
            <w:tcBorders>
              <w:left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2296"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支持摘录报告，摘录功能可以将数据片段、文本信息、文件信息、取证结果或其它类型等不少于4种类型的数据添加到摘录视图中，并可将摘录数据生成报告以自定义模板形式导出</w:t>
            </w:r>
          </w:p>
        </w:tc>
        <w:tc>
          <w:tcPr>
            <w:tcW w:w="108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40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525" w:type="pct"/>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ind w:left="420"/>
              <w:jc w:val="center"/>
              <w:rPr>
                <w:rFonts w:asciiTheme="minorEastAsia" w:hAnsiTheme="minorEastAsia" w:eastAsiaTheme="minorEastAsia" w:cstheme="minorEastAsia"/>
                <w:bCs/>
                <w:szCs w:val="21"/>
              </w:rPr>
            </w:pPr>
          </w:p>
        </w:tc>
        <w:tc>
          <w:tcPr>
            <w:tcW w:w="688" w:type="pct"/>
            <w:vMerge w:val="continue"/>
            <w:tcBorders>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2296"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kern w:val="0"/>
                <w:szCs w:val="21"/>
                <w:lang w:bidi="ar"/>
              </w:rPr>
            </w:pPr>
            <w:r>
              <w:rPr>
                <w:rFonts w:hint="eastAsia" w:asciiTheme="minorEastAsia" w:hAnsiTheme="minorEastAsia" w:eastAsiaTheme="minorEastAsia" w:cstheme="minorEastAsia"/>
                <w:bCs/>
                <w:color w:val="000000"/>
                <w:kern w:val="0"/>
                <w:szCs w:val="21"/>
                <w:lang w:bidi="ar"/>
              </w:rPr>
              <w:t>支持MD5、SHA-1、SHA-256等不少于3种多种哈希值计算</w:t>
            </w:r>
          </w:p>
        </w:tc>
        <w:tc>
          <w:tcPr>
            <w:tcW w:w="1086"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ind w:left="420"/>
              <w:jc w:val="center"/>
              <w:rPr>
                <w:rFonts w:asciiTheme="minorEastAsia" w:hAnsiTheme="minorEastAsia" w:eastAsiaTheme="minorEastAsia" w:cstheme="minorEastAsia"/>
                <w:bCs/>
                <w:kern w:val="0"/>
                <w:szCs w:val="21"/>
                <w:lang w:bidi="ar"/>
              </w:rPr>
            </w:pPr>
            <w:r>
              <w:rPr>
                <w:rFonts w:hint="eastAsia" w:asciiTheme="minorEastAsia" w:hAnsiTheme="minorEastAsia" w:eastAsiaTheme="minorEastAsia" w:cstheme="minorEastAsia"/>
                <w:bCs/>
                <w:color w:val="000000"/>
                <w:kern w:val="0"/>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4" w:hRule="atLeast"/>
        </w:trPr>
        <w:tc>
          <w:tcPr>
            <w:tcW w:w="40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525"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heme="minorEastAsia" w:hAnsiTheme="minorEastAsia" w:eastAsiaTheme="minorEastAsia" w:cstheme="minorEastAsia"/>
                <w:bCs/>
                <w:color w:val="000000"/>
                <w:kern w:val="0"/>
                <w:szCs w:val="21"/>
                <w:lang w:bidi="ar"/>
              </w:rPr>
            </w:pPr>
          </w:p>
        </w:tc>
        <w:tc>
          <w:tcPr>
            <w:tcW w:w="688" w:type="pct"/>
            <w:vMerge w:val="restart"/>
            <w:tcBorders>
              <w:top w:val="single" w:color="auto" w:sz="4" w:space="0"/>
              <w:left w:val="single" w:color="auto" w:sz="4" w:space="0"/>
              <w:right w:val="single" w:color="auto" w:sz="4" w:space="0"/>
            </w:tcBorders>
            <w:shd w:val="clear" w:color="auto" w:fill="auto"/>
            <w:noWrap/>
            <w:vAlign w:val="center"/>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仿真能力</w:t>
            </w:r>
          </w:p>
        </w:tc>
        <w:tc>
          <w:tcPr>
            <w:tcW w:w="2296"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color w:val="000000"/>
                <w:kern w:val="0"/>
                <w:szCs w:val="21"/>
                <w:lang w:bidi="ar"/>
              </w:rPr>
              <w:t>支持对E01、001、DD、VMDK、RAW、RAR、TGZ、QCOW、QCOW2、QCOW3、EX01、VHD、VHDX、AFF、VDI、HDD、HDS、S01、DMG文件）、云数据库（GZ文件、XB文件）以及MAC系统SparseImage、DMG等不少于20种镜像格式进行仿真</w:t>
            </w:r>
          </w:p>
        </w:tc>
        <w:tc>
          <w:tcPr>
            <w:tcW w:w="108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40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525"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heme="minorEastAsia" w:hAnsiTheme="minorEastAsia" w:eastAsiaTheme="minorEastAsia" w:cstheme="minorEastAsia"/>
                <w:bCs/>
                <w:color w:val="000000"/>
                <w:kern w:val="0"/>
                <w:szCs w:val="21"/>
                <w:lang w:bidi="ar"/>
              </w:rPr>
            </w:pPr>
          </w:p>
        </w:tc>
        <w:tc>
          <w:tcPr>
            <w:tcW w:w="688" w:type="pct"/>
            <w:vMerge w:val="continue"/>
            <w:tcBorders>
              <w:left w:val="single" w:color="auto" w:sz="4" w:space="0"/>
              <w:right w:val="single" w:color="auto" w:sz="4" w:space="0"/>
            </w:tcBorders>
            <w:shd w:val="clear" w:color="auto" w:fill="auto"/>
            <w:noWrap/>
            <w:vAlign w:val="center"/>
          </w:tcPr>
          <w:p>
            <w:pPr>
              <w:rPr>
                <w:rFonts w:asciiTheme="minorEastAsia" w:hAnsiTheme="minorEastAsia" w:eastAsiaTheme="minorEastAsia" w:cstheme="minorEastAsia"/>
                <w:szCs w:val="21"/>
              </w:rPr>
            </w:pPr>
          </w:p>
        </w:tc>
        <w:tc>
          <w:tcPr>
            <w:tcW w:w="2296"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color w:val="000000"/>
                <w:kern w:val="0"/>
                <w:szCs w:val="21"/>
                <w:lang w:bidi="ar"/>
              </w:rPr>
              <w:t>单个系统仿真能支持不少于同时添加8个数据源</w:t>
            </w:r>
          </w:p>
        </w:tc>
        <w:tc>
          <w:tcPr>
            <w:tcW w:w="108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40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525"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heme="minorEastAsia" w:hAnsiTheme="minorEastAsia" w:eastAsiaTheme="minorEastAsia" w:cstheme="minorEastAsia"/>
                <w:bCs/>
                <w:color w:val="000000"/>
                <w:kern w:val="0"/>
                <w:szCs w:val="21"/>
                <w:lang w:bidi="ar"/>
              </w:rPr>
            </w:pPr>
          </w:p>
        </w:tc>
        <w:tc>
          <w:tcPr>
            <w:tcW w:w="688" w:type="pct"/>
            <w:vMerge w:val="continue"/>
            <w:tcBorders>
              <w:left w:val="single" w:color="auto" w:sz="4" w:space="0"/>
              <w:right w:val="single" w:color="auto" w:sz="4" w:space="0"/>
            </w:tcBorders>
            <w:shd w:val="clear" w:color="auto" w:fill="auto"/>
            <w:noWrap/>
            <w:vAlign w:val="center"/>
          </w:tcPr>
          <w:p>
            <w:pPr>
              <w:rPr>
                <w:rFonts w:asciiTheme="minorEastAsia" w:hAnsiTheme="minorEastAsia" w:eastAsiaTheme="minorEastAsia" w:cstheme="minorEastAsia"/>
                <w:szCs w:val="21"/>
              </w:rPr>
            </w:pPr>
          </w:p>
        </w:tc>
        <w:tc>
          <w:tcPr>
            <w:tcW w:w="2296"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支持对Windows、MacOS、Linux、ESXi等不少于4种操作系统进行仿真取证，并支持上述4种操作系统登录密码的绕过</w:t>
            </w:r>
          </w:p>
        </w:tc>
        <w:tc>
          <w:tcPr>
            <w:tcW w:w="108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40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525"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heme="minorEastAsia" w:hAnsiTheme="minorEastAsia" w:eastAsiaTheme="minorEastAsia" w:cstheme="minorEastAsia"/>
                <w:bCs/>
                <w:color w:val="000000"/>
                <w:kern w:val="0"/>
                <w:szCs w:val="21"/>
                <w:lang w:bidi="ar"/>
              </w:rPr>
            </w:pPr>
          </w:p>
        </w:tc>
        <w:tc>
          <w:tcPr>
            <w:tcW w:w="688" w:type="pct"/>
            <w:vMerge w:val="continue"/>
            <w:tcBorders>
              <w:left w:val="single" w:color="auto" w:sz="4" w:space="0"/>
              <w:right w:val="single" w:color="auto" w:sz="4" w:space="0"/>
            </w:tcBorders>
            <w:shd w:val="clear" w:color="auto" w:fill="auto"/>
            <w:noWrap/>
            <w:vAlign w:val="center"/>
          </w:tcPr>
          <w:p>
            <w:pPr>
              <w:rPr>
                <w:rFonts w:asciiTheme="minorEastAsia" w:hAnsiTheme="minorEastAsia" w:eastAsiaTheme="minorEastAsia" w:cstheme="minorEastAsia"/>
                <w:szCs w:val="21"/>
              </w:rPr>
            </w:pPr>
          </w:p>
        </w:tc>
        <w:tc>
          <w:tcPr>
            <w:tcW w:w="2296"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支持对FileVault2加密分区的仿真，不少于2种，包括HFS+、APFS两种文件系统</w:t>
            </w:r>
          </w:p>
        </w:tc>
        <w:tc>
          <w:tcPr>
            <w:tcW w:w="108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40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525"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heme="minorEastAsia" w:hAnsiTheme="minorEastAsia" w:eastAsiaTheme="minorEastAsia" w:cstheme="minorEastAsia"/>
                <w:bCs/>
                <w:color w:val="000000"/>
                <w:kern w:val="0"/>
                <w:szCs w:val="21"/>
                <w:lang w:bidi="ar"/>
              </w:rPr>
            </w:pPr>
          </w:p>
        </w:tc>
        <w:tc>
          <w:tcPr>
            <w:tcW w:w="688" w:type="pct"/>
            <w:vMerge w:val="continue"/>
            <w:tcBorders>
              <w:left w:val="single" w:color="auto" w:sz="4" w:space="0"/>
              <w:bottom w:val="single" w:color="auto" w:sz="4" w:space="0"/>
              <w:right w:val="single" w:color="auto" w:sz="4" w:space="0"/>
            </w:tcBorders>
            <w:shd w:val="clear" w:color="auto" w:fill="auto"/>
            <w:noWrap/>
            <w:vAlign w:val="center"/>
          </w:tcPr>
          <w:p>
            <w:pPr>
              <w:rPr>
                <w:rFonts w:asciiTheme="minorEastAsia" w:hAnsiTheme="minorEastAsia" w:eastAsiaTheme="minorEastAsia" w:cstheme="minorEastAsia"/>
                <w:szCs w:val="21"/>
              </w:rPr>
            </w:pPr>
          </w:p>
        </w:tc>
        <w:tc>
          <w:tcPr>
            <w:tcW w:w="2296"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color w:val="000000"/>
                <w:kern w:val="0"/>
                <w:szCs w:val="21"/>
                <w:lang w:bidi="ar"/>
              </w:rPr>
              <w:t>支持历史仿真记录、环境配置（内存、共享目录、虚拟机、网卡等）等不少于2种信息查看</w:t>
            </w:r>
          </w:p>
        </w:tc>
        <w:tc>
          <w:tcPr>
            <w:tcW w:w="108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40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525"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heme="minorEastAsia" w:hAnsiTheme="minorEastAsia" w:eastAsiaTheme="minorEastAsia" w:cstheme="minorEastAsia"/>
                <w:bCs/>
                <w:color w:val="000000"/>
                <w:kern w:val="0"/>
                <w:szCs w:val="21"/>
                <w:lang w:bidi="ar"/>
              </w:rPr>
            </w:pPr>
          </w:p>
        </w:tc>
        <w:tc>
          <w:tcPr>
            <w:tcW w:w="688"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textAlignment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color w:val="000000"/>
                <w:kern w:val="0"/>
                <w:szCs w:val="21"/>
                <w:lang w:bidi="ar"/>
              </w:rPr>
              <w:t>手机采集</w:t>
            </w:r>
          </w:p>
        </w:tc>
        <w:tc>
          <w:tcPr>
            <w:tcW w:w="2296"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支持获取手机通讯簿、短信及通话记录等不少于3种信息</w:t>
            </w:r>
          </w:p>
        </w:tc>
        <w:tc>
          <w:tcPr>
            <w:tcW w:w="108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40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525"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heme="minorEastAsia" w:hAnsiTheme="minorEastAsia" w:eastAsiaTheme="minorEastAsia" w:cstheme="minorEastAsia"/>
                <w:bCs/>
                <w:szCs w:val="21"/>
              </w:rPr>
            </w:pPr>
          </w:p>
        </w:tc>
        <w:tc>
          <w:tcPr>
            <w:tcW w:w="68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Theme="minorEastAsia" w:hAnsiTheme="minorEastAsia" w:eastAsiaTheme="minorEastAsia" w:cstheme="minorEastAsia"/>
                <w:szCs w:val="21"/>
              </w:rPr>
            </w:pPr>
          </w:p>
        </w:tc>
        <w:tc>
          <w:tcPr>
            <w:tcW w:w="2296"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支持iPhone和Android等不少于2种手机已删除数据的恢复</w:t>
            </w:r>
          </w:p>
        </w:tc>
        <w:tc>
          <w:tcPr>
            <w:tcW w:w="108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40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525"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heme="minorEastAsia" w:hAnsiTheme="minorEastAsia" w:eastAsiaTheme="minorEastAsia" w:cstheme="minorEastAsia"/>
                <w:bCs/>
                <w:color w:val="000000"/>
                <w:kern w:val="0"/>
                <w:szCs w:val="21"/>
                <w:lang w:bidi="ar"/>
              </w:rPr>
            </w:pPr>
          </w:p>
        </w:tc>
        <w:tc>
          <w:tcPr>
            <w:tcW w:w="688" w:type="pct"/>
            <w:tcBorders>
              <w:top w:val="single" w:color="auto" w:sz="4" w:space="0"/>
              <w:left w:val="single" w:color="auto" w:sz="4" w:space="0"/>
              <w:bottom w:val="single" w:color="auto" w:sz="4" w:space="0"/>
              <w:right w:val="single" w:color="auto" w:sz="4" w:space="0"/>
            </w:tcBorders>
            <w:shd w:val="clear" w:color="auto" w:fill="auto"/>
            <w:noWrap/>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视频采集</w:t>
            </w:r>
          </w:p>
        </w:tc>
        <w:tc>
          <w:tcPr>
            <w:tcW w:w="2296"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lang w:bidi="ar"/>
              </w:rPr>
              <w:t>支持不少于3种品牌录像机设备进行视频采集</w:t>
            </w:r>
          </w:p>
        </w:tc>
        <w:tc>
          <w:tcPr>
            <w:tcW w:w="108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 w:hRule="atLeast"/>
        </w:trPr>
        <w:tc>
          <w:tcPr>
            <w:tcW w:w="40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525"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heme="minorEastAsia" w:hAnsiTheme="minorEastAsia" w:eastAsiaTheme="minorEastAsia" w:cstheme="minorEastAsia"/>
                <w:bCs/>
                <w:color w:val="000000"/>
                <w:kern w:val="0"/>
                <w:szCs w:val="21"/>
                <w:lang w:bidi="ar"/>
              </w:rPr>
            </w:pPr>
          </w:p>
        </w:tc>
        <w:tc>
          <w:tcPr>
            <w:tcW w:w="688" w:type="pct"/>
            <w:vMerge w:val="restart"/>
            <w:tcBorders>
              <w:top w:val="single" w:color="auto" w:sz="4" w:space="0"/>
              <w:left w:val="single" w:color="auto" w:sz="4" w:space="0"/>
              <w:right w:val="single" w:color="auto" w:sz="4" w:space="0"/>
            </w:tcBorders>
            <w:shd w:val="clear" w:color="auto" w:fill="auto"/>
            <w:noWrap/>
            <w:vAlign w:val="center"/>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现场固定</w:t>
            </w:r>
          </w:p>
        </w:tc>
        <w:tc>
          <w:tcPr>
            <w:tcW w:w="2296"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计算机系统信息获取不少于10种：网卡信息、通用网络信息、计算机信息、已安装程序、设备管理器、服务列表、驱动列表、计算机操作系统信息、磁盘信息、共享信息、系统帐号信息、系统补丁、开机自运行程序、网络隔离信息</w:t>
            </w:r>
          </w:p>
        </w:tc>
        <w:tc>
          <w:tcPr>
            <w:tcW w:w="108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 w:hRule="atLeast"/>
        </w:trPr>
        <w:tc>
          <w:tcPr>
            <w:tcW w:w="40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525"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heme="minorEastAsia" w:hAnsiTheme="minorEastAsia" w:eastAsiaTheme="minorEastAsia" w:cstheme="minorEastAsia"/>
                <w:bCs/>
                <w:color w:val="000000"/>
                <w:kern w:val="0"/>
                <w:szCs w:val="21"/>
                <w:lang w:bidi="ar"/>
              </w:rPr>
            </w:pPr>
          </w:p>
        </w:tc>
        <w:tc>
          <w:tcPr>
            <w:tcW w:w="68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Theme="minorEastAsia" w:hAnsiTheme="minorEastAsia" w:eastAsiaTheme="minorEastAsia" w:cstheme="minorEastAsia"/>
                <w:szCs w:val="21"/>
              </w:rPr>
            </w:pPr>
          </w:p>
        </w:tc>
        <w:tc>
          <w:tcPr>
            <w:tcW w:w="2296"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支持系统操作记录不少于5种：USB设备使用记录、应用程序访问记录、最近打开文件记录、用户活动记录、回收站记录</w:t>
            </w:r>
          </w:p>
        </w:tc>
        <w:tc>
          <w:tcPr>
            <w:tcW w:w="108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 w:hRule="atLeast"/>
        </w:trPr>
        <w:tc>
          <w:tcPr>
            <w:tcW w:w="40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525"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heme="minorEastAsia" w:hAnsiTheme="minorEastAsia" w:eastAsiaTheme="minorEastAsia" w:cstheme="minorEastAsia"/>
                <w:bCs/>
                <w:color w:val="000000"/>
                <w:kern w:val="0"/>
                <w:szCs w:val="21"/>
                <w:lang w:bidi="ar"/>
              </w:rPr>
            </w:pPr>
          </w:p>
        </w:tc>
        <w:tc>
          <w:tcPr>
            <w:tcW w:w="68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Theme="minorEastAsia" w:hAnsiTheme="minorEastAsia" w:eastAsiaTheme="minorEastAsia" w:cstheme="minorEastAsia"/>
                <w:szCs w:val="21"/>
              </w:rPr>
            </w:pPr>
          </w:p>
        </w:tc>
        <w:tc>
          <w:tcPr>
            <w:tcW w:w="2296"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支持计算机易失数据提取不少于4种：当前进程信息、当前使用端口、TCP_UDP统计信息、剪贴板信息</w:t>
            </w:r>
          </w:p>
        </w:tc>
        <w:tc>
          <w:tcPr>
            <w:tcW w:w="108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 w:hRule="atLeast"/>
        </w:trPr>
        <w:tc>
          <w:tcPr>
            <w:tcW w:w="40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525"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Theme="minorEastAsia" w:hAnsiTheme="minorEastAsia" w:eastAsiaTheme="minorEastAsia" w:cstheme="minorEastAsia"/>
                <w:bCs/>
                <w:color w:val="000000"/>
                <w:kern w:val="0"/>
                <w:szCs w:val="21"/>
                <w:lang w:bidi="ar"/>
              </w:rPr>
            </w:pPr>
          </w:p>
        </w:tc>
        <w:tc>
          <w:tcPr>
            <w:tcW w:w="688"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Theme="minorEastAsia" w:hAnsiTheme="minorEastAsia" w:eastAsiaTheme="minorEastAsia" w:cstheme="minorEastAsia"/>
                <w:szCs w:val="21"/>
              </w:rPr>
            </w:pPr>
          </w:p>
        </w:tc>
        <w:tc>
          <w:tcPr>
            <w:tcW w:w="2296"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支持上网记录获取不少于3种：浏览器缓存、历史记录、下载记录</w:t>
            </w:r>
          </w:p>
        </w:tc>
        <w:tc>
          <w:tcPr>
            <w:tcW w:w="108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承诺函</w:t>
            </w:r>
          </w:p>
        </w:tc>
      </w:tr>
    </w:tbl>
    <w:p>
      <w:pPr>
        <w:rPr>
          <w:rFonts w:asciiTheme="minorEastAsia" w:hAnsiTheme="minorEastAsia" w:eastAsiaTheme="minorEastAsia" w:cstheme="minorEastAsia"/>
          <w:bCs/>
          <w:szCs w:val="21"/>
        </w:rPr>
      </w:pPr>
    </w:p>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br w:type="page"/>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第1包 电子物证现场提取设备</w:t>
      </w:r>
      <w:r>
        <w:rPr>
          <w:rFonts w:hint="default" w:ascii="Times New Roman" w:hAnsi="Times New Roman" w:cs="Times New Roman" w:eastAsiaTheme="minorEastAsia"/>
          <w:szCs w:val="21"/>
        </w:rPr>
        <w:t>Ⅱ</w:t>
      </w:r>
    </w:p>
    <w:tbl>
      <w:tblPr>
        <w:tblStyle w:val="8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2"/>
        <w:gridCol w:w="1046"/>
        <w:gridCol w:w="1316"/>
        <w:gridCol w:w="4220"/>
        <w:gridCol w:w="1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83"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bookmarkStart w:id="121" w:name="_Hlk179996369"/>
            <w:r>
              <w:rPr>
                <w:rFonts w:hint="eastAsia" w:asciiTheme="minorEastAsia" w:hAnsiTheme="minorEastAsia" w:eastAsiaTheme="minorEastAsia" w:cstheme="minorEastAsia"/>
                <w:bCs/>
                <w:szCs w:val="21"/>
                <w:lang w:bidi="ar"/>
              </w:rPr>
              <w:t>序号</w:t>
            </w:r>
          </w:p>
        </w:tc>
        <w:tc>
          <w:tcPr>
            <w:tcW w:w="614"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重要性</w:t>
            </w:r>
          </w:p>
        </w:tc>
        <w:tc>
          <w:tcPr>
            <w:tcW w:w="772"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指标项</w:t>
            </w:r>
          </w:p>
        </w:tc>
        <w:tc>
          <w:tcPr>
            <w:tcW w:w="2476"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技术要求</w:t>
            </w:r>
          </w:p>
        </w:tc>
        <w:tc>
          <w:tcPr>
            <w:tcW w:w="75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证明材料要求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kern w:val="0"/>
                <w:szCs w:val="21"/>
                <w:lang w:bidi="ar"/>
              </w:rPr>
            </w:pPr>
          </w:p>
        </w:tc>
        <w:tc>
          <w:tcPr>
            <w:tcW w:w="614"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p>
        </w:tc>
        <w:tc>
          <w:tcPr>
            <w:tcW w:w="772"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多维度取证</w:t>
            </w:r>
          </w:p>
        </w:tc>
        <w:tc>
          <w:tcPr>
            <w:tcW w:w="2476" w:type="pct"/>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支持不少于4种类型取证，包括汽车取证、手机取证、计算机取证、路由器取证等</w:t>
            </w:r>
          </w:p>
        </w:tc>
        <w:tc>
          <w:tcPr>
            <w:tcW w:w="754" w:type="pct"/>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kern w:val="0"/>
                <w:szCs w:val="21"/>
                <w:lang w:bidi="ar"/>
              </w:rPr>
            </w:pPr>
          </w:p>
        </w:tc>
        <w:tc>
          <w:tcPr>
            <w:tcW w:w="614"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p>
        </w:tc>
        <w:tc>
          <w:tcPr>
            <w:tcW w:w="772"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计算机取证能力</w:t>
            </w:r>
          </w:p>
        </w:tc>
        <w:tc>
          <w:tcPr>
            <w:tcW w:w="2476" w:type="pct"/>
            <w:tcBorders>
              <w:top w:val="single" w:color="auto" w:sz="4" w:space="0"/>
              <w:left w:val="single" w:color="auto" w:sz="4" w:space="0"/>
              <w:bottom w:val="single" w:color="auto" w:sz="4" w:space="0"/>
              <w:right w:val="single" w:color="auto" w:sz="4" w:space="0"/>
            </w:tcBorders>
            <w:shd w:val="clear" w:color="auto" w:fill="auto"/>
          </w:tcPr>
          <w:p>
            <w:pPr>
              <w:pStyle w:val="74"/>
              <w:numPr>
                <w:ilvl w:val="1"/>
                <w:numId w:val="68"/>
              </w:numPr>
              <w:spacing w:beforeAutospacing="0" w:afterAutospacing="0"/>
              <w:jc w:val="both"/>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bidi="ar"/>
              </w:rPr>
              <w:t>支持FAT32、exFAT、NTFS、ReFS、CDFS、UDF、HFSX/HFS+、APFS、EXT4、BTRFS等不少于10种主流文件系统格式的解析；</w:t>
            </w:r>
          </w:p>
          <w:p>
            <w:pPr>
              <w:pStyle w:val="74"/>
              <w:numPr>
                <w:ilvl w:val="1"/>
                <w:numId w:val="68"/>
              </w:numPr>
              <w:spacing w:beforeAutospacing="0" w:afterAutospacing="0"/>
              <w:jc w:val="both"/>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bidi="ar"/>
              </w:rPr>
              <w:t>支持E01、Ex01、L01、DD、001、ISO、VMDK、VHD、AFF、GHO、HDD、VHDX等不少于12种镜像文件的加载和分析;</w:t>
            </w:r>
          </w:p>
          <w:p>
            <w:pPr>
              <w:pStyle w:val="74"/>
              <w:numPr>
                <w:ilvl w:val="1"/>
                <w:numId w:val="68"/>
              </w:numPr>
              <w:spacing w:beforeAutospacing="0" w:afterAutospacing="0"/>
              <w:jc w:val="both"/>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bidi="ar"/>
              </w:rPr>
              <w:t>支持RAID磁盘组自动计算磁盘序列功能，可提供最符合条件的RAID类型建议；支持不少于6种（JBOD、RAID0、RAID1、RAID5、RAID6、RAIDF1)阵列重组；</w:t>
            </w:r>
          </w:p>
          <w:p>
            <w:pPr>
              <w:pStyle w:val="74"/>
              <w:numPr>
                <w:ilvl w:val="1"/>
                <w:numId w:val="68"/>
              </w:numPr>
              <w:spacing w:beforeAutospacing="0" w:afterAutospacing="0"/>
              <w:jc w:val="both"/>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bidi="ar"/>
              </w:rPr>
              <w:t>支持不少于7种磁盘解析，包括macOS的RAID0解析、FusionDrive融合磁盘解析、APFSFusion融合磁盘解析；Linux下的LVM解析、MDADM软RAID解析；WindowsLDM动态磁盘解析；WindowsstorageSpaces存储空间解析；</w:t>
            </w:r>
          </w:p>
          <w:p>
            <w:pPr>
              <w:pStyle w:val="74"/>
              <w:numPr>
                <w:ilvl w:val="1"/>
                <w:numId w:val="68"/>
              </w:numPr>
              <w:spacing w:beforeAutospacing="0" w:afterAutospacing="0"/>
              <w:jc w:val="both"/>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bidi="ar"/>
              </w:rPr>
              <w:t>支持EFS、BitLocker、TrueCrypt、VeraCrypt、Luks、FileVault2等不少于6种离线解密；</w:t>
            </w:r>
          </w:p>
          <w:p>
            <w:pPr>
              <w:pStyle w:val="74"/>
              <w:numPr>
                <w:ilvl w:val="1"/>
                <w:numId w:val="68"/>
              </w:numPr>
              <w:spacing w:beforeAutospacing="0" w:afterAutospacing="0"/>
              <w:jc w:val="both"/>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bidi="ar"/>
              </w:rPr>
              <w:t>支持Windows日志、Apache日志和IIS日志信息等不少于3种日志信息解析；支持Mac内置应用、Mac打印信息、Mac无线连接、Mac蓝牙、Mac远程连接记录等不少于5种mac信息的解析；</w:t>
            </w:r>
          </w:p>
          <w:p>
            <w:pPr>
              <w:pStyle w:val="74"/>
              <w:numPr>
                <w:ilvl w:val="1"/>
                <w:numId w:val="68"/>
              </w:numPr>
              <w:spacing w:beforeAutospacing="0" w:afterAutospacing="0"/>
              <w:jc w:val="both"/>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bidi="ar"/>
              </w:rPr>
              <w:t>支持电脑端QQ、微信登陆状态下，无需手机扫码验证即可在线解析微信、QQ、钉钉等不少于3种类型即时通讯的聊天记录、好友信息、群组信息，并支持删除记录的恢复；</w:t>
            </w:r>
          </w:p>
          <w:p>
            <w:pPr>
              <w:pStyle w:val="74"/>
              <w:numPr>
                <w:ilvl w:val="1"/>
                <w:numId w:val="68"/>
              </w:numPr>
              <w:spacing w:beforeAutospacing="0" w:afterAutospacing="0"/>
              <w:jc w:val="both"/>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bidi="ar"/>
              </w:rPr>
              <w:t>支持通过手机扫码对QQ、微信等不少于2种类型的加密数据进行解密解析；</w:t>
            </w:r>
          </w:p>
          <w:p>
            <w:pPr>
              <w:pStyle w:val="74"/>
              <w:numPr>
                <w:ilvl w:val="1"/>
                <w:numId w:val="68"/>
              </w:numPr>
              <w:spacing w:beforeAutospacing="0" w:afterAutospacing="0"/>
              <w:jc w:val="both"/>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bidi="ar"/>
              </w:rPr>
              <w:t>提供不少于3种基础人工智能能力调用接口，包括但不限于OCR、图片分类、人脸检测等；</w:t>
            </w:r>
          </w:p>
          <w:p>
            <w:pPr>
              <w:pStyle w:val="74"/>
              <w:numPr>
                <w:ilvl w:val="1"/>
                <w:numId w:val="68"/>
              </w:numPr>
              <w:spacing w:beforeAutospacing="0" w:afterAutospacing="0"/>
              <w:jc w:val="both"/>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bidi="ar"/>
              </w:rPr>
              <w:t>支持MD5、SHA-1、SHA-256等不少于3种种哈希值计算；</w:t>
            </w:r>
          </w:p>
          <w:p>
            <w:pPr>
              <w:pStyle w:val="74"/>
              <w:numPr>
                <w:ilvl w:val="1"/>
                <w:numId w:val="68"/>
              </w:numPr>
              <w:spacing w:beforeAutospacing="0" w:afterAutospacing="0"/>
              <w:jc w:val="both"/>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bidi="ar"/>
              </w:rPr>
              <w:t>支持将通过财务数据采集得到的企业电子数据（DAT文件）导入系统中，包括财务账、固定资产账、存货账和工资账等不少于4种信息。将不同格式的财务账生成统一标准财务账格式</w:t>
            </w:r>
          </w:p>
        </w:tc>
        <w:tc>
          <w:tcPr>
            <w:tcW w:w="754" w:type="pct"/>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kern w:val="0"/>
                <w:szCs w:val="21"/>
                <w:lang w:bidi="ar"/>
              </w:rPr>
            </w:pPr>
          </w:p>
        </w:tc>
        <w:tc>
          <w:tcPr>
            <w:tcW w:w="614"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p>
        </w:tc>
        <w:tc>
          <w:tcPr>
            <w:tcW w:w="772"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系统仿真</w:t>
            </w:r>
          </w:p>
        </w:tc>
        <w:tc>
          <w:tcPr>
            <w:tcW w:w="2476" w:type="pct"/>
            <w:tcBorders>
              <w:top w:val="single" w:color="auto" w:sz="4" w:space="0"/>
              <w:left w:val="single" w:color="auto" w:sz="4" w:space="0"/>
              <w:bottom w:val="single" w:color="auto" w:sz="4" w:space="0"/>
              <w:right w:val="single" w:color="auto" w:sz="4" w:space="0"/>
            </w:tcBorders>
            <w:shd w:val="clear" w:color="auto" w:fill="auto"/>
          </w:tcPr>
          <w:p>
            <w:pPr>
              <w:pStyle w:val="74"/>
              <w:numPr>
                <w:ilvl w:val="1"/>
                <w:numId w:val="69"/>
              </w:numPr>
              <w:spacing w:beforeAutospacing="0" w:afterAutospacing="0"/>
              <w:jc w:val="both"/>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bidi="ar"/>
              </w:rPr>
              <w:t>支持对物理磁盘和镜像文件等不少于2种介质存储方式的仿真取证；</w:t>
            </w:r>
          </w:p>
          <w:p>
            <w:pPr>
              <w:pStyle w:val="74"/>
              <w:numPr>
                <w:ilvl w:val="1"/>
                <w:numId w:val="69"/>
              </w:numPr>
              <w:spacing w:beforeAutospacing="0" w:afterAutospacing="0"/>
              <w:jc w:val="both"/>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bidi="ar"/>
              </w:rPr>
              <w:t>单个系统仿真能支持不少于同时添加8个数据源；</w:t>
            </w:r>
          </w:p>
          <w:p>
            <w:pPr>
              <w:pStyle w:val="74"/>
              <w:numPr>
                <w:ilvl w:val="1"/>
                <w:numId w:val="69"/>
              </w:numPr>
              <w:spacing w:beforeAutospacing="0" w:afterAutospacing="0"/>
              <w:jc w:val="both"/>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bidi="ar"/>
              </w:rPr>
              <w:t>支持对Windows、MacOS、Linux、ESXi等不少于4种操作系统进行仿真取证，并支持不少于上述4种操作系统登录密码的绕过；</w:t>
            </w:r>
          </w:p>
          <w:p>
            <w:pPr>
              <w:pStyle w:val="74"/>
              <w:numPr>
                <w:ilvl w:val="1"/>
                <w:numId w:val="69"/>
              </w:numPr>
              <w:spacing w:beforeAutospacing="0" w:afterAutospacing="0"/>
              <w:jc w:val="both"/>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bidi="ar"/>
              </w:rPr>
              <w:t>支持直接查看物理磁盘或镜像中的分区、操作系统及用户等重要信息；</w:t>
            </w:r>
          </w:p>
          <w:p>
            <w:pPr>
              <w:pStyle w:val="74"/>
              <w:numPr>
                <w:ilvl w:val="1"/>
                <w:numId w:val="69"/>
              </w:numPr>
              <w:spacing w:beforeAutospacing="0" w:afterAutospacing="0"/>
              <w:jc w:val="both"/>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bidi="ar"/>
              </w:rPr>
              <w:t>支持不少于2种系统仿真失败时的启动项修复</w:t>
            </w:r>
          </w:p>
        </w:tc>
        <w:tc>
          <w:tcPr>
            <w:tcW w:w="754" w:type="pct"/>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kern w:val="0"/>
                <w:szCs w:val="21"/>
                <w:lang w:bidi="ar"/>
              </w:rPr>
            </w:pPr>
          </w:p>
        </w:tc>
        <w:tc>
          <w:tcPr>
            <w:tcW w:w="61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szCs w:val="21"/>
                <w:lang w:bidi="ar"/>
              </w:rPr>
              <w:t>★</w:t>
            </w:r>
          </w:p>
        </w:tc>
        <w:tc>
          <w:tcPr>
            <w:tcW w:w="772"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系统仿真2</w:t>
            </w:r>
          </w:p>
        </w:tc>
        <w:tc>
          <w:tcPr>
            <w:tcW w:w="2476" w:type="pct"/>
            <w:tcBorders>
              <w:top w:val="single" w:color="auto" w:sz="4" w:space="0"/>
              <w:left w:val="single" w:color="auto" w:sz="4" w:space="0"/>
              <w:bottom w:val="single" w:color="auto" w:sz="4" w:space="0"/>
              <w:right w:val="single" w:color="auto" w:sz="4" w:space="0"/>
            </w:tcBorders>
            <w:shd w:val="clear" w:color="auto" w:fill="auto"/>
          </w:tcPr>
          <w:p>
            <w:pPr>
              <w:pStyle w:val="74"/>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bidi="ar"/>
              </w:rPr>
              <w:t>可对Windows、Mac、Linux等不少于3种系统仿真并采用密码绕过策略登录仿真系统</w:t>
            </w:r>
          </w:p>
        </w:tc>
        <w:tc>
          <w:tcPr>
            <w:tcW w:w="754" w:type="pct"/>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kern w:val="0"/>
                <w:szCs w:val="21"/>
                <w:lang w:bidi="ar"/>
              </w:rPr>
            </w:pPr>
          </w:p>
        </w:tc>
        <w:tc>
          <w:tcPr>
            <w:tcW w:w="614"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p>
        </w:tc>
        <w:tc>
          <w:tcPr>
            <w:tcW w:w="772" w:type="pct"/>
            <w:vMerge w:val="restart"/>
            <w:tcBorders>
              <w:top w:val="single" w:color="auto" w:sz="4" w:space="0"/>
              <w:left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手机取证能力</w:t>
            </w:r>
          </w:p>
        </w:tc>
        <w:tc>
          <w:tcPr>
            <w:tcW w:w="2476" w:type="pct"/>
            <w:tcBorders>
              <w:top w:val="single" w:color="auto" w:sz="4" w:space="0"/>
              <w:left w:val="single" w:color="auto" w:sz="4" w:space="0"/>
              <w:bottom w:val="single" w:color="auto" w:sz="4" w:space="0"/>
              <w:right w:val="single" w:color="auto" w:sz="4" w:space="0"/>
            </w:tcBorders>
            <w:shd w:val="clear" w:color="auto" w:fill="auto"/>
          </w:tcPr>
          <w:p>
            <w:pPr>
              <w:pStyle w:val="74"/>
              <w:numPr>
                <w:ilvl w:val="1"/>
                <w:numId w:val="70"/>
              </w:numPr>
              <w:spacing w:beforeAutospacing="0" w:afterAutospacing="0"/>
              <w:jc w:val="both"/>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bidi="ar"/>
              </w:rPr>
              <w:t>支持不低于4路手机取证，至少包括3路直连取证和1路Wi-Fi取证；</w:t>
            </w:r>
          </w:p>
          <w:p>
            <w:pPr>
              <w:pStyle w:val="74"/>
              <w:numPr>
                <w:ilvl w:val="1"/>
                <w:numId w:val="70"/>
              </w:numPr>
              <w:spacing w:beforeAutospacing="0" w:afterAutospacing="0"/>
              <w:jc w:val="both"/>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bidi="ar"/>
              </w:rPr>
              <w:t>支持镜像取证、文件取证、SIM/SD卡取证、蓝牙取证、拍照取证等不少于5种取证方式；</w:t>
            </w:r>
          </w:p>
          <w:p>
            <w:pPr>
              <w:pStyle w:val="74"/>
              <w:numPr>
                <w:ilvl w:val="1"/>
                <w:numId w:val="70"/>
              </w:numPr>
              <w:spacing w:beforeAutospacing="0" w:afterAutospacing="0"/>
              <w:jc w:val="both"/>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bidi="ar"/>
              </w:rPr>
              <w:t>支持手机取证案件的新建、编辑、删除、导入、导出等不少于5种操作功能，支持对取证结果进行数据排重、特殊号码过滤等</w:t>
            </w:r>
          </w:p>
        </w:tc>
        <w:tc>
          <w:tcPr>
            <w:tcW w:w="754" w:type="pct"/>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kern w:val="0"/>
                <w:szCs w:val="21"/>
                <w:lang w:bidi="ar"/>
              </w:rPr>
            </w:pPr>
          </w:p>
        </w:tc>
        <w:tc>
          <w:tcPr>
            <w:tcW w:w="614"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p>
        </w:tc>
        <w:tc>
          <w:tcPr>
            <w:tcW w:w="772" w:type="pct"/>
            <w:vMerge w:val="continue"/>
            <w:tcBorders>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lang w:bidi="ar"/>
              </w:rPr>
            </w:pPr>
          </w:p>
        </w:tc>
        <w:tc>
          <w:tcPr>
            <w:tcW w:w="2476" w:type="pct"/>
            <w:tcBorders>
              <w:top w:val="single" w:color="auto" w:sz="4" w:space="0"/>
              <w:left w:val="single" w:color="auto" w:sz="4" w:space="0"/>
              <w:bottom w:val="single" w:color="auto" w:sz="4" w:space="0"/>
              <w:right w:val="single" w:color="auto" w:sz="4" w:space="0"/>
            </w:tcBorders>
            <w:shd w:val="clear" w:color="auto" w:fill="auto"/>
          </w:tcPr>
          <w:p>
            <w:pPr>
              <w:pStyle w:val="74"/>
              <w:numPr>
                <w:ilvl w:val="1"/>
                <w:numId w:val="71"/>
              </w:numPr>
              <w:spacing w:beforeAutospacing="0" w:afterAutospacing="0"/>
              <w:jc w:val="both"/>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bidi="ar"/>
              </w:rPr>
              <w:t>支持多关键字搜索、时间段搜索、搜索结果溯源以及导出搜索报告等不少于5种搜索功能；支持对数据添加标签并导出标签报告；支持导出Word、HTML、PDF、CSV等不少于4种格式的取证报告并进行管理，且HTML报告需支持会话展示、查看以及搜索；</w:t>
            </w:r>
          </w:p>
          <w:p>
            <w:pPr>
              <w:pStyle w:val="74"/>
              <w:numPr>
                <w:ilvl w:val="1"/>
                <w:numId w:val="71"/>
              </w:numPr>
              <w:spacing w:beforeAutospacing="0" w:afterAutospacing="0"/>
              <w:jc w:val="both"/>
              <w:rPr>
                <w:rFonts w:asciiTheme="minorEastAsia" w:hAnsiTheme="minorEastAsia" w:eastAsiaTheme="minorEastAsia" w:cstheme="minorEastAsia"/>
                <w:bCs/>
                <w:sz w:val="21"/>
                <w:szCs w:val="21"/>
                <w:lang w:bidi="ar"/>
              </w:rPr>
            </w:pPr>
            <w:r>
              <w:rPr>
                <w:rFonts w:hint="eastAsia" w:asciiTheme="minorEastAsia" w:hAnsiTheme="minorEastAsia" w:eastAsiaTheme="minorEastAsia" w:cstheme="minorEastAsia"/>
                <w:bCs/>
                <w:sz w:val="21"/>
                <w:szCs w:val="21"/>
                <w:lang w:bidi="ar"/>
              </w:rPr>
              <w:t>支持生成电子证据检查工作记录</w:t>
            </w:r>
          </w:p>
        </w:tc>
        <w:tc>
          <w:tcPr>
            <w:tcW w:w="754" w:type="pct"/>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eastAsiaTheme="minorEastAsia" w:cstheme="minorEastAsia"/>
                <w:bCs/>
                <w:szCs w:val="21"/>
                <w:lang w:bidi="ar"/>
              </w:rPr>
            </w:pPr>
            <w:r>
              <w:rPr>
                <w:rFonts w:hint="eastAsia" w:asciiTheme="minorEastAsia" w:hAnsiTheme="minorEastAsia" w:eastAsiaTheme="minorEastAsia" w:cstheme="minorEastAsia"/>
                <w:bCs/>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kern w:val="0"/>
                <w:szCs w:val="21"/>
                <w:lang w:bidi="ar"/>
              </w:rPr>
            </w:pPr>
          </w:p>
        </w:tc>
        <w:tc>
          <w:tcPr>
            <w:tcW w:w="614"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p>
        </w:tc>
        <w:tc>
          <w:tcPr>
            <w:tcW w:w="772"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多语言支持</w:t>
            </w:r>
          </w:p>
        </w:tc>
        <w:tc>
          <w:tcPr>
            <w:tcW w:w="2476" w:type="pct"/>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支持维汉翻译，支持普通维文、拉丁维文-汉语机器翻译等不少于3种翻译功能</w:t>
            </w:r>
          </w:p>
        </w:tc>
        <w:tc>
          <w:tcPr>
            <w:tcW w:w="754" w:type="pct"/>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kern w:val="0"/>
                <w:szCs w:val="21"/>
                <w:lang w:bidi="ar"/>
              </w:rPr>
            </w:pPr>
          </w:p>
        </w:tc>
        <w:tc>
          <w:tcPr>
            <w:tcW w:w="614"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p>
        </w:tc>
        <w:tc>
          <w:tcPr>
            <w:tcW w:w="772"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数据提取、恢复和提权</w:t>
            </w:r>
          </w:p>
        </w:tc>
        <w:tc>
          <w:tcPr>
            <w:tcW w:w="2476" w:type="pct"/>
            <w:tcBorders>
              <w:top w:val="single" w:color="auto" w:sz="4" w:space="0"/>
              <w:left w:val="single" w:color="auto" w:sz="4" w:space="0"/>
              <w:bottom w:val="single" w:color="auto" w:sz="4" w:space="0"/>
              <w:right w:val="single" w:color="auto" w:sz="4" w:space="0"/>
            </w:tcBorders>
            <w:shd w:val="clear" w:color="auto" w:fill="auto"/>
          </w:tcPr>
          <w:p>
            <w:pPr>
              <w:pStyle w:val="74"/>
              <w:numPr>
                <w:ilvl w:val="1"/>
                <w:numId w:val="72"/>
              </w:numPr>
              <w:spacing w:beforeAutospacing="0" w:afterAutospacing="0"/>
              <w:jc w:val="both"/>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bidi="ar"/>
              </w:rPr>
              <w:t>支持可直接接入SIM卡进行数据提取和恢复，支持的SIM卡包括标准SIM、MicroSIM、NanoSIM接口等不少于3种类型；</w:t>
            </w:r>
          </w:p>
          <w:p>
            <w:pPr>
              <w:pStyle w:val="74"/>
              <w:numPr>
                <w:ilvl w:val="1"/>
                <w:numId w:val="72"/>
              </w:numPr>
              <w:spacing w:beforeAutospacing="0" w:afterAutospacing="0"/>
              <w:jc w:val="both"/>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bidi="ar"/>
              </w:rPr>
              <w:t>支持获取手机IMEI、通讯簿、短信、通话记录、位置信息、备忘录、日历、Wi-Fi/蓝牙连接记录、多媒体文件（图片/视频/音频）、系统日志（开关机时间、应用程序使用记录、应用程序使用卸载记录、使用过的手机号码、iOS设备连接过的主机、iOS应用程序通知消息等）和密码密钥等不少于10种信息，需支持恢复已删除的电话簿、短信、日历等不少于3种信息；</w:t>
            </w:r>
          </w:p>
          <w:p>
            <w:pPr>
              <w:pStyle w:val="74"/>
              <w:numPr>
                <w:ilvl w:val="1"/>
                <w:numId w:val="72"/>
              </w:numPr>
              <w:spacing w:beforeAutospacing="0" w:afterAutospacing="0"/>
              <w:jc w:val="both"/>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bidi="ar"/>
              </w:rPr>
              <w:t>支持不少于2种手机系统的已删除数据的恢复，其中iOS手机可实现删除数据恢复，Android手机可自动ROOT后进行删除数据恢复，在ROOT失败情况下，也能支持Android手机解析和恢复QQ、微信、微博等应用程序数据；</w:t>
            </w:r>
          </w:p>
          <w:p>
            <w:pPr>
              <w:pStyle w:val="74"/>
              <w:numPr>
                <w:ilvl w:val="1"/>
                <w:numId w:val="72"/>
              </w:numPr>
              <w:spacing w:beforeAutospacing="0" w:afterAutospacing="0"/>
              <w:jc w:val="both"/>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bidi="ar"/>
              </w:rPr>
              <w:t>支持Android、iOS、鸿蒙OS等不少于3种手机回收站文件恢复，支持Android、iOS手机缩略图恢复；</w:t>
            </w:r>
          </w:p>
          <w:p>
            <w:pPr>
              <w:pStyle w:val="74"/>
              <w:numPr>
                <w:ilvl w:val="1"/>
                <w:numId w:val="72"/>
              </w:numPr>
              <w:spacing w:beforeAutospacing="0" w:afterAutospacing="0"/>
              <w:jc w:val="both"/>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bidi="ar"/>
              </w:rPr>
              <w:t>支持不少于3种备份文件解析，包括iTunes（iPhone）备份、Android手机备份、VCF备份文件；</w:t>
            </w:r>
          </w:p>
          <w:p>
            <w:pPr>
              <w:pStyle w:val="74"/>
              <w:numPr>
                <w:ilvl w:val="1"/>
                <w:numId w:val="72"/>
              </w:numPr>
              <w:spacing w:beforeAutospacing="0" w:afterAutospacing="0"/>
              <w:jc w:val="both"/>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bidi="ar"/>
              </w:rPr>
              <w:t>支持Android、iOS、鸿蒙OS等不少于3种手机各类文档的分类取证；</w:t>
            </w:r>
          </w:p>
          <w:p>
            <w:pPr>
              <w:pStyle w:val="74"/>
              <w:numPr>
                <w:ilvl w:val="1"/>
                <w:numId w:val="72"/>
              </w:numPr>
              <w:spacing w:beforeAutospacing="0" w:afterAutospacing="0"/>
              <w:jc w:val="both"/>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bidi="ar"/>
              </w:rPr>
              <w:t>支持高通芯片手机绕过屏幕锁、破解ROOT权限、免ROOT或自定义参数下载镜像等不少于3种能力</w:t>
            </w:r>
          </w:p>
        </w:tc>
        <w:tc>
          <w:tcPr>
            <w:tcW w:w="754" w:type="pct"/>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kern w:val="0"/>
                <w:szCs w:val="21"/>
                <w:lang w:bidi="ar"/>
              </w:rPr>
            </w:pPr>
          </w:p>
        </w:tc>
        <w:tc>
          <w:tcPr>
            <w:tcW w:w="614"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p>
        </w:tc>
        <w:tc>
          <w:tcPr>
            <w:tcW w:w="772"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应用程序解析</w:t>
            </w:r>
          </w:p>
        </w:tc>
        <w:tc>
          <w:tcPr>
            <w:tcW w:w="2476" w:type="pct"/>
            <w:tcBorders>
              <w:top w:val="single" w:color="auto" w:sz="4" w:space="0"/>
              <w:left w:val="single" w:color="auto" w:sz="4" w:space="0"/>
              <w:bottom w:val="single" w:color="auto" w:sz="4" w:space="0"/>
              <w:right w:val="single" w:color="auto" w:sz="4" w:space="0"/>
            </w:tcBorders>
            <w:shd w:val="clear" w:color="auto" w:fill="auto"/>
          </w:tcPr>
          <w:p>
            <w:pPr>
              <w:pStyle w:val="74"/>
              <w:numPr>
                <w:ilvl w:val="1"/>
                <w:numId w:val="73"/>
              </w:numPr>
              <w:spacing w:beforeAutospacing="0" w:afterAutospacing="0"/>
              <w:jc w:val="both"/>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bidi="ar"/>
              </w:rPr>
              <w:t>支持不少于3种即时通讯软件多媒体文件的转码，并在软件内直接播放；</w:t>
            </w:r>
          </w:p>
          <w:p>
            <w:pPr>
              <w:pStyle w:val="74"/>
              <w:numPr>
                <w:ilvl w:val="1"/>
                <w:numId w:val="73"/>
              </w:numPr>
              <w:spacing w:beforeAutospacing="0" w:afterAutospacing="0"/>
              <w:jc w:val="both"/>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bidi="ar"/>
              </w:rPr>
              <w:t>支持不少于10种手机即时通讯类应用程序的痕迹记录解析，包含腾讯QQ、QQ极速版、TIM、微信、微信分身版、Sugram、Sugram畅聊版、易信、连信、潮信、蜜语、轻甜、触宝电话、米聊、旺信等；</w:t>
            </w:r>
          </w:p>
          <w:p>
            <w:pPr>
              <w:pStyle w:val="74"/>
              <w:numPr>
                <w:ilvl w:val="1"/>
                <w:numId w:val="73"/>
              </w:numPr>
              <w:spacing w:beforeAutospacing="0" w:afterAutospacing="0"/>
              <w:jc w:val="both"/>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bidi="ar"/>
              </w:rPr>
              <w:t>支持不少于10种微博社交类应用数据的获取解析，包含新浪微博、Twitter、天涯社区、QQ空间、百度贴吧、百度贴吧极速版、知乎、今日头条、今日头条极速版、学习强国、豆瓣、小红书、世纪佳缘、珍爱网等；</w:t>
            </w:r>
          </w:p>
          <w:p>
            <w:pPr>
              <w:pStyle w:val="74"/>
              <w:numPr>
                <w:ilvl w:val="1"/>
                <w:numId w:val="73"/>
              </w:numPr>
              <w:spacing w:beforeAutospacing="0" w:afterAutospacing="0"/>
              <w:jc w:val="both"/>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bidi="ar"/>
              </w:rPr>
              <w:t>支持不少于10种第三方安全、手机优化管理类软件的获取解析，包含金山手机卫士、360手机助手、360手机卫士、360隐私保险箱、一键清理大师、猎豹清理大师、百度手机助手、鲁大师、腾讯手机管家、360清理大师、极速清理等；</w:t>
            </w:r>
          </w:p>
          <w:p>
            <w:pPr>
              <w:pStyle w:val="74"/>
              <w:numPr>
                <w:ilvl w:val="1"/>
                <w:numId w:val="73"/>
              </w:numPr>
              <w:spacing w:beforeAutospacing="0" w:afterAutospacing="0"/>
              <w:jc w:val="both"/>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bidi="ar"/>
              </w:rPr>
              <w:t>支持不少于6种iOS输入法、搜狗输入法、百度输入法、QQ输入法、讯飞输入法、章鱼输入法等输入法应用的获取解析；</w:t>
            </w:r>
          </w:p>
          <w:p>
            <w:pPr>
              <w:pStyle w:val="74"/>
              <w:numPr>
                <w:ilvl w:val="1"/>
                <w:numId w:val="73"/>
              </w:numPr>
              <w:spacing w:beforeAutospacing="0" w:afterAutospacing="0"/>
              <w:jc w:val="both"/>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bidi="ar"/>
              </w:rPr>
              <w:t>支持不少于7种imToken、布洛克城、币牛牛、HyperPay、欧易Okex、Coinbase、Bitpie等区块链应用解析；</w:t>
            </w:r>
          </w:p>
          <w:p>
            <w:pPr>
              <w:pStyle w:val="74"/>
              <w:numPr>
                <w:ilvl w:val="1"/>
                <w:numId w:val="73"/>
              </w:numPr>
              <w:spacing w:beforeAutospacing="0" w:afterAutospacing="0"/>
              <w:jc w:val="both"/>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bidi="ar"/>
              </w:rPr>
              <w:t>支持不少于10种运动、健康类应用解析，包含华为运动健康、iOS健康、动动、咕咚、悦跑圈、Keep、步多多、猫扑运动、小米运动、三星健康、Vivo运动健康、Fitbit、Zepp、Suunto、佳明运动手表、华为穿戴、COROS等；</w:t>
            </w:r>
          </w:p>
          <w:p>
            <w:pPr>
              <w:pStyle w:val="74"/>
              <w:numPr>
                <w:ilvl w:val="1"/>
                <w:numId w:val="73"/>
              </w:numPr>
              <w:spacing w:beforeAutospacing="0" w:afterAutospacing="0"/>
              <w:jc w:val="both"/>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bidi="ar"/>
              </w:rPr>
              <w:t>支持不少于10种其他应用解析，如万年历、中华万年历、365天气、华为天气、小米天气、我查查、企查查、天眼查、管家婆手机版、小蓝本、向日葵远程控制、DJIGO、QQ同步助手、Wi-Fi万能钥匙、亿彩网、华为智慧生活、米家、微友助手、暴雪战网、Wi-Fi管家等</w:t>
            </w:r>
          </w:p>
        </w:tc>
        <w:tc>
          <w:tcPr>
            <w:tcW w:w="754" w:type="pct"/>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kern w:val="0"/>
                <w:szCs w:val="21"/>
                <w:lang w:bidi="ar"/>
              </w:rPr>
            </w:pPr>
          </w:p>
        </w:tc>
        <w:tc>
          <w:tcPr>
            <w:tcW w:w="614"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p>
        </w:tc>
        <w:tc>
          <w:tcPr>
            <w:tcW w:w="772"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智能分析</w:t>
            </w:r>
          </w:p>
        </w:tc>
        <w:tc>
          <w:tcPr>
            <w:tcW w:w="2476" w:type="pct"/>
            <w:tcBorders>
              <w:top w:val="single" w:color="auto" w:sz="4" w:space="0"/>
              <w:left w:val="single" w:color="auto" w:sz="4" w:space="0"/>
              <w:bottom w:val="single" w:color="auto" w:sz="4" w:space="0"/>
              <w:right w:val="single" w:color="auto" w:sz="4" w:space="0"/>
            </w:tcBorders>
            <w:shd w:val="clear" w:color="auto" w:fill="auto"/>
          </w:tcPr>
          <w:p>
            <w:pPr>
              <w:pStyle w:val="74"/>
              <w:numPr>
                <w:ilvl w:val="0"/>
                <w:numId w:val="74"/>
              </w:numPr>
              <w:spacing w:beforeAutospacing="0" w:afterAutospacing="0"/>
              <w:jc w:val="both"/>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bidi="ar"/>
              </w:rPr>
              <w:t>支持案件刻画，刻画类型不少于3种，可对涉案嫌疑人关系人进行分析，刻画案件情况；</w:t>
            </w:r>
          </w:p>
          <w:p>
            <w:pPr>
              <w:pStyle w:val="74"/>
              <w:numPr>
                <w:ilvl w:val="0"/>
                <w:numId w:val="74"/>
              </w:numPr>
              <w:spacing w:beforeAutospacing="0" w:afterAutospacing="0"/>
              <w:jc w:val="both"/>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bidi="ar"/>
              </w:rPr>
              <w:t>支持人物刻画，可分析检材中的姓名、身份证、住址、手机号码、虚拟身份（QQ、微信、E-mail等）、银行卡号、车辆、毕业学校等不少于8种基本属性；</w:t>
            </w:r>
          </w:p>
          <w:p>
            <w:pPr>
              <w:pStyle w:val="74"/>
              <w:numPr>
                <w:ilvl w:val="0"/>
                <w:numId w:val="74"/>
              </w:numPr>
              <w:spacing w:beforeAutospacing="0" w:afterAutospacing="0"/>
              <w:jc w:val="both"/>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bidi="ar"/>
              </w:rPr>
              <w:t>支持多人关系分析：通过分析同个案件内的多个持有人手机数据，刻画出机主间存在的通联、轨迹、文件、身份、设备等不少于5种多维度关联关系，支持同人分析；</w:t>
            </w:r>
          </w:p>
          <w:p>
            <w:pPr>
              <w:pStyle w:val="74"/>
              <w:numPr>
                <w:ilvl w:val="0"/>
                <w:numId w:val="74"/>
              </w:numPr>
              <w:spacing w:beforeAutospacing="0" w:afterAutospacing="0"/>
              <w:jc w:val="both"/>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bidi="ar"/>
              </w:rPr>
              <w:t>支持数据挖掘，可提取和分类展示固话、手机号、身份证号、银行卡号等不少于4种特殊身份标识及其来源</w:t>
            </w:r>
          </w:p>
        </w:tc>
        <w:tc>
          <w:tcPr>
            <w:tcW w:w="754" w:type="pct"/>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kern w:val="0"/>
                <w:szCs w:val="21"/>
                <w:lang w:bidi="ar"/>
              </w:rPr>
            </w:pPr>
          </w:p>
        </w:tc>
        <w:tc>
          <w:tcPr>
            <w:tcW w:w="61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szCs w:val="21"/>
                <w:lang w:bidi="ar"/>
              </w:rPr>
              <w:t>★</w:t>
            </w:r>
          </w:p>
        </w:tc>
        <w:tc>
          <w:tcPr>
            <w:tcW w:w="772"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智能分析2</w:t>
            </w:r>
          </w:p>
        </w:tc>
        <w:tc>
          <w:tcPr>
            <w:tcW w:w="2476" w:type="pct"/>
            <w:tcBorders>
              <w:top w:val="single" w:color="auto" w:sz="4" w:space="0"/>
              <w:left w:val="single" w:color="auto" w:sz="4" w:space="0"/>
              <w:bottom w:val="single" w:color="auto" w:sz="4" w:space="0"/>
              <w:right w:val="single" w:color="auto" w:sz="4" w:space="0"/>
            </w:tcBorders>
            <w:shd w:val="clear" w:color="auto" w:fill="auto"/>
          </w:tcPr>
          <w:p>
            <w:pPr>
              <w:pStyle w:val="74"/>
              <w:numPr>
                <w:ilvl w:val="0"/>
                <w:numId w:val="75"/>
              </w:numPr>
              <w:spacing w:beforeAutospacing="0" w:afterAutospacing="0"/>
              <w:jc w:val="both"/>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bidi="ar"/>
              </w:rPr>
              <w:t>支持概要分析整体案件的涉案不少于4种（涉黄、涉赌、涉毒、涉骗贷）、关联不少于5种（交叉使用虚拟身份、共同群组、共同联系人、相同文档、身份标识被提及）、身份挖掘不少于4种（固定号码、手机号码、银行卡、身份证）的情况；</w:t>
            </w:r>
          </w:p>
          <w:p>
            <w:pPr>
              <w:pStyle w:val="74"/>
              <w:numPr>
                <w:ilvl w:val="0"/>
                <w:numId w:val="75"/>
              </w:numPr>
              <w:spacing w:beforeAutospacing="0" w:afterAutospacing="0"/>
              <w:jc w:val="both"/>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bidi="ar"/>
              </w:rPr>
              <w:t>支持分析涉案人员的姓名、身份证、地址、手机号码、虚拟身份（QQ、微信、E-mai1）、银行卡号、车牌号、最近使用应用、wifi连接记录以及关键联系人的通信联系记录等不少于10种信息；</w:t>
            </w:r>
          </w:p>
          <w:p>
            <w:pPr>
              <w:pStyle w:val="74"/>
              <w:numPr>
                <w:ilvl w:val="0"/>
                <w:numId w:val="75"/>
              </w:numPr>
              <w:spacing w:beforeAutospacing="0" w:afterAutospacing="0"/>
              <w:jc w:val="both"/>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bidi="ar"/>
              </w:rPr>
              <w:t>支持分析并显示涉及“黄、赌、毒、骗贷”等不少于4种内容的信息，并以百分比置信率的形式显示准确度，可查看选中的涉案记录所涉及的上下文内容；</w:t>
            </w:r>
          </w:p>
          <w:p>
            <w:pPr>
              <w:pStyle w:val="74"/>
              <w:numPr>
                <w:ilvl w:val="0"/>
                <w:numId w:val="75"/>
              </w:numPr>
              <w:spacing w:beforeAutospacing="0" w:afterAutospacing="0"/>
              <w:jc w:val="both"/>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bidi="ar"/>
              </w:rPr>
              <w:t>支持提取和分类展示通信联系记录中的固定号码、手机号码、身份证号、银行卡号等不少于4种号码及其数据来源；</w:t>
            </w:r>
          </w:p>
          <w:p>
            <w:pPr>
              <w:pStyle w:val="74"/>
              <w:numPr>
                <w:ilvl w:val="0"/>
                <w:numId w:val="75"/>
              </w:numPr>
              <w:spacing w:beforeAutospacing="0" w:afterAutospacing="0"/>
              <w:jc w:val="both"/>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bidi="ar"/>
              </w:rPr>
              <w:t>支持通过分析同一案件内的多个涉案人检材数据，可显示图形及列表详情（包括交叉使用虚拟身份、身份标识被提及、共同联系人、共同群组、共同文件）</w:t>
            </w:r>
          </w:p>
        </w:tc>
        <w:tc>
          <w:tcPr>
            <w:tcW w:w="754" w:type="pct"/>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kern w:val="0"/>
                <w:szCs w:val="21"/>
                <w:lang w:bidi="ar"/>
              </w:rPr>
            </w:pPr>
          </w:p>
        </w:tc>
        <w:tc>
          <w:tcPr>
            <w:tcW w:w="614"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p>
        </w:tc>
        <w:tc>
          <w:tcPr>
            <w:tcW w:w="772"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路由器取证</w:t>
            </w:r>
          </w:p>
        </w:tc>
        <w:tc>
          <w:tcPr>
            <w:tcW w:w="2476" w:type="pct"/>
            <w:tcBorders>
              <w:top w:val="single" w:color="auto" w:sz="4" w:space="0"/>
              <w:left w:val="single" w:color="auto" w:sz="4" w:space="0"/>
              <w:bottom w:val="single" w:color="auto" w:sz="4" w:space="0"/>
              <w:right w:val="single" w:color="auto" w:sz="4" w:space="0"/>
            </w:tcBorders>
            <w:shd w:val="clear" w:color="auto" w:fill="auto"/>
          </w:tcPr>
          <w:p>
            <w:pPr>
              <w:pStyle w:val="74"/>
              <w:numPr>
                <w:ilvl w:val="0"/>
                <w:numId w:val="76"/>
              </w:numPr>
              <w:spacing w:beforeAutospacing="0" w:afterAutospacing="0"/>
              <w:jc w:val="both"/>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bidi="ar"/>
              </w:rPr>
              <w:t>支持水星、TP-LINK、小米、华为等不少于4种主流路由器品牌的取证；</w:t>
            </w:r>
          </w:p>
          <w:p>
            <w:pPr>
              <w:pStyle w:val="74"/>
              <w:numPr>
                <w:ilvl w:val="0"/>
                <w:numId w:val="76"/>
              </w:numPr>
              <w:spacing w:beforeAutospacing="0" w:afterAutospacing="0"/>
              <w:jc w:val="both"/>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bidi="ar"/>
              </w:rPr>
              <w:t>支持网口直连、TTL串口直连、SSH直连、镜像、文件夹等不少于4种取证方式；</w:t>
            </w:r>
          </w:p>
          <w:p>
            <w:pPr>
              <w:pStyle w:val="74"/>
              <w:numPr>
                <w:ilvl w:val="0"/>
                <w:numId w:val="76"/>
              </w:numPr>
              <w:spacing w:beforeAutospacing="0" w:afterAutospacing="0"/>
              <w:jc w:val="both"/>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bidi="ar"/>
              </w:rPr>
              <w:t>支持对TP-LINK等路由器进行免密取证，提取内容包括路由器连接记录、登录记录、日志记录、静态路由表、静态ARP绑定、VPN、DDNS、Wi-Fi配置等不少于8种配置信息解析</w:t>
            </w:r>
          </w:p>
        </w:tc>
        <w:tc>
          <w:tcPr>
            <w:tcW w:w="754" w:type="pct"/>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kern w:val="0"/>
                <w:szCs w:val="21"/>
                <w:lang w:bidi="ar"/>
              </w:rPr>
            </w:pPr>
          </w:p>
        </w:tc>
        <w:tc>
          <w:tcPr>
            <w:tcW w:w="61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szCs w:val="21"/>
                <w:lang w:bidi="ar"/>
              </w:rPr>
              <w:t>★</w:t>
            </w:r>
          </w:p>
        </w:tc>
        <w:tc>
          <w:tcPr>
            <w:tcW w:w="772"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路由器取证2</w:t>
            </w:r>
          </w:p>
        </w:tc>
        <w:tc>
          <w:tcPr>
            <w:tcW w:w="2476" w:type="pct"/>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可对设备连接记录信息、日志信息（登录记录、异常记录及用户名密码修改记录）等不少于2种信息进行取证</w:t>
            </w:r>
          </w:p>
        </w:tc>
        <w:tc>
          <w:tcPr>
            <w:tcW w:w="754" w:type="pct"/>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kern w:val="0"/>
                <w:szCs w:val="21"/>
                <w:lang w:bidi="ar"/>
              </w:rPr>
            </w:pPr>
          </w:p>
        </w:tc>
        <w:tc>
          <w:tcPr>
            <w:tcW w:w="61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szCs w:val="21"/>
                <w:lang w:bidi="ar"/>
              </w:rPr>
              <w:t>★</w:t>
            </w:r>
          </w:p>
        </w:tc>
        <w:tc>
          <w:tcPr>
            <w:tcW w:w="772"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汽车取证</w:t>
            </w:r>
          </w:p>
        </w:tc>
        <w:tc>
          <w:tcPr>
            <w:tcW w:w="2476" w:type="pct"/>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可对原装娱乐导航系统中的地图定位信息、通讯录、GPS轨迹、车身事件（开关门、启动记录及车速记录）等不少于4种进行数据取证；可对第三方Android信息娱乐导航系统中的地图定位信息、通话记录、通讯录、Wifi热点、蓝牙设备等不少于5种进行数据取证</w:t>
            </w:r>
          </w:p>
        </w:tc>
        <w:tc>
          <w:tcPr>
            <w:tcW w:w="754" w:type="pct"/>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kern w:val="0"/>
                <w:szCs w:val="21"/>
                <w:lang w:bidi="ar"/>
              </w:rPr>
            </w:pPr>
          </w:p>
        </w:tc>
        <w:tc>
          <w:tcPr>
            <w:tcW w:w="614"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p>
        </w:tc>
        <w:tc>
          <w:tcPr>
            <w:tcW w:w="772"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汽车取证2</w:t>
            </w:r>
          </w:p>
        </w:tc>
        <w:tc>
          <w:tcPr>
            <w:tcW w:w="2476" w:type="pct"/>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支持镜像、文件夹等不少于2种取证方式</w:t>
            </w:r>
          </w:p>
        </w:tc>
        <w:tc>
          <w:tcPr>
            <w:tcW w:w="754" w:type="pct"/>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承诺函</w:t>
            </w:r>
          </w:p>
        </w:tc>
      </w:tr>
      <w:bookmarkEnd w:id="121"/>
    </w:tbl>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第1包 云取证工作站</w:t>
      </w:r>
      <w:r>
        <w:rPr>
          <w:rFonts w:hint="default" w:ascii="Times New Roman" w:hAnsi="Times New Roman" w:cs="Times New Roman" w:eastAsiaTheme="minorEastAsia"/>
          <w:szCs w:val="21"/>
        </w:rPr>
        <w:t>Ⅰ</w:t>
      </w:r>
    </w:p>
    <w:tbl>
      <w:tblPr>
        <w:tblStyle w:val="8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3"/>
        <w:gridCol w:w="779"/>
        <w:gridCol w:w="965"/>
        <w:gridCol w:w="4869"/>
        <w:gridCol w:w="13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 w:type="pct"/>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序号</w:t>
            </w:r>
          </w:p>
        </w:tc>
        <w:tc>
          <w:tcPr>
            <w:tcW w:w="45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重要性</w:t>
            </w:r>
          </w:p>
        </w:tc>
        <w:tc>
          <w:tcPr>
            <w:tcW w:w="566"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指标项</w:t>
            </w:r>
          </w:p>
        </w:tc>
        <w:tc>
          <w:tcPr>
            <w:tcW w:w="2857" w:type="pct"/>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技术要求</w:t>
            </w:r>
          </w:p>
        </w:tc>
        <w:tc>
          <w:tcPr>
            <w:tcW w:w="766" w:type="pct"/>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证明材料要求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45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p>
        </w:tc>
        <w:tc>
          <w:tcPr>
            <w:tcW w:w="566"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网页云取证</w:t>
            </w:r>
          </w:p>
        </w:tc>
        <w:tc>
          <w:tcPr>
            <w:tcW w:w="2857" w:type="pct"/>
            <w:tcBorders>
              <w:top w:val="single" w:color="auto" w:sz="4" w:space="0"/>
              <w:left w:val="single" w:color="auto" w:sz="4" w:space="0"/>
              <w:bottom w:val="single" w:color="auto" w:sz="4" w:space="0"/>
              <w:right w:val="single" w:color="auto" w:sz="4" w:space="0"/>
            </w:tcBorders>
            <w:shd w:val="clear" w:color="auto" w:fill="auto"/>
          </w:tcPr>
          <w:p>
            <w:pPr>
              <w:pStyle w:val="74"/>
              <w:numPr>
                <w:ilvl w:val="0"/>
                <w:numId w:val="77"/>
              </w:numPr>
              <w:spacing w:beforeAutospacing="0" w:afterAutospacing="0"/>
              <w:jc w:val="both"/>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bidi="ar"/>
              </w:rPr>
              <w:t>不少于3种方式的批量固定，包含但不限于批量链接固定，整站固定，翻页固定等；</w:t>
            </w:r>
          </w:p>
          <w:p>
            <w:pPr>
              <w:pStyle w:val="74"/>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bidi="ar"/>
              </w:rPr>
              <w:t>2.不少于2种全局任务自定义参数设置，包括截图质量及宽高等；</w:t>
            </w:r>
          </w:p>
          <w:p>
            <w:pPr>
              <w:pStyle w:val="74"/>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bidi="ar"/>
              </w:rPr>
              <w:t>3.不少于3种取证环境信息的检测，包含自动时间校准，目标站点IP查询，浏览器缓存清理等；</w:t>
            </w:r>
          </w:p>
          <w:p>
            <w:pPr>
              <w:pStyle w:val="74"/>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bidi="ar"/>
              </w:rPr>
              <w:t>4.支持对Telegram公开群聊页面进行反向滚动固定并截图，不少于三种聊天信息的获取，包含文字、图片、视频等。获取公开群聊天记录文字并记录在CSV文件中，同时下载所有图片和视频等附件，自动全量提取及部分提取；</w:t>
            </w:r>
          </w:p>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5.支持用户自定义命令及命令组方式进行取证，且不少于20款命令</w:t>
            </w:r>
          </w:p>
        </w:tc>
        <w:tc>
          <w:tcPr>
            <w:tcW w:w="766"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5" w:hRule="atLeast"/>
        </w:trPr>
        <w:tc>
          <w:tcPr>
            <w:tcW w:w="35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45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szCs w:val="21"/>
                <w:lang w:bidi="ar"/>
              </w:rPr>
              <w:t>★</w:t>
            </w:r>
          </w:p>
        </w:tc>
        <w:tc>
          <w:tcPr>
            <w:tcW w:w="566"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网页云取证2</w:t>
            </w:r>
          </w:p>
        </w:tc>
        <w:tc>
          <w:tcPr>
            <w:tcW w:w="2857" w:type="pct"/>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支持网页版聊天工具的固定，不少于3种聊天信息的获取，包含文字、图片、视频等。包括但不限于：WhatsApp已登录状态迁移，免密进行账号的所有一对一聊天、群聊获取和展示；对Telegram公开群聊页面进行反向滚动固定并截图，获取公开群聊天记录文字并记录在csv文件中，同时下载所有图片和视频等附件；</w:t>
            </w:r>
          </w:p>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支持用户自定义命令及命令组方式进行网页取证，且不少于20款命令，包含翻页+固定页面+提取表格、批量视频下载、批量网络直播、鼠标移动、鼠标点击、条件判断等</w:t>
            </w:r>
          </w:p>
        </w:tc>
        <w:tc>
          <w:tcPr>
            <w:tcW w:w="766"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0" w:hRule="atLeast"/>
        </w:trPr>
        <w:tc>
          <w:tcPr>
            <w:tcW w:w="35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45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p>
        </w:tc>
        <w:tc>
          <w:tcPr>
            <w:tcW w:w="566"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服务器取证</w:t>
            </w:r>
          </w:p>
        </w:tc>
        <w:tc>
          <w:tcPr>
            <w:tcW w:w="2857" w:type="pct"/>
            <w:tcBorders>
              <w:top w:val="single" w:color="auto" w:sz="4" w:space="0"/>
              <w:left w:val="single" w:color="auto" w:sz="4" w:space="0"/>
              <w:bottom w:val="single" w:color="auto" w:sz="4" w:space="0"/>
              <w:right w:val="single" w:color="auto" w:sz="4" w:space="0"/>
            </w:tcBorders>
            <w:shd w:val="clear" w:color="auto" w:fill="auto"/>
          </w:tcPr>
          <w:p>
            <w:pPr>
              <w:pStyle w:val="74"/>
              <w:numPr>
                <w:ilvl w:val="0"/>
                <w:numId w:val="78"/>
              </w:numPr>
              <w:spacing w:beforeAutospacing="0" w:afterAutospacing="0"/>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bidi="ar"/>
              </w:rPr>
              <w:t>不少于4类数据库的取证，支持MySQL、SQLServer、PostgreSQL、MongoDB数据库版本信息、保存路径、数据库类型信息；支持数据库数据表以及整个数据的备份和导出；</w:t>
            </w:r>
          </w:p>
          <w:p>
            <w:pPr>
              <w:pStyle w:val="74"/>
              <w:numPr>
                <w:ilvl w:val="0"/>
                <w:numId w:val="78"/>
              </w:numPr>
              <w:spacing w:beforeAutospacing="0" w:afterAutospacing="0"/>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bidi="ar"/>
              </w:rPr>
              <w:t>不少于2种方式的镜像制作，支持远程镜像制作到本地、镜像中转到OSS服务器以及镜像中转到代理服务器镜像；</w:t>
            </w:r>
          </w:p>
          <w:p>
            <w:pPr>
              <w:pStyle w:val="74"/>
              <w:numPr>
                <w:ilvl w:val="0"/>
                <w:numId w:val="78"/>
              </w:numPr>
              <w:spacing w:beforeAutospacing="0" w:afterAutospacing="0"/>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bidi="ar"/>
              </w:rPr>
              <w:t>不少于4类数据库的原始文件快速还原，无需账号密码即可进行数据库及记录表查看，同时也能进行SQL检索；</w:t>
            </w:r>
          </w:p>
          <w:p>
            <w:pPr>
              <w:pStyle w:val="74"/>
              <w:numPr>
                <w:ilvl w:val="0"/>
                <w:numId w:val="78"/>
              </w:numPr>
              <w:spacing w:beforeAutospacing="0" w:afterAutospacing="0"/>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bidi="ar"/>
              </w:rPr>
              <w:t>不少于2类网站的重构，支持对获取的网站数据进行网站重构，重构后可直接登录;</w:t>
            </w:r>
          </w:p>
          <w:p>
            <w:pPr>
              <w:pStyle w:val="74"/>
              <w:numPr>
                <w:ilvl w:val="0"/>
                <w:numId w:val="78"/>
              </w:numPr>
              <w:spacing w:beforeAutospacing="0" w:afterAutospacing="0"/>
              <w:jc w:val="both"/>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bidi="ar"/>
              </w:rPr>
              <w:t>不少于8种服务器信息的概览汇总，包括网站数据库前后关联、网络拓扑、网站、数据库、运维工具、账号密码、用户、已安装软件等</w:t>
            </w:r>
          </w:p>
        </w:tc>
        <w:tc>
          <w:tcPr>
            <w:tcW w:w="766"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45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szCs w:val="21"/>
                <w:lang w:bidi="ar"/>
              </w:rPr>
              <w:t>★</w:t>
            </w:r>
          </w:p>
        </w:tc>
        <w:tc>
          <w:tcPr>
            <w:tcW w:w="566"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p>
        </w:tc>
        <w:tc>
          <w:tcPr>
            <w:tcW w:w="2857" w:type="pct"/>
            <w:tcBorders>
              <w:top w:val="single" w:color="auto" w:sz="4" w:space="0"/>
              <w:left w:val="single" w:color="auto" w:sz="4" w:space="0"/>
              <w:bottom w:val="single" w:color="auto" w:sz="4" w:space="0"/>
              <w:right w:val="single" w:color="auto" w:sz="4" w:space="0"/>
            </w:tcBorders>
            <w:shd w:val="clear" w:color="auto" w:fill="auto"/>
          </w:tcPr>
          <w:p>
            <w:pPr>
              <w:pStyle w:val="74"/>
              <w:numPr>
                <w:ilvl w:val="0"/>
                <w:numId w:val="79"/>
              </w:numPr>
              <w:spacing w:beforeAutospacing="0" w:afterAutospacing="0"/>
              <w:jc w:val="both"/>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bidi="ar"/>
              </w:rPr>
              <w:t>不少于2类网站的数据重构，重构后可直接登录，支持PHP、JAVA等网站；</w:t>
            </w:r>
          </w:p>
          <w:p>
            <w:pPr>
              <w:pStyle w:val="74"/>
              <w:numPr>
                <w:ilvl w:val="0"/>
                <w:numId w:val="79"/>
              </w:numPr>
              <w:spacing w:beforeAutospacing="0" w:afterAutospacing="0"/>
              <w:jc w:val="both"/>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bidi="ar"/>
              </w:rPr>
              <w:t>不少于4种网站服务的解析提取分析；支持Apache、Nginx、Tomcat以及IIS等网站信息，不少于2种网站语言的源码分析，支持PHP、JAVA等类型网站自动分析后，获取不少于四类网站拓扑信息，包括网站语言、数据库连接地址、连接账号及密码等；</w:t>
            </w:r>
          </w:p>
          <w:p>
            <w:pPr>
              <w:pStyle w:val="74"/>
              <w:numPr>
                <w:ilvl w:val="0"/>
                <w:numId w:val="79"/>
              </w:numPr>
              <w:spacing w:beforeAutospacing="0" w:afterAutospacing="0"/>
              <w:jc w:val="both"/>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bidi="ar"/>
              </w:rPr>
              <w:t>不少于4类数据库的取证，支持Mysql、SqlServer、PostgreSql、mongodb数据库版本信息、保存路径、数据库类型信息的获取；支持数据库数据表以及整个数据的备份和导出；</w:t>
            </w:r>
          </w:p>
          <w:p>
            <w:pPr>
              <w:pStyle w:val="74"/>
              <w:numPr>
                <w:ilvl w:val="0"/>
                <w:numId w:val="79"/>
              </w:numPr>
              <w:spacing w:beforeAutospacing="0" w:afterAutospacing="0"/>
              <w:jc w:val="both"/>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bidi="ar"/>
              </w:rPr>
              <w:t>不少于3类集群应用取证，包括etcd、zookeeper、mycat等分析节点信息，并根据节点ip绘制网络拓扑图；</w:t>
            </w:r>
          </w:p>
          <w:p>
            <w:pPr>
              <w:pStyle w:val="74"/>
              <w:numPr>
                <w:ilvl w:val="0"/>
                <w:numId w:val="79"/>
              </w:numPr>
              <w:spacing w:beforeAutospacing="0" w:afterAutospacing="0"/>
              <w:jc w:val="both"/>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bidi="ar"/>
              </w:rPr>
              <w:t>不少于2类CDN应用取证，包括cdnfly、goedge等，获取节点信息，DNS服务商，网站信息；</w:t>
            </w:r>
          </w:p>
          <w:p>
            <w:pPr>
              <w:pStyle w:val="74"/>
              <w:numPr>
                <w:ilvl w:val="0"/>
                <w:numId w:val="79"/>
              </w:numPr>
              <w:spacing w:beforeAutospacing="0" w:afterAutospacing="0"/>
              <w:jc w:val="both"/>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bidi="ar"/>
              </w:rPr>
              <w:t>支持Mysql数据库本地重建访问，不少于4类数据格式仿真，包含csv、sql、qp、原始数据目录等格式；支持业务数据库仿真；支持展示重建后数据库访问信息，通过数据库工具进行查看</w:t>
            </w:r>
          </w:p>
        </w:tc>
        <w:tc>
          <w:tcPr>
            <w:tcW w:w="766" w:type="pct"/>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45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p>
        </w:tc>
        <w:tc>
          <w:tcPr>
            <w:tcW w:w="566"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系统仿真</w:t>
            </w:r>
          </w:p>
        </w:tc>
        <w:tc>
          <w:tcPr>
            <w:tcW w:w="2857" w:type="pct"/>
            <w:tcBorders>
              <w:top w:val="single" w:color="auto" w:sz="4" w:space="0"/>
              <w:left w:val="single" w:color="auto" w:sz="4" w:space="0"/>
              <w:bottom w:val="single" w:color="auto" w:sz="4" w:space="0"/>
              <w:right w:val="single" w:color="auto" w:sz="4" w:space="0"/>
            </w:tcBorders>
            <w:shd w:val="clear" w:color="auto" w:fill="auto"/>
          </w:tcPr>
          <w:p>
            <w:pPr>
              <w:pStyle w:val="74"/>
              <w:numPr>
                <w:ilvl w:val="0"/>
                <w:numId w:val="80"/>
              </w:numPr>
              <w:spacing w:beforeAutospacing="0" w:afterAutospacing="0"/>
              <w:jc w:val="both"/>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bidi="ar"/>
              </w:rPr>
              <w:t>支持对物理磁盘和镜像文件等不少于2种介质存储方式的仿真取证；</w:t>
            </w:r>
          </w:p>
          <w:p>
            <w:pPr>
              <w:pStyle w:val="74"/>
              <w:numPr>
                <w:ilvl w:val="0"/>
                <w:numId w:val="80"/>
              </w:numPr>
              <w:spacing w:beforeAutospacing="0" w:afterAutospacing="0"/>
              <w:jc w:val="both"/>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bidi="ar"/>
              </w:rPr>
              <w:t>支持不少于2种镜像的仿真取证，包含全盘镜像或分区镜像；</w:t>
            </w:r>
          </w:p>
          <w:p>
            <w:pPr>
              <w:pStyle w:val="74"/>
              <w:numPr>
                <w:ilvl w:val="0"/>
                <w:numId w:val="80"/>
              </w:numPr>
              <w:spacing w:beforeAutospacing="0" w:afterAutospacing="0"/>
              <w:jc w:val="both"/>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bidi="ar"/>
              </w:rPr>
              <w:t>支持不低于4TB容量磁盘的识别和仿真；</w:t>
            </w:r>
          </w:p>
          <w:p>
            <w:pPr>
              <w:pStyle w:val="74"/>
              <w:numPr>
                <w:ilvl w:val="0"/>
                <w:numId w:val="80"/>
              </w:numPr>
              <w:spacing w:beforeAutospacing="0" w:afterAutospacing="0"/>
              <w:jc w:val="both"/>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bidi="ar"/>
              </w:rPr>
              <w:t>单个系统仿真能支持同时添加不少于8个数据源；</w:t>
            </w:r>
          </w:p>
          <w:p>
            <w:pPr>
              <w:pStyle w:val="74"/>
              <w:numPr>
                <w:ilvl w:val="0"/>
                <w:numId w:val="80"/>
              </w:numPr>
              <w:spacing w:beforeAutospacing="0" w:afterAutospacing="0"/>
              <w:jc w:val="both"/>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bidi="ar"/>
              </w:rPr>
              <w:t>不少于4种操作系统仿真取证，支持对Windows、MacOS、Linux、ESXi等4种操作系统，并支持上述4种操作系统登录密码的绕过；</w:t>
            </w:r>
          </w:p>
          <w:p>
            <w:pPr>
              <w:pStyle w:val="74"/>
              <w:numPr>
                <w:ilvl w:val="0"/>
                <w:numId w:val="80"/>
              </w:numPr>
              <w:spacing w:beforeAutospacing="0" w:afterAutospacing="0"/>
              <w:jc w:val="both"/>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bidi="ar"/>
              </w:rPr>
              <w:t>支持对FileVault2加密分区的仿真，不少于2种文件系统，覆盖HFS+、APFS；</w:t>
            </w:r>
          </w:p>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7.支持全自动仿真，不少于2种数据格式，可一键完成磁盘或镜像的仿真</w:t>
            </w:r>
          </w:p>
        </w:tc>
        <w:tc>
          <w:tcPr>
            <w:tcW w:w="766" w:type="pct"/>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承诺函</w:t>
            </w:r>
          </w:p>
        </w:tc>
      </w:tr>
    </w:tbl>
    <w:p>
      <w:pPr>
        <w:rPr>
          <w:rFonts w:asciiTheme="minorEastAsia" w:hAnsiTheme="minorEastAsia" w:eastAsiaTheme="minorEastAsia" w:cstheme="minorEastAsia"/>
          <w:szCs w:val="21"/>
        </w:rPr>
      </w:pPr>
      <w:r>
        <w:rPr>
          <w:rFonts w:hint="eastAsia" w:asciiTheme="minorEastAsia" w:hAnsiTheme="minorEastAsia" w:eastAsiaTheme="minorEastAsia" w:cstheme="minorEastAsia"/>
          <w:bCs/>
          <w:kern w:val="44"/>
          <w:szCs w:val="21"/>
          <w:lang w:bidi="ar"/>
        </w:rPr>
        <w:br w:type="page"/>
      </w: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第1包 手机云取证设备</w:t>
      </w:r>
      <w:r>
        <w:rPr>
          <w:rFonts w:hint="default" w:ascii="Times New Roman" w:hAnsi="Times New Roman" w:cs="Times New Roman" w:eastAsiaTheme="minorEastAsia"/>
          <w:szCs w:val="21"/>
        </w:rPr>
        <w:t>Ⅰ</w:t>
      </w:r>
    </w:p>
    <w:tbl>
      <w:tblPr>
        <w:tblStyle w:val="8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6"/>
        <w:gridCol w:w="978"/>
        <w:gridCol w:w="1447"/>
        <w:gridCol w:w="3983"/>
        <w:gridCol w:w="1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blHeader/>
          <w:jc w:val="center"/>
        </w:trPr>
        <w:tc>
          <w:tcPr>
            <w:tcW w:w="47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序号</w:t>
            </w:r>
          </w:p>
        </w:tc>
        <w:tc>
          <w:tcPr>
            <w:tcW w:w="57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重要性</w:t>
            </w:r>
          </w:p>
        </w:tc>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指标项</w:t>
            </w:r>
          </w:p>
        </w:tc>
        <w:tc>
          <w:tcPr>
            <w:tcW w:w="233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技术要求</w:t>
            </w:r>
          </w:p>
        </w:tc>
        <w:tc>
          <w:tcPr>
            <w:tcW w:w="76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证明材料要求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47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574"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szCs w:val="21"/>
                <w:lang w:bidi="ar"/>
              </w:rPr>
              <w:t>★</w:t>
            </w:r>
          </w:p>
        </w:tc>
        <w:tc>
          <w:tcPr>
            <w:tcW w:w="84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手机云取证能力</w:t>
            </w:r>
          </w:p>
        </w:tc>
        <w:tc>
          <w:tcPr>
            <w:tcW w:w="2338"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金融支付类云端数据及云备份类，包括不限于：支付宝（包含回收站删除账单）、微信（包含删除账单）、苹果iCloud、华为云、华为云第三方应用备份（包含微信、Telegram等聊天记录）、小米云、vivo云、百度网盘、一刻相册、腾讯微云、115网盘、Bomb后端云、360安全云盘、天翼云盘、蓝奏云、曲奇云盘、比特球云盘、Google数据、飞书文档、阿里云盘、七牛云、文叔叔、QQ同步助手、金山文档、中国移动云盘等不少于24个APP</w:t>
            </w:r>
          </w:p>
        </w:tc>
        <w:tc>
          <w:tcPr>
            <w:tcW w:w="76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color w:val="000000"/>
                <w:kern w:val="0"/>
                <w:szCs w:val="21"/>
                <w:lang w:bidi="ar"/>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574"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szCs w:val="21"/>
                <w:lang w:bidi="ar"/>
              </w:rPr>
              <w:t>★</w:t>
            </w:r>
          </w:p>
        </w:tc>
        <w:tc>
          <w:tcPr>
            <w:tcW w:w="84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2338"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支持微信交易记录数据获取，可获取红包、转账、二维码收款、商户消费等数据，包含删除记录等不低于5种取证项</w:t>
            </w:r>
          </w:p>
        </w:tc>
        <w:tc>
          <w:tcPr>
            <w:tcW w:w="76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color w:val="000000"/>
                <w:kern w:val="0"/>
                <w:szCs w:val="21"/>
                <w:lang w:bidi="ar"/>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574"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szCs w:val="21"/>
                <w:lang w:bidi="ar"/>
              </w:rPr>
              <w:t>★</w:t>
            </w:r>
          </w:p>
        </w:tc>
        <w:tc>
          <w:tcPr>
            <w:tcW w:w="84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2338"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支持华为云第三方应用备份（包含且不少于2种APP数据备份，如微信、Telegram等聊天记录）以及浏览器历史记录获取</w:t>
            </w:r>
          </w:p>
        </w:tc>
        <w:tc>
          <w:tcPr>
            <w:tcW w:w="76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color w:val="000000"/>
                <w:kern w:val="0"/>
                <w:szCs w:val="21"/>
                <w:lang w:bidi="ar"/>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574"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heme="minorEastAsia" w:hAnsiTheme="minorEastAsia" w:eastAsiaTheme="minorEastAsia" w:cstheme="minorEastAsia"/>
                <w:bCs/>
                <w:szCs w:val="21"/>
              </w:rPr>
            </w:pPr>
          </w:p>
        </w:tc>
        <w:tc>
          <w:tcPr>
            <w:tcW w:w="84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2338"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支持智能安防类，包括不限于：米家、萤石云视频、乔安智联、联想慧眼、TP_LINK物联、水星安防等至少5个APP；</w:t>
            </w:r>
          </w:p>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支持智能生活类，包括不限于：小爱音箱、小度音箱、ZeppLife（小米运动）、运动健康等至少4个APP</w:t>
            </w:r>
          </w:p>
        </w:tc>
        <w:tc>
          <w:tcPr>
            <w:tcW w:w="76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574"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heme="minorEastAsia" w:hAnsiTheme="minorEastAsia" w:eastAsiaTheme="minorEastAsia" w:cstheme="minorEastAsia"/>
                <w:bCs/>
                <w:szCs w:val="21"/>
              </w:rPr>
            </w:pPr>
          </w:p>
        </w:tc>
        <w:tc>
          <w:tcPr>
            <w:tcW w:w="84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2338"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支持自动提取APP密钥，支持不少于20款APP的免密登录及云取证；</w:t>
            </w:r>
          </w:p>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最少支持支持免密、账号+密码、手机号+短信验证码、账号+二维码等4种登陆方式，配备短信验证模块，自动进行短信验证码验证登录</w:t>
            </w:r>
          </w:p>
        </w:tc>
        <w:tc>
          <w:tcPr>
            <w:tcW w:w="76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574"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heme="minorEastAsia" w:hAnsiTheme="minorEastAsia" w:eastAsiaTheme="minorEastAsia" w:cstheme="minorEastAsia"/>
                <w:bCs/>
                <w:szCs w:val="21"/>
              </w:rPr>
            </w:pPr>
          </w:p>
        </w:tc>
        <w:tc>
          <w:tcPr>
            <w:tcW w:w="84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2338"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支持多检材、多应用、多账号并行云取证，不少于3个检材及同应用至少3个以上账户的并行云取证；</w:t>
            </w:r>
          </w:p>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支持针对单个应用账号进行停止取证，继续取证操作</w:t>
            </w:r>
          </w:p>
        </w:tc>
        <w:tc>
          <w:tcPr>
            <w:tcW w:w="76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574"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heme="minorEastAsia" w:hAnsiTheme="minorEastAsia" w:eastAsiaTheme="minorEastAsia" w:cstheme="minorEastAsia"/>
                <w:bCs/>
                <w:szCs w:val="21"/>
              </w:rPr>
            </w:pPr>
          </w:p>
        </w:tc>
        <w:tc>
          <w:tcPr>
            <w:tcW w:w="84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手机取证能力</w:t>
            </w:r>
          </w:p>
        </w:tc>
        <w:tc>
          <w:tcPr>
            <w:tcW w:w="2338"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支持手机取证案件的新建、编辑、删除、导入、导出等功能，支持对取证结果进行数据排重、特殊号码过滤等；</w:t>
            </w:r>
          </w:p>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支持自定义取证策略，实现同一个案件同一个取证策略；</w:t>
            </w:r>
          </w:p>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支持不少于4种以上的案例管理能力，如合并案件、拆分案件、案件排序、归档案件功能</w:t>
            </w:r>
          </w:p>
        </w:tc>
        <w:tc>
          <w:tcPr>
            <w:tcW w:w="76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574"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szCs w:val="21"/>
                <w:lang w:bidi="ar"/>
              </w:rPr>
              <w:t>★</w:t>
            </w:r>
          </w:p>
        </w:tc>
        <w:tc>
          <w:tcPr>
            <w:tcW w:w="84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2338"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针对网页取证，支持用户自定义命令及命令组方式进行取证，且不少于20款命令，包含自动识别翻页表格、翻页+固定页面+提取表格、批量视频下载、批量网络直播、鼠标移动、鼠标点击、条件判断等</w:t>
            </w:r>
          </w:p>
        </w:tc>
        <w:tc>
          <w:tcPr>
            <w:tcW w:w="76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color w:val="000000"/>
                <w:kern w:val="0"/>
                <w:szCs w:val="21"/>
                <w:lang w:bidi="ar"/>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574"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heme="minorEastAsia" w:hAnsiTheme="minorEastAsia" w:eastAsiaTheme="minorEastAsia" w:cstheme="minorEastAsia"/>
                <w:bCs/>
                <w:szCs w:val="21"/>
              </w:rPr>
            </w:pPr>
          </w:p>
        </w:tc>
        <w:tc>
          <w:tcPr>
            <w:tcW w:w="84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2338"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提供至少1种以上的可自定义编写Python程序，实现对新APP数据的快速提取的平台，通过平台编写的提取程序获取的结果可合并到案例数据中，同时可通过平台发布或下载各类拓展功能。针对未知新应用自动生成解析脚本，智能提取应用数据，用户可修改脚本代码，调优解析准确性</w:t>
            </w:r>
          </w:p>
        </w:tc>
        <w:tc>
          <w:tcPr>
            <w:tcW w:w="76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574"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heme="minorEastAsia" w:hAnsiTheme="minorEastAsia" w:eastAsiaTheme="minorEastAsia" w:cstheme="minorEastAsia"/>
                <w:bCs/>
                <w:szCs w:val="21"/>
              </w:rPr>
            </w:pPr>
          </w:p>
        </w:tc>
        <w:tc>
          <w:tcPr>
            <w:tcW w:w="84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2338"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集成至少1种以上的免费绿色版案件阅读工具</w:t>
            </w:r>
          </w:p>
        </w:tc>
        <w:tc>
          <w:tcPr>
            <w:tcW w:w="76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574"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heme="minorEastAsia" w:hAnsiTheme="minorEastAsia" w:eastAsiaTheme="minorEastAsia" w:cstheme="minorEastAsia"/>
                <w:bCs/>
                <w:szCs w:val="21"/>
              </w:rPr>
            </w:pPr>
          </w:p>
        </w:tc>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翻译功能</w:t>
            </w:r>
          </w:p>
        </w:tc>
        <w:tc>
          <w:tcPr>
            <w:tcW w:w="2338"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支持维汉翻译，支持普通维文、拉丁维文-汉语机器翻译等至少2种翻译功能</w:t>
            </w:r>
          </w:p>
        </w:tc>
        <w:tc>
          <w:tcPr>
            <w:tcW w:w="76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574"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heme="minorEastAsia" w:hAnsiTheme="minorEastAsia" w:eastAsiaTheme="minorEastAsia" w:cstheme="minorEastAsia"/>
                <w:bCs/>
                <w:szCs w:val="21"/>
              </w:rPr>
            </w:pPr>
          </w:p>
        </w:tc>
        <w:tc>
          <w:tcPr>
            <w:tcW w:w="84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p>
        </w:tc>
        <w:tc>
          <w:tcPr>
            <w:tcW w:w="2338"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支持手机已删除数据的恢复，其中iOS手机可实现删除数据恢复，Android手机可自动ROOT后进行删除数据恢复，在ROOT失败情况下，也能支持Android手机解析和恢复QQ、微信、微博等应用程序数据；</w:t>
            </w:r>
          </w:p>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支持Android、iOS、鸿蒙OS等至少3种系统手机回收站文件恢复，支持Android、iOS手机缩略图恢复</w:t>
            </w:r>
          </w:p>
        </w:tc>
        <w:tc>
          <w:tcPr>
            <w:tcW w:w="76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574"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heme="minorEastAsia" w:hAnsiTheme="minorEastAsia" w:eastAsiaTheme="minorEastAsia" w:cstheme="minorEastAsia"/>
                <w:bCs/>
                <w:szCs w:val="21"/>
              </w:rPr>
            </w:pPr>
          </w:p>
        </w:tc>
        <w:tc>
          <w:tcPr>
            <w:tcW w:w="84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应用程序解析</w:t>
            </w:r>
          </w:p>
        </w:tc>
        <w:tc>
          <w:tcPr>
            <w:tcW w:w="2338"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支持微信公众号文章缓存页面重组，可直观查看微信公众号文章；</w:t>
            </w:r>
          </w:p>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支持手机即时通讯类应用程序的痕迹记录解析，包含腾讯QQ、QQ极速版、TIM、微信、微信分身版、Sugram、Sugram畅聊版、易信、连信、潮信、蜜语、轻甜、触宝电话、米聊、旺信等至少15款APP；</w:t>
            </w:r>
          </w:p>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支持微博社交类应用数据的获取解析，包含新浪微博、Twitter、天涯社区、QQ空间、百度贴吧、百度贴吧极速版、知乎、今日头条、今日头条极速版、学习强国、豆瓣、小红书、世纪佳缘、珍爱网等至少14款APP</w:t>
            </w:r>
          </w:p>
        </w:tc>
        <w:tc>
          <w:tcPr>
            <w:tcW w:w="76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574"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heme="minorEastAsia" w:hAnsiTheme="minorEastAsia" w:eastAsiaTheme="minorEastAsia" w:cstheme="minorEastAsia"/>
                <w:bCs/>
                <w:szCs w:val="21"/>
              </w:rPr>
            </w:pPr>
          </w:p>
        </w:tc>
        <w:tc>
          <w:tcPr>
            <w:tcW w:w="84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2338"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第三方安全、手机优化管理类软件的获取解析，包含金山手机卫士、360手机助手、360手机卫士、360隐私保险箱、一键清理大师、猎豹清理大师、百度手机助手、鲁大师、腾讯手机管家、360清理大师、极速清理等至少11款APP</w:t>
            </w:r>
          </w:p>
        </w:tc>
        <w:tc>
          <w:tcPr>
            <w:tcW w:w="76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574"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heme="minorEastAsia" w:hAnsiTheme="minorEastAsia" w:eastAsiaTheme="minorEastAsia" w:cstheme="minorEastAsia"/>
                <w:bCs/>
                <w:szCs w:val="21"/>
              </w:rPr>
            </w:pPr>
          </w:p>
        </w:tc>
        <w:tc>
          <w:tcPr>
            <w:tcW w:w="84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2338"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支持运动、健康类应用解析，包含华为运动健康、iOS健康、动动、咕咚、悦跑圈、Keep、步多多、猫扑运动、小米运动、三星健康、Vivo运动健康、Fitbit、Zepp、Suunto、佳明运动手表、华为穿戴、COROS等至少17款APP</w:t>
            </w:r>
          </w:p>
        </w:tc>
        <w:tc>
          <w:tcPr>
            <w:tcW w:w="76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574"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heme="minorEastAsia" w:hAnsiTheme="minorEastAsia" w:eastAsiaTheme="minorEastAsia" w:cstheme="minorEastAsia"/>
                <w:bCs/>
                <w:szCs w:val="21"/>
              </w:rPr>
            </w:pPr>
          </w:p>
        </w:tc>
        <w:tc>
          <w:tcPr>
            <w:tcW w:w="84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智能分析</w:t>
            </w:r>
          </w:p>
        </w:tc>
        <w:tc>
          <w:tcPr>
            <w:tcW w:w="2338"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支持语音识别，需至少支持2种以上识别方式，如单个或批量语音识别，可将语音文件自动识别成文字内容，且识别结果需支持列表展示与会话展示，解决人工听取语音耗时长的问题</w:t>
            </w:r>
          </w:p>
        </w:tc>
        <w:tc>
          <w:tcPr>
            <w:tcW w:w="76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574"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szCs w:val="21"/>
                <w:lang w:bidi="ar"/>
              </w:rPr>
              <w:t>★</w:t>
            </w:r>
          </w:p>
        </w:tc>
        <w:tc>
          <w:tcPr>
            <w:tcW w:w="84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2338"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支持手机数据分析功能，人物画像、社会关系分析、时空分析、经济行为分析、行为习惯分析、视频画像分析、多人关系分析、涉嫌分析、高频词分析、敏感人分析等不少于10种分析功能</w:t>
            </w:r>
          </w:p>
        </w:tc>
        <w:tc>
          <w:tcPr>
            <w:tcW w:w="76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color w:val="000000"/>
                <w:kern w:val="0"/>
                <w:szCs w:val="21"/>
                <w:lang w:bidi="ar"/>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574"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heme="minorEastAsia" w:hAnsiTheme="minorEastAsia" w:eastAsiaTheme="minorEastAsia" w:cstheme="minorEastAsia"/>
                <w:bCs/>
                <w:szCs w:val="21"/>
              </w:rPr>
            </w:pPr>
          </w:p>
        </w:tc>
        <w:tc>
          <w:tcPr>
            <w:tcW w:w="84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区块链分析</w:t>
            </w:r>
          </w:p>
        </w:tc>
        <w:tc>
          <w:tcPr>
            <w:tcW w:w="2338"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支持对钱包地址的检索，通过交易数据，关联分析资金流向</w:t>
            </w:r>
          </w:p>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支持标识交易记录中可调证、不可调证的交易所；</w:t>
            </w:r>
          </w:p>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支持邮件监控目标钱包地址获取，监控任务字段不少于5种，包括币类型、币地址、接收邮箱、备注等，支持修改监控时长、邮件模板等；</w:t>
            </w:r>
          </w:p>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支持生成可调证详情样本；</w:t>
            </w:r>
          </w:p>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支持将分析结果生成取证报告；</w:t>
            </w:r>
          </w:p>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支持比特币（BTC）、以太坊（ETH）、波场币(TRX)、币安币（BNB）、泰达币（USDT）等不少于5种款币种交易查询；</w:t>
            </w:r>
          </w:p>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具备区块链钱包地址标签系统，标签数据至少覆</w:t>
            </w:r>
            <w:r>
              <w:rPr>
                <w:rFonts w:ascii="Times New Roman" w:hAnsi="Times New Roman" w:eastAsiaTheme="minorEastAsia"/>
                <w:bCs/>
                <w:color w:val="000000"/>
                <w:kern w:val="0"/>
                <w:szCs w:val="21"/>
                <w:lang w:bidi="ar"/>
              </w:rPr>
              <w:t>盖3</w:t>
            </w:r>
            <w:r>
              <w:rPr>
                <w:rFonts w:hint="eastAsia" w:asciiTheme="minorEastAsia" w:hAnsiTheme="minorEastAsia" w:eastAsiaTheme="minorEastAsia" w:cstheme="minorEastAsia"/>
                <w:bCs/>
                <w:color w:val="000000"/>
                <w:kern w:val="0"/>
                <w:szCs w:val="21"/>
                <w:lang w:bidi="ar"/>
              </w:rPr>
              <w:t>个主流交易平台，包括BINANCE、Huobi、OKEX等</w:t>
            </w:r>
          </w:p>
        </w:tc>
        <w:tc>
          <w:tcPr>
            <w:tcW w:w="76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574"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szCs w:val="21"/>
                <w:lang w:bidi="ar"/>
              </w:rPr>
              <w:t>★</w:t>
            </w:r>
          </w:p>
        </w:tc>
        <w:tc>
          <w:tcPr>
            <w:tcW w:w="84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2338"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针对虚拟货币分析，支持查看某个交易记录的详情，包括转入、转出钱包地址、交易金额和交易时间等至少4种交易信息数据</w:t>
            </w:r>
          </w:p>
        </w:tc>
        <w:tc>
          <w:tcPr>
            <w:tcW w:w="76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color w:val="000000"/>
                <w:kern w:val="0"/>
                <w:szCs w:val="21"/>
                <w:lang w:bidi="ar"/>
              </w:rPr>
              <w:t>检验报告</w:t>
            </w:r>
          </w:p>
        </w:tc>
      </w:tr>
    </w:tbl>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第1包 数据恢复设备</w:t>
      </w:r>
      <w:r>
        <w:rPr>
          <w:rFonts w:hint="default" w:ascii="Times New Roman" w:hAnsi="Times New Roman" w:cs="Times New Roman" w:eastAsiaTheme="minorEastAsia"/>
          <w:szCs w:val="21"/>
        </w:rPr>
        <w:t>Ⅰ</w:t>
      </w:r>
    </w:p>
    <w:tbl>
      <w:tblPr>
        <w:tblStyle w:val="8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6"/>
        <w:gridCol w:w="929"/>
        <w:gridCol w:w="844"/>
        <w:gridCol w:w="4597"/>
        <w:gridCol w:w="15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blHeader/>
          <w:jc w:val="center"/>
        </w:trPr>
        <w:tc>
          <w:tcPr>
            <w:tcW w:w="37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bookmarkStart w:id="122" w:name="OLE_LINK2"/>
            <w:r>
              <w:rPr>
                <w:rFonts w:hint="eastAsia" w:asciiTheme="minorEastAsia" w:hAnsiTheme="minorEastAsia" w:eastAsiaTheme="minorEastAsia" w:cstheme="minorEastAsia"/>
                <w:bCs/>
                <w:szCs w:val="21"/>
                <w:lang w:bidi="ar"/>
              </w:rPr>
              <w:t>序号</w:t>
            </w:r>
          </w:p>
        </w:tc>
        <w:tc>
          <w:tcPr>
            <w:tcW w:w="54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重要性</w:t>
            </w:r>
          </w:p>
        </w:tc>
        <w:tc>
          <w:tcPr>
            <w:tcW w:w="49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指标项</w:t>
            </w:r>
          </w:p>
        </w:tc>
        <w:tc>
          <w:tcPr>
            <w:tcW w:w="269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技术要求</w:t>
            </w:r>
          </w:p>
        </w:tc>
        <w:tc>
          <w:tcPr>
            <w:tcW w:w="88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证明材料要求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545"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szCs w:val="21"/>
                <w:lang w:bidi="ar"/>
              </w:rPr>
              <w:t>★</w:t>
            </w:r>
          </w:p>
        </w:tc>
        <w:tc>
          <w:tcPr>
            <w:tcW w:w="49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视频恢复</w:t>
            </w:r>
          </w:p>
        </w:tc>
        <w:tc>
          <w:tcPr>
            <w:tcW w:w="2696"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多项关键恢复能力，包括但不限于：支持海康威视、浙江大华、中维世纪、东视电子、领标、智诺、霍尼韦尔、九安、蓝色星际、星网锐捷、英飞拓、爱立视、成宇时代、大唐讯士、德加拉、杭州巨峰、朗视兴、立安达、乔安、荣恒泰、思朗、泰康伟业、天敏、天视达、天天佑、新达共创、英码网络、朗驰、美安、天地伟业、汉邦高科、迈视、安联锐视、波粒、佳信捷、淳洲电子、宇视、金三立等不少于38家主流监控视频厂商视频恢复</w:t>
            </w:r>
          </w:p>
        </w:tc>
        <w:tc>
          <w:tcPr>
            <w:tcW w:w="88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color w:val="000000"/>
                <w:kern w:val="0"/>
                <w:szCs w:val="21"/>
                <w:lang w:bidi="ar"/>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545"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szCs w:val="21"/>
                <w:lang w:bidi="ar"/>
              </w:rPr>
              <w:t>★</w:t>
            </w:r>
          </w:p>
        </w:tc>
        <w:tc>
          <w:tcPr>
            <w:tcW w:w="49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2696"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支持对海康威视、汉邦高科、宇视、九安、英飞拓、锐明视讯、雄州、蓝色星际、星网锐捷、金三立等不少于10家厂家的监控日志进行解析</w:t>
            </w:r>
          </w:p>
        </w:tc>
        <w:tc>
          <w:tcPr>
            <w:tcW w:w="88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color w:val="000000"/>
                <w:kern w:val="0"/>
                <w:szCs w:val="21"/>
                <w:lang w:bidi="ar"/>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545"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szCs w:val="21"/>
                <w:lang w:bidi="ar"/>
              </w:rPr>
              <w:t>★</w:t>
            </w:r>
          </w:p>
        </w:tc>
        <w:tc>
          <w:tcPr>
            <w:tcW w:w="49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数据库恢复</w:t>
            </w:r>
          </w:p>
        </w:tc>
        <w:tc>
          <w:tcPr>
            <w:tcW w:w="2696"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支持对MySQL、SQLServer、SQLite、Access、Oracle、Sybase、PgSQL等不少于7种数据库的数据进行提取及恢复</w:t>
            </w:r>
          </w:p>
        </w:tc>
        <w:tc>
          <w:tcPr>
            <w:tcW w:w="88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color w:val="000000"/>
                <w:kern w:val="0"/>
                <w:szCs w:val="21"/>
                <w:lang w:bidi="ar"/>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545"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szCs w:val="21"/>
                <w:lang w:bidi="ar"/>
              </w:rPr>
              <w:t>★</w:t>
            </w:r>
          </w:p>
        </w:tc>
        <w:tc>
          <w:tcPr>
            <w:tcW w:w="49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2696"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支持Mysql数据库本地重建访问，支持csv、sql、qb、原始数据数据目录等不少于3种数据格式的仿真；业务数据库仿真；展示重建后数据库访问信息，并通过数据库工具进行查看</w:t>
            </w:r>
          </w:p>
        </w:tc>
        <w:tc>
          <w:tcPr>
            <w:tcW w:w="88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color w:val="000000"/>
                <w:kern w:val="0"/>
                <w:szCs w:val="21"/>
                <w:lang w:bidi="ar"/>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545"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szCs w:val="21"/>
                <w:lang w:bidi="ar"/>
              </w:rPr>
              <w:t>★</w:t>
            </w:r>
          </w:p>
        </w:tc>
        <w:tc>
          <w:tcPr>
            <w:tcW w:w="49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其他恢复</w:t>
            </w:r>
          </w:p>
        </w:tc>
        <w:tc>
          <w:tcPr>
            <w:tcW w:w="2696"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支持对三星、群联及慧荣等不少于3种品牌固态盘删除的数据进行恢复</w:t>
            </w:r>
          </w:p>
        </w:tc>
        <w:tc>
          <w:tcPr>
            <w:tcW w:w="88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color w:val="000000"/>
                <w:kern w:val="0"/>
                <w:szCs w:val="21"/>
                <w:lang w:bidi="ar"/>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545"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heme="minorEastAsia" w:hAnsiTheme="minorEastAsia" w:eastAsiaTheme="minorEastAsia" w:cstheme="minorEastAsia"/>
                <w:bCs/>
                <w:szCs w:val="21"/>
              </w:rPr>
            </w:pPr>
          </w:p>
        </w:tc>
        <w:tc>
          <w:tcPr>
            <w:tcW w:w="49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2696"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支持raid0/raid1/raid5/raid5EE/raid6(P+Q)/JBOD等不少于6种磁盘阵列的数据提取</w:t>
            </w:r>
          </w:p>
        </w:tc>
        <w:tc>
          <w:tcPr>
            <w:tcW w:w="88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color w:val="000000"/>
                <w:kern w:val="0"/>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545"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heme="minorEastAsia" w:hAnsiTheme="minorEastAsia" w:eastAsiaTheme="minorEastAsia" w:cstheme="minorEastAsia"/>
                <w:bCs/>
                <w:szCs w:val="21"/>
              </w:rPr>
            </w:pPr>
          </w:p>
        </w:tc>
        <w:tc>
          <w:tcPr>
            <w:tcW w:w="49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2696"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支持NTFS、FAT12/16/32、exFAT、ReFS、HFS+、EXT2/3/4、APFS等不少于7种文件系统数据提取；</w:t>
            </w:r>
          </w:p>
        </w:tc>
        <w:tc>
          <w:tcPr>
            <w:tcW w:w="88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color w:val="000000"/>
                <w:kern w:val="0"/>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545"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color w:val="333333"/>
                <w:szCs w:val="21"/>
                <w:shd w:val="clear" w:color="auto" w:fill="FFFFFF"/>
                <w:lang w:bidi="ar"/>
              </w:rPr>
              <w:t>▲</w:t>
            </w:r>
          </w:p>
        </w:tc>
        <w:tc>
          <w:tcPr>
            <w:tcW w:w="49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2696"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支持对office、WPS、PDF等不少于3种文档格式的损坏文件进行修复</w:t>
            </w:r>
          </w:p>
        </w:tc>
        <w:tc>
          <w:tcPr>
            <w:tcW w:w="88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color w:val="000000"/>
                <w:szCs w:val="21"/>
                <w:lang w:bidi="ar"/>
              </w:rPr>
              <w:t>产品合格证/官方网站截图/白皮书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545"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color w:val="333333"/>
                <w:szCs w:val="21"/>
                <w:shd w:val="clear" w:color="auto" w:fill="FFFFFF"/>
                <w:lang w:bidi="ar"/>
              </w:rPr>
              <w:t>▲</w:t>
            </w:r>
          </w:p>
        </w:tc>
        <w:tc>
          <w:tcPr>
            <w:tcW w:w="49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2696"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支持对MP4、AVI、MOV、3GP、M4V、WMV等不少于6种格式损坏的视频进行修复，其中MP4格式（H.264编码）损坏的视频无需参照视频可完成修复</w:t>
            </w:r>
          </w:p>
        </w:tc>
        <w:tc>
          <w:tcPr>
            <w:tcW w:w="88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color w:val="000000"/>
                <w:szCs w:val="21"/>
                <w:lang w:bidi="ar"/>
              </w:rPr>
              <w:t>产品合格证/官方网站截图/白皮书</w:t>
            </w:r>
          </w:p>
        </w:tc>
      </w:tr>
      <w:bookmarkEnd w:id="122"/>
    </w:tbl>
    <w:p>
      <w:pPr>
        <w:rPr>
          <w:rFonts w:asciiTheme="minorEastAsia" w:hAnsiTheme="minorEastAsia" w:eastAsiaTheme="minorEastAsia" w:cstheme="minorEastAsia"/>
          <w:bCs/>
          <w:szCs w:val="21"/>
        </w:rPr>
      </w:pPr>
    </w:p>
    <w:p>
      <w:pPr>
        <w:pStyle w:val="5"/>
        <w:rPr>
          <w:rFonts w:asciiTheme="minorEastAsia" w:hAnsiTheme="minorEastAsia" w:eastAsiaTheme="minorEastAsia" w:cstheme="minorEastAsia"/>
          <w:b/>
          <w:bCs w:val="0"/>
          <w:szCs w:val="21"/>
        </w:rPr>
      </w:pPr>
      <w:r>
        <w:rPr>
          <w:rFonts w:hint="eastAsia" w:asciiTheme="minorEastAsia" w:hAnsiTheme="minorEastAsia" w:eastAsiaTheme="minorEastAsia" w:cstheme="minorEastAsia"/>
          <w:szCs w:val="21"/>
        </w:rPr>
        <w:t>第1包 密码破解设备</w:t>
      </w:r>
      <w:r>
        <w:rPr>
          <w:rFonts w:hint="default" w:ascii="Times New Roman" w:hAnsi="Times New Roman" w:cs="Times New Roman" w:eastAsiaTheme="minorEastAsia"/>
          <w:szCs w:val="21"/>
        </w:rPr>
        <w:t>Ⅰ</w:t>
      </w:r>
    </w:p>
    <w:tbl>
      <w:tblPr>
        <w:tblStyle w:val="8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7"/>
        <w:gridCol w:w="770"/>
        <w:gridCol w:w="837"/>
        <w:gridCol w:w="4624"/>
        <w:gridCol w:w="14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blHeader/>
          <w:jc w:val="center"/>
        </w:trPr>
        <w:tc>
          <w:tcPr>
            <w:tcW w:w="49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序号</w:t>
            </w:r>
          </w:p>
        </w:tc>
        <w:tc>
          <w:tcPr>
            <w:tcW w:w="45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重要性</w:t>
            </w:r>
          </w:p>
        </w:tc>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指标项</w:t>
            </w:r>
          </w:p>
        </w:tc>
        <w:tc>
          <w:tcPr>
            <w:tcW w:w="271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技术要求</w:t>
            </w:r>
          </w:p>
        </w:tc>
        <w:tc>
          <w:tcPr>
            <w:tcW w:w="84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证明材料要求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452"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heme="minorEastAsia" w:hAnsiTheme="minorEastAsia" w:eastAsiaTheme="minorEastAsia" w:cstheme="minorEastAsia"/>
                <w:bCs/>
                <w:szCs w:val="21"/>
              </w:rPr>
            </w:pPr>
          </w:p>
        </w:tc>
        <w:tc>
          <w:tcPr>
            <w:tcW w:w="49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密码破解能力</w:t>
            </w:r>
          </w:p>
        </w:tc>
        <w:tc>
          <w:tcPr>
            <w:tcW w:w="2714"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支持俄语、菲律宾语、韩文、日语、泰语、越南语等不少于6个国家语言密码的解析</w:t>
            </w:r>
          </w:p>
        </w:tc>
        <w:tc>
          <w:tcPr>
            <w:tcW w:w="84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452"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heme="minorEastAsia" w:hAnsiTheme="minorEastAsia" w:eastAsiaTheme="minorEastAsia" w:cstheme="minorEastAsia"/>
                <w:bCs/>
                <w:szCs w:val="21"/>
              </w:rPr>
            </w:pPr>
          </w:p>
        </w:tc>
        <w:tc>
          <w:tcPr>
            <w:tcW w:w="49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2714"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提供符合网络用户习惯的初始密码字典，不少于3亿个密码数</w:t>
            </w:r>
          </w:p>
        </w:tc>
        <w:tc>
          <w:tcPr>
            <w:tcW w:w="84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452"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w:t>
            </w:r>
          </w:p>
        </w:tc>
        <w:tc>
          <w:tcPr>
            <w:tcW w:w="49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2714"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针对多个有代表性的密码字典，结合人工智能和统计学的方式，至少支持3种组合方式，包含从密码长度、字符类型、字符串组成等进行规律分析，根据分析出的规律进行字典挖掘，最终形成较为高效的密码字典</w:t>
            </w:r>
          </w:p>
        </w:tc>
        <w:tc>
          <w:tcPr>
            <w:tcW w:w="84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color w:val="000000"/>
                <w:szCs w:val="21"/>
                <w:lang w:bidi="ar"/>
              </w:rPr>
              <w:t>产品合格证/官方网站截图/白皮书</w:t>
            </w:r>
          </w:p>
        </w:tc>
      </w:tr>
    </w:tbl>
    <w:p>
      <w:pPr>
        <w:pStyle w:val="74"/>
        <w:keepNext w:val="0"/>
        <w:keepLines w:val="0"/>
        <w:pageBreakBefore w:val="0"/>
        <w:widowControl w:val="0"/>
        <w:tabs>
          <w:tab w:val="left" w:pos="8280"/>
        </w:tabs>
        <w:kinsoku/>
        <w:wordWrap/>
        <w:overflowPunct/>
        <w:topLinePunct w:val="0"/>
        <w:autoSpaceDE/>
        <w:autoSpaceDN/>
        <w:bidi w:val="0"/>
        <w:adjustRightInd/>
        <w:snapToGrid/>
        <w:spacing w:line="240" w:lineRule="auto"/>
        <w:textAlignment w:val="auto"/>
        <w:rPr>
          <w:rFonts w:asciiTheme="minorEastAsia" w:hAnsiTheme="minorEastAsia" w:eastAsiaTheme="minorEastAsia" w:cstheme="minorEastAsia"/>
          <w:bCs/>
          <w:sz w:val="21"/>
          <w:szCs w:val="21"/>
          <w:lang w:val="zh-CN"/>
        </w:rPr>
      </w:pPr>
    </w:p>
    <w:p>
      <w:pPr>
        <w:pStyle w:val="5"/>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第1包 可视化关联分析系统</w:t>
      </w:r>
      <w:r>
        <w:rPr>
          <w:rFonts w:hint="default" w:ascii="Times New Roman" w:hAnsi="Times New Roman" w:cs="Times New Roman" w:eastAsiaTheme="minorEastAsia"/>
          <w:szCs w:val="21"/>
        </w:rPr>
        <w:t>Ⅰ</w:t>
      </w:r>
    </w:p>
    <w:tbl>
      <w:tblPr>
        <w:tblStyle w:val="81"/>
        <w:tblW w:w="0" w:type="auto"/>
        <w:tblInd w:w="-5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37"/>
        <w:gridCol w:w="1112"/>
        <w:gridCol w:w="4779"/>
        <w:gridCol w:w="14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序号</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重要性</w:t>
            </w:r>
          </w:p>
        </w:tc>
        <w:tc>
          <w:tcPr>
            <w:tcW w:w="111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指标项</w:t>
            </w:r>
          </w:p>
        </w:tc>
        <w:tc>
          <w:tcPr>
            <w:tcW w:w="477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技术要求</w:t>
            </w:r>
          </w:p>
        </w:tc>
        <w:tc>
          <w:tcPr>
            <w:tcW w:w="146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证明材料要求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p>
        </w:tc>
        <w:tc>
          <w:tcPr>
            <w:tcW w:w="111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数据清洗</w:t>
            </w:r>
          </w:p>
        </w:tc>
        <w:tc>
          <w:tcPr>
            <w:tcW w:w="477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支持不少于8种平台数据包含不限于银行账单、通讯话单、资金查控平台、反洗钱、云搜行程、住宿、出入境、央地协查、支付宝、微信等数据模板，支持相关数据一键化导入，自定义数据智能导入</w:t>
            </w:r>
          </w:p>
        </w:tc>
        <w:tc>
          <w:tcPr>
            <w:tcW w:w="146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p>
        </w:tc>
        <w:tc>
          <w:tcPr>
            <w:tcW w:w="111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数据清洗</w:t>
            </w:r>
          </w:p>
        </w:tc>
        <w:tc>
          <w:tcPr>
            <w:tcW w:w="477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支持不少于6种包含不限于EXCEL、CSV、TXT、PDF、HTML、ZIP等格式数据导入智能清洗</w:t>
            </w:r>
          </w:p>
        </w:tc>
        <w:tc>
          <w:tcPr>
            <w:tcW w:w="146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8"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p>
        </w:tc>
        <w:tc>
          <w:tcPr>
            <w:tcW w:w="1112" w:type="dxa"/>
            <w:vMerge w:val="restart"/>
            <w:tcBorders>
              <w:top w:val="single" w:color="auto" w:sz="4" w:space="0"/>
              <w:left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分析能力</w:t>
            </w:r>
          </w:p>
        </w:tc>
        <w:tc>
          <w:tcPr>
            <w:tcW w:w="477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支持话单智能分析：支持按人或者线索通过不少于5种维度对话单重要信息进行统计及可视化展示。</w:t>
            </w:r>
          </w:p>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(1)支持按时间排序并以图表形式展示总通联情况以及呼入呼出概况；</w:t>
            </w:r>
          </w:p>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(2)支持以图表形式展示主要通联对象，通联对象维度可切换线索、人、组，统计维度可切换时长、次数，可根据总通联、呼入、呼出、平均通联等字段进行排序；</w:t>
            </w:r>
          </w:p>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(3)支持分析睡眠时段，并可穿透睡眠时段主要通联对象及通联详情；</w:t>
            </w:r>
          </w:p>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(4)支持分析通联地点的分布情况及时间规律，并可穿透关注地点的主要通联对象及通联详情；</w:t>
            </w:r>
          </w:p>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(5)支持分析手机号码的串号使用规律，并可穿透关注地点的主要通联对象及通联详情</w:t>
            </w:r>
          </w:p>
        </w:tc>
        <w:tc>
          <w:tcPr>
            <w:tcW w:w="146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p>
        </w:tc>
        <w:tc>
          <w:tcPr>
            <w:tcW w:w="1112" w:type="dxa"/>
            <w:vMerge w:val="continue"/>
            <w:tcBorders>
              <w:left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p>
        </w:tc>
        <w:tc>
          <w:tcPr>
            <w:tcW w:w="477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支持账单智能分析：支持按人或者线索通过不少于5种维度对账单重要信息进行统计及可视化展示。</w:t>
            </w:r>
          </w:p>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(1)支持按时间排序并以图表形式展示总交易情况及呼入呼出情况；</w:t>
            </w:r>
          </w:p>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(2)支持以图表形式展示主要交易对象，交易对象维度可切换线索、人、组，统计维度可切换金额、次数，可根据总额、转入、转出、净额等进行排序；</w:t>
            </w:r>
          </w:p>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(3)支持可视化展示净资金流向情况，并可穿透交易详情；</w:t>
            </w:r>
          </w:p>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(4)支持分析交易时段的分布情况，可穿透主要交易对象及交易详情；</w:t>
            </w:r>
          </w:p>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(5)支持摘要分类情况的分布统计，可根据具体情况配置摘要类型，同时可穿透主要交易对象及交易详情</w:t>
            </w:r>
          </w:p>
        </w:tc>
        <w:tc>
          <w:tcPr>
            <w:tcW w:w="146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p>
        </w:tc>
        <w:tc>
          <w:tcPr>
            <w:tcW w:w="1112" w:type="dxa"/>
            <w:vMerge w:val="continue"/>
            <w:tcBorders>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p>
        </w:tc>
        <w:tc>
          <w:tcPr>
            <w:tcW w:w="477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支持详单分析：支持按照账话单分类并以表格形式展示所有数据，包含不少于6种功能：</w:t>
            </w:r>
          </w:p>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(1)支持账话单选中数据，一键上图操作，支持以图形数据进行保存，二次打开原图；</w:t>
            </w:r>
          </w:p>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(2)支持账话单按照相应条件过滤、保存，进行二次分析研判；</w:t>
            </w:r>
          </w:p>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(3)支持多种图形布局：圆型、组织架构、网络、分组布局；</w:t>
            </w:r>
          </w:p>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(4)支持查找链接、路径、最短路径和查找回路；</w:t>
            </w:r>
          </w:p>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(5)支持对画布上关系图进行列表分析；</w:t>
            </w:r>
          </w:p>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(6)支持交易/通联以总和定向两种方式展示</w:t>
            </w:r>
          </w:p>
        </w:tc>
        <w:tc>
          <w:tcPr>
            <w:tcW w:w="146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p>
        </w:tc>
        <w:tc>
          <w:tcPr>
            <w:tcW w:w="111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关联分析能力</w:t>
            </w:r>
          </w:p>
        </w:tc>
        <w:tc>
          <w:tcPr>
            <w:tcW w:w="477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支持通过不同的模型配置以关联图形式展示所有的关系详情，默认配置账话单模板，支持不少于5种功能：</w:t>
            </w:r>
          </w:p>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(1)支持系统内置IP-MAC分析模型；</w:t>
            </w:r>
          </w:p>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(2)支持通过链接次数、关联对象数进行筛选；</w:t>
            </w:r>
          </w:p>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(3)支持图形数据保存，二次打开原图；</w:t>
            </w:r>
          </w:p>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(4)支持图形放大、缩小、聚合、发散等；</w:t>
            </w:r>
          </w:p>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(5)支持多种图形布局：圆型布局、组织架构、网络布局、分组布局</w:t>
            </w:r>
          </w:p>
        </w:tc>
        <w:tc>
          <w:tcPr>
            <w:tcW w:w="146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p>
        </w:tc>
        <w:tc>
          <w:tcPr>
            <w:tcW w:w="111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资金分析能力</w:t>
            </w:r>
          </w:p>
        </w:tc>
        <w:tc>
          <w:tcPr>
            <w:tcW w:w="477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支持不少于1种资金类分析能力：</w:t>
            </w:r>
          </w:p>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资金对敲：支持从海量数据中找到满足对敲的数据（资金对敲，两笔没有直接联系的交易，满足对敲（差额，差额率，交易时间）条件），支持详情穿透</w:t>
            </w:r>
          </w:p>
        </w:tc>
        <w:tc>
          <w:tcPr>
            <w:tcW w:w="146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p>
        </w:tc>
        <w:tc>
          <w:tcPr>
            <w:tcW w:w="111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规律分析能力</w:t>
            </w:r>
          </w:p>
        </w:tc>
        <w:tc>
          <w:tcPr>
            <w:tcW w:w="477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支持不少于3种规律分析能力：</w:t>
            </w:r>
          </w:p>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1、新增或消失分析：支持可视化分析在某个时间点之后新增号码或消失号码；</w:t>
            </w:r>
          </w:p>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2、转移关系分析：支持针对B话单或账单及已知的A对象，支持可视化分析存在A跟B通话或转账，B必然会跟C通话或转账规律的C；</w:t>
            </w:r>
          </w:p>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3、串号比对分析：需以可视化形式展示多人共同串号，或同人多个串号的情况，支持人与线索的维度切换，支持数据详情穿透</w:t>
            </w:r>
          </w:p>
        </w:tc>
        <w:tc>
          <w:tcPr>
            <w:tcW w:w="146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p>
        </w:tc>
        <w:tc>
          <w:tcPr>
            <w:tcW w:w="111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轨迹分析能力</w:t>
            </w:r>
          </w:p>
        </w:tc>
        <w:tc>
          <w:tcPr>
            <w:tcW w:w="477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支持不少于3种轨迹分析能力：</w:t>
            </w:r>
          </w:p>
          <w:p>
            <w:pPr>
              <w:pStyle w:val="74"/>
              <w:numPr>
                <w:ilvl w:val="0"/>
                <w:numId w:val="81"/>
              </w:numPr>
              <w:spacing w:beforeAutospacing="0" w:afterAutospacing="0"/>
              <w:jc w:val="both"/>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bidi="ar"/>
              </w:rPr>
              <w:t>轨迹详情：支持根据话单通联详情描绘通话位置轨迹点，支持轨迹播放、轨迹线、轨迹点过滤等功能，支持数据详情穿透</w:t>
            </w:r>
          </w:p>
          <w:p>
            <w:pPr>
              <w:pStyle w:val="74"/>
              <w:numPr>
                <w:ilvl w:val="0"/>
                <w:numId w:val="81"/>
              </w:numPr>
              <w:spacing w:beforeAutospacing="0" w:afterAutospacing="0"/>
              <w:jc w:val="both"/>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bidi="ar"/>
              </w:rPr>
              <w:t>轨迹伴随分析：支持分析多人或线索的轨迹伴随情况，支持数据详情穿透</w:t>
            </w:r>
          </w:p>
          <w:p>
            <w:pPr>
              <w:pStyle w:val="74"/>
              <w:numPr>
                <w:ilvl w:val="0"/>
                <w:numId w:val="81"/>
              </w:numPr>
              <w:spacing w:beforeAutospacing="0" w:afterAutospacing="0"/>
              <w:jc w:val="both"/>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bidi="ar"/>
              </w:rPr>
              <w:t>互通位置分析：支持判断同一通电话发生时双方所在位置，支持数据详情穿透</w:t>
            </w:r>
          </w:p>
        </w:tc>
        <w:tc>
          <w:tcPr>
            <w:tcW w:w="146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p>
        </w:tc>
        <w:tc>
          <w:tcPr>
            <w:tcW w:w="1112"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289"/>
              </w:tabs>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管理功能</w:t>
            </w:r>
          </w:p>
        </w:tc>
        <w:tc>
          <w:tcPr>
            <w:tcW w:w="477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支持不少于7种管理功能：</w:t>
            </w:r>
          </w:p>
          <w:p>
            <w:pPr>
              <w:pStyle w:val="74"/>
              <w:numPr>
                <w:ilvl w:val="0"/>
                <w:numId w:val="82"/>
              </w:numPr>
              <w:spacing w:beforeAutospacing="0" w:afterAutospacing="0"/>
              <w:ind w:left="0" w:firstLine="0"/>
              <w:jc w:val="both"/>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bidi="ar"/>
              </w:rPr>
              <w:t>对原始数据的案件转移、删除以及源文件查</w:t>
            </w:r>
          </w:p>
          <w:p>
            <w:pPr>
              <w:pStyle w:val="74"/>
              <w:numPr>
                <w:ilvl w:val="0"/>
                <w:numId w:val="82"/>
              </w:numPr>
              <w:spacing w:beforeAutospacing="0" w:afterAutospacing="0"/>
              <w:ind w:left="0" w:firstLine="0"/>
              <w:jc w:val="both"/>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bidi="ar"/>
              </w:rPr>
              <w:t>支持案件导入、导出以及案件备份；</w:t>
            </w:r>
          </w:p>
          <w:p>
            <w:pPr>
              <w:pStyle w:val="74"/>
              <w:numPr>
                <w:ilvl w:val="0"/>
                <w:numId w:val="82"/>
              </w:numPr>
              <w:spacing w:beforeAutospacing="0" w:afterAutospacing="0"/>
              <w:ind w:left="0" w:firstLine="0"/>
              <w:jc w:val="both"/>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bidi="ar"/>
              </w:rPr>
              <w:t>支持对手机号或账号的持有人管理；</w:t>
            </w:r>
          </w:p>
          <w:p>
            <w:pPr>
              <w:pStyle w:val="74"/>
              <w:numPr>
                <w:ilvl w:val="0"/>
                <w:numId w:val="82"/>
              </w:numPr>
              <w:spacing w:beforeAutospacing="0" w:afterAutospacing="0"/>
              <w:ind w:left="0" w:firstLine="0"/>
              <w:jc w:val="both"/>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bidi="ar"/>
              </w:rPr>
              <w:t>支持将分析结果进行保存，并可利用已有分析方法进行二次分析；</w:t>
            </w:r>
          </w:p>
          <w:p>
            <w:pPr>
              <w:pStyle w:val="74"/>
              <w:numPr>
                <w:ilvl w:val="0"/>
                <w:numId w:val="82"/>
              </w:numPr>
              <w:spacing w:beforeAutospacing="0" w:afterAutospacing="0"/>
              <w:ind w:left="0" w:firstLine="0"/>
              <w:jc w:val="both"/>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bidi="ar"/>
              </w:rPr>
              <w:t>支持选择分析对象后，推荐可用的分析方法；</w:t>
            </w:r>
          </w:p>
          <w:p>
            <w:pPr>
              <w:pStyle w:val="74"/>
              <w:numPr>
                <w:ilvl w:val="0"/>
                <w:numId w:val="82"/>
              </w:numPr>
              <w:spacing w:beforeAutospacing="0" w:afterAutospacing="0"/>
              <w:ind w:left="0" w:firstLine="0"/>
              <w:jc w:val="both"/>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bidi="ar"/>
              </w:rPr>
              <w:t>支持内置基础数据库：包括基站归属地数据、手机归属地、IP归属地、银行卡类型、特服号码，内置重点资源库入口和全国离线地图，支持离线进行数据关联与可视化展示；</w:t>
            </w:r>
          </w:p>
          <w:p>
            <w:pPr>
              <w:pStyle w:val="74"/>
              <w:numPr>
                <w:ilvl w:val="0"/>
                <w:numId w:val="82"/>
              </w:numPr>
              <w:spacing w:beforeAutospacing="0" w:afterAutospacing="0"/>
              <w:ind w:left="0" w:firstLine="0"/>
              <w:jc w:val="both"/>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bidi="ar"/>
              </w:rPr>
              <w:t>支持所有分析结果的导出；支持分组、一人多卡检测</w:t>
            </w:r>
          </w:p>
        </w:tc>
        <w:tc>
          <w:tcPr>
            <w:tcW w:w="146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承诺函</w:t>
            </w:r>
          </w:p>
        </w:tc>
      </w:tr>
    </w:tbl>
    <w:p>
      <w:pPr>
        <w:rPr>
          <w:rFonts w:asciiTheme="minorEastAsia" w:hAnsiTheme="minorEastAsia" w:eastAsiaTheme="minorEastAsia" w:cstheme="minorEastAsia"/>
          <w:szCs w:val="21"/>
        </w:rPr>
      </w:pPr>
    </w:p>
    <w:p>
      <w:pPr>
        <w:rPr>
          <w:rFonts w:asciiTheme="minorEastAsia" w:hAnsiTheme="minorEastAsia" w:eastAsiaTheme="minorEastAsia" w:cstheme="minorEastAsia"/>
          <w:bCs/>
          <w:szCs w:val="21"/>
          <w:lang w:bidi="ar"/>
        </w:rPr>
        <w:sectPr>
          <w:headerReference r:id="rId12" w:type="default"/>
          <w:type w:val="continuous"/>
          <w:pgSz w:w="11906" w:h="16838"/>
          <w:pgMar w:top="1440" w:right="1800" w:bottom="1440" w:left="1800" w:header="851" w:footer="992" w:gutter="0"/>
          <w:cols w:space="0" w:num="1"/>
          <w:docGrid w:type="lines" w:linePitch="312" w:charSpace="0"/>
        </w:sectPr>
      </w:pPr>
    </w:p>
    <w:p>
      <w:pPr>
        <w:pStyle w:val="5"/>
        <w:rPr>
          <w:rFonts w:asciiTheme="minorEastAsia" w:hAnsiTheme="minorEastAsia" w:eastAsiaTheme="minorEastAsia" w:cstheme="minorEastAsia"/>
          <w:b/>
          <w:bCs w:val="0"/>
          <w:szCs w:val="21"/>
        </w:rPr>
      </w:pPr>
      <w:r>
        <w:rPr>
          <w:rFonts w:hint="eastAsia" w:asciiTheme="minorEastAsia" w:hAnsiTheme="minorEastAsia" w:eastAsiaTheme="minorEastAsia" w:cstheme="minorEastAsia"/>
          <w:szCs w:val="21"/>
        </w:rPr>
        <w:t>第1包 战训一体化平台</w:t>
      </w:r>
      <w:r>
        <w:rPr>
          <w:rFonts w:hint="default" w:ascii="Times New Roman" w:hAnsi="Times New Roman" w:cs="Times New Roman" w:eastAsiaTheme="minorEastAsia"/>
          <w:szCs w:val="21"/>
        </w:rPr>
        <w:t>Ⅰ</w:t>
      </w:r>
    </w:p>
    <w:p>
      <w:pPr>
        <w:rPr>
          <w:rFonts w:asciiTheme="minorEastAsia" w:hAnsiTheme="minorEastAsia" w:eastAsiaTheme="minorEastAsia" w:cstheme="minorEastAsia"/>
          <w:szCs w:val="21"/>
        </w:rPr>
      </w:pPr>
    </w:p>
    <w:tbl>
      <w:tblPr>
        <w:tblStyle w:val="8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3"/>
        <w:gridCol w:w="970"/>
        <w:gridCol w:w="701"/>
        <w:gridCol w:w="5563"/>
        <w:gridCol w:w="1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272" w:type="pct"/>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序号</w:t>
            </w:r>
          </w:p>
        </w:tc>
        <w:tc>
          <w:tcPr>
            <w:tcW w:w="53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重要性</w:t>
            </w:r>
          </w:p>
        </w:tc>
        <w:tc>
          <w:tcPr>
            <w:tcW w:w="387"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指标项</w:t>
            </w:r>
          </w:p>
        </w:tc>
        <w:tc>
          <w:tcPr>
            <w:tcW w:w="3070" w:type="pct"/>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技术要求</w:t>
            </w:r>
          </w:p>
        </w:tc>
        <w:tc>
          <w:tcPr>
            <w:tcW w:w="736"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证明材料要求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53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szCs w:val="21"/>
                <w:lang w:bidi="ar"/>
              </w:rPr>
              <w:t>★</w:t>
            </w:r>
          </w:p>
        </w:tc>
        <w:tc>
          <w:tcPr>
            <w:tcW w:w="387"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基本能力</w:t>
            </w:r>
          </w:p>
        </w:tc>
        <w:tc>
          <w:tcPr>
            <w:tcW w:w="3070" w:type="pct"/>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支持“一人多案、多人一案”的协作办案工作模式；在线远程音视频和屏幕共享功能，多用户进行证据摘录和数据的协作共享，溯源到摘录来源；溯源到原始位置对核心证据进行打标，并需支持溯源到打标来源；支持不少于2种协作办案方式</w:t>
            </w:r>
          </w:p>
        </w:tc>
        <w:tc>
          <w:tcPr>
            <w:tcW w:w="736"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color w:val="000000"/>
                <w:kern w:val="0"/>
                <w:szCs w:val="21"/>
                <w:lang w:bidi="ar"/>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53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color w:val="000000"/>
                <w:kern w:val="0"/>
                <w:szCs w:val="21"/>
                <w:lang w:bidi="ar"/>
              </w:rPr>
              <w:t>▲</w:t>
            </w:r>
          </w:p>
        </w:tc>
        <w:tc>
          <w:tcPr>
            <w:tcW w:w="387" w:type="pct"/>
            <w:vMerge w:val="restart"/>
            <w:tcBorders>
              <w:top w:val="single" w:color="auto" w:sz="4" w:space="0"/>
              <w:left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数据汇聚能力1</w:t>
            </w:r>
          </w:p>
        </w:tc>
        <w:tc>
          <w:tcPr>
            <w:tcW w:w="3070" w:type="pct"/>
            <w:tcBorders>
              <w:top w:val="single" w:color="auto" w:sz="4" w:space="0"/>
              <w:left w:val="single" w:color="auto" w:sz="4" w:space="0"/>
              <w:bottom w:val="single" w:color="auto" w:sz="4" w:space="0"/>
              <w:right w:val="single" w:color="auto" w:sz="4" w:space="0"/>
            </w:tcBorders>
            <w:shd w:val="clear" w:color="auto" w:fill="auto"/>
          </w:tcPr>
          <w:p>
            <w:pPr>
              <w:pStyle w:val="74"/>
              <w:widowControl/>
              <w:numPr>
                <w:ilvl w:val="0"/>
                <w:numId w:val="83"/>
              </w:numPr>
              <w:adjustRightInd w:val="0"/>
              <w:snapToGrid w:val="0"/>
              <w:spacing w:beforeAutospacing="0" w:afterAutospacing="0"/>
              <w:jc w:val="both"/>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bidi="ar"/>
              </w:rPr>
              <w:t>支持公安部BCP标准格式数据包的导入和解析；</w:t>
            </w:r>
          </w:p>
          <w:p>
            <w:pPr>
              <w:pStyle w:val="74"/>
              <w:widowControl/>
              <w:numPr>
                <w:ilvl w:val="0"/>
                <w:numId w:val="83"/>
              </w:numPr>
              <w:adjustRightInd w:val="0"/>
              <w:snapToGrid w:val="0"/>
              <w:spacing w:beforeAutospacing="0" w:afterAutospacing="0"/>
              <w:jc w:val="both"/>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bidi="ar"/>
              </w:rPr>
              <w:t>支持EFP标准格式数据包、MFC案例包、M01案例包、HTML报告等不低于4种类型数据的导入和解析</w:t>
            </w:r>
          </w:p>
        </w:tc>
        <w:tc>
          <w:tcPr>
            <w:tcW w:w="736" w:type="pct"/>
            <w:vMerge w:val="restart"/>
            <w:tcBorders>
              <w:top w:val="single" w:color="auto" w:sz="4" w:space="0"/>
              <w:left w:val="single" w:color="auto" w:sz="4" w:space="0"/>
              <w:right w:val="single" w:color="auto" w:sz="4" w:space="0"/>
            </w:tcBorders>
            <w:shd w:val="clear" w:color="auto" w:fill="auto"/>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color w:val="000000"/>
                <w:szCs w:val="21"/>
                <w:lang w:bidi="ar"/>
              </w:rPr>
              <w:t>产品合格证/官方网站截图/白皮书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53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w:t>
            </w:r>
          </w:p>
        </w:tc>
        <w:tc>
          <w:tcPr>
            <w:tcW w:w="387" w:type="pct"/>
            <w:vMerge w:val="continue"/>
            <w:tcBorders>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lang w:bidi="ar"/>
              </w:rPr>
            </w:pPr>
          </w:p>
        </w:tc>
        <w:tc>
          <w:tcPr>
            <w:tcW w:w="3070" w:type="pct"/>
            <w:tcBorders>
              <w:top w:val="single" w:color="auto" w:sz="4" w:space="0"/>
              <w:left w:val="single" w:color="auto" w:sz="4" w:space="0"/>
              <w:bottom w:val="single" w:color="auto" w:sz="4" w:space="0"/>
              <w:right w:val="single" w:color="auto" w:sz="4" w:space="0"/>
            </w:tcBorders>
            <w:shd w:val="clear" w:color="auto" w:fill="auto"/>
          </w:tcPr>
          <w:p>
            <w:pPr>
              <w:pStyle w:val="74"/>
              <w:widowControl/>
              <w:adjustRightInd w:val="0"/>
              <w:snapToGrid w:val="0"/>
              <w:spacing w:beforeAutospacing="0" w:afterAutospacing="0"/>
              <w:jc w:val="both"/>
              <w:rPr>
                <w:rFonts w:asciiTheme="minorEastAsia" w:hAnsiTheme="minorEastAsia" w:eastAsiaTheme="minorEastAsia" w:cstheme="minorEastAsia"/>
                <w:bCs/>
                <w:sz w:val="21"/>
                <w:szCs w:val="21"/>
                <w:lang w:bidi="ar"/>
              </w:rPr>
            </w:pPr>
            <w:r>
              <w:rPr>
                <w:rFonts w:hint="eastAsia" w:asciiTheme="minorEastAsia" w:hAnsiTheme="minorEastAsia" w:eastAsiaTheme="minorEastAsia" w:cstheme="minorEastAsia"/>
                <w:bCs/>
                <w:sz w:val="21"/>
                <w:szCs w:val="21"/>
                <w:lang w:bidi="ar"/>
              </w:rPr>
              <w:t>支持美亚、弘连、龙信、平航、睿海、云帆、奇安信等不少于7家取证厂家取证报告数据的导入和解析</w:t>
            </w:r>
          </w:p>
        </w:tc>
        <w:tc>
          <w:tcPr>
            <w:tcW w:w="736" w:type="pct"/>
            <w:vMerge w:val="continue"/>
            <w:tcBorders>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color w:val="00000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53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szCs w:val="21"/>
                <w:lang w:bidi="ar"/>
              </w:rPr>
              <w:t>★</w:t>
            </w:r>
          </w:p>
        </w:tc>
        <w:tc>
          <w:tcPr>
            <w:tcW w:w="387"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数据汇聚能力2</w:t>
            </w:r>
          </w:p>
        </w:tc>
        <w:tc>
          <w:tcPr>
            <w:tcW w:w="3070" w:type="pct"/>
            <w:tcBorders>
              <w:top w:val="single" w:color="auto" w:sz="4" w:space="0"/>
              <w:left w:val="single" w:color="auto" w:sz="4" w:space="0"/>
              <w:bottom w:val="single" w:color="auto" w:sz="4" w:space="0"/>
              <w:right w:val="single" w:color="auto" w:sz="4" w:space="0"/>
            </w:tcBorders>
            <w:shd w:val="clear" w:color="auto" w:fill="auto"/>
          </w:tcPr>
          <w:p>
            <w:pPr>
              <w:pStyle w:val="74"/>
              <w:widowControl/>
              <w:adjustRightInd w:val="0"/>
              <w:snapToGrid w:val="0"/>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bidi="ar"/>
              </w:rPr>
              <w:t>支持E01、Ex01、L01、DD、IMG、001、ISO、DMG、VMDK、VHD、AFF、Lx01、GHO、VDI、DVD、HDD、HDS、VHDX、QCOW2等不少于19种镜像文件的加载和分析;需支持FAT12、FAT16、FAT32、exFAT、NTFS、CDFS、UDF、Ext2/3/4、HFSX/HFS+UFS、ReiserFS、XFS、NILFS2、ReFS、VMFS、ZFS、JFS、JFS2、APFS、F2FS、BTRFS、QNX4FS、QNX6FS、JFFS2以及手机上的YAFFS2等不少于24种文件系统格式的解析。需支持多用户在线协同取证分析</w:t>
            </w:r>
          </w:p>
        </w:tc>
        <w:tc>
          <w:tcPr>
            <w:tcW w:w="736"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color w:val="000000"/>
                <w:kern w:val="0"/>
                <w:szCs w:val="21"/>
                <w:lang w:bidi="ar"/>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2" w:hRule="atLeast"/>
        </w:trPr>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53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color w:val="000000"/>
                <w:kern w:val="0"/>
                <w:szCs w:val="21"/>
                <w:lang w:bidi="ar"/>
              </w:rPr>
              <w:t>▲</w:t>
            </w:r>
          </w:p>
        </w:tc>
        <w:tc>
          <w:tcPr>
            <w:tcW w:w="387" w:type="pct"/>
            <w:vMerge w:val="restart"/>
            <w:tcBorders>
              <w:top w:val="single" w:color="auto" w:sz="4" w:space="0"/>
              <w:left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取证能力</w:t>
            </w:r>
          </w:p>
        </w:tc>
        <w:tc>
          <w:tcPr>
            <w:tcW w:w="3070" w:type="pct"/>
            <w:tcBorders>
              <w:top w:val="single" w:color="auto" w:sz="4" w:space="0"/>
              <w:left w:val="single" w:color="auto" w:sz="4" w:space="0"/>
              <w:bottom w:val="single" w:color="auto" w:sz="4" w:space="0"/>
              <w:right w:val="single" w:color="auto" w:sz="4" w:space="0"/>
            </w:tcBorders>
            <w:shd w:val="clear" w:color="auto" w:fill="auto"/>
          </w:tcPr>
          <w:p>
            <w:pPr>
              <w:pStyle w:val="74"/>
              <w:widowControl/>
              <w:numPr>
                <w:ilvl w:val="0"/>
                <w:numId w:val="84"/>
              </w:numPr>
              <w:adjustRightInd w:val="0"/>
              <w:snapToGrid w:val="0"/>
              <w:spacing w:beforeAutospacing="0" w:afterAutospacing="0"/>
              <w:jc w:val="both"/>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bidi="ar"/>
              </w:rPr>
              <w:t>支持系统痕迹分析，包括USB设备使用记录、应用程序运行痕迹、用户最近访问记录、回收站删除记录、远程桌面、未分配簇中打印记录等不低于5种系统痕迹分析；</w:t>
            </w:r>
          </w:p>
          <w:p>
            <w:pPr>
              <w:pStyle w:val="74"/>
              <w:widowControl/>
              <w:numPr>
                <w:ilvl w:val="0"/>
                <w:numId w:val="84"/>
              </w:numPr>
              <w:adjustRightInd w:val="0"/>
              <w:snapToGrid w:val="0"/>
              <w:spacing w:beforeAutospacing="0" w:afterAutospacing="0"/>
              <w:jc w:val="both"/>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bidi="ar"/>
              </w:rPr>
              <w:t>支持输入法分析，包括百度拼音、搜狗拼音、搜狗五笔、QQ拼音等不低于4种输入法应用的输入记录</w:t>
            </w:r>
          </w:p>
        </w:tc>
        <w:tc>
          <w:tcPr>
            <w:tcW w:w="736" w:type="pct"/>
            <w:vMerge w:val="restart"/>
            <w:tcBorders>
              <w:top w:val="single" w:color="auto" w:sz="4" w:space="0"/>
              <w:left w:val="single" w:color="auto" w:sz="4" w:space="0"/>
              <w:right w:val="single" w:color="auto" w:sz="4" w:space="0"/>
            </w:tcBorders>
            <w:shd w:val="clear" w:color="auto" w:fill="auto"/>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color w:val="000000"/>
                <w:szCs w:val="21"/>
                <w:lang w:bidi="ar"/>
              </w:rPr>
              <w:t>产品合格证/官方网站截图/白皮书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53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w:t>
            </w:r>
          </w:p>
        </w:tc>
        <w:tc>
          <w:tcPr>
            <w:tcW w:w="387" w:type="pct"/>
            <w:vMerge w:val="continue"/>
            <w:tcBorders>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lang w:bidi="ar"/>
              </w:rPr>
            </w:pPr>
          </w:p>
        </w:tc>
        <w:tc>
          <w:tcPr>
            <w:tcW w:w="3070" w:type="pct"/>
            <w:tcBorders>
              <w:top w:val="single" w:color="auto" w:sz="4" w:space="0"/>
              <w:left w:val="single" w:color="auto" w:sz="4" w:space="0"/>
              <w:bottom w:val="single" w:color="auto" w:sz="4" w:space="0"/>
              <w:right w:val="single" w:color="auto" w:sz="4" w:space="0"/>
            </w:tcBorders>
            <w:shd w:val="clear" w:color="auto" w:fill="auto"/>
          </w:tcPr>
          <w:p>
            <w:pPr>
              <w:pStyle w:val="74"/>
              <w:widowControl/>
              <w:adjustRightInd w:val="0"/>
              <w:snapToGrid w:val="0"/>
              <w:spacing w:beforeAutospacing="0" w:afterAutospacing="0"/>
              <w:jc w:val="both"/>
              <w:rPr>
                <w:rFonts w:asciiTheme="minorEastAsia" w:hAnsiTheme="minorEastAsia" w:eastAsiaTheme="minorEastAsia" w:cstheme="minorEastAsia"/>
                <w:bCs/>
                <w:sz w:val="21"/>
                <w:szCs w:val="21"/>
                <w:lang w:bidi="ar"/>
              </w:rPr>
            </w:pPr>
            <w:r>
              <w:rPr>
                <w:rFonts w:hint="eastAsia" w:asciiTheme="minorEastAsia" w:hAnsiTheme="minorEastAsia" w:eastAsiaTheme="minorEastAsia" w:cstheme="minorEastAsia"/>
                <w:bCs/>
                <w:sz w:val="21"/>
                <w:szCs w:val="21"/>
                <w:lang w:bidi="ar"/>
              </w:rPr>
              <w:t>支持云存储应用分析，包括iCloud、金山快盘、OneDrive云盘、腾讯微云、360云盘等不低于5种云存储应用分析</w:t>
            </w:r>
          </w:p>
        </w:tc>
        <w:tc>
          <w:tcPr>
            <w:tcW w:w="736" w:type="pct"/>
            <w:vMerge w:val="continue"/>
            <w:tcBorders>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color w:val="00000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7" w:hRule="atLeast"/>
        </w:trPr>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53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szCs w:val="21"/>
                <w:lang w:bidi="ar"/>
              </w:rPr>
              <w:t>★</w:t>
            </w:r>
          </w:p>
        </w:tc>
        <w:tc>
          <w:tcPr>
            <w:tcW w:w="387"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案件及人物刻画1</w:t>
            </w:r>
          </w:p>
        </w:tc>
        <w:tc>
          <w:tcPr>
            <w:tcW w:w="3070" w:type="pct"/>
            <w:tcBorders>
              <w:top w:val="single" w:color="auto" w:sz="4" w:space="0"/>
              <w:left w:val="single" w:color="auto" w:sz="4" w:space="0"/>
              <w:bottom w:val="single" w:color="auto" w:sz="4" w:space="0"/>
              <w:right w:val="single" w:color="auto" w:sz="4" w:space="0"/>
            </w:tcBorders>
            <w:shd w:val="clear" w:color="auto" w:fill="auto"/>
          </w:tcPr>
          <w:p>
            <w:pPr>
              <w:pStyle w:val="74"/>
              <w:widowControl/>
              <w:adjustRightInd w:val="0"/>
              <w:snapToGrid w:val="0"/>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bidi="ar"/>
              </w:rPr>
              <w:t>支持案件刻画功能，显示人员、检材数量、取证结果、证据分类和数据挖掘等信息，可显示异常账号、异常社群、异常应用、异常交易和异常关键词等关键线索，显示线索推荐理由和溯源取证结果，列表展示推荐线索和导出线索内容；生成案件刻画思维导图和分析报告。支持不低于4种关键线索展示</w:t>
            </w:r>
          </w:p>
        </w:tc>
        <w:tc>
          <w:tcPr>
            <w:tcW w:w="736"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color w:val="000000"/>
                <w:kern w:val="0"/>
                <w:szCs w:val="21"/>
                <w:lang w:bidi="ar"/>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1" w:hRule="atLeast"/>
        </w:trPr>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53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p>
        </w:tc>
        <w:tc>
          <w:tcPr>
            <w:tcW w:w="387"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案件及人物刻画2</w:t>
            </w:r>
          </w:p>
        </w:tc>
        <w:tc>
          <w:tcPr>
            <w:tcW w:w="3070" w:type="pct"/>
            <w:tcBorders>
              <w:top w:val="single" w:color="auto" w:sz="4" w:space="0"/>
              <w:left w:val="single" w:color="auto" w:sz="4" w:space="0"/>
              <w:bottom w:val="single" w:color="auto" w:sz="4" w:space="0"/>
              <w:right w:val="single" w:color="auto" w:sz="4" w:space="0"/>
            </w:tcBorders>
            <w:shd w:val="clear" w:color="auto" w:fill="auto"/>
          </w:tcPr>
          <w:p>
            <w:pPr>
              <w:pStyle w:val="74"/>
              <w:widowControl/>
              <w:tabs>
                <w:tab w:val="left" w:pos="420"/>
              </w:tabs>
              <w:adjustRightInd w:val="0"/>
              <w:snapToGrid w:val="0"/>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bidi="ar"/>
              </w:rPr>
              <w:t>支持从多维度角度刻画出人物的基本信息（身份证、手机号、虚拟账号、地址等），通联信息（多维度通联对象统计和异常通联对象分析）、资金信息（多维度资金统计和异常资金分析）、轨迹信息（多维度轨迹统计和异常轨迹分析）、应用安装信息（多维度安装应用和敏感软件分析）和高频词信息（通联高频出现词分析），支持单人和多人的时空分析，以时间、空间及行为等多维度分析嫌疑人的事件，使用时间轴和地图结合的方式展示轨迹事件，支持不少于5种维度刻画人物相关信息</w:t>
            </w:r>
          </w:p>
        </w:tc>
        <w:tc>
          <w:tcPr>
            <w:tcW w:w="736"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53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p>
        </w:tc>
        <w:tc>
          <w:tcPr>
            <w:tcW w:w="387"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案件分析</w:t>
            </w:r>
          </w:p>
        </w:tc>
        <w:tc>
          <w:tcPr>
            <w:tcW w:w="3070" w:type="pct"/>
            <w:tcBorders>
              <w:top w:val="single" w:color="auto" w:sz="4" w:space="0"/>
              <w:left w:val="single" w:color="auto" w:sz="4" w:space="0"/>
              <w:bottom w:val="single" w:color="auto" w:sz="4" w:space="0"/>
              <w:right w:val="single" w:color="auto" w:sz="4" w:space="0"/>
            </w:tcBorders>
            <w:shd w:val="clear" w:color="auto" w:fill="auto"/>
          </w:tcPr>
          <w:p>
            <w:pPr>
              <w:pStyle w:val="74"/>
              <w:widowControl/>
              <w:numPr>
                <w:ilvl w:val="1"/>
                <w:numId w:val="85"/>
              </w:numPr>
              <w:adjustRightInd w:val="0"/>
              <w:snapToGrid w:val="0"/>
              <w:spacing w:beforeAutospacing="0" w:afterAutospacing="0"/>
              <w:jc w:val="both"/>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bidi="ar"/>
              </w:rPr>
              <w:t>支持关系分析，支持以关系图和列表展示多人关系、共同好友、共同群、共同转账、共同APP、共同轨迹、共同Wi-Fi和交不低于叉使用账号，能够溯源取证结果查看具体信息；</w:t>
            </w:r>
          </w:p>
          <w:p>
            <w:pPr>
              <w:pStyle w:val="74"/>
              <w:widowControl/>
              <w:numPr>
                <w:ilvl w:val="1"/>
                <w:numId w:val="85"/>
              </w:numPr>
              <w:adjustRightInd w:val="0"/>
              <w:snapToGrid w:val="0"/>
              <w:spacing w:beforeAutospacing="0" w:afterAutospacing="0"/>
              <w:jc w:val="both"/>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bidi="ar"/>
              </w:rPr>
              <w:t>支持通联分析，通联概览包括疑似亲属关系、疑似亲密关系人、高频通联对象、高频主动通联对象、高频被动通联对象、异常通联对象等信息，支持以关系图、日历和列表等方式展示通联明细；</w:t>
            </w:r>
          </w:p>
          <w:p>
            <w:pPr>
              <w:pStyle w:val="74"/>
              <w:widowControl/>
              <w:numPr>
                <w:ilvl w:val="1"/>
                <w:numId w:val="85"/>
              </w:numPr>
              <w:adjustRightInd w:val="0"/>
              <w:snapToGrid w:val="0"/>
              <w:spacing w:beforeAutospacing="0" w:afterAutospacing="0"/>
              <w:jc w:val="both"/>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bidi="ar"/>
              </w:rPr>
              <w:t>支持资金分析，资金概览包括总收入、总支出、总交易次数、高频交易、主要收款、主要付款、异常交易等对象信息，支持以关系图、日历、时序和列表等方式展示资金交易明细，内置节假日、特殊金额、快进快出、固定周期等交易模型；</w:t>
            </w:r>
          </w:p>
          <w:p>
            <w:pPr>
              <w:pStyle w:val="74"/>
              <w:widowControl/>
              <w:numPr>
                <w:ilvl w:val="1"/>
                <w:numId w:val="85"/>
              </w:numPr>
              <w:adjustRightInd w:val="0"/>
              <w:snapToGrid w:val="0"/>
              <w:spacing w:beforeAutospacing="0" w:afterAutospacing="0"/>
              <w:jc w:val="both"/>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bidi="ar"/>
              </w:rPr>
              <w:t>支持时序分析，支持以时间轴和日历的模式展示分析对象的行为事件，支持对单人和多人的微信、QQ、短信、手机通话、交易信息、行程信息、电子商务等各类行为事件进行时序分析展示</w:t>
            </w:r>
          </w:p>
          <w:p>
            <w:pPr>
              <w:pStyle w:val="74"/>
              <w:widowControl/>
              <w:numPr>
                <w:ilvl w:val="1"/>
                <w:numId w:val="85"/>
              </w:numPr>
              <w:adjustRightInd w:val="0"/>
              <w:snapToGrid w:val="0"/>
              <w:spacing w:beforeAutospacing="0" w:afterAutospacing="0"/>
              <w:jc w:val="both"/>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支持关系分析、通联分析、资金分析、时序分析等不低于4种案件分析能力</w:t>
            </w:r>
          </w:p>
        </w:tc>
        <w:tc>
          <w:tcPr>
            <w:tcW w:w="736"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53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szCs w:val="21"/>
                <w:lang w:bidi="ar"/>
              </w:rPr>
              <w:t>★</w:t>
            </w:r>
          </w:p>
        </w:tc>
        <w:tc>
          <w:tcPr>
            <w:tcW w:w="387"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案件串并分析</w:t>
            </w:r>
          </w:p>
        </w:tc>
        <w:tc>
          <w:tcPr>
            <w:tcW w:w="3070" w:type="pct"/>
            <w:tcBorders>
              <w:top w:val="single" w:color="auto" w:sz="4" w:space="0"/>
              <w:left w:val="single" w:color="auto" w:sz="4" w:space="0"/>
              <w:bottom w:val="single" w:color="auto" w:sz="4" w:space="0"/>
              <w:right w:val="single" w:color="auto" w:sz="4" w:space="0"/>
            </w:tcBorders>
            <w:shd w:val="clear" w:color="auto" w:fill="auto"/>
          </w:tcPr>
          <w:p>
            <w:pPr>
              <w:pStyle w:val="74"/>
              <w:widowControl/>
              <w:adjustRightInd w:val="0"/>
              <w:snapToGrid w:val="0"/>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bidi="ar"/>
              </w:rPr>
              <w:t>支持串并案分析，选择多案件或多人员进行串并案分析；在串并案分析中查看多个案件中的取证结果、证据文件等内容；在串并案分析中使用所有单案技战模型。支持不低于2种维度进行串并分析</w:t>
            </w:r>
          </w:p>
        </w:tc>
        <w:tc>
          <w:tcPr>
            <w:tcW w:w="736"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color w:val="000000"/>
                <w:kern w:val="0"/>
                <w:szCs w:val="21"/>
                <w:lang w:bidi="ar"/>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53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szCs w:val="21"/>
                <w:lang w:bidi="ar"/>
              </w:rPr>
              <w:t>★</w:t>
            </w:r>
          </w:p>
        </w:tc>
        <w:tc>
          <w:tcPr>
            <w:tcW w:w="387"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人工智能应用1</w:t>
            </w:r>
          </w:p>
        </w:tc>
        <w:tc>
          <w:tcPr>
            <w:tcW w:w="3070" w:type="pct"/>
            <w:tcBorders>
              <w:top w:val="single" w:color="auto" w:sz="4" w:space="0"/>
              <w:left w:val="single" w:color="auto" w:sz="4" w:space="0"/>
              <w:bottom w:val="single" w:color="auto" w:sz="4" w:space="0"/>
              <w:right w:val="single" w:color="auto" w:sz="4" w:space="0"/>
            </w:tcBorders>
            <w:shd w:val="clear" w:color="auto" w:fill="auto"/>
          </w:tcPr>
          <w:p>
            <w:pPr>
              <w:pStyle w:val="74"/>
              <w:widowControl/>
              <w:adjustRightInd w:val="0"/>
              <w:snapToGrid w:val="0"/>
              <w:rPr>
                <w:rFonts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bidi="ar"/>
              </w:rPr>
              <w:t>支持身份证、车牌、银行卡、邮箱、疑似密码、虚拟账号备注名、Telegram链接和网盘链接等10+种实体识别；图片OCR识别；二维码内容识别；人脸、红头文件、身份证、二维码、枪支、银行卡、户口本、截图和拍屏等100+种图片分类；支持中文、英文等10+种语言的语音转文字；从视频中提取文本内容；中文、英文、维语等100+种多国语言翻译</w:t>
            </w:r>
          </w:p>
        </w:tc>
        <w:tc>
          <w:tcPr>
            <w:tcW w:w="736"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color w:val="000000"/>
                <w:kern w:val="0"/>
                <w:szCs w:val="21"/>
                <w:lang w:bidi="ar"/>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53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p>
        </w:tc>
        <w:tc>
          <w:tcPr>
            <w:tcW w:w="387"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人工智能应用2</w:t>
            </w:r>
          </w:p>
        </w:tc>
        <w:tc>
          <w:tcPr>
            <w:tcW w:w="3070" w:type="pct"/>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虚拟币钱包地址挖掘和精准校验，虚拟币助记词挖掘和精准校验；支持不少于2种货币地址挖掘；</w:t>
            </w:r>
          </w:p>
          <w:p>
            <w:pPr>
              <w:adjustRightInd w:val="0"/>
              <w:snapToGrid w:val="0"/>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需支持多用户在线协同分析</w:t>
            </w:r>
          </w:p>
        </w:tc>
        <w:tc>
          <w:tcPr>
            <w:tcW w:w="736"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53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szCs w:val="21"/>
                <w:lang w:bidi="ar"/>
              </w:rPr>
              <w:t>★</w:t>
            </w:r>
          </w:p>
        </w:tc>
        <w:tc>
          <w:tcPr>
            <w:tcW w:w="387"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全局搜索</w:t>
            </w:r>
          </w:p>
        </w:tc>
        <w:tc>
          <w:tcPr>
            <w:tcW w:w="3070" w:type="pct"/>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支持对取证结果、文件名、Office复合文件、图片、网页、语音和视频中的文本内容进行搜索；以字搜图（搜索OCR识别后内容）、以文搜图（通过文字搜索图片特征）和以图搜图，支持不少于3种搜索方式；需支持多用户在线协同分析</w:t>
            </w:r>
          </w:p>
        </w:tc>
        <w:tc>
          <w:tcPr>
            <w:tcW w:w="736"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color w:val="000000"/>
                <w:kern w:val="0"/>
                <w:szCs w:val="21"/>
                <w:lang w:bidi="ar"/>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53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szCs w:val="21"/>
                <w:lang w:bidi="ar"/>
              </w:rPr>
              <w:t>★</w:t>
            </w:r>
          </w:p>
        </w:tc>
        <w:tc>
          <w:tcPr>
            <w:tcW w:w="387"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邮件分析</w:t>
            </w:r>
          </w:p>
        </w:tc>
        <w:tc>
          <w:tcPr>
            <w:tcW w:w="3070" w:type="pct"/>
            <w:tcBorders>
              <w:top w:val="single" w:color="auto" w:sz="4" w:space="0"/>
              <w:left w:val="single" w:color="auto" w:sz="4" w:space="0"/>
              <w:bottom w:val="single" w:color="auto" w:sz="4" w:space="0"/>
              <w:right w:val="single" w:color="auto" w:sz="4" w:space="0"/>
            </w:tcBorders>
            <w:shd w:val="clear" w:color="auto" w:fill="auto"/>
          </w:tcPr>
          <w:p>
            <w:pPr>
              <w:adjustRightInd w:val="0"/>
              <w:snapToGrid w:val="0"/>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支持对Foxmail、OutlookExpress、OfficeOutlook、Thunderbird、DreamMail、EML、网易闪电邮、Mac内置邮件、Outlook(Mac)、Foxmail(Mac)、Win10Mail、Becky!Mail、MacEntourage、网易邮箱大师、网易邮箱大师(Mac)和Thunderbird(Mac)等不少于16个客户端邮件内容的分析。邮件即时预览查看；对邮件正文、邮件附件、附件压缩包的内容进行快速检索。需支持多用户在线协同分析</w:t>
            </w:r>
          </w:p>
        </w:tc>
        <w:tc>
          <w:tcPr>
            <w:tcW w:w="736" w:type="pct"/>
            <w:tcBorders>
              <w:top w:val="single" w:color="auto" w:sz="4" w:space="0"/>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color w:val="000000"/>
                <w:kern w:val="0"/>
                <w:szCs w:val="21"/>
                <w:lang w:bidi="ar"/>
              </w:rPr>
              <w:t>检验报告</w:t>
            </w:r>
          </w:p>
        </w:tc>
      </w:tr>
    </w:tbl>
    <w:p>
      <w:pPr>
        <w:pStyle w:val="5"/>
        <w:spacing w:before="156"/>
        <w:rPr>
          <w:rFonts w:asciiTheme="minorEastAsia" w:hAnsiTheme="minorEastAsia" w:eastAsiaTheme="minorEastAsia" w:cstheme="minorEastAsia"/>
          <w:b/>
          <w:bCs w:val="0"/>
          <w:szCs w:val="21"/>
        </w:rPr>
      </w:pPr>
      <w:r>
        <w:rPr>
          <w:rFonts w:hint="eastAsia" w:asciiTheme="minorEastAsia" w:hAnsiTheme="minorEastAsia" w:eastAsiaTheme="minorEastAsia" w:cstheme="minorEastAsia"/>
          <w:szCs w:val="21"/>
        </w:rPr>
        <w:t>第1包 实验室管理系统</w:t>
      </w:r>
      <w:r>
        <w:rPr>
          <w:rFonts w:hint="default" w:ascii="Times New Roman" w:hAnsi="Times New Roman" w:cs="Times New Roman" w:eastAsiaTheme="minorEastAsia"/>
          <w:szCs w:val="21"/>
        </w:rPr>
        <w:t>Ⅰ</w:t>
      </w:r>
    </w:p>
    <w:tbl>
      <w:tblPr>
        <w:tblStyle w:val="8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7"/>
        <w:gridCol w:w="1022"/>
        <w:gridCol w:w="1115"/>
        <w:gridCol w:w="4773"/>
        <w:gridCol w:w="1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blHeader/>
          <w:jc w:val="center"/>
        </w:trPr>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序号</w:t>
            </w:r>
          </w:p>
        </w:tc>
        <w:tc>
          <w:tcPr>
            <w:tcW w:w="56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lang w:bidi="ar"/>
              </w:rPr>
              <w:t>重要性</w:t>
            </w:r>
          </w:p>
        </w:tc>
        <w:tc>
          <w:tcPr>
            <w:tcW w:w="61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lang w:bidi="ar"/>
              </w:rPr>
              <w:t>指标项</w:t>
            </w:r>
          </w:p>
        </w:tc>
        <w:tc>
          <w:tcPr>
            <w:tcW w:w="263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lang w:bidi="ar"/>
              </w:rPr>
              <w:t>技术要求</w:t>
            </w:r>
          </w:p>
        </w:tc>
        <w:tc>
          <w:tcPr>
            <w:tcW w:w="88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kern w:val="0"/>
                <w:szCs w:val="21"/>
                <w:lang w:bidi="ar"/>
              </w:rPr>
              <w:t>证明材料要求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blHeader/>
          <w:jc w:val="center"/>
        </w:trPr>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56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p>
        </w:tc>
        <w:tc>
          <w:tcPr>
            <w:tcW w:w="61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lang w:bidi="ar"/>
              </w:rPr>
              <w:t>统计与数据管理</w:t>
            </w:r>
          </w:p>
        </w:tc>
        <w:tc>
          <w:tcPr>
            <w:tcW w:w="2634"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支持系统状态统计功能，可展示实验室整体状态、包括案件简要信息、实验室人员、设备、检材情况等不低于4种维度信息</w:t>
            </w:r>
          </w:p>
        </w:tc>
        <w:tc>
          <w:tcPr>
            <w:tcW w:w="88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blHeader/>
          <w:jc w:val="center"/>
        </w:trPr>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56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p>
        </w:tc>
        <w:tc>
          <w:tcPr>
            <w:tcW w:w="61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2634"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支持案件的卷宗资料、报告附件、检材图片、取证数据、镜像文件、分析记录等不低于5类文件的管理</w:t>
            </w:r>
          </w:p>
        </w:tc>
        <w:tc>
          <w:tcPr>
            <w:tcW w:w="88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blHeader/>
          <w:jc w:val="center"/>
        </w:trPr>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56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p>
        </w:tc>
        <w:tc>
          <w:tcPr>
            <w:tcW w:w="61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2634"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支持多个维度的数据图形化统计，包含案件数量、案件状态、案件类型、检材数量、检材状态、检材类型、受理单位等不低于5个维度的统计</w:t>
            </w:r>
          </w:p>
        </w:tc>
        <w:tc>
          <w:tcPr>
            <w:tcW w:w="88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blHeader/>
          <w:jc w:val="center"/>
        </w:trPr>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56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p>
        </w:tc>
        <w:tc>
          <w:tcPr>
            <w:tcW w:w="61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2634"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支持数据中心功能，支持汇聚取证设备上传的BCP数据包；支持接收取证软件的数据包；支持检材的管理、关键字搜索，支持检材入库、申领、归还、清退等不低于3种流转流程的管理</w:t>
            </w:r>
          </w:p>
        </w:tc>
        <w:tc>
          <w:tcPr>
            <w:tcW w:w="88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blHeader/>
          <w:jc w:val="center"/>
        </w:trPr>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56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p>
        </w:tc>
        <w:tc>
          <w:tcPr>
            <w:tcW w:w="61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2634"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支持实验室配套办公设备签字板、网络打印机、条码打印机、扫码枪、高拍仪、智能物证存储柜的等不低于5种基础设施配置管理，并与之联动实现物联化</w:t>
            </w:r>
          </w:p>
        </w:tc>
        <w:tc>
          <w:tcPr>
            <w:tcW w:w="88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blHeader/>
          <w:jc w:val="center"/>
        </w:trPr>
        <w:tc>
          <w:tcPr>
            <w:tcW w:w="30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numPr>
                <w:ilvl w:val="0"/>
                <w:numId w:val="66"/>
              </w:numPr>
              <w:jc w:val="center"/>
              <w:textAlignment w:val="center"/>
              <w:rPr>
                <w:rFonts w:asciiTheme="minorEastAsia" w:hAnsiTheme="minorEastAsia" w:eastAsiaTheme="minorEastAsia" w:cstheme="minorEastAsia"/>
                <w:bCs/>
                <w:szCs w:val="21"/>
              </w:rPr>
            </w:pPr>
          </w:p>
        </w:tc>
        <w:tc>
          <w:tcPr>
            <w:tcW w:w="56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p>
        </w:tc>
        <w:tc>
          <w:tcPr>
            <w:tcW w:w="61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asciiTheme="minorEastAsia" w:hAnsiTheme="minorEastAsia" w:eastAsiaTheme="minorEastAsia" w:cstheme="minorEastAsia"/>
                <w:szCs w:val="21"/>
              </w:rPr>
            </w:pPr>
          </w:p>
        </w:tc>
        <w:tc>
          <w:tcPr>
            <w:tcW w:w="2634" w:type="pct"/>
            <w:tcBorders>
              <w:top w:val="single" w:color="auto" w:sz="4" w:space="0"/>
              <w:left w:val="single" w:color="auto" w:sz="4" w:space="0"/>
              <w:bottom w:val="single" w:color="auto" w:sz="4" w:space="0"/>
              <w:right w:val="single" w:color="auto" w:sz="4" w:space="0"/>
            </w:tcBorders>
            <w:shd w:val="clear" w:color="auto" w:fill="auto"/>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支持角色管理和权限的不低于2种自定义配置</w:t>
            </w:r>
          </w:p>
        </w:tc>
        <w:tc>
          <w:tcPr>
            <w:tcW w:w="88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承诺函</w:t>
            </w:r>
          </w:p>
        </w:tc>
      </w:tr>
    </w:tbl>
    <w:p>
      <w:pPr>
        <w:jc w:val="both"/>
        <w:rPr>
          <w:rFonts w:ascii="Times New Roman" w:hAnsi="Times New Roman" w:eastAsiaTheme="minorEastAsia"/>
          <w:b/>
          <w:szCs w:val="21"/>
        </w:rPr>
      </w:pPr>
    </w:p>
    <w:p>
      <w:pPr>
        <w:rPr>
          <w:rFonts w:eastAsiaTheme="minorEastAsia"/>
          <w:szCs w:val="21"/>
        </w:rPr>
      </w:pPr>
    </w:p>
    <w:p>
      <w:pPr>
        <w:pStyle w:val="5"/>
        <w:spacing w:before="15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第2包 手机取证塔</w:t>
      </w:r>
      <w:r>
        <w:rPr>
          <w:rFonts w:hint="default" w:ascii="Times New Roman" w:hAnsi="Times New Roman" w:cs="Times New Roman" w:eastAsiaTheme="minorEastAsia"/>
          <w:szCs w:val="21"/>
        </w:rPr>
        <w:t>Ⅱ</w:t>
      </w:r>
    </w:p>
    <w:tbl>
      <w:tblPr>
        <w:tblStyle w:val="81"/>
        <w:tblW w:w="558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0"/>
        <w:gridCol w:w="609"/>
        <w:gridCol w:w="599"/>
        <w:gridCol w:w="941"/>
        <w:gridCol w:w="6254"/>
        <w:gridCol w:w="1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blHeader/>
          <w:jc w:val="center"/>
        </w:trPr>
        <w:tc>
          <w:tcPr>
            <w:tcW w:w="252" w:type="pct"/>
            <w:shd w:val="clear" w:color="auto" w:fill="auto"/>
            <w:vAlign w:val="center"/>
          </w:tcPr>
          <w:p>
            <w:pPr>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b/>
                <w:bCs/>
                <w:color w:val="000000"/>
                <w:kern w:val="0"/>
                <w:szCs w:val="21"/>
                <w:lang w:bidi="ar"/>
              </w:rPr>
              <w:t>序号</w:t>
            </w:r>
          </w:p>
        </w:tc>
        <w:tc>
          <w:tcPr>
            <w:tcW w:w="301" w:type="pct"/>
            <w:shd w:val="clear" w:color="auto" w:fill="auto"/>
            <w:vAlign w:val="center"/>
          </w:tcPr>
          <w:p>
            <w:pPr>
              <w:jc w:val="center"/>
              <w:textAlignment w:val="center"/>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kern w:val="0"/>
                <w:szCs w:val="21"/>
                <w:lang w:bidi="ar"/>
              </w:rPr>
              <w:t>重要性</w:t>
            </w:r>
          </w:p>
        </w:tc>
        <w:tc>
          <w:tcPr>
            <w:tcW w:w="296" w:type="pct"/>
            <w:shd w:val="clear" w:color="auto" w:fill="auto"/>
            <w:vAlign w:val="center"/>
          </w:tcPr>
          <w:p>
            <w:pPr>
              <w:jc w:val="center"/>
              <w:textAlignment w:val="center"/>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kern w:val="0"/>
                <w:szCs w:val="21"/>
                <w:lang w:bidi="ar"/>
              </w:rPr>
              <w:t>名称</w:t>
            </w:r>
          </w:p>
        </w:tc>
        <w:tc>
          <w:tcPr>
            <w:tcW w:w="465" w:type="pct"/>
            <w:shd w:val="clear" w:color="auto" w:fill="auto"/>
            <w:vAlign w:val="center"/>
          </w:tcPr>
          <w:p>
            <w:pPr>
              <w:jc w:val="center"/>
              <w:textAlignment w:val="center"/>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kern w:val="0"/>
                <w:szCs w:val="21"/>
                <w:lang w:bidi="ar"/>
              </w:rPr>
              <w:t>指标项</w:t>
            </w:r>
          </w:p>
        </w:tc>
        <w:tc>
          <w:tcPr>
            <w:tcW w:w="3090" w:type="pct"/>
            <w:shd w:val="clear" w:color="auto" w:fill="auto"/>
            <w:vAlign w:val="center"/>
          </w:tcPr>
          <w:p>
            <w:pPr>
              <w:jc w:val="center"/>
              <w:textAlignment w:val="center"/>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kern w:val="0"/>
                <w:szCs w:val="21"/>
                <w:lang w:bidi="ar"/>
              </w:rPr>
              <w:t>技术要求</w:t>
            </w:r>
          </w:p>
        </w:tc>
        <w:tc>
          <w:tcPr>
            <w:tcW w:w="595" w:type="pct"/>
            <w:shd w:val="clear" w:color="auto" w:fill="auto"/>
            <w:vAlign w:val="center"/>
          </w:tcPr>
          <w:p>
            <w:pPr>
              <w:jc w:val="center"/>
              <w:textAlignment w:val="center"/>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kern w:val="0"/>
                <w:szCs w:val="21"/>
                <w:lang w:bidi="ar"/>
              </w:rPr>
              <w:t>证明材料要求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252" w:type="pct"/>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color w:val="000000"/>
                <w:szCs w:val="21"/>
                <w:lang w:bidi="ar"/>
              </w:rPr>
            </w:pPr>
          </w:p>
        </w:tc>
        <w:tc>
          <w:tcPr>
            <w:tcW w:w="301" w:type="pct"/>
            <w:shd w:val="clear" w:color="auto" w:fill="auto"/>
            <w:vAlign w:val="center"/>
          </w:tcPr>
          <w:p>
            <w:pPr>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w:t>
            </w:r>
          </w:p>
        </w:tc>
        <w:tc>
          <w:tcPr>
            <w:tcW w:w="296" w:type="pct"/>
            <w:vMerge w:val="restart"/>
            <w:shd w:val="clear" w:color="auto" w:fill="auto"/>
            <w:vAlign w:val="center"/>
          </w:tcPr>
          <w:p>
            <w:pPr>
              <w:rPr>
                <w:rFonts w:asciiTheme="minorEastAsia" w:hAnsiTheme="minorEastAsia" w:eastAsiaTheme="minorEastAsia" w:cstheme="minorEastAsia"/>
                <w:color w:val="000000"/>
                <w:szCs w:val="21"/>
              </w:rPr>
            </w:pPr>
          </w:p>
        </w:tc>
        <w:tc>
          <w:tcPr>
            <w:tcW w:w="465"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接口</w:t>
            </w:r>
          </w:p>
        </w:tc>
        <w:tc>
          <w:tcPr>
            <w:tcW w:w="3090"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整机不少于26个USB接口，包括USB</w:t>
            </w:r>
            <w:r>
              <w:rPr>
                <w:rFonts w:asciiTheme="minorEastAsia" w:hAnsiTheme="minorEastAsia" w:eastAsiaTheme="minorEastAsia" w:cstheme="minorEastAsia"/>
                <w:color w:val="000000"/>
                <w:kern w:val="0"/>
                <w:szCs w:val="21"/>
                <w:lang w:bidi="ar"/>
              </w:rPr>
              <w:t xml:space="preserve"> </w:t>
            </w:r>
            <w:r>
              <w:rPr>
                <w:rFonts w:hint="eastAsia" w:asciiTheme="minorEastAsia" w:hAnsiTheme="minorEastAsia" w:eastAsiaTheme="minorEastAsia" w:cstheme="minorEastAsia"/>
                <w:color w:val="000000"/>
                <w:kern w:val="0"/>
                <w:szCs w:val="21"/>
                <w:lang w:bidi="ar"/>
              </w:rPr>
              <w:t>TypeC/3.2/3.0/2.0，其中主机前面板不少于16个高速SUB3.0独立接口；内置取证专用多功能只读锁，包含SATA/IDE/USB3.0/CF/SD/MS/TF等多种接口格式；内置3盘位3.5寸SATA接口数据转储硬盘仓</w:t>
            </w:r>
          </w:p>
        </w:tc>
        <w:tc>
          <w:tcPr>
            <w:tcW w:w="595" w:type="pct"/>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硬件图片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252" w:type="pct"/>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color w:val="000000"/>
                <w:szCs w:val="21"/>
                <w:lang w:bidi="ar"/>
              </w:rPr>
            </w:pPr>
          </w:p>
        </w:tc>
        <w:tc>
          <w:tcPr>
            <w:tcW w:w="301" w:type="pct"/>
            <w:shd w:val="clear" w:color="auto" w:fill="auto"/>
            <w:vAlign w:val="center"/>
          </w:tcPr>
          <w:p>
            <w:pPr>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w:t>
            </w:r>
          </w:p>
        </w:tc>
        <w:tc>
          <w:tcPr>
            <w:tcW w:w="296" w:type="pct"/>
            <w:vMerge w:val="continue"/>
            <w:shd w:val="clear" w:color="auto" w:fill="auto"/>
            <w:vAlign w:val="center"/>
          </w:tcPr>
          <w:p>
            <w:pPr>
              <w:rPr>
                <w:rFonts w:asciiTheme="minorEastAsia" w:hAnsiTheme="minorEastAsia" w:eastAsiaTheme="minorEastAsia" w:cstheme="minorEastAsia"/>
                <w:color w:val="000000"/>
                <w:szCs w:val="21"/>
              </w:rPr>
            </w:pPr>
          </w:p>
        </w:tc>
        <w:tc>
          <w:tcPr>
            <w:tcW w:w="465"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高拍仪</w:t>
            </w:r>
          </w:p>
        </w:tc>
        <w:tc>
          <w:tcPr>
            <w:tcW w:w="3090"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主机集成可折叠且不低于1600万像素且需具有自动对焦的高拍仪，同时集成可折叠带刻度的拍摄台面</w:t>
            </w:r>
          </w:p>
        </w:tc>
        <w:tc>
          <w:tcPr>
            <w:tcW w:w="595" w:type="pct"/>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硬件图片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252" w:type="pct"/>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b/>
                <w:bCs/>
                <w:color w:val="000000"/>
                <w:kern w:val="0"/>
                <w:szCs w:val="21"/>
                <w:lang w:bidi="ar"/>
              </w:rPr>
            </w:pPr>
          </w:p>
        </w:tc>
        <w:tc>
          <w:tcPr>
            <w:tcW w:w="573" w:type="dxa"/>
            <w:shd w:val="clear" w:color="auto" w:fill="auto"/>
            <w:vAlign w:val="center"/>
          </w:tcPr>
          <w:p>
            <w:pPr>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w:t>
            </w:r>
          </w:p>
        </w:tc>
        <w:tc>
          <w:tcPr>
            <w:tcW w:w="296" w:type="pct"/>
            <w:vMerge w:val="continue"/>
            <w:shd w:val="clear" w:color="auto" w:fill="auto"/>
            <w:vAlign w:val="center"/>
          </w:tcPr>
          <w:p>
            <w:pPr>
              <w:rPr>
                <w:rFonts w:asciiTheme="minorEastAsia" w:hAnsiTheme="minorEastAsia" w:eastAsiaTheme="minorEastAsia" w:cstheme="minorEastAsia"/>
                <w:color w:val="000000"/>
                <w:szCs w:val="21"/>
              </w:rPr>
            </w:pPr>
          </w:p>
        </w:tc>
        <w:tc>
          <w:tcPr>
            <w:tcW w:w="465" w:type="pct"/>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取证能力</w:t>
            </w:r>
          </w:p>
        </w:tc>
        <w:tc>
          <w:tcPr>
            <w:tcW w:w="3090"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支持提取iOS设备中的IPA安装文件（须提供对应的检验检验报告证明复印件）</w:t>
            </w:r>
          </w:p>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支持iOS操作系统至少覆盖7个系统版本，</w:t>
            </w:r>
            <w:r>
              <w:rPr>
                <w:rFonts w:hint="eastAsia" w:asciiTheme="minorEastAsia" w:hAnsiTheme="minorEastAsia" w:eastAsiaTheme="minorEastAsia" w:cstheme="minorEastAsia"/>
                <w:kern w:val="0"/>
                <w:szCs w:val="21"/>
                <w:lang w:bidi="ar"/>
              </w:rPr>
              <w:t>包括但不限于iOS9、10、11、12、13、14、15（提供软件功能截图）</w:t>
            </w:r>
          </w:p>
        </w:tc>
        <w:tc>
          <w:tcPr>
            <w:tcW w:w="595" w:type="pct"/>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检验报告+软件功能截图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252" w:type="pct"/>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b/>
                <w:bCs/>
                <w:color w:val="000000"/>
                <w:kern w:val="0"/>
                <w:szCs w:val="21"/>
                <w:lang w:bidi="ar"/>
              </w:rPr>
            </w:pPr>
          </w:p>
        </w:tc>
        <w:tc>
          <w:tcPr>
            <w:tcW w:w="573" w:type="dxa"/>
            <w:shd w:val="clear" w:color="auto" w:fill="auto"/>
            <w:vAlign w:val="center"/>
          </w:tcPr>
          <w:p>
            <w:pPr>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w:t>
            </w:r>
          </w:p>
        </w:tc>
        <w:tc>
          <w:tcPr>
            <w:tcW w:w="296" w:type="pct"/>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465" w:type="pct"/>
            <w:vMerge w:val="restart"/>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提权能力</w:t>
            </w:r>
          </w:p>
        </w:tc>
        <w:tc>
          <w:tcPr>
            <w:tcW w:w="3090"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具备苹果手机提权提取能力，基于提权能够支持全盘数据提取。基于提权能力，能够提取不低于7种iTunes无法备份的应用数据，包括但不限于微信收藏附件、QQ多媒体附件、Telegram、Potato、Signal、Twitter、Gmail 。支持iPhone 5s及更新型号的手机，最高至少能够支持到iPhone 15 Pro Max。支持iOS 操作系统</w:t>
            </w:r>
            <w:r>
              <w:rPr>
                <w:rFonts w:hint="eastAsia" w:asciiTheme="minorEastAsia" w:hAnsiTheme="minorEastAsia" w:eastAsiaTheme="minorEastAsia" w:cstheme="minorEastAsia"/>
                <w:kern w:val="0"/>
                <w:szCs w:val="21"/>
                <w:lang w:bidi="ar"/>
              </w:rPr>
              <w:t>至少覆盖9个系统版本，包括但不限于iOS9、10、11、12、13、14、15、16、17</w:t>
            </w:r>
          </w:p>
        </w:tc>
        <w:tc>
          <w:tcPr>
            <w:tcW w:w="595" w:type="pct"/>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软件功能截图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252" w:type="pct"/>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b/>
                <w:bCs/>
                <w:color w:val="000000"/>
                <w:kern w:val="0"/>
                <w:szCs w:val="21"/>
                <w:lang w:bidi="ar"/>
              </w:rPr>
            </w:pPr>
          </w:p>
        </w:tc>
        <w:tc>
          <w:tcPr>
            <w:tcW w:w="573" w:type="dxa"/>
            <w:shd w:val="clear" w:color="auto" w:fill="auto"/>
            <w:vAlign w:val="center"/>
          </w:tcPr>
          <w:p>
            <w:pPr>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w:t>
            </w:r>
          </w:p>
        </w:tc>
        <w:tc>
          <w:tcPr>
            <w:tcW w:w="296" w:type="pct"/>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465" w:type="pct"/>
            <w:vMerge w:val="continue"/>
            <w:shd w:val="clear" w:color="auto" w:fill="auto"/>
            <w:vAlign w:val="center"/>
          </w:tcPr>
          <w:p>
            <w:pPr>
              <w:jc w:val="center"/>
              <w:textAlignment w:val="center"/>
              <w:rPr>
                <w:rFonts w:asciiTheme="minorEastAsia" w:hAnsiTheme="minorEastAsia" w:eastAsiaTheme="minorEastAsia" w:cstheme="minorEastAsia"/>
                <w:color w:val="000000"/>
                <w:szCs w:val="21"/>
              </w:rPr>
            </w:pPr>
          </w:p>
        </w:tc>
        <w:tc>
          <w:tcPr>
            <w:tcW w:w="3090" w:type="pct"/>
            <w:shd w:val="clear" w:color="auto" w:fill="auto"/>
            <w:vAlign w:val="center"/>
          </w:tcPr>
          <w:p>
            <w:pPr>
              <w:textAlignment w:val="center"/>
              <w:rPr>
                <w:rFonts w:asciiTheme="minorEastAsia" w:hAnsiTheme="minorEastAsia" w:eastAsiaTheme="minorEastAsia" w:cstheme="minorEastAsia"/>
                <w:kern w:val="0"/>
                <w:szCs w:val="21"/>
                <w:lang w:bidi="ar"/>
              </w:rPr>
            </w:pPr>
            <w:r>
              <w:rPr>
                <w:rFonts w:hint="eastAsia" w:asciiTheme="minorEastAsia" w:hAnsiTheme="minorEastAsia" w:eastAsiaTheme="minorEastAsia" w:cstheme="minorEastAsia"/>
                <w:kern w:val="0"/>
                <w:szCs w:val="21"/>
                <w:lang w:bidi="ar"/>
              </w:rPr>
              <w:t>对ios系统手机进行支持5种方式，包含提权提取、快速提取、备份提取、截屏辅证、备份密码提取、IPA 提取（须提供对应的检验检验报告证明复印件）；</w:t>
            </w:r>
          </w:p>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kern w:val="0"/>
                <w:szCs w:val="21"/>
                <w:lang w:bidi="ar"/>
              </w:rPr>
              <w:t>快速提取能够提供提取指定应用或系统数据能力（提供软件功能截图）</w:t>
            </w:r>
          </w:p>
        </w:tc>
        <w:tc>
          <w:tcPr>
            <w:tcW w:w="595" w:type="pct"/>
            <w:shd w:val="clear" w:color="auto" w:fill="auto"/>
            <w:vAlign w:val="center"/>
          </w:tcPr>
          <w:p>
            <w:pP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检验报告</w:t>
            </w:r>
          </w:p>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+软件功能截图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252" w:type="pct"/>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b/>
                <w:bCs/>
                <w:color w:val="000000"/>
                <w:kern w:val="0"/>
                <w:szCs w:val="21"/>
                <w:lang w:bidi="ar"/>
              </w:rPr>
            </w:pPr>
          </w:p>
        </w:tc>
        <w:tc>
          <w:tcPr>
            <w:tcW w:w="573" w:type="dxa"/>
            <w:shd w:val="clear" w:color="auto" w:fill="auto"/>
            <w:vAlign w:val="center"/>
          </w:tcPr>
          <w:p>
            <w:pPr>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w:t>
            </w:r>
          </w:p>
        </w:tc>
        <w:tc>
          <w:tcPr>
            <w:tcW w:w="296" w:type="pct"/>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465" w:type="pct"/>
            <w:vMerge w:val="continue"/>
            <w:shd w:val="clear" w:color="auto" w:fill="auto"/>
            <w:vAlign w:val="center"/>
          </w:tcPr>
          <w:p>
            <w:pPr>
              <w:jc w:val="center"/>
              <w:textAlignment w:val="center"/>
              <w:rPr>
                <w:rFonts w:asciiTheme="minorEastAsia" w:hAnsiTheme="minorEastAsia" w:eastAsiaTheme="minorEastAsia" w:cstheme="minorEastAsia"/>
                <w:color w:val="000000"/>
                <w:szCs w:val="21"/>
              </w:rPr>
            </w:pPr>
          </w:p>
        </w:tc>
        <w:tc>
          <w:tcPr>
            <w:tcW w:w="3090"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苹果手机提取过程支持2种签名方式，包括自动化签名、手动签名</w:t>
            </w:r>
          </w:p>
        </w:tc>
        <w:tc>
          <w:tcPr>
            <w:tcW w:w="595" w:type="pct"/>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软件功能截图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2" w:type="pct"/>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b/>
                <w:bCs/>
                <w:color w:val="000000"/>
                <w:kern w:val="0"/>
                <w:szCs w:val="21"/>
                <w:lang w:bidi="ar"/>
              </w:rPr>
            </w:pPr>
          </w:p>
        </w:tc>
        <w:tc>
          <w:tcPr>
            <w:tcW w:w="573" w:type="dxa"/>
            <w:shd w:val="clear" w:color="auto" w:fill="auto"/>
            <w:vAlign w:val="center"/>
          </w:tcPr>
          <w:p>
            <w:pPr>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w:t>
            </w:r>
          </w:p>
        </w:tc>
        <w:tc>
          <w:tcPr>
            <w:tcW w:w="296" w:type="pct"/>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465" w:type="pct"/>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3090"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基于Android提权提取能力，提供快速提取能力，提取指定的应用数据或系统数据（须提供对应的检验检验报告证明复印件）；</w:t>
            </w:r>
          </w:p>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支持不少于3种芯片的设备，包括但不限于高通、MTK、麒麟等芯片的手机；（提供软件功能截图）</w:t>
            </w:r>
          </w:p>
        </w:tc>
        <w:tc>
          <w:tcPr>
            <w:tcW w:w="595" w:type="pct"/>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检验报告+软件功能截图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2" w:type="pct"/>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b/>
                <w:bCs/>
                <w:color w:val="000000"/>
                <w:kern w:val="0"/>
                <w:szCs w:val="21"/>
                <w:lang w:bidi="ar"/>
              </w:rPr>
            </w:pPr>
          </w:p>
        </w:tc>
        <w:tc>
          <w:tcPr>
            <w:tcW w:w="573" w:type="dxa"/>
            <w:shd w:val="clear" w:color="auto" w:fill="auto"/>
            <w:vAlign w:val="center"/>
          </w:tcPr>
          <w:p>
            <w:pPr>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w:t>
            </w:r>
          </w:p>
        </w:tc>
        <w:tc>
          <w:tcPr>
            <w:tcW w:w="296" w:type="pct"/>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465" w:type="pct"/>
            <w:shd w:val="clear" w:color="auto" w:fill="auto"/>
            <w:vAlign w:val="center"/>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解析引擎兼容</w:t>
            </w:r>
          </w:p>
        </w:tc>
        <w:tc>
          <w:tcPr>
            <w:tcW w:w="3090"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支持至少1种通过应用自带备份功能提取的备份文件（数据包）的导入解析，包括但不限于SignalBackup</w:t>
            </w:r>
          </w:p>
        </w:tc>
        <w:tc>
          <w:tcPr>
            <w:tcW w:w="595" w:type="pct"/>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52" w:type="pct"/>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b/>
                <w:bCs/>
                <w:color w:val="000000"/>
                <w:kern w:val="0"/>
                <w:szCs w:val="21"/>
                <w:lang w:bidi="ar"/>
              </w:rPr>
            </w:pPr>
          </w:p>
        </w:tc>
        <w:tc>
          <w:tcPr>
            <w:tcW w:w="573" w:type="dxa"/>
            <w:shd w:val="clear" w:color="auto" w:fill="auto"/>
            <w:vAlign w:val="center"/>
          </w:tcPr>
          <w:p>
            <w:pPr>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w:t>
            </w:r>
          </w:p>
        </w:tc>
        <w:tc>
          <w:tcPr>
            <w:tcW w:w="296" w:type="pct"/>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465" w:type="pct"/>
            <w:vMerge w:val="restart"/>
            <w:shd w:val="clear" w:color="auto" w:fill="auto"/>
            <w:vAlign w:val="center"/>
          </w:tcPr>
          <w:p>
            <w:pPr>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系统数据分析</w:t>
            </w:r>
          </w:p>
        </w:tc>
        <w:tc>
          <w:tcPr>
            <w:tcW w:w="3090"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支持解析至少27类系统日志，包括但不限于开关机日志、Wifi 日志、应用日志、通讯行为、AirDrop 使用记录、电量使用日志、屏幕锁定状态、通知历史、推送消息历史、应用安装、应用 Internet、应用使用、音频使用、相机使用、流量使用、备份历史、蓝牙日志、定位使用、配件连接历史、飞行模式历史、运营商注册历史、屏幕快照、蓝牙设备、用户帐户、设备用户、基站、情景模式等</w:t>
            </w:r>
          </w:p>
        </w:tc>
        <w:tc>
          <w:tcPr>
            <w:tcW w:w="595" w:type="pct"/>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52" w:type="pct"/>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b/>
                <w:bCs/>
                <w:color w:val="000000"/>
                <w:kern w:val="0"/>
                <w:szCs w:val="21"/>
                <w:lang w:bidi="ar"/>
              </w:rPr>
            </w:pPr>
          </w:p>
        </w:tc>
        <w:tc>
          <w:tcPr>
            <w:tcW w:w="573" w:type="dxa"/>
            <w:shd w:val="clear" w:color="auto" w:fill="auto"/>
            <w:vAlign w:val="center"/>
          </w:tcPr>
          <w:p>
            <w:pPr>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w:t>
            </w:r>
          </w:p>
        </w:tc>
        <w:tc>
          <w:tcPr>
            <w:tcW w:w="296" w:type="pct"/>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465" w:type="pct"/>
            <w:vMerge w:val="continue"/>
            <w:shd w:val="clear" w:color="auto" w:fill="auto"/>
            <w:vAlign w:val="center"/>
          </w:tcPr>
          <w:p>
            <w:pPr>
              <w:jc w:val="center"/>
              <w:rPr>
                <w:rFonts w:asciiTheme="minorEastAsia" w:hAnsiTheme="minorEastAsia" w:eastAsiaTheme="minorEastAsia" w:cstheme="minorEastAsia"/>
                <w:color w:val="000000"/>
                <w:kern w:val="0"/>
                <w:szCs w:val="21"/>
                <w:lang w:bidi="ar"/>
              </w:rPr>
            </w:pPr>
          </w:p>
        </w:tc>
        <w:tc>
          <w:tcPr>
            <w:tcW w:w="3090"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支持从iOS Keychain种解析至少10类信息，包括但不限于：证书、账户密码、iTunes备份密码、身份、网络密码、密钥、应用Token、AppleID、WiFi、邮箱账号等</w:t>
            </w:r>
          </w:p>
        </w:tc>
        <w:tc>
          <w:tcPr>
            <w:tcW w:w="595" w:type="pct"/>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52" w:type="pct"/>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b/>
                <w:bCs/>
                <w:color w:val="000000"/>
                <w:kern w:val="0"/>
                <w:szCs w:val="21"/>
                <w:lang w:bidi="ar"/>
              </w:rPr>
            </w:pPr>
          </w:p>
        </w:tc>
        <w:tc>
          <w:tcPr>
            <w:tcW w:w="573" w:type="dxa"/>
            <w:shd w:val="clear" w:color="auto" w:fill="auto"/>
            <w:vAlign w:val="center"/>
          </w:tcPr>
          <w:p>
            <w:pPr>
              <w:jc w:val="cente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szCs w:val="21"/>
              </w:rPr>
              <w:t>★</w:t>
            </w:r>
          </w:p>
        </w:tc>
        <w:tc>
          <w:tcPr>
            <w:tcW w:w="296" w:type="pct"/>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465" w:type="pct"/>
            <w:vMerge w:val="continue"/>
            <w:shd w:val="clear" w:color="auto" w:fill="auto"/>
            <w:vAlign w:val="center"/>
          </w:tcPr>
          <w:p>
            <w:pPr>
              <w:jc w:val="center"/>
              <w:rPr>
                <w:rFonts w:asciiTheme="minorEastAsia" w:hAnsiTheme="minorEastAsia" w:eastAsiaTheme="minorEastAsia" w:cstheme="minorEastAsia"/>
                <w:color w:val="000000"/>
                <w:kern w:val="0"/>
                <w:szCs w:val="21"/>
                <w:lang w:bidi="ar"/>
              </w:rPr>
            </w:pPr>
          </w:p>
        </w:tc>
        <w:tc>
          <w:tcPr>
            <w:tcW w:w="3090"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解析至少2种网络连接信息，包括但不限于wifi和基站信息。可查看苹果基站3种信息，包括经度、纬度、时间等,可查看WiFi信息，提取苹果手机WiFi的3种信息，包括名称、临时密码、时间，提取安卓手机的2种WiFi信息，包括SSID、临时用户密码</w:t>
            </w:r>
          </w:p>
        </w:tc>
        <w:tc>
          <w:tcPr>
            <w:tcW w:w="595" w:type="pct"/>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2" w:type="pct"/>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b/>
                <w:bCs/>
                <w:color w:val="000000"/>
                <w:kern w:val="0"/>
                <w:szCs w:val="21"/>
                <w:lang w:bidi="ar"/>
              </w:rPr>
            </w:pPr>
          </w:p>
        </w:tc>
        <w:tc>
          <w:tcPr>
            <w:tcW w:w="573" w:type="dxa"/>
            <w:shd w:val="clear" w:color="auto" w:fill="auto"/>
            <w:vAlign w:val="center"/>
          </w:tcPr>
          <w:p>
            <w:pPr>
              <w:jc w:val="cente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szCs w:val="21"/>
              </w:rPr>
              <w:t>▲</w:t>
            </w:r>
          </w:p>
        </w:tc>
        <w:tc>
          <w:tcPr>
            <w:tcW w:w="296" w:type="pct"/>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465" w:type="pct"/>
            <w:shd w:val="clear" w:color="auto" w:fill="auto"/>
            <w:vAlign w:val="center"/>
          </w:tcPr>
          <w:p>
            <w:pPr>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color w:val="000000"/>
                <w:kern w:val="0"/>
                <w:szCs w:val="21"/>
                <w:lang w:bidi="ar"/>
              </w:rPr>
              <w:t>应用程序分析</w:t>
            </w:r>
          </w:p>
        </w:tc>
        <w:tc>
          <w:tcPr>
            <w:tcW w:w="3090"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支持解析至少27个境外即时消息类应用痕迹，包括但不限于WhatsApp、Facebook、Telegram、Twitter、Signal、Instagram、Skype、68 Messenger、PPchat、Clubhouse、Discord、Messenger、Gettr、ICQ、KakaoTalk、Line、Secret、Sugram、Talkatone、Btok、Nicegram，Potato、TelegramX、Viber、Voxer、Wickrme、Zalo等</w:t>
            </w:r>
          </w:p>
        </w:tc>
        <w:tc>
          <w:tcPr>
            <w:tcW w:w="595" w:type="pct"/>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软件功能截图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252" w:type="pct"/>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b/>
                <w:bCs/>
                <w:color w:val="000000"/>
                <w:kern w:val="0"/>
                <w:szCs w:val="21"/>
                <w:lang w:bidi="ar"/>
              </w:rPr>
            </w:pPr>
          </w:p>
        </w:tc>
        <w:tc>
          <w:tcPr>
            <w:tcW w:w="573" w:type="dxa"/>
            <w:shd w:val="clear" w:color="auto" w:fill="auto"/>
            <w:vAlign w:val="center"/>
          </w:tcPr>
          <w:p>
            <w:pPr>
              <w:jc w:val="cente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szCs w:val="21"/>
              </w:rPr>
              <w:t>▲</w:t>
            </w:r>
          </w:p>
        </w:tc>
        <w:tc>
          <w:tcPr>
            <w:tcW w:w="296" w:type="pct"/>
            <w:vMerge w:val="restart"/>
            <w:shd w:val="clear" w:color="auto" w:fill="auto"/>
            <w:vAlign w:val="center"/>
          </w:tcPr>
          <w:p>
            <w:pPr>
              <w:jc w:val="center"/>
              <w:rPr>
                <w:rFonts w:asciiTheme="minorEastAsia" w:hAnsiTheme="minorEastAsia" w:eastAsiaTheme="minorEastAsia" w:cstheme="minorEastAsia"/>
                <w:color w:val="000000"/>
                <w:szCs w:val="21"/>
              </w:rPr>
            </w:pPr>
          </w:p>
        </w:tc>
        <w:tc>
          <w:tcPr>
            <w:tcW w:w="465" w:type="pct"/>
            <w:vMerge w:val="restart"/>
            <w:shd w:val="clear" w:color="auto" w:fill="auto"/>
            <w:vAlign w:val="center"/>
          </w:tcPr>
          <w:p>
            <w:pPr>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color w:val="000000"/>
                <w:kern w:val="0"/>
                <w:szCs w:val="21"/>
                <w:lang w:bidi="ar"/>
              </w:rPr>
              <w:t>多语言支持</w:t>
            </w:r>
          </w:p>
        </w:tc>
        <w:tc>
          <w:tcPr>
            <w:tcW w:w="3090"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支持语音转文字，将语音文件自动识别成文字内容。支持单个或一次性进行至少20条批量语音识别</w:t>
            </w:r>
          </w:p>
        </w:tc>
        <w:tc>
          <w:tcPr>
            <w:tcW w:w="595" w:type="pct"/>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软件功能截图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52" w:type="pct"/>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b/>
                <w:bCs/>
                <w:color w:val="000000"/>
                <w:kern w:val="0"/>
                <w:szCs w:val="21"/>
                <w:lang w:bidi="ar"/>
              </w:rPr>
            </w:pPr>
          </w:p>
        </w:tc>
        <w:tc>
          <w:tcPr>
            <w:tcW w:w="573" w:type="dxa"/>
            <w:shd w:val="clear" w:color="auto" w:fill="auto"/>
            <w:vAlign w:val="center"/>
          </w:tcPr>
          <w:p>
            <w:pPr>
              <w:jc w:val="center"/>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szCs w:val="21"/>
              </w:rPr>
              <w:t>▲</w:t>
            </w:r>
          </w:p>
        </w:tc>
        <w:tc>
          <w:tcPr>
            <w:tcW w:w="296" w:type="pct"/>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465" w:type="pct"/>
            <w:vMerge w:val="continue"/>
            <w:shd w:val="clear" w:color="auto" w:fill="auto"/>
            <w:vAlign w:val="center"/>
          </w:tcPr>
          <w:p>
            <w:pPr>
              <w:textAlignment w:val="center"/>
              <w:rPr>
                <w:rFonts w:asciiTheme="minorEastAsia" w:hAnsiTheme="minorEastAsia" w:eastAsiaTheme="minorEastAsia" w:cstheme="minorEastAsia"/>
                <w:szCs w:val="21"/>
              </w:rPr>
            </w:pPr>
          </w:p>
        </w:tc>
        <w:tc>
          <w:tcPr>
            <w:tcW w:w="3090"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机器翻译，至少支持1种语言的翻译</w:t>
            </w:r>
          </w:p>
        </w:tc>
        <w:tc>
          <w:tcPr>
            <w:tcW w:w="595" w:type="pct"/>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软件功能截图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52" w:type="pct"/>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b/>
                <w:bCs/>
                <w:color w:val="000000"/>
                <w:kern w:val="0"/>
                <w:szCs w:val="21"/>
                <w:lang w:bidi="ar"/>
              </w:rPr>
            </w:pPr>
          </w:p>
        </w:tc>
        <w:tc>
          <w:tcPr>
            <w:tcW w:w="573" w:type="dxa"/>
            <w:shd w:val="clear" w:color="auto" w:fill="auto"/>
            <w:vAlign w:val="center"/>
          </w:tcPr>
          <w:p>
            <w:pPr>
              <w:jc w:val="center"/>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szCs w:val="21"/>
              </w:rPr>
              <w:t>★</w:t>
            </w:r>
          </w:p>
        </w:tc>
        <w:tc>
          <w:tcPr>
            <w:tcW w:w="296" w:type="pct"/>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465" w:type="pct"/>
            <w:vMerge w:val="restart"/>
            <w:shd w:val="clear" w:color="auto" w:fill="auto"/>
            <w:vAlign w:val="center"/>
          </w:tcPr>
          <w:p>
            <w:pPr>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color w:val="000000"/>
                <w:kern w:val="0"/>
                <w:szCs w:val="21"/>
                <w:lang w:bidi="ar"/>
              </w:rPr>
              <w:t>智能分析</w:t>
            </w:r>
          </w:p>
        </w:tc>
        <w:tc>
          <w:tcPr>
            <w:tcW w:w="3090"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支持多页面同时浏览分析，包括系统支持跨案件、跨检材地同时浏览多个应用数据，以Tab页面的形式展示；（须提供对应的检验检验报告证明复印件）</w:t>
            </w:r>
          </w:p>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支持至少5个案件多个页面的同时浏览分析（提供软件功能截图）</w:t>
            </w:r>
          </w:p>
        </w:tc>
        <w:tc>
          <w:tcPr>
            <w:tcW w:w="595" w:type="pct"/>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检验报告+软件功能截图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52" w:type="pct"/>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b/>
                <w:bCs/>
                <w:color w:val="000000"/>
                <w:kern w:val="0"/>
                <w:szCs w:val="21"/>
                <w:lang w:bidi="ar"/>
              </w:rPr>
            </w:pPr>
          </w:p>
        </w:tc>
        <w:tc>
          <w:tcPr>
            <w:tcW w:w="573" w:type="dxa"/>
            <w:shd w:val="clear" w:color="auto" w:fill="auto"/>
            <w:vAlign w:val="center"/>
          </w:tcPr>
          <w:p>
            <w:pPr>
              <w:jc w:val="cente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szCs w:val="21"/>
              </w:rPr>
              <w:t>★</w:t>
            </w:r>
          </w:p>
        </w:tc>
        <w:tc>
          <w:tcPr>
            <w:tcW w:w="296" w:type="pct"/>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465" w:type="pct"/>
            <w:vMerge w:val="continue"/>
            <w:shd w:val="clear" w:color="auto" w:fill="auto"/>
            <w:vAlign w:val="center"/>
          </w:tcPr>
          <w:p>
            <w:pPr>
              <w:textAlignment w:val="center"/>
              <w:rPr>
                <w:rFonts w:asciiTheme="minorEastAsia" w:hAnsiTheme="minorEastAsia" w:eastAsiaTheme="minorEastAsia" w:cstheme="minorEastAsia"/>
                <w:szCs w:val="21"/>
              </w:rPr>
            </w:pPr>
          </w:p>
        </w:tc>
        <w:tc>
          <w:tcPr>
            <w:tcW w:w="3090"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支持获取Airdrop隔空投送传输的日志文件，通过工具箱自定义号冠可获取手机号码，最大长度至少为13位数字</w:t>
            </w:r>
          </w:p>
        </w:tc>
        <w:tc>
          <w:tcPr>
            <w:tcW w:w="595" w:type="pct"/>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52" w:type="pct"/>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b/>
                <w:bCs/>
                <w:color w:val="000000"/>
                <w:kern w:val="0"/>
                <w:szCs w:val="21"/>
                <w:lang w:bidi="ar"/>
              </w:rPr>
            </w:pPr>
          </w:p>
        </w:tc>
        <w:tc>
          <w:tcPr>
            <w:tcW w:w="573" w:type="dxa"/>
            <w:shd w:val="clear" w:color="auto" w:fill="auto"/>
            <w:vAlign w:val="center"/>
          </w:tcPr>
          <w:p>
            <w:pPr>
              <w:jc w:val="cente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szCs w:val="21"/>
              </w:rPr>
              <w:t>▲</w:t>
            </w:r>
          </w:p>
        </w:tc>
        <w:tc>
          <w:tcPr>
            <w:tcW w:w="296" w:type="pct"/>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465" w:type="pct"/>
            <w:vMerge w:val="continue"/>
            <w:shd w:val="clear" w:color="auto" w:fill="auto"/>
            <w:vAlign w:val="center"/>
          </w:tcPr>
          <w:p>
            <w:pPr>
              <w:textAlignment w:val="center"/>
              <w:rPr>
                <w:rFonts w:asciiTheme="minorEastAsia" w:hAnsiTheme="minorEastAsia" w:eastAsiaTheme="minorEastAsia" w:cstheme="minorEastAsia"/>
                <w:szCs w:val="21"/>
              </w:rPr>
            </w:pPr>
          </w:p>
        </w:tc>
        <w:tc>
          <w:tcPr>
            <w:tcW w:w="3090"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支持AI图片分析，支持至少4种类型的分析，包括但不限于卡证、敏感对象、暴恐场景、不健康内容等图片分析</w:t>
            </w:r>
          </w:p>
        </w:tc>
        <w:tc>
          <w:tcPr>
            <w:tcW w:w="595" w:type="pct"/>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软件功能截图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52" w:type="pct"/>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b/>
                <w:bCs/>
                <w:color w:val="000000"/>
                <w:kern w:val="0"/>
                <w:szCs w:val="21"/>
                <w:lang w:bidi="ar"/>
              </w:rPr>
            </w:pPr>
          </w:p>
        </w:tc>
        <w:tc>
          <w:tcPr>
            <w:tcW w:w="573" w:type="dxa"/>
            <w:shd w:val="clear" w:color="auto" w:fill="auto"/>
            <w:vAlign w:val="center"/>
          </w:tcPr>
          <w:p>
            <w:pPr>
              <w:jc w:val="cente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szCs w:val="21"/>
              </w:rPr>
              <w:t>▲</w:t>
            </w:r>
          </w:p>
        </w:tc>
        <w:tc>
          <w:tcPr>
            <w:tcW w:w="296" w:type="pct"/>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465" w:type="pct"/>
            <w:vMerge w:val="continue"/>
            <w:shd w:val="clear" w:color="auto" w:fill="auto"/>
            <w:vAlign w:val="center"/>
          </w:tcPr>
          <w:p>
            <w:pPr>
              <w:textAlignment w:val="center"/>
              <w:rPr>
                <w:rFonts w:asciiTheme="minorEastAsia" w:hAnsiTheme="minorEastAsia" w:eastAsiaTheme="minorEastAsia" w:cstheme="minorEastAsia"/>
                <w:szCs w:val="21"/>
              </w:rPr>
            </w:pPr>
          </w:p>
        </w:tc>
        <w:tc>
          <w:tcPr>
            <w:tcW w:w="3090"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支持关键字预警，对至少10种不同的类型数据中进行预警，不同分类的关键词进行预警筛查</w:t>
            </w:r>
          </w:p>
        </w:tc>
        <w:tc>
          <w:tcPr>
            <w:tcW w:w="595" w:type="pct"/>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软件功能截图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52" w:type="pct"/>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b/>
                <w:bCs/>
                <w:color w:val="000000"/>
                <w:kern w:val="0"/>
                <w:szCs w:val="21"/>
                <w:lang w:bidi="ar"/>
              </w:rPr>
            </w:pPr>
          </w:p>
        </w:tc>
        <w:tc>
          <w:tcPr>
            <w:tcW w:w="573" w:type="dxa"/>
            <w:shd w:val="clear" w:color="auto" w:fill="auto"/>
            <w:vAlign w:val="center"/>
          </w:tcPr>
          <w:p>
            <w:pPr>
              <w:jc w:val="cente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szCs w:val="21"/>
              </w:rPr>
              <w:t>▲</w:t>
            </w:r>
          </w:p>
        </w:tc>
        <w:tc>
          <w:tcPr>
            <w:tcW w:w="296" w:type="pct"/>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465" w:type="pct"/>
            <w:vMerge w:val="continue"/>
            <w:shd w:val="clear" w:color="auto" w:fill="auto"/>
            <w:vAlign w:val="center"/>
          </w:tcPr>
          <w:p>
            <w:pPr>
              <w:textAlignment w:val="center"/>
              <w:rPr>
                <w:rFonts w:asciiTheme="minorEastAsia" w:hAnsiTheme="minorEastAsia" w:eastAsiaTheme="minorEastAsia" w:cstheme="minorEastAsia"/>
                <w:szCs w:val="21"/>
              </w:rPr>
            </w:pPr>
          </w:p>
        </w:tc>
        <w:tc>
          <w:tcPr>
            <w:tcW w:w="3090"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支持文件分析，支持3类密级别，包括但不限于秘密、机密、绝密字样的文件自动筛查</w:t>
            </w:r>
          </w:p>
        </w:tc>
        <w:tc>
          <w:tcPr>
            <w:tcW w:w="595" w:type="pct"/>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软件功能截图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52" w:type="pct"/>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b/>
                <w:bCs/>
                <w:color w:val="000000"/>
                <w:kern w:val="0"/>
                <w:szCs w:val="21"/>
                <w:lang w:bidi="ar"/>
              </w:rPr>
            </w:pPr>
          </w:p>
        </w:tc>
        <w:tc>
          <w:tcPr>
            <w:tcW w:w="573" w:type="dxa"/>
            <w:shd w:val="clear" w:color="auto" w:fill="auto"/>
            <w:vAlign w:val="center"/>
          </w:tcPr>
          <w:p>
            <w:pPr>
              <w:jc w:val="cente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szCs w:val="21"/>
              </w:rPr>
              <w:t>▲</w:t>
            </w:r>
          </w:p>
        </w:tc>
        <w:tc>
          <w:tcPr>
            <w:tcW w:w="296" w:type="pct"/>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465" w:type="pct"/>
            <w:vMerge w:val="continue"/>
            <w:shd w:val="clear" w:color="auto" w:fill="auto"/>
            <w:vAlign w:val="center"/>
          </w:tcPr>
          <w:p>
            <w:pPr>
              <w:textAlignment w:val="center"/>
              <w:rPr>
                <w:rFonts w:asciiTheme="minorEastAsia" w:hAnsiTheme="minorEastAsia" w:eastAsiaTheme="minorEastAsia" w:cstheme="minorEastAsia"/>
                <w:szCs w:val="21"/>
              </w:rPr>
            </w:pPr>
          </w:p>
        </w:tc>
        <w:tc>
          <w:tcPr>
            <w:tcW w:w="3090"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支持智能文书，支持自定义笔录模板，至少支持5种字段类型，每种类型不少于5种配置项，根据用户上传的自定义模板导出文书</w:t>
            </w:r>
          </w:p>
        </w:tc>
        <w:tc>
          <w:tcPr>
            <w:tcW w:w="595" w:type="pct"/>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软件功能截图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52" w:type="pct"/>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b/>
                <w:bCs/>
                <w:color w:val="000000"/>
                <w:kern w:val="0"/>
                <w:szCs w:val="21"/>
                <w:lang w:bidi="ar"/>
              </w:rPr>
            </w:pPr>
          </w:p>
        </w:tc>
        <w:tc>
          <w:tcPr>
            <w:tcW w:w="573" w:type="dxa"/>
            <w:shd w:val="clear" w:color="auto" w:fill="auto"/>
            <w:vAlign w:val="center"/>
          </w:tcPr>
          <w:p>
            <w:pPr>
              <w:jc w:val="cente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szCs w:val="21"/>
              </w:rPr>
              <w:t>▲</w:t>
            </w:r>
          </w:p>
        </w:tc>
        <w:tc>
          <w:tcPr>
            <w:tcW w:w="296" w:type="pct"/>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465" w:type="pct"/>
            <w:vMerge w:val="continue"/>
            <w:shd w:val="clear" w:color="auto" w:fill="auto"/>
            <w:vAlign w:val="center"/>
          </w:tcPr>
          <w:p>
            <w:pPr>
              <w:textAlignment w:val="center"/>
              <w:rPr>
                <w:rFonts w:asciiTheme="minorEastAsia" w:hAnsiTheme="minorEastAsia" w:eastAsiaTheme="minorEastAsia" w:cstheme="minorEastAsia"/>
                <w:szCs w:val="21"/>
              </w:rPr>
            </w:pPr>
          </w:p>
        </w:tc>
        <w:tc>
          <w:tcPr>
            <w:tcW w:w="3090"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具备时间线可视化分析能力，通过分析手机中的至少5种应用类型的事件来创建时间线。此功能支持按类型和时间段进行筛选</w:t>
            </w:r>
          </w:p>
        </w:tc>
        <w:tc>
          <w:tcPr>
            <w:tcW w:w="595" w:type="pct"/>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软件功能截图</w:t>
            </w:r>
          </w:p>
        </w:tc>
      </w:tr>
    </w:tbl>
    <w:p>
      <w:pPr>
        <w:textAlignment w:val="center"/>
        <w:rPr>
          <w:rFonts w:asciiTheme="minorEastAsia" w:hAnsiTheme="minorEastAsia" w:eastAsiaTheme="minorEastAsia" w:cstheme="minorEastAsia"/>
          <w:szCs w:val="21"/>
        </w:rPr>
      </w:pPr>
    </w:p>
    <w:p>
      <w:pPr>
        <w:pStyle w:val="5"/>
        <w:spacing w:before="15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第2包 便携式手机取证设备</w:t>
      </w:r>
      <w:r>
        <w:rPr>
          <w:rFonts w:hint="default" w:ascii="Times New Roman" w:hAnsi="Times New Roman" w:cs="Times New Roman" w:eastAsiaTheme="minorEastAsia"/>
          <w:szCs w:val="21"/>
        </w:rPr>
        <w:t>Ⅱ</w:t>
      </w:r>
    </w:p>
    <w:tbl>
      <w:tblPr>
        <w:tblStyle w:val="81"/>
        <w:tblW w:w="542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8"/>
        <w:gridCol w:w="592"/>
        <w:gridCol w:w="592"/>
        <w:gridCol w:w="906"/>
        <w:gridCol w:w="6013"/>
        <w:gridCol w:w="1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blHeader/>
          <w:jc w:val="center"/>
        </w:trPr>
        <w:tc>
          <w:tcPr>
            <w:tcW w:w="284" w:type="pct"/>
            <w:shd w:val="clear" w:color="auto" w:fill="auto"/>
            <w:vAlign w:val="center"/>
          </w:tcPr>
          <w:p>
            <w:pPr>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b/>
                <w:bCs/>
                <w:color w:val="000000"/>
                <w:kern w:val="0"/>
                <w:szCs w:val="21"/>
                <w:lang w:bidi="ar"/>
              </w:rPr>
              <w:t>序号</w:t>
            </w:r>
          </w:p>
        </w:tc>
        <w:tc>
          <w:tcPr>
            <w:tcW w:w="301" w:type="pct"/>
            <w:shd w:val="clear" w:color="auto" w:fill="auto"/>
            <w:vAlign w:val="center"/>
          </w:tcPr>
          <w:p>
            <w:pPr>
              <w:jc w:val="center"/>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b/>
                <w:bCs/>
                <w:color w:val="000000"/>
                <w:kern w:val="0"/>
                <w:szCs w:val="21"/>
                <w:lang w:bidi="ar"/>
              </w:rPr>
              <w:t>重要性</w:t>
            </w:r>
          </w:p>
        </w:tc>
        <w:tc>
          <w:tcPr>
            <w:tcW w:w="301" w:type="pct"/>
            <w:shd w:val="clear" w:color="auto" w:fill="auto"/>
            <w:vAlign w:val="center"/>
          </w:tcPr>
          <w:p>
            <w:pPr>
              <w:jc w:val="center"/>
              <w:textAlignment w:val="center"/>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kern w:val="0"/>
                <w:szCs w:val="21"/>
                <w:lang w:bidi="ar"/>
              </w:rPr>
              <w:t>名称</w:t>
            </w:r>
          </w:p>
        </w:tc>
        <w:tc>
          <w:tcPr>
            <w:tcW w:w="461" w:type="pct"/>
            <w:shd w:val="clear" w:color="auto" w:fill="auto"/>
            <w:vAlign w:val="center"/>
          </w:tcPr>
          <w:p>
            <w:pPr>
              <w:jc w:val="center"/>
              <w:textAlignment w:val="center"/>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kern w:val="0"/>
                <w:szCs w:val="21"/>
                <w:lang w:bidi="ar"/>
              </w:rPr>
              <w:t>指标项</w:t>
            </w:r>
          </w:p>
        </w:tc>
        <w:tc>
          <w:tcPr>
            <w:tcW w:w="3059" w:type="pct"/>
            <w:shd w:val="clear" w:color="auto" w:fill="auto"/>
            <w:vAlign w:val="center"/>
          </w:tcPr>
          <w:p>
            <w:pPr>
              <w:jc w:val="center"/>
              <w:textAlignment w:val="center"/>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kern w:val="0"/>
                <w:szCs w:val="21"/>
                <w:lang w:bidi="ar"/>
              </w:rPr>
              <w:t>技术要求</w:t>
            </w:r>
          </w:p>
        </w:tc>
        <w:tc>
          <w:tcPr>
            <w:tcW w:w="594" w:type="pct"/>
            <w:shd w:val="clear" w:color="auto" w:fill="auto"/>
            <w:vAlign w:val="center"/>
          </w:tcPr>
          <w:p>
            <w:pPr>
              <w:jc w:val="center"/>
              <w:textAlignment w:val="center"/>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kern w:val="0"/>
                <w:szCs w:val="21"/>
                <w:lang w:bidi="ar"/>
              </w:rPr>
              <w:t>证明材料要求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284" w:type="pct"/>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color w:val="000000"/>
                <w:szCs w:val="21"/>
                <w:lang w:bidi="ar"/>
              </w:rPr>
            </w:pPr>
          </w:p>
        </w:tc>
        <w:tc>
          <w:tcPr>
            <w:tcW w:w="301" w:type="pct"/>
            <w:shd w:val="clear" w:color="auto" w:fill="auto"/>
            <w:vAlign w:val="center"/>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w:t>
            </w:r>
          </w:p>
        </w:tc>
        <w:tc>
          <w:tcPr>
            <w:tcW w:w="301" w:type="pct"/>
            <w:vMerge w:val="restart"/>
            <w:shd w:val="clear" w:color="auto" w:fill="auto"/>
            <w:vAlign w:val="center"/>
          </w:tcPr>
          <w:p>
            <w:pPr>
              <w:rPr>
                <w:rFonts w:asciiTheme="minorEastAsia" w:hAnsiTheme="minorEastAsia" w:eastAsiaTheme="minorEastAsia" w:cstheme="minorEastAsia"/>
                <w:color w:val="000000"/>
                <w:szCs w:val="21"/>
              </w:rPr>
            </w:pPr>
          </w:p>
        </w:tc>
        <w:tc>
          <w:tcPr>
            <w:tcW w:w="461" w:type="pct"/>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群体关系分析能力</w:t>
            </w:r>
          </w:p>
        </w:tc>
        <w:tc>
          <w:tcPr>
            <w:tcW w:w="3059" w:type="pct"/>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支持不少于4种关系类型的分析能力，包括但不限于通讯录好友、微信好友关系、QQ好友关系、共同APP关系等</w:t>
            </w:r>
          </w:p>
        </w:tc>
        <w:tc>
          <w:tcPr>
            <w:tcW w:w="594" w:type="pct"/>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软件功能截图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284" w:type="pct"/>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color w:val="000000"/>
                <w:szCs w:val="21"/>
                <w:lang w:bidi="ar"/>
              </w:rPr>
            </w:pPr>
          </w:p>
        </w:tc>
        <w:tc>
          <w:tcPr>
            <w:tcW w:w="301" w:type="pct"/>
            <w:shd w:val="clear" w:color="auto" w:fill="auto"/>
            <w:vAlign w:val="center"/>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w:t>
            </w:r>
          </w:p>
        </w:tc>
        <w:tc>
          <w:tcPr>
            <w:tcW w:w="301" w:type="pct"/>
            <w:vMerge w:val="continue"/>
            <w:shd w:val="clear" w:color="auto" w:fill="auto"/>
            <w:vAlign w:val="center"/>
          </w:tcPr>
          <w:p>
            <w:pPr>
              <w:rPr>
                <w:rFonts w:asciiTheme="minorEastAsia" w:hAnsiTheme="minorEastAsia" w:eastAsiaTheme="minorEastAsia" w:cstheme="minorEastAsia"/>
                <w:color w:val="000000"/>
                <w:szCs w:val="21"/>
              </w:rPr>
            </w:pPr>
          </w:p>
        </w:tc>
        <w:tc>
          <w:tcPr>
            <w:tcW w:w="461" w:type="pct"/>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资金分析可视化展示功能</w:t>
            </w:r>
          </w:p>
        </w:tc>
        <w:tc>
          <w:tcPr>
            <w:tcW w:w="3059" w:type="pct"/>
            <w:shd w:val="clear" w:color="auto" w:fill="auto"/>
            <w:vAlign w:val="center"/>
          </w:tcPr>
          <w:p>
            <w:pPr>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支持不少于5种类型资金分析模块展示能力，包括但不限于高频交易对象、高金额交易对象、交易时间规律分析、交易趋势展示、资金模型分析等</w:t>
            </w:r>
          </w:p>
        </w:tc>
        <w:tc>
          <w:tcPr>
            <w:tcW w:w="594" w:type="pct"/>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软件功能截图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284" w:type="pct"/>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color w:val="000000"/>
                <w:szCs w:val="21"/>
                <w:lang w:bidi="ar"/>
              </w:rPr>
            </w:pPr>
          </w:p>
        </w:tc>
        <w:tc>
          <w:tcPr>
            <w:tcW w:w="301" w:type="pct"/>
            <w:shd w:val="clear" w:color="auto" w:fill="auto"/>
            <w:vAlign w:val="center"/>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w:t>
            </w:r>
          </w:p>
        </w:tc>
        <w:tc>
          <w:tcPr>
            <w:tcW w:w="301" w:type="pct"/>
            <w:vMerge w:val="continue"/>
            <w:shd w:val="clear" w:color="auto" w:fill="auto"/>
            <w:vAlign w:val="center"/>
          </w:tcPr>
          <w:p>
            <w:pPr>
              <w:rPr>
                <w:rFonts w:asciiTheme="minorEastAsia" w:hAnsiTheme="minorEastAsia" w:eastAsiaTheme="minorEastAsia" w:cstheme="minorEastAsia"/>
                <w:color w:val="000000"/>
                <w:szCs w:val="21"/>
              </w:rPr>
            </w:pPr>
          </w:p>
        </w:tc>
        <w:tc>
          <w:tcPr>
            <w:tcW w:w="461" w:type="pct"/>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账单模型分析功能</w:t>
            </w:r>
          </w:p>
        </w:tc>
        <w:tc>
          <w:tcPr>
            <w:tcW w:w="3059" w:type="pct"/>
            <w:shd w:val="clear" w:color="auto" w:fill="auto"/>
            <w:vAlign w:val="center"/>
          </w:tcPr>
          <w:p>
            <w:pPr>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支持不少于4种账单分析模型，包括但不限于节假日、快进快出、周期性及特殊金额的模型分析</w:t>
            </w:r>
          </w:p>
        </w:tc>
        <w:tc>
          <w:tcPr>
            <w:tcW w:w="594" w:type="pct"/>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软件功能截图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284" w:type="pct"/>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color w:val="000000"/>
                <w:szCs w:val="21"/>
                <w:lang w:bidi="ar"/>
              </w:rPr>
            </w:pPr>
          </w:p>
        </w:tc>
        <w:tc>
          <w:tcPr>
            <w:tcW w:w="301" w:type="pct"/>
            <w:shd w:val="clear" w:color="auto" w:fill="auto"/>
            <w:vAlign w:val="center"/>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w:t>
            </w:r>
          </w:p>
        </w:tc>
        <w:tc>
          <w:tcPr>
            <w:tcW w:w="301" w:type="pct"/>
            <w:vMerge w:val="continue"/>
            <w:shd w:val="clear" w:color="auto" w:fill="auto"/>
            <w:vAlign w:val="center"/>
          </w:tcPr>
          <w:p>
            <w:pPr>
              <w:rPr>
                <w:rFonts w:asciiTheme="minorEastAsia" w:hAnsiTheme="minorEastAsia" w:eastAsiaTheme="minorEastAsia" w:cstheme="minorEastAsia"/>
                <w:color w:val="000000"/>
                <w:szCs w:val="21"/>
              </w:rPr>
            </w:pPr>
          </w:p>
        </w:tc>
        <w:tc>
          <w:tcPr>
            <w:tcW w:w="461" w:type="pct"/>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单人侧写能力</w:t>
            </w:r>
          </w:p>
        </w:tc>
        <w:tc>
          <w:tcPr>
            <w:tcW w:w="3059" w:type="pct"/>
            <w:shd w:val="clear" w:color="auto" w:fill="auto"/>
            <w:vAlign w:val="center"/>
          </w:tcPr>
          <w:p>
            <w:pPr>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支持侧写数据类型不少于5种，包括但不限于关系类侧写，区域类侧写，经济类侧写，时序类侧写，社交类侧写</w:t>
            </w:r>
          </w:p>
        </w:tc>
        <w:tc>
          <w:tcPr>
            <w:tcW w:w="594" w:type="pct"/>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软件功能截图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284" w:type="pct"/>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color w:val="000000"/>
                <w:szCs w:val="21"/>
                <w:lang w:bidi="ar"/>
              </w:rPr>
            </w:pPr>
          </w:p>
        </w:tc>
        <w:tc>
          <w:tcPr>
            <w:tcW w:w="301" w:type="pct"/>
            <w:shd w:val="clear" w:color="auto" w:fill="auto"/>
            <w:vAlign w:val="center"/>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w:t>
            </w:r>
          </w:p>
        </w:tc>
        <w:tc>
          <w:tcPr>
            <w:tcW w:w="301" w:type="pct"/>
            <w:vMerge w:val="continue"/>
            <w:shd w:val="clear" w:color="auto" w:fill="auto"/>
            <w:vAlign w:val="center"/>
          </w:tcPr>
          <w:p>
            <w:pPr>
              <w:rPr>
                <w:rFonts w:asciiTheme="minorEastAsia" w:hAnsiTheme="minorEastAsia" w:eastAsiaTheme="minorEastAsia" w:cstheme="minorEastAsia"/>
                <w:color w:val="000000"/>
                <w:szCs w:val="21"/>
              </w:rPr>
            </w:pPr>
          </w:p>
        </w:tc>
        <w:tc>
          <w:tcPr>
            <w:tcW w:w="461" w:type="pct"/>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社交应用内容筛选展示能力</w:t>
            </w:r>
          </w:p>
        </w:tc>
        <w:tc>
          <w:tcPr>
            <w:tcW w:w="3059" w:type="pct"/>
            <w:shd w:val="clear" w:color="auto" w:fill="auto"/>
            <w:vAlign w:val="center"/>
          </w:tcPr>
          <w:p>
            <w:pPr>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支持对通联内容数据类型的筛选分类能力，支持类型不少于5种。包括但不限于地址、身份、图片、视频、音频、支付信息等</w:t>
            </w:r>
          </w:p>
        </w:tc>
        <w:tc>
          <w:tcPr>
            <w:tcW w:w="594" w:type="pct"/>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软件功能截图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284" w:type="pct"/>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color w:val="000000"/>
                <w:szCs w:val="21"/>
                <w:lang w:bidi="ar"/>
              </w:rPr>
            </w:pPr>
          </w:p>
        </w:tc>
        <w:tc>
          <w:tcPr>
            <w:tcW w:w="301" w:type="pct"/>
            <w:shd w:val="clear" w:color="auto" w:fill="auto"/>
            <w:vAlign w:val="center"/>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w:t>
            </w:r>
          </w:p>
        </w:tc>
        <w:tc>
          <w:tcPr>
            <w:tcW w:w="301" w:type="pct"/>
            <w:vMerge w:val="continue"/>
            <w:shd w:val="clear" w:color="auto" w:fill="auto"/>
            <w:vAlign w:val="center"/>
          </w:tcPr>
          <w:p>
            <w:pPr>
              <w:rPr>
                <w:rFonts w:asciiTheme="minorEastAsia" w:hAnsiTheme="minorEastAsia" w:eastAsiaTheme="minorEastAsia" w:cstheme="minorEastAsia"/>
                <w:color w:val="000000"/>
                <w:szCs w:val="21"/>
              </w:rPr>
            </w:pPr>
          </w:p>
        </w:tc>
        <w:tc>
          <w:tcPr>
            <w:tcW w:w="461" w:type="pct"/>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社交账号分析能力</w:t>
            </w:r>
          </w:p>
        </w:tc>
        <w:tc>
          <w:tcPr>
            <w:tcW w:w="3059" w:type="pct"/>
            <w:shd w:val="clear" w:color="auto" w:fill="auto"/>
            <w:vAlign w:val="center"/>
          </w:tcPr>
          <w:p>
            <w:pPr>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支持对检材内社交账号展示能力，支持展示的属性类型不少于10种。包括但不限于好友、公众号、群信息、消息数、地址信息、经济信息、身份信息、快递信息、文本信息、图片信息、视频信息、二维码图片、朋友圈、名片、网址等</w:t>
            </w:r>
          </w:p>
        </w:tc>
        <w:tc>
          <w:tcPr>
            <w:tcW w:w="594" w:type="pct"/>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软件功能截图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284" w:type="pct"/>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color w:val="000000"/>
                <w:szCs w:val="21"/>
                <w:lang w:bidi="ar"/>
              </w:rPr>
            </w:pPr>
          </w:p>
        </w:tc>
        <w:tc>
          <w:tcPr>
            <w:tcW w:w="301" w:type="pct"/>
            <w:shd w:val="clear" w:color="auto" w:fill="auto"/>
            <w:vAlign w:val="center"/>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w:t>
            </w:r>
          </w:p>
        </w:tc>
        <w:tc>
          <w:tcPr>
            <w:tcW w:w="301" w:type="pct"/>
            <w:vMerge w:val="continue"/>
            <w:shd w:val="clear" w:color="auto" w:fill="auto"/>
            <w:vAlign w:val="center"/>
          </w:tcPr>
          <w:p>
            <w:pPr>
              <w:rPr>
                <w:rFonts w:asciiTheme="minorEastAsia" w:hAnsiTheme="minorEastAsia" w:eastAsiaTheme="minorEastAsia" w:cstheme="minorEastAsia"/>
                <w:color w:val="000000"/>
                <w:szCs w:val="21"/>
              </w:rPr>
            </w:pPr>
          </w:p>
        </w:tc>
        <w:tc>
          <w:tcPr>
            <w:tcW w:w="461" w:type="pct"/>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技战预警能力</w:t>
            </w:r>
          </w:p>
        </w:tc>
        <w:tc>
          <w:tcPr>
            <w:tcW w:w="3059" w:type="pct"/>
            <w:shd w:val="clear" w:color="auto" w:fill="auto"/>
            <w:vAlign w:val="center"/>
          </w:tcPr>
          <w:p>
            <w:pPr>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支持不少于5种预警类型功能，包括但不限于涉恐、涉黄、经济、涉毒和异常行为预警功能</w:t>
            </w:r>
          </w:p>
        </w:tc>
        <w:tc>
          <w:tcPr>
            <w:tcW w:w="594" w:type="pct"/>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软件功能截图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284" w:type="pct"/>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color w:val="000000"/>
                <w:szCs w:val="21"/>
                <w:lang w:bidi="ar"/>
              </w:rPr>
            </w:pPr>
          </w:p>
        </w:tc>
        <w:tc>
          <w:tcPr>
            <w:tcW w:w="301" w:type="pct"/>
            <w:shd w:val="clear" w:color="auto" w:fill="auto"/>
            <w:vAlign w:val="center"/>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w:t>
            </w:r>
          </w:p>
        </w:tc>
        <w:tc>
          <w:tcPr>
            <w:tcW w:w="301" w:type="pct"/>
            <w:shd w:val="clear" w:color="auto" w:fill="auto"/>
            <w:vAlign w:val="center"/>
          </w:tcPr>
          <w:p>
            <w:pPr>
              <w:rPr>
                <w:rFonts w:asciiTheme="minorEastAsia" w:hAnsiTheme="minorEastAsia" w:eastAsiaTheme="minorEastAsia" w:cstheme="minorEastAsia"/>
                <w:color w:val="000000"/>
                <w:szCs w:val="21"/>
              </w:rPr>
            </w:pPr>
          </w:p>
        </w:tc>
        <w:tc>
          <w:tcPr>
            <w:tcW w:w="461" w:type="pct"/>
            <w:shd w:val="clear" w:color="auto" w:fill="auto"/>
            <w:vAlign w:val="center"/>
          </w:tcPr>
          <w:p>
            <w:pPr>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color w:val="000000"/>
                <w:kern w:val="0"/>
                <w:szCs w:val="21"/>
                <w:lang w:bidi="ar"/>
              </w:rPr>
              <w:t>HTML格式数据导入</w:t>
            </w:r>
          </w:p>
        </w:tc>
        <w:tc>
          <w:tcPr>
            <w:tcW w:w="3059" w:type="pct"/>
            <w:shd w:val="clear" w:color="auto" w:fill="auto"/>
            <w:vAlign w:val="center"/>
          </w:tcPr>
          <w:p>
            <w:pPr>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color w:val="000000"/>
                <w:kern w:val="0"/>
                <w:szCs w:val="21"/>
                <w:lang w:bidi="ar"/>
              </w:rPr>
              <w:t>支持不少于8个厂商格式类型的HTML报告数据导入能力，包含但不限于歆仁、美亚、睿海、平航、效率源、高奈特、盘古石、云帆、弘连、拓界、龙信</w:t>
            </w:r>
          </w:p>
        </w:tc>
        <w:tc>
          <w:tcPr>
            <w:tcW w:w="594" w:type="pct"/>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软件功能截图</w:t>
            </w:r>
          </w:p>
        </w:tc>
      </w:tr>
    </w:tbl>
    <w:p>
      <w:pPr>
        <w:pStyle w:val="5"/>
        <w:spacing w:before="15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第2包 便携式手机取证设备</w:t>
      </w:r>
      <w:r>
        <w:rPr>
          <w:rFonts w:hint="default" w:ascii="Times New Roman" w:hAnsi="Times New Roman" w:cs="Times New Roman" w:eastAsiaTheme="minorEastAsia"/>
          <w:szCs w:val="21"/>
        </w:rPr>
        <w:t>Ⅲ</w:t>
      </w:r>
    </w:p>
    <w:tbl>
      <w:tblPr>
        <w:tblStyle w:val="81"/>
        <w:tblW w:w="542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8"/>
        <w:gridCol w:w="588"/>
        <w:gridCol w:w="593"/>
        <w:gridCol w:w="900"/>
        <w:gridCol w:w="6014"/>
        <w:gridCol w:w="1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284" w:type="pct"/>
            <w:shd w:val="clear" w:color="auto" w:fill="auto"/>
            <w:vAlign w:val="center"/>
          </w:tcPr>
          <w:p>
            <w:pPr>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b/>
                <w:bCs/>
                <w:color w:val="000000"/>
                <w:kern w:val="0"/>
                <w:szCs w:val="21"/>
                <w:lang w:bidi="ar"/>
              </w:rPr>
              <w:t>序号</w:t>
            </w:r>
          </w:p>
        </w:tc>
        <w:tc>
          <w:tcPr>
            <w:tcW w:w="299" w:type="pct"/>
            <w:shd w:val="clear" w:color="auto" w:fill="auto"/>
            <w:vAlign w:val="center"/>
          </w:tcPr>
          <w:p>
            <w:pPr>
              <w:jc w:val="center"/>
              <w:textAlignment w:val="center"/>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kern w:val="0"/>
                <w:szCs w:val="21"/>
                <w:lang w:bidi="ar"/>
              </w:rPr>
              <w:t>重要性</w:t>
            </w:r>
          </w:p>
        </w:tc>
        <w:tc>
          <w:tcPr>
            <w:tcW w:w="302" w:type="pct"/>
            <w:shd w:val="clear" w:color="auto" w:fill="auto"/>
            <w:vAlign w:val="center"/>
          </w:tcPr>
          <w:p>
            <w:pPr>
              <w:jc w:val="center"/>
              <w:textAlignment w:val="center"/>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kern w:val="0"/>
                <w:szCs w:val="21"/>
                <w:lang w:bidi="ar"/>
              </w:rPr>
              <w:t>名称</w:t>
            </w:r>
          </w:p>
        </w:tc>
        <w:tc>
          <w:tcPr>
            <w:tcW w:w="458" w:type="pct"/>
            <w:shd w:val="clear" w:color="auto" w:fill="auto"/>
            <w:vAlign w:val="center"/>
          </w:tcPr>
          <w:p>
            <w:pPr>
              <w:jc w:val="center"/>
              <w:textAlignment w:val="center"/>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kern w:val="0"/>
                <w:szCs w:val="21"/>
                <w:lang w:bidi="ar"/>
              </w:rPr>
              <w:t>指标项</w:t>
            </w:r>
          </w:p>
        </w:tc>
        <w:tc>
          <w:tcPr>
            <w:tcW w:w="3060" w:type="pct"/>
            <w:shd w:val="clear" w:color="auto" w:fill="auto"/>
            <w:vAlign w:val="center"/>
          </w:tcPr>
          <w:p>
            <w:pPr>
              <w:jc w:val="center"/>
              <w:textAlignment w:val="center"/>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kern w:val="0"/>
                <w:szCs w:val="21"/>
                <w:lang w:bidi="ar"/>
              </w:rPr>
              <w:t>技术要求</w:t>
            </w:r>
          </w:p>
        </w:tc>
        <w:tc>
          <w:tcPr>
            <w:tcW w:w="595" w:type="pct"/>
            <w:shd w:val="clear" w:color="auto" w:fill="auto"/>
            <w:vAlign w:val="center"/>
          </w:tcPr>
          <w:p>
            <w:pPr>
              <w:jc w:val="center"/>
              <w:textAlignment w:val="center"/>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kern w:val="0"/>
                <w:szCs w:val="21"/>
                <w:lang w:bidi="ar"/>
              </w:rPr>
              <w:t>证明材料要求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284" w:type="pct"/>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color w:val="000000"/>
                <w:szCs w:val="21"/>
                <w:lang w:bidi="ar"/>
              </w:rPr>
            </w:pPr>
          </w:p>
        </w:tc>
        <w:tc>
          <w:tcPr>
            <w:tcW w:w="299" w:type="pct"/>
            <w:shd w:val="clear" w:color="auto" w:fill="auto"/>
            <w:vAlign w:val="center"/>
          </w:tcPr>
          <w:p>
            <w:pPr>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w:t>
            </w:r>
          </w:p>
        </w:tc>
        <w:tc>
          <w:tcPr>
            <w:tcW w:w="302" w:type="pct"/>
            <w:shd w:val="clear" w:color="auto" w:fill="auto"/>
            <w:vAlign w:val="center"/>
          </w:tcPr>
          <w:p>
            <w:pPr>
              <w:rPr>
                <w:rFonts w:asciiTheme="minorEastAsia" w:hAnsiTheme="minorEastAsia" w:eastAsiaTheme="minorEastAsia" w:cstheme="minorEastAsia"/>
                <w:color w:val="000000"/>
                <w:szCs w:val="21"/>
              </w:rPr>
            </w:pPr>
          </w:p>
        </w:tc>
        <w:tc>
          <w:tcPr>
            <w:tcW w:w="458" w:type="pct"/>
            <w:shd w:val="clear" w:color="auto" w:fill="auto"/>
            <w:vAlign w:val="center"/>
          </w:tcPr>
          <w:p>
            <w:pPr>
              <w:jc w:val="cente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取证能力</w:t>
            </w:r>
          </w:p>
        </w:tc>
        <w:tc>
          <w:tcPr>
            <w:tcW w:w="3060"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支持提取iOS设备中的IPA安装文件（须提供对应的检验检验报告证明复印件）</w:t>
            </w:r>
          </w:p>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支持iOS操作系统至少覆盖7个系统版本，</w:t>
            </w:r>
            <w:r>
              <w:rPr>
                <w:rFonts w:hint="eastAsia" w:asciiTheme="minorEastAsia" w:hAnsiTheme="minorEastAsia" w:eastAsiaTheme="minorEastAsia" w:cstheme="minorEastAsia"/>
                <w:kern w:val="0"/>
                <w:szCs w:val="21"/>
                <w:lang w:bidi="ar"/>
              </w:rPr>
              <w:t>包括但不限于iOS9、10、11、12、13、14、15（提供软件功能截图）</w:t>
            </w:r>
          </w:p>
        </w:tc>
        <w:tc>
          <w:tcPr>
            <w:tcW w:w="595"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检验报告+软件功能截图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284" w:type="pct"/>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color w:val="000000"/>
                <w:szCs w:val="21"/>
                <w:lang w:bidi="ar"/>
              </w:rPr>
            </w:pPr>
          </w:p>
        </w:tc>
        <w:tc>
          <w:tcPr>
            <w:tcW w:w="299" w:type="pct"/>
            <w:shd w:val="clear" w:color="auto" w:fill="auto"/>
            <w:vAlign w:val="center"/>
          </w:tcPr>
          <w:p>
            <w:pPr>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w:t>
            </w:r>
          </w:p>
        </w:tc>
        <w:tc>
          <w:tcPr>
            <w:tcW w:w="302" w:type="pct"/>
            <w:vMerge w:val="restart"/>
            <w:shd w:val="clear" w:color="auto" w:fill="auto"/>
            <w:vAlign w:val="center"/>
          </w:tcPr>
          <w:p>
            <w:pPr>
              <w:jc w:val="center"/>
              <w:rPr>
                <w:rFonts w:asciiTheme="minorEastAsia" w:hAnsiTheme="minorEastAsia" w:eastAsiaTheme="minorEastAsia" w:cstheme="minorEastAsia"/>
                <w:color w:val="000000"/>
                <w:szCs w:val="21"/>
              </w:rPr>
            </w:pPr>
          </w:p>
        </w:tc>
        <w:tc>
          <w:tcPr>
            <w:tcW w:w="458" w:type="pct"/>
            <w:vMerge w:val="restart"/>
            <w:shd w:val="clear" w:color="auto" w:fill="auto"/>
            <w:vAlign w:val="center"/>
          </w:tcPr>
          <w:p>
            <w:pPr>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提权能力</w:t>
            </w:r>
          </w:p>
        </w:tc>
        <w:tc>
          <w:tcPr>
            <w:tcW w:w="3060"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具备苹果手机提权提取能力，基于提权能够支持全盘数据提取。基于提权能力，能够提取不低于7种iTunes无法备份的应用数据，包括但不限于微信收藏附件、QQ多媒体附件、Telegram、Potato、Signal、Twitter、Gmail 。支持iPhone 5s及更新型号的手机，最高至少能够支持到iPhone 15 Pro Max。支持iOS 操作系统</w:t>
            </w:r>
            <w:r>
              <w:rPr>
                <w:rFonts w:hint="eastAsia" w:asciiTheme="minorEastAsia" w:hAnsiTheme="minorEastAsia" w:eastAsiaTheme="minorEastAsia" w:cstheme="minorEastAsia"/>
                <w:kern w:val="0"/>
                <w:szCs w:val="21"/>
                <w:lang w:bidi="ar"/>
              </w:rPr>
              <w:t>至少覆盖9个系统版本，包括但不限于iOS9、10、11、12、13、14、15、16、17</w:t>
            </w:r>
          </w:p>
        </w:tc>
        <w:tc>
          <w:tcPr>
            <w:tcW w:w="595" w:type="pct"/>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软件功能截图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284" w:type="pct"/>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color w:val="000000"/>
                <w:szCs w:val="21"/>
                <w:lang w:bidi="ar"/>
              </w:rPr>
            </w:pPr>
          </w:p>
        </w:tc>
        <w:tc>
          <w:tcPr>
            <w:tcW w:w="299" w:type="pct"/>
            <w:shd w:val="clear" w:color="auto" w:fill="auto"/>
            <w:vAlign w:val="center"/>
          </w:tcPr>
          <w:p>
            <w:pPr>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w:t>
            </w:r>
          </w:p>
        </w:tc>
        <w:tc>
          <w:tcPr>
            <w:tcW w:w="302" w:type="pct"/>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458" w:type="pct"/>
            <w:vMerge w:val="continue"/>
            <w:shd w:val="clear" w:color="auto" w:fill="auto"/>
            <w:vAlign w:val="center"/>
          </w:tcPr>
          <w:p>
            <w:pPr>
              <w:jc w:val="center"/>
              <w:textAlignment w:val="center"/>
              <w:rPr>
                <w:rFonts w:asciiTheme="minorEastAsia" w:hAnsiTheme="minorEastAsia" w:eastAsiaTheme="minorEastAsia" w:cstheme="minorEastAsia"/>
                <w:color w:val="000000"/>
                <w:szCs w:val="21"/>
              </w:rPr>
            </w:pPr>
          </w:p>
        </w:tc>
        <w:tc>
          <w:tcPr>
            <w:tcW w:w="3060" w:type="pct"/>
            <w:shd w:val="clear" w:color="auto" w:fill="auto"/>
            <w:vAlign w:val="center"/>
          </w:tcPr>
          <w:p>
            <w:pPr>
              <w:textAlignment w:val="center"/>
              <w:rPr>
                <w:rFonts w:asciiTheme="minorEastAsia" w:hAnsiTheme="minorEastAsia" w:eastAsiaTheme="minorEastAsia" w:cstheme="minorEastAsia"/>
                <w:kern w:val="0"/>
                <w:szCs w:val="21"/>
                <w:lang w:bidi="ar"/>
              </w:rPr>
            </w:pPr>
            <w:r>
              <w:rPr>
                <w:rFonts w:hint="eastAsia" w:asciiTheme="minorEastAsia" w:hAnsiTheme="minorEastAsia" w:eastAsiaTheme="minorEastAsia" w:cstheme="minorEastAsia"/>
                <w:kern w:val="0"/>
                <w:szCs w:val="21"/>
                <w:lang w:bidi="ar"/>
              </w:rPr>
              <w:t>对ios系统手机进行支持5种方式，包含提权提取、快速提取、备份提取、截屏辅证、备份密码提取、IPA 提取（须提供对应的检验检验报告证明复印件）；</w:t>
            </w:r>
          </w:p>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kern w:val="0"/>
                <w:szCs w:val="21"/>
                <w:lang w:bidi="ar"/>
              </w:rPr>
              <w:t>快速提取能够提供提取指定应用或系统数据能力（提供软件功能截图）</w:t>
            </w:r>
          </w:p>
        </w:tc>
        <w:tc>
          <w:tcPr>
            <w:tcW w:w="595" w:type="pct"/>
            <w:shd w:val="clear" w:color="auto" w:fill="auto"/>
            <w:vAlign w:val="center"/>
          </w:tcPr>
          <w:p>
            <w:pP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检验报告</w:t>
            </w:r>
          </w:p>
          <w:p>
            <w:pP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+软件功能截图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284" w:type="pct"/>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color w:val="000000"/>
                <w:szCs w:val="21"/>
                <w:lang w:bidi="ar"/>
              </w:rPr>
            </w:pPr>
          </w:p>
        </w:tc>
        <w:tc>
          <w:tcPr>
            <w:tcW w:w="299" w:type="pct"/>
            <w:shd w:val="clear" w:color="auto" w:fill="auto"/>
            <w:vAlign w:val="center"/>
          </w:tcPr>
          <w:p>
            <w:pPr>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w:t>
            </w:r>
          </w:p>
        </w:tc>
        <w:tc>
          <w:tcPr>
            <w:tcW w:w="302" w:type="pct"/>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458" w:type="pct"/>
            <w:vMerge w:val="continue"/>
            <w:shd w:val="clear" w:color="auto" w:fill="auto"/>
            <w:vAlign w:val="center"/>
          </w:tcPr>
          <w:p>
            <w:pPr>
              <w:jc w:val="center"/>
              <w:textAlignment w:val="center"/>
              <w:rPr>
                <w:rFonts w:asciiTheme="minorEastAsia" w:hAnsiTheme="minorEastAsia" w:eastAsiaTheme="minorEastAsia" w:cstheme="minorEastAsia"/>
                <w:color w:val="000000"/>
                <w:szCs w:val="21"/>
              </w:rPr>
            </w:pPr>
          </w:p>
        </w:tc>
        <w:tc>
          <w:tcPr>
            <w:tcW w:w="3060"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苹果手机提取过程支持2种签名方式，包括自动化签名、手动签名</w:t>
            </w:r>
          </w:p>
        </w:tc>
        <w:tc>
          <w:tcPr>
            <w:tcW w:w="595" w:type="pct"/>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软件功能截图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284" w:type="pct"/>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color w:val="000000"/>
                <w:szCs w:val="21"/>
                <w:lang w:bidi="ar"/>
              </w:rPr>
            </w:pPr>
          </w:p>
        </w:tc>
        <w:tc>
          <w:tcPr>
            <w:tcW w:w="299" w:type="pct"/>
            <w:shd w:val="clear" w:color="auto" w:fill="auto"/>
            <w:vAlign w:val="center"/>
          </w:tcPr>
          <w:p>
            <w:pPr>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w:t>
            </w:r>
          </w:p>
        </w:tc>
        <w:tc>
          <w:tcPr>
            <w:tcW w:w="302" w:type="pct"/>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458" w:type="pct"/>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3060"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基于Android提权提取能力，提供快速提取能力，提取指定的应用数据或系统数据（须提供对应的检验检验报告证明复印件）；</w:t>
            </w:r>
          </w:p>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支持不少于3种芯片的设备，包括但不限于高通、MTK、麒麟等芯片的手机；（提供软件功能截图）</w:t>
            </w:r>
          </w:p>
        </w:tc>
        <w:tc>
          <w:tcPr>
            <w:tcW w:w="595" w:type="pct"/>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检验报告+软件功能截图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284" w:type="pct"/>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color w:val="000000"/>
                <w:szCs w:val="21"/>
                <w:lang w:bidi="ar"/>
              </w:rPr>
            </w:pPr>
          </w:p>
        </w:tc>
        <w:tc>
          <w:tcPr>
            <w:tcW w:w="299" w:type="pct"/>
            <w:shd w:val="clear" w:color="auto" w:fill="auto"/>
            <w:vAlign w:val="center"/>
          </w:tcPr>
          <w:p>
            <w:pPr>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w:t>
            </w:r>
          </w:p>
        </w:tc>
        <w:tc>
          <w:tcPr>
            <w:tcW w:w="302" w:type="pct"/>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458" w:type="pct"/>
            <w:shd w:val="clear" w:color="auto" w:fill="auto"/>
            <w:vAlign w:val="center"/>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解析引擎兼容</w:t>
            </w:r>
          </w:p>
        </w:tc>
        <w:tc>
          <w:tcPr>
            <w:tcW w:w="3060"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支持至少1种通过应用自带备份功能提取的备份文件（数据包）的导入解析，包括但不限于SignalBackup</w:t>
            </w:r>
          </w:p>
        </w:tc>
        <w:tc>
          <w:tcPr>
            <w:tcW w:w="595" w:type="pct"/>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4" w:type="pct"/>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color w:val="000000"/>
                <w:szCs w:val="21"/>
                <w:lang w:bidi="ar"/>
              </w:rPr>
            </w:pPr>
          </w:p>
        </w:tc>
        <w:tc>
          <w:tcPr>
            <w:tcW w:w="299" w:type="pct"/>
            <w:shd w:val="clear" w:color="auto" w:fill="auto"/>
            <w:vAlign w:val="center"/>
          </w:tcPr>
          <w:p>
            <w:pPr>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w:t>
            </w:r>
          </w:p>
        </w:tc>
        <w:tc>
          <w:tcPr>
            <w:tcW w:w="302" w:type="pct"/>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458" w:type="pct"/>
            <w:vMerge w:val="restart"/>
            <w:shd w:val="clear" w:color="auto" w:fill="auto"/>
            <w:vAlign w:val="center"/>
          </w:tcPr>
          <w:p>
            <w:pPr>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系统数据分析</w:t>
            </w:r>
          </w:p>
        </w:tc>
        <w:tc>
          <w:tcPr>
            <w:tcW w:w="3060"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支持解析至少27类系统日志，包括但不限于开关机日志、Wifi 日志、应用日志、通讯行为、AirDrop 使用记录、电量使用日志、屏幕锁定状态、通知历史、推送消息历史、应用安装、应用 Internet、应用使用、音频使用、相机使用、流量使用、备份历史、蓝牙日志、定位使用、配件连接历史、飞行模式历史、运营商注册历史、屏幕快照、蓝牙设备、用户帐户、设备用户、基站、情景模式等</w:t>
            </w:r>
            <w:r>
              <w:rPr>
                <w:rFonts w:asciiTheme="minorEastAsia" w:hAnsiTheme="minorEastAsia" w:eastAsiaTheme="minorEastAsia" w:cstheme="minorEastAsia"/>
                <w:color w:val="000000"/>
                <w:kern w:val="0"/>
                <w:szCs w:val="21"/>
                <w:lang w:bidi="ar"/>
              </w:rPr>
              <w:t xml:space="preserve"> </w:t>
            </w:r>
          </w:p>
        </w:tc>
        <w:tc>
          <w:tcPr>
            <w:tcW w:w="595" w:type="pct"/>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4" w:type="pct"/>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color w:val="000000"/>
                <w:szCs w:val="21"/>
                <w:lang w:bidi="ar"/>
              </w:rPr>
            </w:pPr>
          </w:p>
        </w:tc>
        <w:tc>
          <w:tcPr>
            <w:tcW w:w="299" w:type="pct"/>
            <w:shd w:val="clear" w:color="auto" w:fill="auto"/>
            <w:vAlign w:val="center"/>
          </w:tcPr>
          <w:p>
            <w:pPr>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w:t>
            </w:r>
          </w:p>
        </w:tc>
        <w:tc>
          <w:tcPr>
            <w:tcW w:w="302" w:type="pct"/>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458" w:type="pct"/>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3060"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支持从iOS Keychain种解析至少10类信息，包括但不限于：证书、账户密码、iTunes备份密码、身份、网络密码、密钥、应用Token、AppleID、WiFi、邮箱账号等</w:t>
            </w:r>
          </w:p>
        </w:tc>
        <w:tc>
          <w:tcPr>
            <w:tcW w:w="595" w:type="pct"/>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84" w:type="pct"/>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color w:val="000000"/>
                <w:szCs w:val="21"/>
                <w:lang w:bidi="ar"/>
              </w:rPr>
            </w:pPr>
          </w:p>
        </w:tc>
        <w:tc>
          <w:tcPr>
            <w:tcW w:w="299" w:type="pct"/>
            <w:shd w:val="clear" w:color="auto" w:fill="auto"/>
            <w:vAlign w:val="center"/>
          </w:tcPr>
          <w:p>
            <w:pPr>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w:t>
            </w:r>
          </w:p>
        </w:tc>
        <w:tc>
          <w:tcPr>
            <w:tcW w:w="302" w:type="pct"/>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458" w:type="pct"/>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3060"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解析至少2种网络连接信息，包括但不限于wifi和基站信息。可查看苹果基站3种信息，包括经度、纬度、时间等,可查看WiFi信息，提取苹果手机WiFi的3种信息，包括名称、临时密码、时间，提取安卓手机的2种WiFi信息，包括SSID、临时用户密码</w:t>
            </w:r>
          </w:p>
        </w:tc>
        <w:tc>
          <w:tcPr>
            <w:tcW w:w="595" w:type="pct"/>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84" w:type="pct"/>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color w:val="000000"/>
                <w:szCs w:val="21"/>
                <w:lang w:bidi="ar"/>
              </w:rPr>
            </w:pPr>
          </w:p>
        </w:tc>
        <w:tc>
          <w:tcPr>
            <w:tcW w:w="299" w:type="pct"/>
            <w:shd w:val="clear" w:color="auto" w:fill="auto"/>
            <w:vAlign w:val="center"/>
          </w:tcPr>
          <w:p>
            <w:pPr>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w:t>
            </w:r>
          </w:p>
        </w:tc>
        <w:tc>
          <w:tcPr>
            <w:tcW w:w="302" w:type="pct"/>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458" w:type="pct"/>
            <w:shd w:val="clear" w:color="auto" w:fill="auto"/>
            <w:vAlign w:val="center"/>
          </w:tcPr>
          <w:p>
            <w:pPr>
              <w:jc w:val="cente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应用程序分析</w:t>
            </w:r>
          </w:p>
        </w:tc>
        <w:tc>
          <w:tcPr>
            <w:tcW w:w="3060"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支持解析至少27个境外即时消息类应用痕迹，包括但不限于WhatsApp、Facebook、Telegram、Twitter、Signal、Instagram、Skype、68 Messenger、PPchat、Clubhouse、Discord、Messenger、Gettr、ICQ、KakaoTalk、Line、Secret、Sugram、Talkatone、Btok、Nicegram，Potato、TelegramX、Viber、Voxer、Wickrme、Zalo等</w:t>
            </w:r>
          </w:p>
        </w:tc>
        <w:tc>
          <w:tcPr>
            <w:tcW w:w="595" w:type="pct"/>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软件功能截图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84" w:type="pct"/>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color w:val="000000"/>
                <w:szCs w:val="21"/>
                <w:lang w:bidi="ar"/>
              </w:rPr>
            </w:pPr>
          </w:p>
        </w:tc>
        <w:tc>
          <w:tcPr>
            <w:tcW w:w="299" w:type="pct"/>
            <w:shd w:val="clear" w:color="auto" w:fill="auto"/>
            <w:vAlign w:val="center"/>
          </w:tcPr>
          <w:p>
            <w:pPr>
              <w:jc w:val="cente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szCs w:val="21"/>
              </w:rPr>
              <w:t>▲</w:t>
            </w:r>
          </w:p>
        </w:tc>
        <w:tc>
          <w:tcPr>
            <w:tcW w:w="302" w:type="pct"/>
            <w:vMerge w:val="restart"/>
            <w:shd w:val="clear" w:color="auto" w:fill="auto"/>
            <w:vAlign w:val="center"/>
          </w:tcPr>
          <w:p>
            <w:pPr>
              <w:jc w:val="center"/>
              <w:rPr>
                <w:rFonts w:asciiTheme="minorEastAsia" w:hAnsiTheme="minorEastAsia" w:eastAsiaTheme="minorEastAsia" w:cstheme="minorEastAsia"/>
                <w:color w:val="000000"/>
                <w:szCs w:val="21"/>
              </w:rPr>
            </w:pPr>
          </w:p>
        </w:tc>
        <w:tc>
          <w:tcPr>
            <w:tcW w:w="458" w:type="pct"/>
            <w:vMerge w:val="restart"/>
            <w:shd w:val="clear" w:color="auto" w:fill="auto"/>
            <w:vAlign w:val="center"/>
          </w:tcPr>
          <w:p>
            <w:pPr>
              <w:jc w:val="cente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多语言支持</w:t>
            </w:r>
          </w:p>
        </w:tc>
        <w:tc>
          <w:tcPr>
            <w:tcW w:w="3060"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支持语音转文字，将语音文件自动识别成文字内容。支持单个或一次性进行至少20条批量语音识别</w:t>
            </w:r>
          </w:p>
        </w:tc>
        <w:tc>
          <w:tcPr>
            <w:tcW w:w="595" w:type="pct"/>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软件功能截图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4" w:type="pct"/>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color w:val="000000"/>
                <w:szCs w:val="21"/>
                <w:lang w:bidi="ar"/>
              </w:rPr>
            </w:pPr>
          </w:p>
        </w:tc>
        <w:tc>
          <w:tcPr>
            <w:tcW w:w="299" w:type="pct"/>
            <w:shd w:val="clear" w:color="auto" w:fill="auto"/>
            <w:vAlign w:val="center"/>
          </w:tcPr>
          <w:p>
            <w:pPr>
              <w:jc w:val="cente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szCs w:val="21"/>
              </w:rPr>
              <w:t>▲</w:t>
            </w:r>
          </w:p>
        </w:tc>
        <w:tc>
          <w:tcPr>
            <w:tcW w:w="302" w:type="pct"/>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458" w:type="pct"/>
            <w:vMerge w:val="continue"/>
            <w:shd w:val="clear" w:color="auto" w:fill="auto"/>
            <w:vAlign w:val="center"/>
          </w:tcPr>
          <w:p>
            <w:pPr>
              <w:jc w:val="center"/>
              <w:textAlignment w:val="center"/>
              <w:rPr>
                <w:rFonts w:asciiTheme="minorEastAsia" w:hAnsiTheme="minorEastAsia" w:eastAsiaTheme="minorEastAsia" w:cstheme="minorEastAsia"/>
                <w:szCs w:val="21"/>
              </w:rPr>
            </w:pPr>
          </w:p>
        </w:tc>
        <w:tc>
          <w:tcPr>
            <w:tcW w:w="3060"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机器翻译，至少支持1种语言的翻译</w:t>
            </w:r>
          </w:p>
        </w:tc>
        <w:tc>
          <w:tcPr>
            <w:tcW w:w="595" w:type="pct"/>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软件功能截图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284" w:type="pct"/>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color w:val="000000"/>
                <w:szCs w:val="21"/>
                <w:lang w:bidi="ar"/>
              </w:rPr>
            </w:pPr>
          </w:p>
        </w:tc>
        <w:tc>
          <w:tcPr>
            <w:tcW w:w="299" w:type="pct"/>
            <w:shd w:val="clear" w:color="auto" w:fill="auto"/>
            <w:vAlign w:val="center"/>
          </w:tcPr>
          <w:p>
            <w:pPr>
              <w:jc w:val="cente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szCs w:val="21"/>
              </w:rPr>
              <w:t>★</w:t>
            </w:r>
          </w:p>
        </w:tc>
        <w:tc>
          <w:tcPr>
            <w:tcW w:w="302" w:type="pct"/>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458" w:type="pct"/>
            <w:vMerge w:val="restart"/>
            <w:shd w:val="clear" w:color="auto" w:fill="auto"/>
            <w:vAlign w:val="center"/>
          </w:tcPr>
          <w:p>
            <w:pPr>
              <w:jc w:val="center"/>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color w:val="000000"/>
                <w:kern w:val="0"/>
                <w:szCs w:val="21"/>
                <w:lang w:bidi="ar"/>
              </w:rPr>
              <w:t>智能分析</w:t>
            </w:r>
          </w:p>
        </w:tc>
        <w:tc>
          <w:tcPr>
            <w:tcW w:w="3060"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支持多页面同时浏览分析，包括系统支持跨案件、跨检材地同时浏览多个应用数据，以Tab页面的形式展示；（须提供对应的检验检验报告证明复印件）</w:t>
            </w:r>
          </w:p>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支持至少5个案件多个页面的同时浏览分析（提供软件功能截图）</w:t>
            </w:r>
          </w:p>
        </w:tc>
        <w:tc>
          <w:tcPr>
            <w:tcW w:w="595" w:type="pct"/>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检验报告+软件功能截图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84" w:type="pct"/>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color w:val="000000"/>
                <w:szCs w:val="21"/>
                <w:lang w:bidi="ar"/>
              </w:rPr>
            </w:pPr>
          </w:p>
        </w:tc>
        <w:tc>
          <w:tcPr>
            <w:tcW w:w="299" w:type="pct"/>
            <w:shd w:val="clear" w:color="auto" w:fill="auto"/>
            <w:vAlign w:val="center"/>
          </w:tcPr>
          <w:p>
            <w:pPr>
              <w:jc w:val="center"/>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szCs w:val="21"/>
              </w:rPr>
              <w:t>★</w:t>
            </w:r>
          </w:p>
        </w:tc>
        <w:tc>
          <w:tcPr>
            <w:tcW w:w="302" w:type="pct"/>
            <w:vMerge w:val="restart"/>
            <w:shd w:val="clear" w:color="auto" w:fill="auto"/>
            <w:vAlign w:val="center"/>
          </w:tcPr>
          <w:p>
            <w:pPr>
              <w:jc w:val="center"/>
              <w:rPr>
                <w:rFonts w:asciiTheme="minorEastAsia" w:hAnsiTheme="minorEastAsia" w:eastAsiaTheme="minorEastAsia" w:cstheme="minorEastAsia"/>
                <w:color w:val="000000"/>
                <w:szCs w:val="21"/>
              </w:rPr>
            </w:pPr>
          </w:p>
        </w:tc>
        <w:tc>
          <w:tcPr>
            <w:tcW w:w="458" w:type="pct"/>
            <w:vMerge w:val="continue"/>
            <w:shd w:val="clear" w:color="auto" w:fill="auto"/>
            <w:vAlign w:val="center"/>
          </w:tcPr>
          <w:p>
            <w:pPr>
              <w:jc w:val="center"/>
              <w:textAlignment w:val="center"/>
              <w:rPr>
                <w:rFonts w:asciiTheme="minorEastAsia" w:hAnsiTheme="minorEastAsia" w:eastAsiaTheme="minorEastAsia" w:cstheme="minorEastAsia"/>
                <w:szCs w:val="21"/>
              </w:rPr>
            </w:pPr>
          </w:p>
        </w:tc>
        <w:tc>
          <w:tcPr>
            <w:tcW w:w="3060"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支持获取Airdrop隔空投送传输的日志文件，通过工具箱自定义号冠可获取手机号码，最大长度至少为13位数字</w:t>
            </w:r>
          </w:p>
        </w:tc>
        <w:tc>
          <w:tcPr>
            <w:tcW w:w="595" w:type="pct"/>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84" w:type="pct"/>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color w:val="000000"/>
                <w:szCs w:val="21"/>
                <w:lang w:bidi="ar"/>
              </w:rPr>
            </w:pPr>
          </w:p>
        </w:tc>
        <w:tc>
          <w:tcPr>
            <w:tcW w:w="299" w:type="pct"/>
            <w:shd w:val="clear" w:color="auto" w:fill="auto"/>
            <w:vAlign w:val="center"/>
          </w:tcPr>
          <w:p>
            <w:pPr>
              <w:jc w:val="center"/>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szCs w:val="21"/>
              </w:rPr>
              <w:t>▲</w:t>
            </w:r>
          </w:p>
        </w:tc>
        <w:tc>
          <w:tcPr>
            <w:tcW w:w="302" w:type="pct"/>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458" w:type="pct"/>
            <w:vMerge w:val="continue"/>
            <w:shd w:val="clear" w:color="auto" w:fill="auto"/>
            <w:vAlign w:val="center"/>
          </w:tcPr>
          <w:p>
            <w:pPr>
              <w:jc w:val="center"/>
              <w:textAlignment w:val="center"/>
              <w:rPr>
                <w:rFonts w:asciiTheme="minorEastAsia" w:hAnsiTheme="minorEastAsia" w:eastAsiaTheme="minorEastAsia" w:cstheme="minorEastAsia"/>
                <w:szCs w:val="21"/>
              </w:rPr>
            </w:pPr>
          </w:p>
        </w:tc>
        <w:tc>
          <w:tcPr>
            <w:tcW w:w="3060"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支持AI图片分析，支持至少4种类型的分析，包括但不限于卡证、敏感对象、暴恐场景、不健康内容等图片分析</w:t>
            </w:r>
          </w:p>
        </w:tc>
        <w:tc>
          <w:tcPr>
            <w:tcW w:w="595" w:type="pct"/>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软件功能截图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84" w:type="pct"/>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color w:val="000000"/>
                <w:szCs w:val="21"/>
                <w:lang w:bidi="ar"/>
              </w:rPr>
            </w:pPr>
          </w:p>
        </w:tc>
        <w:tc>
          <w:tcPr>
            <w:tcW w:w="299" w:type="pct"/>
            <w:shd w:val="clear" w:color="auto" w:fill="auto"/>
            <w:vAlign w:val="center"/>
          </w:tcPr>
          <w:p>
            <w:pPr>
              <w:jc w:val="cente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szCs w:val="21"/>
              </w:rPr>
              <w:t>▲</w:t>
            </w:r>
          </w:p>
        </w:tc>
        <w:tc>
          <w:tcPr>
            <w:tcW w:w="302" w:type="pct"/>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458" w:type="pct"/>
            <w:vMerge w:val="continue"/>
            <w:shd w:val="clear" w:color="auto" w:fill="auto"/>
            <w:vAlign w:val="center"/>
          </w:tcPr>
          <w:p>
            <w:pPr>
              <w:jc w:val="center"/>
              <w:textAlignment w:val="center"/>
              <w:rPr>
                <w:rFonts w:asciiTheme="minorEastAsia" w:hAnsiTheme="minorEastAsia" w:eastAsiaTheme="minorEastAsia" w:cstheme="minorEastAsia"/>
                <w:szCs w:val="21"/>
              </w:rPr>
            </w:pPr>
          </w:p>
        </w:tc>
        <w:tc>
          <w:tcPr>
            <w:tcW w:w="3060"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支持关键字预警，对至少10种不同的类型数据中进行预警，不同分类的关键词进行预警筛查</w:t>
            </w:r>
          </w:p>
        </w:tc>
        <w:tc>
          <w:tcPr>
            <w:tcW w:w="595" w:type="pct"/>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软件功能截图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84" w:type="pct"/>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color w:val="000000"/>
                <w:szCs w:val="21"/>
                <w:lang w:bidi="ar"/>
              </w:rPr>
            </w:pPr>
          </w:p>
        </w:tc>
        <w:tc>
          <w:tcPr>
            <w:tcW w:w="299" w:type="pct"/>
            <w:shd w:val="clear" w:color="auto" w:fill="auto"/>
            <w:vAlign w:val="center"/>
          </w:tcPr>
          <w:p>
            <w:pPr>
              <w:jc w:val="cente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szCs w:val="21"/>
              </w:rPr>
              <w:t>▲</w:t>
            </w:r>
          </w:p>
        </w:tc>
        <w:tc>
          <w:tcPr>
            <w:tcW w:w="302" w:type="pct"/>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458" w:type="pct"/>
            <w:vMerge w:val="continue"/>
            <w:shd w:val="clear" w:color="auto" w:fill="auto"/>
            <w:vAlign w:val="center"/>
          </w:tcPr>
          <w:p>
            <w:pPr>
              <w:jc w:val="center"/>
              <w:textAlignment w:val="center"/>
              <w:rPr>
                <w:rFonts w:asciiTheme="minorEastAsia" w:hAnsiTheme="minorEastAsia" w:eastAsiaTheme="minorEastAsia" w:cstheme="minorEastAsia"/>
                <w:szCs w:val="21"/>
              </w:rPr>
            </w:pPr>
          </w:p>
        </w:tc>
        <w:tc>
          <w:tcPr>
            <w:tcW w:w="3060"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支持文件分析，支持3类密级别，包括但不限于秘密、机密、绝密字样的文件自动筛查</w:t>
            </w:r>
          </w:p>
        </w:tc>
        <w:tc>
          <w:tcPr>
            <w:tcW w:w="595" w:type="pct"/>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软件功能截图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84" w:type="pct"/>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color w:val="000000"/>
                <w:szCs w:val="21"/>
                <w:lang w:bidi="ar"/>
              </w:rPr>
            </w:pPr>
          </w:p>
        </w:tc>
        <w:tc>
          <w:tcPr>
            <w:tcW w:w="299" w:type="pct"/>
            <w:shd w:val="clear" w:color="auto" w:fill="auto"/>
            <w:vAlign w:val="center"/>
          </w:tcPr>
          <w:p>
            <w:pPr>
              <w:jc w:val="cente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szCs w:val="21"/>
              </w:rPr>
              <w:t>▲</w:t>
            </w:r>
          </w:p>
        </w:tc>
        <w:tc>
          <w:tcPr>
            <w:tcW w:w="302" w:type="pct"/>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458" w:type="pct"/>
            <w:vMerge w:val="continue"/>
            <w:shd w:val="clear" w:color="auto" w:fill="auto"/>
            <w:vAlign w:val="center"/>
          </w:tcPr>
          <w:p>
            <w:pPr>
              <w:jc w:val="center"/>
              <w:textAlignment w:val="center"/>
              <w:rPr>
                <w:rFonts w:asciiTheme="minorEastAsia" w:hAnsiTheme="minorEastAsia" w:eastAsiaTheme="minorEastAsia" w:cstheme="minorEastAsia"/>
                <w:szCs w:val="21"/>
              </w:rPr>
            </w:pPr>
          </w:p>
        </w:tc>
        <w:tc>
          <w:tcPr>
            <w:tcW w:w="3060"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支持智能文书，支持自定义笔录模板，至少支持5种字段类型，每种类型不少于5种配置项，根据用户上传的自定义模板导出文书</w:t>
            </w:r>
          </w:p>
        </w:tc>
        <w:tc>
          <w:tcPr>
            <w:tcW w:w="595" w:type="pct"/>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软件功能截图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84" w:type="pct"/>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color w:val="000000"/>
                <w:szCs w:val="21"/>
                <w:lang w:bidi="ar"/>
              </w:rPr>
            </w:pPr>
          </w:p>
        </w:tc>
        <w:tc>
          <w:tcPr>
            <w:tcW w:w="299" w:type="pct"/>
            <w:shd w:val="clear" w:color="auto" w:fill="auto"/>
            <w:vAlign w:val="center"/>
          </w:tcPr>
          <w:p>
            <w:pPr>
              <w:jc w:val="cente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szCs w:val="21"/>
              </w:rPr>
              <w:t>▲</w:t>
            </w:r>
          </w:p>
        </w:tc>
        <w:tc>
          <w:tcPr>
            <w:tcW w:w="302" w:type="pct"/>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458" w:type="pct"/>
            <w:vMerge w:val="continue"/>
            <w:shd w:val="clear" w:color="auto" w:fill="auto"/>
            <w:vAlign w:val="center"/>
          </w:tcPr>
          <w:p>
            <w:pPr>
              <w:jc w:val="center"/>
              <w:textAlignment w:val="center"/>
              <w:rPr>
                <w:rFonts w:asciiTheme="minorEastAsia" w:hAnsiTheme="minorEastAsia" w:eastAsiaTheme="minorEastAsia" w:cstheme="minorEastAsia"/>
                <w:szCs w:val="21"/>
              </w:rPr>
            </w:pPr>
          </w:p>
        </w:tc>
        <w:tc>
          <w:tcPr>
            <w:tcW w:w="3060"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具备时间线可视化分析能力，通过分析手机中的至少5种应用类型的事件来创建时间线。此功能支持按类型和时间段进行筛选</w:t>
            </w:r>
          </w:p>
        </w:tc>
        <w:tc>
          <w:tcPr>
            <w:tcW w:w="595" w:type="pct"/>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软件功能截图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84" w:type="pct"/>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color w:val="000000"/>
                <w:szCs w:val="21"/>
                <w:lang w:bidi="ar"/>
              </w:rPr>
            </w:pPr>
          </w:p>
        </w:tc>
        <w:tc>
          <w:tcPr>
            <w:tcW w:w="299" w:type="pct"/>
            <w:shd w:val="clear" w:color="auto" w:fill="auto"/>
            <w:vAlign w:val="center"/>
          </w:tcPr>
          <w:p>
            <w:pPr>
              <w:jc w:val="cente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szCs w:val="21"/>
              </w:rPr>
              <w:t>▲</w:t>
            </w:r>
          </w:p>
        </w:tc>
        <w:tc>
          <w:tcPr>
            <w:tcW w:w="302" w:type="pct"/>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458" w:type="pct"/>
            <w:vMerge w:val="continue"/>
            <w:shd w:val="clear" w:color="auto" w:fill="auto"/>
            <w:vAlign w:val="center"/>
          </w:tcPr>
          <w:p>
            <w:pPr>
              <w:jc w:val="center"/>
              <w:textAlignment w:val="center"/>
              <w:rPr>
                <w:rFonts w:asciiTheme="minorEastAsia" w:hAnsiTheme="minorEastAsia" w:eastAsiaTheme="minorEastAsia" w:cstheme="minorEastAsia"/>
                <w:szCs w:val="21"/>
              </w:rPr>
            </w:pPr>
          </w:p>
        </w:tc>
        <w:tc>
          <w:tcPr>
            <w:tcW w:w="3060"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具备通联分析能力，分析设备机主的通联数据，支持至少3种类型的排行统计。可绘制社交网络图谱，图谱中的节点不少于20个，从而识别社交关系，判断社交频次</w:t>
            </w:r>
          </w:p>
        </w:tc>
        <w:tc>
          <w:tcPr>
            <w:tcW w:w="595" w:type="pct"/>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软件功能截图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84" w:type="pct"/>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color w:val="000000"/>
                <w:szCs w:val="21"/>
                <w:lang w:bidi="ar"/>
              </w:rPr>
            </w:pPr>
          </w:p>
        </w:tc>
        <w:tc>
          <w:tcPr>
            <w:tcW w:w="299" w:type="pct"/>
            <w:shd w:val="clear" w:color="auto" w:fill="auto"/>
            <w:vAlign w:val="center"/>
          </w:tcPr>
          <w:p>
            <w:pPr>
              <w:jc w:val="cente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szCs w:val="21"/>
              </w:rPr>
              <w:t>▲</w:t>
            </w:r>
          </w:p>
        </w:tc>
        <w:tc>
          <w:tcPr>
            <w:tcW w:w="302" w:type="pct"/>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458" w:type="pct"/>
            <w:vMerge w:val="continue"/>
            <w:shd w:val="clear" w:color="auto" w:fill="auto"/>
            <w:vAlign w:val="center"/>
          </w:tcPr>
          <w:p>
            <w:pPr>
              <w:jc w:val="center"/>
              <w:textAlignment w:val="center"/>
              <w:rPr>
                <w:rFonts w:asciiTheme="minorEastAsia" w:hAnsiTheme="minorEastAsia" w:eastAsiaTheme="minorEastAsia" w:cstheme="minorEastAsia"/>
                <w:szCs w:val="21"/>
              </w:rPr>
            </w:pPr>
          </w:p>
        </w:tc>
        <w:tc>
          <w:tcPr>
            <w:tcW w:w="3060"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具备人物画像分析能力，构建设备机主的个人档案，支持至少5种类型的汇总，包括但不限于手机号、身份证号、地址、银行卡号以及虚拟身份信息，呈现其个人信息和行为特征</w:t>
            </w:r>
          </w:p>
        </w:tc>
        <w:tc>
          <w:tcPr>
            <w:tcW w:w="595" w:type="pct"/>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软件功能截图</w:t>
            </w:r>
          </w:p>
        </w:tc>
      </w:tr>
    </w:tbl>
    <w:p>
      <w:pPr>
        <w:rPr>
          <w:rFonts w:asciiTheme="minorEastAsia" w:hAnsiTheme="minorEastAsia" w:eastAsiaTheme="minorEastAsia" w:cstheme="minorEastAsia"/>
          <w:szCs w:val="21"/>
        </w:rPr>
      </w:pPr>
    </w:p>
    <w:p>
      <w:pPr>
        <w:pStyle w:val="5"/>
        <w:spacing w:before="15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第2包 介质取证塔</w:t>
      </w:r>
      <w:r>
        <w:rPr>
          <w:rFonts w:hint="default" w:ascii="Times New Roman" w:hAnsi="Times New Roman" w:cs="Times New Roman" w:eastAsiaTheme="minorEastAsia"/>
          <w:szCs w:val="21"/>
        </w:rPr>
        <w:t>Ⅱ</w:t>
      </w:r>
    </w:p>
    <w:tbl>
      <w:tblPr>
        <w:tblStyle w:val="81"/>
        <w:tblW w:w="5420" w:type="pct"/>
        <w:jc w:val="center"/>
        <w:tblLayout w:type="autofit"/>
        <w:tblCellMar>
          <w:top w:w="0" w:type="dxa"/>
          <w:left w:w="108" w:type="dxa"/>
          <w:bottom w:w="0" w:type="dxa"/>
          <w:right w:w="108" w:type="dxa"/>
        </w:tblCellMar>
      </w:tblPr>
      <w:tblGrid>
        <w:gridCol w:w="572"/>
        <w:gridCol w:w="582"/>
        <w:gridCol w:w="599"/>
        <w:gridCol w:w="892"/>
        <w:gridCol w:w="8"/>
        <w:gridCol w:w="6000"/>
        <w:gridCol w:w="1169"/>
      </w:tblGrid>
      <w:tr>
        <w:tblPrEx>
          <w:tblCellMar>
            <w:top w:w="0" w:type="dxa"/>
            <w:left w:w="108" w:type="dxa"/>
            <w:bottom w:w="0" w:type="dxa"/>
            <w:right w:w="108" w:type="dxa"/>
          </w:tblCellMar>
        </w:tblPrEx>
        <w:trPr>
          <w:trHeight w:val="600" w:hRule="atLeast"/>
          <w:tblHeader/>
          <w:jc w:val="center"/>
        </w:trPr>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b/>
                <w:bCs/>
                <w:color w:val="000000"/>
                <w:kern w:val="0"/>
                <w:szCs w:val="21"/>
                <w:lang w:bidi="ar"/>
              </w:rPr>
              <w:t>序号</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kern w:val="0"/>
                <w:szCs w:val="21"/>
                <w:lang w:bidi="ar"/>
              </w:rPr>
              <w:t>重要性</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kern w:val="0"/>
                <w:szCs w:val="21"/>
                <w:lang w:bidi="ar"/>
              </w:rPr>
              <w:t>名称</w:t>
            </w:r>
          </w:p>
        </w:tc>
        <w:tc>
          <w:tcPr>
            <w:tcW w:w="4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kern w:val="0"/>
                <w:szCs w:val="21"/>
                <w:lang w:bidi="ar"/>
              </w:rPr>
              <w:t>指标项</w:t>
            </w:r>
          </w:p>
        </w:tc>
        <w:tc>
          <w:tcPr>
            <w:tcW w:w="30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kern w:val="0"/>
                <w:szCs w:val="21"/>
                <w:lang w:bidi="ar"/>
              </w:rPr>
              <w:t>技术要求</w:t>
            </w:r>
          </w:p>
        </w:tc>
        <w:tc>
          <w:tcPr>
            <w:tcW w:w="59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kern w:val="0"/>
                <w:szCs w:val="21"/>
                <w:lang w:bidi="ar"/>
              </w:rPr>
              <w:t>证明材料要求</w:t>
            </w:r>
          </w:p>
        </w:tc>
      </w:tr>
      <w:tr>
        <w:tblPrEx>
          <w:tblCellMar>
            <w:top w:w="0" w:type="dxa"/>
            <w:left w:w="108" w:type="dxa"/>
            <w:bottom w:w="0" w:type="dxa"/>
            <w:right w:w="108" w:type="dxa"/>
          </w:tblCellMar>
        </w:tblPrEx>
        <w:trPr>
          <w:trHeight w:val="300" w:hRule="atLeast"/>
          <w:jc w:val="center"/>
        </w:trPr>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color w:val="000000"/>
                <w:szCs w:val="21"/>
                <w:lang w:bidi="ar"/>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w:t>
            </w:r>
          </w:p>
        </w:tc>
        <w:tc>
          <w:tcPr>
            <w:tcW w:w="305" w:type="pct"/>
            <w:vMerge w:val="restart"/>
            <w:tcBorders>
              <w:top w:val="single" w:color="000000" w:sz="4" w:space="0"/>
              <w:left w:val="single" w:color="000000" w:sz="4" w:space="0"/>
              <w:right w:val="single" w:color="000000" w:sz="4" w:space="0"/>
            </w:tcBorders>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功能要求</w:t>
            </w:r>
          </w:p>
        </w:tc>
        <w:tc>
          <w:tcPr>
            <w:tcW w:w="4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显示器</w:t>
            </w:r>
          </w:p>
        </w:tc>
        <w:tc>
          <w:tcPr>
            <w:tcW w:w="3054"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机身主面板配备不少于1块12英寸以上触控副屏</w:t>
            </w:r>
          </w:p>
        </w:tc>
        <w:tc>
          <w:tcPr>
            <w:tcW w:w="595"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硬件图片</w:t>
            </w:r>
          </w:p>
        </w:tc>
      </w:tr>
      <w:tr>
        <w:tblPrEx>
          <w:tblCellMar>
            <w:top w:w="0" w:type="dxa"/>
            <w:left w:w="108" w:type="dxa"/>
            <w:bottom w:w="0" w:type="dxa"/>
            <w:right w:w="108" w:type="dxa"/>
          </w:tblCellMar>
        </w:tblPrEx>
        <w:trPr>
          <w:trHeight w:val="350" w:hRule="atLeast"/>
          <w:jc w:val="center"/>
        </w:trPr>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color w:val="000000"/>
                <w:szCs w:val="21"/>
                <w:lang w:bidi="ar"/>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w:t>
            </w:r>
          </w:p>
        </w:tc>
        <w:tc>
          <w:tcPr>
            <w:tcW w:w="305" w:type="pct"/>
            <w:vMerge w:val="continue"/>
            <w:tcBorders>
              <w:left w:val="single" w:color="000000" w:sz="4" w:space="0"/>
              <w:right w:val="single" w:color="000000" w:sz="4" w:space="0"/>
            </w:tcBorders>
            <w:shd w:val="clear" w:color="auto" w:fill="auto"/>
            <w:vAlign w:val="center"/>
          </w:tcPr>
          <w:p>
            <w:pPr>
              <w:rPr>
                <w:rFonts w:asciiTheme="minorEastAsia" w:hAnsiTheme="minorEastAsia" w:eastAsiaTheme="minorEastAsia" w:cstheme="minorEastAsia"/>
                <w:color w:val="000000"/>
                <w:szCs w:val="21"/>
              </w:rPr>
            </w:pPr>
          </w:p>
        </w:tc>
        <w:tc>
          <w:tcPr>
            <w:tcW w:w="4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接口</w:t>
            </w:r>
          </w:p>
        </w:tc>
        <w:tc>
          <w:tcPr>
            <w:tcW w:w="3054"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不少于1个支持U.2（PCI</w:t>
            </w:r>
            <w:r>
              <w:rPr>
                <w:rFonts w:asciiTheme="minorEastAsia" w:hAnsiTheme="minorEastAsia" w:eastAsiaTheme="minorEastAsia" w:cstheme="minorEastAsia"/>
                <w:color w:val="000000"/>
                <w:kern w:val="0"/>
                <w:szCs w:val="21"/>
                <w:lang w:bidi="ar"/>
              </w:rPr>
              <w:t>-</w:t>
            </w:r>
            <w:r>
              <w:rPr>
                <w:rFonts w:hint="eastAsia" w:asciiTheme="minorEastAsia" w:hAnsiTheme="minorEastAsia" w:eastAsiaTheme="minorEastAsia" w:cstheme="minorEastAsia"/>
                <w:color w:val="000000"/>
                <w:kern w:val="0"/>
                <w:szCs w:val="21"/>
                <w:lang w:bidi="ar"/>
              </w:rPr>
              <w:t>E只读）接口的只读盘仓和读写盘仓，并且均需支持热插拔</w:t>
            </w:r>
          </w:p>
        </w:tc>
        <w:tc>
          <w:tcPr>
            <w:tcW w:w="595"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硬件图片</w:t>
            </w:r>
          </w:p>
        </w:tc>
      </w:tr>
      <w:tr>
        <w:tblPrEx>
          <w:tblCellMar>
            <w:top w:w="0" w:type="dxa"/>
            <w:left w:w="108" w:type="dxa"/>
            <w:bottom w:w="0" w:type="dxa"/>
            <w:right w:w="108" w:type="dxa"/>
          </w:tblCellMar>
        </w:tblPrEx>
        <w:trPr>
          <w:trHeight w:val="350" w:hRule="atLeast"/>
          <w:jc w:val="center"/>
        </w:trPr>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color w:val="000000"/>
                <w:szCs w:val="21"/>
                <w:lang w:bidi="ar"/>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w:t>
            </w:r>
          </w:p>
        </w:tc>
        <w:tc>
          <w:tcPr>
            <w:tcW w:w="305" w:type="pct"/>
            <w:vMerge w:val="continue"/>
            <w:tcBorders>
              <w:left w:val="single" w:color="000000" w:sz="4" w:space="0"/>
              <w:right w:val="single" w:color="000000" w:sz="4" w:space="0"/>
            </w:tcBorders>
            <w:shd w:val="clear" w:color="auto" w:fill="auto"/>
            <w:vAlign w:val="center"/>
          </w:tcPr>
          <w:p>
            <w:pPr>
              <w:rPr>
                <w:rFonts w:asciiTheme="minorEastAsia" w:hAnsiTheme="minorEastAsia" w:eastAsiaTheme="minorEastAsia" w:cstheme="minorEastAsia"/>
                <w:color w:val="000000"/>
                <w:szCs w:val="21"/>
              </w:rPr>
            </w:pPr>
          </w:p>
        </w:tc>
        <w:tc>
          <w:tcPr>
            <w:tcW w:w="4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高拍仪</w:t>
            </w:r>
          </w:p>
        </w:tc>
        <w:tc>
          <w:tcPr>
            <w:tcW w:w="3054"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不少于1个高拍仪，一体化集成于主机上，并支持折叠隐藏</w:t>
            </w:r>
          </w:p>
        </w:tc>
        <w:tc>
          <w:tcPr>
            <w:tcW w:w="595"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硬件图片</w:t>
            </w:r>
          </w:p>
        </w:tc>
      </w:tr>
      <w:tr>
        <w:tblPrEx>
          <w:tblCellMar>
            <w:top w:w="0" w:type="dxa"/>
            <w:left w:w="108" w:type="dxa"/>
            <w:bottom w:w="0" w:type="dxa"/>
            <w:right w:w="108" w:type="dxa"/>
          </w:tblCellMar>
        </w:tblPrEx>
        <w:trPr>
          <w:trHeight w:val="1050" w:hRule="atLeast"/>
          <w:jc w:val="center"/>
        </w:trPr>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color w:val="000000"/>
                <w:szCs w:val="21"/>
                <w:lang w:bidi="ar"/>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w:t>
            </w:r>
          </w:p>
        </w:tc>
        <w:tc>
          <w:tcPr>
            <w:tcW w:w="305" w:type="pct"/>
            <w:vMerge w:val="continue"/>
            <w:tcBorders>
              <w:left w:val="single" w:color="000000" w:sz="4" w:space="0"/>
              <w:right w:val="single" w:color="000000" w:sz="4" w:space="0"/>
            </w:tcBorders>
            <w:shd w:val="clear" w:color="auto" w:fill="auto"/>
            <w:vAlign w:val="center"/>
          </w:tcPr>
          <w:p>
            <w:pPr>
              <w:jc w:val="center"/>
              <w:rPr>
                <w:rFonts w:asciiTheme="minorEastAsia" w:hAnsiTheme="minorEastAsia" w:eastAsiaTheme="minorEastAsia" w:cstheme="minorEastAsia"/>
                <w:color w:val="000000"/>
                <w:szCs w:val="21"/>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破解能力</w:t>
            </w:r>
          </w:p>
        </w:tc>
        <w:tc>
          <w:tcPr>
            <w:tcW w:w="30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支持5种加密容器的解密，包含VeraCrypt、TrueCrypt、BitLocker、FileVault2、lUKS等加密容器解密；其中，VeraCrypt、TrueCrypt、BitLocker类型的加密容器均需要支持3种解密方式（直接加载内存镜像解密、密码解密、密钥解密）</w:t>
            </w:r>
          </w:p>
        </w:tc>
        <w:tc>
          <w:tcPr>
            <w:tcW w:w="595"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软件功能截图</w:t>
            </w:r>
          </w:p>
        </w:tc>
      </w:tr>
      <w:tr>
        <w:tblPrEx>
          <w:tblCellMar>
            <w:top w:w="0" w:type="dxa"/>
            <w:left w:w="108" w:type="dxa"/>
            <w:bottom w:w="0" w:type="dxa"/>
            <w:right w:w="108" w:type="dxa"/>
          </w:tblCellMar>
        </w:tblPrEx>
        <w:trPr>
          <w:trHeight w:val="1050" w:hRule="atLeast"/>
          <w:jc w:val="center"/>
        </w:trPr>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color w:val="000000"/>
                <w:szCs w:val="21"/>
                <w:lang w:bidi="ar"/>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w:t>
            </w:r>
          </w:p>
        </w:tc>
        <w:tc>
          <w:tcPr>
            <w:tcW w:w="305" w:type="pct"/>
            <w:vMerge w:val="continue"/>
            <w:tcBorders>
              <w:left w:val="single" w:color="000000" w:sz="4" w:space="0"/>
              <w:right w:val="single" w:color="000000" w:sz="4" w:space="0"/>
            </w:tcBorders>
            <w:shd w:val="clear" w:color="auto" w:fill="auto"/>
            <w:vAlign w:val="center"/>
          </w:tcPr>
          <w:p>
            <w:pPr>
              <w:jc w:val="center"/>
              <w:rPr>
                <w:rFonts w:asciiTheme="minorEastAsia" w:hAnsiTheme="minorEastAsia" w:eastAsiaTheme="minorEastAsia" w:cstheme="minorEastAsia"/>
                <w:color w:val="000000"/>
                <w:szCs w:val="21"/>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应用程序分析</w:t>
            </w:r>
          </w:p>
        </w:tc>
        <w:tc>
          <w:tcPr>
            <w:tcW w:w="30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微信二次解析时需支持2种解密场景（主机联网的情况下通过扫码解析和主机不联网的情况下通过内存镜像解析）</w:t>
            </w:r>
          </w:p>
        </w:tc>
        <w:tc>
          <w:tcPr>
            <w:tcW w:w="595"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软件功能截图</w:t>
            </w:r>
          </w:p>
        </w:tc>
      </w:tr>
      <w:tr>
        <w:tblPrEx>
          <w:tblCellMar>
            <w:top w:w="0" w:type="dxa"/>
            <w:left w:w="108" w:type="dxa"/>
            <w:bottom w:w="0" w:type="dxa"/>
            <w:right w:w="108" w:type="dxa"/>
          </w:tblCellMar>
        </w:tblPrEx>
        <w:trPr>
          <w:trHeight w:val="1050" w:hRule="atLeast"/>
          <w:jc w:val="center"/>
        </w:trPr>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color w:val="000000"/>
                <w:szCs w:val="21"/>
                <w:lang w:bidi="ar"/>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w:t>
            </w:r>
          </w:p>
        </w:tc>
        <w:tc>
          <w:tcPr>
            <w:tcW w:w="305" w:type="pct"/>
            <w:vMerge w:val="continue"/>
            <w:tcBorders>
              <w:left w:val="single" w:color="000000" w:sz="4" w:space="0"/>
              <w:right w:val="single" w:color="000000" w:sz="4" w:space="0"/>
            </w:tcBorders>
            <w:shd w:val="clear" w:color="auto" w:fill="auto"/>
            <w:vAlign w:val="center"/>
          </w:tcPr>
          <w:p>
            <w:pPr>
              <w:jc w:val="center"/>
              <w:rPr>
                <w:rFonts w:asciiTheme="minorEastAsia" w:hAnsiTheme="minorEastAsia" w:eastAsiaTheme="minorEastAsia" w:cstheme="minorEastAsia"/>
                <w:color w:val="000000"/>
                <w:szCs w:val="21"/>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heme="minorEastAsia" w:hAnsiTheme="minorEastAsia" w:eastAsiaTheme="minorEastAsia" w:cstheme="minorEastAsia"/>
                <w:color w:val="000000"/>
                <w:kern w:val="0"/>
                <w:szCs w:val="21"/>
                <w:lang w:bidi="ar"/>
              </w:rPr>
            </w:pPr>
          </w:p>
        </w:tc>
        <w:tc>
          <w:tcPr>
            <w:tcW w:w="30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支持7种及以上社交应用解析包含微信、企业微信、QQ,钉钉、Skype、 Signa1 Telegram等应用使用痕迹解标；</w:t>
            </w:r>
          </w:p>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支持不少于9种及以上浏览器解析，包含Chrome、Internet/Explorer、360安全浏览器、QQ浏览器、Edge,Safari、搜狗浏览器、 FireFox、Opera浏览器应用痕迹解析；</w:t>
            </w:r>
          </w:p>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支持不少于7种及以上邮件应用解析，包含Foxmai,0ut1ook、 Outlook Express、网易闪电邮、Wi0l0Mail、MBox、Eml邮件应用中邮件信息解析；</w:t>
            </w:r>
          </w:p>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支持不少于2种及以上手机助手应用解析，包含Windows版360手机助手、 iTunes应用的痕迹解析；</w:t>
            </w:r>
          </w:p>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支持不少于5种及以上下载工具解析，包含迅雷、电驴、比特彗星、CuteFTP、FlashFXP下载的痕迹分析；</w:t>
            </w:r>
          </w:p>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支持不少于7种及以上运维工具解析包含向日葵、Todesk、TeamViewer、 XShell、Putty Navicat、SSR等远程工具的记录解析</w:t>
            </w:r>
          </w:p>
        </w:tc>
        <w:tc>
          <w:tcPr>
            <w:tcW w:w="595"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检验报告</w:t>
            </w:r>
          </w:p>
        </w:tc>
      </w:tr>
      <w:tr>
        <w:tblPrEx>
          <w:tblCellMar>
            <w:top w:w="0" w:type="dxa"/>
            <w:left w:w="108" w:type="dxa"/>
            <w:bottom w:w="0" w:type="dxa"/>
            <w:right w:w="108" w:type="dxa"/>
          </w:tblCellMar>
        </w:tblPrEx>
        <w:trPr>
          <w:trHeight w:val="186" w:hRule="atLeast"/>
          <w:jc w:val="center"/>
        </w:trPr>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color w:val="000000"/>
                <w:szCs w:val="21"/>
                <w:lang w:bidi="ar"/>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w:t>
            </w:r>
          </w:p>
        </w:tc>
        <w:tc>
          <w:tcPr>
            <w:tcW w:w="305" w:type="pct"/>
            <w:vMerge w:val="continue"/>
            <w:tcBorders>
              <w:left w:val="single" w:color="000000" w:sz="4" w:space="0"/>
              <w:right w:val="single" w:color="000000" w:sz="4" w:space="0"/>
            </w:tcBorders>
            <w:shd w:val="clear" w:color="auto" w:fill="auto"/>
            <w:vAlign w:val="center"/>
          </w:tcPr>
          <w:p>
            <w:pPr>
              <w:jc w:val="center"/>
              <w:rPr>
                <w:rFonts w:asciiTheme="minorEastAsia" w:hAnsiTheme="minorEastAsia" w:eastAsiaTheme="minorEastAsia" w:cstheme="minorEastAsia"/>
                <w:color w:val="000000"/>
                <w:szCs w:val="21"/>
              </w:rPr>
            </w:pPr>
          </w:p>
        </w:tc>
        <w:tc>
          <w:tcPr>
            <w:tcW w:w="45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智能分析</w:t>
            </w:r>
          </w:p>
        </w:tc>
        <w:tc>
          <w:tcPr>
            <w:tcW w:w="30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支持对检材中的文本内容、分析结果在不联网的情况下进行离线翻译，将中文翻译成英文，准确率达95%以上</w:t>
            </w:r>
          </w:p>
        </w:tc>
        <w:tc>
          <w:tcPr>
            <w:tcW w:w="595"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heme="minorEastAsia" w:hAnsiTheme="minorEastAsia" w:eastAsiaTheme="minorEastAsia" w:cstheme="minorEastAsia"/>
                <w:color w:val="000000"/>
                <w:szCs w:val="21"/>
                <w:highlight w:val="yellow"/>
              </w:rPr>
            </w:pPr>
            <w:r>
              <w:rPr>
                <w:rFonts w:hint="eastAsia" w:asciiTheme="minorEastAsia" w:hAnsiTheme="minorEastAsia" w:eastAsiaTheme="minorEastAsia" w:cstheme="minorEastAsia"/>
                <w:color w:val="000000"/>
                <w:szCs w:val="21"/>
              </w:rPr>
              <w:t>软件功能截图</w:t>
            </w:r>
          </w:p>
        </w:tc>
      </w:tr>
      <w:tr>
        <w:tblPrEx>
          <w:tblCellMar>
            <w:top w:w="0" w:type="dxa"/>
            <w:left w:w="108" w:type="dxa"/>
            <w:bottom w:w="0" w:type="dxa"/>
            <w:right w:w="108" w:type="dxa"/>
          </w:tblCellMar>
        </w:tblPrEx>
        <w:trPr>
          <w:trHeight w:val="350" w:hRule="atLeast"/>
          <w:jc w:val="center"/>
        </w:trPr>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color w:val="000000"/>
                <w:szCs w:val="21"/>
                <w:lang w:bidi="ar"/>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w:t>
            </w:r>
          </w:p>
        </w:tc>
        <w:tc>
          <w:tcPr>
            <w:tcW w:w="305" w:type="pct"/>
            <w:vMerge w:val="continue"/>
            <w:tcBorders>
              <w:left w:val="single" w:color="000000" w:sz="4" w:space="0"/>
              <w:right w:val="single" w:color="000000" w:sz="4" w:space="0"/>
            </w:tcBorders>
            <w:shd w:val="clear" w:color="auto" w:fill="auto"/>
            <w:vAlign w:val="center"/>
          </w:tcPr>
          <w:p>
            <w:pPr>
              <w:jc w:val="center"/>
              <w:rPr>
                <w:rFonts w:asciiTheme="minorEastAsia" w:hAnsiTheme="minorEastAsia" w:eastAsiaTheme="minorEastAsia" w:cstheme="minorEastAsia"/>
                <w:color w:val="000000"/>
                <w:szCs w:val="21"/>
              </w:rPr>
            </w:pPr>
          </w:p>
        </w:tc>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heme="minorEastAsia" w:hAnsiTheme="minorEastAsia" w:eastAsiaTheme="minorEastAsia" w:cstheme="minorEastAsia"/>
                <w:color w:val="000000"/>
                <w:szCs w:val="21"/>
              </w:rPr>
            </w:pPr>
          </w:p>
        </w:tc>
        <w:tc>
          <w:tcPr>
            <w:tcW w:w="30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在不联网的情况下至少支持对2种及以上的人脸文件进行深伪识别（图像、视频）</w:t>
            </w:r>
          </w:p>
        </w:tc>
        <w:tc>
          <w:tcPr>
            <w:tcW w:w="595"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软件功能截图</w:t>
            </w:r>
          </w:p>
        </w:tc>
      </w:tr>
      <w:tr>
        <w:tblPrEx>
          <w:tblCellMar>
            <w:top w:w="0" w:type="dxa"/>
            <w:left w:w="108" w:type="dxa"/>
            <w:bottom w:w="0" w:type="dxa"/>
            <w:right w:w="108" w:type="dxa"/>
          </w:tblCellMar>
        </w:tblPrEx>
        <w:trPr>
          <w:trHeight w:val="238" w:hRule="atLeast"/>
          <w:jc w:val="center"/>
        </w:trPr>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color w:val="000000"/>
                <w:szCs w:val="21"/>
                <w:lang w:bidi="ar"/>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w:t>
            </w:r>
          </w:p>
        </w:tc>
        <w:tc>
          <w:tcPr>
            <w:tcW w:w="305" w:type="pct"/>
            <w:vMerge w:val="continue"/>
            <w:tcBorders>
              <w:left w:val="single" w:color="000000" w:sz="4" w:space="0"/>
              <w:right w:val="single" w:color="000000" w:sz="4" w:space="0"/>
            </w:tcBorders>
            <w:shd w:val="clear" w:color="auto" w:fill="auto"/>
            <w:vAlign w:val="center"/>
          </w:tcPr>
          <w:p>
            <w:pPr>
              <w:jc w:val="center"/>
              <w:rPr>
                <w:rFonts w:asciiTheme="minorEastAsia" w:hAnsiTheme="minorEastAsia" w:eastAsiaTheme="minorEastAsia" w:cstheme="minorEastAsia"/>
                <w:color w:val="000000"/>
                <w:szCs w:val="21"/>
              </w:rPr>
            </w:pPr>
          </w:p>
        </w:tc>
        <w:tc>
          <w:tcPr>
            <w:tcW w:w="45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仿真能力</w:t>
            </w:r>
          </w:p>
        </w:tc>
        <w:tc>
          <w:tcPr>
            <w:tcW w:w="30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至少支持5种类型以上的镜像格式文件仿真（DD、E01、VHD、VMDK、AFF4）</w:t>
            </w:r>
          </w:p>
        </w:tc>
        <w:tc>
          <w:tcPr>
            <w:tcW w:w="595"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检验报告</w:t>
            </w:r>
          </w:p>
        </w:tc>
      </w:tr>
      <w:tr>
        <w:tblPrEx>
          <w:tblCellMar>
            <w:top w:w="0" w:type="dxa"/>
            <w:left w:w="108" w:type="dxa"/>
            <w:bottom w:w="0" w:type="dxa"/>
            <w:right w:w="108" w:type="dxa"/>
          </w:tblCellMar>
        </w:tblPrEx>
        <w:trPr>
          <w:trHeight w:val="700" w:hRule="atLeast"/>
          <w:jc w:val="center"/>
        </w:trPr>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color w:val="000000"/>
                <w:szCs w:val="21"/>
                <w:lang w:bidi="ar"/>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w:t>
            </w:r>
          </w:p>
        </w:tc>
        <w:tc>
          <w:tcPr>
            <w:tcW w:w="305" w:type="pct"/>
            <w:vMerge w:val="continue"/>
            <w:tcBorders>
              <w:left w:val="single" w:color="000000" w:sz="4" w:space="0"/>
              <w:right w:val="single" w:color="000000" w:sz="4" w:space="0"/>
            </w:tcBorders>
            <w:shd w:val="clear" w:color="auto" w:fill="auto"/>
            <w:vAlign w:val="center"/>
          </w:tcPr>
          <w:p>
            <w:pPr>
              <w:jc w:val="center"/>
              <w:rPr>
                <w:rFonts w:asciiTheme="minorEastAsia" w:hAnsiTheme="minorEastAsia" w:eastAsiaTheme="minorEastAsia" w:cstheme="minorEastAsia"/>
                <w:color w:val="000000"/>
                <w:szCs w:val="21"/>
              </w:rPr>
            </w:pPr>
          </w:p>
        </w:tc>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heme="minorEastAsia" w:hAnsiTheme="minorEastAsia" w:eastAsiaTheme="minorEastAsia" w:cstheme="minorEastAsia"/>
                <w:color w:val="000000"/>
                <w:szCs w:val="21"/>
              </w:rPr>
            </w:pPr>
          </w:p>
        </w:tc>
        <w:tc>
          <w:tcPr>
            <w:tcW w:w="30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支持对VMware生成的虚拟机仿真，仿真软件需至少支持识别最近创建的3个快照</w:t>
            </w:r>
          </w:p>
        </w:tc>
        <w:tc>
          <w:tcPr>
            <w:tcW w:w="595"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软件功能截图</w:t>
            </w:r>
          </w:p>
        </w:tc>
      </w:tr>
      <w:tr>
        <w:tblPrEx>
          <w:tblCellMar>
            <w:top w:w="0" w:type="dxa"/>
            <w:left w:w="108" w:type="dxa"/>
            <w:bottom w:w="0" w:type="dxa"/>
            <w:right w:w="108" w:type="dxa"/>
          </w:tblCellMar>
        </w:tblPrEx>
        <w:trPr>
          <w:trHeight w:val="700" w:hRule="atLeast"/>
          <w:jc w:val="center"/>
        </w:trPr>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color w:val="000000"/>
                <w:szCs w:val="21"/>
                <w:lang w:bidi="ar"/>
              </w:rPr>
            </w:pP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w:t>
            </w:r>
          </w:p>
        </w:tc>
        <w:tc>
          <w:tcPr>
            <w:tcW w:w="305" w:type="pct"/>
            <w:vMerge w:val="continue"/>
            <w:tcBorders>
              <w:left w:val="single" w:color="000000" w:sz="4" w:space="0"/>
              <w:bottom w:val="single" w:color="000000" w:sz="4" w:space="0"/>
              <w:right w:val="single" w:color="000000" w:sz="4" w:space="0"/>
            </w:tcBorders>
            <w:shd w:val="clear" w:color="auto" w:fill="auto"/>
            <w:vAlign w:val="center"/>
          </w:tcPr>
          <w:p>
            <w:pPr>
              <w:jc w:val="center"/>
              <w:rPr>
                <w:rFonts w:asciiTheme="minorEastAsia" w:hAnsiTheme="minorEastAsia" w:eastAsiaTheme="minorEastAsia" w:cstheme="minorEastAsia"/>
                <w:color w:val="000000"/>
                <w:szCs w:val="21"/>
              </w:rPr>
            </w:pPr>
          </w:p>
        </w:tc>
        <w:tc>
          <w:tcPr>
            <w:tcW w:w="45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heme="minorEastAsia" w:hAnsiTheme="minorEastAsia" w:eastAsiaTheme="minorEastAsia" w:cstheme="minorEastAsia"/>
                <w:color w:val="000000"/>
                <w:szCs w:val="21"/>
              </w:rPr>
            </w:pPr>
          </w:p>
        </w:tc>
        <w:tc>
          <w:tcPr>
            <w:tcW w:w="30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密码绕过：仿真系统时，至少支持3种密码绕过选择方式（清除密码、将密码重置为任意字符、不修改用户密码）</w:t>
            </w:r>
          </w:p>
        </w:tc>
        <w:tc>
          <w:tcPr>
            <w:tcW w:w="595"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软件功能截图</w:t>
            </w:r>
          </w:p>
        </w:tc>
      </w:tr>
    </w:tbl>
    <w:p>
      <w:pPr>
        <w:pStyle w:val="5"/>
        <w:spacing w:before="15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第2包 云取证工作站</w:t>
      </w:r>
      <w:r>
        <w:rPr>
          <w:rFonts w:hint="default" w:ascii="Times New Roman" w:hAnsi="Times New Roman" w:cs="Times New Roman" w:eastAsiaTheme="minorEastAsia"/>
          <w:szCs w:val="21"/>
        </w:rPr>
        <w:t>Ⅱ</w:t>
      </w:r>
    </w:p>
    <w:tbl>
      <w:tblPr>
        <w:tblStyle w:val="81"/>
        <w:tblW w:w="542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574"/>
        <w:gridCol w:w="8"/>
        <w:gridCol w:w="586"/>
        <w:gridCol w:w="8"/>
        <w:gridCol w:w="898"/>
        <w:gridCol w:w="8"/>
        <w:gridCol w:w="6004"/>
        <w:gridCol w:w="1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blHeader/>
          <w:jc w:val="center"/>
        </w:trPr>
        <w:tc>
          <w:tcPr>
            <w:tcW w:w="289" w:type="pct"/>
            <w:shd w:val="clear" w:color="auto" w:fill="auto"/>
            <w:vAlign w:val="center"/>
          </w:tcPr>
          <w:p>
            <w:pPr>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b/>
                <w:bCs/>
                <w:color w:val="000000"/>
                <w:kern w:val="0"/>
                <w:szCs w:val="21"/>
                <w:lang w:bidi="ar"/>
              </w:rPr>
              <w:t>序号</w:t>
            </w:r>
          </w:p>
        </w:tc>
        <w:tc>
          <w:tcPr>
            <w:tcW w:w="296" w:type="pct"/>
            <w:gridSpan w:val="2"/>
            <w:shd w:val="clear" w:color="auto" w:fill="auto"/>
            <w:vAlign w:val="center"/>
          </w:tcPr>
          <w:p>
            <w:pPr>
              <w:jc w:val="center"/>
              <w:textAlignment w:val="center"/>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kern w:val="0"/>
                <w:szCs w:val="21"/>
                <w:lang w:bidi="ar"/>
              </w:rPr>
              <w:t>重要性</w:t>
            </w:r>
          </w:p>
        </w:tc>
        <w:tc>
          <w:tcPr>
            <w:tcW w:w="302" w:type="pct"/>
            <w:gridSpan w:val="2"/>
            <w:shd w:val="clear" w:color="auto" w:fill="auto"/>
            <w:vAlign w:val="center"/>
          </w:tcPr>
          <w:p>
            <w:pPr>
              <w:jc w:val="center"/>
              <w:textAlignment w:val="center"/>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kern w:val="0"/>
                <w:szCs w:val="21"/>
                <w:lang w:bidi="ar"/>
              </w:rPr>
              <w:t>名称</w:t>
            </w:r>
          </w:p>
        </w:tc>
        <w:tc>
          <w:tcPr>
            <w:tcW w:w="461" w:type="pct"/>
            <w:gridSpan w:val="2"/>
            <w:shd w:val="clear" w:color="auto" w:fill="auto"/>
            <w:vAlign w:val="center"/>
          </w:tcPr>
          <w:p>
            <w:pPr>
              <w:jc w:val="center"/>
              <w:textAlignment w:val="center"/>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kern w:val="0"/>
                <w:szCs w:val="21"/>
                <w:lang w:bidi="ar"/>
              </w:rPr>
              <w:t>指标项</w:t>
            </w:r>
          </w:p>
        </w:tc>
        <w:tc>
          <w:tcPr>
            <w:tcW w:w="3056" w:type="pct"/>
            <w:shd w:val="clear" w:color="auto" w:fill="auto"/>
            <w:vAlign w:val="center"/>
          </w:tcPr>
          <w:p>
            <w:pPr>
              <w:jc w:val="center"/>
              <w:textAlignment w:val="center"/>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kern w:val="0"/>
                <w:szCs w:val="21"/>
                <w:lang w:bidi="ar"/>
              </w:rPr>
              <w:t>技术要求</w:t>
            </w:r>
          </w:p>
        </w:tc>
        <w:tc>
          <w:tcPr>
            <w:tcW w:w="595" w:type="pct"/>
            <w:shd w:val="clear" w:color="auto" w:fill="auto"/>
            <w:vAlign w:val="center"/>
          </w:tcPr>
          <w:p>
            <w:pPr>
              <w:jc w:val="center"/>
              <w:textAlignment w:val="center"/>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kern w:val="0"/>
                <w:szCs w:val="21"/>
                <w:lang w:bidi="ar"/>
              </w:rPr>
              <w:t>证明材料要求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289" w:type="pct"/>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color w:val="000000"/>
                <w:szCs w:val="21"/>
                <w:lang w:bidi="ar"/>
              </w:rPr>
            </w:pPr>
          </w:p>
        </w:tc>
        <w:tc>
          <w:tcPr>
            <w:tcW w:w="292" w:type="pct"/>
            <w:shd w:val="clear" w:color="auto" w:fill="auto"/>
            <w:vAlign w:val="center"/>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w:t>
            </w:r>
          </w:p>
          <w:p>
            <w:pPr>
              <w:jc w:val="center"/>
              <w:textAlignment w:val="center"/>
              <w:rPr>
                <w:rFonts w:asciiTheme="minorEastAsia" w:hAnsiTheme="minorEastAsia" w:eastAsiaTheme="minorEastAsia" w:cstheme="minorEastAsia"/>
                <w:color w:val="000000"/>
                <w:szCs w:val="21"/>
              </w:rPr>
            </w:pPr>
          </w:p>
        </w:tc>
        <w:tc>
          <w:tcPr>
            <w:tcW w:w="302" w:type="pct"/>
            <w:gridSpan w:val="2"/>
            <w:vMerge w:val="restart"/>
            <w:shd w:val="clear" w:color="auto" w:fill="auto"/>
            <w:vAlign w:val="center"/>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功能要求</w:t>
            </w:r>
          </w:p>
        </w:tc>
        <w:tc>
          <w:tcPr>
            <w:tcW w:w="461" w:type="pct"/>
            <w:gridSpan w:val="2"/>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智能分析</w:t>
            </w:r>
          </w:p>
        </w:tc>
        <w:tc>
          <w:tcPr>
            <w:tcW w:w="3060" w:type="pct"/>
            <w:gridSpan w:val="2"/>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支持3种及以上的智能提取、分析功能（支持基于用户自定义的关键字的配置文件对服务器进行智能筛查、支持对基于宝塔面板部署的网站进行一键迁移，迁移后的网站可进行浏览访问、支持通过服务器取证软件在仅有宝塔账号密码的情况下登录后对服务器进行远程取证）</w:t>
            </w:r>
          </w:p>
        </w:tc>
        <w:tc>
          <w:tcPr>
            <w:tcW w:w="595" w:type="pct"/>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289" w:type="pct"/>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color w:val="000000"/>
                <w:szCs w:val="21"/>
                <w:lang w:bidi="ar"/>
              </w:rPr>
            </w:pPr>
          </w:p>
        </w:tc>
        <w:tc>
          <w:tcPr>
            <w:tcW w:w="292" w:type="pct"/>
            <w:shd w:val="clear" w:color="auto" w:fill="auto"/>
            <w:vAlign w:val="center"/>
          </w:tcPr>
          <w:p>
            <w:pPr>
              <w:jc w:val="center"/>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w:t>
            </w:r>
          </w:p>
        </w:tc>
        <w:tc>
          <w:tcPr>
            <w:tcW w:w="302" w:type="pct"/>
            <w:gridSpan w:val="2"/>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461" w:type="pct"/>
            <w:gridSpan w:val="2"/>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信息查询</w:t>
            </w:r>
          </w:p>
          <w:p>
            <w:pPr>
              <w:rPr>
                <w:rFonts w:asciiTheme="minorEastAsia" w:hAnsiTheme="minorEastAsia" w:eastAsiaTheme="minorEastAsia" w:cstheme="minorEastAsia"/>
                <w:color w:val="000000"/>
                <w:szCs w:val="21"/>
              </w:rPr>
            </w:pPr>
          </w:p>
        </w:tc>
        <w:tc>
          <w:tcPr>
            <w:tcW w:w="3060" w:type="pct"/>
            <w:gridSpan w:val="2"/>
            <w:shd w:val="clear" w:color="auto" w:fill="auto"/>
            <w:vAlign w:val="center"/>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支持内置1种及以上的威胁情报查询接口，可以直接查询威胁情报信息，包含可疑域名、IP、邮箱等信息</w:t>
            </w:r>
          </w:p>
        </w:tc>
        <w:tc>
          <w:tcPr>
            <w:tcW w:w="595" w:type="pct"/>
            <w:shd w:val="clear" w:color="auto" w:fill="auto"/>
            <w:vAlign w:val="center"/>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检验报告</w:t>
            </w:r>
          </w:p>
        </w:tc>
      </w:tr>
    </w:tbl>
    <w:p>
      <w:pPr>
        <w:rPr>
          <w:rFonts w:asciiTheme="minorEastAsia" w:hAnsiTheme="minorEastAsia" w:eastAsiaTheme="minorEastAsia" w:cstheme="minorEastAsia"/>
          <w:szCs w:val="21"/>
        </w:rPr>
      </w:pPr>
    </w:p>
    <w:p>
      <w:pPr>
        <w:pStyle w:val="5"/>
        <w:spacing w:before="15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第2包 手机云取证设备</w:t>
      </w:r>
      <w:r>
        <w:rPr>
          <w:rFonts w:hint="default" w:ascii="Times New Roman" w:hAnsi="Times New Roman" w:cs="Times New Roman" w:eastAsiaTheme="minorEastAsia"/>
          <w:szCs w:val="21"/>
        </w:rPr>
        <w:t>Ⅱ</w:t>
      </w:r>
    </w:p>
    <w:tbl>
      <w:tblPr>
        <w:tblStyle w:val="81"/>
        <w:tblW w:w="536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581"/>
        <w:gridCol w:w="595"/>
        <w:gridCol w:w="908"/>
        <w:gridCol w:w="6011"/>
        <w:gridCol w:w="1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blHeader/>
          <w:jc w:val="center"/>
        </w:trPr>
        <w:tc>
          <w:tcPr>
            <w:tcW w:w="292" w:type="pct"/>
            <w:shd w:val="clear" w:color="auto" w:fill="auto"/>
            <w:vAlign w:val="center"/>
          </w:tcPr>
          <w:p>
            <w:pPr>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b/>
                <w:bCs/>
                <w:color w:val="000000"/>
                <w:kern w:val="0"/>
                <w:szCs w:val="21"/>
                <w:lang w:bidi="ar"/>
              </w:rPr>
              <w:t>序号</w:t>
            </w:r>
          </w:p>
        </w:tc>
        <w:tc>
          <w:tcPr>
            <w:tcW w:w="299" w:type="pct"/>
            <w:shd w:val="clear" w:color="auto" w:fill="auto"/>
            <w:vAlign w:val="center"/>
          </w:tcPr>
          <w:p>
            <w:pPr>
              <w:jc w:val="center"/>
              <w:textAlignment w:val="center"/>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kern w:val="0"/>
                <w:szCs w:val="21"/>
                <w:lang w:bidi="ar"/>
              </w:rPr>
              <w:t>重要性</w:t>
            </w:r>
          </w:p>
        </w:tc>
        <w:tc>
          <w:tcPr>
            <w:tcW w:w="306" w:type="pct"/>
            <w:shd w:val="clear" w:color="auto" w:fill="auto"/>
            <w:vAlign w:val="center"/>
          </w:tcPr>
          <w:p>
            <w:pPr>
              <w:jc w:val="center"/>
              <w:textAlignment w:val="center"/>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kern w:val="0"/>
                <w:szCs w:val="21"/>
                <w:lang w:bidi="ar"/>
              </w:rPr>
              <w:t>名称</w:t>
            </w:r>
          </w:p>
        </w:tc>
        <w:tc>
          <w:tcPr>
            <w:tcW w:w="467" w:type="pct"/>
            <w:shd w:val="clear" w:color="auto" w:fill="auto"/>
            <w:vAlign w:val="center"/>
          </w:tcPr>
          <w:p>
            <w:pPr>
              <w:jc w:val="center"/>
              <w:textAlignment w:val="center"/>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kern w:val="0"/>
                <w:szCs w:val="21"/>
                <w:lang w:bidi="ar"/>
              </w:rPr>
              <w:t>指标项</w:t>
            </w:r>
          </w:p>
        </w:tc>
        <w:tc>
          <w:tcPr>
            <w:tcW w:w="3092" w:type="pct"/>
            <w:shd w:val="clear" w:color="auto" w:fill="auto"/>
            <w:vAlign w:val="center"/>
          </w:tcPr>
          <w:p>
            <w:pPr>
              <w:jc w:val="center"/>
              <w:textAlignment w:val="center"/>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kern w:val="0"/>
                <w:szCs w:val="21"/>
                <w:lang w:bidi="ar"/>
              </w:rPr>
              <w:t>技术要求</w:t>
            </w:r>
          </w:p>
        </w:tc>
        <w:tc>
          <w:tcPr>
            <w:tcW w:w="542" w:type="pct"/>
            <w:shd w:val="clear" w:color="auto" w:fill="auto"/>
            <w:vAlign w:val="center"/>
          </w:tcPr>
          <w:p>
            <w:pPr>
              <w:jc w:val="center"/>
              <w:textAlignment w:val="center"/>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kern w:val="0"/>
                <w:szCs w:val="21"/>
                <w:lang w:bidi="ar"/>
              </w:rPr>
              <w:t>证明材料要求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292" w:type="pct"/>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color w:val="000000"/>
                <w:szCs w:val="21"/>
                <w:lang w:bidi="ar"/>
              </w:rPr>
            </w:pPr>
          </w:p>
        </w:tc>
        <w:tc>
          <w:tcPr>
            <w:tcW w:w="299" w:type="pct"/>
            <w:shd w:val="clear" w:color="auto" w:fill="auto"/>
            <w:vAlign w:val="center"/>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w:t>
            </w:r>
          </w:p>
        </w:tc>
        <w:tc>
          <w:tcPr>
            <w:tcW w:w="306" w:type="pct"/>
            <w:shd w:val="clear" w:color="auto" w:fill="auto"/>
            <w:vAlign w:val="center"/>
          </w:tcPr>
          <w:p>
            <w:pPr>
              <w:rPr>
                <w:rFonts w:asciiTheme="minorEastAsia" w:hAnsiTheme="minorEastAsia" w:eastAsiaTheme="minorEastAsia" w:cstheme="minorEastAsia"/>
                <w:color w:val="000000"/>
                <w:szCs w:val="21"/>
              </w:rPr>
            </w:pPr>
          </w:p>
        </w:tc>
        <w:tc>
          <w:tcPr>
            <w:tcW w:w="467"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接口</w:t>
            </w:r>
          </w:p>
        </w:tc>
        <w:tc>
          <w:tcPr>
            <w:tcW w:w="3092"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整机不少于26个USB接口，包括USB</w:t>
            </w:r>
            <w:r>
              <w:rPr>
                <w:rFonts w:asciiTheme="minorEastAsia" w:hAnsiTheme="minorEastAsia" w:eastAsiaTheme="minorEastAsia" w:cstheme="minorEastAsia"/>
                <w:color w:val="000000"/>
                <w:kern w:val="0"/>
                <w:szCs w:val="21"/>
                <w:lang w:bidi="ar"/>
              </w:rPr>
              <w:t xml:space="preserve"> </w:t>
            </w:r>
            <w:r>
              <w:rPr>
                <w:rFonts w:hint="eastAsia" w:asciiTheme="minorEastAsia" w:hAnsiTheme="minorEastAsia" w:eastAsiaTheme="minorEastAsia" w:cstheme="minorEastAsia"/>
                <w:color w:val="000000"/>
                <w:kern w:val="0"/>
                <w:szCs w:val="21"/>
                <w:lang w:bidi="ar"/>
              </w:rPr>
              <w:t>TypeC/3.2/3.0/2.0，其中主机前面板不少于16个高速SUB3.0独立接口；内置取证专用多功能只读锁，包含SATA/IDE/USB3.0/CF/SD/MS/TF等多种接口格式；内置3盘位3.5寸SATA接口数据转储硬盘仓</w:t>
            </w:r>
          </w:p>
        </w:tc>
        <w:tc>
          <w:tcPr>
            <w:tcW w:w="542" w:type="pct"/>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硬件图片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292" w:type="pct"/>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color w:val="000000"/>
                <w:szCs w:val="21"/>
                <w:lang w:bidi="ar"/>
              </w:rPr>
            </w:pPr>
          </w:p>
        </w:tc>
        <w:tc>
          <w:tcPr>
            <w:tcW w:w="299" w:type="pct"/>
            <w:shd w:val="clear" w:color="auto" w:fill="auto"/>
            <w:vAlign w:val="center"/>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w:t>
            </w:r>
          </w:p>
        </w:tc>
        <w:tc>
          <w:tcPr>
            <w:tcW w:w="306" w:type="pct"/>
            <w:shd w:val="clear" w:color="auto" w:fill="auto"/>
            <w:vAlign w:val="center"/>
          </w:tcPr>
          <w:p>
            <w:pPr>
              <w:rPr>
                <w:rFonts w:asciiTheme="minorEastAsia" w:hAnsiTheme="minorEastAsia" w:eastAsiaTheme="minorEastAsia" w:cstheme="minorEastAsia"/>
                <w:color w:val="000000"/>
                <w:szCs w:val="21"/>
              </w:rPr>
            </w:pPr>
          </w:p>
        </w:tc>
        <w:tc>
          <w:tcPr>
            <w:tcW w:w="467"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高拍仪</w:t>
            </w:r>
          </w:p>
        </w:tc>
        <w:tc>
          <w:tcPr>
            <w:tcW w:w="3092"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主机集成可折叠且不低于1600万像素且需具有自动对焦的高拍仪，同时集成可折叠带刻度的拍摄台面</w:t>
            </w:r>
          </w:p>
        </w:tc>
        <w:tc>
          <w:tcPr>
            <w:tcW w:w="542" w:type="pct"/>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硬件图片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292" w:type="pct"/>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color w:val="000000"/>
                <w:szCs w:val="21"/>
                <w:lang w:bidi="ar"/>
              </w:rPr>
            </w:pPr>
          </w:p>
        </w:tc>
        <w:tc>
          <w:tcPr>
            <w:tcW w:w="299" w:type="pct"/>
            <w:shd w:val="clear" w:color="auto" w:fill="auto"/>
            <w:vAlign w:val="center"/>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w:t>
            </w:r>
          </w:p>
        </w:tc>
        <w:tc>
          <w:tcPr>
            <w:tcW w:w="306" w:type="pct"/>
            <w:vMerge w:val="restart"/>
            <w:shd w:val="clear" w:color="auto" w:fill="auto"/>
            <w:vAlign w:val="center"/>
          </w:tcPr>
          <w:p>
            <w:pPr>
              <w:rPr>
                <w:rFonts w:asciiTheme="minorEastAsia" w:hAnsiTheme="minorEastAsia" w:eastAsiaTheme="minorEastAsia" w:cstheme="minorEastAsia"/>
                <w:color w:val="000000"/>
                <w:szCs w:val="21"/>
              </w:rPr>
            </w:pPr>
          </w:p>
        </w:tc>
        <w:tc>
          <w:tcPr>
            <w:tcW w:w="467"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免登录提取</w:t>
            </w:r>
          </w:p>
        </w:tc>
        <w:tc>
          <w:tcPr>
            <w:tcW w:w="3092"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支持8种应用的免登录提取云端数据，包括但不限于qq钱包、美团、携程、滴滴、航旅纵横、印象笔记、淘宝、支付宝</w:t>
            </w:r>
          </w:p>
        </w:tc>
        <w:tc>
          <w:tcPr>
            <w:tcW w:w="542" w:type="pct"/>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软件功能截图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292" w:type="pct"/>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color w:val="000000"/>
                <w:szCs w:val="21"/>
                <w:lang w:bidi="ar"/>
              </w:rPr>
            </w:pPr>
          </w:p>
        </w:tc>
        <w:tc>
          <w:tcPr>
            <w:tcW w:w="299" w:type="pct"/>
            <w:shd w:val="clear" w:color="auto" w:fill="auto"/>
            <w:vAlign w:val="center"/>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w:t>
            </w:r>
          </w:p>
        </w:tc>
        <w:tc>
          <w:tcPr>
            <w:tcW w:w="306" w:type="pct"/>
            <w:vMerge w:val="continue"/>
            <w:shd w:val="clear" w:color="auto" w:fill="auto"/>
            <w:vAlign w:val="center"/>
          </w:tcPr>
          <w:p>
            <w:pPr>
              <w:rPr>
                <w:rFonts w:asciiTheme="minorEastAsia" w:hAnsiTheme="minorEastAsia" w:eastAsiaTheme="minorEastAsia" w:cstheme="minorEastAsia"/>
                <w:color w:val="000000"/>
                <w:szCs w:val="21"/>
              </w:rPr>
            </w:pPr>
          </w:p>
        </w:tc>
        <w:tc>
          <w:tcPr>
            <w:tcW w:w="467" w:type="pct"/>
            <w:vMerge w:val="restar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数据提取与分析</w:t>
            </w:r>
          </w:p>
        </w:tc>
        <w:tc>
          <w:tcPr>
            <w:tcW w:w="3092"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 xml:space="preserve">支持3种电子邮箱类应用数据提取，包括但不限于：163邮箱、126邮箱、Yeah邮箱、邮箱协议                                                                                                                                                                                                                                                                                                                                                                                                                                                                                                                                                                                                                                                                                                                                                                                                                                                                                                                                                                                                                                                                                                                                                                                                                                                                                                                                                                                                                                                                                                                                                                                                                                                                                                                                                                                                                                                                                                                                                                                                                                                                                                                                                                                                                                                                                                                                                                                                                                                                                                                                                                                                                                                                                                                                                                                                                                                                                                                                                                                                                                                                                                                                                                                                                                                                                                                                                                                                                                                                                                                                                                                                                                                                                                                                                                                                                                                                                                                                                                                                                                                                                                                                                                  </w:t>
            </w:r>
            <w:r>
              <w:rPr>
                <w:rFonts w:hint="eastAsia" w:asciiTheme="minorEastAsia" w:hAnsiTheme="minorEastAsia" w:eastAsiaTheme="minorEastAsia" w:cstheme="minorEastAsia"/>
                <w:color w:val="000000"/>
                <w:kern w:val="0"/>
                <w:szCs w:val="21"/>
                <w:lang w:bidi="ar"/>
              </w:rPr>
              <w:t xml:space="preserve">                                                                                                                                                                                                                                                                                                                                                                                                                                                                                                                                                                                                                                                                                                                                                                                                                                                                                                                                                                                                                                                                                                                                                                                                                                                                                                                                                                                                                                                                                                                                                                                                                                                                                                                                                                                                                                                                                                                                                                                                                                                                                                                                                                                                                                                                                                                                                                                                                                                                                                                                                                                                                                                                                                                                                                                                                                                                                                                                                                                                                                                                                                                                                                                                                                                                                                                                                                                                                                                                                                                                                                                                                                                                                                                                                                                                                                                                                                                                                                         </w:t>
            </w:r>
          </w:p>
        </w:tc>
        <w:tc>
          <w:tcPr>
            <w:tcW w:w="542" w:type="pct"/>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292" w:type="pct"/>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color w:val="000000"/>
                <w:szCs w:val="21"/>
                <w:lang w:bidi="ar"/>
              </w:rPr>
            </w:pPr>
          </w:p>
        </w:tc>
        <w:tc>
          <w:tcPr>
            <w:tcW w:w="299" w:type="pct"/>
            <w:shd w:val="clear" w:color="auto" w:fill="auto"/>
            <w:vAlign w:val="center"/>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w:t>
            </w:r>
          </w:p>
        </w:tc>
        <w:tc>
          <w:tcPr>
            <w:tcW w:w="306" w:type="pct"/>
            <w:vMerge w:val="continue"/>
            <w:shd w:val="clear" w:color="auto" w:fill="auto"/>
            <w:vAlign w:val="center"/>
          </w:tcPr>
          <w:p>
            <w:pPr>
              <w:rPr>
                <w:rFonts w:asciiTheme="minorEastAsia" w:hAnsiTheme="minorEastAsia" w:eastAsiaTheme="minorEastAsia" w:cstheme="minorEastAsia"/>
                <w:color w:val="000000"/>
                <w:szCs w:val="21"/>
              </w:rPr>
            </w:pPr>
          </w:p>
        </w:tc>
        <w:tc>
          <w:tcPr>
            <w:tcW w:w="467" w:type="pct"/>
            <w:vMerge w:val="continue"/>
            <w:shd w:val="clear" w:color="auto" w:fill="auto"/>
            <w:vAlign w:val="center"/>
          </w:tcPr>
          <w:p>
            <w:pPr>
              <w:textAlignment w:val="center"/>
              <w:rPr>
                <w:rFonts w:asciiTheme="minorEastAsia" w:hAnsiTheme="minorEastAsia" w:eastAsiaTheme="minorEastAsia" w:cstheme="minorEastAsia"/>
                <w:color w:val="000000"/>
                <w:kern w:val="0"/>
                <w:szCs w:val="21"/>
                <w:lang w:bidi="ar"/>
              </w:rPr>
            </w:pPr>
          </w:p>
        </w:tc>
        <w:tc>
          <w:tcPr>
            <w:tcW w:w="3092"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支持4种视频直播类应用数据提取（西瓜视频、91Porn、91短视频、好看视频）</w:t>
            </w:r>
          </w:p>
        </w:tc>
        <w:tc>
          <w:tcPr>
            <w:tcW w:w="542" w:type="pct"/>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检验报告证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292" w:type="pct"/>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color w:val="000000"/>
                <w:szCs w:val="21"/>
                <w:lang w:bidi="ar"/>
              </w:rPr>
            </w:pPr>
          </w:p>
        </w:tc>
        <w:tc>
          <w:tcPr>
            <w:tcW w:w="299" w:type="pct"/>
            <w:shd w:val="clear" w:color="auto" w:fill="auto"/>
            <w:vAlign w:val="center"/>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w:t>
            </w:r>
          </w:p>
        </w:tc>
        <w:tc>
          <w:tcPr>
            <w:tcW w:w="306" w:type="pct"/>
            <w:vMerge w:val="continue"/>
            <w:shd w:val="clear" w:color="auto" w:fill="auto"/>
            <w:vAlign w:val="center"/>
          </w:tcPr>
          <w:p>
            <w:pPr>
              <w:rPr>
                <w:rFonts w:asciiTheme="minorEastAsia" w:hAnsiTheme="minorEastAsia" w:eastAsiaTheme="minorEastAsia" w:cstheme="minorEastAsia"/>
                <w:color w:val="000000"/>
                <w:szCs w:val="21"/>
              </w:rPr>
            </w:pPr>
          </w:p>
        </w:tc>
        <w:tc>
          <w:tcPr>
            <w:tcW w:w="467" w:type="pct"/>
            <w:vMerge w:val="continue"/>
            <w:shd w:val="clear" w:color="auto" w:fill="auto"/>
            <w:vAlign w:val="center"/>
          </w:tcPr>
          <w:p>
            <w:pPr>
              <w:textAlignment w:val="center"/>
              <w:rPr>
                <w:rFonts w:asciiTheme="minorEastAsia" w:hAnsiTheme="minorEastAsia" w:eastAsiaTheme="minorEastAsia" w:cstheme="minorEastAsia"/>
                <w:color w:val="000000"/>
                <w:kern w:val="0"/>
                <w:szCs w:val="21"/>
                <w:lang w:bidi="ar"/>
              </w:rPr>
            </w:pPr>
          </w:p>
        </w:tc>
        <w:tc>
          <w:tcPr>
            <w:tcW w:w="3092"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支持4种虚拟币类应用数据提取（比特币、以太坊、波场币、USDT）</w:t>
            </w:r>
          </w:p>
        </w:tc>
        <w:tc>
          <w:tcPr>
            <w:tcW w:w="542" w:type="pct"/>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292" w:type="pct"/>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color w:val="000000"/>
                <w:szCs w:val="21"/>
                <w:lang w:bidi="ar"/>
              </w:rPr>
            </w:pPr>
          </w:p>
        </w:tc>
        <w:tc>
          <w:tcPr>
            <w:tcW w:w="547" w:type="dxa"/>
            <w:shd w:val="clear" w:color="auto" w:fill="auto"/>
            <w:vAlign w:val="center"/>
          </w:tcPr>
          <w:p>
            <w:pPr>
              <w:jc w:val="center"/>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w:t>
            </w:r>
          </w:p>
        </w:tc>
        <w:tc>
          <w:tcPr>
            <w:tcW w:w="306" w:type="pct"/>
            <w:vMerge w:val="continue"/>
            <w:shd w:val="clear" w:color="auto" w:fill="auto"/>
            <w:vAlign w:val="center"/>
          </w:tcPr>
          <w:p>
            <w:pPr>
              <w:rPr>
                <w:rFonts w:asciiTheme="minorEastAsia" w:hAnsiTheme="minorEastAsia" w:eastAsiaTheme="minorEastAsia" w:cstheme="minorEastAsia"/>
                <w:color w:val="000000"/>
                <w:szCs w:val="21"/>
              </w:rPr>
            </w:pPr>
          </w:p>
        </w:tc>
        <w:tc>
          <w:tcPr>
            <w:tcW w:w="467"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取证能力</w:t>
            </w:r>
          </w:p>
          <w:p>
            <w:pPr>
              <w:textAlignment w:val="center"/>
              <w:rPr>
                <w:rFonts w:asciiTheme="minorEastAsia" w:hAnsiTheme="minorEastAsia" w:eastAsiaTheme="minorEastAsia" w:cstheme="minorEastAsia"/>
                <w:color w:val="000000"/>
                <w:kern w:val="0"/>
                <w:szCs w:val="21"/>
                <w:lang w:bidi="ar"/>
              </w:rPr>
            </w:pPr>
          </w:p>
        </w:tc>
        <w:tc>
          <w:tcPr>
            <w:tcW w:w="3092"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支持提取iOS设备中的IPA安装文件（须提供对应的检验检验报告证明复印件）</w:t>
            </w:r>
          </w:p>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支持iOS操作系统至少覆盖7个系统版本，</w:t>
            </w:r>
            <w:r>
              <w:rPr>
                <w:rFonts w:hint="eastAsia" w:asciiTheme="minorEastAsia" w:hAnsiTheme="minorEastAsia" w:eastAsiaTheme="minorEastAsia" w:cstheme="minorEastAsia"/>
                <w:kern w:val="0"/>
                <w:szCs w:val="21"/>
                <w:lang w:bidi="ar"/>
              </w:rPr>
              <w:t>包括但不限于iOS9、10、11、12、13、14、15（提供软件功能截图）</w:t>
            </w:r>
          </w:p>
        </w:tc>
        <w:tc>
          <w:tcPr>
            <w:tcW w:w="542"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检验报告+软件功能截图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292" w:type="pct"/>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color w:val="000000"/>
                <w:szCs w:val="21"/>
                <w:lang w:bidi="ar"/>
              </w:rPr>
            </w:pPr>
          </w:p>
        </w:tc>
        <w:tc>
          <w:tcPr>
            <w:tcW w:w="547" w:type="dxa"/>
            <w:shd w:val="clear" w:color="auto" w:fill="auto"/>
            <w:vAlign w:val="center"/>
          </w:tcPr>
          <w:p>
            <w:pPr>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w:t>
            </w:r>
          </w:p>
        </w:tc>
        <w:tc>
          <w:tcPr>
            <w:tcW w:w="306" w:type="pct"/>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467" w:type="pct"/>
            <w:vMerge w:val="restart"/>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提权能力</w:t>
            </w:r>
          </w:p>
        </w:tc>
        <w:tc>
          <w:tcPr>
            <w:tcW w:w="3092"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具备苹果手机提权提取能力，基于提权能够支持全盘数据提取。基于提权能力，能够提取不低于7种iTunes无法备份的应用数据，包括但不限于微信收藏附件、QQ多媒体附件、Telegram、Potato、Signal、Twitter、Gmail 。支持iPhone 5s及更新型号的手机，最高至少能够支持到iPhone 15 Pro Max。支持iOS 操作系统</w:t>
            </w:r>
            <w:r>
              <w:rPr>
                <w:rFonts w:hint="eastAsia" w:asciiTheme="minorEastAsia" w:hAnsiTheme="minorEastAsia" w:eastAsiaTheme="minorEastAsia" w:cstheme="minorEastAsia"/>
                <w:kern w:val="0"/>
                <w:szCs w:val="21"/>
                <w:lang w:bidi="ar"/>
              </w:rPr>
              <w:t>至少覆盖9个系统版本，包括但不限于iOS9、10、11、12、13、14、15、16、17</w:t>
            </w:r>
          </w:p>
        </w:tc>
        <w:tc>
          <w:tcPr>
            <w:tcW w:w="542" w:type="pct"/>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软件功能截图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292" w:type="pct"/>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color w:val="000000"/>
                <w:szCs w:val="21"/>
                <w:lang w:bidi="ar"/>
              </w:rPr>
            </w:pPr>
          </w:p>
        </w:tc>
        <w:tc>
          <w:tcPr>
            <w:tcW w:w="547" w:type="dxa"/>
            <w:shd w:val="clear" w:color="auto" w:fill="auto"/>
            <w:vAlign w:val="center"/>
          </w:tcPr>
          <w:p>
            <w:pPr>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w:t>
            </w:r>
          </w:p>
        </w:tc>
        <w:tc>
          <w:tcPr>
            <w:tcW w:w="306" w:type="pct"/>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467" w:type="pct"/>
            <w:vMerge w:val="continue"/>
            <w:shd w:val="clear" w:color="auto" w:fill="auto"/>
            <w:vAlign w:val="center"/>
          </w:tcPr>
          <w:p>
            <w:pPr>
              <w:jc w:val="center"/>
              <w:textAlignment w:val="center"/>
              <w:rPr>
                <w:rFonts w:asciiTheme="minorEastAsia" w:hAnsiTheme="minorEastAsia" w:eastAsiaTheme="minorEastAsia" w:cstheme="minorEastAsia"/>
                <w:color w:val="000000"/>
                <w:szCs w:val="21"/>
              </w:rPr>
            </w:pPr>
          </w:p>
        </w:tc>
        <w:tc>
          <w:tcPr>
            <w:tcW w:w="3092" w:type="pct"/>
            <w:shd w:val="clear" w:color="auto" w:fill="auto"/>
            <w:vAlign w:val="center"/>
          </w:tcPr>
          <w:p>
            <w:pPr>
              <w:textAlignment w:val="center"/>
              <w:rPr>
                <w:rFonts w:asciiTheme="minorEastAsia" w:hAnsiTheme="minorEastAsia" w:eastAsiaTheme="minorEastAsia" w:cstheme="minorEastAsia"/>
                <w:kern w:val="0"/>
                <w:szCs w:val="21"/>
                <w:lang w:bidi="ar"/>
              </w:rPr>
            </w:pPr>
            <w:r>
              <w:rPr>
                <w:rFonts w:hint="eastAsia" w:asciiTheme="minorEastAsia" w:hAnsiTheme="minorEastAsia" w:eastAsiaTheme="minorEastAsia" w:cstheme="minorEastAsia"/>
                <w:kern w:val="0"/>
                <w:szCs w:val="21"/>
                <w:lang w:bidi="ar"/>
              </w:rPr>
              <w:t>对ios系统手机进行支持5种方式，包含提权提取、快速提取、备份提取、截屏辅证、备份密码提取、IPA 提取（须提供对应的检验检验报告证明复印件）；</w:t>
            </w:r>
          </w:p>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kern w:val="0"/>
                <w:szCs w:val="21"/>
                <w:lang w:bidi="ar"/>
              </w:rPr>
              <w:t>快速提取能够提供提取指定应用或系统数据能力（提供软件功能截图）</w:t>
            </w:r>
          </w:p>
        </w:tc>
        <w:tc>
          <w:tcPr>
            <w:tcW w:w="542" w:type="pct"/>
            <w:shd w:val="clear" w:color="auto" w:fill="auto"/>
            <w:vAlign w:val="center"/>
          </w:tcPr>
          <w:p>
            <w:pP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检验报告</w:t>
            </w:r>
          </w:p>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+软件功能截图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292" w:type="pct"/>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color w:val="000000"/>
                <w:szCs w:val="21"/>
                <w:lang w:bidi="ar"/>
              </w:rPr>
            </w:pPr>
          </w:p>
        </w:tc>
        <w:tc>
          <w:tcPr>
            <w:tcW w:w="547" w:type="dxa"/>
            <w:shd w:val="clear" w:color="auto" w:fill="auto"/>
            <w:vAlign w:val="center"/>
          </w:tcPr>
          <w:p>
            <w:pPr>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w:t>
            </w:r>
          </w:p>
        </w:tc>
        <w:tc>
          <w:tcPr>
            <w:tcW w:w="306" w:type="pct"/>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467" w:type="pct"/>
            <w:vMerge w:val="continue"/>
            <w:shd w:val="clear" w:color="auto" w:fill="auto"/>
            <w:vAlign w:val="center"/>
          </w:tcPr>
          <w:p>
            <w:pPr>
              <w:jc w:val="center"/>
              <w:textAlignment w:val="center"/>
              <w:rPr>
                <w:rFonts w:asciiTheme="minorEastAsia" w:hAnsiTheme="minorEastAsia" w:eastAsiaTheme="minorEastAsia" w:cstheme="minorEastAsia"/>
                <w:color w:val="000000"/>
                <w:szCs w:val="21"/>
              </w:rPr>
            </w:pPr>
          </w:p>
        </w:tc>
        <w:tc>
          <w:tcPr>
            <w:tcW w:w="3092"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苹果手机提取过程支持2种签名方式，包括自动化签名、手动签名</w:t>
            </w:r>
          </w:p>
        </w:tc>
        <w:tc>
          <w:tcPr>
            <w:tcW w:w="542" w:type="pct"/>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软件功能截图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292" w:type="pct"/>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color w:val="000000"/>
                <w:szCs w:val="21"/>
                <w:lang w:bidi="ar"/>
              </w:rPr>
            </w:pPr>
          </w:p>
        </w:tc>
        <w:tc>
          <w:tcPr>
            <w:tcW w:w="547" w:type="dxa"/>
            <w:shd w:val="clear" w:color="auto" w:fill="auto"/>
            <w:vAlign w:val="center"/>
          </w:tcPr>
          <w:p>
            <w:pPr>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w:t>
            </w:r>
          </w:p>
        </w:tc>
        <w:tc>
          <w:tcPr>
            <w:tcW w:w="306" w:type="pct"/>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467" w:type="pct"/>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3092"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基于Android提权提取能力，提供快速提取能力，提取指定的应用数据或系统数据（须提供对应的检验检验报告证明复印件）；</w:t>
            </w:r>
          </w:p>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支持不少于3种芯片的设备，包括但不限于高通、MTK、麒麟等芯片的手机；（提供软件功能截图）</w:t>
            </w:r>
          </w:p>
        </w:tc>
        <w:tc>
          <w:tcPr>
            <w:tcW w:w="542" w:type="pct"/>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检验报告+软件功能截图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292" w:type="pct"/>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color w:val="000000"/>
                <w:szCs w:val="21"/>
                <w:lang w:bidi="ar"/>
              </w:rPr>
            </w:pPr>
          </w:p>
        </w:tc>
        <w:tc>
          <w:tcPr>
            <w:tcW w:w="547" w:type="dxa"/>
            <w:shd w:val="clear" w:color="auto" w:fill="auto"/>
            <w:vAlign w:val="center"/>
          </w:tcPr>
          <w:p>
            <w:pPr>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w:t>
            </w:r>
          </w:p>
        </w:tc>
        <w:tc>
          <w:tcPr>
            <w:tcW w:w="306" w:type="pct"/>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467" w:type="pct"/>
            <w:shd w:val="clear" w:color="auto" w:fill="auto"/>
            <w:vAlign w:val="center"/>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解析引擎兼容</w:t>
            </w:r>
          </w:p>
        </w:tc>
        <w:tc>
          <w:tcPr>
            <w:tcW w:w="3092"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支持至少1种通过应用自带备份功能提取的备份文件（数据包）的导入解析，包括但不限于SignalBackup</w:t>
            </w:r>
          </w:p>
        </w:tc>
        <w:tc>
          <w:tcPr>
            <w:tcW w:w="542" w:type="pct"/>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2" w:type="pct"/>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color w:val="000000"/>
                <w:szCs w:val="21"/>
                <w:lang w:bidi="ar"/>
              </w:rPr>
            </w:pPr>
          </w:p>
        </w:tc>
        <w:tc>
          <w:tcPr>
            <w:tcW w:w="547" w:type="dxa"/>
            <w:shd w:val="clear" w:color="auto" w:fill="auto"/>
            <w:vAlign w:val="center"/>
          </w:tcPr>
          <w:p>
            <w:pPr>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w:t>
            </w:r>
          </w:p>
        </w:tc>
        <w:tc>
          <w:tcPr>
            <w:tcW w:w="306" w:type="pct"/>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467" w:type="pct"/>
            <w:vMerge w:val="restart"/>
            <w:shd w:val="clear" w:color="auto" w:fill="auto"/>
            <w:vAlign w:val="center"/>
          </w:tcPr>
          <w:p>
            <w:pPr>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系统数据分析</w:t>
            </w:r>
          </w:p>
        </w:tc>
        <w:tc>
          <w:tcPr>
            <w:tcW w:w="3092"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支持解析至少27类系统日志，包括但不限于开关机日志、Wifi 日志、应用日志、通讯行为、AirDrop 使用记录、电量使用日志、屏幕锁定状态、通知历史、推送消息历史、应用安装、应用 Internet、应用使用、音频使用、相机使用、流量使用、备份历史、蓝牙日志、定位使用、配件连接历史、飞行模式历史、运营商注册历史、屏幕快照、蓝牙设备、用户帐户、设备用户、基站、情景模式等</w:t>
            </w:r>
          </w:p>
        </w:tc>
        <w:tc>
          <w:tcPr>
            <w:tcW w:w="542" w:type="pct"/>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2" w:type="pct"/>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color w:val="000000"/>
                <w:szCs w:val="21"/>
                <w:lang w:bidi="ar"/>
              </w:rPr>
            </w:pPr>
          </w:p>
        </w:tc>
        <w:tc>
          <w:tcPr>
            <w:tcW w:w="547" w:type="dxa"/>
            <w:shd w:val="clear" w:color="auto" w:fill="auto"/>
            <w:vAlign w:val="center"/>
          </w:tcPr>
          <w:p>
            <w:pPr>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w:t>
            </w:r>
          </w:p>
        </w:tc>
        <w:tc>
          <w:tcPr>
            <w:tcW w:w="306" w:type="pct"/>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467" w:type="pct"/>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3092"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支持从iOS Keychain种解析至少10类信息，包括但不限于：证书、账户密码、iTunes备份密码、身份、网络密码、密钥、应用Token、AppleID、WiFi、邮箱账号等</w:t>
            </w:r>
          </w:p>
        </w:tc>
        <w:tc>
          <w:tcPr>
            <w:tcW w:w="542" w:type="pct"/>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92" w:type="pct"/>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color w:val="000000"/>
                <w:szCs w:val="21"/>
                <w:lang w:bidi="ar"/>
              </w:rPr>
            </w:pPr>
          </w:p>
        </w:tc>
        <w:tc>
          <w:tcPr>
            <w:tcW w:w="547" w:type="dxa"/>
            <w:shd w:val="clear" w:color="auto" w:fill="auto"/>
            <w:vAlign w:val="center"/>
          </w:tcPr>
          <w:p>
            <w:pPr>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w:t>
            </w:r>
          </w:p>
        </w:tc>
        <w:tc>
          <w:tcPr>
            <w:tcW w:w="306" w:type="pct"/>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467" w:type="pct"/>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3092"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解析至少2种网络连接信息，包括但不限于wifi和基站信息。可查看苹果基站3种信息，包括经度、纬度、时间等,可查看WiFi信息，提取苹果手机WiFi的3种信息，包括名称、临时密码、时间，提取安卓手机的2种WiFi信息，包括SSID、临时用户密码</w:t>
            </w:r>
          </w:p>
        </w:tc>
        <w:tc>
          <w:tcPr>
            <w:tcW w:w="542" w:type="pct"/>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92" w:type="pct"/>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color w:val="000000"/>
                <w:szCs w:val="21"/>
                <w:lang w:bidi="ar"/>
              </w:rPr>
            </w:pPr>
          </w:p>
        </w:tc>
        <w:tc>
          <w:tcPr>
            <w:tcW w:w="547" w:type="dxa"/>
            <w:shd w:val="clear" w:color="auto" w:fill="auto"/>
            <w:vAlign w:val="center"/>
          </w:tcPr>
          <w:p>
            <w:pPr>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w:t>
            </w:r>
          </w:p>
        </w:tc>
        <w:tc>
          <w:tcPr>
            <w:tcW w:w="306" w:type="pct"/>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467"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应用程序分析</w:t>
            </w:r>
          </w:p>
        </w:tc>
        <w:tc>
          <w:tcPr>
            <w:tcW w:w="3092"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支持解析至少27个境外即时消息类应用痕迹，包括但不限于WhatsApp、Facebook、Telegram、Twitter、Signal、Instagram、Skype、68 Messenger、PPchat、Clubhouse、Discord、Messenger、Gettr、ICQ、KakaoTalk、Line、Secret、Sugram、Talkatone、Btok、Nicegram，Potato、TelegramX、Viber、Voxer、Wickrme、Zalo等</w:t>
            </w:r>
          </w:p>
        </w:tc>
        <w:tc>
          <w:tcPr>
            <w:tcW w:w="542" w:type="pct"/>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软件功能截图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92" w:type="pct"/>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color w:val="000000"/>
                <w:szCs w:val="21"/>
                <w:lang w:bidi="ar"/>
              </w:rPr>
            </w:pPr>
          </w:p>
        </w:tc>
        <w:tc>
          <w:tcPr>
            <w:tcW w:w="547" w:type="dxa"/>
            <w:shd w:val="clear" w:color="auto" w:fill="auto"/>
            <w:vAlign w:val="center"/>
          </w:tcPr>
          <w:p>
            <w:pPr>
              <w:jc w:val="cente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szCs w:val="21"/>
              </w:rPr>
              <w:t>▲</w:t>
            </w:r>
          </w:p>
        </w:tc>
        <w:tc>
          <w:tcPr>
            <w:tcW w:w="306" w:type="pct"/>
            <w:vMerge w:val="restart"/>
            <w:shd w:val="clear" w:color="auto" w:fill="auto"/>
            <w:vAlign w:val="center"/>
          </w:tcPr>
          <w:p>
            <w:pPr>
              <w:jc w:val="center"/>
              <w:rPr>
                <w:rFonts w:asciiTheme="minorEastAsia" w:hAnsiTheme="minorEastAsia" w:eastAsiaTheme="minorEastAsia" w:cstheme="minorEastAsia"/>
                <w:color w:val="000000"/>
                <w:szCs w:val="21"/>
              </w:rPr>
            </w:pPr>
          </w:p>
        </w:tc>
        <w:tc>
          <w:tcPr>
            <w:tcW w:w="467" w:type="pct"/>
            <w:vMerge w:val="restar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多语言支持</w:t>
            </w:r>
          </w:p>
        </w:tc>
        <w:tc>
          <w:tcPr>
            <w:tcW w:w="3092"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支持语音转文字，将语音文件自动识别成文字内容。支持单个或一次性进行至少20条批量语音识别</w:t>
            </w:r>
          </w:p>
        </w:tc>
        <w:tc>
          <w:tcPr>
            <w:tcW w:w="542" w:type="pct"/>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软件功能截图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2" w:type="pct"/>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color w:val="000000"/>
                <w:szCs w:val="21"/>
                <w:lang w:bidi="ar"/>
              </w:rPr>
            </w:pPr>
          </w:p>
        </w:tc>
        <w:tc>
          <w:tcPr>
            <w:tcW w:w="547" w:type="dxa"/>
            <w:shd w:val="clear" w:color="auto" w:fill="auto"/>
            <w:vAlign w:val="center"/>
          </w:tcPr>
          <w:p>
            <w:pPr>
              <w:jc w:val="cente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szCs w:val="21"/>
              </w:rPr>
              <w:t>▲</w:t>
            </w:r>
          </w:p>
        </w:tc>
        <w:tc>
          <w:tcPr>
            <w:tcW w:w="306" w:type="pct"/>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467" w:type="pct"/>
            <w:vMerge w:val="continue"/>
            <w:shd w:val="clear" w:color="auto" w:fill="auto"/>
            <w:vAlign w:val="center"/>
          </w:tcPr>
          <w:p>
            <w:pPr>
              <w:textAlignment w:val="center"/>
              <w:rPr>
                <w:rFonts w:asciiTheme="minorEastAsia" w:hAnsiTheme="minorEastAsia" w:eastAsiaTheme="minorEastAsia" w:cstheme="minorEastAsia"/>
                <w:szCs w:val="21"/>
              </w:rPr>
            </w:pPr>
          </w:p>
        </w:tc>
        <w:tc>
          <w:tcPr>
            <w:tcW w:w="3092"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机器翻译，至少支持1种语言的翻译（英语）</w:t>
            </w:r>
          </w:p>
        </w:tc>
        <w:tc>
          <w:tcPr>
            <w:tcW w:w="542" w:type="pct"/>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软件功能截图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292" w:type="pct"/>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color w:val="000000"/>
                <w:szCs w:val="21"/>
                <w:lang w:bidi="ar"/>
              </w:rPr>
            </w:pPr>
          </w:p>
        </w:tc>
        <w:tc>
          <w:tcPr>
            <w:tcW w:w="547" w:type="dxa"/>
            <w:shd w:val="clear" w:color="auto" w:fill="auto"/>
            <w:vAlign w:val="center"/>
          </w:tcPr>
          <w:p>
            <w:pPr>
              <w:jc w:val="cente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szCs w:val="21"/>
              </w:rPr>
              <w:t>★</w:t>
            </w:r>
          </w:p>
        </w:tc>
        <w:tc>
          <w:tcPr>
            <w:tcW w:w="306" w:type="pct"/>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467" w:type="pct"/>
            <w:vMerge w:val="restart"/>
            <w:shd w:val="clear" w:color="auto" w:fill="auto"/>
            <w:vAlign w:val="center"/>
          </w:tcPr>
          <w:p>
            <w:pPr>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color w:val="000000"/>
                <w:kern w:val="0"/>
                <w:szCs w:val="21"/>
                <w:lang w:bidi="ar"/>
              </w:rPr>
              <w:t>智能分析</w:t>
            </w:r>
          </w:p>
        </w:tc>
        <w:tc>
          <w:tcPr>
            <w:tcW w:w="3092"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支持多页面同时浏览分析，包括系统支持跨案件、跨检材地同时浏览多个应用数据，以Tab页面的形式展示；（须提供对应的检验检验报告证明复印件）</w:t>
            </w:r>
          </w:p>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支持至少5个案件多个页面的同时浏览分析（提供软件功能截图）</w:t>
            </w:r>
          </w:p>
        </w:tc>
        <w:tc>
          <w:tcPr>
            <w:tcW w:w="542" w:type="pct"/>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检验报告+软件功能截图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92" w:type="pct"/>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color w:val="000000"/>
                <w:szCs w:val="21"/>
                <w:lang w:bidi="ar"/>
              </w:rPr>
            </w:pPr>
          </w:p>
        </w:tc>
        <w:tc>
          <w:tcPr>
            <w:tcW w:w="547" w:type="dxa"/>
            <w:shd w:val="clear" w:color="auto" w:fill="auto"/>
            <w:vAlign w:val="center"/>
          </w:tcPr>
          <w:p>
            <w:pPr>
              <w:jc w:val="center"/>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szCs w:val="21"/>
              </w:rPr>
              <w:t>★</w:t>
            </w:r>
          </w:p>
        </w:tc>
        <w:tc>
          <w:tcPr>
            <w:tcW w:w="306" w:type="pct"/>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467" w:type="pct"/>
            <w:vMerge w:val="continue"/>
            <w:shd w:val="clear" w:color="auto" w:fill="auto"/>
            <w:vAlign w:val="center"/>
          </w:tcPr>
          <w:p>
            <w:pPr>
              <w:textAlignment w:val="center"/>
              <w:rPr>
                <w:rFonts w:asciiTheme="minorEastAsia" w:hAnsiTheme="minorEastAsia" w:eastAsiaTheme="minorEastAsia" w:cstheme="minorEastAsia"/>
                <w:szCs w:val="21"/>
              </w:rPr>
            </w:pPr>
          </w:p>
        </w:tc>
        <w:tc>
          <w:tcPr>
            <w:tcW w:w="3092"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支持获取Airdrop隔空投送传输的日志文件，通过工具箱自定义号冠可获取手机号码，最大长度至少为13位数字</w:t>
            </w:r>
          </w:p>
        </w:tc>
        <w:tc>
          <w:tcPr>
            <w:tcW w:w="542" w:type="pct"/>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92" w:type="pct"/>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color w:val="000000"/>
                <w:szCs w:val="21"/>
                <w:lang w:bidi="ar"/>
              </w:rPr>
            </w:pPr>
          </w:p>
        </w:tc>
        <w:tc>
          <w:tcPr>
            <w:tcW w:w="547" w:type="dxa"/>
            <w:shd w:val="clear" w:color="auto" w:fill="auto"/>
            <w:vAlign w:val="center"/>
          </w:tcPr>
          <w:p>
            <w:pPr>
              <w:jc w:val="center"/>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color w:val="000000"/>
                <w:szCs w:val="21"/>
              </w:rPr>
              <w:t>▲</w:t>
            </w:r>
          </w:p>
        </w:tc>
        <w:tc>
          <w:tcPr>
            <w:tcW w:w="306" w:type="pct"/>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467" w:type="pct"/>
            <w:vMerge w:val="continue"/>
            <w:shd w:val="clear" w:color="auto" w:fill="auto"/>
            <w:vAlign w:val="center"/>
          </w:tcPr>
          <w:p>
            <w:pPr>
              <w:textAlignment w:val="center"/>
              <w:rPr>
                <w:rFonts w:asciiTheme="minorEastAsia" w:hAnsiTheme="minorEastAsia" w:eastAsiaTheme="minorEastAsia" w:cstheme="minorEastAsia"/>
                <w:szCs w:val="21"/>
              </w:rPr>
            </w:pPr>
          </w:p>
        </w:tc>
        <w:tc>
          <w:tcPr>
            <w:tcW w:w="3092"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支持AI图片分析，支持至少4种类型的分析，包括但不限于卡证、敏感对象、暴恐场景、不健康内容等图片分析</w:t>
            </w:r>
          </w:p>
        </w:tc>
        <w:tc>
          <w:tcPr>
            <w:tcW w:w="542" w:type="pct"/>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软件功能截图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92" w:type="pct"/>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color w:val="000000"/>
                <w:szCs w:val="21"/>
                <w:lang w:bidi="ar"/>
              </w:rPr>
            </w:pPr>
          </w:p>
        </w:tc>
        <w:tc>
          <w:tcPr>
            <w:tcW w:w="547" w:type="dxa"/>
            <w:shd w:val="clear" w:color="auto" w:fill="auto"/>
            <w:vAlign w:val="center"/>
          </w:tcPr>
          <w:p>
            <w:pPr>
              <w:jc w:val="cente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szCs w:val="21"/>
              </w:rPr>
              <w:t>▲</w:t>
            </w:r>
          </w:p>
        </w:tc>
        <w:tc>
          <w:tcPr>
            <w:tcW w:w="306" w:type="pct"/>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467" w:type="pct"/>
            <w:vMerge w:val="continue"/>
            <w:shd w:val="clear" w:color="auto" w:fill="auto"/>
            <w:vAlign w:val="center"/>
          </w:tcPr>
          <w:p>
            <w:pPr>
              <w:textAlignment w:val="center"/>
              <w:rPr>
                <w:rFonts w:asciiTheme="minorEastAsia" w:hAnsiTheme="minorEastAsia" w:eastAsiaTheme="minorEastAsia" w:cstheme="minorEastAsia"/>
                <w:szCs w:val="21"/>
              </w:rPr>
            </w:pPr>
          </w:p>
        </w:tc>
        <w:tc>
          <w:tcPr>
            <w:tcW w:w="3092"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支持关键字预警，对至少10种不同的类型数据中进行预警，不同分类的关键词进行预警筛查</w:t>
            </w:r>
          </w:p>
        </w:tc>
        <w:tc>
          <w:tcPr>
            <w:tcW w:w="542" w:type="pct"/>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软件功能截图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92" w:type="pct"/>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color w:val="000000"/>
                <w:szCs w:val="21"/>
                <w:lang w:bidi="ar"/>
              </w:rPr>
            </w:pPr>
          </w:p>
        </w:tc>
        <w:tc>
          <w:tcPr>
            <w:tcW w:w="547" w:type="dxa"/>
            <w:shd w:val="clear" w:color="auto" w:fill="auto"/>
            <w:vAlign w:val="center"/>
          </w:tcPr>
          <w:p>
            <w:pPr>
              <w:jc w:val="cente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szCs w:val="21"/>
              </w:rPr>
              <w:t>▲</w:t>
            </w:r>
          </w:p>
        </w:tc>
        <w:tc>
          <w:tcPr>
            <w:tcW w:w="306" w:type="pct"/>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467" w:type="pct"/>
            <w:vMerge w:val="continue"/>
            <w:shd w:val="clear" w:color="auto" w:fill="auto"/>
            <w:vAlign w:val="center"/>
          </w:tcPr>
          <w:p>
            <w:pPr>
              <w:textAlignment w:val="center"/>
              <w:rPr>
                <w:rFonts w:asciiTheme="minorEastAsia" w:hAnsiTheme="minorEastAsia" w:eastAsiaTheme="minorEastAsia" w:cstheme="minorEastAsia"/>
                <w:szCs w:val="21"/>
              </w:rPr>
            </w:pPr>
          </w:p>
        </w:tc>
        <w:tc>
          <w:tcPr>
            <w:tcW w:w="3092"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支持文件分析，支持3类密级别，包括但不限于秘密、机密、绝密字样的文件自动筛查</w:t>
            </w:r>
          </w:p>
        </w:tc>
        <w:tc>
          <w:tcPr>
            <w:tcW w:w="542" w:type="pct"/>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软件功能截图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92" w:type="pct"/>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color w:val="000000"/>
                <w:szCs w:val="21"/>
                <w:lang w:bidi="ar"/>
              </w:rPr>
            </w:pPr>
          </w:p>
        </w:tc>
        <w:tc>
          <w:tcPr>
            <w:tcW w:w="547" w:type="dxa"/>
            <w:shd w:val="clear" w:color="auto" w:fill="auto"/>
            <w:vAlign w:val="center"/>
          </w:tcPr>
          <w:p>
            <w:pPr>
              <w:jc w:val="cente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szCs w:val="21"/>
              </w:rPr>
              <w:t>▲</w:t>
            </w:r>
          </w:p>
        </w:tc>
        <w:tc>
          <w:tcPr>
            <w:tcW w:w="306" w:type="pct"/>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467" w:type="pct"/>
            <w:vMerge w:val="continue"/>
            <w:shd w:val="clear" w:color="auto" w:fill="auto"/>
            <w:vAlign w:val="center"/>
          </w:tcPr>
          <w:p>
            <w:pPr>
              <w:textAlignment w:val="center"/>
              <w:rPr>
                <w:rFonts w:asciiTheme="minorEastAsia" w:hAnsiTheme="minorEastAsia" w:eastAsiaTheme="minorEastAsia" w:cstheme="minorEastAsia"/>
                <w:szCs w:val="21"/>
              </w:rPr>
            </w:pPr>
          </w:p>
        </w:tc>
        <w:tc>
          <w:tcPr>
            <w:tcW w:w="3092"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支持智能文书，支持自定义笔录模板，至少支持5种字段类型，每种类型不少于5种配置项，根据用户上传的自定义模板导出文书</w:t>
            </w:r>
          </w:p>
        </w:tc>
        <w:tc>
          <w:tcPr>
            <w:tcW w:w="542" w:type="pct"/>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软件功能截图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92" w:type="pct"/>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color w:val="000000"/>
                <w:szCs w:val="21"/>
                <w:lang w:bidi="ar"/>
              </w:rPr>
            </w:pPr>
          </w:p>
        </w:tc>
        <w:tc>
          <w:tcPr>
            <w:tcW w:w="547" w:type="dxa"/>
            <w:shd w:val="clear" w:color="auto" w:fill="auto"/>
            <w:vAlign w:val="center"/>
          </w:tcPr>
          <w:p>
            <w:pPr>
              <w:jc w:val="cente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szCs w:val="21"/>
              </w:rPr>
              <w:t>▲</w:t>
            </w:r>
          </w:p>
        </w:tc>
        <w:tc>
          <w:tcPr>
            <w:tcW w:w="306" w:type="pct"/>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467" w:type="pct"/>
            <w:vMerge w:val="continue"/>
            <w:shd w:val="clear" w:color="auto" w:fill="auto"/>
            <w:vAlign w:val="center"/>
          </w:tcPr>
          <w:p>
            <w:pPr>
              <w:textAlignment w:val="center"/>
              <w:rPr>
                <w:rFonts w:asciiTheme="minorEastAsia" w:hAnsiTheme="minorEastAsia" w:eastAsiaTheme="minorEastAsia" w:cstheme="minorEastAsia"/>
                <w:szCs w:val="21"/>
              </w:rPr>
            </w:pPr>
          </w:p>
        </w:tc>
        <w:tc>
          <w:tcPr>
            <w:tcW w:w="3092"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具备时间线可视化分析能力，通过分析手机中的至少5种应用类型的事件来创建时间线。此功能支持按类型和时间段进行筛选</w:t>
            </w:r>
          </w:p>
        </w:tc>
        <w:tc>
          <w:tcPr>
            <w:tcW w:w="542" w:type="pct"/>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软件功能截图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92" w:type="pct"/>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color w:val="000000"/>
                <w:szCs w:val="21"/>
                <w:lang w:bidi="ar"/>
              </w:rPr>
            </w:pPr>
          </w:p>
        </w:tc>
        <w:tc>
          <w:tcPr>
            <w:tcW w:w="547" w:type="dxa"/>
            <w:shd w:val="clear" w:color="auto" w:fill="auto"/>
            <w:vAlign w:val="center"/>
          </w:tcPr>
          <w:p>
            <w:pPr>
              <w:jc w:val="cente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szCs w:val="21"/>
              </w:rPr>
              <w:t>▲</w:t>
            </w:r>
          </w:p>
        </w:tc>
        <w:tc>
          <w:tcPr>
            <w:tcW w:w="306" w:type="pct"/>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467" w:type="pct"/>
            <w:vMerge w:val="continue"/>
            <w:shd w:val="clear" w:color="auto" w:fill="auto"/>
            <w:vAlign w:val="center"/>
          </w:tcPr>
          <w:p>
            <w:pPr>
              <w:textAlignment w:val="center"/>
              <w:rPr>
                <w:rFonts w:asciiTheme="minorEastAsia" w:hAnsiTheme="minorEastAsia" w:eastAsiaTheme="minorEastAsia" w:cstheme="minorEastAsia"/>
                <w:szCs w:val="21"/>
              </w:rPr>
            </w:pPr>
          </w:p>
        </w:tc>
        <w:tc>
          <w:tcPr>
            <w:tcW w:w="3092"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具备通联分析能力，分析设备机主的通联数据，支持至少3种类型的排行统计。可绘制社交网络图谱，图谱中的节点不少于20个，从而识别社交关系，判断社交频次</w:t>
            </w:r>
          </w:p>
        </w:tc>
        <w:tc>
          <w:tcPr>
            <w:tcW w:w="542" w:type="pct"/>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软件功能截图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92" w:type="pct"/>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color w:val="000000"/>
                <w:szCs w:val="21"/>
                <w:lang w:bidi="ar"/>
              </w:rPr>
            </w:pPr>
          </w:p>
        </w:tc>
        <w:tc>
          <w:tcPr>
            <w:tcW w:w="547" w:type="dxa"/>
            <w:shd w:val="clear" w:color="auto" w:fill="auto"/>
            <w:vAlign w:val="center"/>
          </w:tcPr>
          <w:p>
            <w:pPr>
              <w:jc w:val="cente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szCs w:val="21"/>
              </w:rPr>
              <w:t>▲</w:t>
            </w:r>
          </w:p>
        </w:tc>
        <w:tc>
          <w:tcPr>
            <w:tcW w:w="306" w:type="pct"/>
            <w:vMerge w:val="continue"/>
            <w:shd w:val="clear" w:color="auto" w:fill="auto"/>
            <w:vAlign w:val="center"/>
          </w:tcPr>
          <w:p>
            <w:pPr>
              <w:jc w:val="center"/>
              <w:rPr>
                <w:rFonts w:asciiTheme="minorEastAsia" w:hAnsiTheme="minorEastAsia" w:eastAsiaTheme="minorEastAsia" w:cstheme="minorEastAsia"/>
                <w:color w:val="000000"/>
                <w:szCs w:val="21"/>
              </w:rPr>
            </w:pPr>
          </w:p>
        </w:tc>
        <w:tc>
          <w:tcPr>
            <w:tcW w:w="467" w:type="pct"/>
            <w:vMerge w:val="continue"/>
            <w:shd w:val="clear" w:color="auto" w:fill="auto"/>
            <w:vAlign w:val="center"/>
          </w:tcPr>
          <w:p>
            <w:pPr>
              <w:textAlignment w:val="center"/>
              <w:rPr>
                <w:rFonts w:asciiTheme="minorEastAsia" w:hAnsiTheme="minorEastAsia" w:eastAsiaTheme="minorEastAsia" w:cstheme="minorEastAsia"/>
                <w:szCs w:val="21"/>
              </w:rPr>
            </w:pPr>
          </w:p>
        </w:tc>
        <w:tc>
          <w:tcPr>
            <w:tcW w:w="3092" w:type="pct"/>
            <w:shd w:val="clear" w:color="auto" w:fill="auto"/>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具备人物画像分析能力，构建设备机主的个人档案，支持至少5种类型的汇总，包括但不限于手机号、身份证号、地址、银行卡号以及虚拟身份信息，呈现其个人信息和行为特征</w:t>
            </w:r>
          </w:p>
        </w:tc>
        <w:tc>
          <w:tcPr>
            <w:tcW w:w="542" w:type="pct"/>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软件功能截图</w:t>
            </w:r>
          </w:p>
        </w:tc>
      </w:tr>
    </w:tbl>
    <w:p>
      <w:pPr>
        <w:pStyle w:val="5"/>
        <w:spacing w:before="15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第2包 手机云取证设备</w:t>
      </w:r>
      <w:r>
        <w:rPr>
          <w:rFonts w:hint="default" w:ascii="Times New Roman" w:hAnsi="Times New Roman" w:cs="Times New Roman" w:eastAsiaTheme="minorEastAsia"/>
          <w:szCs w:val="21"/>
        </w:rPr>
        <w:t>Ⅲ</w:t>
      </w:r>
      <w:r>
        <w:rPr>
          <w:rFonts w:hint="eastAsia" w:asciiTheme="minorEastAsia" w:hAnsiTheme="minorEastAsia" w:eastAsiaTheme="minorEastAsia" w:cstheme="minorEastAsia"/>
          <w:szCs w:val="21"/>
        </w:rPr>
        <w:t xml:space="preserve"> </w:t>
      </w:r>
    </w:p>
    <w:tbl>
      <w:tblPr>
        <w:tblStyle w:val="81"/>
        <w:tblW w:w="10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2"/>
        <w:gridCol w:w="993"/>
        <w:gridCol w:w="1134"/>
        <w:gridCol w:w="1134"/>
        <w:gridCol w:w="4536"/>
        <w:gridCol w:w="1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blHeader/>
          <w:jc w:val="center"/>
        </w:trPr>
        <w:tc>
          <w:tcPr>
            <w:tcW w:w="692"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序号</w:t>
            </w: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重要性</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名称</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b/>
                <w:szCs w:val="21"/>
              </w:rPr>
            </w:pPr>
            <w:r>
              <w:rPr>
                <w:rFonts w:hint="eastAsia" w:asciiTheme="minorEastAsia" w:hAnsiTheme="minorEastAsia" w:eastAsiaTheme="minorEastAsia" w:cstheme="minorEastAsia"/>
                <w:bCs/>
                <w:szCs w:val="21"/>
              </w:rPr>
              <w:t>指标项</w:t>
            </w:r>
          </w:p>
        </w:tc>
        <w:tc>
          <w:tcPr>
            <w:tcW w:w="4536"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b/>
                <w:szCs w:val="21"/>
              </w:rPr>
            </w:pPr>
            <w:r>
              <w:rPr>
                <w:rFonts w:hint="eastAsia" w:asciiTheme="minorEastAsia" w:hAnsiTheme="minorEastAsia" w:eastAsiaTheme="minorEastAsia" w:cstheme="minorEastAsia"/>
                <w:bCs/>
                <w:szCs w:val="21"/>
              </w:rPr>
              <w:t>技术要求</w:t>
            </w:r>
          </w:p>
        </w:tc>
        <w:tc>
          <w:tcPr>
            <w:tcW w:w="1740"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b/>
                <w:szCs w:val="21"/>
              </w:rPr>
            </w:pPr>
            <w:r>
              <w:rPr>
                <w:rFonts w:hint="eastAsia" w:asciiTheme="minorEastAsia" w:hAnsiTheme="minorEastAsia" w:eastAsiaTheme="minorEastAsia" w:cstheme="minorEastAsia"/>
                <w:bCs/>
                <w:szCs w:val="21"/>
              </w:rPr>
              <w:t>证明材料要求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tcBorders>
              <w:top w:val="single" w:color="auto" w:sz="4" w:space="0"/>
              <w:left w:val="single" w:color="auto" w:sz="4" w:space="0"/>
              <w:bottom w:val="single" w:color="auto" w:sz="4" w:space="0"/>
              <w:right w:val="single" w:color="auto" w:sz="4" w:space="0"/>
            </w:tcBorders>
            <w:vAlign w:val="center"/>
          </w:tcPr>
          <w:p>
            <w:pPr>
              <w:widowControl w:val="0"/>
              <w:numPr>
                <w:ilvl w:val="0"/>
                <w:numId w:val="86"/>
              </w:numPr>
              <w:jc w:val="center"/>
              <w:textAlignment w:val="center"/>
              <w:rPr>
                <w:rFonts w:asciiTheme="minorEastAsia" w:hAnsiTheme="minorEastAsia" w:eastAsiaTheme="minorEastAsia" w:cstheme="minorEastAsia"/>
                <w:color w:val="000000"/>
                <w:szCs w:val="21"/>
                <w:lang w:bidi="ar"/>
              </w:rPr>
            </w:pPr>
          </w:p>
        </w:tc>
        <w:tc>
          <w:tcPr>
            <w:tcW w:w="993"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w:t>
            </w:r>
          </w:p>
        </w:tc>
        <w:tc>
          <w:tcPr>
            <w:tcW w:w="1134" w:type="dxa"/>
            <w:vMerge w:val="restart"/>
            <w:tcBorders>
              <w:top w:val="single" w:color="auto" w:sz="4" w:space="0"/>
              <w:left w:val="single" w:color="auto" w:sz="4" w:space="0"/>
              <w:right w:val="single" w:color="auto" w:sz="4" w:space="0"/>
            </w:tcBorders>
            <w:vAlign w:val="center"/>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bCs/>
                <w:szCs w:val="21"/>
              </w:rPr>
              <w:t>功能要求</w:t>
            </w: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登陆方式</w:t>
            </w:r>
          </w:p>
        </w:tc>
        <w:tc>
          <w:tcPr>
            <w:tcW w:w="4536" w:type="dxa"/>
            <w:tcBorders>
              <w:top w:val="single" w:color="auto" w:sz="4" w:space="0"/>
              <w:left w:val="single" w:color="auto" w:sz="4" w:space="0"/>
              <w:bottom w:val="single" w:color="auto" w:sz="4" w:space="0"/>
              <w:right w:val="single" w:color="auto" w:sz="4" w:space="0"/>
            </w:tcBorders>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至少支持8种应用免登录提取云端数据（qq钱包、美团、携程、滴滴、航旅纵横、印象笔记、淘宝、支付宝）</w:t>
            </w:r>
          </w:p>
        </w:tc>
        <w:tc>
          <w:tcPr>
            <w:tcW w:w="1740"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color w:val="000000"/>
                <w:szCs w:val="21"/>
              </w:rPr>
              <w:t>软件功能截图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tcBorders>
              <w:top w:val="single" w:color="auto" w:sz="4" w:space="0"/>
              <w:left w:val="single" w:color="auto" w:sz="4" w:space="0"/>
              <w:bottom w:val="single" w:color="auto" w:sz="4" w:space="0"/>
              <w:right w:val="single" w:color="auto" w:sz="4" w:space="0"/>
            </w:tcBorders>
            <w:vAlign w:val="center"/>
          </w:tcPr>
          <w:p>
            <w:pPr>
              <w:widowControl w:val="0"/>
              <w:numPr>
                <w:ilvl w:val="0"/>
                <w:numId w:val="86"/>
              </w:numPr>
              <w:jc w:val="center"/>
              <w:textAlignment w:val="center"/>
              <w:rPr>
                <w:rFonts w:asciiTheme="minorEastAsia" w:hAnsiTheme="minorEastAsia" w:eastAsiaTheme="minorEastAsia" w:cstheme="minorEastAsia"/>
                <w:color w:val="000000"/>
                <w:szCs w:val="21"/>
                <w:lang w:bidi="ar"/>
              </w:rPr>
            </w:pPr>
          </w:p>
        </w:tc>
        <w:tc>
          <w:tcPr>
            <w:tcW w:w="9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szCs w:val="21"/>
              </w:rPr>
              <w:t>★</w:t>
            </w:r>
          </w:p>
        </w:tc>
        <w:tc>
          <w:tcPr>
            <w:tcW w:w="1134" w:type="dxa"/>
            <w:vMerge w:val="continue"/>
            <w:tcBorders>
              <w:left w:val="single" w:color="auto" w:sz="4" w:space="0"/>
              <w:right w:val="single" w:color="auto" w:sz="4" w:space="0"/>
            </w:tcBorders>
            <w:vAlign w:val="center"/>
          </w:tcPr>
          <w:p>
            <w:pPr>
              <w:adjustRightInd w:val="0"/>
              <w:snapToGrid w:val="0"/>
              <w:jc w:val="center"/>
              <w:rPr>
                <w:rFonts w:asciiTheme="minorEastAsia" w:hAnsiTheme="minorEastAsia" w:eastAsiaTheme="minorEastAsia" w:cstheme="minorEastAsia"/>
                <w:kern w:val="0"/>
                <w:szCs w:val="21"/>
              </w:rPr>
            </w:pPr>
          </w:p>
        </w:tc>
        <w:tc>
          <w:tcPr>
            <w:tcW w:w="1134" w:type="dxa"/>
            <w:vMerge w:val="restart"/>
            <w:tcBorders>
              <w:top w:val="single" w:color="auto" w:sz="4" w:space="0"/>
              <w:left w:val="single" w:color="auto" w:sz="4" w:space="0"/>
              <w:right w:val="single" w:color="auto" w:sz="4" w:space="0"/>
            </w:tcBorders>
            <w:vAlign w:val="center"/>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数据提取与分析</w:t>
            </w:r>
          </w:p>
        </w:tc>
        <w:tc>
          <w:tcPr>
            <w:tcW w:w="4536" w:type="dxa"/>
            <w:tcBorders>
              <w:top w:val="single" w:color="auto" w:sz="4" w:space="0"/>
              <w:left w:val="single" w:color="auto" w:sz="4" w:space="0"/>
              <w:bottom w:val="single" w:color="auto" w:sz="4" w:space="0"/>
              <w:right w:val="single" w:color="auto" w:sz="4" w:space="0"/>
            </w:tcBorders>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 xml:space="preserve">至少支持3种电子邮箱类应用数据提取，包括但不限于：163邮箱、126邮箱、Yeah邮箱、邮箱协议                                                                                                                                                                                                                                                                                                                                                                                                                                                                                                                                                                                                                                                                                                                                                                                                                                                                                                                                                                                                                                                                                                                                                                                                                                                                                                                                                                                                                                                                                                                                                                                                                                                                                                                                                                                                                                                                                                                                                                                                                                                                                                                                                                                                                                                                                                                                                                                                                                                                                                                                                                                                                                                                                                                                                                                                                                                                                                                                                                                                                                                                                                                                                                                                                                                                                                                                                                                                                                                                                                                                                                                                                                                                                                                                                                                                                                                                                                                                                                                                                                                                                                                                                                </w:t>
            </w:r>
            <w:r>
              <w:rPr>
                <w:rFonts w:hint="eastAsia" w:asciiTheme="minorEastAsia" w:hAnsiTheme="minorEastAsia" w:eastAsiaTheme="minorEastAsia" w:cstheme="minorEastAsia"/>
                <w:color w:val="000000"/>
                <w:kern w:val="0"/>
                <w:szCs w:val="21"/>
                <w:lang w:bidi="ar"/>
              </w:rPr>
              <w:t xml:space="preserve">                                                                                                                                                                                                                                                                                                                                                                                                                                                                                                                                                                                                                                                                                                                                                                                                                                                                                                                                                                                                                                                                                                                                                                                                                                                                                                                                                                                                                                                                                                                                                                                                                                                                                                                                                                                                                                                                                                                                                                                                                                                                                                                                                                                                                                                                                                                                                                                                                                                                                                                                                                                                                                                                                                                                                                                                                                                                                                                                                                                                                                                                                                                                                                                                                                                                                                                                                                                                                                                                                                                                                                                                                                                                                                                                                                                                                                                                                                                                                                           </w:t>
            </w:r>
          </w:p>
        </w:tc>
        <w:tc>
          <w:tcPr>
            <w:tcW w:w="1740"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tcBorders>
              <w:top w:val="single" w:color="auto" w:sz="4" w:space="0"/>
              <w:left w:val="single" w:color="auto" w:sz="4" w:space="0"/>
              <w:bottom w:val="single" w:color="auto" w:sz="4" w:space="0"/>
              <w:right w:val="single" w:color="auto" w:sz="4" w:space="0"/>
            </w:tcBorders>
            <w:vAlign w:val="center"/>
          </w:tcPr>
          <w:p>
            <w:pPr>
              <w:widowControl w:val="0"/>
              <w:numPr>
                <w:ilvl w:val="0"/>
                <w:numId w:val="86"/>
              </w:numPr>
              <w:jc w:val="center"/>
              <w:textAlignment w:val="center"/>
              <w:rPr>
                <w:rFonts w:asciiTheme="minorEastAsia" w:hAnsiTheme="minorEastAsia" w:eastAsiaTheme="minorEastAsia" w:cstheme="minorEastAsia"/>
                <w:color w:val="000000"/>
                <w:szCs w:val="21"/>
                <w:lang w:bidi="ar"/>
              </w:rPr>
            </w:pPr>
          </w:p>
        </w:tc>
        <w:tc>
          <w:tcPr>
            <w:tcW w:w="9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szCs w:val="21"/>
              </w:rPr>
              <w:t>★</w:t>
            </w:r>
          </w:p>
        </w:tc>
        <w:tc>
          <w:tcPr>
            <w:tcW w:w="1134" w:type="dxa"/>
            <w:vMerge w:val="continue"/>
            <w:tcBorders>
              <w:left w:val="single" w:color="auto" w:sz="4" w:space="0"/>
              <w:right w:val="single" w:color="auto" w:sz="4" w:space="0"/>
            </w:tcBorders>
            <w:vAlign w:val="center"/>
          </w:tcPr>
          <w:p>
            <w:pPr>
              <w:adjustRightInd w:val="0"/>
              <w:snapToGrid w:val="0"/>
              <w:jc w:val="center"/>
              <w:rPr>
                <w:rFonts w:asciiTheme="minorEastAsia" w:hAnsiTheme="minorEastAsia" w:eastAsiaTheme="minorEastAsia" w:cstheme="minorEastAsia"/>
                <w:kern w:val="0"/>
                <w:szCs w:val="21"/>
              </w:rPr>
            </w:pPr>
          </w:p>
        </w:tc>
        <w:tc>
          <w:tcPr>
            <w:tcW w:w="1134" w:type="dxa"/>
            <w:vMerge w:val="continue"/>
            <w:tcBorders>
              <w:left w:val="single" w:color="auto" w:sz="4" w:space="0"/>
              <w:right w:val="single" w:color="auto" w:sz="4" w:space="0"/>
            </w:tcBorders>
            <w:vAlign w:val="center"/>
          </w:tcPr>
          <w:p>
            <w:pPr>
              <w:jc w:val="center"/>
              <w:rPr>
                <w:rFonts w:asciiTheme="minorEastAsia" w:hAnsiTheme="minorEastAsia" w:eastAsiaTheme="minorEastAsia" w:cstheme="minorEastAsia"/>
                <w:szCs w:val="21"/>
              </w:rPr>
            </w:pPr>
          </w:p>
        </w:tc>
        <w:tc>
          <w:tcPr>
            <w:tcW w:w="4536" w:type="dxa"/>
            <w:tcBorders>
              <w:top w:val="single" w:color="auto" w:sz="4" w:space="0"/>
              <w:left w:val="single" w:color="auto" w:sz="4" w:space="0"/>
              <w:bottom w:val="single" w:color="auto" w:sz="4" w:space="0"/>
              <w:right w:val="single" w:color="auto" w:sz="4" w:space="0"/>
            </w:tcBorders>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至少支持4种视频直播类应用数据提取（西瓜视频、91Porn、91短视频、好看视频）</w:t>
            </w:r>
          </w:p>
        </w:tc>
        <w:tc>
          <w:tcPr>
            <w:tcW w:w="1740"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tcBorders>
              <w:top w:val="single" w:color="auto" w:sz="4" w:space="0"/>
              <w:left w:val="single" w:color="auto" w:sz="4" w:space="0"/>
              <w:bottom w:val="single" w:color="auto" w:sz="4" w:space="0"/>
              <w:right w:val="single" w:color="auto" w:sz="4" w:space="0"/>
            </w:tcBorders>
            <w:vAlign w:val="center"/>
          </w:tcPr>
          <w:p>
            <w:pPr>
              <w:widowControl w:val="0"/>
              <w:numPr>
                <w:ilvl w:val="0"/>
                <w:numId w:val="86"/>
              </w:numPr>
              <w:jc w:val="center"/>
              <w:textAlignment w:val="center"/>
              <w:rPr>
                <w:rFonts w:asciiTheme="minorEastAsia" w:hAnsiTheme="minorEastAsia" w:eastAsiaTheme="minorEastAsia" w:cstheme="minorEastAsia"/>
                <w:color w:val="000000"/>
                <w:szCs w:val="21"/>
                <w:lang w:bidi="ar"/>
              </w:rPr>
            </w:pPr>
          </w:p>
        </w:tc>
        <w:tc>
          <w:tcPr>
            <w:tcW w:w="99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szCs w:val="21"/>
              </w:rPr>
              <w:t>★</w:t>
            </w:r>
          </w:p>
        </w:tc>
        <w:tc>
          <w:tcPr>
            <w:tcW w:w="1134" w:type="dxa"/>
            <w:vMerge w:val="continue"/>
            <w:tcBorders>
              <w:left w:val="single" w:color="auto" w:sz="4" w:space="0"/>
              <w:right w:val="single" w:color="auto" w:sz="4" w:space="0"/>
            </w:tcBorders>
            <w:vAlign w:val="center"/>
          </w:tcPr>
          <w:p>
            <w:pPr>
              <w:adjustRightInd w:val="0"/>
              <w:snapToGrid w:val="0"/>
              <w:jc w:val="center"/>
              <w:rPr>
                <w:rFonts w:asciiTheme="minorEastAsia" w:hAnsiTheme="minorEastAsia" w:eastAsiaTheme="minorEastAsia" w:cstheme="minorEastAsia"/>
                <w:kern w:val="0"/>
                <w:szCs w:val="21"/>
              </w:rPr>
            </w:pPr>
          </w:p>
        </w:tc>
        <w:tc>
          <w:tcPr>
            <w:tcW w:w="1134" w:type="dxa"/>
            <w:vMerge w:val="continue"/>
            <w:tcBorders>
              <w:left w:val="single" w:color="auto" w:sz="4" w:space="0"/>
              <w:right w:val="single" w:color="auto" w:sz="4" w:space="0"/>
            </w:tcBorders>
            <w:vAlign w:val="center"/>
          </w:tcPr>
          <w:p>
            <w:pPr>
              <w:jc w:val="center"/>
              <w:rPr>
                <w:rFonts w:asciiTheme="minorEastAsia" w:hAnsiTheme="minorEastAsia" w:eastAsiaTheme="minorEastAsia" w:cstheme="minorEastAsia"/>
                <w:szCs w:val="21"/>
              </w:rPr>
            </w:pPr>
          </w:p>
        </w:tc>
        <w:tc>
          <w:tcPr>
            <w:tcW w:w="4536" w:type="dxa"/>
            <w:tcBorders>
              <w:top w:val="single" w:color="auto" w:sz="4" w:space="0"/>
              <w:left w:val="single" w:color="auto" w:sz="4" w:space="0"/>
              <w:bottom w:val="single" w:color="auto" w:sz="4" w:space="0"/>
              <w:right w:val="single" w:color="auto" w:sz="4" w:space="0"/>
            </w:tcBorders>
            <w:vAlign w:val="center"/>
          </w:tcPr>
          <w:p>
            <w:pPr>
              <w:textAlignment w:val="cente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kern w:val="0"/>
                <w:szCs w:val="21"/>
                <w:lang w:bidi="ar"/>
              </w:rPr>
              <w:t>至少支持4种虚拟币类应用数据提取（比特币、以太坊、波场币、USDT）</w:t>
            </w:r>
          </w:p>
        </w:tc>
        <w:tc>
          <w:tcPr>
            <w:tcW w:w="1740"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检验报告</w:t>
            </w:r>
          </w:p>
        </w:tc>
      </w:tr>
    </w:tbl>
    <w:p>
      <w:pPr>
        <w:rPr>
          <w:rFonts w:asciiTheme="minorEastAsia" w:hAnsiTheme="minorEastAsia" w:eastAsiaTheme="minorEastAsia" w:cstheme="minorEastAsia"/>
          <w:szCs w:val="21"/>
        </w:rPr>
      </w:pPr>
    </w:p>
    <w:p>
      <w:pPr>
        <w:pStyle w:val="5"/>
        <w:spacing w:before="15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第2包战训一体化平台</w:t>
      </w:r>
      <w:r>
        <w:rPr>
          <w:rFonts w:hint="default" w:ascii="Times New Roman" w:hAnsi="Times New Roman" w:cs="Times New Roman" w:eastAsiaTheme="minorEastAsia"/>
          <w:szCs w:val="21"/>
        </w:rPr>
        <w:t>Ⅱ</w:t>
      </w:r>
    </w:p>
    <w:tbl>
      <w:tblPr>
        <w:tblStyle w:val="81"/>
        <w:tblW w:w="5095" w:type="pct"/>
        <w:jc w:val="center"/>
        <w:tblLayout w:type="autofit"/>
        <w:tblCellMar>
          <w:top w:w="0" w:type="dxa"/>
          <w:left w:w="108" w:type="dxa"/>
          <w:bottom w:w="0" w:type="dxa"/>
          <w:right w:w="108" w:type="dxa"/>
        </w:tblCellMar>
      </w:tblPr>
      <w:tblGrid>
        <w:gridCol w:w="574"/>
        <w:gridCol w:w="587"/>
        <w:gridCol w:w="1341"/>
        <w:gridCol w:w="5566"/>
        <w:gridCol w:w="1165"/>
      </w:tblGrid>
      <w:tr>
        <w:tblPrEx>
          <w:tblCellMar>
            <w:top w:w="0" w:type="dxa"/>
            <w:left w:w="108" w:type="dxa"/>
            <w:bottom w:w="0" w:type="dxa"/>
            <w:right w:w="108" w:type="dxa"/>
          </w:tblCellMar>
        </w:tblPrEx>
        <w:trPr>
          <w:trHeight w:val="600" w:hRule="atLeast"/>
          <w:tblHeader/>
          <w:jc w:val="center"/>
        </w:trPr>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b/>
                <w:bCs/>
                <w:color w:val="000000"/>
                <w:kern w:val="0"/>
                <w:szCs w:val="21"/>
                <w:lang w:bidi="ar"/>
              </w:rPr>
            </w:pPr>
            <w:r>
              <w:rPr>
                <w:rFonts w:hint="eastAsia" w:asciiTheme="minorEastAsia" w:hAnsiTheme="minorEastAsia" w:eastAsiaTheme="minorEastAsia" w:cstheme="minorEastAsia"/>
                <w:b/>
                <w:bCs/>
                <w:color w:val="000000"/>
                <w:kern w:val="0"/>
                <w:szCs w:val="21"/>
                <w:lang w:bidi="ar"/>
              </w:rPr>
              <w:t>序号</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kern w:val="0"/>
                <w:szCs w:val="21"/>
                <w:lang w:bidi="ar"/>
              </w:rPr>
              <w:t>重要性</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kern w:val="0"/>
                <w:szCs w:val="21"/>
                <w:lang w:bidi="ar"/>
              </w:rPr>
              <w:t>指标项</w:t>
            </w:r>
          </w:p>
        </w:tc>
        <w:tc>
          <w:tcPr>
            <w:tcW w:w="301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kern w:val="0"/>
                <w:szCs w:val="21"/>
                <w:lang w:bidi="ar"/>
              </w:rPr>
              <w:t>技术要求</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heme="minorEastAsia" w:hAnsiTheme="minorEastAsia" w:eastAsiaTheme="minorEastAsia" w:cstheme="minorEastAsia"/>
                <w:b/>
                <w:bCs/>
                <w:color w:val="000000"/>
                <w:szCs w:val="21"/>
              </w:rPr>
            </w:pPr>
            <w:r>
              <w:rPr>
                <w:rFonts w:hint="eastAsia" w:asciiTheme="minorEastAsia" w:hAnsiTheme="minorEastAsia" w:eastAsiaTheme="minorEastAsia" w:cstheme="minorEastAsia"/>
                <w:b/>
                <w:bCs/>
                <w:color w:val="000000"/>
                <w:kern w:val="0"/>
                <w:szCs w:val="21"/>
                <w:lang w:bidi="ar"/>
              </w:rPr>
              <w:t>证明材料要求</w:t>
            </w:r>
          </w:p>
        </w:tc>
      </w:tr>
      <w:tr>
        <w:tblPrEx>
          <w:tblCellMar>
            <w:top w:w="0" w:type="dxa"/>
            <w:left w:w="108" w:type="dxa"/>
            <w:bottom w:w="0" w:type="dxa"/>
            <w:right w:w="108" w:type="dxa"/>
          </w:tblCellMar>
        </w:tblPrEx>
        <w:trPr>
          <w:trHeight w:val="350" w:hRule="atLeast"/>
          <w:jc w:val="center"/>
        </w:trPr>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color w:val="000000"/>
                <w:szCs w:val="21"/>
                <w:lang w:bidi="ar"/>
              </w:rPr>
            </w:pP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HTML格式数据导入</w:t>
            </w:r>
          </w:p>
        </w:tc>
        <w:tc>
          <w:tcPr>
            <w:tcW w:w="3014"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支持不少于8个厂商格式类型的HTML报告数据导入能力,包含但不限于歆仁、美亚、睿海、平航、效率源、高奈特、盘古石、云帆、弘连、拓界、龙信</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软件功能截图</w:t>
            </w:r>
          </w:p>
        </w:tc>
      </w:tr>
      <w:tr>
        <w:tblPrEx>
          <w:tblCellMar>
            <w:top w:w="0" w:type="dxa"/>
            <w:left w:w="108" w:type="dxa"/>
            <w:bottom w:w="0" w:type="dxa"/>
            <w:right w:w="108" w:type="dxa"/>
          </w:tblCellMar>
        </w:tblPrEx>
        <w:trPr>
          <w:trHeight w:val="350" w:hRule="atLeast"/>
          <w:jc w:val="center"/>
        </w:trPr>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color w:val="000000"/>
                <w:szCs w:val="21"/>
                <w:lang w:bidi="ar"/>
              </w:rPr>
            </w:pP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数据一般化展示能力</w:t>
            </w:r>
          </w:p>
        </w:tc>
        <w:tc>
          <w:tcPr>
            <w:tcW w:w="3014"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支持对单种行为的其他强弱关联行为一般化展示，关联行为种类不少于6种，包括但不限于</w:t>
            </w:r>
            <w:r>
              <w:rPr>
                <w:rFonts w:hint="eastAsia" w:asciiTheme="minorEastAsia" w:hAnsiTheme="minorEastAsia" w:eastAsiaTheme="minorEastAsia" w:cstheme="minorEastAsia"/>
                <w:szCs w:val="21"/>
              </w:rPr>
              <w:t>账号信息、聊天详情、经济信息、统计信息、通联曲线、明细、词云、时序、位置等</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软件功能截图</w:t>
            </w:r>
          </w:p>
        </w:tc>
      </w:tr>
      <w:tr>
        <w:tblPrEx>
          <w:tblCellMar>
            <w:top w:w="0" w:type="dxa"/>
            <w:left w:w="108" w:type="dxa"/>
            <w:bottom w:w="0" w:type="dxa"/>
            <w:right w:w="108" w:type="dxa"/>
          </w:tblCellMar>
        </w:tblPrEx>
        <w:trPr>
          <w:trHeight w:val="1050" w:hRule="atLeast"/>
          <w:jc w:val="center"/>
        </w:trPr>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color w:val="000000"/>
                <w:szCs w:val="21"/>
                <w:lang w:bidi="ar"/>
              </w:rPr>
            </w:pP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检材数据预警展示能力</w:t>
            </w:r>
          </w:p>
        </w:tc>
        <w:tc>
          <w:tcPr>
            <w:tcW w:w="3014"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支持不少于8种预警能力的展示，包括但不限于</w:t>
            </w:r>
            <w:r>
              <w:rPr>
                <w:rFonts w:hint="eastAsia" w:asciiTheme="minorEastAsia" w:hAnsiTheme="minorEastAsia" w:eastAsiaTheme="minorEastAsia" w:cstheme="minorEastAsia"/>
                <w:szCs w:val="21"/>
              </w:rPr>
              <w:t>行为预警、微信内容预警、内容预警、快递信息预警、微信经济预警、文件信息预警、支付宝经济预警、银行卡信息预警等</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软件功能截图</w:t>
            </w:r>
          </w:p>
        </w:tc>
      </w:tr>
      <w:tr>
        <w:tblPrEx>
          <w:tblCellMar>
            <w:top w:w="0" w:type="dxa"/>
            <w:left w:w="108" w:type="dxa"/>
            <w:bottom w:w="0" w:type="dxa"/>
            <w:right w:w="108" w:type="dxa"/>
          </w:tblCellMar>
        </w:tblPrEx>
        <w:trPr>
          <w:trHeight w:val="1050" w:hRule="atLeast"/>
          <w:jc w:val="center"/>
        </w:trPr>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color w:val="000000"/>
                <w:szCs w:val="21"/>
                <w:lang w:bidi="ar"/>
              </w:rPr>
            </w:pP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原始数据浏览能力</w:t>
            </w:r>
          </w:p>
        </w:tc>
        <w:tc>
          <w:tcPr>
            <w:tcW w:w="3014"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支持手机原始数据内容浏览，包含数据类型不少于10种，包括但不限于</w:t>
            </w:r>
            <w:r>
              <w:rPr>
                <w:rFonts w:hint="eastAsia" w:asciiTheme="minorEastAsia" w:hAnsiTheme="minorEastAsia" w:eastAsiaTheme="minorEastAsia" w:cstheme="minorEastAsia"/>
                <w:szCs w:val="21"/>
              </w:rPr>
              <w:t>通讯录、通话记录、短信息、账号信息、网页内容、定位信息、社交聊天、应用信息、邮件、经济信息、媒体信息、已删除信息等</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软件功能截图</w:t>
            </w:r>
          </w:p>
        </w:tc>
      </w:tr>
      <w:tr>
        <w:tblPrEx>
          <w:tblCellMar>
            <w:top w:w="0" w:type="dxa"/>
            <w:left w:w="108" w:type="dxa"/>
            <w:bottom w:w="0" w:type="dxa"/>
            <w:right w:w="108" w:type="dxa"/>
          </w:tblCellMar>
        </w:tblPrEx>
        <w:trPr>
          <w:trHeight w:val="186" w:hRule="atLeast"/>
          <w:jc w:val="center"/>
        </w:trPr>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color w:val="000000"/>
                <w:szCs w:val="21"/>
                <w:lang w:bidi="ar"/>
              </w:rPr>
            </w:pP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群体分析能力</w:t>
            </w:r>
          </w:p>
        </w:tc>
        <w:tc>
          <w:tcPr>
            <w:tcW w:w="3014"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支持不少于50个检材人员的群体关系分析能力</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软件功能截图</w:t>
            </w:r>
          </w:p>
        </w:tc>
      </w:tr>
      <w:tr>
        <w:tblPrEx>
          <w:tblCellMar>
            <w:top w:w="0" w:type="dxa"/>
            <w:left w:w="108" w:type="dxa"/>
            <w:bottom w:w="0" w:type="dxa"/>
            <w:right w:w="108" w:type="dxa"/>
          </w:tblCellMar>
        </w:tblPrEx>
        <w:trPr>
          <w:trHeight w:val="421" w:hRule="atLeast"/>
          <w:jc w:val="center"/>
        </w:trPr>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color w:val="000000"/>
                <w:szCs w:val="21"/>
                <w:lang w:bidi="ar"/>
              </w:rPr>
            </w:pP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团伙内部关系分析能力</w:t>
            </w:r>
          </w:p>
        </w:tc>
        <w:tc>
          <w:tcPr>
            <w:tcW w:w="3014"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支持不少于50个检材人员的内部关系分析能力</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软件功能截图</w:t>
            </w:r>
          </w:p>
        </w:tc>
      </w:tr>
      <w:tr>
        <w:tblPrEx>
          <w:tblCellMar>
            <w:top w:w="0" w:type="dxa"/>
            <w:left w:w="108" w:type="dxa"/>
            <w:bottom w:w="0" w:type="dxa"/>
            <w:right w:w="108" w:type="dxa"/>
          </w:tblCellMar>
        </w:tblPrEx>
        <w:trPr>
          <w:trHeight w:val="238" w:hRule="atLeast"/>
          <w:jc w:val="center"/>
        </w:trPr>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color w:val="000000"/>
                <w:szCs w:val="21"/>
                <w:lang w:bidi="ar"/>
              </w:rPr>
            </w:pP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kern w:val="0"/>
                <w:szCs w:val="21"/>
                <w:lang w:bidi="ar"/>
              </w:rPr>
              <w:t>自定义关系节点能力</w:t>
            </w:r>
          </w:p>
        </w:tc>
        <w:tc>
          <w:tcPr>
            <w:tcW w:w="3014"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支持在可视化关系节点图中添加自定义节点，支持添加节点的3种信息，包含账号、昵称、备注等</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软件功能截图</w:t>
            </w:r>
          </w:p>
        </w:tc>
      </w:tr>
      <w:tr>
        <w:tblPrEx>
          <w:tblCellMar>
            <w:top w:w="0" w:type="dxa"/>
            <w:left w:w="108" w:type="dxa"/>
            <w:bottom w:w="0" w:type="dxa"/>
            <w:right w:w="108" w:type="dxa"/>
          </w:tblCellMar>
        </w:tblPrEx>
        <w:trPr>
          <w:trHeight w:val="700" w:hRule="atLeast"/>
          <w:jc w:val="center"/>
        </w:trPr>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color w:val="000000"/>
                <w:szCs w:val="21"/>
                <w:lang w:bidi="ar"/>
              </w:rPr>
            </w:pP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外部数据碰撞功能</w:t>
            </w:r>
          </w:p>
        </w:tc>
        <w:tc>
          <w:tcPr>
            <w:tcW w:w="3014"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支持2种类型数据碰撞，包含导入外部关系数据与关系节点碰撞，支持可视化展示碰撞结果</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szCs w:val="21"/>
              </w:rPr>
              <w:t>软件功能截图</w:t>
            </w:r>
          </w:p>
        </w:tc>
      </w:tr>
      <w:tr>
        <w:tblPrEx>
          <w:tblCellMar>
            <w:top w:w="0" w:type="dxa"/>
            <w:left w:w="108" w:type="dxa"/>
            <w:bottom w:w="0" w:type="dxa"/>
            <w:right w:w="108" w:type="dxa"/>
          </w:tblCellMar>
        </w:tblPrEx>
        <w:trPr>
          <w:trHeight w:val="700" w:hRule="atLeast"/>
          <w:jc w:val="center"/>
        </w:trPr>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color w:val="000000"/>
                <w:szCs w:val="21"/>
                <w:lang w:bidi="ar"/>
              </w:rPr>
            </w:pP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资金分析可视化展示功能</w:t>
            </w:r>
          </w:p>
        </w:tc>
        <w:tc>
          <w:tcPr>
            <w:tcW w:w="3014"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支持不少于5种类型资金分析模块展示能力，包括但不限于高频交易对象、高金额交易对象、交易时间规律分析、交易趋势展示、资金模型分析等</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szCs w:val="21"/>
              </w:rPr>
              <w:t>软件功能截图</w:t>
            </w:r>
          </w:p>
        </w:tc>
      </w:tr>
      <w:tr>
        <w:tblPrEx>
          <w:tblCellMar>
            <w:top w:w="0" w:type="dxa"/>
            <w:left w:w="108" w:type="dxa"/>
            <w:bottom w:w="0" w:type="dxa"/>
            <w:right w:w="108" w:type="dxa"/>
          </w:tblCellMar>
        </w:tblPrEx>
        <w:trPr>
          <w:trHeight w:val="700" w:hRule="atLeast"/>
          <w:jc w:val="center"/>
        </w:trPr>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color w:val="000000"/>
                <w:szCs w:val="21"/>
                <w:lang w:bidi="ar"/>
              </w:rPr>
            </w:pP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账单模型分析功能</w:t>
            </w:r>
          </w:p>
        </w:tc>
        <w:tc>
          <w:tcPr>
            <w:tcW w:w="3014"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支持不少于4种账单分析模型，包括但不限于节假日、快进快出、周期性及特殊金额的模型分析</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szCs w:val="21"/>
              </w:rPr>
              <w:t>软件功能截图</w:t>
            </w:r>
          </w:p>
        </w:tc>
      </w:tr>
      <w:tr>
        <w:tblPrEx>
          <w:tblCellMar>
            <w:top w:w="0" w:type="dxa"/>
            <w:left w:w="108" w:type="dxa"/>
            <w:bottom w:w="0" w:type="dxa"/>
            <w:right w:w="108" w:type="dxa"/>
          </w:tblCellMar>
        </w:tblPrEx>
        <w:trPr>
          <w:trHeight w:val="700" w:hRule="atLeast"/>
          <w:jc w:val="center"/>
        </w:trPr>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color w:val="000000"/>
                <w:szCs w:val="21"/>
                <w:lang w:bidi="ar"/>
              </w:rPr>
            </w:pP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票务数据可视化展示</w:t>
            </w:r>
          </w:p>
        </w:tc>
        <w:tc>
          <w:tcPr>
            <w:tcW w:w="3014"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支持不少于2种票务类型的可视化展示，包括但不限于火车、飞机、住宿等</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szCs w:val="21"/>
              </w:rPr>
              <w:t>软件功能截图</w:t>
            </w:r>
          </w:p>
        </w:tc>
      </w:tr>
      <w:tr>
        <w:tblPrEx>
          <w:tblCellMar>
            <w:top w:w="0" w:type="dxa"/>
            <w:left w:w="108" w:type="dxa"/>
            <w:bottom w:w="0" w:type="dxa"/>
            <w:right w:w="108" w:type="dxa"/>
          </w:tblCellMar>
        </w:tblPrEx>
        <w:trPr>
          <w:trHeight w:val="700" w:hRule="atLeast"/>
          <w:jc w:val="center"/>
        </w:trPr>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color w:val="000000"/>
                <w:szCs w:val="21"/>
                <w:lang w:bidi="ar"/>
              </w:rPr>
            </w:pP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时序分析能力</w:t>
            </w:r>
          </w:p>
        </w:tc>
        <w:tc>
          <w:tcPr>
            <w:tcW w:w="3014"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支持不少于10种数据类型的时序分析，类型包括但不限于通话、短信、微信、QQ、行程、GPS、经济、电子商务、物流、票务、网页浏览、WIFI和邮箱等</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szCs w:val="21"/>
              </w:rPr>
              <w:t>软件功能截图</w:t>
            </w:r>
          </w:p>
        </w:tc>
      </w:tr>
      <w:tr>
        <w:tblPrEx>
          <w:tblCellMar>
            <w:top w:w="0" w:type="dxa"/>
            <w:left w:w="108" w:type="dxa"/>
            <w:bottom w:w="0" w:type="dxa"/>
            <w:right w:w="108" w:type="dxa"/>
          </w:tblCellMar>
        </w:tblPrEx>
        <w:trPr>
          <w:trHeight w:val="700" w:hRule="atLeast"/>
          <w:jc w:val="center"/>
        </w:trPr>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color w:val="000000"/>
                <w:szCs w:val="21"/>
                <w:lang w:bidi="ar"/>
              </w:rPr>
            </w:pP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技战预警能力</w:t>
            </w:r>
          </w:p>
        </w:tc>
        <w:tc>
          <w:tcPr>
            <w:tcW w:w="3014"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支持不少于5种预警类型功能，包括但不限于涉恐、涉黄、经济、涉毒和异常行为预警功能</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szCs w:val="21"/>
              </w:rPr>
              <w:t>软件功能截图</w:t>
            </w:r>
          </w:p>
        </w:tc>
      </w:tr>
      <w:tr>
        <w:tblPrEx>
          <w:tblCellMar>
            <w:top w:w="0" w:type="dxa"/>
            <w:left w:w="108" w:type="dxa"/>
            <w:bottom w:w="0" w:type="dxa"/>
            <w:right w:w="108" w:type="dxa"/>
          </w:tblCellMar>
        </w:tblPrEx>
        <w:trPr>
          <w:trHeight w:val="700" w:hRule="atLeast"/>
          <w:jc w:val="center"/>
        </w:trPr>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color w:val="000000"/>
                <w:szCs w:val="21"/>
                <w:lang w:bidi="ar"/>
              </w:rPr>
            </w:pP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单人侧写能力</w:t>
            </w:r>
          </w:p>
        </w:tc>
        <w:tc>
          <w:tcPr>
            <w:tcW w:w="3014"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支持侧写数据类型不少于5种，包括但不限于关系类侧写，区域类侧写，经济类侧写，时序类侧写，社交类侧写</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szCs w:val="21"/>
              </w:rPr>
              <w:t>软件功能截图</w:t>
            </w:r>
          </w:p>
        </w:tc>
      </w:tr>
      <w:tr>
        <w:tblPrEx>
          <w:tblCellMar>
            <w:top w:w="0" w:type="dxa"/>
            <w:left w:w="108" w:type="dxa"/>
            <w:bottom w:w="0" w:type="dxa"/>
            <w:right w:w="108" w:type="dxa"/>
          </w:tblCellMar>
        </w:tblPrEx>
        <w:trPr>
          <w:trHeight w:val="700" w:hRule="atLeast"/>
          <w:jc w:val="center"/>
        </w:trPr>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color w:val="000000"/>
                <w:szCs w:val="21"/>
                <w:lang w:bidi="ar"/>
              </w:rPr>
            </w:pP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群体侧写能力</w:t>
            </w:r>
          </w:p>
        </w:tc>
        <w:tc>
          <w:tcPr>
            <w:tcW w:w="3014"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支持侧写数据类型不少于5种，包括但不限于内部关系、外部关系、经济关系、区域关系、社交内容类侧写</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szCs w:val="21"/>
              </w:rPr>
              <w:t>软件功能截图</w:t>
            </w:r>
          </w:p>
        </w:tc>
      </w:tr>
      <w:tr>
        <w:tblPrEx>
          <w:tblCellMar>
            <w:top w:w="0" w:type="dxa"/>
            <w:left w:w="108" w:type="dxa"/>
            <w:bottom w:w="0" w:type="dxa"/>
            <w:right w:w="108" w:type="dxa"/>
          </w:tblCellMar>
        </w:tblPrEx>
        <w:trPr>
          <w:trHeight w:val="700" w:hRule="atLeast"/>
          <w:jc w:val="center"/>
        </w:trPr>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numPr>
                <w:ilvl w:val="0"/>
                <w:numId w:val="86"/>
              </w:numPr>
              <w:jc w:val="center"/>
              <w:textAlignment w:val="center"/>
              <w:rPr>
                <w:rFonts w:asciiTheme="minorEastAsia" w:hAnsiTheme="minorEastAsia" w:eastAsiaTheme="minorEastAsia" w:cstheme="minorEastAsia"/>
                <w:color w:val="000000"/>
                <w:szCs w:val="21"/>
                <w:lang w:bidi="ar"/>
              </w:rPr>
            </w:pP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szCs w:val="21"/>
              </w:rPr>
              <w:t>★</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高危预警展示能力</w:t>
            </w:r>
          </w:p>
        </w:tc>
        <w:tc>
          <w:tcPr>
            <w:tcW w:w="3014" w:type="pct"/>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支持至少4种身份账号类型预警能力，包括但不限于共用账号预警、跨案好友预警、共案交易对象预警、共案好友预警、共案社交群信息预警等</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heme="minorEastAsia" w:hAnsiTheme="minorEastAsia" w:eastAsiaTheme="minorEastAsia" w:cstheme="minorEastAsia"/>
                <w:color w:val="000000"/>
                <w:kern w:val="0"/>
                <w:szCs w:val="21"/>
                <w:lang w:bidi="ar"/>
              </w:rPr>
            </w:pPr>
            <w:r>
              <w:rPr>
                <w:rFonts w:hint="eastAsia" w:asciiTheme="minorEastAsia" w:hAnsiTheme="minorEastAsia" w:eastAsiaTheme="minorEastAsia" w:cstheme="minorEastAsia"/>
                <w:color w:val="000000"/>
                <w:szCs w:val="21"/>
              </w:rPr>
              <w:t>软件功能截图</w:t>
            </w:r>
          </w:p>
        </w:tc>
      </w:tr>
    </w:tbl>
    <w:p>
      <w:pPr>
        <w:pStyle w:val="5"/>
        <w:spacing w:before="15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第3包 手机取证塔</w:t>
      </w:r>
      <w:r>
        <w:rPr>
          <w:rFonts w:hint="default" w:ascii="Times New Roman" w:hAnsi="Times New Roman" w:cs="Times New Roman" w:eastAsiaTheme="minorEastAsia"/>
          <w:szCs w:val="21"/>
        </w:rPr>
        <w:t>Ⅲ</w:t>
      </w:r>
    </w:p>
    <w:tbl>
      <w:tblPr>
        <w:tblStyle w:val="81"/>
        <w:tblW w:w="449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
        <w:gridCol w:w="620"/>
        <w:gridCol w:w="929"/>
        <w:gridCol w:w="5263"/>
        <w:gridCol w:w="8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87" w:type="pct"/>
            <w:shd w:val="clear" w:color="auto" w:fill="auto"/>
            <w:vAlign w:val="center"/>
          </w:tcPr>
          <w:p>
            <w:pPr>
              <w:spacing w:line="240" w:lineRule="auto"/>
              <w:jc w:val="center"/>
              <w:rPr>
                <w:rFonts w:ascii="宋体" w:hAnsi="宋体" w:cs="宋体" w:eastAsiaTheme="minorEastAsia"/>
                <w:b/>
                <w:bCs/>
                <w:color w:val="000000"/>
                <w:kern w:val="0"/>
                <w:szCs w:val="21"/>
              </w:rPr>
            </w:pPr>
            <w:r>
              <w:rPr>
                <w:rFonts w:hint="eastAsia" w:ascii="宋体" w:hAnsi="宋体" w:cs="宋体" w:eastAsiaTheme="minorEastAsia"/>
                <w:b/>
                <w:bCs/>
                <w:color w:val="000000"/>
                <w:kern w:val="0"/>
                <w:szCs w:val="21"/>
              </w:rPr>
              <w:t>序号</w:t>
            </w:r>
          </w:p>
        </w:tc>
        <w:tc>
          <w:tcPr>
            <w:tcW w:w="381" w:type="pct"/>
            <w:shd w:val="clear" w:color="auto" w:fill="auto"/>
            <w:vAlign w:val="center"/>
          </w:tcPr>
          <w:p>
            <w:pPr>
              <w:spacing w:line="240" w:lineRule="auto"/>
              <w:jc w:val="center"/>
              <w:rPr>
                <w:rFonts w:ascii="宋体" w:hAnsi="宋体" w:cs="宋体" w:eastAsiaTheme="minorEastAsia"/>
                <w:b/>
                <w:bCs/>
                <w:color w:val="000000"/>
                <w:kern w:val="0"/>
                <w:szCs w:val="21"/>
              </w:rPr>
            </w:pPr>
            <w:r>
              <w:rPr>
                <w:rFonts w:hint="eastAsia" w:ascii="宋体" w:hAnsi="宋体" w:cs="宋体" w:eastAsiaTheme="minorEastAsia"/>
                <w:b/>
                <w:bCs/>
                <w:color w:val="000000"/>
                <w:kern w:val="0"/>
                <w:szCs w:val="21"/>
              </w:rPr>
              <w:t>重要性</w:t>
            </w:r>
          </w:p>
        </w:tc>
        <w:tc>
          <w:tcPr>
            <w:tcW w:w="571" w:type="pct"/>
            <w:shd w:val="clear" w:color="auto" w:fill="auto"/>
            <w:vAlign w:val="center"/>
          </w:tcPr>
          <w:p>
            <w:pPr>
              <w:spacing w:line="240" w:lineRule="auto"/>
              <w:rPr>
                <w:rFonts w:ascii="宋体" w:hAnsi="宋体" w:cs="宋体" w:eastAsiaTheme="minorEastAsia"/>
                <w:b/>
                <w:bCs/>
                <w:color w:val="000000"/>
                <w:kern w:val="0"/>
                <w:szCs w:val="21"/>
              </w:rPr>
            </w:pPr>
            <w:r>
              <w:rPr>
                <w:rFonts w:hint="eastAsia" w:ascii="宋体" w:hAnsi="宋体" w:cs="宋体" w:eastAsiaTheme="minorEastAsia"/>
                <w:b/>
                <w:bCs/>
                <w:color w:val="000000"/>
                <w:kern w:val="0"/>
                <w:szCs w:val="21"/>
              </w:rPr>
              <w:t>指标项</w:t>
            </w:r>
          </w:p>
        </w:tc>
        <w:tc>
          <w:tcPr>
            <w:tcW w:w="3233" w:type="pct"/>
            <w:shd w:val="clear" w:color="auto" w:fill="auto"/>
            <w:vAlign w:val="center"/>
          </w:tcPr>
          <w:p>
            <w:pPr>
              <w:spacing w:line="240" w:lineRule="auto"/>
              <w:jc w:val="center"/>
              <w:rPr>
                <w:rFonts w:ascii="宋体" w:hAnsi="宋体" w:cs="宋体" w:eastAsiaTheme="minorEastAsia"/>
                <w:b/>
                <w:bCs/>
                <w:color w:val="000000"/>
                <w:kern w:val="0"/>
                <w:szCs w:val="21"/>
              </w:rPr>
            </w:pPr>
            <w:r>
              <w:rPr>
                <w:rFonts w:hint="eastAsia" w:ascii="宋体" w:hAnsi="宋体" w:cs="宋体" w:eastAsiaTheme="minorEastAsia"/>
                <w:b/>
                <w:bCs/>
                <w:color w:val="000000"/>
                <w:kern w:val="0"/>
                <w:szCs w:val="21"/>
              </w:rPr>
              <w:t>指标要求</w:t>
            </w:r>
          </w:p>
        </w:tc>
        <w:tc>
          <w:tcPr>
            <w:tcW w:w="528" w:type="pct"/>
            <w:shd w:val="clear" w:color="auto" w:fill="auto"/>
            <w:vAlign w:val="center"/>
          </w:tcPr>
          <w:p>
            <w:pPr>
              <w:spacing w:line="240" w:lineRule="auto"/>
              <w:jc w:val="center"/>
              <w:rPr>
                <w:rFonts w:ascii="宋体" w:hAnsi="宋体" w:cs="宋体" w:eastAsiaTheme="minorEastAsia"/>
                <w:b/>
                <w:bCs/>
                <w:color w:val="000000"/>
                <w:kern w:val="0"/>
                <w:szCs w:val="21"/>
              </w:rPr>
            </w:pPr>
            <w:r>
              <w:rPr>
                <w:rFonts w:hint="eastAsia" w:ascii="宋体" w:hAnsi="宋体" w:cs="宋体" w:eastAsiaTheme="minorEastAsia"/>
                <w:b/>
                <w:bCs/>
                <w:color w:val="000000"/>
                <w:kern w:val="0"/>
                <w:szCs w:val="21"/>
              </w:rPr>
              <w:t>证明材料要求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7" w:type="pct"/>
            <w:shd w:val="clear" w:color="auto" w:fill="auto"/>
            <w:noWrap/>
            <w:vAlign w:val="center"/>
          </w:tcPr>
          <w:p>
            <w:pPr>
              <w:numPr>
                <w:ilvl w:val="0"/>
                <w:numId w:val="87"/>
              </w:numPr>
              <w:spacing w:line="240" w:lineRule="auto"/>
              <w:ind w:left="0" w:leftChars="0" w:firstLine="0" w:firstLineChars="0"/>
              <w:jc w:val="center"/>
              <w:rPr>
                <w:rFonts w:ascii="宋体" w:hAnsi="宋体" w:cs="宋体" w:eastAsiaTheme="minorEastAsia"/>
                <w:color w:val="000000"/>
                <w:kern w:val="0"/>
                <w:szCs w:val="21"/>
              </w:rPr>
            </w:pPr>
          </w:p>
        </w:tc>
        <w:tc>
          <w:tcPr>
            <w:tcW w:w="381" w:type="pct"/>
            <w:shd w:val="clear" w:color="auto" w:fill="auto"/>
            <w:noWrap/>
            <w:vAlign w:val="center"/>
          </w:tcPr>
          <w:p>
            <w:pPr>
              <w:spacing w:line="240" w:lineRule="auto"/>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w:t>
            </w:r>
          </w:p>
        </w:tc>
        <w:tc>
          <w:tcPr>
            <w:tcW w:w="571" w:type="pct"/>
            <w:vMerge w:val="restart"/>
            <w:shd w:val="clear" w:color="auto" w:fill="auto"/>
            <w:vAlign w:val="center"/>
          </w:tcPr>
          <w:p>
            <w:pPr>
              <w:widowControl w:val="0"/>
              <w:spacing w:beforeAutospacing="1" w:after="160" w:line="240" w:lineRule="auto"/>
              <w:rPr>
                <w:rFonts w:ascii="宋体" w:hAnsi="宋体" w:cs="宋体" w:eastAsiaTheme="minorEastAsia"/>
                <w:color w:val="000000"/>
                <w:kern w:val="0"/>
                <w:szCs w:val="21"/>
                <w:highlight w:val="yellow"/>
              </w:rPr>
            </w:pPr>
            <w:r>
              <w:rPr>
                <w:rFonts w:hint="eastAsia" w:ascii="宋体" w:hAnsi="宋体" w:cs="宋体" w:eastAsiaTheme="minorEastAsia"/>
                <w:color w:val="000000"/>
                <w:kern w:val="0"/>
                <w:szCs w:val="21"/>
              </w:rPr>
              <w:t>并行能力</w:t>
            </w:r>
          </w:p>
        </w:tc>
        <w:tc>
          <w:tcPr>
            <w:tcW w:w="3233" w:type="pct"/>
            <w:shd w:val="clear" w:color="auto" w:fill="auto"/>
            <w:vAlign w:val="center"/>
          </w:tcPr>
          <w:p>
            <w:pPr>
              <w:widowControl w:val="0"/>
              <w:spacing w:beforeAutospacing="1" w:after="160" w:line="240" w:lineRule="auto"/>
              <w:rPr>
                <w:rFonts w:ascii="宋体" w:hAnsi="宋体" w:cs="宋体" w:eastAsiaTheme="minorEastAsia"/>
                <w:color w:val="000000"/>
                <w:kern w:val="0"/>
                <w:szCs w:val="21"/>
                <w:highlight w:val="yellow"/>
              </w:rPr>
            </w:pPr>
            <w:r>
              <w:rPr>
                <w:rFonts w:hint="eastAsia" w:ascii="宋体" w:hAnsi="宋体" w:cs="宋体" w:eastAsiaTheme="minorEastAsia"/>
                <w:color w:val="000000"/>
                <w:kern w:val="0"/>
                <w:szCs w:val="21"/>
              </w:rPr>
              <w:t>支持16路手机以上检材同步提取分析，且</w:t>
            </w:r>
            <w:r>
              <w:rPr>
                <w:rFonts w:hint="eastAsia" w:ascii="宋体" w:hAnsi="宋体" w:cs="宋体" w:eastAsiaTheme="minorEastAsia"/>
                <w:color w:val="000000"/>
                <w:kern w:val="0"/>
                <w:szCs w:val="21"/>
                <w:lang w:val="en-US" w:eastAsia="zh-CN"/>
              </w:rPr>
              <w:t>能在</w:t>
            </w:r>
            <w:r>
              <w:rPr>
                <w:rFonts w:hint="eastAsia" w:ascii="宋体" w:hAnsi="宋体" w:cs="宋体" w:eastAsiaTheme="minorEastAsia"/>
                <w:color w:val="000000"/>
                <w:kern w:val="0"/>
                <w:szCs w:val="21"/>
              </w:rPr>
              <w:t>通知栏展现任务实时进度，支持提取完成后自动导出报告</w:t>
            </w:r>
          </w:p>
        </w:tc>
        <w:tc>
          <w:tcPr>
            <w:tcW w:w="528" w:type="pct"/>
            <w:shd w:val="clear" w:color="auto" w:fill="auto"/>
            <w:noWrap/>
            <w:vAlign w:val="center"/>
          </w:tcPr>
          <w:p>
            <w:pPr>
              <w:widowControl w:val="0"/>
              <w:spacing w:beforeAutospacing="1" w:after="160" w:line="240" w:lineRule="auto"/>
              <w:jc w:val="center"/>
              <w:rPr>
                <w:rFonts w:ascii="宋体" w:hAnsi="宋体" w:cs="宋体" w:eastAsiaTheme="minorEastAsia"/>
                <w:color w:val="000000"/>
                <w:kern w:val="0"/>
                <w:szCs w:val="21"/>
                <w:highlight w:val="yellow"/>
              </w:rPr>
            </w:pPr>
            <w:r>
              <w:rPr>
                <w:rFonts w:hint="eastAsia" w:ascii="宋体" w:hAnsi="宋体" w:cs="宋体" w:eastAsiaTheme="minorEastAsia"/>
                <w:color w:val="000000"/>
                <w:kern w:val="0"/>
                <w:szCs w:val="21"/>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287" w:type="pct"/>
            <w:shd w:val="clear" w:color="auto" w:fill="auto"/>
            <w:noWrap/>
            <w:vAlign w:val="center"/>
          </w:tcPr>
          <w:p>
            <w:pPr>
              <w:numPr>
                <w:ilvl w:val="0"/>
                <w:numId w:val="87"/>
              </w:numPr>
              <w:spacing w:line="240" w:lineRule="auto"/>
              <w:ind w:left="0" w:leftChars="0" w:firstLine="0" w:firstLineChars="0"/>
              <w:jc w:val="center"/>
              <w:rPr>
                <w:rFonts w:ascii="宋体" w:hAnsi="宋体" w:cs="宋体" w:eastAsiaTheme="minorEastAsia"/>
                <w:color w:val="000000"/>
                <w:kern w:val="0"/>
                <w:szCs w:val="21"/>
              </w:rPr>
            </w:pPr>
          </w:p>
        </w:tc>
        <w:tc>
          <w:tcPr>
            <w:tcW w:w="381" w:type="pct"/>
            <w:shd w:val="clear" w:color="auto" w:fill="auto"/>
            <w:noWrap/>
            <w:vAlign w:val="center"/>
          </w:tcPr>
          <w:p>
            <w:pPr>
              <w:spacing w:line="240" w:lineRule="auto"/>
              <w:jc w:val="center"/>
              <w:rPr>
                <w:rFonts w:ascii="宋体" w:hAnsi="宋体" w:cs="宋体" w:eastAsiaTheme="minorEastAsia"/>
                <w:color w:val="000000"/>
                <w:kern w:val="0"/>
                <w:szCs w:val="21"/>
              </w:rPr>
            </w:pPr>
          </w:p>
        </w:tc>
        <w:tc>
          <w:tcPr>
            <w:tcW w:w="571" w:type="pct"/>
            <w:vMerge w:val="continue"/>
            <w:shd w:val="clear" w:color="auto" w:fill="auto"/>
            <w:vAlign w:val="center"/>
          </w:tcPr>
          <w:p>
            <w:pPr>
              <w:widowControl w:val="0"/>
              <w:spacing w:beforeAutospacing="1" w:after="160" w:line="240" w:lineRule="auto"/>
              <w:rPr>
                <w:rFonts w:ascii="宋体" w:hAnsi="宋体" w:cs="宋体" w:eastAsiaTheme="minorEastAsia"/>
                <w:color w:val="000000"/>
                <w:kern w:val="0"/>
                <w:szCs w:val="21"/>
              </w:rPr>
            </w:pPr>
          </w:p>
        </w:tc>
        <w:tc>
          <w:tcPr>
            <w:tcW w:w="3233" w:type="pct"/>
            <w:shd w:val="clear" w:color="auto" w:fill="auto"/>
            <w:vAlign w:val="center"/>
          </w:tcPr>
          <w:p>
            <w:pPr>
              <w:widowControl w:val="0"/>
              <w:spacing w:beforeAutospacing="1" w:after="160" w:line="240" w:lineRule="auto"/>
              <w:rPr>
                <w:rFonts w:ascii="宋体" w:hAnsi="宋体" w:cs="宋体" w:eastAsiaTheme="minorEastAsia"/>
                <w:color w:val="000000"/>
                <w:kern w:val="0"/>
                <w:szCs w:val="21"/>
              </w:rPr>
            </w:pPr>
            <w:r>
              <w:rPr>
                <w:rFonts w:hint="eastAsia" w:ascii="宋体" w:hAnsi="宋体" w:cs="宋体" w:eastAsiaTheme="minorEastAsia"/>
                <w:color w:val="000000"/>
                <w:kern w:val="0"/>
                <w:szCs w:val="21"/>
              </w:rPr>
              <w:t>至少支持在手机取证时可同时处理4大任务，包括数据浏览、数据搜索、导出报告、数据分析等</w:t>
            </w:r>
          </w:p>
        </w:tc>
        <w:tc>
          <w:tcPr>
            <w:tcW w:w="528" w:type="pct"/>
            <w:shd w:val="clear" w:color="auto" w:fill="auto"/>
            <w:noWrap/>
            <w:vAlign w:val="center"/>
          </w:tcPr>
          <w:p>
            <w:pPr>
              <w:widowControl w:val="0"/>
              <w:spacing w:beforeAutospacing="1" w:after="160" w:line="240" w:lineRule="auto"/>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87" w:type="pct"/>
            <w:shd w:val="clear" w:color="auto" w:fill="auto"/>
            <w:noWrap/>
            <w:vAlign w:val="center"/>
          </w:tcPr>
          <w:p>
            <w:pPr>
              <w:numPr>
                <w:ilvl w:val="0"/>
                <w:numId w:val="87"/>
              </w:numPr>
              <w:spacing w:line="240" w:lineRule="auto"/>
              <w:ind w:left="0" w:leftChars="0" w:firstLine="0" w:firstLineChars="0"/>
              <w:jc w:val="center"/>
              <w:rPr>
                <w:rFonts w:ascii="宋体" w:hAnsi="宋体" w:cs="宋体" w:eastAsiaTheme="minorEastAsia"/>
                <w:color w:val="000000"/>
                <w:kern w:val="0"/>
                <w:szCs w:val="21"/>
              </w:rPr>
            </w:pPr>
          </w:p>
        </w:tc>
        <w:tc>
          <w:tcPr>
            <w:tcW w:w="381" w:type="pct"/>
            <w:shd w:val="clear" w:color="auto" w:fill="auto"/>
            <w:noWrap/>
            <w:vAlign w:val="center"/>
          </w:tcPr>
          <w:p>
            <w:pPr>
              <w:spacing w:line="240" w:lineRule="auto"/>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w:t>
            </w:r>
          </w:p>
        </w:tc>
        <w:tc>
          <w:tcPr>
            <w:tcW w:w="571" w:type="pct"/>
            <w:shd w:val="clear" w:color="auto" w:fill="auto"/>
            <w:vAlign w:val="center"/>
          </w:tcPr>
          <w:p>
            <w:pPr>
              <w:spacing w:line="240" w:lineRule="auto"/>
              <w:rPr>
                <w:rFonts w:ascii="宋体" w:hAnsi="宋体" w:cs="宋体" w:eastAsiaTheme="minorEastAsia"/>
                <w:color w:val="000000"/>
                <w:kern w:val="0"/>
                <w:szCs w:val="21"/>
              </w:rPr>
            </w:pPr>
          </w:p>
        </w:tc>
        <w:tc>
          <w:tcPr>
            <w:tcW w:w="3233" w:type="pct"/>
            <w:shd w:val="clear" w:color="auto" w:fill="auto"/>
            <w:vAlign w:val="center"/>
          </w:tcPr>
          <w:p>
            <w:pPr>
              <w:spacing w:line="240" w:lineRule="auto"/>
              <w:rPr>
                <w:rFonts w:ascii="宋体" w:hAnsi="宋体" w:cs="宋体" w:eastAsiaTheme="minorEastAsia"/>
                <w:color w:val="000000"/>
                <w:kern w:val="0"/>
                <w:szCs w:val="21"/>
              </w:rPr>
            </w:pPr>
            <w:r>
              <w:rPr>
                <w:rFonts w:hint="eastAsia" w:ascii="宋体" w:hAnsi="宋体" w:cs="宋体" w:eastAsiaTheme="minorEastAsia"/>
                <w:color w:val="000000"/>
                <w:kern w:val="0"/>
                <w:szCs w:val="21"/>
              </w:rPr>
              <w:t>至少支持5大品牌包括OPPO、小米、华为、荣耀、一加手机不连数据线的情况下，使用无线传输数据</w:t>
            </w:r>
          </w:p>
        </w:tc>
        <w:tc>
          <w:tcPr>
            <w:tcW w:w="528" w:type="pct"/>
            <w:shd w:val="clear" w:color="auto" w:fill="auto"/>
            <w:noWrap/>
            <w:vAlign w:val="center"/>
          </w:tcPr>
          <w:p>
            <w:pPr>
              <w:spacing w:line="240" w:lineRule="auto"/>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87" w:type="pct"/>
            <w:shd w:val="clear" w:color="auto" w:fill="auto"/>
            <w:noWrap/>
            <w:vAlign w:val="center"/>
          </w:tcPr>
          <w:p>
            <w:pPr>
              <w:numPr>
                <w:ilvl w:val="0"/>
                <w:numId w:val="87"/>
              </w:numPr>
              <w:spacing w:line="240" w:lineRule="auto"/>
              <w:ind w:left="0" w:leftChars="0" w:firstLine="0" w:firstLineChars="0"/>
              <w:jc w:val="center"/>
              <w:rPr>
                <w:rFonts w:ascii="宋体" w:hAnsi="宋体" w:cs="宋体" w:eastAsiaTheme="minorEastAsia"/>
                <w:color w:val="000000"/>
                <w:kern w:val="0"/>
                <w:szCs w:val="21"/>
              </w:rPr>
            </w:pPr>
          </w:p>
        </w:tc>
        <w:tc>
          <w:tcPr>
            <w:tcW w:w="381" w:type="pct"/>
            <w:shd w:val="clear" w:color="auto" w:fill="auto"/>
            <w:noWrap/>
            <w:vAlign w:val="center"/>
          </w:tcPr>
          <w:p>
            <w:pPr>
              <w:spacing w:line="240" w:lineRule="auto"/>
              <w:jc w:val="center"/>
              <w:rPr>
                <w:rFonts w:ascii="宋体" w:hAnsi="宋体" w:cs="宋体" w:eastAsiaTheme="minorEastAsia"/>
                <w:color w:val="000000"/>
                <w:kern w:val="0"/>
                <w:szCs w:val="21"/>
              </w:rPr>
            </w:pPr>
          </w:p>
        </w:tc>
        <w:tc>
          <w:tcPr>
            <w:tcW w:w="571" w:type="pct"/>
            <w:shd w:val="clear" w:color="auto" w:fill="auto"/>
            <w:vAlign w:val="center"/>
          </w:tcPr>
          <w:p>
            <w:pPr>
              <w:spacing w:line="240" w:lineRule="auto"/>
              <w:rPr>
                <w:rFonts w:ascii="宋体" w:hAnsi="宋体" w:cs="宋体" w:eastAsiaTheme="minorEastAsia"/>
                <w:color w:val="000000"/>
                <w:kern w:val="0"/>
                <w:szCs w:val="21"/>
              </w:rPr>
            </w:pPr>
          </w:p>
        </w:tc>
        <w:tc>
          <w:tcPr>
            <w:tcW w:w="3233" w:type="pct"/>
            <w:shd w:val="clear" w:color="auto" w:fill="auto"/>
            <w:vAlign w:val="center"/>
          </w:tcPr>
          <w:p>
            <w:pPr>
              <w:spacing w:line="240" w:lineRule="auto"/>
              <w:rPr>
                <w:rFonts w:ascii="宋体" w:hAnsi="宋体" w:cs="宋体" w:eastAsiaTheme="minorEastAsia"/>
                <w:color w:val="000000"/>
                <w:kern w:val="0"/>
                <w:szCs w:val="21"/>
              </w:rPr>
            </w:pPr>
            <w:r>
              <w:rPr>
                <w:rFonts w:hint="eastAsia" w:ascii="宋体" w:hAnsi="宋体" w:cs="宋体" w:eastAsiaTheme="minorEastAsia"/>
                <w:color w:val="000000"/>
                <w:kern w:val="0"/>
                <w:szCs w:val="21"/>
              </w:rPr>
              <w:t>至少支持微信、QQ 2种应用PC客户端扫码备份提取数据，可快速提取特定好友、群组的文字消息、音视频等记录</w:t>
            </w:r>
          </w:p>
        </w:tc>
        <w:tc>
          <w:tcPr>
            <w:tcW w:w="528" w:type="pct"/>
            <w:shd w:val="clear" w:color="auto" w:fill="auto"/>
            <w:noWrap/>
            <w:vAlign w:val="center"/>
          </w:tcPr>
          <w:p>
            <w:pPr>
              <w:spacing w:line="240" w:lineRule="auto"/>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87" w:type="pct"/>
            <w:shd w:val="clear" w:color="auto" w:fill="auto"/>
            <w:noWrap/>
            <w:vAlign w:val="center"/>
          </w:tcPr>
          <w:p>
            <w:pPr>
              <w:numPr>
                <w:ilvl w:val="0"/>
                <w:numId w:val="87"/>
              </w:numPr>
              <w:spacing w:line="240" w:lineRule="auto"/>
              <w:ind w:left="0" w:leftChars="0" w:firstLine="0" w:firstLineChars="0"/>
              <w:jc w:val="center"/>
              <w:rPr>
                <w:rFonts w:ascii="宋体" w:hAnsi="宋体" w:cs="宋体" w:eastAsiaTheme="minorEastAsia"/>
                <w:color w:val="000000"/>
                <w:kern w:val="0"/>
                <w:szCs w:val="21"/>
              </w:rPr>
            </w:pPr>
          </w:p>
        </w:tc>
        <w:tc>
          <w:tcPr>
            <w:tcW w:w="381" w:type="pct"/>
            <w:shd w:val="clear" w:color="auto" w:fill="auto"/>
            <w:noWrap/>
            <w:vAlign w:val="center"/>
          </w:tcPr>
          <w:p>
            <w:pPr>
              <w:spacing w:line="240" w:lineRule="auto"/>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w:t>
            </w:r>
          </w:p>
        </w:tc>
        <w:tc>
          <w:tcPr>
            <w:tcW w:w="571" w:type="pct"/>
            <w:vMerge w:val="restart"/>
            <w:shd w:val="clear" w:color="auto" w:fill="auto"/>
            <w:vAlign w:val="center"/>
          </w:tcPr>
          <w:p>
            <w:pPr>
              <w:spacing w:line="240" w:lineRule="auto"/>
              <w:rPr>
                <w:rFonts w:ascii="宋体" w:hAnsi="宋体" w:cs="宋体" w:eastAsiaTheme="minorEastAsia"/>
                <w:color w:val="000000"/>
                <w:kern w:val="0"/>
                <w:szCs w:val="21"/>
              </w:rPr>
            </w:pPr>
            <w:r>
              <w:rPr>
                <w:rFonts w:hint="eastAsia" w:ascii="宋体" w:hAnsi="宋体" w:cs="宋体" w:eastAsiaTheme="minorEastAsia"/>
                <w:color w:val="000000"/>
                <w:kern w:val="0"/>
                <w:szCs w:val="21"/>
              </w:rPr>
              <w:t>取证能力</w:t>
            </w:r>
          </w:p>
        </w:tc>
        <w:tc>
          <w:tcPr>
            <w:tcW w:w="3233" w:type="pct"/>
            <w:shd w:val="clear" w:color="auto" w:fill="auto"/>
            <w:vAlign w:val="center"/>
          </w:tcPr>
          <w:p>
            <w:pPr>
              <w:spacing w:line="240" w:lineRule="auto"/>
              <w:rPr>
                <w:rFonts w:ascii="宋体" w:hAnsi="宋体" w:cs="宋体" w:eastAsiaTheme="minorEastAsia"/>
                <w:color w:val="000000"/>
                <w:kern w:val="0"/>
                <w:szCs w:val="21"/>
              </w:rPr>
            </w:pPr>
            <w:r>
              <w:rPr>
                <w:rFonts w:hint="eastAsia" w:ascii="宋体" w:hAnsi="宋体" w:cs="宋体" w:eastAsiaTheme="minorEastAsia"/>
                <w:color w:val="000000"/>
                <w:kern w:val="0"/>
                <w:szCs w:val="21"/>
              </w:rPr>
              <w:t>至少支持2种方法加密报告阅读器，支持对报告阅读器设置密码；支持将报告阅读器绑定硬盘加密</w:t>
            </w:r>
          </w:p>
        </w:tc>
        <w:tc>
          <w:tcPr>
            <w:tcW w:w="528" w:type="pct"/>
            <w:shd w:val="clear" w:color="auto" w:fill="auto"/>
            <w:noWrap/>
            <w:vAlign w:val="center"/>
          </w:tcPr>
          <w:p>
            <w:pPr>
              <w:spacing w:line="240" w:lineRule="auto"/>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87" w:type="pct"/>
            <w:shd w:val="clear" w:color="auto" w:fill="auto"/>
            <w:noWrap/>
            <w:vAlign w:val="center"/>
          </w:tcPr>
          <w:p>
            <w:pPr>
              <w:numPr>
                <w:ilvl w:val="0"/>
                <w:numId w:val="87"/>
              </w:numPr>
              <w:spacing w:line="240" w:lineRule="auto"/>
              <w:ind w:left="0" w:leftChars="0" w:firstLine="0" w:firstLineChars="0"/>
              <w:jc w:val="center"/>
              <w:rPr>
                <w:rFonts w:ascii="宋体" w:hAnsi="宋体" w:cs="宋体" w:eastAsiaTheme="minorEastAsia"/>
                <w:color w:val="000000"/>
                <w:kern w:val="0"/>
                <w:szCs w:val="21"/>
              </w:rPr>
            </w:pPr>
          </w:p>
        </w:tc>
        <w:tc>
          <w:tcPr>
            <w:tcW w:w="381" w:type="pct"/>
            <w:shd w:val="clear" w:color="auto" w:fill="auto"/>
            <w:noWrap/>
            <w:vAlign w:val="center"/>
          </w:tcPr>
          <w:p>
            <w:pPr>
              <w:spacing w:line="240" w:lineRule="auto"/>
              <w:jc w:val="center"/>
              <w:rPr>
                <w:rFonts w:ascii="宋体" w:hAnsi="宋体" w:cs="宋体" w:eastAsiaTheme="minorEastAsia"/>
                <w:color w:val="000000"/>
                <w:kern w:val="0"/>
                <w:szCs w:val="21"/>
              </w:rPr>
            </w:pPr>
          </w:p>
        </w:tc>
        <w:tc>
          <w:tcPr>
            <w:tcW w:w="571" w:type="pct"/>
            <w:vMerge w:val="continue"/>
            <w:shd w:val="clear" w:color="auto" w:fill="auto"/>
            <w:vAlign w:val="center"/>
          </w:tcPr>
          <w:p>
            <w:pPr>
              <w:spacing w:line="240" w:lineRule="auto"/>
              <w:rPr>
                <w:rFonts w:ascii="宋体" w:hAnsi="宋体" w:cs="宋体" w:eastAsiaTheme="minorEastAsia"/>
                <w:color w:val="000000"/>
                <w:kern w:val="0"/>
                <w:szCs w:val="21"/>
              </w:rPr>
            </w:pPr>
          </w:p>
        </w:tc>
        <w:tc>
          <w:tcPr>
            <w:tcW w:w="3233" w:type="pct"/>
            <w:shd w:val="clear" w:color="auto" w:fill="auto"/>
            <w:vAlign w:val="center"/>
          </w:tcPr>
          <w:p>
            <w:pPr>
              <w:spacing w:line="240" w:lineRule="auto"/>
              <w:rPr>
                <w:rFonts w:ascii="宋体" w:hAnsi="宋体" w:cs="宋体" w:eastAsiaTheme="minorEastAsia"/>
                <w:color w:val="000000"/>
                <w:kern w:val="0"/>
                <w:szCs w:val="21"/>
              </w:rPr>
            </w:pPr>
            <w:r>
              <w:rPr>
                <w:rFonts w:hint="eastAsia" w:ascii="宋体" w:hAnsi="宋体" w:cs="宋体" w:eastAsiaTheme="minorEastAsia"/>
                <w:color w:val="000000"/>
                <w:kern w:val="0"/>
                <w:szCs w:val="21"/>
              </w:rPr>
              <w:t>至少支持超过200种以上常用Android和iOS应用信息解析</w:t>
            </w:r>
            <w:r>
              <w:rPr>
                <w:rFonts w:hint="eastAsia" w:ascii="宋体" w:hAnsi="宋体" w:cs="宋体" w:eastAsiaTheme="minorEastAsia"/>
                <w:color w:val="000000"/>
                <w:kern w:val="0"/>
                <w:szCs w:val="21"/>
                <w:lang w:eastAsia="zh-CN"/>
              </w:rPr>
              <w:t>：</w:t>
            </w:r>
            <w:r>
              <w:rPr>
                <w:rFonts w:hint="eastAsia" w:ascii="宋体" w:hAnsi="宋体" w:cs="宋体" w:eastAsiaTheme="minorEastAsia"/>
                <w:color w:val="000000"/>
                <w:kern w:val="0"/>
                <w:szCs w:val="21"/>
              </w:rPr>
              <w:br w:type="textWrapping"/>
            </w:r>
            <w:r>
              <w:rPr>
                <w:rFonts w:hint="eastAsia" w:ascii="宋体" w:hAnsi="宋体" w:cs="宋体" w:eastAsiaTheme="minorEastAsia"/>
                <w:color w:val="000000"/>
                <w:kern w:val="0"/>
                <w:szCs w:val="21"/>
              </w:rPr>
              <w:t>（1）社交聊天：QQ、短信、通话记录、微信、企业微信、TIM、Skype、Voxer、掌嗨等</w:t>
            </w:r>
            <w:r>
              <w:rPr>
                <w:rFonts w:hint="eastAsia" w:ascii="宋体" w:hAnsi="宋体" w:cs="宋体" w:eastAsiaTheme="minorEastAsia"/>
                <w:color w:val="000000"/>
                <w:kern w:val="0"/>
                <w:szCs w:val="21"/>
                <w:lang w:eastAsia="zh-CN"/>
              </w:rPr>
              <w:t>；</w:t>
            </w:r>
            <w:r>
              <w:rPr>
                <w:rFonts w:hint="eastAsia" w:ascii="宋体" w:hAnsi="宋体" w:cs="宋体" w:eastAsiaTheme="minorEastAsia"/>
                <w:color w:val="000000"/>
                <w:kern w:val="0"/>
                <w:szCs w:val="21"/>
              </w:rPr>
              <w:br w:type="textWrapping"/>
            </w:r>
            <w:r>
              <w:rPr>
                <w:rFonts w:hint="eastAsia" w:ascii="宋体" w:hAnsi="宋体" w:cs="宋体" w:eastAsiaTheme="minorEastAsia"/>
                <w:color w:val="000000"/>
                <w:kern w:val="0"/>
                <w:szCs w:val="21"/>
              </w:rPr>
              <w:t>（2）网页浏览：Safari、百度浏览器、UC浏览器、QQ浏览器、360浏览器、傲游浏览器、搜狗浏览器、百度极速版浏览器等；</w:t>
            </w:r>
            <w:r>
              <w:rPr>
                <w:rFonts w:hint="eastAsia" w:ascii="宋体" w:hAnsi="宋体" w:cs="宋体" w:eastAsiaTheme="minorEastAsia"/>
                <w:color w:val="000000"/>
                <w:kern w:val="0"/>
                <w:szCs w:val="21"/>
              </w:rPr>
              <w:br w:type="textWrapping"/>
            </w:r>
            <w:r>
              <w:rPr>
                <w:rFonts w:hint="eastAsia" w:ascii="宋体" w:hAnsi="宋体" w:cs="宋体" w:eastAsiaTheme="minorEastAsia"/>
                <w:color w:val="000000"/>
                <w:kern w:val="0"/>
                <w:szCs w:val="21"/>
              </w:rPr>
              <w:t>（3）地图导航：谷歌地图、百度地图、高德地图等；</w:t>
            </w:r>
            <w:r>
              <w:rPr>
                <w:rFonts w:hint="eastAsia" w:ascii="宋体" w:hAnsi="宋体" w:cs="宋体" w:eastAsiaTheme="minorEastAsia"/>
                <w:color w:val="000000"/>
                <w:kern w:val="0"/>
                <w:szCs w:val="21"/>
              </w:rPr>
              <w:br w:type="textWrapping"/>
            </w:r>
            <w:r>
              <w:rPr>
                <w:rFonts w:hint="eastAsia" w:ascii="宋体" w:hAnsi="宋体" w:cs="宋体" w:eastAsiaTheme="minorEastAsia"/>
                <w:color w:val="000000"/>
                <w:kern w:val="0"/>
                <w:szCs w:val="21"/>
              </w:rPr>
              <w:t>（4）生活工具：去哪儿旅行、京东商城、天猫、铁路12306、携程旅行、印象笔记、360手机卫士、大众点评、苏宁易购、美团外卖等；</w:t>
            </w:r>
            <w:r>
              <w:rPr>
                <w:rFonts w:hint="eastAsia" w:ascii="宋体" w:hAnsi="宋体" w:cs="宋体" w:eastAsiaTheme="minorEastAsia"/>
                <w:color w:val="000000"/>
                <w:kern w:val="0"/>
                <w:szCs w:val="21"/>
              </w:rPr>
              <w:br w:type="textWrapping"/>
            </w:r>
            <w:r>
              <w:rPr>
                <w:rFonts w:hint="eastAsia" w:ascii="宋体" w:hAnsi="宋体" w:cs="宋体" w:eastAsiaTheme="minorEastAsia"/>
                <w:color w:val="000000"/>
                <w:kern w:val="0"/>
                <w:szCs w:val="21"/>
              </w:rPr>
              <w:t>（5）邮箱：手机邮箱、QQ邮箱、沃邮箱、新浪邮箱、搜狐邮箱等；</w:t>
            </w:r>
            <w:r>
              <w:rPr>
                <w:rFonts w:hint="eastAsia" w:ascii="宋体" w:hAnsi="宋体" w:cs="宋体" w:eastAsiaTheme="minorEastAsia"/>
                <w:color w:val="000000"/>
                <w:kern w:val="0"/>
                <w:szCs w:val="21"/>
              </w:rPr>
              <w:br w:type="textWrapping"/>
            </w:r>
            <w:r>
              <w:rPr>
                <w:rFonts w:hint="eastAsia" w:ascii="宋体" w:hAnsi="宋体" w:cs="宋体" w:eastAsiaTheme="minorEastAsia"/>
                <w:color w:val="000000"/>
                <w:kern w:val="0"/>
                <w:szCs w:val="21"/>
              </w:rPr>
              <w:t>（6）网络硬盘：115网盘、360云盘、百度网盘等；</w:t>
            </w:r>
            <w:r>
              <w:rPr>
                <w:rFonts w:hint="eastAsia" w:ascii="宋体" w:hAnsi="宋体" w:cs="宋体" w:eastAsiaTheme="minorEastAsia"/>
                <w:color w:val="000000"/>
                <w:kern w:val="0"/>
                <w:szCs w:val="21"/>
              </w:rPr>
              <w:br w:type="textWrapping"/>
            </w:r>
            <w:r>
              <w:rPr>
                <w:rFonts w:hint="eastAsia" w:ascii="宋体" w:hAnsi="宋体" w:cs="宋体" w:eastAsiaTheme="minorEastAsia"/>
                <w:color w:val="000000"/>
                <w:kern w:val="0"/>
                <w:szCs w:val="21"/>
              </w:rPr>
              <w:t>（7）用户字典：搜狗输入法、系统词库；</w:t>
            </w:r>
            <w:r>
              <w:rPr>
                <w:rFonts w:hint="eastAsia" w:ascii="宋体" w:hAnsi="宋体" w:cs="宋体" w:eastAsiaTheme="minorEastAsia"/>
                <w:color w:val="000000"/>
                <w:kern w:val="0"/>
                <w:szCs w:val="21"/>
              </w:rPr>
              <w:br w:type="textWrapping"/>
            </w:r>
            <w:r>
              <w:rPr>
                <w:rFonts w:hint="eastAsia" w:ascii="宋体" w:hAnsi="宋体" w:cs="宋体" w:eastAsiaTheme="minorEastAsia"/>
                <w:color w:val="000000"/>
                <w:kern w:val="0"/>
                <w:szCs w:val="21"/>
              </w:rPr>
              <w:t>（8）系统信息：SIM卡信息、蓝牙记录、应用使用日志、系统网络日志、无线连接等；</w:t>
            </w:r>
            <w:r>
              <w:rPr>
                <w:rFonts w:hint="eastAsia" w:ascii="宋体" w:hAnsi="宋体" w:cs="宋体" w:eastAsiaTheme="minorEastAsia"/>
                <w:color w:val="000000"/>
                <w:kern w:val="0"/>
                <w:szCs w:val="21"/>
              </w:rPr>
              <w:br w:type="textWrapping"/>
            </w:r>
            <w:r>
              <w:rPr>
                <w:rFonts w:hint="eastAsia" w:ascii="宋体" w:hAnsi="宋体" w:cs="宋体" w:eastAsiaTheme="minorEastAsia"/>
                <w:color w:val="000000"/>
                <w:kern w:val="0"/>
                <w:szCs w:val="21"/>
              </w:rPr>
              <w:t>（9）办公软件：Word、PowerPoint等</w:t>
            </w:r>
          </w:p>
        </w:tc>
        <w:tc>
          <w:tcPr>
            <w:tcW w:w="528" w:type="pct"/>
            <w:shd w:val="clear" w:color="auto" w:fill="auto"/>
            <w:noWrap/>
            <w:vAlign w:val="center"/>
          </w:tcPr>
          <w:p>
            <w:pPr>
              <w:spacing w:line="240" w:lineRule="auto"/>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87" w:type="pct"/>
            <w:shd w:val="clear" w:color="auto" w:fill="auto"/>
            <w:noWrap/>
            <w:vAlign w:val="center"/>
          </w:tcPr>
          <w:p>
            <w:pPr>
              <w:numPr>
                <w:ilvl w:val="0"/>
                <w:numId w:val="87"/>
              </w:numPr>
              <w:spacing w:line="240" w:lineRule="auto"/>
              <w:ind w:left="0" w:leftChars="0" w:firstLine="0" w:firstLineChars="0"/>
              <w:jc w:val="center"/>
              <w:rPr>
                <w:rFonts w:ascii="宋体" w:hAnsi="宋体" w:cs="宋体" w:eastAsiaTheme="minorEastAsia"/>
                <w:color w:val="000000"/>
                <w:kern w:val="0"/>
                <w:szCs w:val="21"/>
              </w:rPr>
            </w:pPr>
          </w:p>
        </w:tc>
        <w:tc>
          <w:tcPr>
            <w:tcW w:w="381" w:type="pct"/>
            <w:shd w:val="clear" w:color="auto" w:fill="auto"/>
            <w:noWrap/>
            <w:vAlign w:val="center"/>
          </w:tcPr>
          <w:p>
            <w:pPr>
              <w:spacing w:line="240" w:lineRule="auto"/>
              <w:jc w:val="center"/>
              <w:rPr>
                <w:rFonts w:ascii="宋体" w:hAnsi="宋体" w:cs="宋体" w:eastAsiaTheme="minorEastAsia"/>
                <w:color w:val="000000"/>
                <w:kern w:val="0"/>
                <w:szCs w:val="21"/>
              </w:rPr>
            </w:pPr>
          </w:p>
        </w:tc>
        <w:tc>
          <w:tcPr>
            <w:tcW w:w="571" w:type="pct"/>
            <w:vMerge w:val="continue"/>
            <w:shd w:val="clear" w:color="auto" w:fill="auto"/>
            <w:vAlign w:val="center"/>
          </w:tcPr>
          <w:p>
            <w:pPr>
              <w:spacing w:line="240" w:lineRule="auto"/>
              <w:rPr>
                <w:rFonts w:ascii="宋体" w:hAnsi="宋体" w:cs="宋体" w:eastAsiaTheme="minorEastAsia"/>
                <w:color w:val="000000"/>
                <w:kern w:val="0"/>
                <w:szCs w:val="21"/>
              </w:rPr>
            </w:pPr>
          </w:p>
        </w:tc>
        <w:tc>
          <w:tcPr>
            <w:tcW w:w="3233" w:type="pct"/>
            <w:shd w:val="clear" w:color="auto" w:fill="auto"/>
            <w:vAlign w:val="center"/>
          </w:tcPr>
          <w:p>
            <w:pPr>
              <w:spacing w:line="240" w:lineRule="auto"/>
              <w:rPr>
                <w:rFonts w:ascii="宋体" w:hAnsi="宋体" w:cs="宋体" w:eastAsiaTheme="minorEastAsia"/>
                <w:color w:val="000000"/>
                <w:kern w:val="0"/>
                <w:szCs w:val="21"/>
              </w:rPr>
            </w:pPr>
            <w:r>
              <w:rPr>
                <w:rFonts w:hint="eastAsia" w:ascii="宋体" w:hAnsi="宋体" w:cs="宋体" w:eastAsiaTheme="minorEastAsia"/>
                <w:color w:val="000000"/>
                <w:kern w:val="0"/>
                <w:szCs w:val="21"/>
              </w:rPr>
              <w:t>支持自定义编写Python程序，实现对新APP数据的提取</w:t>
            </w:r>
          </w:p>
        </w:tc>
        <w:tc>
          <w:tcPr>
            <w:tcW w:w="528" w:type="pct"/>
            <w:shd w:val="clear" w:color="auto" w:fill="auto"/>
            <w:noWrap/>
            <w:vAlign w:val="center"/>
          </w:tcPr>
          <w:p>
            <w:pPr>
              <w:spacing w:line="240" w:lineRule="auto"/>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87" w:type="pct"/>
            <w:shd w:val="clear" w:color="auto" w:fill="auto"/>
            <w:noWrap/>
            <w:vAlign w:val="center"/>
          </w:tcPr>
          <w:p>
            <w:pPr>
              <w:numPr>
                <w:ilvl w:val="0"/>
                <w:numId w:val="87"/>
              </w:numPr>
              <w:spacing w:line="240" w:lineRule="auto"/>
              <w:ind w:left="0" w:leftChars="0" w:firstLine="0" w:firstLineChars="0"/>
              <w:jc w:val="center"/>
              <w:rPr>
                <w:rFonts w:ascii="宋体" w:hAnsi="宋体" w:cs="宋体" w:eastAsiaTheme="minorEastAsia"/>
                <w:color w:val="000000"/>
                <w:kern w:val="0"/>
                <w:szCs w:val="21"/>
              </w:rPr>
            </w:pPr>
          </w:p>
        </w:tc>
        <w:tc>
          <w:tcPr>
            <w:tcW w:w="381" w:type="pct"/>
            <w:shd w:val="clear" w:color="auto" w:fill="auto"/>
            <w:noWrap/>
            <w:vAlign w:val="center"/>
          </w:tcPr>
          <w:p>
            <w:pPr>
              <w:spacing w:line="240" w:lineRule="auto"/>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w:t>
            </w:r>
          </w:p>
        </w:tc>
        <w:tc>
          <w:tcPr>
            <w:tcW w:w="571" w:type="pct"/>
            <w:vMerge w:val="continue"/>
            <w:shd w:val="clear" w:color="auto" w:fill="auto"/>
            <w:vAlign w:val="center"/>
          </w:tcPr>
          <w:p>
            <w:pPr>
              <w:spacing w:line="240" w:lineRule="auto"/>
              <w:rPr>
                <w:rFonts w:ascii="宋体" w:hAnsi="宋体" w:cs="宋体" w:eastAsiaTheme="minorEastAsia"/>
                <w:color w:val="000000"/>
                <w:kern w:val="0"/>
                <w:szCs w:val="21"/>
              </w:rPr>
            </w:pPr>
          </w:p>
        </w:tc>
        <w:tc>
          <w:tcPr>
            <w:tcW w:w="3233" w:type="pct"/>
            <w:shd w:val="clear" w:color="auto" w:fill="auto"/>
            <w:vAlign w:val="center"/>
          </w:tcPr>
          <w:p>
            <w:pPr>
              <w:spacing w:line="240" w:lineRule="auto"/>
              <w:rPr>
                <w:rFonts w:ascii="宋体" w:hAnsi="宋体" w:cs="宋体" w:eastAsiaTheme="minorEastAsia"/>
                <w:color w:val="000000"/>
                <w:kern w:val="0"/>
                <w:szCs w:val="21"/>
              </w:rPr>
            </w:pPr>
            <w:r>
              <w:rPr>
                <w:rFonts w:hint="eastAsia" w:ascii="宋体" w:hAnsi="宋体" w:cs="宋体" w:eastAsiaTheme="minorEastAsia"/>
                <w:color w:val="000000"/>
                <w:kern w:val="0"/>
                <w:szCs w:val="21"/>
              </w:rPr>
              <w:t>至少支持2种Android应用安装包分析功能：</w:t>
            </w:r>
          </w:p>
          <w:p>
            <w:pPr>
              <w:spacing w:line="240" w:lineRule="auto"/>
              <w:rPr>
                <w:rFonts w:ascii="宋体" w:hAnsi="宋体" w:cs="宋体" w:eastAsiaTheme="minorEastAsia"/>
                <w:color w:val="000000"/>
                <w:kern w:val="0"/>
                <w:szCs w:val="21"/>
              </w:rPr>
            </w:pPr>
            <w:r>
              <w:rPr>
                <w:rFonts w:hint="eastAsia" w:ascii="宋体" w:hAnsi="宋体" w:cs="宋体" w:eastAsiaTheme="minorEastAsia"/>
                <w:color w:val="000000"/>
                <w:kern w:val="0"/>
                <w:szCs w:val="21"/>
              </w:rPr>
              <w:t>支持Android应用安装包动态分析，可获取实时网络数据包、IP信息、网址备案信息等；分析结果支持导出报告；</w:t>
            </w:r>
          </w:p>
          <w:p>
            <w:pPr>
              <w:spacing w:line="240" w:lineRule="auto"/>
              <w:rPr>
                <w:rFonts w:ascii="宋体" w:hAnsi="宋体" w:cs="宋体" w:eastAsiaTheme="minorEastAsia"/>
                <w:color w:val="000000"/>
                <w:kern w:val="0"/>
                <w:szCs w:val="21"/>
              </w:rPr>
            </w:pPr>
            <w:r>
              <w:rPr>
                <w:rFonts w:hint="eastAsia" w:ascii="宋体" w:hAnsi="宋体" w:cs="宋体" w:eastAsiaTheme="minorEastAsia"/>
                <w:color w:val="000000"/>
                <w:kern w:val="0"/>
                <w:szCs w:val="21"/>
              </w:rPr>
              <w:t>支持Android应用安装包静态分析，可获取安装包的权限、网址IP、签名等信息；支持分析结果搜索，支持静态分析报告实时导出</w:t>
            </w:r>
          </w:p>
        </w:tc>
        <w:tc>
          <w:tcPr>
            <w:tcW w:w="528" w:type="pct"/>
            <w:shd w:val="clear" w:color="auto" w:fill="auto"/>
            <w:noWrap/>
            <w:vAlign w:val="center"/>
          </w:tcPr>
          <w:p>
            <w:pPr>
              <w:spacing w:line="240" w:lineRule="auto"/>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87" w:type="pct"/>
            <w:shd w:val="clear" w:color="auto" w:fill="auto"/>
            <w:noWrap/>
            <w:vAlign w:val="center"/>
          </w:tcPr>
          <w:p>
            <w:pPr>
              <w:numPr>
                <w:ilvl w:val="0"/>
                <w:numId w:val="87"/>
              </w:numPr>
              <w:spacing w:line="240" w:lineRule="auto"/>
              <w:ind w:left="0" w:leftChars="0" w:firstLine="0" w:firstLineChars="0"/>
              <w:jc w:val="center"/>
              <w:rPr>
                <w:rFonts w:ascii="宋体" w:hAnsi="宋体" w:cs="宋体" w:eastAsiaTheme="minorEastAsia"/>
                <w:color w:val="000000"/>
                <w:kern w:val="0"/>
                <w:szCs w:val="21"/>
              </w:rPr>
            </w:pPr>
          </w:p>
        </w:tc>
        <w:tc>
          <w:tcPr>
            <w:tcW w:w="381" w:type="pct"/>
            <w:shd w:val="clear" w:color="auto" w:fill="auto"/>
            <w:noWrap/>
            <w:vAlign w:val="center"/>
          </w:tcPr>
          <w:p>
            <w:pPr>
              <w:spacing w:line="240" w:lineRule="auto"/>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w:t>
            </w:r>
          </w:p>
        </w:tc>
        <w:tc>
          <w:tcPr>
            <w:tcW w:w="571" w:type="pct"/>
            <w:vMerge w:val="restart"/>
            <w:shd w:val="clear" w:color="auto" w:fill="auto"/>
            <w:vAlign w:val="center"/>
          </w:tcPr>
          <w:p>
            <w:pPr>
              <w:spacing w:line="240" w:lineRule="auto"/>
              <w:rPr>
                <w:rFonts w:ascii="宋体" w:hAnsi="宋体" w:cs="宋体" w:eastAsiaTheme="minorEastAsia"/>
                <w:color w:val="000000"/>
                <w:kern w:val="0"/>
                <w:szCs w:val="21"/>
              </w:rPr>
            </w:pPr>
            <w:r>
              <w:rPr>
                <w:rFonts w:hint="eastAsia" w:ascii="宋体" w:hAnsi="宋体" w:cs="宋体" w:eastAsiaTheme="minorEastAsia"/>
                <w:color w:val="000000"/>
                <w:kern w:val="0"/>
                <w:szCs w:val="21"/>
              </w:rPr>
              <w:t>云取证能力</w:t>
            </w:r>
          </w:p>
        </w:tc>
        <w:tc>
          <w:tcPr>
            <w:tcW w:w="3233" w:type="pct"/>
            <w:shd w:val="clear" w:color="auto" w:fill="auto"/>
            <w:vAlign w:val="center"/>
          </w:tcPr>
          <w:p>
            <w:pPr>
              <w:spacing w:line="240" w:lineRule="auto"/>
              <w:rPr>
                <w:rFonts w:ascii="宋体" w:hAnsi="宋体" w:cs="宋体" w:eastAsiaTheme="minorEastAsia"/>
                <w:color w:val="000000"/>
                <w:kern w:val="0"/>
                <w:szCs w:val="21"/>
              </w:rPr>
            </w:pPr>
            <w:r>
              <w:rPr>
                <w:rFonts w:hint="eastAsia" w:ascii="宋体" w:hAnsi="宋体" w:cs="宋体" w:eastAsiaTheme="minorEastAsia"/>
                <w:color w:val="000000"/>
                <w:kern w:val="0"/>
                <w:szCs w:val="21"/>
              </w:rPr>
              <w:t>至少支持2种视频播放类应用的账单数据获取，支持抖音、快手获取云端的账单数据</w:t>
            </w:r>
          </w:p>
        </w:tc>
        <w:tc>
          <w:tcPr>
            <w:tcW w:w="528" w:type="pct"/>
            <w:shd w:val="clear" w:color="auto" w:fill="auto"/>
            <w:noWrap/>
            <w:vAlign w:val="center"/>
          </w:tcPr>
          <w:p>
            <w:pPr>
              <w:spacing w:line="240" w:lineRule="auto"/>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287" w:type="pct"/>
            <w:shd w:val="clear" w:color="auto" w:fill="auto"/>
            <w:noWrap/>
            <w:vAlign w:val="center"/>
          </w:tcPr>
          <w:p>
            <w:pPr>
              <w:numPr>
                <w:ilvl w:val="0"/>
                <w:numId w:val="87"/>
              </w:numPr>
              <w:spacing w:line="240" w:lineRule="auto"/>
              <w:ind w:left="0" w:leftChars="0" w:firstLine="0" w:firstLineChars="0"/>
              <w:jc w:val="center"/>
              <w:rPr>
                <w:rFonts w:ascii="宋体" w:hAnsi="宋体" w:cs="宋体" w:eastAsiaTheme="minorEastAsia"/>
                <w:color w:val="000000"/>
                <w:kern w:val="0"/>
                <w:szCs w:val="21"/>
              </w:rPr>
            </w:pPr>
          </w:p>
        </w:tc>
        <w:tc>
          <w:tcPr>
            <w:tcW w:w="381" w:type="pct"/>
            <w:shd w:val="clear" w:color="auto" w:fill="auto"/>
            <w:noWrap/>
            <w:vAlign w:val="center"/>
          </w:tcPr>
          <w:p>
            <w:pPr>
              <w:spacing w:line="240" w:lineRule="auto"/>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w:t>
            </w:r>
          </w:p>
        </w:tc>
        <w:tc>
          <w:tcPr>
            <w:tcW w:w="571" w:type="pct"/>
            <w:vMerge w:val="continue"/>
            <w:shd w:val="clear" w:color="auto" w:fill="auto"/>
            <w:vAlign w:val="center"/>
          </w:tcPr>
          <w:p>
            <w:pPr>
              <w:spacing w:line="240" w:lineRule="auto"/>
              <w:rPr>
                <w:rFonts w:ascii="宋体" w:hAnsi="宋体" w:cs="宋体" w:eastAsiaTheme="minorEastAsia"/>
                <w:color w:val="000000"/>
                <w:kern w:val="0"/>
                <w:szCs w:val="21"/>
              </w:rPr>
            </w:pPr>
          </w:p>
        </w:tc>
        <w:tc>
          <w:tcPr>
            <w:tcW w:w="3233" w:type="pct"/>
            <w:shd w:val="clear" w:color="auto" w:fill="auto"/>
            <w:vAlign w:val="center"/>
          </w:tcPr>
          <w:p>
            <w:pPr>
              <w:spacing w:line="240" w:lineRule="auto"/>
              <w:rPr>
                <w:rFonts w:ascii="宋体" w:hAnsi="宋体" w:cs="宋体" w:eastAsiaTheme="minorEastAsia"/>
                <w:color w:val="000000"/>
                <w:kern w:val="0"/>
                <w:szCs w:val="21"/>
              </w:rPr>
            </w:pPr>
            <w:r>
              <w:rPr>
                <w:rFonts w:hint="eastAsia" w:ascii="宋体" w:hAnsi="宋体" w:cs="宋体" w:eastAsiaTheme="minorEastAsia"/>
                <w:color w:val="000000"/>
                <w:kern w:val="0"/>
                <w:szCs w:val="21"/>
              </w:rPr>
              <w:t>至少支持6种应用云端数据获取：</w:t>
            </w:r>
          </w:p>
          <w:p>
            <w:pPr>
              <w:spacing w:line="240" w:lineRule="auto"/>
              <w:rPr>
                <w:rFonts w:ascii="宋体" w:hAnsi="宋体" w:cs="宋体" w:eastAsiaTheme="minorEastAsia"/>
                <w:color w:val="000000"/>
                <w:kern w:val="0"/>
                <w:szCs w:val="21"/>
              </w:rPr>
            </w:pPr>
            <w:r>
              <w:rPr>
                <w:rFonts w:hint="eastAsia" w:ascii="宋体" w:hAnsi="宋体" w:cs="宋体" w:eastAsiaTheme="minorEastAsia"/>
                <w:color w:val="000000"/>
                <w:kern w:val="0"/>
                <w:szCs w:val="21"/>
              </w:rPr>
              <w:t>支持Android、iOS微信、支付宝获取云端的资金数据；</w:t>
            </w:r>
          </w:p>
          <w:p>
            <w:pPr>
              <w:spacing w:line="240" w:lineRule="auto"/>
              <w:rPr>
                <w:rFonts w:ascii="宋体" w:hAnsi="宋体" w:cs="宋体" w:eastAsiaTheme="minorEastAsia"/>
                <w:color w:val="000000"/>
                <w:kern w:val="0"/>
                <w:szCs w:val="21"/>
              </w:rPr>
            </w:pPr>
            <w:r>
              <w:rPr>
                <w:rFonts w:hint="eastAsia" w:ascii="宋体" w:hAnsi="宋体" w:cs="宋体" w:eastAsiaTheme="minorEastAsia"/>
                <w:color w:val="000000"/>
                <w:kern w:val="0"/>
                <w:szCs w:val="21"/>
              </w:rPr>
              <w:t>支持Telegram获取云端聊天数据信息；支持百度网盘、一刻相册的网盘数据下载固定；</w:t>
            </w:r>
          </w:p>
          <w:p>
            <w:pPr>
              <w:spacing w:line="240" w:lineRule="auto"/>
              <w:rPr>
                <w:rFonts w:ascii="宋体" w:hAnsi="宋体" w:cs="宋体" w:eastAsiaTheme="minorEastAsia"/>
                <w:color w:val="000000"/>
                <w:kern w:val="0"/>
                <w:szCs w:val="21"/>
              </w:rPr>
            </w:pPr>
            <w:r>
              <w:rPr>
                <w:rFonts w:hint="eastAsia" w:ascii="宋体" w:hAnsi="宋体" w:cs="宋体" w:eastAsiaTheme="minorEastAsia"/>
                <w:color w:val="000000"/>
                <w:kern w:val="0"/>
                <w:szCs w:val="21"/>
              </w:rPr>
              <w:t>支持获取云端上高德地图、嘀嗒出行等应用行程数据，美团、拼多多等应用订单数据</w:t>
            </w:r>
          </w:p>
        </w:tc>
        <w:tc>
          <w:tcPr>
            <w:tcW w:w="528" w:type="pct"/>
            <w:shd w:val="clear" w:color="auto" w:fill="auto"/>
            <w:noWrap/>
            <w:vAlign w:val="center"/>
          </w:tcPr>
          <w:p>
            <w:pPr>
              <w:spacing w:line="240" w:lineRule="auto"/>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9" w:hRule="atLeast"/>
        </w:trPr>
        <w:tc>
          <w:tcPr>
            <w:tcW w:w="287" w:type="pct"/>
            <w:shd w:val="clear" w:color="auto" w:fill="auto"/>
            <w:noWrap/>
            <w:vAlign w:val="center"/>
          </w:tcPr>
          <w:p>
            <w:pPr>
              <w:numPr>
                <w:ilvl w:val="0"/>
                <w:numId w:val="87"/>
              </w:numPr>
              <w:spacing w:line="240" w:lineRule="auto"/>
              <w:ind w:left="0" w:leftChars="0" w:firstLine="0" w:firstLineChars="0"/>
              <w:jc w:val="center"/>
              <w:rPr>
                <w:rFonts w:ascii="宋体" w:hAnsi="宋体" w:cs="宋体" w:eastAsiaTheme="minorEastAsia"/>
                <w:color w:val="000000"/>
                <w:kern w:val="0"/>
                <w:szCs w:val="21"/>
              </w:rPr>
            </w:pPr>
          </w:p>
        </w:tc>
        <w:tc>
          <w:tcPr>
            <w:tcW w:w="381" w:type="pct"/>
            <w:shd w:val="clear" w:color="auto" w:fill="auto"/>
            <w:noWrap/>
            <w:vAlign w:val="center"/>
          </w:tcPr>
          <w:p>
            <w:pPr>
              <w:spacing w:line="240" w:lineRule="auto"/>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w:t>
            </w:r>
          </w:p>
        </w:tc>
        <w:tc>
          <w:tcPr>
            <w:tcW w:w="571" w:type="pct"/>
            <w:vMerge w:val="restart"/>
            <w:shd w:val="clear" w:color="auto" w:fill="auto"/>
            <w:vAlign w:val="center"/>
          </w:tcPr>
          <w:p>
            <w:pPr>
              <w:spacing w:line="240" w:lineRule="auto"/>
              <w:rPr>
                <w:rFonts w:ascii="宋体" w:hAnsi="宋体" w:cs="宋体" w:eastAsiaTheme="minorEastAsia"/>
                <w:color w:val="000000"/>
                <w:kern w:val="0"/>
                <w:szCs w:val="21"/>
              </w:rPr>
            </w:pPr>
            <w:r>
              <w:rPr>
                <w:rFonts w:hint="eastAsia" w:ascii="宋体" w:hAnsi="宋体" w:eastAsia="宋体" w:cs="宋体"/>
                <w:color w:val="000000"/>
                <w:kern w:val="0"/>
                <w:szCs w:val="21"/>
                <w:lang w:val="en-US" w:bidi="ar"/>
              </w:rPr>
              <w:t>智能分析</w:t>
            </w:r>
          </w:p>
        </w:tc>
        <w:tc>
          <w:tcPr>
            <w:tcW w:w="3233" w:type="pct"/>
            <w:shd w:val="clear" w:color="auto" w:fill="auto"/>
            <w:vAlign w:val="center"/>
          </w:tcPr>
          <w:p>
            <w:pPr>
              <w:widowControl w:val="0"/>
              <w:spacing w:beforeAutospacing="1" w:after="160" w:line="240" w:lineRule="auto"/>
              <w:rPr>
                <w:rFonts w:ascii="宋体" w:hAnsi="宋体" w:eastAsia="宋体" w:cs="宋体"/>
                <w:color w:val="000000"/>
                <w:kern w:val="0"/>
                <w:szCs w:val="21"/>
                <w:lang w:val="en-US" w:bidi="ar"/>
              </w:rPr>
            </w:pPr>
            <w:r>
              <w:rPr>
                <w:rFonts w:hint="eastAsia" w:ascii="宋体" w:hAnsi="宋体" w:eastAsia="宋体" w:cs="宋体"/>
                <w:color w:val="000000"/>
                <w:kern w:val="0"/>
                <w:szCs w:val="21"/>
                <w:lang w:val="en-US" w:bidi="ar"/>
              </w:rPr>
              <w:t>至少支持</w:t>
            </w:r>
            <w:r>
              <w:rPr>
                <w:rFonts w:ascii="宋体" w:hAnsi="宋体" w:eastAsia="宋体" w:cs="宋体"/>
                <w:color w:val="000000"/>
                <w:kern w:val="0"/>
                <w:szCs w:val="21"/>
                <w:lang w:bidi="ar"/>
              </w:rPr>
              <w:t>1</w:t>
            </w:r>
            <w:r>
              <w:rPr>
                <w:rFonts w:ascii="宋体" w:hAnsi="宋体" w:eastAsia="宋体" w:cs="宋体"/>
                <w:color w:val="000000"/>
                <w:kern w:val="0"/>
                <w:szCs w:val="21"/>
                <w:lang w:val="en-US" w:bidi="ar"/>
              </w:rPr>
              <w:t>个以上目标人信息的添加展示，通过设定目标人手机号、社交账号等信息，可跨应用、检材自动查询关联手机中的提取结果，并支持针对目标人导出报告</w:t>
            </w:r>
          </w:p>
        </w:tc>
        <w:tc>
          <w:tcPr>
            <w:tcW w:w="528" w:type="pct"/>
            <w:shd w:val="clear" w:color="auto" w:fill="auto"/>
            <w:noWrap/>
            <w:vAlign w:val="center"/>
          </w:tcPr>
          <w:p>
            <w:pPr>
              <w:spacing w:line="240" w:lineRule="auto"/>
              <w:jc w:val="center"/>
              <w:rPr>
                <w:rFonts w:ascii="宋体" w:hAnsi="宋体" w:cs="宋体" w:eastAsiaTheme="minorEastAsia"/>
                <w:color w:val="000000"/>
                <w:kern w:val="0"/>
                <w:szCs w:val="21"/>
              </w:rPr>
            </w:pPr>
            <w:r>
              <w:rPr>
                <w:rFonts w:hint="eastAsia" w:ascii="宋体" w:hAnsi="宋体" w:eastAsia="宋体" w:cs="宋体"/>
                <w:color w:val="000000"/>
                <w:kern w:val="0"/>
                <w:szCs w:val="21"/>
                <w:lang w:val="en-US" w:bidi="ar"/>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2" w:hRule="atLeast"/>
        </w:trPr>
        <w:tc>
          <w:tcPr>
            <w:tcW w:w="287" w:type="pct"/>
            <w:shd w:val="clear" w:color="auto" w:fill="auto"/>
            <w:noWrap/>
            <w:vAlign w:val="center"/>
          </w:tcPr>
          <w:p>
            <w:pPr>
              <w:numPr>
                <w:ilvl w:val="0"/>
                <w:numId w:val="87"/>
              </w:numPr>
              <w:spacing w:line="240" w:lineRule="auto"/>
              <w:ind w:left="0" w:leftChars="0" w:firstLine="0" w:firstLineChars="0"/>
              <w:jc w:val="center"/>
              <w:rPr>
                <w:rFonts w:ascii="宋体" w:hAnsi="宋体" w:cs="宋体" w:eastAsiaTheme="minorEastAsia"/>
                <w:color w:val="000000"/>
                <w:kern w:val="0"/>
                <w:szCs w:val="21"/>
              </w:rPr>
            </w:pPr>
          </w:p>
        </w:tc>
        <w:tc>
          <w:tcPr>
            <w:tcW w:w="381" w:type="pct"/>
            <w:shd w:val="clear" w:color="auto" w:fill="auto"/>
            <w:noWrap/>
            <w:vAlign w:val="center"/>
          </w:tcPr>
          <w:p>
            <w:pPr>
              <w:spacing w:line="240" w:lineRule="auto"/>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w:t>
            </w:r>
          </w:p>
        </w:tc>
        <w:tc>
          <w:tcPr>
            <w:tcW w:w="571" w:type="pct"/>
            <w:vMerge w:val="continue"/>
            <w:shd w:val="clear" w:color="auto" w:fill="auto"/>
            <w:vAlign w:val="center"/>
          </w:tcPr>
          <w:p>
            <w:pPr>
              <w:spacing w:line="240" w:lineRule="auto"/>
              <w:rPr>
                <w:rFonts w:ascii="宋体" w:hAnsi="宋体" w:cs="宋体" w:eastAsiaTheme="minorEastAsia"/>
                <w:color w:val="000000"/>
                <w:kern w:val="0"/>
                <w:szCs w:val="21"/>
              </w:rPr>
            </w:pPr>
          </w:p>
        </w:tc>
        <w:tc>
          <w:tcPr>
            <w:tcW w:w="3233" w:type="pct"/>
            <w:shd w:val="clear" w:color="auto" w:fill="auto"/>
            <w:vAlign w:val="center"/>
          </w:tcPr>
          <w:p>
            <w:pPr>
              <w:widowControl w:val="0"/>
              <w:spacing w:beforeAutospacing="1" w:after="160" w:line="240" w:lineRule="auto"/>
              <w:rPr>
                <w:rFonts w:ascii="宋体" w:hAnsi="宋体" w:cs="宋体" w:eastAsiaTheme="minorEastAsia"/>
                <w:color w:val="000000"/>
                <w:kern w:val="0"/>
                <w:szCs w:val="21"/>
              </w:rPr>
            </w:pPr>
            <w:r>
              <w:rPr>
                <w:rFonts w:hint="eastAsia" w:ascii="宋体" w:hAnsi="宋体" w:eastAsia="宋体" w:cs="宋体"/>
                <w:color w:val="000000"/>
                <w:kern w:val="0"/>
                <w:szCs w:val="21"/>
                <w:lang w:val="en-US" w:bidi="ar"/>
              </w:rPr>
              <w:t>至少支持</w:t>
            </w:r>
            <w:r>
              <w:rPr>
                <w:rFonts w:ascii="宋体" w:hAnsi="宋体" w:eastAsia="宋体" w:cs="宋体"/>
                <w:color w:val="000000"/>
                <w:kern w:val="0"/>
                <w:szCs w:val="21"/>
                <w:lang w:val="en-US" w:bidi="ar"/>
              </w:rPr>
              <w:t>2条以上的故事线分析展示功能，支持对手机中的检材数据进行整合，以故事线的形式展现案件的发展，且可对故事线中的重点时间行为添加备注，快速理清整个案情</w:t>
            </w:r>
          </w:p>
        </w:tc>
        <w:tc>
          <w:tcPr>
            <w:tcW w:w="528" w:type="pct"/>
            <w:shd w:val="clear" w:color="auto" w:fill="auto"/>
            <w:noWrap/>
            <w:vAlign w:val="center"/>
          </w:tcPr>
          <w:p>
            <w:pPr>
              <w:spacing w:line="240" w:lineRule="auto"/>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2" w:hRule="atLeast"/>
        </w:trPr>
        <w:tc>
          <w:tcPr>
            <w:tcW w:w="287" w:type="pct"/>
            <w:shd w:val="clear" w:color="auto" w:fill="auto"/>
            <w:noWrap/>
            <w:vAlign w:val="center"/>
          </w:tcPr>
          <w:p>
            <w:pPr>
              <w:numPr>
                <w:ilvl w:val="0"/>
                <w:numId w:val="87"/>
              </w:numPr>
              <w:spacing w:line="240" w:lineRule="auto"/>
              <w:ind w:left="0" w:leftChars="0" w:firstLine="0" w:firstLineChars="0"/>
              <w:jc w:val="center"/>
              <w:rPr>
                <w:rFonts w:ascii="宋体" w:hAnsi="宋体" w:cs="宋体" w:eastAsiaTheme="minorEastAsia"/>
                <w:color w:val="000000"/>
                <w:kern w:val="0"/>
                <w:szCs w:val="21"/>
              </w:rPr>
            </w:pPr>
          </w:p>
        </w:tc>
        <w:tc>
          <w:tcPr>
            <w:tcW w:w="381" w:type="pct"/>
            <w:shd w:val="clear" w:color="auto" w:fill="auto"/>
            <w:noWrap/>
            <w:vAlign w:val="center"/>
          </w:tcPr>
          <w:p>
            <w:pPr>
              <w:spacing w:line="240" w:lineRule="auto"/>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w:t>
            </w:r>
          </w:p>
        </w:tc>
        <w:tc>
          <w:tcPr>
            <w:tcW w:w="571" w:type="pct"/>
            <w:vMerge w:val="continue"/>
            <w:shd w:val="clear" w:color="auto" w:fill="auto"/>
            <w:vAlign w:val="center"/>
          </w:tcPr>
          <w:p>
            <w:pPr>
              <w:spacing w:line="240" w:lineRule="auto"/>
              <w:rPr>
                <w:rFonts w:ascii="宋体" w:hAnsi="宋体" w:cs="宋体" w:eastAsiaTheme="minorEastAsia"/>
                <w:color w:val="000000"/>
                <w:kern w:val="0"/>
                <w:szCs w:val="21"/>
              </w:rPr>
            </w:pPr>
          </w:p>
        </w:tc>
        <w:tc>
          <w:tcPr>
            <w:tcW w:w="3233" w:type="pct"/>
            <w:shd w:val="clear" w:color="auto" w:fill="auto"/>
            <w:vAlign w:val="center"/>
          </w:tcPr>
          <w:p>
            <w:pPr>
              <w:spacing w:line="240" w:lineRule="auto"/>
              <w:rPr>
                <w:rFonts w:ascii="宋体" w:hAnsi="宋体" w:cs="宋体" w:eastAsiaTheme="minorEastAsia"/>
                <w:color w:val="000000"/>
                <w:kern w:val="0"/>
                <w:szCs w:val="21"/>
              </w:rPr>
            </w:pPr>
            <w:r>
              <w:rPr>
                <w:rFonts w:hint="eastAsia" w:ascii="宋体" w:hAnsi="宋体" w:cs="宋体" w:eastAsiaTheme="minorEastAsia"/>
                <w:color w:val="000000"/>
                <w:kern w:val="0"/>
                <w:szCs w:val="21"/>
              </w:rPr>
              <w:t>至少支持4大分析功能：</w:t>
            </w:r>
          </w:p>
          <w:p>
            <w:pPr>
              <w:spacing w:line="240" w:lineRule="auto"/>
              <w:rPr>
                <w:rFonts w:ascii="宋体" w:hAnsi="宋体" w:cs="宋体" w:eastAsiaTheme="minorEastAsia"/>
                <w:color w:val="000000"/>
                <w:kern w:val="0"/>
                <w:szCs w:val="21"/>
              </w:rPr>
            </w:pPr>
            <w:r>
              <w:rPr>
                <w:rFonts w:hint="eastAsia" w:ascii="宋体" w:hAnsi="宋体" w:cs="宋体" w:eastAsiaTheme="minorEastAsia"/>
                <w:color w:val="000000"/>
                <w:kern w:val="0"/>
                <w:szCs w:val="21"/>
              </w:rPr>
              <w:t>支持多检材数据碰撞分析，通过智能算法碰撞匹配检材数据中共同的好友、事件等信息，可自定义检材、应用、碰撞内容进行分析；</w:t>
            </w:r>
          </w:p>
          <w:p>
            <w:pPr>
              <w:spacing w:line="240" w:lineRule="auto"/>
              <w:rPr>
                <w:rFonts w:ascii="宋体" w:hAnsi="宋体" w:cs="宋体" w:eastAsiaTheme="minorEastAsia"/>
                <w:color w:val="000000"/>
                <w:kern w:val="0"/>
                <w:szCs w:val="21"/>
              </w:rPr>
            </w:pPr>
            <w:r>
              <w:rPr>
                <w:rFonts w:hint="eastAsia" w:ascii="宋体" w:hAnsi="宋体" w:cs="宋体" w:eastAsiaTheme="minorEastAsia"/>
                <w:color w:val="000000"/>
                <w:kern w:val="0"/>
                <w:szCs w:val="21"/>
              </w:rPr>
              <w:t>支持已获取数据全局搜索，一键搜索案件下的所有检材应用数据，支持搜索结果进行上下文智能关联查看，搜索结果支持导出报告；</w:t>
            </w:r>
          </w:p>
          <w:p>
            <w:pPr>
              <w:spacing w:line="240" w:lineRule="auto"/>
              <w:rPr>
                <w:rFonts w:ascii="宋体" w:hAnsi="宋体" w:cs="宋体" w:eastAsiaTheme="minorEastAsia"/>
                <w:color w:val="000000"/>
                <w:kern w:val="0"/>
                <w:szCs w:val="21"/>
              </w:rPr>
            </w:pPr>
            <w:r>
              <w:rPr>
                <w:rFonts w:hint="eastAsia" w:ascii="宋体" w:hAnsi="宋体" w:cs="宋体" w:eastAsiaTheme="minorEastAsia"/>
                <w:color w:val="000000"/>
                <w:kern w:val="0"/>
                <w:szCs w:val="21"/>
              </w:rPr>
              <w:t>支持多维度筛选，可通过对检材中所有虚拟账号、通讯录对象、应用类型、消息类型等维度查找所需数据；支持各类常用地图导航类记录的出行轨迹分析；</w:t>
            </w:r>
          </w:p>
          <w:p>
            <w:pPr>
              <w:spacing w:line="240" w:lineRule="auto"/>
              <w:rPr>
                <w:rFonts w:ascii="宋体" w:hAnsi="宋体" w:eastAsia="宋体" w:cs="宋体"/>
                <w:color w:val="000000"/>
                <w:kern w:val="0"/>
                <w:szCs w:val="21"/>
                <w:lang w:val="en-US" w:bidi="ar"/>
              </w:rPr>
            </w:pPr>
            <w:r>
              <w:rPr>
                <w:rFonts w:hint="eastAsia" w:ascii="宋体" w:hAnsi="宋体" w:cs="宋体" w:eastAsiaTheme="minorEastAsia"/>
                <w:color w:val="000000"/>
                <w:kern w:val="0"/>
                <w:szCs w:val="21"/>
              </w:rPr>
              <w:t>支持各类APP获取的位置信息分析，如微信、支付宝等</w:t>
            </w:r>
          </w:p>
        </w:tc>
        <w:tc>
          <w:tcPr>
            <w:tcW w:w="528" w:type="pct"/>
            <w:shd w:val="clear" w:color="auto" w:fill="auto"/>
            <w:noWrap/>
            <w:vAlign w:val="center"/>
          </w:tcPr>
          <w:p>
            <w:pPr>
              <w:spacing w:line="240" w:lineRule="auto"/>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2" w:hRule="atLeast"/>
        </w:trPr>
        <w:tc>
          <w:tcPr>
            <w:tcW w:w="287" w:type="pct"/>
            <w:shd w:val="clear" w:color="auto" w:fill="auto"/>
            <w:noWrap/>
            <w:vAlign w:val="center"/>
          </w:tcPr>
          <w:p>
            <w:pPr>
              <w:numPr>
                <w:ilvl w:val="0"/>
                <w:numId w:val="87"/>
              </w:numPr>
              <w:spacing w:line="240" w:lineRule="auto"/>
              <w:ind w:left="0" w:leftChars="0" w:firstLine="0" w:firstLineChars="0"/>
              <w:jc w:val="center"/>
              <w:rPr>
                <w:rFonts w:ascii="宋体" w:hAnsi="宋体" w:cs="宋体" w:eastAsiaTheme="minorEastAsia"/>
                <w:color w:val="000000"/>
                <w:kern w:val="0"/>
                <w:szCs w:val="21"/>
              </w:rPr>
            </w:pPr>
          </w:p>
        </w:tc>
        <w:tc>
          <w:tcPr>
            <w:tcW w:w="381" w:type="pct"/>
            <w:shd w:val="clear" w:color="auto" w:fill="auto"/>
            <w:noWrap/>
            <w:vAlign w:val="center"/>
          </w:tcPr>
          <w:p>
            <w:pPr>
              <w:spacing w:line="240" w:lineRule="auto"/>
              <w:jc w:val="center"/>
              <w:rPr>
                <w:rFonts w:ascii="宋体" w:hAnsi="宋体" w:cs="宋体" w:eastAsiaTheme="minorEastAsia"/>
                <w:color w:val="000000"/>
                <w:kern w:val="0"/>
                <w:szCs w:val="21"/>
              </w:rPr>
            </w:pPr>
          </w:p>
        </w:tc>
        <w:tc>
          <w:tcPr>
            <w:tcW w:w="571" w:type="pct"/>
            <w:shd w:val="clear" w:color="auto" w:fill="auto"/>
            <w:vAlign w:val="center"/>
          </w:tcPr>
          <w:p>
            <w:pPr>
              <w:spacing w:line="240" w:lineRule="auto"/>
              <w:rPr>
                <w:rFonts w:ascii="宋体" w:hAnsi="宋体" w:cs="宋体" w:eastAsiaTheme="minorEastAsia"/>
                <w:color w:val="000000"/>
                <w:kern w:val="0"/>
                <w:szCs w:val="21"/>
              </w:rPr>
            </w:pPr>
          </w:p>
        </w:tc>
        <w:tc>
          <w:tcPr>
            <w:tcW w:w="3233" w:type="pct"/>
            <w:shd w:val="clear" w:color="auto" w:fill="auto"/>
            <w:vAlign w:val="center"/>
          </w:tcPr>
          <w:p>
            <w:pPr>
              <w:spacing w:line="240" w:lineRule="auto"/>
              <w:rPr>
                <w:rFonts w:ascii="宋体" w:hAnsi="宋体" w:cs="宋体" w:eastAsiaTheme="minorEastAsia"/>
                <w:color w:val="000000"/>
                <w:kern w:val="0"/>
                <w:szCs w:val="21"/>
              </w:rPr>
            </w:pPr>
            <w:r>
              <w:rPr>
                <w:rFonts w:hint="eastAsia" w:ascii="宋体" w:hAnsi="宋体" w:cs="宋体" w:eastAsiaTheme="minorEastAsia"/>
                <w:color w:val="000000"/>
                <w:kern w:val="0"/>
                <w:szCs w:val="21"/>
              </w:rPr>
              <w:t>至少支持3大数据挖掘功能：</w:t>
            </w:r>
          </w:p>
          <w:p>
            <w:pPr>
              <w:spacing w:line="240" w:lineRule="auto"/>
              <w:rPr>
                <w:rFonts w:hint="eastAsia" w:ascii="宋体" w:hAnsi="宋体" w:cs="宋体" w:eastAsiaTheme="minorEastAsia"/>
                <w:color w:val="000000"/>
                <w:kern w:val="0"/>
                <w:szCs w:val="21"/>
                <w:lang w:eastAsia="zh-CN"/>
              </w:rPr>
            </w:pPr>
            <w:r>
              <w:rPr>
                <w:rFonts w:hint="eastAsia" w:ascii="宋体" w:hAnsi="宋体" w:cs="宋体" w:eastAsiaTheme="minorEastAsia"/>
                <w:color w:val="000000"/>
                <w:kern w:val="0"/>
                <w:szCs w:val="21"/>
              </w:rPr>
              <w:t>支持根据社交频率、特殊时间、敏感词汇对手机采集到的数据进行汇总分析，实现对已采集的手机数据进行智能分析</w:t>
            </w:r>
            <w:r>
              <w:rPr>
                <w:rFonts w:hint="eastAsia" w:ascii="宋体" w:hAnsi="宋体" w:cs="宋体" w:eastAsiaTheme="minorEastAsia"/>
                <w:color w:val="000000"/>
                <w:kern w:val="0"/>
                <w:szCs w:val="21"/>
                <w:lang w:eastAsia="zh-CN"/>
              </w:rPr>
              <w:t>；</w:t>
            </w:r>
          </w:p>
          <w:p>
            <w:pPr>
              <w:spacing w:line="240" w:lineRule="auto"/>
              <w:rPr>
                <w:rFonts w:hint="eastAsia" w:ascii="宋体" w:hAnsi="宋体" w:cs="宋体" w:eastAsiaTheme="minorEastAsia"/>
                <w:color w:val="000000"/>
                <w:kern w:val="0"/>
                <w:szCs w:val="21"/>
                <w:lang w:eastAsia="zh-CN"/>
              </w:rPr>
            </w:pPr>
            <w:r>
              <w:rPr>
                <w:rFonts w:hint="eastAsia" w:ascii="宋体" w:hAnsi="宋体" w:cs="宋体" w:eastAsiaTheme="minorEastAsia"/>
                <w:color w:val="000000"/>
                <w:kern w:val="0"/>
                <w:szCs w:val="21"/>
              </w:rPr>
              <w:t>支持对检材中的海量数据进行涉案关键信息快速匹配，支持常用涉案词库预置功能，对任一案件可以灵活使用不同涉案词库，快速聚焦黄、赌、毒、诈骗等聊天数据，掌握高命中敏感词的社交对象</w:t>
            </w:r>
            <w:r>
              <w:rPr>
                <w:rFonts w:hint="eastAsia" w:ascii="宋体" w:hAnsi="宋体" w:cs="宋体" w:eastAsiaTheme="minorEastAsia"/>
                <w:color w:val="000000"/>
                <w:kern w:val="0"/>
                <w:szCs w:val="21"/>
                <w:lang w:eastAsia="zh-CN"/>
              </w:rPr>
              <w:t>；</w:t>
            </w:r>
          </w:p>
          <w:p>
            <w:pPr>
              <w:spacing w:line="240" w:lineRule="auto"/>
              <w:rPr>
                <w:rFonts w:ascii="宋体" w:hAnsi="宋体" w:eastAsia="宋体" w:cs="宋体"/>
                <w:color w:val="000000"/>
                <w:kern w:val="0"/>
                <w:szCs w:val="21"/>
                <w:lang w:val="en-US" w:bidi="ar"/>
              </w:rPr>
            </w:pPr>
            <w:r>
              <w:rPr>
                <w:rFonts w:hint="eastAsia" w:ascii="宋体" w:hAnsi="宋体" w:cs="宋体" w:eastAsiaTheme="minorEastAsia"/>
                <w:color w:val="000000"/>
                <w:kern w:val="0"/>
                <w:szCs w:val="21"/>
              </w:rPr>
              <w:t>支持检材数据的标记功能，可自定义标记内容，支持检材中的联系人、事件、附件分类标记，支持跨检材对标记内容自动整合查看</w:t>
            </w:r>
          </w:p>
        </w:tc>
        <w:tc>
          <w:tcPr>
            <w:tcW w:w="528" w:type="pct"/>
            <w:shd w:val="clear" w:color="auto" w:fill="auto"/>
            <w:noWrap/>
            <w:vAlign w:val="center"/>
          </w:tcPr>
          <w:p>
            <w:pPr>
              <w:spacing w:line="240" w:lineRule="auto"/>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承诺函</w:t>
            </w:r>
          </w:p>
        </w:tc>
      </w:tr>
    </w:tbl>
    <w:p>
      <w:pPr>
        <w:pStyle w:val="5"/>
        <w:spacing w:before="15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第3包 介质取证塔</w:t>
      </w:r>
      <w:r>
        <w:rPr>
          <w:rFonts w:hint="default" w:ascii="Times New Roman" w:hAnsi="Times New Roman" w:cs="Times New Roman" w:eastAsiaTheme="minorEastAsia"/>
          <w:szCs w:val="21"/>
        </w:rPr>
        <w:t>Ⅲ</w:t>
      </w:r>
    </w:p>
    <w:tbl>
      <w:tblPr>
        <w:tblStyle w:val="81"/>
        <w:tblW w:w="457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4"/>
        <w:gridCol w:w="617"/>
        <w:gridCol w:w="931"/>
        <w:gridCol w:w="5263"/>
        <w:gridCol w:w="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71" w:type="pct"/>
            <w:shd w:val="clear" w:color="auto" w:fill="auto"/>
            <w:vAlign w:val="center"/>
          </w:tcPr>
          <w:p>
            <w:pPr>
              <w:jc w:val="center"/>
              <w:rPr>
                <w:rFonts w:ascii="宋体" w:hAnsi="宋体" w:cs="宋体"/>
                <w:b/>
                <w:bCs/>
                <w:color w:val="000000"/>
                <w:kern w:val="0"/>
                <w:szCs w:val="21"/>
              </w:rPr>
            </w:pPr>
            <w:r>
              <w:rPr>
                <w:rFonts w:hint="eastAsia" w:ascii="宋体" w:hAnsi="宋体" w:cs="宋体" w:eastAsiaTheme="minorEastAsia"/>
                <w:b/>
                <w:bCs/>
                <w:color w:val="000000"/>
                <w:kern w:val="0"/>
                <w:szCs w:val="21"/>
              </w:rPr>
              <w:t>序号</w:t>
            </w:r>
          </w:p>
        </w:tc>
        <w:tc>
          <w:tcPr>
            <w:tcW w:w="372" w:type="pct"/>
            <w:shd w:val="clear" w:color="auto" w:fill="auto"/>
            <w:vAlign w:val="center"/>
          </w:tcPr>
          <w:p>
            <w:pPr>
              <w:jc w:val="center"/>
              <w:rPr>
                <w:rFonts w:ascii="宋体" w:hAnsi="宋体" w:cs="宋体"/>
                <w:b/>
                <w:bCs/>
                <w:color w:val="000000"/>
                <w:kern w:val="0"/>
                <w:szCs w:val="21"/>
              </w:rPr>
            </w:pPr>
            <w:r>
              <w:rPr>
                <w:rFonts w:hint="eastAsia" w:ascii="宋体" w:hAnsi="宋体" w:cs="宋体" w:eastAsiaTheme="minorEastAsia"/>
                <w:b/>
                <w:bCs/>
                <w:color w:val="000000"/>
                <w:kern w:val="0"/>
                <w:szCs w:val="21"/>
              </w:rPr>
              <w:t>重要性</w:t>
            </w:r>
          </w:p>
        </w:tc>
        <w:tc>
          <w:tcPr>
            <w:tcW w:w="562" w:type="pct"/>
            <w:shd w:val="clear" w:color="auto" w:fill="auto"/>
            <w:vAlign w:val="center"/>
          </w:tcPr>
          <w:p>
            <w:pPr>
              <w:jc w:val="center"/>
              <w:rPr>
                <w:rFonts w:ascii="宋体" w:hAnsi="宋体" w:cs="宋体"/>
                <w:b/>
                <w:bCs/>
                <w:color w:val="000000"/>
                <w:kern w:val="0"/>
                <w:szCs w:val="21"/>
              </w:rPr>
            </w:pPr>
            <w:r>
              <w:rPr>
                <w:rFonts w:hint="eastAsia" w:ascii="宋体" w:hAnsi="宋体" w:cs="宋体" w:eastAsiaTheme="minorEastAsia"/>
                <w:b/>
                <w:bCs/>
                <w:color w:val="000000"/>
                <w:kern w:val="0"/>
                <w:szCs w:val="21"/>
              </w:rPr>
              <w:t>指标项</w:t>
            </w:r>
          </w:p>
        </w:tc>
        <w:tc>
          <w:tcPr>
            <w:tcW w:w="3176" w:type="pct"/>
            <w:shd w:val="clear" w:color="auto" w:fill="auto"/>
            <w:vAlign w:val="center"/>
          </w:tcPr>
          <w:p>
            <w:pPr>
              <w:jc w:val="center"/>
              <w:rPr>
                <w:rFonts w:ascii="宋体" w:hAnsi="宋体" w:cs="宋体"/>
                <w:b/>
                <w:bCs/>
                <w:color w:val="000000"/>
                <w:kern w:val="0"/>
                <w:szCs w:val="21"/>
              </w:rPr>
            </w:pPr>
            <w:r>
              <w:rPr>
                <w:rFonts w:hint="eastAsia" w:ascii="宋体" w:hAnsi="宋体" w:cs="宋体" w:eastAsiaTheme="minorEastAsia"/>
                <w:b/>
                <w:bCs/>
                <w:color w:val="000000"/>
                <w:kern w:val="0"/>
                <w:szCs w:val="21"/>
              </w:rPr>
              <w:t>指标要求</w:t>
            </w:r>
          </w:p>
        </w:tc>
        <w:tc>
          <w:tcPr>
            <w:tcW w:w="519" w:type="pct"/>
            <w:shd w:val="clear" w:color="auto" w:fill="auto"/>
            <w:vAlign w:val="center"/>
          </w:tcPr>
          <w:p>
            <w:pPr>
              <w:jc w:val="center"/>
              <w:rPr>
                <w:rFonts w:ascii="宋体" w:hAnsi="宋体" w:cs="宋体"/>
                <w:b/>
                <w:bCs/>
                <w:color w:val="000000"/>
                <w:kern w:val="0"/>
                <w:szCs w:val="21"/>
              </w:rPr>
            </w:pPr>
            <w:r>
              <w:rPr>
                <w:rFonts w:hint="eastAsia" w:ascii="宋体" w:hAnsi="宋体" w:cs="宋体" w:eastAsiaTheme="minorEastAsia"/>
                <w:b/>
                <w:bCs/>
                <w:color w:val="000000"/>
                <w:kern w:val="0"/>
                <w:szCs w:val="21"/>
              </w:rPr>
              <w:t>证明材料要求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71" w:type="pct"/>
            <w:shd w:val="clear" w:color="auto" w:fill="auto"/>
            <w:noWrap/>
            <w:vAlign w:val="center"/>
          </w:tcPr>
          <w:p>
            <w:pPr>
              <w:numPr>
                <w:ilvl w:val="0"/>
                <w:numId w:val="87"/>
              </w:numPr>
              <w:spacing w:line="240" w:lineRule="auto"/>
              <w:ind w:left="0" w:leftChars="0" w:firstLine="0" w:firstLineChars="0"/>
              <w:jc w:val="center"/>
              <w:rPr>
                <w:rFonts w:ascii="宋体" w:hAnsi="宋体" w:cs="宋体" w:eastAsiaTheme="minorEastAsia"/>
                <w:color w:val="000000"/>
                <w:kern w:val="0"/>
                <w:szCs w:val="21"/>
              </w:rPr>
            </w:pPr>
          </w:p>
        </w:tc>
        <w:tc>
          <w:tcPr>
            <w:tcW w:w="372" w:type="pct"/>
            <w:shd w:val="clear" w:color="auto" w:fill="auto"/>
            <w:noWrap/>
            <w:vAlign w:val="center"/>
          </w:tcPr>
          <w:p>
            <w:pPr>
              <w:jc w:val="center"/>
              <w:rPr>
                <w:rFonts w:ascii="宋体" w:hAnsi="宋体" w:cs="宋体"/>
                <w:color w:val="000000"/>
                <w:kern w:val="0"/>
                <w:szCs w:val="21"/>
              </w:rPr>
            </w:pPr>
            <w:r>
              <w:rPr>
                <w:rFonts w:hint="eastAsia" w:ascii="宋体" w:hAnsi="宋体" w:cs="宋体" w:eastAsiaTheme="minorEastAsia"/>
                <w:color w:val="000000"/>
                <w:kern w:val="0"/>
                <w:szCs w:val="21"/>
              </w:rPr>
              <w:t>★</w:t>
            </w:r>
          </w:p>
        </w:tc>
        <w:tc>
          <w:tcPr>
            <w:tcW w:w="562" w:type="pct"/>
            <w:vMerge w:val="restart"/>
            <w:shd w:val="clear" w:color="auto" w:fill="auto"/>
            <w:noWrap/>
            <w:vAlign w:val="center"/>
          </w:tcPr>
          <w:p>
            <w:pPr>
              <w:jc w:val="center"/>
              <w:rPr>
                <w:rFonts w:ascii="宋体" w:hAnsi="宋体" w:cs="宋体"/>
                <w:color w:val="000000"/>
                <w:kern w:val="0"/>
                <w:szCs w:val="21"/>
              </w:rPr>
            </w:pPr>
            <w:r>
              <w:rPr>
                <w:rFonts w:hint="eastAsia" w:ascii="宋体" w:hAnsi="宋体" w:cs="宋体" w:eastAsiaTheme="minorEastAsia"/>
                <w:color w:val="000000"/>
                <w:kern w:val="0"/>
                <w:szCs w:val="21"/>
              </w:rPr>
              <w:t>取证能力</w:t>
            </w:r>
          </w:p>
        </w:tc>
        <w:tc>
          <w:tcPr>
            <w:tcW w:w="3176" w:type="pct"/>
            <w:shd w:val="clear" w:color="auto" w:fill="auto"/>
            <w:noWrap/>
            <w:vAlign w:val="center"/>
          </w:tcPr>
          <w:p>
            <w:pPr>
              <w:rPr>
                <w:rFonts w:ascii="宋体" w:hAnsi="宋体" w:cs="宋体"/>
                <w:color w:val="000000"/>
                <w:kern w:val="0"/>
                <w:szCs w:val="21"/>
              </w:rPr>
            </w:pPr>
            <w:r>
              <w:rPr>
                <w:rFonts w:hint="eastAsia" w:ascii="宋体" w:hAnsi="宋体" w:cs="宋体" w:eastAsiaTheme="minorEastAsia"/>
                <w:color w:val="000000"/>
                <w:kern w:val="0"/>
                <w:szCs w:val="21"/>
              </w:rPr>
              <w:t>至少支持1种</w:t>
            </w:r>
            <w:r>
              <w:rPr>
                <w:rFonts w:ascii="宋体" w:hAnsi="宋体" w:cs="Calibri" w:eastAsiaTheme="minorEastAsia"/>
                <w:color w:val="000000"/>
                <w:kern w:val="0"/>
                <w:szCs w:val="21"/>
              </w:rPr>
              <w:t>Windows</w:t>
            </w:r>
            <w:r>
              <w:rPr>
                <w:rFonts w:hint="eastAsia" w:ascii="宋体" w:hAnsi="宋体" w:cs="宋体" w:eastAsiaTheme="minorEastAsia"/>
                <w:color w:val="000000"/>
                <w:kern w:val="0"/>
                <w:szCs w:val="21"/>
              </w:rPr>
              <w:t>设备病毒识别，针对财税类木马病毒勘察，获取木马名称、存储位置等信息</w:t>
            </w:r>
          </w:p>
        </w:tc>
        <w:tc>
          <w:tcPr>
            <w:tcW w:w="519" w:type="pct"/>
            <w:shd w:val="clear" w:color="auto" w:fill="auto"/>
            <w:noWrap/>
            <w:vAlign w:val="center"/>
          </w:tcPr>
          <w:p>
            <w:pPr>
              <w:jc w:val="center"/>
              <w:rPr>
                <w:rFonts w:ascii="宋体" w:hAnsi="宋体" w:cs="宋体"/>
                <w:color w:val="000000"/>
                <w:kern w:val="0"/>
                <w:szCs w:val="21"/>
              </w:rPr>
            </w:pPr>
            <w:r>
              <w:rPr>
                <w:rFonts w:ascii="宋体" w:hAnsi="宋体" w:cs="宋体" w:eastAsiaTheme="minorEastAsia"/>
                <w:color w:val="000000"/>
                <w:kern w:val="0"/>
                <w:szCs w:val="21"/>
              </w:rPr>
              <w:t>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71" w:type="pct"/>
            <w:shd w:val="clear" w:color="auto" w:fill="auto"/>
            <w:noWrap/>
            <w:vAlign w:val="center"/>
          </w:tcPr>
          <w:p>
            <w:pPr>
              <w:numPr>
                <w:ilvl w:val="0"/>
                <w:numId w:val="87"/>
              </w:numPr>
              <w:spacing w:line="240" w:lineRule="auto"/>
              <w:ind w:left="0" w:leftChars="0" w:firstLine="0" w:firstLineChars="0"/>
              <w:jc w:val="center"/>
              <w:rPr>
                <w:rFonts w:ascii="宋体" w:hAnsi="宋体" w:cs="宋体" w:eastAsiaTheme="minorEastAsia"/>
                <w:color w:val="000000"/>
                <w:kern w:val="0"/>
                <w:szCs w:val="21"/>
              </w:rPr>
            </w:pPr>
          </w:p>
        </w:tc>
        <w:tc>
          <w:tcPr>
            <w:tcW w:w="372" w:type="pct"/>
            <w:shd w:val="clear" w:color="auto" w:fill="auto"/>
            <w:noWrap/>
            <w:vAlign w:val="center"/>
          </w:tcPr>
          <w:p>
            <w:pPr>
              <w:jc w:val="center"/>
              <w:rPr>
                <w:rFonts w:ascii="宋体" w:hAnsi="宋体" w:cs="宋体"/>
                <w:color w:val="000000"/>
                <w:kern w:val="0"/>
                <w:szCs w:val="21"/>
              </w:rPr>
            </w:pPr>
            <w:r>
              <w:rPr>
                <w:rFonts w:hint="eastAsia" w:ascii="宋体" w:hAnsi="宋体" w:cs="宋体" w:eastAsiaTheme="minorEastAsia"/>
                <w:color w:val="000000"/>
                <w:kern w:val="0"/>
                <w:szCs w:val="21"/>
              </w:rPr>
              <w:t>★</w:t>
            </w:r>
          </w:p>
        </w:tc>
        <w:tc>
          <w:tcPr>
            <w:tcW w:w="562" w:type="pct"/>
            <w:vMerge w:val="continue"/>
            <w:vAlign w:val="center"/>
          </w:tcPr>
          <w:p>
            <w:pPr>
              <w:rPr>
                <w:rFonts w:ascii="宋体" w:hAnsi="宋体" w:cs="宋体"/>
                <w:color w:val="000000"/>
                <w:kern w:val="0"/>
                <w:szCs w:val="21"/>
              </w:rPr>
            </w:pPr>
          </w:p>
        </w:tc>
        <w:tc>
          <w:tcPr>
            <w:tcW w:w="3176" w:type="pct"/>
            <w:shd w:val="clear" w:color="auto" w:fill="auto"/>
            <w:noWrap/>
            <w:vAlign w:val="center"/>
          </w:tcPr>
          <w:p>
            <w:pPr>
              <w:rPr>
                <w:rFonts w:ascii="宋体" w:hAnsi="宋体" w:cs="宋体"/>
                <w:color w:val="000000"/>
                <w:kern w:val="0"/>
                <w:szCs w:val="21"/>
              </w:rPr>
            </w:pPr>
            <w:r>
              <w:rPr>
                <w:rFonts w:hint="eastAsia" w:ascii="宋体" w:hAnsi="宋体" w:cs="宋体" w:eastAsiaTheme="minorEastAsia"/>
                <w:color w:val="000000"/>
                <w:kern w:val="0"/>
                <w:szCs w:val="21"/>
              </w:rPr>
              <w:t>支持同时打开3个及以上文件系统查阅，单独记录页面查阅状态</w:t>
            </w:r>
          </w:p>
        </w:tc>
        <w:tc>
          <w:tcPr>
            <w:tcW w:w="519" w:type="pct"/>
            <w:shd w:val="clear" w:color="auto" w:fill="auto"/>
            <w:noWrap/>
            <w:vAlign w:val="center"/>
          </w:tcPr>
          <w:p>
            <w:pPr>
              <w:jc w:val="center"/>
              <w:rPr>
                <w:rFonts w:ascii="宋体" w:hAnsi="宋体" w:cs="宋体"/>
                <w:color w:val="000000"/>
                <w:kern w:val="0"/>
                <w:szCs w:val="21"/>
              </w:rPr>
            </w:pPr>
            <w:r>
              <w:rPr>
                <w:rFonts w:ascii="宋体" w:hAnsi="宋体" w:cs="宋体" w:eastAsiaTheme="minorEastAsia"/>
                <w:color w:val="000000"/>
                <w:kern w:val="0"/>
                <w:szCs w:val="21"/>
              </w:rPr>
              <w:t>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71" w:type="pct"/>
            <w:shd w:val="clear" w:color="auto" w:fill="auto"/>
            <w:noWrap/>
            <w:vAlign w:val="center"/>
          </w:tcPr>
          <w:p>
            <w:pPr>
              <w:numPr>
                <w:ilvl w:val="0"/>
                <w:numId w:val="87"/>
              </w:numPr>
              <w:spacing w:line="240" w:lineRule="auto"/>
              <w:ind w:left="0" w:leftChars="0" w:firstLine="0" w:firstLineChars="0"/>
              <w:jc w:val="center"/>
              <w:rPr>
                <w:rFonts w:ascii="宋体" w:hAnsi="宋体" w:cs="宋体" w:eastAsiaTheme="minorEastAsia"/>
                <w:color w:val="000000"/>
                <w:kern w:val="0"/>
                <w:szCs w:val="21"/>
              </w:rPr>
            </w:pPr>
          </w:p>
        </w:tc>
        <w:tc>
          <w:tcPr>
            <w:tcW w:w="372" w:type="pct"/>
            <w:shd w:val="clear" w:color="auto" w:fill="auto"/>
            <w:noWrap/>
            <w:vAlign w:val="center"/>
          </w:tcPr>
          <w:p>
            <w:pPr>
              <w:jc w:val="center"/>
              <w:rPr>
                <w:rFonts w:ascii="宋体" w:hAnsi="宋体" w:cs="宋体"/>
                <w:color w:val="000000"/>
                <w:kern w:val="0"/>
                <w:szCs w:val="21"/>
              </w:rPr>
            </w:pPr>
            <w:r>
              <w:rPr>
                <w:rFonts w:hint="eastAsia" w:ascii="宋体" w:hAnsi="宋体" w:cs="宋体" w:eastAsiaTheme="minorEastAsia"/>
                <w:color w:val="000000"/>
                <w:kern w:val="0"/>
                <w:szCs w:val="21"/>
              </w:rPr>
              <w:t>▲</w:t>
            </w:r>
          </w:p>
        </w:tc>
        <w:tc>
          <w:tcPr>
            <w:tcW w:w="562" w:type="pct"/>
            <w:vMerge w:val="continue"/>
            <w:vAlign w:val="center"/>
          </w:tcPr>
          <w:p>
            <w:pPr>
              <w:rPr>
                <w:rFonts w:ascii="宋体" w:hAnsi="宋体" w:cs="宋体"/>
                <w:color w:val="000000"/>
                <w:kern w:val="0"/>
                <w:szCs w:val="21"/>
              </w:rPr>
            </w:pPr>
          </w:p>
        </w:tc>
        <w:tc>
          <w:tcPr>
            <w:tcW w:w="3176" w:type="pct"/>
            <w:shd w:val="clear" w:color="auto" w:fill="auto"/>
            <w:noWrap/>
            <w:vAlign w:val="center"/>
          </w:tcPr>
          <w:p>
            <w:pPr>
              <w:rPr>
                <w:rFonts w:ascii="宋体" w:hAnsi="宋体" w:cs="宋体"/>
                <w:color w:val="000000"/>
                <w:kern w:val="0"/>
                <w:szCs w:val="21"/>
              </w:rPr>
            </w:pPr>
            <w:r>
              <w:rPr>
                <w:rFonts w:hint="eastAsia" w:ascii="宋体" w:hAnsi="宋体" w:eastAsia="宋体" w:cs="宋体"/>
                <w:color w:val="000000"/>
                <w:kern w:val="0"/>
                <w:szCs w:val="21"/>
              </w:rPr>
              <w:t>支持</w:t>
            </w:r>
            <w:r>
              <w:rPr>
                <w:rFonts w:hint="eastAsia" w:ascii="宋体" w:hAnsi="宋体" w:eastAsia="宋体" w:cs="宋体"/>
                <w:color w:val="000000"/>
                <w:kern w:val="0"/>
                <w:szCs w:val="21"/>
                <w:lang w:val="en-US"/>
              </w:rPr>
              <w:t>至少</w:t>
            </w:r>
            <w:r>
              <w:rPr>
                <w:rFonts w:hint="eastAsia" w:ascii="宋体" w:hAnsi="宋体" w:eastAsia="宋体" w:cs="宋体"/>
                <w:color w:val="000000"/>
                <w:kern w:val="0"/>
                <w:szCs w:val="21"/>
                <w:lang w:val="en-US" w:eastAsia="zh-CN"/>
              </w:rPr>
              <w:t>1</w:t>
            </w:r>
            <w:r>
              <w:rPr>
                <w:rFonts w:hint="eastAsia" w:ascii="宋体" w:hAnsi="宋体" w:eastAsia="宋体" w:cs="宋体"/>
                <w:color w:val="000000"/>
                <w:kern w:val="0"/>
                <w:szCs w:val="21"/>
                <w:lang w:val="en-US"/>
              </w:rPr>
              <w:t>类聊天软件</w:t>
            </w:r>
            <w:r>
              <w:rPr>
                <w:rFonts w:hint="eastAsia" w:ascii="宋体" w:hAnsi="宋体" w:eastAsia="宋体" w:cs="宋体"/>
                <w:color w:val="000000"/>
                <w:kern w:val="0"/>
                <w:szCs w:val="21"/>
              </w:rPr>
              <w:t>数据文字消息恢复</w:t>
            </w:r>
          </w:p>
        </w:tc>
        <w:tc>
          <w:tcPr>
            <w:tcW w:w="519" w:type="pct"/>
            <w:shd w:val="clear" w:color="auto" w:fill="auto"/>
            <w:noWrap/>
            <w:vAlign w:val="center"/>
          </w:tcPr>
          <w:p>
            <w:pPr>
              <w:jc w:val="center"/>
              <w:rPr>
                <w:rFonts w:ascii="宋体" w:hAnsi="宋体" w:cs="宋体"/>
                <w:color w:val="000000"/>
                <w:kern w:val="0"/>
                <w:szCs w:val="21"/>
              </w:rPr>
            </w:pPr>
            <w:r>
              <w:rPr>
                <w:rFonts w:ascii="宋体" w:hAnsi="宋体" w:cs="宋体" w:eastAsiaTheme="minorEastAsia"/>
                <w:color w:val="000000"/>
                <w:kern w:val="0"/>
                <w:szCs w:val="21"/>
              </w:rPr>
              <w:t>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71" w:type="pct"/>
            <w:shd w:val="clear" w:color="auto" w:fill="auto"/>
            <w:noWrap/>
            <w:vAlign w:val="center"/>
          </w:tcPr>
          <w:p>
            <w:pPr>
              <w:numPr>
                <w:ilvl w:val="0"/>
                <w:numId w:val="87"/>
              </w:numPr>
              <w:spacing w:line="240" w:lineRule="auto"/>
              <w:ind w:left="0" w:leftChars="0" w:firstLine="0" w:firstLineChars="0"/>
              <w:jc w:val="center"/>
              <w:rPr>
                <w:rFonts w:ascii="宋体" w:hAnsi="宋体" w:cs="宋体" w:eastAsiaTheme="minorEastAsia"/>
                <w:color w:val="000000"/>
                <w:kern w:val="0"/>
                <w:szCs w:val="21"/>
              </w:rPr>
            </w:pPr>
          </w:p>
        </w:tc>
        <w:tc>
          <w:tcPr>
            <w:tcW w:w="372" w:type="pct"/>
            <w:shd w:val="clear" w:color="auto" w:fill="auto"/>
            <w:noWrap/>
            <w:vAlign w:val="center"/>
          </w:tcPr>
          <w:p>
            <w:pPr>
              <w:jc w:val="center"/>
              <w:rPr>
                <w:rFonts w:ascii="宋体" w:hAnsi="宋体" w:cs="宋体"/>
                <w:color w:val="000000"/>
                <w:kern w:val="0"/>
                <w:szCs w:val="21"/>
              </w:rPr>
            </w:pPr>
            <w:r>
              <w:rPr>
                <w:rFonts w:hint="eastAsia" w:ascii="宋体" w:hAnsi="宋体" w:cs="宋体" w:eastAsiaTheme="minorEastAsia"/>
                <w:color w:val="000000"/>
                <w:kern w:val="0"/>
                <w:szCs w:val="21"/>
              </w:rPr>
              <w:t>★</w:t>
            </w:r>
          </w:p>
        </w:tc>
        <w:tc>
          <w:tcPr>
            <w:tcW w:w="562" w:type="pct"/>
            <w:vMerge w:val="continue"/>
            <w:vAlign w:val="center"/>
          </w:tcPr>
          <w:p>
            <w:pPr>
              <w:rPr>
                <w:rFonts w:ascii="宋体" w:hAnsi="宋体" w:cs="宋体"/>
                <w:color w:val="000000"/>
                <w:kern w:val="0"/>
                <w:szCs w:val="21"/>
              </w:rPr>
            </w:pPr>
          </w:p>
        </w:tc>
        <w:tc>
          <w:tcPr>
            <w:tcW w:w="3176" w:type="pct"/>
            <w:shd w:val="clear" w:color="auto" w:fill="auto"/>
            <w:noWrap/>
            <w:vAlign w:val="center"/>
          </w:tcPr>
          <w:p>
            <w:pPr>
              <w:rPr>
                <w:rFonts w:ascii="宋体" w:hAnsi="宋体" w:cs="宋体"/>
                <w:color w:val="000000"/>
                <w:kern w:val="0"/>
                <w:szCs w:val="21"/>
              </w:rPr>
            </w:pPr>
            <w:r>
              <w:rPr>
                <w:rFonts w:hint="eastAsia" w:ascii="宋体" w:hAnsi="宋体" w:cs="宋体" w:eastAsiaTheme="minorEastAsia"/>
                <w:color w:val="000000"/>
                <w:kern w:val="0"/>
                <w:szCs w:val="21"/>
              </w:rPr>
              <w:t>至少支持3类计算机网盘云取证，支持文件提取下载，包括钉盘、百度网盘、WPS云</w:t>
            </w:r>
          </w:p>
        </w:tc>
        <w:tc>
          <w:tcPr>
            <w:tcW w:w="519" w:type="pct"/>
            <w:shd w:val="clear" w:color="auto" w:fill="auto"/>
            <w:noWrap/>
            <w:vAlign w:val="center"/>
          </w:tcPr>
          <w:p>
            <w:pPr>
              <w:jc w:val="center"/>
              <w:rPr>
                <w:rFonts w:ascii="宋体" w:hAnsi="宋体" w:cs="宋体"/>
                <w:color w:val="000000"/>
                <w:kern w:val="0"/>
                <w:szCs w:val="21"/>
              </w:rPr>
            </w:pPr>
            <w:r>
              <w:rPr>
                <w:rFonts w:hint="eastAsia" w:ascii="宋体" w:hAnsi="宋体" w:cs="宋体" w:eastAsiaTheme="minorEastAsia"/>
                <w:color w:val="000000"/>
                <w:kern w:val="0"/>
                <w:szCs w:val="21"/>
              </w:rPr>
              <w:t>检验报告或功能截图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71" w:type="pct"/>
            <w:shd w:val="clear" w:color="auto" w:fill="auto"/>
            <w:noWrap/>
            <w:vAlign w:val="center"/>
          </w:tcPr>
          <w:p>
            <w:pPr>
              <w:numPr>
                <w:ilvl w:val="0"/>
                <w:numId w:val="87"/>
              </w:numPr>
              <w:spacing w:line="240" w:lineRule="auto"/>
              <w:ind w:left="0" w:leftChars="0" w:firstLine="0" w:firstLineChars="0"/>
              <w:jc w:val="center"/>
              <w:rPr>
                <w:rFonts w:ascii="宋体" w:hAnsi="宋体" w:cs="宋体" w:eastAsiaTheme="minorEastAsia"/>
                <w:color w:val="000000"/>
                <w:kern w:val="0"/>
                <w:szCs w:val="21"/>
              </w:rPr>
            </w:pPr>
          </w:p>
        </w:tc>
        <w:tc>
          <w:tcPr>
            <w:tcW w:w="372" w:type="pct"/>
            <w:shd w:val="clear" w:color="auto" w:fill="auto"/>
            <w:noWrap/>
            <w:vAlign w:val="center"/>
          </w:tcPr>
          <w:p>
            <w:pPr>
              <w:jc w:val="center"/>
              <w:rPr>
                <w:rFonts w:ascii="宋体" w:hAnsi="宋体" w:cs="宋体"/>
                <w:color w:val="000000"/>
                <w:kern w:val="0"/>
                <w:szCs w:val="21"/>
              </w:rPr>
            </w:pPr>
            <w:r>
              <w:rPr>
                <w:rFonts w:hint="eastAsia" w:ascii="宋体" w:hAnsi="宋体" w:cs="宋体" w:eastAsiaTheme="minorEastAsia"/>
                <w:color w:val="000000"/>
                <w:kern w:val="0"/>
                <w:szCs w:val="21"/>
              </w:rPr>
              <w:t>▲</w:t>
            </w:r>
          </w:p>
        </w:tc>
        <w:tc>
          <w:tcPr>
            <w:tcW w:w="562" w:type="pct"/>
            <w:vMerge w:val="continue"/>
            <w:vAlign w:val="center"/>
          </w:tcPr>
          <w:p>
            <w:pPr>
              <w:rPr>
                <w:rFonts w:ascii="宋体" w:hAnsi="宋体" w:cs="宋体"/>
                <w:color w:val="000000"/>
                <w:kern w:val="0"/>
                <w:szCs w:val="21"/>
              </w:rPr>
            </w:pPr>
          </w:p>
        </w:tc>
        <w:tc>
          <w:tcPr>
            <w:tcW w:w="3176" w:type="pct"/>
            <w:shd w:val="clear" w:color="auto" w:fill="auto"/>
            <w:noWrap/>
            <w:vAlign w:val="center"/>
          </w:tcPr>
          <w:p>
            <w:pPr>
              <w:rPr>
                <w:rFonts w:ascii="宋体" w:hAnsi="宋体" w:eastAsia="宋体" w:cs="宋体"/>
                <w:color w:val="000000"/>
                <w:kern w:val="0"/>
                <w:szCs w:val="21"/>
              </w:rPr>
            </w:pPr>
            <w:r>
              <w:rPr>
                <w:rFonts w:ascii="宋体" w:hAnsi="宋体" w:eastAsia="宋体" w:cs="宋体"/>
                <w:color w:val="000000"/>
                <w:kern w:val="0"/>
                <w:szCs w:val="21"/>
              </w:rPr>
              <w:t>至少</w:t>
            </w:r>
            <w:r>
              <w:rPr>
                <w:rFonts w:hint="eastAsia" w:ascii="宋体" w:hAnsi="宋体" w:eastAsia="宋体" w:cs="宋体"/>
                <w:color w:val="000000"/>
                <w:kern w:val="0"/>
                <w:szCs w:val="21"/>
              </w:rPr>
              <w:t>支持</w:t>
            </w:r>
            <w:r>
              <w:rPr>
                <w:rFonts w:hint="eastAsia" w:ascii="宋体" w:hAnsi="宋体" w:eastAsia="宋体" w:cs="宋体"/>
                <w:color w:val="000000"/>
                <w:kern w:val="0"/>
                <w:szCs w:val="21"/>
                <w:lang w:val="en-US" w:eastAsia="zh-CN"/>
              </w:rPr>
              <w:t>1</w:t>
            </w:r>
            <w:r>
              <w:rPr>
                <w:rFonts w:hint="eastAsia" w:ascii="宋体" w:hAnsi="宋体" w:eastAsia="宋体" w:cs="宋体"/>
                <w:color w:val="000000"/>
                <w:kern w:val="0"/>
                <w:szCs w:val="21"/>
                <w:lang w:val="en-US"/>
              </w:rPr>
              <w:t>类应用</w:t>
            </w:r>
            <w:r>
              <w:rPr>
                <w:rFonts w:hint="eastAsia" w:ascii="宋体" w:hAnsi="宋体" w:eastAsia="宋体" w:cs="宋体"/>
                <w:color w:val="000000"/>
                <w:kern w:val="0"/>
                <w:szCs w:val="21"/>
              </w:rPr>
              <w:t>云取证，支持对话视图和时间筛选</w:t>
            </w:r>
          </w:p>
        </w:tc>
        <w:tc>
          <w:tcPr>
            <w:tcW w:w="519" w:type="pct"/>
            <w:shd w:val="clear" w:color="auto" w:fill="auto"/>
            <w:noWrap/>
            <w:vAlign w:val="center"/>
          </w:tcPr>
          <w:p>
            <w:pPr>
              <w:jc w:val="center"/>
              <w:rPr>
                <w:rFonts w:ascii="宋体" w:hAnsi="宋体" w:cs="宋体"/>
                <w:color w:val="000000"/>
                <w:kern w:val="0"/>
                <w:szCs w:val="21"/>
              </w:rPr>
            </w:pPr>
            <w:r>
              <w:rPr>
                <w:rFonts w:hint="eastAsia" w:ascii="宋体" w:hAnsi="宋体" w:cs="宋体" w:eastAsiaTheme="minorEastAsia"/>
                <w:color w:val="000000"/>
                <w:kern w:val="0"/>
                <w:szCs w:val="21"/>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71" w:type="pct"/>
            <w:shd w:val="clear" w:color="auto" w:fill="auto"/>
            <w:noWrap/>
            <w:vAlign w:val="center"/>
          </w:tcPr>
          <w:p>
            <w:pPr>
              <w:numPr>
                <w:ilvl w:val="0"/>
                <w:numId w:val="87"/>
              </w:numPr>
              <w:spacing w:line="240" w:lineRule="auto"/>
              <w:ind w:left="0" w:leftChars="0" w:firstLine="0" w:firstLineChars="0"/>
              <w:jc w:val="center"/>
              <w:rPr>
                <w:rFonts w:ascii="宋体" w:hAnsi="宋体" w:cs="宋体" w:eastAsiaTheme="minorEastAsia"/>
                <w:color w:val="000000"/>
                <w:kern w:val="0"/>
                <w:szCs w:val="21"/>
              </w:rPr>
            </w:pPr>
          </w:p>
        </w:tc>
        <w:tc>
          <w:tcPr>
            <w:tcW w:w="372" w:type="pct"/>
            <w:shd w:val="clear" w:color="auto" w:fill="auto"/>
            <w:noWrap/>
            <w:vAlign w:val="center"/>
          </w:tcPr>
          <w:p>
            <w:pPr>
              <w:jc w:val="center"/>
              <w:rPr>
                <w:rFonts w:ascii="宋体" w:hAnsi="宋体" w:cs="宋体"/>
                <w:color w:val="000000"/>
                <w:kern w:val="0"/>
                <w:szCs w:val="21"/>
              </w:rPr>
            </w:pPr>
          </w:p>
        </w:tc>
        <w:tc>
          <w:tcPr>
            <w:tcW w:w="562" w:type="pct"/>
            <w:vMerge w:val="continue"/>
            <w:vAlign w:val="center"/>
          </w:tcPr>
          <w:p>
            <w:pPr>
              <w:rPr>
                <w:rFonts w:ascii="宋体" w:hAnsi="宋体" w:cs="宋体"/>
                <w:color w:val="000000"/>
                <w:kern w:val="0"/>
                <w:szCs w:val="21"/>
              </w:rPr>
            </w:pPr>
          </w:p>
        </w:tc>
        <w:tc>
          <w:tcPr>
            <w:tcW w:w="3176" w:type="pct"/>
            <w:shd w:val="clear" w:color="auto" w:fill="auto"/>
            <w:noWrap/>
            <w:vAlign w:val="center"/>
          </w:tcPr>
          <w:p>
            <w:pPr>
              <w:rPr>
                <w:rFonts w:ascii="宋体" w:hAnsi="宋体" w:eastAsia="宋体" w:cs="宋体"/>
                <w:color w:val="000000"/>
                <w:kern w:val="0"/>
                <w:szCs w:val="21"/>
              </w:rPr>
            </w:pPr>
            <w:r>
              <w:rPr>
                <w:rFonts w:hint="eastAsia" w:ascii="宋体" w:hAnsi="宋体" w:eastAsia="宋体" w:cs="宋体"/>
                <w:color w:val="000000"/>
                <w:kern w:val="0"/>
                <w:szCs w:val="21"/>
                <w:lang w:val="en-US"/>
              </w:rPr>
              <w:t>至少支持</w:t>
            </w:r>
            <w:r>
              <w:rPr>
                <w:rFonts w:hint="eastAsia" w:ascii="宋体" w:hAnsi="宋体" w:eastAsia="宋体" w:cs="宋体"/>
                <w:color w:val="000000"/>
                <w:kern w:val="0"/>
                <w:szCs w:val="21"/>
                <w:lang w:val="en-US" w:eastAsia="zh-CN"/>
              </w:rPr>
              <w:t>2</w:t>
            </w:r>
            <w:r>
              <w:rPr>
                <w:rFonts w:hint="eastAsia" w:ascii="宋体" w:hAnsi="宋体" w:eastAsia="宋体" w:cs="宋体"/>
                <w:color w:val="000000"/>
                <w:kern w:val="0"/>
                <w:szCs w:val="21"/>
                <w:lang w:val="en-US"/>
              </w:rPr>
              <w:t>类浏览器</w:t>
            </w:r>
            <w:r>
              <w:rPr>
                <w:rFonts w:hint="eastAsia" w:ascii="宋体" w:hAnsi="宋体" w:eastAsia="宋体" w:cs="宋体"/>
                <w:color w:val="000000"/>
                <w:kern w:val="0"/>
                <w:szCs w:val="21"/>
              </w:rPr>
              <w:t>数据恢复</w:t>
            </w:r>
          </w:p>
        </w:tc>
        <w:tc>
          <w:tcPr>
            <w:tcW w:w="519" w:type="pct"/>
            <w:shd w:val="clear" w:color="auto" w:fill="auto"/>
            <w:noWrap/>
            <w:vAlign w:val="center"/>
          </w:tcPr>
          <w:p>
            <w:pPr>
              <w:jc w:val="center"/>
              <w:rPr>
                <w:rFonts w:ascii="宋体" w:hAnsi="宋体" w:cs="宋体"/>
                <w:color w:val="000000"/>
                <w:kern w:val="0"/>
                <w:szCs w:val="21"/>
              </w:rPr>
            </w:pPr>
            <w:r>
              <w:rPr>
                <w:rFonts w:hint="eastAsia" w:ascii="宋体" w:hAnsi="宋体" w:cs="宋体" w:eastAsiaTheme="minorEastAsia"/>
                <w:color w:val="000000"/>
                <w:kern w:val="0"/>
                <w:szCs w:val="21"/>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71" w:type="pct"/>
            <w:shd w:val="clear" w:color="auto" w:fill="auto"/>
            <w:noWrap/>
            <w:vAlign w:val="center"/>
          </w:tcPr>
          <w:p>
            <w:pPr>
              <w:numPr>
                <w:ilvl w:val="0"/>
                <w:numId w:val="87"/>
              </w:numPr>
              <w:spacing w:line="240" w:lineRule="auto"/>
              <w:ind w:left="0" w:leftChars="0" w:firstLine="0" w:firstLineChars="0"/>
              <w:jc w:val="center"/>
              <w:rPr>
                <w:rFonts w:ascii="宋体" w:hAnsi="宋体" w:cs="宋体" w:eastAsiaTheme="minorEastAsia"/>
                <w:color w:val="000000"/>
                <w:kern w:val="0"/>
                <w:szCs w:val="21"/>
              </w:rPr>
            </w:pPr>
          </w:p>
        </w:tc>
        <w:tc>
          <w:tcPr>
            <w:tcW w:w="372" w:type="pct"/>
            <w:shd w:val="clear" w:color="auto" w:fill="auto"/>
            <w:noWrap/>
            <w:vAlign w:val="center"/>
          </w:tcPr>
          <w:p>
            <w:pPr>
              <w:jc w:val="center"/>
              <w:rPr>
                <w:rFonts w:ascii="宋体" w:hAnsi="宋体" w:cs="宋体"/>
                <w:color w:val="000000"/>
                <w:kern w:val="0"/>
                <w:szCs w:val="21"/>
              </w:rPr>
            </w:pPr>
          </w:p>
        </w:tc>
        <w:tc>
          <w:tcPr>
            <w:tcW w:w="562" w:type="pct"/>
            <w:vMerge w:val="continue"/>
            <w:vAlign w:val="center"/>
          </w:tcPr>
          <w:p>
            <w:pPr>
              <w:rPr>
                <w:rFonts w:ascii="宋体" w:hAnsi="宋体" w:cs="宋体"/>
                <w:color w:val="000000"/>
                <w:kern w:val="0"/>
                <w:szCs w:val="21"/>
              </w:rPr>
            </w:pPr>
          </w:p>
        </w:tc>
        <w:tc>
          <w:tcPr>
            <w:tcW w:w="3176" w:type="pct"/>
            <w:shd w:val="clear" w:color="auto" w:fill="auto"/>
            <w:noWrap/>
            <w:vAlign w:val="center"/>
          </w:tcPr>
          <w:p>
            <w:pPr>
              <w:rPr>
                <w:rFonts w:ascii="宋体" w:hAnsi="宋体" w:eastAsia="宋体" w:cs="宋体"/>
                <w:color w:val="000000"/>
                <w:kern w:val="0"/>
                <w:szCs w:val="21"/>
              </w:rPr>
            </w:pPr>
            <w:r>
              <w:rPr>
                <w:rFonts w:ascii="宋体" w:hAnsi="宋体" w:eastAsia="宋体" w:cs="宋体"/>
                <w:color w:val="000000"/>
                <w:kern w:val="0"/>
                <w:szCs w:val="21"/>
              </w:rPr>
              <w:t>至少</w:t>
            </w:r>
            <w:r>
              <w:rPr>
                <w:rFonts w:hint="eastAsia" w:ascii="宋体" w:hAnsi="宋体" w:eastAsia="宋体" w:cs="宋体"/>
                <w:color w:val="000000"/>
                <w:kern w:val="0"/>
                <w:szCs w:val="21"/>
              </w:rPr>
              <w:t>支持</w:t>
            </w:r>
            <w:r>
              <w:rPr>
                <w:rFonts w:hint="eastAsia" w:ascii="宋体" w:hAnsi="宋体" w:eastAsia="宋体" w:cs="宋体"/>
                <w:color w:val="000000"/>
                <w:kern w:val="0"/>
                <w:szCs w:val="21"/>
                <w:lang w:val="en-US" w:eastAsia="zh-CN"/>
              </w:rPr>
              <w:t>1</w:t>
            </w:r>
            <w:r>
              <w:rPr>
                <w:rFonts w:ascii="宋体" w:hAnsi="宋体" w:eastAsia="宋体" w:cs="宋体"/>
                <w:color w:val="000000"/>
                <w:kern w:val="0"/>
                <w:szCs w:val="21"/>
              </w:rPr>
              <w:t>类</w:t>
            </w:r>
            <w:r>
              <w:rPr>
                <w:rFonts w:hint="eastAsia" w:ascii="宋体" w:hAnsi="宋体" w:eastAsia="宋体" w:cs="宋体"/>
                <w:color w:val="000000"/>
                <w:kern w:val="0"/>
                <w:szCs w:val="21"/>
              </w:rPr>
              <w:t>人脸识别</w:t>
            </w:r>
            <w:r>
              <w:rPr>
                <w:rFonts w:ascii="宋体" w:hAnsi="宋体" w:eastAsia="宋体" w:cs="宋体"/>
                <w:color w:val="000000"/>
                <w:kern w:val="0"/>
                <w:szCs w:val="21"/>
              </w:rPr>
              <w:t>功能，并支持</w:t>
            </w:r>
            <w:r>
              <w:rPr>
                <w:rFonts w:hint="eastAsia" w:ascii="宋体" w:hAnsi="宋体" w:eastAsia="宋体" w:cs="宋体"/>
                <w:color w:val="000000"/>
                <w:kern w:val="0"/>
                <w:szCs w:val="21"/>
              </w:rPr>
              <w:t>人脸分组、人脸比对功能</w:t>
            </w:r>
          </w:p>
        </w:tc>
        <w:tc>
          <w:tcPr>
            <w:tcW w:w="519" w:type="pct"/>
            <w:shd w:val="clear" w:color="auto" w:fill="auto"/>
            <w:noWrap/>
            <w:vAlign w:val="center"/>
          </w:tcPr>
          <w:p>
            <w:pPr>
              <w:jc w:val="center"/>
              <w:rPr>
                <w:rFonts w:ascii="宋体" w:hAnsi="宋体" w:cs="宋体"/>
                <w:color w:val="000000"/>
                <w:kern w:val="0"/>
                <w:szCs w:val="21"/>
              </w:rPr>
            </w:pPr>
            <w:r>
              <w:rPr>
                <w:rFonts w:hint="eastAsia" w:ascii="宋体" w:hAnsi="宋体" w:cs="宋体" w:eastAsiaTheme="minorEastAsia"/>
                <w:color w:val="000000"/>
                <w:kern w:val="0"/>
                <w:szCs w:val="21"/>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71" w:type="pct"/>
            <w:shd w:val="clear" w:color="auto" w:fill="auto"/>
            <w:noWrap/>
            <w:vAlign w:val="center"/>
          </w:tcPr>
          <w:p>
            <w:pPr>
              <w:numPr>
                <w:ilvl w:val="0"/>
                <w:numId w:val="87"/>
              </w:numPr>
              <w:spacing w:line="240" w:lineRule="auto"/>
              <w:ind w:left="0" w:leftChars="0" w:firstLine="0" w:firstLineChars="0"/>
              <w:jc w:val="center"/>
              <w:rPr>
                <w:rFonts w:ascii="宋体" w:hAnsi="宋体" w:cs="宋体" w:eastAsiaTheme="minorEastAsia"/>
                <w:color w:val="000000"/>
                <w:kern w:val="0"/>
                <w:szCs w:val="21"/>
              </w:rPr>
            </w:pPr>
          </w:p>
        </w:tc>
        <w:tc>
          <w:tcPr>
            <w:tcW w:w="372" w:type="pct"/>
            <w:shd w:val="clear" w:color="auto" w:fill="auto"/>
            <w:noWrap/>
            <w:vAlign w:val="center"/>
          </w:tcPr>
          <w:p>
            <w:pPr>
              <w:jc w:val="center"/>
              <w:rPr>
                <w:rFonts w:ascii="宋体" w:hAnsi="宋体" w:cs="宋体"/>
                <w:color w:val="000000"/>
                <w:kern w:val="0"/>
                <w:szCs w:val="21"/>
              </w:rPr>
            </w:pPr>
          </w:p>
        </w:tc>
        <w:tc>
          <w:tcPr>
            <w:tcW w:w="562" w:type="pct"/>
            <w:vMerge w:val="continue"/>
            <w:vAlign w:val="center"/>
          </w:tcPr>
          <w:p>
            <w:pPr>
              <w:rPr>
                <w:rFonts w:ascii="宋体" w:hAnsi="宋体" w:cs="宋体"/>
                <w:color w:val="000000"/>
                <w:kern w:val="0"/>
                <w:szCs w:val="21"/>
              </w:rPr>
            </w:pPr>
          </w:p>
        </w:tc>
        <w:tc>
          <w:tcPr>
            <w:tcW w:w="3176" w:type="pct"/>
            <w:shd w:val="clear" w:color="auto" w:fill="auto"/>
            <w:noWrap/>
            <w:vAlign w:val="center"/>
          </w:tcPr>
          <w:p>
            <w:pPr>
              <w:rPr>
                <w:rFonts w:ascii="宋体" w:hAnsi="宋体" w:eastAsia="宋体" w:cs="宋体"/>
                <w:color w:val="000000"/>
                <w:kern w:val="0"/>
                <w:szCs w:val="21"/>
              </w:rPr>
            </w:pPr>
            <w:r>
              <w:rPr>
                <w:rFonts w:hint="eastAsia" w:ascii="宋体" w:hAnsi="宋体" w:eastAsia="宋体" w:cs="宋体"/>
                <w:color w:val="000000"/>
                <w:kern w:val="0"/>
                <w:szCs w:val="21"/>
              </w:rPr>
              <w:t>至少支持3类操作系统解析：包括对Ubuntu和Centos 痕迹信息解析；支持获取Mac系统信息、</w:t>
            </w:r>
            <w:r>
              <w:rPr>
                <w:rFonts w:hint="eastAsia" w:ascii="宋体" w:hAnsi="宋体" w:eastAsia="宋体" w:cs="宋体"/>
                <w:color w:val="000000"/>
                <w:kern w:val="0"/>
                <w:szCs w:val="21"/>
                <w:lang w:val="en-US"/>
              </w:rPr>
              <w:t>Mac</w:t>
            </w:r>
            <w:r>
              <w:rPr>
                <w:rFonts w:hint="eastAsia" w:ascii="宋体" w:hAnsi="宋体" w:eastAsia="宋体" w:cs="宋体"/>
                <w:color w:val="000000"/>
                <w:kern w:val="0"/>
                <w:szCs w:val="21"/>
              </w:rPr>
              <w:t>常见办公软件、聊天软件、邮箱软件、浏览器软件、远程连接工具解析；支持对国产化系统的系统信息、使用痕迹、聊天工具、浏览器、下载工具、办公软件、输入法、网盘、工具等进行取证</w:t>
            </w:r>
          </w:p>
        </w:tc>
        <w:tc>
          <w:tcPr>
            <w:tcW w:w="519" w:type="pct"/>
            <w:shd w:val="clear" w:color="auto" w:fill="auto"/>
            <w:noWrap/>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71" w:type="pct"/>
            <w:shd w:val="clear" w:color="auto" w:fill="auto"/>
            <w:noWrap/>
            <w:vAlign w:val="center"/>
          </w:tcPr>
          <w:p>
            <w:pPr>
              <w:numPr>
                <w:ilvl w:val="0"/>
                <w:numId w:val="87"/>
              </w:numPr>
              <w:spacing w:line="240" w:lineRule="auto"/>
              <w:ind w:left="0" w:leftChars="0" w:firstLine="0" w:firstLineChars="0"/>
              <w:jc w:val="center"/>
              <w:rPr>
                <w:rFonts w:ascii="宋体" w:hAnsi="宋体" w:cs="宋体" w:eastAsiaTheme="minorEastAsia"/>
                <w:color w:val="000000"/>
                <w:kern w:val="0"/>
                <w:szCs w:val="21"/>
              </w:rPr>
            </w:pPr>
          </w:p>
        </w:tc>
        <w:tc>
          <w:tcPr>
            <w:tcW w:w="372" w:type="pct"/>
            <w:shd w:val="clear" w:color="auto" w:fill="auto"/>
            <w:noWrap/>
            <w:vAlign w:val="center"/>
          </w:tcPr>
          <w:p>
            <w:pPr>
              <w:jc w:val="center"/>
              <w:rPr>
                <w:rFonts w:ascii="宋体" w:hAnsi="宋体" w:cs="宋体"/>
                <w:color w:val="000000"/>
                <w:kern w:val="0"/>
                <w:szCs w:val="21"/>
              </w:rPr>
            </w:pPr>
          </w:p>
        </w:tc>
        <w:tc>
          <w:tcPr>
            <w:tcW w:w="562" w:type="pct"/>
            <w:shd w:val="clear" w:color="auto" w:fill="auto"/>
            <w:noWrap/>
            <w:vAlign w:val="center"/>
          </w:tcPr>
          <w:p>
            <w:pPr>
              <w:jc w:val="center"/>
              <w:rPr>
                <w:rFonts w:ascii="宋体" w:hAnsi="宋体" w:cs="宋体"/>
                <w:color w:val="000000"/>
                <w:kern w:val="0"/>
                <w:szCs w:val="21"/>
              </w:rPr>
            </w:pPr>
            <w:r>
              <w:rPr>
                <w:rFonts w:hint="eastAsia" w:ascii="宋体" w:hAnsi="宋体" w:eastAsia="宋体" w:cs="宋体"/>
                <w:color w:val="000000"/>
                <w:kern w:val="0"/>
                <w:szCs w:val="21"/>
              </w:rPr>
              <w:t>系统仿真</w:t>
            </w:r>
          </w:p>
        </w:tc>
        <w:tc>
          <w:tcPr>
            <w:tcW w:w="3176" w:type="pct"/>
            <w:shd w:val="clear" w:color="auto" w:fill="auto"/>
            <w:noWrap/>
            <w:vAlign w:val="center"/>
          </w:tcPr>
          <w:p>
            <w:pPr>
              <w:rPr>
                <w:rFonts w:ascii="宋体" w:hAnsi="宋体" w:eastAsia="宋体" w:cs="宋体"/>
                <w:color w:val="000000"/>
                <w:kern w:val="0"/>
                <w:szCs w:val="21"/>
              </w:rPr>
            </w:pPr>
            <w:r>
              <w:rPr>
                <w:rFonts w:hint="eastAsia" w:ascii="宋体" w:hAnsi="宋体" w:eastAsia="宋体" w:cs="宋体"/>
                <w:color w:val="000000"/>
                <w:kern w:val="0"/>
                <w:szCs w:val="21"/>
                <w:lang w:val="en-US"/>
              </w:rPr>
              <w:t>至少</w:t>
            </w:r>
            <w:r>
              <w:rPr>
                <w:rFonts w:hint="eastAsia" w:ascii="宋体" w:hAnsi="宋体" w:eastAsia="宋体" w:cs="宋体"/>
                <w:color w:val="000000"/>
                <w:kern w:val="0"/>
                <w:szCs w:val="21"/>
              </w:rPr>
              <w:t>支持</w:t>
            </w:r>
            <w:r>
              <w:rPr>
                <w:rFonts w:hint="eastAsia" w:ascii="宋体" w:hAnsi="宋体" w:eastAsia="宋体" w:cs="宋体"/>
                <w:color w:val="000000"/>
                <w:kern w:val="0"/>
                <w:szCs w:val="21"/>
                <w:lang w:val="en-US" w:eastAsia="zh-CN"/>
              </w:rPr>
              <w:t>1</w:t>
            </w:r>
            <w:r>
              <w:rPr>
                <w:rFonts w:hint="eastAsia" w:ascii="宋体" w:hAnsi="宋体" w:eastAsia="宋体" w:cs="宋体"/>
                <w:color w:val="000000"/>
                <w:kern w:val="0"/>
                <w:szCs w:val="21"/>
                <w:lang w:val="en-US"/>
              </w:rPr>
              <w:t>种</w:t>
            </w:r>
            <w:r>
              <w:rPr>
                <w:rFonts w:hint="eastAsia" w:ascii="宋体" w:hAnsi="宋体" w:eastAsia="宋体" w:cs="宋体"/>
                <w:color w:val="000000"/>
                <w:kern w:val="0"/>
                <w:szCs w:val="21"/>
              </w:rPr>
              <w:t>仿真数据源进行预处理</w:t>
            </w:r>
            <w:r>
              <w:rPr>
                <w:rFonts w:hint="eastAsia" w:ascii="宋体" w:hAnsi="宋体" w:eastAsia="宋体" w:cs="宋体"/>
                <w:color w:val="000000"/>
                <w:kern w:val="0"/>
                <w:szCs w:val="21"/>
                <w:lang w:val="en-US"/>
              </w:rPr>
              <w:t>方式</w:t>
            </w:r>
            <w:r>
              <w:rPr>
                <w:rFonts w:hint="eastAsia" w:ascii="宋体" w:hAnsi="宋体" w:eastAsia="宋体" w:cs="宋体"/>
                <w:color w:val="000000"/>
                <w:kern w:val="0"/>
                <w:szCs w:val="21"/>
              </w:rPr>
              <w:t>，查看仿真数据源的信息，快速筛选非涉案数据源</w:t>
            </w:r>
          </w:p>
        </w:tc>
        <w:tc>
          <w:tcPr>
            <w:tcW w:w="519" w:type="pct"/>
            <w:shd w:val="clear" w:color="auto" w:fill="auto"/>
            <w:noWrap/>
            <w:vAlign w:val="center"/>
          </w:tcPr>
          <w:p>
            <w:pPr>
              <w:jc w:val="center"/>
              <w:rPr>
                <w:rFonts w:ascii="宋体" w:hAnsi="宋体" w:cs="宋体"/>
                <w:color w:val="000000"/>
                <w:kern w:val="0"/>
                <w:szCs w:val="21"/>
              </w:rPr>
            </w:pPr>
            <w:r>
              <w:rPr>
                <w:rFonts w:ascii="宋体" w:hAnsi="宋体" w:cs="宋体" w:eastAsiaTheme="minorEastAsia"/>
                <w:color w:val="000000"/>
                <w:kern w:val="0"/>
                <w:szCs w:val="21"/>
              </w:rPr>
              <w:t>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71" w:type="pct"/>
            <w:shd w:val="clear" w:color="auto" w:fill="auto"/>
            <w:noWrap/>
            <w:vAlign w:val="center"/>
          </w:tcPr>
          <w:p>
            <w:pPr>
              <w:numPr>
                <w:ilvl w:val="0"/>
                <w:numId w:val="87"/>
              </w:numPr>
              <w:spacing w:line="240" w:lineRule="auto"/>
              <w:ind w:left="0" w:leftChars="0" w:firstLine="0" w:firstLineChars="0"/>
              <w:jc w:val="center"/>
              <w:rPr>
                <w:rFonts w:ascii="宋体" w:hAnsi="宋体" w:cs="宋体" w:eastAsiaTheme="minorEastAsia"/>
                <w:color w:val="000000"/>
                <w:kern w:val="0"/>
                <w:szCs w:val="21"/>
              </w:rPr>
            </w:pPr>
          </w:p>
        </w:tc>
        <w:tc>
          <w:tcPr>
            <w:tcW w:w="372" w:type="pct"/>
            <w:shd w:val="clear" w:color="auto" w:fill="auto"/>
            <w:noWrap/>
            <w:vAlign w:val="center"/>
          </w:tcPr>
          <w:p>
            <w:pPr>
              <w:jc w:val="center"/>
              <w:rPr>
                <w:rFonts w:ascii="宋体" w:hAnsi="宋体" w:cs="宋体"/>
                <w:color w:val="000000"/>
                <w:kern w:val="0"/>
                <w:szCs w:val="21"/>
              </w:rPr>
            </w:pPr>
            <w:r>
              <w:rPr>
                <w:rFonts w:hint="eastAsia" w:ascii="宋体" w:hAnsi="宋体" w:cs="宋体" w:eastAsiaTheme="minorEastAsia"/>
                <w:color w:val="000000"/>
                <w:kern w:val="0"/>
                <w:szCs w:val="21"/>
              </w:rPr>
              <w:t>★</w:t>
            </w:r>
          </w:p>
        </w:tc>
        <w:tc>
          <w:tcPr>
            <w:tcW w:w="562" w:type="pct"/>
            <w:vMerge w:val="restart"/>
            <w:shd w:val="clear" w:color="auto" w:fill="auto"/>
            <w:noWrap/>
            <w:vAlign w:val="center"/>
          </w:tcPr>
          <w:p>
            <w:pPr>
              <w:jc w:val="center"/>
              <w:rPr>
                <w:rFonts w:ascii="宋体" w:hAnsi="宋体" w:cs="宋体"/>
                <w:color w:val="000000"/>
                <w:kern w:val="0"/>
                <w:szCs w:val="21"/>
              </w:rPr>
            </w:pPr>
            <w:r>
              <w:rPr>
                <w:rFonts w:hint="eastAsia" w:ascii="宋体" w:hAnsi="宋体" w:cs="宋体" w:eastAsiaTheme="minorEastAsia"/>
                <w:color w:val="000000"/>
                <w:kern w:val="0"/>
                <w:szCs w:val="21"/>
              </w:rPr>
              <w:t>免拆机提取</w:t>
            </w:r>
          </w:p>
        </w:tc>
        <w:tc>
          <w:tcPr>
            <w:tcW w:w="3176" w:type="pct"/>
            <w:shd w:val="clear" w:color="auto" w:fill="auto"/>
            <w:noWrap/>
            <w:vAlign w:val="center"/>
          </w:tcPr>
          <w:p>
            <w:pPr>
              <w:rPr>
                <w:rFonts w:ascii="宋体" w:hAnsi="宋体" w:cs="宋体"/>
                <w:color w:val="000000"/>
                <w:kern w:val="0"/>
                <w:szCs w:val="21"/>
              </w:rPr>
            </w:pPr>
            <w:r>
              <w:rPr>
                <w:rFonts w:hint="eastAsia" w:ascii="宋体" w:hAnsi="宋体" w:cs="宋体" w:eastAsiaTheme="minorEastAsia"/>
                <w:color w:val="000000"/>
                <w:kern w:val="0"/>
                <w:szCs w:val="21"/>
              </w:rPr>
              <w:t>至少支持流量抓取功能6类数据分析，包括操作类型，进程的名称、进程IP、操作类型、状态、流量数据等，任务结束后自动生成含哈希校验值、开始时间、结束时间的txt文件和抓取结果文件</w:t>
            </w:r>
          </w:p>
        </w:tc>
        <w:tc>
          <w:tcPr>
            <w:tcW w:w="519" w:type="pct"/>
            <w:shd w:val="clear" w:color="auto" w:fill="auto"/>
            <w:noWrap/>
            <w:vAlign w:val="center"/>
          </w:tcPr>
          <w:p>
            <w:pPr>
              <w:jc w:val="center"/>
              <w:rPr>
                <w:rFonts w:ascii="宋体" w:hAnsi="宋体" w:cs="宋体"/>
                <w:color w:val="000000"/>
                <w:kern w:val="0"/>
                <w:szCs w:val="21"/>
              </w:rPr>
            </w:pPr>
            <w:r>
              <w:rPr>
                <w:rFonts w:hint="eastAsia" w:ascii="宋体" w:hAnsi="宋体" w:cs="宋体" w:eastAsiaTheme="minorEastAsia"/>
                <w:color w:val="000000"/>
                <w:kern w:val="0"/>
                <w:szCs w:val="21"/>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71" w:type="pct"/>
            <w:shd w:val="clear" w:color="auto" w:fill="auto"/>
            <w:noWrap/>
            <w:vAlign w:val="center"/>
          </w:tcPr>
          <w:p>
            <w:pPr>
              <w:numPr>
                <w:ilvl w:val="0"/>
                <w:numId w:val="87"/>
              </w:numPr>
              <w:spacing w:line="240" w:lineRule="auto"/>
              <w:ind w:left="0" w:leftChars="0" w:firstLine="0" w:firstLineChars="0"/>
              <w:jc w:val="center"/>
              <w:rPr>
                <w:rFonts w:ascii="宋体" w:hAnsi="宋体" w:cs="宋体" w:eastAsiaTheme="minorEastAsia"/>
                <w:color w:val="000000"/>
                <w:kern w:val="0"/>
                <w:szCs w:val="21"/>
              </w:rPr>
            </w:pPr>
          </w:p>
        </w:tc>
        <w:tc>
          <w:tcPr>
            <w:tcW w:w="372" w:type="pct"/>
            <w:shd w:val="clear" w:color="auto" w:fill="auto"/>
            <w:noWrap/>
            <w:vAlign w:val="center"/>
          </w:tcPr>
          <w:p>
            <w:pPr>
              <w:jc w:val="center"/>
              <w:rPr>
                <w:rFonts w:ascii="宋体" w:hAnsi="宋体" w:cs="宋体"/>
                <w:color w:val="000000"/>
                <w:kern w:val="0"/>
                <w:szCs w:val="21"/>
              </w:rPr>
            </w:pPr>
            <w:r>
              <w:rPr>
                <w:rFonts w:hint="eastAsia" w:ascii="宋体" w:hAnsi="宋体" w:cs="宋体" w:eastAsiaTheme="minorEastAsia"/>
                <w:color w:val="000000"/>
                <w:kern w:val="0"/>
                <w:szCs w:val="21"/>
              </w:rPr>
              <w:t>▲</w:t>
            </w:r>
          </w:p>
        </w:tc>
        <w:tc>
          <w:tcPr>
            <w:tcW w:w="562" w:type="pct"/>
            <w:vMerge w:val="continue"/>
            <w:shd w:val="clear" w:color="auto" w:fill="auto"/>
            <w:noWrap/>
            <w:vAlign w:val="center"/>
          </w:tcPr>
          <w:p>
            <w:pPr>
              <w:jc w:val="center"/>
              <w:rPr>
                <w:rFonts w:ascii="宋体" w:hAnsi="宋体" w:cs="宋体"/>
                <w:color w:val="000000"/>
                <w:kern w:val="0"/>
                <w:szCs w:val="21"/>
              </w:rPr>
            </w:pPr>
          </w:p>
        </w:tc>
        <w:tc>
          <w:tcPr>
            <w:tcW w:w="3176" w:type="pct"/>
            <w:shd w:val="clear" w:color="auto" w:fill="auto"/>
            <w:noWrap/>
            <w:vAlign w:val="center"/>
          </w:tcPr>
          <w:p>
            <w:pPr>
              <w:rPr>
                <w:rFonts w:ascii="宋体" w:hAnsi="宋体" w:eastAsia="宋体" w:cs="宋体"/>
                <w:color w:val="000000"/>
                <w:kern w:val="0"/>
                <w:szCs w:val="21"/>
              </w:rPr>
            </w:pPr>
            <w:r>
              <w:rPr>
                <w:rFonts w:hint="eastAsia" w:ascii="宋体" w:hAnsi="宋体" w:eastAsia="宋体" w:cs="宋体"/>
                <w:color w:val="000000"/>
                <w:kern w:val="0"/>
                <w:szCs w:val="21"/>
                <w:lang w:val="en-US"/>
              </w:rPr>
              <w:t>至少</w:t>
            </w:r>
            <w:r>
              <w:rPr>
                <w:rFonts w:hint="eastAsia" w:ascii="宋体" w:hAnsi="宋体" w:eastAsia="宋体" w:cs="宋体"/>
                <w:color w:val="000000"/>
                <w:kern w:val="0"/>
                <w:szCs w:val="21"/>
              </w:rPr>
              <w:t>支持</w:t>
            </w:r>
            <w:r>
              <w:rPr>
                <w:rFonts w:hint="eastAsia" w:ascii="宋体" w:hAnsi="宋体" w:eastAsia="宋体" w:cs="宋体"/>
                <w:color w:val="000000"/>
                <w:kern w:val="0"/>
                <w:szCs w:val="21"/>
                <w:lang w:val="en-US" w:eastAsia="zh-CN"/>
              </w:rPr>
              <w:t>2</w:t>
            </w:r>
            <w:r>
              <w:rPr>
                <w:rFonts w:hint="eastAsia" w:ascii="宋体" w:hAnsi="宋体" w:eastAsia="宋体" w:cs="宋体"/>
                <w:color w:val="000000"/>
                <w:kern w:val="0"/>
                <w:szCs w:val="21"/>
                <w:lang w:val="en-US"/>
              </w:rPr>
              <w:t>类聊天工具</w:t>
            </w:r>
            <w:r>
              <w:rPr>
                <w:rFonts w:hint="eastAsia" w:ascii="宋体" w:hAnsi="宋体" w:eastAsia="宋体" w:cs="宋体"/>
                <w:color w:val="000000"/>
                <w:kern w:val="0"/>
                <w:szCs w:val="21"/>
              </w:rPr>
              <w:t>登录情况下取证，获取联系人，聊天内容等信息</w:t>
            </w:r>
          </w:p>
        </w:tc>
        <w:tc>
          <w:tcPr>
            <w:tcW w:w="519" w:type="pct"/>
            <w:shd w:val="clear" w:color="auto" w:fill="auto"/>
            <w:noWrap/>
            <w:vAlign w:val="center"/>
          </w:tcPr>
          <w:p>
            <w:pPr>
              <w:jc w:val="center"/>
              <w:rPr>
                <w:rFonts w:ascii="宋体" w:hAnsi="宋体" w:cs="宋体"/>
                <w:color w:val="000000"/>
                <w:kern w:val="0"/>
                <w:szCs w:val="21"/>
              </w:rPr>
            </w:pPr>
            <w:r>
              <w:rPr>
                <w:rFonts w:hint="eastAsia" w:ascii="宋体" w:hAnsi="宋体" w:cs="宋体" w:eastAsiaTheme="minorEastAsia"/>
                <w:color w:val="000000"/>
                <w:kern w:val="0"/>
                <w:szCs w:val="21"/>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71" w:type="pct"/>
            <w:shd w:val="clear" w:color="auto" w:fill="auto"/>
            <w:noWrap/>
            <w:vAlign w:val="center"/>
          </w:tcPr>
          <w:p>
            <w:pPr>
              <w:numPr>
                <w:ilvl w:val="0"/>
                <w:numId w:val="87"/>
              </w:numPr>
              <w:spacing w:line="240" w:lineRule="auto"/>
              <w:ind w:left="0" w:leftChars="0" w:firstLine="0" w:firstLineChars="0"/>
              <w:jc w:val="center"/>
              <w:rPr>
                <w:rFonts w:ascii="宋体" w:hAnsi="宋体" w:cs="宋体" w:eastAsiaTheme="minorEastAsia"/>
                <w:color w:val="000000"/>
                <w:kern w:val="0"/>
                <w:szCs w:val="21"/>
              </w:rPr>
            </w:pPr>
          </w:p>
        </w:tc>
        <w:tc>
          <w:tcPr>
            <w:tcW w:w="372" w:type="pct"/>
            <w:shd w:val="clear" w:color="auto" w:fill="auto"/>
            <w:noWrap/>
            <w:vAlign w:val="center"/>
          </w:tcPr>
          <w:p>
            <w:pPr>
              <w:jc w:val="center"/>
              <w:rPr>
                <w:rFonts w:ascii="宋体" w:hAnsi="宋体" w:cs="宋体"/>
                <w:color w:val="000000"/>
                <w:kern w:val="0"/>
                <w:szCs w:val="21"/>
              </w:rPr>
            </w:pPr>
            <w:r>
              <w:rPr>
                <w:rFonts w:hint="eastAsia" w:ascii="宋体" w:hAnsi="宋体" w:cs="宋体" w:eastAsiaTheme="minorEastAsia"/>
                <w:color w:val="000000"/>
                <w:kern w:val="0"/>
                <w:szCs w:val="21"/>
              </w:rPr>
              <w:t>★</w:t>
            </w:r>
          </w:p>
        </w:tc>
        <w:tc>
          <w:tcPr>
            <w:tcW w:w="562" w:type="pct"/>
            <w:vMerge w:val="continue"/>
            <w:vAlign w:val="center"/>
          </w:tcPr>
          <w:p>
            <w:pPr>
              <w:rPr>
                <w:rFonts w:ascii="宋体" w:hAnsi="宋体" w:cs="宋体"/>
                <w:color w:val="000000"/>
                <w:kern w:val="0"/>
                <w:szCs w:val="21"/>
              </w:rPr>
            </w:pPr>
          </w:p>
        </w:tc>
        <w:tc>
          <w:tcPr>
            <w:tcW w:w="3176" w:type="pct"/>
            <w:shd w:val="clear" w:color="auto" w:fill="auto"/>
            <w:noWrap/>
            <w:vAlign w:val="center"/>
          </w:tcPr>
          <w:p>
            <w:pPr>
              <w:rPr>
                <w:rFonts w:ascii="宋体" w:hAnsi="宋体" w:cs="宋体"/>
                <w:color w:val="000000"/>
                <w:kern w:val="0"/>
                <w:szCs w:val="21"/>
              </w:rPr>
            </w:pPr>
            <w:r>
              <w:rPr>
                <w:rFonts w:hint="eastAsia" w:ascii="宋体" w:hAnsi="宋体" w:cs="宋体" w:eastAsiaTheme="minorEastAsia"/>
                <w:color w:val="000000"/>
                <w:kern w:val="0"/>
                <w:szCs w:val="21"/>
              </w:rPr>
              <w:t>至少支持</w:t>
            </w:r>
            <w:r>
              <w:rPr>
                <w:rFonts w:hint="eastAsia" w:ascii="宋体" w:hAnsi="宋体" w:cs="宋体" w:eastAsiaTheme="minorEastAsia"/>
                <w:color w:val="000000"/>
                <w:kern w:val="0"/>
                <w:szCs w:val="21"/>
                <w:lang w:val="en-US"/>
              </w:rPr>
              <w:t>2</w:t>
            </w:r>
            <w:r>
              <w:rPr>
                <w:rFonts w:hint="eastAsia" w:ascii="宋体" w:hAnsi="宋体" w:cs="宋体" w:eastAsiaTheme="minorEastAsia"/>
                <w:color w:val="000000"/>
                <w:kern w:val="0"/>
                <w:szCs w:val="21"/>
              </w:rPr>
              <w:t>个</w:t>
            </w:r>
            <w:r>
              <w:rPr>
                <w:rFonts w:hint="eastAsia" w:ascii="宋体" w:hAnsi="宋体" w:cs="宋体" w:eastAsiaTheme="minorEastAsia"/>
                <w:color w:val="000000"/>
                <w:kern w:val="0"/>
                <w:szCs w:val="21"/>
                <w:lang w:val="en-US"/>
              </w:rPr>
              <w:t>及以上</w:t>
            </w:r>
            <w:r>
              <w:rPr>
                <w:rFonts w:hint="eastAsia" w:ascii="宋体" w:hAnsi="宋体" w:cs="宋体" w:eastAsiaTheme="minorEastAsia"/>
                <w:color w:val="000000"/>
                <w:kern w:val="0"/>
                <w:szCs w:val="21"/>
              </w:rPr>
              <w:t>现场取证临时许可分发授权，灵活配置设备协同取证</w:t>
            </w:r>
          </w:p>
        </w:tc>
        <w:tc>
          <w:tcPr>
            <w:tcW w:w="519" w:type="pct"/>
            <w:shd w:val="clear" w:color="auto" w:fill="auto"/>
            <w:noWrap/>
            <w:vAlign w:val="center"/>
          </w:tcPr>
          <w:p>
            <w:pPr>
              <w:jc w:val="center"/>
              <w:rPr>
                <w:rFonts w:ascii="宋体" w:hAnsi="宋体" w:cs="宋体"/>
                <w:color w:val="000000"/>
                <w:kern w:val="0"/>
                <w:szCs w:val="21"/>
              </w:rPr>
            </w:pPr>
            <w:r>
              <w:rPr>
                <w:rFonts w:hint="eastAsia" w:ascii="宋体" w:hAnsi="宋体" w:cs="宋体" w:eastAsiaTheme="minorEastAsia"/>
                <w:color w:val="000000"/>
                <w:kern w:val="0"/>
                <w:szCs w:val="21"/>
              </w:rPr>
              <w:t>检验报告</w:t>
            </w:r>
          </w:p>
        </w:tc>
      </w:tr>
    </w:tbl>
    <w:p>
      <w:pPr>
        <w:pStyle w:val="5"/>
        <w:spacing w:before="15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第3包 电子物证现场提取设备</w:t>
      </w:r>
      <w:r>
        <w:rPr>
          <w:rFonts w:hint="default" w:ascii="Times New Roman" w:hAnsi="Times New Roman" w:cs="Times New Roman" w:eastAsiaTheme="minorEastAsia"/>
          <w:szCs w:val="21"/>
        </w:rPr>
        <w:t>Ⅲ</w:t>
      </w:r>
    </w:p>
    <w:tbl>
      <w:tblPr>
        <w:tblStyle w:val="81"/>
        <w:tblW w:w="457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
        <w:gridCol w:w="550"/>
        <w:gridCol w:w="932"/>
        <w:gridCol w:w="5629"/>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280" w:type="pct"/>
            <w:shd w:val="clear" w:color="auto" w:fill="auto"/>
            <w:vAlign w:val="center"/>
          </w:tcPr>
          <w:p>
            <w:pPr>
              <w:jc w:val="center"/>
              <w:rPr>
                <w:rFonts w:ascii="宋体" w:hAnsi="宋体" w:eastAsia="宋体" w:cs="宋体"/>
                <w:b/>
                <w:bCs/>
                <w:color w:val="000000"/>
                <w:kern w:val="0"/>
                <w:szCs w:val="21"/>
              </w:rPr>
            </w:pPr>
            <w:r>
              <w:rPr>
                <w:rFonts w:hint="eastAsia" w:ascii="宋体" w:hAnsi="宋体" w:eastAsia="宋体" w:cs="宋体"/>
                <w:b/>
                <w:bCs/>
                <w:color w:val="000000"/>
                <w:kern w:val="0"/>
                <w:szCs w:val="21"/>
              </w:rPr>
              <w:t>序号</w:t>
            </w:r>
          </w:p>
        </w:tc>
        <w:tc>
          <w:tcPr>
            <w:tcW w:w="331" w:type="pct"/>
            <w:shd w:val="clear" w:color="auto" w:fill="auto"/>
            <w:vAlign w:val="center"/>
          </w:tcPr>
          <w:p>
            <w:pPr>
              <w:jc w:val="center"/>
              <w:rPr>
                <w:rFonts w:ascii="宋体" w:hAnsi="宋体" w:eastAsia="宋体" w:cs="宋体"/>
                <w:b/>
                <w:bCs/>
                <w:color w:val="000000"/>
                <w:kern w:val="0"/>
                <w:szCs w:val="21"/>
              </w:rPr>
            </w:pPr>
            <w:r>
              <w:rPr>
                <w:rFonts w:hint="eastAsia" w:ascii="宋体" w:hAnsi="宋体" w:eastAsia="宋体" w:cs="宋体"/>
                <w:b/>
                <w:bCs/>
                <w:color w:val="000000"/>
                <w:kern w:val="0"/>
                <w:szCs w:val="21"/>
              </w:rPr>
              <w:t>重要性</w:t>
            </w:r>
          </w:p>
        </w:tc>
        <w:tc>
          <w:tcPr>
            <w:tcW w:w="562" w:type="pct"/>
            <w:shd w:val="clear" w:color="auto" w:fill="auto"/>
            <w:vAlign w:val="center"/>
          </w:tcPr>
          <w:p>
            <w:pPr>
              <w:rPr>
                <w:rFonts w:ascii="宋体" w:hAnsi="宋体" w:eastAsia="宋体" w:cs="宋体"/>
                <w:b/>
                <w:bCs/>
                <w:color w:val="000000"/>
                <w:kern w:val="0"/>
                <w:szCs w:val="21"/>
              </w:rPr>
            </w:pPr>
            <w:r>
              <w:rPr>
                <w:rFonts w:hint="eastAsia" w:ascii="宋体" w:hAnsi="宋体" w:eastAsia="宋体" w:cs="宋体"/>
                <w:b/>
                <w:bCs/>
                <w:color w:val="000000"/>
                <w:kern w:val="0"/>
                <w:szCs w:val="21"/>
              </w:rPr>
              <w:t>指标项</w:t>
            </w:r>
          </w:p>
        </w:tc>
        <w:tc>
          <w:tcPr>
            <w:tcW w:w="3397" w:type="pct"/>
            <w:shd w:val="clear" w:color="auto" w:fill="auto"/>
            <w:vAlign w:val="center"/>
          </w:tcPr>
          <w:p>
            <w:pPr>
              <w:jc w:val="center"/>
              <w:rPr>
                <w:rFonts w:ascii="宋体" w:hAnsi="宋体" w:eastAsia="宋体" w:cs="宋体"/>
                <w:b/>
                <w:bCs/>
                <w:color w:val="000000"/>
                <w:kern w:val="0"/>
                <w:szCs w:val="21"/>
              </w:rPr>
            </w:pPr>
            <w:r>
              <w:rPr>
                <w:rFonts w:hint="eastAsia" w:ascii="宋体" w:hAnsi="宋体" w:eastAsia="宋体" w:cs="宋体"/>
                <w:b/>
                <w:bCs/>
                <w:color w:val="000000"/>
                <w:kern w:val="0"/>
                <w:szCs w:val="21"/>
              </w:rPr>
              <w:t>指标要求</w:t>
            </w:r>
          </w:p>
        </w:tc>
        <w:tc>
          <w:tcPr>
            <w:tcW w:w="427" w:type="pct"/>
            <w:shd w:val="clear" w:color="auto" w:fill="auto"/>
            <w:vAlign w:val="center"/>
          </w:tcPr>
          <w:p>
            <w:pPr>
              <w:jc w:val="center"/>
              <w:rPr>
                <w:rFonts w:ascii="宋体" w:hAnsi="宋体" w:eastAsia="宋体" w:cs="宋体"/>
                <w:b/>
                <w:bCs/>
                <w:color w:val="000000"/>
                <w:kern w:val="0"/>
                <w:szCs w:val="21"/>
              </w:rPr>
            </w:pPr>
            <w:r>
              <w:rPr>
                <w:rFonts w:hint="eastAsia" w:ascii="宋体" w:hAnsi="宋体" w:eastAsia="宋体" w:cs="宋体"/>
                <w:b/>
                <w:bCs/>
                <w:color w:val="000000"/>
                <w:kern w:val="0"/>
                <w:szCs w:val="21"/>
              </w:rPr>
              <w:t>证明材料要求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80" w:type="pct"/>
            <w:shd w:val="clear" w:color="auto" w:fill="auto"/>
            <w:noWrap/>
            <w:vAlign w:val="center"/>
          </w:tcPr>
          <w:p>
            <w:pPr>
              <w:numPr>
                <w:ilvl w:val="0"/>
                <w:numId w:val="87"/>
              </w:numPr>
              <w:spacing w:line="240" w:lineRule="auto"/>
              <w:ind w:left="0" w:leftChars="0" w:firstLine="0" w:firstLineChars="0"/>
              <w:jc w:val="center"/>
              <w:rPr>
                <w:rFonts w:ascii="宋体" w:hAnsi="宋体" w:cs="宋体" w:eastAsiaTheme="minorEastAsia"/>
                <w:color w:val="000000"/>
                <w:kern w:val="0"/>
                <w:szCs w:val="21"/>
              </w:rPr>
            </w:pPr>
          </w:p>
        </w:tc>
        <w:tc>
          <w:tcPr>
            <w:tcW w:w="331" w:type="pct"/>
            <w:shd w:val="clear" w:color="auto" w:fill="auto"/>
            <w:noWrap/>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w:t>
            </w:r>
          </w:p>
        </w:tc>
        <w:tc>
          <w:tcPr>
            <w:tcW w:w="562" w:type="pct"/>
            <w:vMerge w:val="restart"/>
            <w:vAlign w:val="center"/>
          </w:tcPr>
          <w:p>
            <w:pPr>
              <w:rPr>
                <w:rFonts w:ascii="宋体" w:hAnsi="宋体" w:eastAsia="宋体" w:cs="宋体"/>
                <w:color w:val="000000"/>
                <w:kern w:val="0"/>
                <w:szCs w:val="21"/>
              </w:rPr>
            </w:pPr>
            <w:r>
              <w:rPr>
                <w:rFonts w:hint="eastAsia" w:ascii="宋体" w:hAnsi="宋体" w:eastAsia="宋体" w:cs="宋体"/>
                <w:color w:val="000000"/>
                <w:kern w:val="0"/>
                <w:szCs w:val="21"/>
              </w:rPr>
              <w:t>取证能力</w:t>
            </w:r>
          </w:p>
        </w:tc>
        <w:tc>
          <w:tcPr>
            <w:tcW w:w="3397" w:type="pct"/>
            <w:shd w:val="clear" w:color="auto" w:fill="auto"/>
            <w:noWrap/>
            <w:vAlign w:val="center"/>
          </w:tcPr>
          <w:p>
            <w:pPr>
              <w:rPr>
                <w:rFonts w:ascii="宋体" w:hAnsi="宋体" w:eastAsia="宋体" w:cs="宋体"/>
                <w:color w:val="000000"/>
                <w:kern w:val="0"/>
                <w:szCs w:val="21"/>
              </w:rPr>
            </w:pPr>
            <w:r>
              <w:rPr>
                <w:rFonts w:hint="eastAsia" w:ascii="宋体" w:hAnsi="宋体" w:eastAsia="宋体" w:cs="宋体"/>
                <w:color w:val="000000"/>
                <w:kern w:val="0"/>
                <w:szCs w:val="21"/>
              </w:rPr>
              <w:t>支持</w:t>
            </w:r>
            <w:r>
              <w:rPr>
                <w:rFonts w:hint="eastAsia" w:ascii="宋体" w:hAnsi="宋体" w:eastAsia="宋体" w:cs="宋体"/>
                <w:color w:val="000000"/>
                <w:kern w:val="0"/>
                <w:szCs w:val="21"/>
                <w:lang w:val="en-US"/>
              </w:rPr>
              <w:t>至少</w:t>
            </w:r>
            <w:r>
              <w:rPr>
                <w:rFonts w:hint="eastAsia" w:ascii="宋体" w:hAnsi="宋体" w:eastAsia="宋体" w:cs="宋体"/>
                <w:color w:val="000000"/>
                <w:kern w:val="0"/>
                <w:szCs w:val="21"/>
                <w:lang w:val="en-US" w:eastAsia="zh-CN"/>
              </w:rPr>
              <w:t>1</w:t>
            </w:r>
            <w:r>
              <w:rPr>
                <w:rFonts w:hint="eastAsia" w:ascii="宋体" w:hAnsi="宋体" w:eastAsia="宋体" w:cs="宋体"/>
                <w:color w:val="000000"/>
                <w:kern w:val="0"/>
                <w:szCs w:val="21"/>
                <w:lang w:val="en-US"/>
              </w:rPr>
              <w:t>类聊天软件</w:t>
            </w:r>
            <w:r>
              <w:rPr>
                <w:rFonts w:hint="eastAsia" w:ascii="宋体" w:hAnsi="宋体" w:eastAsia="宋体" w:cs="宋体"/>
                <w:color w:val="000000"/>
                <w:kern w:val="0"/>
                <w:szCs w:val="21"/>
              </w:rPr>
              <w:t>数据文字消息恢复</w:t>
            </w:r>
          </w:p>
        </w:tc>
        <w:tc>
          <w:tcPr>
            <w:tcW w:w="427" w:type="pct"/>
            <w:shd w:val="clear" w:color="auto" w:fill="auto"/>
            <w:noWrap/>
            <w:vAlign w:val="center"/>
          </w:tcPr>
          <w:p>
            <w:pPr>
              <w:jc w:val="center"/>
              <w:rPr>
                <w:rFonts w:ascii="宋体" w:hAnsi="宋体" w:eastAsia="宋体" w:cs="宋体"/>
                <w:color w:val="000000"/>
                <w:kern w:val="0"/>
                <w:szCs w:val="21"/>
              </w:rPr>
            </w:pPr>
            <w:r>
              <w:rPr>
                <w:rFonts w:ascii="宋体" w:hAnsi="宋体" w:eastAsia="宋体" w:cs="宋体"/>
                <w:color w:val="000000"/>
                <w:kern w:val="0"/>
                <w:szCs w:val="21"/>
              </w:rPr>
              <w:t>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80" w:type="pct"/>
            <w:shd w:val="clear" w:color="auto" w:fill="auto"/>
            <w:noWrap/>
            <w:vAlign w:val="center"/>
          </w:tcPr>
          <w:p>
            <w:pPr>
              <w:numPr>
                <w:ilvl w:val="0"/>
                <w:numId w:val="87"/>
              </w:numPr>
              <w:spacing w:line="240" w:lineRule="auto"/>
              <w:ind w:left="0" w:leftChars="0" w:firstLine="0" w:firstLineChars="0"/>
              <w:jc w:val="center"/>
              <w:rPr>
                <w:rFonts w:ascii="宋体" w:hAnsi="宋体" w:cs="宋体" w:eastAsiaTheme="minorEastAsia"/>
                <w:color w:val="000000"/>
                <w:kern w:val="0"/>
                <w:szCs w:val="21"/>
              </w:rPr>
            </w:pPr>
          </w:p>
        </w:tc>
        <w:tc>
          <w:tcPr>
            <w:tcW w:w="331" w:type="pct"/>
            <w:shd w:val="clear" w:color="auto" w:fill="auto"/>
            <w:noWrap/>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w:t>
            </w:r>
          </w:p>
        </w:tc>
        <w:tc>
          <w:tcPr>
            <w:tcW w:w="562" w:type="pct"/>
            <w:vMerge w:val="continue"/>
            <w:vAlign w:val="center"/>
          </w:tcPr>
          <w:p>
            <w:pPr>
              <w:rPr>
                <w:rFonts w:ascii="宋体" w:hAnsi="宋体" w:eastAsia="宋体" w:cs="宋体"/>
                <w:color w:val="000000"/>
                <w:kern w:val="0"/>
                <w:szCs w:val="21"/>
              </w:rPr>
            </w:pPr>
          </w:p>
        </w:tc>
        <w:tc>
          <w:tcPr>
            <w:tcW w:w="3397" w:type="pct"/>
            <w:shd w:val="clear" w:color="auto" w:fill="auto"/>
            <w:noWrap/>
            <w:vAlign w:val="center"/>
          </w:tcPr>
          <w:p>
            <w:pPr>
              <w:rPr>
                <w:rFonts w:ascii="宋体" w:hAnsi="宋体" w:eastAsia="宋体" w:cs="宋体"/>
                <w:color w:val="000000"/>
                <w:kern w:val="0"/>
                <w:szCs w:val="21"/>
              </w:rPr>
            </w:pPr>
            <w:r>
              <w:rPr>
                <w:rFonts w:hint="eastAsia" w:ascii="宋体" w:hAnsi="宋体" w:eastAsia="宋体" w:cs="宋体"/>
                <w:color w:val="000000"/>
                <w:kern w:val="0"/>
                <w:szCs w:val="21"/>
              </w:rPr>
              <w:t>至少支持3类计算机网盘云取证，支持文件提取下载，包括钉盘、百度网盘、WPS云</w:t>
            </w:r>
          </w:p>
        </w:tc>
        <w:tc>
          <w:tcPr>
            <w:tcW w:w="427" w:type="pct"/>
            <w:shd w:val="clear" w:color="auto" w:fill="auto"/>
            <w:noWrap/>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检验报告或功能截图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80" w:type="pct"/>
            <w:shd w:val="clear" w:color="auto" w:fill="auto"/>
            <w:noWrap/>
            <w:vAlign w:val="center"/>
          </w:tcPr>
          <w:p>
            <w:pPr>
              <w:numPr>
                <w:ilvl w:val="0"/>
                <w:numId w:val="87"/>
              </w:numPr>
              <w:spacing w:line="240" w:lineRule="auto"/>
              <w:ind w:left="0" w:leftChars="0" w:firstLine="0" w:firstLineChars="0"/>
              <w:jc w:val="center"/>
              <w:rPr>
                <w:rFonts w:ascii="宋体" w:hAnsi="宋体" w:cs="宋体" w:eastAsiaTheme="minorEastAsia"/>
                <w:color w:val="000000"/>
                <w:kern w:val="0"/>
                <w:szCs w:val="21"/>
              </w:rPr>
            </w:pPr>
          </w:p>
        </w:tc>
        <w:tc>
          <w:tcPr>
            <w:tcW w:w="331" w:type="pct"/>
            <w:shd w:val="clear" w:color="auto" w:fill="auto"/>
            <w:noWrap/>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w:t>
            </w:r>
          </w:p>
        </w:tc>
        <w:tc>
          <w:tcPr>
            <w:tcW w:w="562" w:type="pct"/>
            <w:vMerge w:val="continue"/>
            <w:vAlign w:val="center"/>
          </w:tcPr>
          <w:p>
            <w:pPr>
              <w:rPr>
                <w:rFonts w:ascii="宋体" w:hAnsi="宋体" w:eastAsia="宋体" w:cs="宋体"/>
                <w:color w:val="000000"/>
                <w:kern w:val="0"/>
                <w:szCs w:val="21"/>
              </w:rPr>
            </w:pPr>
          </w:p>
        </w:tc>
        <w:tc>
          <w:tcPr>
            <w:tcW w:w="3397" w:type="pct"/>
            <w:shd w:val="clear" w:color="auto" w:fill="auto"/>
            <w:noWrap/>
            <w:vAlign w:val="center"/>
          </w:tcPr>
          <w:p>
            <w:pPr>
              <w:rPr>
                <w:rFonts w:ascii="宋体" w:hAnsi="宋体" w:eastAsia="宋体" w:cs="宋体"/>
                <w:color w:val="000000"/>
                <w:kern w:val="0"/>
                <w:szCs w:val="21"/>
              </w:rPr>
            </w:pPr>
            <w:r>
              <w:rPr>
                <w:rFonts w:ascii="宋体" w:hAnsi="宋体" w:eastAsia="宋体" w:cs="宋体"/>
                <w:color w:val="000000"/>
                <w:kern w:val="0"/>
                <w:szCs w:val="21"/>
              </w:rPr>
              <w:t>至少</w:t>
            </w:r>
            <w:r>
              <w:rPr>
                <w:rFonts w:hint="eastAsia" w:ascii="宋体" w:hAnsi="宋体" w:eastAsia="宋体" w:cs="宋体"/>
                <w:color w:val="000000"/>
                <w:kern w:val="0"/>
                <w:szCs w:val="21"/>
              </w:rPr>
              <w:t>支持</w:t>
            </w:r>
            <w:r>
              <w:rPr>
                <w:rFonts w:hint="eastAsia" w:ascii="宋体" w:hAnsi="宋体" w:eastAsia="宋体" w:cs="宋体"/>
                <w:color w:val="000000"/>
                <w:kern w:val="0"/>
                <w:szCs w:val="21"/>
                <w:lang w:val="en-US" w:eastAsia="zh-CN"/>
              </w:rPr>
              <w:t>1</w:t>
            </w:r>
            <w:r>
              <w:rPr>
                <w:rFonts w:hint="eastAsia" w:ascii="宋体" w:hAnsi="宋体" w:eastAsia="宋体" w:cs="宋体"/>
                <w:color w:val="000000"/>
                <w:kern w:val="0"/>
                <w:szCs w:val="21"/>
                <w:lang w:val="en-US"/>
              </w:rPr>
              <w:t>类应用</w:t>
            </w:r>
            <w:r>
              <w:rPr>
                <w:rFonts w:hint="eastAsia" w:ascii="宋体" w:hAnsi="宋体" w:eastAsia="宋体" w:cs="宋体"/>
                <w:color w:val="000000"/>
                <w:kern w:val="0"/>
                <w:szCs w:val="21"/>
              </w:rPr>
              <w:t>云取证，支持对话视图和时间筛选</w:t>
            </w:r>
          </w:p>
        </w:tc>
        <w:tc>
          <w:tcPr>
            <w:tcW w:w="427" w:type="pct"/>
            <w:shd w:val="clear" w:color="auto" w:fill="auto"/>
            <w:noWrap/>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80" w:type="pct"/>
            <w:shd w:val="clear" w:color="auto" w:fill="auto"/>
            <w:noWrap/>
            <w:vAlign w:val="center"/>
          </w:tcPr>
          <w:p>
            <w:pPr>
              <w:numPr>
                <w:ilvl w:val="0"/>
                <w:numId w:val="87"/>
              </w:numPr>
              <w:spacing w:line="240" w:lineRule="auto"/>
              <w:ind w:left="0" w:leftChars="0" w:firstLine="0" w:firstLineChars="0"/>
              <w:jc w:val="center"/>
              <w:rPr>
                <w:rFonts w:ascii="宋体" w:hAnsi="宋体" w:cs="宋体" w:eastAsiaTheme="minorEastAsia"/>
                <w:color w:val="000000"/>
                <w:kern w:val="0"/>
                <w:szCs w:val="21"/>
              </w:rPr>
            </w:pPr>
          </w:p>
        </w:tc>
        <w:tc>
          <w:tcPr>
            <w:tcW w:w="331" w:type="pct"/>
            <w:shd w:val="clear" w:color="auto" w:fill="auto"/>
            <w:noWrap/>
            <w:vAlign w:val="center"/>
          </w:tcPr>
          <w:p>
            <w:pPr>
              <w:jc w:val="center"/>
              <w:rPr>
                <w:rFonts w:ascii="宋体" w:hAnsi="宋体" w:eastAsia="宋体" w:cs="宋体"/>
                <w:color w:val="000000"/>
                <w:kern w:val="0"/>
                <w:szCs w:val="21"/>
              </w:rPr>
            </w:pPr>
          </w:p>
        </w:tc>
        <w:tc>
          <w:tcPr>
            <w:tcW w:w="562" w:type="pct"/>
            <w:vMerge w:val="continue"/>
            <w:vAlign w:val="center"/>
          </w:tcPr>
          <w:p>
            <w:pPr>
              <w:rPr>
                <w:rFonts w:ascii="宋体" w:hAnsi="宋体" w:eastAsia="宋体" w:cs="宋体"/>
                <w:color w:val="000000"/>
                <w:kern w:val="0"/>
                <w:szCs w:val="21"/>
              </w:rPr>
            </w:pPr>
          </w:p>
        </w:tc>
        <w:tc>
          <w:tcPr>
            <w:tcW w:w="3397" w:type="pct"/>
            <w:shd w:val="clear" w:color="auto" w:fill="auto"/>
            <w:noWrap/>
            <w:vAlign w:val="center"/>
          </w:tcPr>
          <w:p>
            <w:pPr>
              <w:rPr>
                <w:rFonts w:ascii="宋体" w:hAnsi="宋体" w:eastAsia="宋体" w:cs="宋体"/>
                <w:color w:val="000000"/>
                <w:kern w:val="0"/>
                <w:szCs w:val="21"/>
              </w:rPr>
            </w:pPr>
            <w:r>
              <w:rPr>
                <w:rFonts w:hint="eastAsia" w:ascii="宋体" w:hAnsi="宋体" w:eastAsia="宋体" w:cs="宋体"/>
                <w:color w:val="000000"/>
                <w:kern w:val="0"/>
                <w:szCs w:val="21"/>
                <w:lang w:val="en-US"/>
              </w:rPr>
              <w:t>至少支持</w:t>
            </w:r>
            <w:r>
              <w:rPr>
                <w:rFonts w:hint="eastAsia" w:ascii="宋体" w:hAnsi="宋体" w:eastAsia="宋体" w:cs="宋体"/>
                <w:color w:val="000000"/>
                <w:kern w:val="0"/>
                <w:szCs w:val="21"/>
                <w:lang w:val="en-US" w:eastAsia="zh-CN"/>
              </w:rPr>
              <w:t>2</w:t>
            </w:r>
            <w:r>
              <w:rPr>
                <w:rFonts w:hint="eastAsia" w:ascii="宋体" w:hAnsi="宋体" w:eastAsia="宋体" w:cs="宋体"/>
                <w:color w:val="000000"/>
                <w:kern w:val="0"/>
                <w:szCs w:val="21"/>
                <w:lang w:val="en-US"/>
              </w:rPr>
              <w:t>类浏览器</w:t>
            </w:r>
            <w:r>
              <w:rPr>
                <w:rFonts w:hint="eastAsia" w:ascii="宋体" w:hAnsi="宋体" w:eastAsia="宋体" w:cs="宋体"/>
                <w:color w:val="000000"/>
                <w:kern w:val="0"/>
                <w:szCs w:val="21"/>
              </w:rPr>
              <w:t>数据恢复</w:t>
            </w:r>
          </w:p>
        </w:tc>
        <w:tc>
          <w:tcPr>
            <w:tcW w:w="427" w:type="pct"/>
            <w:shd w:val="clear" w:color="auto" w:fill="auto"/>
            <w:noWrap/>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80" w:type="pct"/>
            <w:shd w:val="clear" w:color="auto" w:fill="auto"/>
            <w:noWrap/>
            <w:vAlign w:val="center"/>
          </w:tcPr>
          <w:p>
            <w:pPr>
              <w:numPr>
                <w:ilvl w:val="0"/>
                <w:numId w:val="87"/>
              </w:numPr>
              <w:spacing w:line="240" w:lineRule="auto"/>
              <w:ind w:left="0" w:leftChars="0" w:firstLine="0" w:firstLineChars="0"/>
              <w:jc w:val="center"/>
              <w:rPr>
                <w:rFonts w:ascii="宋体" w:hAnsi="宋体" w:eastAsia="宋体" w:cs="宋体"/>
                <w:color w:val="000000"/>
                <w:kern w:val="0"/>
                <w:szCs w:val="21"/>
              </w:rPr>
            </w:pPr>
          </w:p>
        </w:tc>
        <w:tc>
          <w:tcPr>
            <w:tcW w:w="331" w:type="pct"/>
            <w:shd w:val="clear" w:color="auto" w:fill="auto"/>
            <w:noWrap/>
            <w:vAlign w:val="center"/>
          </w:tcPr>
          <w:p>
            <w:pPr>
              <w:jc w:val="center"/>
              <w:rPr>
                <w:rFonts w:ascii="宋体" w:hAnsi="宋体" w:eastAsia="宋体" w:cs="宋体"/>
                <w:color w:val="000000"/>
                <w:kern w:val="0"/>
                <w:szCs w:val="21"/>
              </w:rPr>
            </w:pPr>
          </w:p>
        </w:tc>
        <w:tc>
          <w:tcPr>
            <w:tcW w:w="562" w:type="pct"/>
            <w:vMerge w:val="continue"/>
            <w:vAlign w:val="center"/>
          </w:tcPr>
          <w:p>
            <w:pPr>
              <w:rPr>
                <w:rFonts w:ascii="宋体" w:hAnsi="宋体" w:eastAsia="宋体" w:cs="宋体"/>
                <w:color w:val="000000"/>
                <w:kern w:val="0"/>
                <w:szCs w:val="21"/>
              </w:rPr>
            </w:pPr>
          </w:p>
        </w:tc>
        <w:tc>
          <w:tcPr>
            <w:tcW w:w="3397" w:type="pct"/>
            <w:shd w:val="clear" w:color="auto" w:fill="auto"/>
            <w:noWrap/>
            <w:vAlign w:val="center"/>
          </w:tcPr>
          <w:p>
            <w:pPr>
              <w:rPr>
                <w:rFonts w:ascii="宋体" w:hAnsi="宋体" w:eastAsia="宋体" w:cs="宋体"/>
                <w:color w:val="000000"/>
                <w:kern w:val="0"/>
                <w:szCs w:val="21"/>
              </w:rPr>
            </w:pPr>
            <w:r>
              <w:rPr>
                <w:rFonts w:ascii="宋体" w:hAnsi="宋体" w:eastAsia="宋体" w:cs="宋体"/>
                <w:color w:val="000000"/>
                <w:kern w:val="0"/>
                <w:szCs w:val="21"/>
              </w:rPr>
              <w:t>至少</w:t>
            </w:r>
            <w:r>
              <w:rPr>
                <w:rFonts w:hint="eastAsia" w:ascii="宋体" w:hAnsi="宋体" w:eastAsia="宋体" w:cs="宋体"/>
                <w:color w:val="000000"/>
                <w:kern w:val="0"/>
                <w:szCs w:val="21"/>
              </w:rPr>
              <w:t>支持</w:t>
            </w:r>
            <w:r>
              <w:rPr>
                <w:rFonts w:hint="eastAsia" w:ascii="宋体" w:hAnsi="宋体" w:eastAsia="宋体" w:cs="宋体"/>
                <w:color w:val="000000"/>
                <w:kern w:val="0"/>
                <w:szCs w:val="21"/>
                <w:lang w:val="en-US" w:eastAsia="zh-CN"/>
              </w:rPr>
              <w:t>1</w:t>
            </w:r>
            <w:r>
              <w:rPr>
                <w:rFonts w:ascii="宋体" w:hAnsi="宋体" w:eastAsia="宋体" w:cs="宋体"/>
                <w:color w:val="000000"/>
                <w:kern w:val="0"/>
                <w:szCs w:val="21"/>
              </w:rPr>
              <w:t>类</w:t>
            </w:r>
            <w:r>
              <w:rPr>
                <w:rFonts w:hint="eastAsia" w:ascii="宋体" w:hAnsi="宋体" w:eastAsia="宋体" w:cs="宋体"/>
                <w:color w:val="000000"/>
                <w:kern w:val="0"/>
                <w:szCs w:val="21"/>
              </w:rPr>
              <w:t>人脸识别</w:t>
            </w:r>
            <w:r>
              <w:rPr>
                <w:rFonts w:ascii="宋体" w:hAnsi="宋体" w:eastAsia="宋体" w:cs="宋体"/>
                <w:color w:val="000000"/>
                <w:kern w:val="0"/>
                <w:szCs w:val="21"/>
              </w:rPr>
              <w:t>功能，并支持</w:t>
            </w:r>
            <w:r>
              <w:rPr>
                <w:rFonts w:hint="eastAsia" w:ascii="宋体" w:hAnsi="宋体" w:eastAsia="宋体" w:cs="宋体"/>
                <w:color w:val="000000"/>
                <w:kern w:val="0"/>
                <w:szCs w:val="21"/>
              </w:rPr>
              <w:t>人脸分组、人脸比对功能</w:t>
            </w:r>
          </w:p>
        </w:tc>
        <w:tc>
          <w:tcPr>
            <w:tcW w:w="427" w:type="pct"/>
            <w:shd w:val="clear" w:color="auto" w:fill="auto"/>
            <w:noWrap/>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80" w:type="pct"/>
            <w:shd w:val="clear" w:color="auto" w:fill="auto"/>
            <w:noWrap/>
            <w:vAlign w:val="center"/>
          </w:tcPr>
          <w:p>
            <w:pPr>
              <w:numPr>
                <w:ilvl w:val="0"/>
                <w:numId w:val="87"/>
              </w:numPr>
              <w:spacing w:line="240" w:lineRule="auto"/>
              <w:ind w:left="0" w:leftChars="0" w:firstLine="0" w:firstLineChars="0"/>
              <w:jc w:val="center"/>
              <w:rPr>
                <w:rFonts w:ascii="宋体" w:hAnsi="宋体" w:eastAsia="宋体" w:cs="宋体"/>
                <w:color w:val="000000"/>
                <w:kern w:val="0"/>
                <w:szCs w:val="21"/>
              </w:rPr>
            </w:pPr>
          </w:p>
        </w:tc>
        <w:tc>
          <w:tcPr>
            <w:tcW w:w="331" w:type="pct"/>
            <w:shd w:val="clear" w:color="auto" w:fill="auto"/>
            <w:noWrap/>
            <w:vAlign w:val="center"/>
          </w:tcPr>
          <w:p>
            <w:pPr>
              <w:jc w:val="center"/>
              <w:rPr>
                <w:rFonts w:ascii="宋体" w:hAnsi="宋体" w:eastAsia="宋体" w:cs="宋体"/>
                <w:color w:val="000000"/>
                <w:kern w:val="0"/>
                <w:szCs w:val="21"/>
              </w:rPr>
            </w:pPr>
          </w:p>
        </w:tc>
        <w:tc>
          <w:tcPr>
            <w:tcW w:w="562" w:type="pct"/>
            <w:vMerge w:val="continue"/>
            <w:vAlign w:val="center"/>
          </w:tcPr>
          <w:p>
            <w:pPr>
              <w:rPr>
                <w:rFonts w:ascii="宋体" w:hAnsi="宋体" w:eastAsia="宋体" w:cs="宋体"/>
                <w:color w:val="000000"/>
                <w:kern w:val="0"/>
                <w:szCs w:val="21"/>
              </w:rPr>
            </w:pPr>
          </w:p>
        </w:tc>
        <w:tc>
          <w:tcPr>
            <w:tcW w:w="3397" w:type="pct"/>
            <w:shd w:val="clear" w:color="auto" w:fill="auto"/>
            <w:noWrap/>
            <w:vAlign w:val="center"/>
          </w:tcPr>
          <w:p>
            <w:pPr>
              <w:rPr>
                <w:rFonts w:ascii="宋体" w:hAnsi="宋体" w:eastAsia="宋体" w:cs="宋体"/>
                <w:color w:val="000000"/>
                <w:kern w:val="0"/>
                <w:szCs w:val="21"/>
              </w:rPr>
            </w:pPr>
            <w:r>
              <w:rPr>
                <w:rFonts w:hint="eastAsia" w:ascii="宋体" w:hAnsi="宋体" w:eastAsia="宋体" w:cs="宋体"/>
                <w:color w:val="000000"/>
                <w:kern w:val="0"/>
                <w:szCs w:val="21"/>
              </w:rPr>
              <w:t>至少支持3类操作系统解析：包括对Ubuntu和Centos 痕迹信息解析；支持获取Mac系统信息、</w:t>
            </w:r>
            <w:r>
              <w:rPr>
                <w:rFonts w:hint="eastAsia" w:ascii="宋体" w:hAnsi="宋体" w:eastAsia="宋体" w:cs="宋体"/>
                <w:color w:val="000000"/>
                <w:kern w:val="0"/>
                <w:szCs w:val="21"/>
                <w:lang w:val="en-US"/>
              </w:rPr>
              <w:t>Mac</w:t>
            </w:r>
            <w:r>
              <w:rPr>
                <w:rFonts w:hint="eastAsia" w:ascii="宋体" w:hAnsi="宋体" w:eastAsia="宋体" w:cs="宋体"/>
                <w:color w:val="000000"/>
                <w:kern w:val="0"/>
                <w:szCs w:val="21"/>
              </w:rPr>
              <w:t>常见办公软件、聊天软件、邮箱软件、浏览器软件、远程连接工具解析；支持对国产化系统的系统信息、使用痕迹、聊天工具、浏览器、下载工具、办公软件、输入法、网盘、工具等进行取证</w:t>
            </w:r>
          </w:p>
        </w:tc>
        <w:tc>
          <w:tcPr>
            <w:tcW w:w="427" w:type="pct"/>
            <w:shd w:val="clear" w:color="auto" w:fill="auto"/>
            <w:noWrap/>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80" w:type="pct"/>
            <w:shd w:val="clear" w:color="auto" w:fill="auto"/>
            <w:noWrap/>
            <w:vAlign w:val="center"/>
          </w:tcPr>
          <w:p>
            <w:pPr>
              <w:numPr>
                <w:ilvl w:val="0"/>
                <w:numId w:val="87"/>
              </w:numPr>
              <w:spacing w:line="240" w:lineRule="auto"/>
              <w:ind w:left="0" w:leftChars="0" w:firstLine="0" w:firstLineChars="0"/>
              <w:jc w:val="center"/>
              <w:rPr>
                <w:rFonts w:ascii="宋体" w:hAnsi="宋体" w:cs="宋体" w:eastAsiaTheme="minorEastAsia"/>
                <w:color w:val="000000"/>
                <w:kern w:val="0"/>
                <w:szCs w:val="21"/>
              </w:rPr>
            </w:pPr>
          </w:p>
        </w:tc>
        <w:tc>
          <w:tcPr>
            <w:tcW w:w="331" w:type="pct"/>
            <w:shd w:val="clear" w:color="auto" w:fill="auto"/>
            <w:noWrap/>
            <w:vAlign w:val="center"/>
          </w:tcPr>
          <w:p>
            <w:pPr>
              <w:jc w:val="center"/>
              <w:rPr>
                <w:rFonts w:ascii="宋体" w:hAnsi="宋体" w:eastAsia="宋体" w:cs="宋体"/>
                <w:color w:val="000000"/>
                <w:kern w:val="0"/>
                <w:szCs w:val="21"/>
              </w:rPr>
            </w:pPr>
          </w:p>
        </w:tc>
        <w:tc>
          <w:tcPr>
            <w:tcW w:w="562" w:type="pct"/>
            <w:shd w:val="clear" w:color="auto" w:fill="auto"/>
            <w:noWrap/>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系统仿真</w:t>
            </w:r>
          </w:p>
        </w:tc>
        <w:tc>
          <w:tcPr>
            <w:tcW w:w="3397" w:type="pct"/>
            <w:shd w:val="clear" w:color="auto" w:fill="auto"/>
            <w:noWrap/>
            <w:vAlign w:val="center"/>
          </w:tcPr>
          <w:p>
            <w:pPr>
              <w:rPr>
                <w:rFonts w:ascii="宋体" w:hAnsi="宋体" w:eastAsia="宋体" w:cs="宋体"/>
                <w:color w:val="000000"/>
                <w:kern w:val="0"/>
                <w:szCs w:val="21"/>
              </w:rPr>
            </w:pPr>
            <w:r>
              <w:rPr>
                <w:rFonts w:hint="eastAsia" w:ascii="宋体" w:hAnsi="宋体" w:eastAsia="宋体" w:cs="宋体"/>
                <w:color w:val="000000"/>
                <w:kern w:val="0"/>
                <w:szCs w:val="21"/>
                <w:lang w:val="en-US"/>
              </w:rPr>
              <w:t>至少</w:t>
            </w:r>
            <w:r>
              <w:rPr>
                <w:rFonts w:hint="eastAsia" w:ascii="宋体" w:hAnsi="宋体" w:eastAsia="宋体" w:cs="宋体"/>
                <w:color w:val="000000"/>
                <w:kern w:val="0"/>
                <w:szCs w:val="21"/>
              </w:rPr>
              <w:t>支持</w:t>
            </w:r>
            <w:r>
              <w:rPr>
                <w:rFonts w:hint="eastAsia" w:ascii="宋体" w:hAnsi="宋体" w:eastAsia="宋体" w:cs="宋体"/>
                <w:color w:val="000000"/>
                <w:kern w:val="0"/>
                <w:szCs w:val="21"/>
                <w:lang w:val="en-US" w:eastAsia="zh-CN"/>
              </w:rPr>
              <w:t>1</w:t>
            </w:r>
            <w:r>
              <w:rPr>
                <w:rFonts w:hint="eastAsia" w:ascii="宋体" w:hAnsi="宋体" w:eastAsia="宋体" w:cs="宋体"/>
                <w:color w:val="000000"/>
                <w:kern w:val="0"/>
                <w:szCs w:val="21"/>
                <w:lang w:val="en-US"/>
              </w:rPr>
              <w:t>种</w:t>
            </w:r>
            <w:r>
              <w:rPr>
                <w:rFonts w:hint="eastAsia" w:ascii="宋体" w:hAnsi="宋体" w:eastAsia="宋体" w:cs="宋体"/>
                <w:color w:val="000000"/>
                <w:kern w:val="0"/>
                <w:szCs w:val="21"/>
              </w:rPr>
              <w:t>仿真数据源进行预处理</w:t>
            </w:r>
            <w:r>
              <w:rPr>
                <w:rFonts w:hint="eastAsia" w:ascii="宋体" w:hAnsi="宋体" w:eastAsia="宋体" w:cs="宋体"/>
                <w:color w:val="000000"/>
                <w:kern w:val="0"/>
                <w:szCs w:val="21"/>
                <w:lang w:val="en-US"/>
              </w:rPr>
              <w:t>方式</w:t>
            </w:r>
            <w:r>
              <w:rPr>
                <w:rFonts w:hint="eastAsia" w:ascii="宋体" w:hAnsi="宋体" w:eastAsia="宋体" w:cs="宋体"/>
                <w:color w:val="000000"/>
                <w:kern w:val="0"/>
                <w:szCs w:val="21"/>
              </w:rPr>
              <w:t>，查看仿真数据源的信息，快速筛选非涉案数据源</w:t>
            </w:r>
          </w:p>
        </w:tc>
        <w:tc>
          <w:tcPr>
            <w:tcW w:w="427" w:type="pct"/>
            <w:shd w:val="clear" w:color="auto" w:fill="auto"/>
            <w:noWrap/>
            <w:vAlign w:val="center"/>
          </w:tcPr>
          <w:p>
            <w:pPr>
              <w:jc w:val="center"/>
              <w:rPr>
                <w:rFonts w:ascii="宋体" w:hAnsi="宋体" w:eastAsia="宋体" w:cs="宋体"/>
                <w:color w:val="000000"/>
                <w:kern w:val="0"/>
                <w:szCs w:val="21"/>
              </w:rPr>
            </w:pPr>
            <w:r>
              <w:rPr>
                <w:rFonts w:ascii="宋体" w:hAnsi="宋体" w:eastAsia="宋体" w:cs="宋体"/>
                <w:color w:val="000000"/>
                <w:kern w:val="0"/>
                <w:szCs w:val="21"/>
              </w:rPr>
              <w:t>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shd w:val="clear" w:color="auto" w:fill="auto"/>
            <w:noWrap/>
            <w:vAlign w:val="center"/>
          </w:tcPr>
          <w:p>
            <w:pPr>
              <w:numPr>
                <w:ilvl w:val="0"/>
                <w:numId w:val="87"/>
              </w:numPr>
              <w:spacing w:line="240" w:lineRule="auto"/>
              <w:ind w:left="0" w:leftChars="0" w:firstLine="0" w:firstLineChars="0"/>
              <w:jc w:val="center"/>
              <w:rPr>
                <w:rFonts w:ascii="宋体" w:hAnsi="宋体" w:cs="宋体" w:eastAsiaTheme="minorEastAsia"/>
                <w:color w:val="000000"/>
                <w:kern w:val="0"/>
                <w:szCs w:val="21"/>
              </w:rPr>
            </w:pPr>
          </w:p>
        </w:tc>
        <w:tc>
          <w:tcPr>
            <w:tcW w:w="331" w:type="pct"/>
            <w:shd w:val="clear" w:color="auto" w:fill="auto"/>
            <w:noWrap/>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w:t>
            </w:r>
          </w:p>
        </w:tc>
        <w:tc>
          <w:tcPr>
            <w:tcW w:w="562" w:type="pct"/>
            <w:vMerge w:val="restart"/>
            <w:shd w:val="clear" w:color="auto" w:fill="auto"/>
            <w:vAlign w:val="center"/>
          </w:tcPr>
          <w:p>
            <w:pPr>
              <w:rPr>
                <w:rFonts w:ascii="宋体" w:hAnsi="宋体" w:eastAsia="宋体" w:cs="宋体"/>
                <w:color w:val="000000"/>
                <w:kern w:val="0"/>
                <w:szCs w:val="21"/>
              </w:rPr>
            </w:pPr>
            <w:r>
              <w:rPr>
                <w:rFonts w:hint="eastAsia" w:ascii="宋体" w:hAnsi="宋体" w:eastAsia="宋体" w:cs="宋体"/>
                <w:color w:val="000000"/>
                <w:kern w:val="0"/>
                <w:szCs w:val="21"/>
              </w:rPr>
              <w:t>现场固定</w:t>
            </w:r>
          </w:p>
        </w:tc>
        <w:tc>
          <w:tcPr>
            <w:tcW w:w="3397" w:type="pct"/>
            <w:shd w:val="clear" w:color="auto" w:fill="auto"/>
            <w:vAlign w:val="center"/>
          </w:tcPr>
          <w:p>
            <w:pPr>
              <w:rPr>
                <w:rFonts w:ascii="宋体" w:hAnsi="宋体" w:eastAsia="宋体" w:cs="宋体"/>
                <w:color w:val="000000"/>
                <w:kern w:val="0"/>
                <w:szCs w:val="21"/>
              </w:rPr>
            </w:pPr>
            <w:r>
              <w:rPr>
                <w:rFonts w:hint="eastAsia" w:ascii="宋体" w:hAnsi="宋体" w:eastAsia="宋体" w:cs="宋体"/>
                <w:color w:val="000000"/>
                <w:kern w:val="0"/>
                <w:szCs w:val="21"/>
              </w:rPr>
              <w:t>至少支持</w:t>
            </w:r>
            <w:r>
              <w:rPr>
                <w:rFonts w:hint="eastAsia" w:ascii="宋体" w:hAnsi="宋体" w:eastAsia="宋体" w:cs="宋体"/>
                <w:color w:val="000000"/>
                <w:kern w:val="0"/>
                <w:szCs w:val="21"/>
                <w:lang w:val="en-US" w:eastAsia="zh-CN"/>
              </w:rPr>
              <w:t>1</w:t>
            </w:r>
            <w:r>
              <w:rPr>
                <w:rFonts w:hint="eastAsia" w:ascii="宋体" w:hAnsi="宋体" w:eastAsia="宋体" w:cs="宋体"/>
                <w:color w:val="000000"/>
                <w:kern w:val="0"/>
                <w:szCs w:val="21"/>
              </w:rPr>
              <w:t>类木马病毒勘察，识别计算机中财税类木马病毒</w:t>
            </w:r>
          </w:p>
        </w:tc>
        <w:tc>
          <w:tcPr>
            <w:tcW w:w="427" w:type="pct"/>
            <w:shd w:val="clear" w:color="auto" w:fill="auto"/>
            <w:noWrap/>
            <w:vAlign w:val="center"/>
          </w:tcPr>
          <w:p>
            <w:pPr>
              <w:jc w:val="center"/>
              <w:rPr>
                <w:rFonts w:ascii="宋体" w:hAnsi="宋体" w:eastAsia="宋体" w:cs="宋体"/>
                <w:color w:val="000000"/>
                <w:kern w:val="0"/>
                <w:szCs w:val="21"/>
              </w:rPr>
            </w:pPr>
            <w:r>
              <w:rPr>
                <w:rFonts w:ascii="宋体" w:hAnsi="宋体" w:eastAsia="宋体" w:cs="宋体"/>
                <w:color w:val="000000"/>
                <w:kern w:val="0"/>
                <w:szCs w:val="21"/>
              </w:rPr>
              <w:t>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shd w:val="clear" w:color="auto" w:fill="auto"/>
            <w:noWrap/>
            <w:vAlign w:val="center"/>
          </w:tcPr>
          <w:p>
            <w:pPr>
              <w:numPr>
                <w:ilvl w:val="0"/>
                <w:numId w:val="87"/>
              </w:numPr>
              <w:spacing w:line="240" w:lineRule="auto"/>
              <w:ind w:left="0" w:leftChars="0" w:firstLine="0" w:firstLineChars="0"/>
              <w:jc w:val="center"/>
              <w:rPr>
                <w:rFonts w:ascii="宋体" w:hAnsi="宋体" w:cs="宋体" w:eastAsiaTheme="minorEastAsia"/>
                <w:color w:val="000000"/>
                <w:kern w:val="0"/>
                <w:szCs w:val="21"/>
              </w:rPr>
            </w:pPr>
          </w:p>
        </w:tc>
        <w:tc>
          <w:tcPr>
            <w:tcW w:w="331" w:type="pct"/>
            <w:shd w:val="clear" w:color="auto" w:fill="auto"/>
            <w:noWrap/>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w:t>
            </w:r>
          </w:p>
        </w:tc>
        <w:tc>
          <w:tcPr>
            <w:tcW w:w="562" w:type="pct"/>
            <w:vMerge w:val="continue"/>
            <w:shd w:val="clear" w:color="auto" w:fill="auto"/>
            <w:noWrap/>
            <w:vAlign w:val="center"/>
          </w:tcPr>
          <w:p>
            <w:pPr>
              <w:rPr>
                <w:rFonts w:ascii="宋体" w:hAnsi="宋体" w:eastAsia="宋体" w:cs="宋体"/>
                <w:color w:val="000000"/>
                <w:kern w:val="0"/>
                <w:szCs w:val="21"/>
              </w:rPr>
            </w:pPr>
          </w:p>
        </w:tc>
        <w:tc>
          <w:tcPr>
            <w:tcW w:w="3397" w:type="pct"/>
            <w:shd w:val="clear" w:color="auto" w:fill="auto"/>
            <w:noWrap/>
            <w:vAlign w:val="center"/>
          </w:tcPr>
          <w:p>
            <w:pPr>
              <w:rPr>
                <w:rFonts w:ascii="宋体" w:hAnsi="宋体" w:eastAsia="宋体" w:cs="宋体"/>
                <w:color w:val="000000"/>
                <w:kern w:val="0"/>
                <w:szCs w:val="21"/>
              </w:rPr>
            </w:pPr>
            <w:r>
              <w:rPr>
                <w:rFonts w:hint="eastAsia" w:ascii="宋体" w:hAnsi="宋体" w:eastAsia="宋体" w:cs="宋体"/>
                <w:color w:val="000000"/>
                <w:kern w:val="0"/>
                <w:szCs w:val="21"/>
              </w:rPr>
              <w:t>至少支持流量抓取功能6类数据分析，包括操作类型，进程的名称、进程IP、操作类型、状态、流量数据等，任务结束后自动生成含哈希校验值、开始时间、结束时间的txt文件和抓取结果文件</w:t>
            </w:r>
          </w:p>
        </w:tc>
        <w:tc>
          <w:tcPr>
            <w:tcW w:w="427" w:type="pct"/>
            <w:shd w:val="clear" w:color="auto" w:fill="auto"/>
            <w:noWrap/>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shd w:val="clear" w:color="auto" w:fill="auto"/>
            <w:noWrap/>
            <w:vAlign w:val="center"/>
          </w:tcPr>
          <w:p>
            <w:pPr>
              <w:numPr>
                <w:ilvl w:val="0"/>
                <w:numId w:val="87"/>
              </w:numPr>
              <w:spacing w:line="240" w:lineRule="auto"/>
              <w:ind w:left="0" w:leftChars="0" w:firstLine="0" w:firstLineChars="0"/>
              <w:jc w:val="center"/>
              <w:rPr>
                <w:rFonts w:ascii="宋体" w:hAnsi="宋体" w:cs="宋体" w:eastAsiaTheme="minorEastAsia"/>
                <w:color w:val="000000"/>
                <w:kern w:val="0"/>
                <w:szCs w:val="21"/>
              </w:rPr>
            </w:pPr>
          </w:p>
        </w:tc>
        <w:tc>
          <w:tcPr>
            <w:tcW w:w="331" w:type="pct"/>
            <w:shd w:val="clear" w:color="auto" w:fill="auto"/>
            <w:noWrap/>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w:t>
            </w:r>
          </w:p>
        </w:tc>
        <w:tc>
          <w:tcPr>
            <w:tcW w:w="562" w:type="pct"/>
            <w:vMerge w:val="continue"/>
            <w:vAlign w:val="center"/>
          </w:tcPr>
          <w:p>
            <w:pPr>
              <w:rPr>
                <w:rFonts w:ascii="宋体" w:hAnsi="宋体" w:eastAsia="宋体" w:cs="宋体"/>
                <w:color w:val="000000"/>
                <w:kern w:val="0"/>
                <w:szCs w:val="21"/>
              </w:rPr>
            </w:pPr>
          </w:p>
        </w:tc>
        <w:tc>
          <w:tcPr>
            <w:tcW w:w="3397" w:type="pct"/>
            <w:shd w:val="clear" w:color="auto" w:fill="auto"/>
            <w:noWrap/>
            <w:vAlign w:val="center"/>
          </w:tcPr>
          <w:p>
            <w:pPr>
              <w:rPr>
                <w:rFonts w:ascii="宋体" w:hAnsi="宋体" w:eastAsia="宋体" w:cs="宋体"/>
                <w:color w:val="000000"/>
                <w:kern w:val="0"/>
                <w:szCs w:val="21"/>
              </w:rPr>
            </w:pPr>
            <w:r>
              <w:rPr>
                <w:rFonts w:hint="eastAsia" w:ascii="宋体" w:hAnsi="宋体" w:eastAsia="宋体" w:cs="宋体"/>
                <w:color w:val="000000"/>
                <w:kern w:val="0"/>
                <w:szCs w:val="21"/>
              </w:rPr>
              <w:t>至少支持</w:t>
            </w:r>
            <w:r>
              <w:rPr>
                <w:rFonts w:hint="eastAsia" w:ascii="宋体" w:hAnsi="宋体" w:eastAsia="宋体" w:cs="宋体"/>
                <w:color w:val="000000"/>
                <w:kern w:val="0"/>
                <w:szCs w:val="21"/>
                <w:lang w:val="en-US"/>
              </w:rPr>
              <w:t>2</w:t>
            </w:r>
            <w:r>
              <w:rPr>
                <w:rFonts w:hint="eastAsia" w:ascii="宋体" w:hAnsi="宋体" w:eastAsia="宋体" w:cs="宋体"/>
                <w:color w:val="000000"/>
                <w:kern w:val="0"/>
                <w:szCs w:val="21"/>
              </w:rPr>
              <w:t>个</w:t>
            </w:r>
            <w:r>
              <w:rPr>
                <w:rFonts w:hint="eastAsia" w:ascii="宋体" w:hAnsi="宋体" w:eastAsia="宋体" w:cs="宋体"/>
                <w:color w:val="000000"/>
                <w:kern w:val="0"/>
                <w:szCs w:val="21"/>
                <w:lang w:val="en-US"/>
              </w:rPr>
              <w:t>及以上</w:t>
            </w:r>
            <w:r>
              <w:rPr>
                <w:rFonts w:hint="eastAsia" w:ascii="宋体" w:hAnsi="宋体" w:eastAsia="宋体" w:cs="宋体"/>
                <w:color w:val="000000"/>
                <w:kern w:val="0"/>
                <w:szCs w:val="21"/>
              </w:rPr>
              <w:t>现场取证临时许可分发授权，灵活配置设备协同取证</w:t>
            </w:r>
          </w:p>
        </w:tc>
        <w:tc>
          <w:tcPr>
            <w:tcW w:w="427" w:type="pct"/>
            <w:shd w:val="clear" w:color="auto" w:fill="auto"/>
            <w:noWrap/>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shd w:val="clear" w:color="auto" w:fill="auto"/>
            <w:noWrap/>
            <w:vAlign w:val="center"/>
          </w:tcPr>
          <w:p>
            <w:pPr>
              <w:numPr>
                <w:ilvl w:val="0"/>
                <w:numId w:val="87"/>
              </w:numPr>
              <w:spacing w:line="240" w:lineRule="auto"/>
              <w:ind w:left="0" w:leftChars="0" w:firstLine="0" w:firstLineChars="0"/>
              <w:jc w:val="center"/>
              <w:rPr>
                <w:rFonts w:ascii="宋体" w:hAnsi="宋体" w:cs="宋体" w:eastAsiaTheme="minorEastAsia"/>
                <w:color w:val="000000"/>
                <w:kern w:val="0"/>
                <w:szCs w:val="21"/>
              </w:rPr>
            </w:pPr>
          </w:p>
        </w:tc>
        <w:tc>
          <w:tcPr>
            <w:tcW w:w="331" w:type="pct"/>
            <w:shd w:val="clear" w:color="auto" w:fill="auto"/>
            <w:noWrap/>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w:t>
            </w:r>
          </w:p>
        </w:tc>
        <w:tc>
          <w:tcPr>
            <w:tcW w:w="562" w:type="pct"/>
            <w:vMerge w:val="restart"/>
            <w:shd w:val="clear" w:color="auto" w:fill="auto"/>
            <w:vAlign w:val="center"/>
          </w:tcPr>
          <w:p>
            <w:pPr>
              <w:widowControl w:val="0"/>
              <w:jc w:val="both"/>
              <w:rPr>
                <w:rFonts w:ascii="宋体" w:hAnsi="宋体" w:eastAsia="宋体" w:cs="宋体"/>
                <w:color w:val="000000"/>
                <w:kern w:val="0"/>
                <w:szCs w:val="21"/>
              </w:rPr>
            </w:pPr>
            <w:r>
              <w:rPr>
                <w:rFonts w:hint="eastAsia" w:ascii="宋体" w:hAnsi="宋体" w:eastAsia="宋体" w:cs="宋体"/>
                <w:color w:val="000000"/>
                <w:kern w:val="0"/>
                <w:szCs w:val="21"/>
              </w:rPr>
              <w:t>手机采集</w:t>
            </w:r>
          </w:p>
        </w:tc>
        <w:tc>
          <w:tcPr>
            <w:tcW w:w="3397" w:type="pct"/>
            <w:shd w:val="clear" w:color="auto" w:fill="auto"/>
            <w:vAlign w:val="center"/>
          </w:tcPr>
          <w:p>
            <w:pPr>
              <w:rPr>
                <w:rFonts w:ascii="宋体" w:hAnsi="宋体" w:eastAsia="宋体" w:cs="宋体"/>
                <w:color w:val="000000"/>
                <w:kern w:val="0"/>
                <w:szCs w:val="21"/>
              </w:rPr>
            </w:pPr>
            <w:r>
              <w:rPr>
                <w:rFonts w:hint="eastAsia" w:ascii="宋体" w:hAnsi="宋体" w:eastAsia="宋体" w:cs="宋体"/>
                <w:color w:val="000000"/>
                <w:kern w:val="0"/>
                <w:szCs w:val="21"/>
              </w:rPr>
              <w:t>支持4路手机以上检材同步提取分析，且于通知栏展现任务实时进度，支持提取完成后自动导出报告</w:t>
            </w:r>
          </w:p>
        </w:tc>
        <w:tc>
          <w:tcPr>
            <w:tcW w:w="427" w:type="pct"/>
            <w:shd w:val="clear" w:color="auto" w:fill="auto"/>
            <w:noWrap/>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shd w:val="clear" w:color="auto" w:fill="auto"/>
            <w:noWrap/>
            <w:vAlign w:val="center"/>
          </w:tcPr>
          <w:p>
            <w:pPr>
              <w:numPr>
                <w:ilvl w:val="0"/>
                <w:numId w:val="87"/>
              </w:numPr>
              <w:spacing w:line="240" w:lineRule="auto"/>
              <w:ind w:left="0" w:leftChars="0" w:firstLine="0" w:firstLineChars="0"/>
              <w:jc w:val="center"/>
              <w:rPr>
                <w:rFonts w:ascii="宋体" w:hAnsi="宋体" w:cs="宋体" w:eastAsiaTheme="minorEastAsia"/>
                <w:color w:val="000000"/>
                <w:kern w:val="0"/>
                <w:szCs w:val="21"/>
              </w:rPr>
            </w:pPr>
          </w:p>
        </w:tc>
        <w:tc>
          <w:tcPr>
            <w:tcW w:w="331" w:type="pct"/>
            <w:shd w:val="clear" w:color="auto" w:fill="auto"/>
            <w:noWrap/>
            <w:vAlign w:val="center"/>
          </w:tcPr>
          <w:p>
            <w:pPr>
              <w:jc w:val="center"/>
              <w:rPr>
                <w:rFonts w:ascii="宋体" w:hAnsi="宋体" w:eastAsia="宋体" w:cs="宋体"/>
                <w:color w:val="000000"/>
                <w:kern w:val="0"/>
                <w:szCs w:val="21"/>
              </w:rPr>
            </w:pPr>
          </w:p>
        </w:tc>
        <w:tc>
          <w:tcPr>
            <w:tcW w:w="562" w:type="pct"/>
            <w:vMerge w:val="continue"/>
            <w:shd w:val="clear" w:color="auto" w:fill="auto"/>
            <w:vAlign w:val="center"/>
          </w:tcPr>
          <w:p>
            <w:pPr>
              <w:widowControl w:val="0"/>
              <w:jc w:val="both"/>
              <w:rPr>
                <w:rFonts w:ascii="宋体" w:hAnsi="宋体" w:eastAsia="宋体" w:cs="宋体"/>
                <w:color w:val="000000"/>
                <w:kern w:val="0"/>
                <w:szCs w:val="21"/>
              </w:rPr>
            </w:pPr>
          </w:p>
        </w:tc>
        <w:tc>
          <w:tcPr>
            <w:tcW w:w="3397" w:type="pct"/>
            <w:shd w:val="clear" w:color="auto" w:fill="auto"/>
            <w:vAlign w:val="center"/>
          </w:tcPr>
          <w:p>
            <w:pPr>
              <w:rPr>
                <w:rFonts w:ascii="宋体" w:hAnsi="宋体" w:eastAsia="宋体" w:cs="宋体"/>
                <w:color w:val="000000"/>
                <w:kern w:val="0"/>
                <w:szCs w:val="21"/>
              </w:rPr>
            </w:pPr>
            <w:r>
              <w:rPr>
                <w:rFonts w:hint="eastAsia" w:ascii="宋体" w:hAnsi="宋体" w:eastAsia="宋体" w:cs="宋体"/>
                <w:color w:val="000000"/>
                <w:kern w:val="0"/>
                <w:szCs w:val="21"/>
              </w:rPr>
              <w:t>至少支持在手机取证时可同时处理4大任务，包括数据浏览、数据搜索、导出报告、数据分析等</w:t>
            </w:r>
          </w:p>
        </w:tc>
        <w:tc>
          <w:tcPr>
            <w:tcW w:w="427" w:type="pct"/>
            <w:shd w:val="clear" w:color="auto" w:fill="auto"/>
            <w:noWrap/>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shd w:val="clear" w:color="auto" w:fill="auto"/>
            <w:noWrap/>
            <w:vAlign w:val="center"/>
          </w:tcPr>
          <w:p>
            <w:pPr>
              <w:numPr>
                <w:ilvl w:val="0"/>
                <w:numId w:val="87"/>
              </w:numPr>
              <w:spacing w:line="240" w:lineRule="auto"/>
              <w:ind w:left="0" w:leftChars="0" w:firstLine="0" w:firstLineChars="0"/>
              <w:jc w:val="center"/>
              <w:rPr>
                <w:rFonts w:ascii="宋体" w:hAnsi="宋体" w:cs="宋体" w:eastAsiaTheme="minorEastAsia"/>
                <w:color w:val="000000"/>
                <w:kern w:val="0"/>
                <w:szCs w:val="21"/>
              </w:rPr>
            </w:pPr>
          </w:p>
        </w:tc>
        <w:tc>
          <w:tcPr>
            <w:tcW w:w="331" w:type="pct"/>
            <w:shd w:val="clear" w:color="auto" w:fill="auto"/>
            <w:noWrap/>
            <w:vAlign w:val="center"/>
          </w:tcPr>
          <w:p>
            <w:pPr>
              <w:jc w:val="center"/>
              <w:rPr>
                <w:rFonts w:ascii="宋体" w:hAnsi="宋体" w:eastAsia="宋体" w:cs="宋体"/>
                <w:color w:val="000000"/>
                <w:kern w:val="0"/>
                <w:szCs w:val="21"/>
              </w:rPr>
            </w:pPr>
          </w:p>
        </w:tc>
        <w:tc>
          <w:tcPr>
            <w:tcW w:w="562" w:type="pct"/>
            <w:vMerge w:val="continue"/>
            <w:shd w:val="clear" w:color="auto" w:fill="auto"/>
            <w:vAlign w:val="center"/>
          </w:tcPr>
          <w:p>
            <w:pPr>
              <w:widowControl w:val="0"/>
              <w:jc w:val="both"/>
              <w:rPr>
                <w:rFonts w:ascii="宋体" w:hAnsi="宋体" w:eastAsia="宋体" w:cs="宋体"/>
                <w:color w:val="000000"/>
                <w:kern w:val="0"/>
                <w:szCs w:val="21"/>
              </w:rPr>
            </w:pPr>
          </w:p>
        </w:tc>
        <w:tc>
          <w:tcPr>
            <w:tcW w:w="3397" w:type="pct"/>
            <w:shd w:val="clear" w:color="auto" w:fill="auto"/>
            <w:vAlign w:val="center"/>
          </w:tcPr>
          <w:p>
            <w:pPr>
              <w:rPr>
                <w:rFonts w:ascii="宋体" w:hAnsi="宋体" w:eastAsia="宋体" w:cs="宋体"/>
                <w:color w:val="000000"/>
                <w:kern w:val="0"/>
                <w:szCs w:val="21"/>
              </w:rPr>
            </w:pPr>
            <w:r>
              <w:rPr>
                <w:rFonts w:hint="eastAsia" w:ascii="宋体" w:hAnsi="宋体" w:eastAsia="宋体" w:cs="宋体"/>
                <w:color w:val="000000"/>
                <w:kern w:val="0"/>
                <w:szCs w:val="21"/>
              </w:rPr>
              <w:t>至少支持超过200种以上常用Android和iOS应用信息解析:</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（1）社交聊天：QQ、短信、通话记录、微信、企业微信、TIM、Skype、Voxer、掌嗨等</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（2）网页浏览：Safari、百度浏览器、UC浏览器、QQ浏览器、360浏览器、傲游浏览器、搜狗浏览器、百度极速版浏览器等；</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（3）地图导航：谷歌地图、百度地图、高德地图等；</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（4）生活工具：去哪儿旅行、京东商城、天猫、铁路12306、携程旅行、印象笔记、360手机卫士、大众点评、苏宁易购、美团外卖等；</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（5）邮箱：手机邮箱、QQ邮箱、沃邮箱、新浪邮箱、搜狐邮箱等；</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（6）网络硬盘：115网盘、360云盘、百度网盘等；</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（7）用户字典：搜狗输入法、系统词库；</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（8）系统信息：SIM卡信息、蓝牙记录、应用使用日志、系统网络日志、无线连接等；</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（9）办公软件：Word、PowerPoint等</w:t>
            </w:r>
          </w:p>
        </w:tc>
        <w:tc>
          <w:tcPr>
            <w:tcW w:w="427" w:type="pct"/>
            <w:shd w:val="clear" w:color="auto" w:fill="auto"/>
            <w:noWrap/>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shd w:val="clear" w:color="auto" w:fill="auto"/>
            <w:noWrap/>
            <w:vAlign w:val="center"/>
          </w:tcPr>
          <w:p>
            <w:pPr>
              <w:numPr>
                <w:ilvl w:val="0"/>
                <w:numId w:val="87"/>
              </w:numPr>
              <w:spacing w:line="240" w:lineRule="auto"/>
              <w:ind w:left="0" w:leftChars="0" w:firstLine="0" w:firstLineChars="0"/>
              <w:jc w:val="center"/>
              <w:rPr>
                <w:rFonts w:ascii="宋体" w:hAnsi="宋体" w:cs="宋体" w:eastAsiaTheme="minorEastAsia"/>
                <w:color w:val="000000"/>
                <w:kern w:val="0"/>
                <w:szCs w:val="21"/>
              </w:rPr>
            </w:pPr>
          </w:p>
        </w:tc>
        <w:tc>
          <w:tcPr>
            <w:tcW w:w="331" w:type="pct"/>
            <w:shd w:val="clear" w:color="auto" w:fill="auto"/>
            <w:noWrap/>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w:t>
            </w:r>
          </w:p>
        </w:tc>
        <w:tc>
          <w:tcPr>
            <w:tcW w:w="562" w:type="pct"/>
            <w:vMerge w:val="continue"/>
            <w:shd w:val="clear" w:color="auto" w:fill="auto"/>
            <w:vAlign w:val="center"/>
          </w:tcPr>
          <w:p>
            <w:pPr>
              <w:widowControl w:val="0"/>
              <w:jc w:val="both"/>
              <w:rPr>
                <w:rFonts w:ascii="宋体" w:hAnsi="宋体" w:eastAsia="宋体" w:cs="宋体"/>
                <w:color w:val="000000"/>
                <w:kern w:val="0"/>
                <w:szCs w:val="21"/>
              </w:rPr>
            </w:pPr>
          </w:p>
        </w:tc>
        <w:tc>
          <w:tcPr>
            <w:tcW w:w="3397" w:type="pct"/>
            <w:shd w:val="clear" w:color="auto" w:fill="auto"/>
            <w:vAlign w:val="center"/>
          </w:tcPr>
          <w:p>
            <w:pPr>
              <w:rPr>
                <w:rFonts w:ascii="宋体" w:hAnsi="宋体" w:eastAsia="宋体" w:cs="宋体"/>
                <w:color w:val="000000"/>
                <w:kern w:val="0"/>
                <w:szCs w:val="21"/>
              </w:rPr>
            </w:pPr>
            <w:r>
              <w:rPr>
                <w:rFonts w:hint="eastAsia" w:ascii="宋体" w:hAnsi="宋体" w:eastAsia="宋体" w:cs="宋体"/>
                <w:color w:val="000000"/>
                <w:kern w:val="0"/>
                <w:szCs w:val="21"/>
              </w:rPr>
              <w:t>至少支持2种方法加密报告阅读器，支持对报告阅读器设置密码，需要密码才能打开阅读报告；支持将报告阅读器绑定硬盘加密</w:t>
            </w:r>
          </w:p>
        </w:tc>
        <w:tc>
          <w:tcPr>
            <w:tcW w:w="427" w:type="pct"/>
            <w:shd w:val="clear" w:color="auto" w:fill="auto"/>
            <w:noWrap/>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shd w:val="clear" w:color="auto" w:fill="auto"/>
            <w:noWrap/>
            <w:vAlign w:val="center"/>
          </w:tcPr>
          <w:p>
            <w:pPr>
              <w:numPr>
                <w:ilvl w:val="0"/>
                <w:numId w:val="87"/>
              </w:numPr>
              <w:spacing w:line="240" w:lineRule="auto"/>
              <w:ind w:left="0" w:leftChars="0" w:firstLine="0" w:firstLineChars="0"/>
              <w:jc w:val="center"/>
              <w:rPr>
                <w:rFonts w:ascii="宋体" w:hAnsi="宋体" w:cs="宋体" w:eastAsiaTheme="minorEastAsia"/>
                <w:color w:val="000000"/>
                <w:kern w:val="0"/>
                <w:szCs w:val="21"/>
              </w:rPr>
            </w:pPr>
          </w:p>
        </w:tc>
        <w:tc>
          <w:tcPr>
            <w:tcW w:w="331" w:type="pct"/>
            <w:shd w:val="clear" w:color="auto" w:fill="auto"/>
            <w:noWrap/>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w:t>
            </w:r>
          </w:p>
        </w:tc>
        <w:tc>
          <w:tcPr>
            <w:tcW w:w="562" w:type="pct"/>
            <w:vMerge w:val="continue"/>
            <w:shd w:val="clear" w:color="auto" w:fill="auto"/>
            <w:vAlign w:val="center"/>
          </w:tcPr>
          <w:p>
            <w:pPr>
              <w:rPr>
                <w:rFonts w:ascii="宋体" w:hAnsi="宋体" w:eastAsia="宋体" w:cs="宋体"/>
                <w:color w:val="000000"/>
                <w:kern w:val="0"/>
                <w:szCs w:val="21"/>
              </w:rPr>
            </w:pPr>
          </w:p>
        </w:tc>
        <w:tc>
          <w:tcPr>
            <w:tcW w:w="3397" w:type="pct"/>
            <w:shd w:val="clear" w:color="auto" w:fill="auto"/>
            <w:vAlign w:val="center"/>
          </w:tcPr>
          <w:p>
            <w:pPr>
              <w:rPr>
                <w:rFonts w:ascii="宋体" w:hAnsi="宋体" w:eastAsia="宋体" w:cs="宋体"/>
                <w:color w:val="000000"/>
                <w:kern w:val="0"/>
                <w:szCs w:val="21"/>
              </w:rPr>
            </w:pPr>
            <w:r>
              <w:rPr>
                <w:rFonts w:hint="eastAsia" w:ascii="宋体" w:hAnsi="宋体" w:eastAsia="宋体" w:cs="宋体"/>
                <w:color w:val="000000"/>
                <w:kern w:val="0"/>
                <w:szCs w:val="21"/>
              </w:rPr>
              <w:t>至少支持2种视频播放类应用的账单数据获取，支持抖音、快手获取云端的账单数据</w:t>
            </w:r>
          </w:p>
        </w:tc>
        <w:tc>
          <w:tcPr>
            <w:tcW w:w="427" w:type="pct"/>
            <w:shd w:val="clear" w:color="auto" w:fill="auto"/>
            <w:noWrap/>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shd w:val="clear" w:color="auto" w:fill="auto"/>
            <w:noWrap/>
            <w:vAlign w:val="center"/>
          </w:tcPr>
          <w:p>
            <w:pPr>
              <w:numPr>
                <w:ilvl w:val="0"/>
                <w:numId w:val="87"/>
              </w:numPr>
              <w:spacing w:line="240" w:lineRule="auto"/>
              <w:ind w:left="0" w:leftChars="0" w:firstLine="0" w:firstLineChars="0"/>
              <w:jc w:val="center"/>
              <w:rPr>
                <w:rFonts w:ascii="宋体" w:hAnsi="宋体" w:cs="宋体" w:eastAsiaTheme="minorEastAsia"/>
                <w:color w:val="000000"/>
                <w:kern w:val="0"/>
                <w:szCs w:val="21"/>
              </w:rPr>
            </w:pPr>
          </w:p>
        </w:tc>
        <w:tc>
          <w:tcPr>
            <w:tcW w:w="331" w:type="pct"/>
            <w:shd w:val="clear" w:color="auto" w:fill="auto"/>
            <w:noWrap/>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w:t>
            </w:r>
          </w:p>
        </w:tc>
        <w:tc>
          <w:tcPr>
            <w:tcW w:w="562" w:type="pct"/>
            <w:vMerge w:val="continue"/>
            <w:vAlign w:val="center"/>
          </w:tcPr>
          <w:p>
            <w:pPr>
              <w:rPr>
                <w:rFonts w:ascii="宋体" w:hAnsi="宋体" w:eastAsia="宋体" w:cs="宋体"/>
                <w:color w:val="000000"/>
                <w:kern w:val="0"/>
                <w:szCs w:val="21"/>
              </w:rPr>
            </w:pPr>
          </w:p>
        </w:tc>
        <w:tc>
          <w:tcPr>
            <w:tcW w:w="3397" w:type="pct"/>
            <w:shd w:val="clear" w:color="auto" w:fill="auto"/>
            <w:vAlign w:val="center"/>
          </w:tcPr>
          <w:p>
            <w:pPr>
              <w:spacing w:beforeAutospacing="1" w:after="160" w:line="276" w:lineRule="auto"/>
              <w:rPr>
                <w:rFonts w:ascii="宋体" w:hAnsi="宋体" w:eastAsia="宋体" w:cs="宋体"/>
                <w:color w:val="000000"/>
                <w:kern w:val="0"/>
                <w:szCs w:val="21"/>
              </w:rPr>
            </w:pPr>
            <w:r>
              <w:rPr>
                <w:rFonts w:hint="eastAsia" w:ascii="宋体" w:hAnsi="宋体" w:eastAsia="宋体" w:cs="宋体"/>
                <w:color w:val="000000"/>
                <w:kern w:val="0"/>
                <w:szCs w:val="21"/>
                <w:lang w:val="en-US" w:bidi="ar"/>
              </w:rPr>
              <w:t>至少支持</w:t>
            </w:r>
            <w:r>
              <w:rPr>
                <w:rFonts w:ascii="宋体" w:hAnsi="宋体" w:eastAsia="宋体" w:cs="宋体"/>
                <w:color w:val="000000"/>
                <w:kern w:val="0"/>
                <w:szCs w:val="21"/>
                <w:lang w:bidi="ar"/>
              </w:rPr>
              <w:t>1</w:t>
            </w:r>
            <w:r>
              <w:rPr>
                <w:rFonts w:ascii="宋体" w:hAnsi="宋体" w:eastAsia="宋体" w:cs="宋体"/>
                <w:color w:val="000000"/>
                <w:kern w:val="0"/>
                <w:szCs w:val="21"/>
                <w:lang w:val="en-US" w:bidi="ar"/>
              </w:rPr>
              <w:t>个以上目标人信息的添加展示，通过设定目标人手机号、社交账号等信息，可跨应用、检材自动查询关联手机中的提取结果，并支持针对目标人导出报告</w:t>
            </w:r>
          </w:p>
        </w:tc>
        <w:tc>
          <w:tcPr>
            <w:tcW w:w="427" w:type="pct"/>
            <w:shd w:val="clear" w:color="auto" w:fill="auto"/>
            <w:noWrap/>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shd w:val="clear" w:color="auto" w:fill="auto"/>
            <w:noWrap/>
            <w:vAlign w:val="center"/>
          </w:tcPr>
          <w:p>
            <w:pPr>
              <w:numPr>
                <w:ilvl w:val="0"/>
                <w:numId w:val="87"/>
              </w:numPr>
              <w:spacing w:line="240" w:lineRule="auto"/>
              <w:ind w:left="0" w:leftChars="0" w:firstLine="0" w:firstLineChars="0"/>
              <w:jc w:val="center"/>
              <w:rPr>
                <w:rFonts w:ascii="宋体" w:hAnsi="宋体" w:cs="宋体" w:eastAsiaTheme="minorEastAsia"/>
                <w:color w:val="000000"/>
                <w:kern w:val="0"/>
                <w:szCs w:val="21"/>
              </w:rPr>
            </w:pPr>
          </w:p>
        </w:tc>
        <w:tc>
          <w:tcPr>
            <w:tcW w:w="331" w:type="pct"/>
            <w:shd w:val="clear" w:color="auto" w:fill="auto"/>
            <w:noWrap/>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w:t>
            </w:r>
          </w:p>
        </w:tc>
        <w:tc>
          <w:tcPr>
            <w:tcW w:w="562" w:type="pct"/>
            <w:vMerge w:val="continue"/>
            <w:vAlign w:val="center"/>
          </w:tcPr>
          <w:p>
            <w:pPr>
              <w:rPr>
                <w:rFonts w:ascii="宋体" w:hAnsi="宋体" w:eastAsia="宋体" w:cs="宋体"/>
                <w:color w:val="000000"/>
                <w:kern w:val="0"/>
                <w:szCs w:val="21"/>
              </w:rPr>
            </w:pPr>
          </w:p>
        </w:tc>
        <w:tc>
          <w:tcPr>
            <w:tcW w:w="3397" w:type="pct"/>
            <w:shd w:val="clear" w:color="auto" w:fill="auto"/>
            <w:vAlign w:val="center"/>
          </w:tcPr>
          <w:p>
            <w:pPr>
              <w:spacing w:beforeAutospacing="1" w:after="160" w:line="276" w:lineRule="auto"/>
              <w:rPr>
                <w:rFonts w:ascii="宋体" w:hAnsi="宋体" w:eastAsia="宋体" w:cs="宋体"/>
                <w:color w:val="000000"/>
                <w:kern w:val="0"/>
                <w:szCs w:val="21"/>
                <w:lang w:bidi="ar"/>
              </w:rPr>
            </w:pPr>
            <w:r>
              <w:rPr>
                <w:rFonts w:hint="eastAsia" w:ascii="宋体" w:hAnsi="宋体" w:eastAsia="宋体" w:cs="宋体"/>
                <w:color w:val="000000"/>
                <w:kern w:val="0"/>
                <w:szCs w:val="21"/>
                <w:lang w:val="en-US" w:bidi="ar"/>
              </w:rPr>
              <w:t>至少支持</w:t>
            </w:r>
            <w:r>
              <w:rPr>
                <w:rFonts w:ascii="宋体" w:hAnsi="宋体" w:eastAsia="宋体" w:cs="宋体"/>
                <w:color w:val="000000"/>
                <w:kern w:val="0"/>
                <w:szCs w:val="21"/>
                <w:lang w:val="en-US" w:bidi="ar"/>
              </w:rPr>
              <w:t>2条以上的故事线分析展示功能，支持对手机中的检材数据进行整合，以故事线的形式展现案件的发展，且可对故事线中的重点时间行为添加备注，快速理清整个案情</w:t>
            </w:r>
          </w:p>
        </w:tc>
        <w:tc>
          <w:tcPr>
            <w:tcW w:w="427" w:type="pct"/>
            <w:shd w:val="clear" w:color="auto" w:fill="auto"/>
            <w:noWrap/>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shd w:val="clear" w:color="auto" w:fill="auto"/>
            <w:noWrap/>
            <w:vAlign w:val="center"/>
          </w:tcPr>
          <w:p>
            <w:pPr>
              <w:numPr>
                <w:ilvl w:val="0"/>
                <w:numId w:val="87"/>
              </w:numPr>
              <w:spacing w:line="240" w:lineRule="auto"/>
              <w:ind w:left="0" w:leftChars="0" w:firstLine="0" w:firstLineChars="0"/>
              <w:jc w:val="center"/>
              <w:rPr>
                <w:rFonts w:ascii="宋体" w:hAnsi="宋体" w:eastAsia="宋体" w:cs="宋体"/>
                <w:color w:val="000000"/>
                <w:kern w:val="0"/>
                <w:szCs w:val="21"/>
              </w:rPr>
            </w:pPr>
          </w:p>
        </w:tc>
        <w:tc>
          <w:tcPr>
            <w:tcW w:w="331" w:type="pct"/>
            <w:shd w:val="clear" w:color="auto" w:fill="auto"/>
            <w:noWrap/>
            <w:vAlign w:val="center"/>
          </w:tcPr>
          <w:p>
            <w:pPr>
              <w:jc w:val="center"/>
              <w:rPr>
                <w:rFonts w:ascii="宋体" w:hAnsi="宋体" w:eastAsia="宋体" w:cs="宋体"/>
                <w:color w:val="000000"/>
                <w:kern w:val="0"/>
                <w:szCs w:val="21"/>
              </w:rPr>
            </w:pPr>
            <w:r>
              <w:rPr>
                <w:rFonts w:hint="eastAsia" w:ascii="宋体" w:hAnsi="宋体" w:eastAsia="宋体" w:cs="宋体"/>
                <w:color w:val="000000"/>
                <w:kern w:val="0"/>
                <w:szCs w:val="21"/>
              </w:rPr>
              <w:t>▲</w:t>
            </w:r>
          </w:p>
        </w:tc>
        <w:tc>
          <w:tcPr>
            <w:tcW w:w="562" w:type="pct"/>
            <w:vMerge w:val="continue"/>
            <w:vAlign w:val="center"/>
          </w:tcPr>
          <w:p>
            <w:pPr>
              <w:rPr>
                <w:rFonts w:ascii="宋体" w:hAnsi="宋体" w:eastAsia="宋体" w:cs="宋体"/>
                <w:color w:val="000000"/>
                <w:kern w:val="0"/>
                <w:szCs w:val="21"/>
              </w:rPr>
            </w:pPr>
          </w:p>
        </w:tc>
        <w:tc>
          <w:tcPr>
            <w:tcW w:w="3397" w:type="pct"/>
            <w:shd w:val="clear" w:color="auto" w:fill="auto"/>
            <w:vAlign w:val="center"/>
          </w:tcPr>
          <w:p>
            <w:pPr>
              <w:rPr>
                <w:rFonts w:ascii="宋体" w:hAnsi="宋体" w:cs="宋体" w:eastAsiaTheme="minorEastAsia"/>
                <w:color w:val="000000"/>
                <w:kern w:val="0"/>
                <w:szCs w:val="21"/>
              </w:rPr>
            </w:pPr>
            <w:r>
              <w:rPr>
                <w:rFonts w:hint="eastAsia" w:ascii="宋体" w:hAnsi="宋体" w:cs="宋体" w:eastAsiaTheme="minorEastAsia"/>
                <w:color w:val="000000"/>
                <w:kern w:val="0"/>
                <w:szCs w:val="21"/>
              </w:rPr>
              <w:t>至少支持4大分析功能：</w:t>
            </w:r>
          </w:p>
          <w:p>
            <w:pPr>
              <w:rPr>
                <w:rFonts w:ascii="宋体" w:hAnsi="宋体" w:cs="宋体" w:eastAsiaTheme="minorEastAsia"/>
                <w:color w:val="000000"/>
                <w:kern w:val="0"/>
                <w:szCs w:val="21"/>
              </w:rPr>
            </w:pPr>
            <w:r>
              <w:rPr>
                <w:rFonts w:hint="eastAsia" w:ascii="宋体" w:hAnsi="宋体" w:cs="宋体" w:eastAsiaTheme="minorEastAsia"/>
                <w:color w:val="000000"/>
                <w:kern w:val="0"/>
                <w:szCs w:val="21"/>
              </w:rPr>
              <w:t>支持多检材数据碰撞分析，通过智能算法碰撞匹配检材数据中共同的好友、事件等信息，可自定义检材、应用、碰撞内容进行分析；</w:t>
            </w:r>
          </w:p>
          <w:p>
            <w:pPr>
              <w:rPr>
                <w:rFonts w:ascii="宋体" w:hAnsi="宋体" w:cs="宋体" w:eastAsiaTheme="minorEastAsia"/>
                <w:color w:val="000000"/>
                <w:kern w:val="0"/>
                <w:szCs w:val="21"/>
              </w:rPr>
            </w:pPr>
            <w:r>
              <w:rPr>
                <w:rFonts w:hint="eastAsia" w:ascii="宋体" w:hAnsi="宋体" w:cs="宋体" w:eastAsiaTheme="minorEastAsia"/>
                <w:color w:val="000000"/>
                <w:kern w:val="0"/>
                <w:szCs w:val="21"/>
              </w:rPr>
              <w:t>支持已获取数据全局搜索，一键搜索案件下的所有检材应用数据，支持搜索结果进行上下文智能关联查看，搜索结果支持导出报告；</w:t>
            </w:r>
          </w:p>
          <w:p>
            <w:pPr>
              <w:rPr>
                <w:rFonts w:ascii="宋体" w:hAnsi="宋体" w:cs="宋体" w:eastAsiaTheme="minorEastAsia"/>
                <w:color w:val="000000"/>
                <w:kern w:val="0"/>
                <w:szCs w:val="21"/>
              </w:rPr>
            </w:pPr>
            <w:r>
              <w:rPr>
                <w:rFonts w:hint="eastAsia" w:ascii="宋体" w:hAnsi="宋体" w:cs="宋体" w:eastAsiaTheme="minorEastAsia"/>
                <w:color w:val="000000"/>
                <w:kern w:val="0"/>
                <w:szCs w:val="21"/>
              </w:rPr>
              <w:t>支持多维度筛选，可通过对检材中所有虚拟账号、通讯录对象、应用类型、消息类型等维度查找所需数据；支持各类常用地图导航类记录的出行轨迹分析；</w:t>
            </w:r>
          </w:p>
          <w:p>
            <w:pPr>
              <w:rPr>
                <w:rFonts w:ascii="宋体" w:hAnsi="宋体" w:eastAsia="宋体" w:cs="宋体"/>
                <w:color w:val="000000"/>
                <w:kern w:val="0"/>
                <w:szCs w:val="21"/>
                <w:highlight w:val="yellow"/>
                <w:lang w:bidi="ar"/>
              </w:rPr>
            </w:pPr>
            <w:r>
              <w:rPr>
                <w:rFonts w:hint="eastAsia" w:ascii="宋体" w:hAnsi="宋体" w:cs="宋体" w:eastAsiaTheme="minorEastAsia"/>
                <w:color w:val="000000"/>
                <w:kern w:val="0"/>
                <w:szCs w:val="21"/>
              </w:rPr>
              <w:t>支持各类APP获取的位置信息分析，如微信、支付宝等</w:t>
            </w:r>
          </w:p>
        </w:tc>
        <w:tc>
          <w:tcPr>
            <w:tcW w:w="427" w:type="pct"/>
            <w:shd w:val="clear" w:color="auto" w:fill="auto"/>
            <w:noWrap/>
            <w:vAlign w:val="center"/>
          </w:tcPr>
          <w:p>
            <w:pPr>
              <w:jc w:val="center"/>
              <w:rPr>
                <w:rFonts w:ascii="宋体" w:hAnsi="宋体" w:eastAsia="宋体" w:cs="宋体"/>
                <w:color w:val="000000"/>
                <w:kern w:val="0"/>
                <w:szCs w:val="21"/>
                <w:highlight w:val="yellow"/>
              </w:rPr>
            </w:pPr>
            <w:r>
              <w:rPr>
                <w:rFonts w:hint="eastAsia" w:ascii="宋体" w:hAnsi="宋体" w:eastAsia="宋体" w:cs="宋体"/>
                <w:color w:val="000000"/>
                <w:kern w:val="0"/>
                <w:szCs w:val="21"/>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 w:type="pct"/>
            <w:shd w:val="clear" w:color="auto" w:fill="auto"/>
            <w:noWrap/>
            <w:vAlign w:val="center"/>
          </w:tcPr>
          <w:p>
            <w:pPr>
              <w:numPr>
                <w:ilvl w:val="0"/>
                <w:numId w:val="87"/>
              </w:numPr>
              <w:spacing w:line="240" w:lineRule="auto"/>
              <w:ind w:left="0" w:leftChars="0" w:firstLine="0" w:firstLineChars="0"/>
              <w:jc w:val="center"/>
              <w:rPr>
                <w:rFonts w:ascii="宋体" w:hAnsi="宋体" w:eastAsia="宋体" w:cs="宋体"/>
                <w:color w:val="000000"/>
                <w:kern w:val="0"/>
                <w:szCs w:val="21"/>
              </w:rPr>
            </w:pPr>
          </w:p>
        </w:tc>
        <w:tc>
          <w:tcPr>
            <w:tcW w:w="331" w:type="pct"/>
            <w:shd w:val="clear" w:color="auto" w:fill="auto"/>
            <w:noWrap/>
            <w:vAlign w:val="center"/>
          </w:tcPr>
          <w:p>
            <w:pPr>
              <w:jc w:val="center"/>
              <w:rPr>
                <w:rFonts w:ascii="宋体" w:hAnsi="宋体" w:eastAsia="宋体" w:cs="宋体"/>
                <w:color w:val="000000"/>
                <w:kern w:val="0"/>
                <w:szCs w:val="21"/>
              </w:rPr>
            </w:pPr>
          </w:p>
        </w:tc>
        <w:tc>
          <w:tcPr>
            <w:tcW w:w="562" w:type="pct"/>
            <w:vMerge w:val="continue"/>
            <w:vAlign w:val="center"/>
          </w:tcPr>
          <w:p>
            <w:pPr>
              <w:rPr>
                <w:rFonts w:ascii="宋体" w:hAnsi="宋体" w:eastAsia="宋体" w:cs="宋体"/>
                <w:color w:val="000000"/>
                <w:kern w:val="0"/>
                <w:szCs w:val="21"/>
              </w:rPr>
            </w:pPr>
          </w:p>
        </w:tc>
        <w:tc>
          <w:tcPr>
            <w:tcW w:w="3397" w:type="pct"/>
            <w:shd w:val="clear" w:color="auto" w:fill="auto"/>
            <w:vAlign w:val="center"/>
          </w:tcPr>
          <w:p>
            <w:pPr>
              <w:rPr>
                <w:rFonts w:ascii="宋体" w:hAnsi="宋体" w:cs="宋体" w:eastAsiaTheme="minorEastAsia"/>
                <w:color w:val="000000"/>
                <w:kern w:val="0"/>
                <w:szCs w:val="21"/>
              </w:rPr>
            </w:pPr>
            <w:r>
              <w:rPr>
                <w:rFonts w:hint="eastAsia" w:ascii="宋体" w:hAnsi="宋体" w:cs="宋体" w:eastAsiaTheme="minorEastAsia"/>
                <w:color w:val="000000"/>
                <w:kern w:val="0"/>
                <w:szCs w:val="21"/>
              </w:rPr>
              <w:t>至少支持3大数据挖掘功能：</w:t>
            </w:r>
          </w:p>
          <w:p>
            <w:pPr>
              <w:rPr>
                <w:rFonts w:ascii="宋体" w:hAnsi="宋体" w:cs="宋体" w:eastAsiaTheme="minorEastAsia"/>
                <w:color w:val="000000"/>
                <w:kern w:val="0"/>
                <w:szCs w:val="21"/>
              </w:rPr>
            </w:pPr>
            <w:r>
              <w:rPr>
                <w:rFonts w:hint="eastAsia" w:ascii="宋体" w:hAnsi="宋体" w:cs="宋体" w:eastAsiaTheme="minorEastAsia"/>
                <w:color w:val="000000"/>
                <w:kern w:val="0"/>
                <w:szCs w:val="21"/>
              </w:rPr>
              <w:t>支持根据社交频率、特殊时间、敏感词汇对手机采集到的数据进行汇总分析，实现对已采集的手机数据进行智能分析</w:t>
            </w:r>
          </w:p>
          <w:p>
            <w:pPr>
              <w:rPr>
                <w:rFonts w:ascii="宋体" w:hAnsi="宋体" w:cs="宋体" w:eastAsiaTheme="minorEastAsia"/>
                <w:color w:val="000000"/>
                <w:kern w:val="0"/>
                <w:szCs w:val="21"/>
              </w:rPr>
            </w:pPr>
            <w:r>
              <w:rPr>
                <w:rFonts w:hint="eastAsia" w:ascii="宋体" w:hAnsi="宋体" w:cs="宋体" w:eastAsiaTheme="minorEastAsia"/>
                <w:color w:val="000000"/>
                <w:kern w:val="0"/>
                <w:szCs w:val="21"/>
              </w:rPr>
              <w:t>支持对检材中的海量数据进行涉案关键信息快速匹配，支持常用涉案词库预置功能，对任一案件可以灵活使用不同涉案词库，快速聚焦黄、赌、毒、诈骗等聊天数据，掌握高命中敏感词的社交对象</w:t>
            </w:r>
          </w:p>
          <w:p>
            <w:pPr>
              <w:rPr>
                <w:rFonts w:ascii="宋体" w:hAnsi="宋体" w:eastAsia="宋体" w:cs="宋体"/>
                <w:color w:val="000000"/>
                <w:kern w:val="0"/>
                <w:szCs w:val="21"/>
              </w:rPr>
            </w:pPr>
            <w:r>
              <w:rPr>
                <w:rFonts w:hint="eastAsia" w:ascii="宋体" w:hAnsi="宋体" w:cs="宋体" w:eastAsiaTheme="minorEastAsia"/>
                <w:color w:val="000000"/>
                <w:kern w:val="0"/>
                <w:szCs w:val="21"/>
              </w:rPr>
              <w:t>支持检材数据的标记功能，可自定义标记内容，支持检材中的联系人、事件、附件分类标记，支持跨检材对标记内容自动整合查看</w:t>
            </w:r>
          </w:p>
        </w:tc>
        <w:tc>
          <w:tcPr>
            <w:tcW w:w="427" w:type="pct"/>
            <w:shd w:val="clear" w:color="auto" w:fill="auto"/>
            <w:noWrap/>
            <w:vAlign w:val="center"/>
          </w:tcPr>
          <w:p>
            <w:pPr>
              <w:jc w:val="center"/>
              <w:rPr>
                <w:rFonts w:ascii="宋体" w:hAnsi="宋体" w:eastAsia="宋体" w:cs="宋体"/>
                <w:color w:val="000000"/>
                <w:kern w:val="0"/>
                <w:szCs w:val="21"/>
              </w:rPr>
            </w:pPr>
            <w:r>
              <w:rPr>
                <w:rFonts w:hint="eastAsia" w:ascii="宋体" w:hAnsi="宋体" w:cs="宋体" w:eastAsiaTheme="minorEastAsia"/>
                <w:color w:val="000000"/>
                <w:kern w:val="0"/>
                <w:szCs w:val="21"/>
              </w:rPr>
              <w:t>承诺函</w:t>
            </w:r>
          </w:p>
        </w:tc>
      </w:tr>
    </w:tbl>
    <w:p>
      <w:pPr>
        <w:pStyle w:val="5"/>
        <w:spacing w:before="15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第3包 数据恢复设备</w:t>
      </w:r>
      <w:r>
        <w:rPr>
          <w:rFonts w:hint="default" w:ascii="Times New Roman" w:hAnsi="Times New Roman" w:cs="Times New Roman" w:eastAsiaTheme="minorEastAsia"/>
          <w:szCs w:val="21"/>
        </w:rPr>
        <w:t>Ⅱ</w:t>
      </w:r>
    </w:p>
    <w:tbl>
      <w:tblPr>
        <w:tblStyle w:val="81"/>
        <w:tblW w:w="457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0"/>
        <w:gridCol w:w="618"/>
        <w:gridCol w:w="928"/>
        <w:gridCol w:w="5482"/>
        <w:gridCol w:w="7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77" w:type="pct"/>
            <w:shd w:val="clear" w:color="auto" w:fill="auto"/>
            <w:vAlign w:val="center"/>
          </w:tcPr>
          <w:p>
            <w:pPr>
              <w:jc w:val="center"/>
              <w:rPr>
                <w:rFonts w:ascii="宋体" w:hAnsi="宋体" w:cs="宋体" w:eastAsiaTheme="minorEastAsia"/>
                <w:b/>
                <w:bCs/>
                <w:color w:val="000000"/>
                <w:kern w:val="0"/>
                <w:szCs w:val="21"/>
              </w:rPr>
            </w:pPr>
            <w:r>
              <w:rPr>
                <w:rFonts w:hint="eastAsia" w:ascii="宋体" w:hAnsi="宋体" w:cs="宋体" w:eastAsiaTheme="minorEastAsia"/>
                <w:b/>
                <w:bCs/>
                <w:color w:val="000000"/>
                <w:kern w:val="0"/>
                <w:szCs w:val="21"/>
              </w:rPr>
              <w:t>序号</w:t>
            </w:r>
          </w:p>
        </w:tc>
        <w:tc>
          <w:tcPr>
            <w:tcW w:w="372" w:type="pct"/>
            <w:shd w:val="clear" w:color="auto" w:fill="auto"/>
            <w:vAlign w:val="center"/>
          </w:tcPr>
          <w:p>
            <w:pPr>
              <w:jc w:val="center"/>
              <w:rPr>
                <w:rFonts w:ascii="宋体" w:hAnsi="宋体" w:cs="宋体" w:eastAsiaTheme="minorEastAsia"/>
                <w:b/>
                <w:bCs/>
                <w:color w:val="000000"/>
                <w:kern w:val="0"/>
                <w:szCs w:val="21"/>
              </w:rPr>
            </w:pPr>
            <w:r>
              <w:rPr>
                <w:rFonts w:hint="eastAsia" w:ascii="宋体" w:hAnsi="宋体" w:cs="宋体" w:eastAsiaTheme="minorEastAsia"/>
                <w:b/>
                <w:bCs/>
                <w:color w:val="000000"/>
                <w:kern w:val="0"/>
                <w:szCs w:val="21"/>
              </w:rPr>
              <w:t>重要性</w:t>
            </w:r>
          </w:p>
        </w:tc>
        <w:tc>
          <w:tcPr>
            <w:tcW w:w="560" w:type="pct"/>
            <w:shd w:val="clear" w:color="auto" w:fill="auto"/>
            <w:vAlign w:val="center"/>
          </w:tcPr>
          <w:p>
            <w:pPr>
              <w:jc w:val="center"/>
              <w:rPr>
                <w:rFonts w:ascii="宋体" w:hAnsi="宋体" w:cs="宋体" w:eastAsiaTheme="minorEastAsia"/>
                <w:b/>
                <w:bCs/>
                <w:color w:val="000000"/>
                <w:kern w:val="0"/>
                <w:szCs w:val="21"/>
              </w:rPr>
            </w:pPr>
            <w:r>
              <w:rPr>
                <w:rFonts w:hint="eastAsia" w:ascii="宋体" w:hAnsi="宋体" w:cs="宋体" w:eastAsiaTheme="minorEastAsia"/>
                <w:b/>
                <w:bCs/>
                <w:color w:val="000000"/>
                <w:kern w:val="0"/>
                <w:szCs w:val="21"/>
              </w:rPr>
              <w:t>指标项</w:t>
            </w:r>
          </w:p>
        </w:tc>
        <w:tc>
          <w:tcPr>
            <w:tcW w:w="3308" w:type="pct"/>
            <w:shd w:val="clear" w:color="auto" w:fill="auto"/>
            <w:vAlign w:val="center"/>
          </w:tcPr>
          <w:p>
            <w:pPr>
              <w:jc w:val="center"/>
              <w:rPr>
                <w:rFonts w:ascii="宋体" w:hAnsi="宋体" w:cs="宋体" w:eastAsiaTheme="minorEastAsia"/>
                <w:b/>
                <w:bCs/>
                <w:color w:val="000000"/>
                <w:kern w:val="0"/>
                <w:szCs w:val="21"/>
              </w:rPr>
            </w:pPr>
            <w:r>
              <w:rPr>
                <w:rFonts w:hint="eastAsia" w:ascii="宋体" w:hAnsi="宋体" w:cs="宋体" w:eastAsiaTheme="minorEastAsia"/>
                <w:b/>
                <w:bCs/>
                <w:color w:val="000000"/>
                <w:kern w:val="0"/>
                <w:szCs w:val="21"/>
              </w:rPr>
              <w:t>指标要求</w:t>
            </w:r>
          </w:p>
        </w:tc>
        <w:tc>
          <w:tcPr>
            <w:tcW w:w="481" w:type="pct"/>
            <w:shd w:val="clear" w:color="auto" w:fill="auto"/>
            <w:vAlign w:val="center"/>
          </w:tcPr>
          <w:p>
            <w:pPr>
              <w:jc w:val="center"/>
              <w:rPr>
                <w:rFonts w:ascii="宋体" w:hAnsi="宋体" w:cs="宋体" w:eastAsiaTheme="minorEastAsia"/>
                <w:b/>
                <w:bCs/>
                <w:color w:val="000000"/>
                <w:kern w:val="0"/>
                <w:szCs w:val="21"/>
              </w:rPr>
            </w:pPr>
            <w:r>
              <w:rPr>
                <w:rFonts w:hint="eastAsia" w:ascii="宋体" w:hAnsi="宋体" w:cs="宋体" w:eastAsiaTheme="minorEastAsia"/>
                <w:b/>
                <w:bCs/>
                <w:color w:val="000000"/>
                <w:kern w:val="0"/>
                <w:szCs w:val="21"/>
              </w:rPr>
              <w:t>证明材料要求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77" w:type="pct"/>
            <w:shd w:val="clear" w:color="auto" w:fill="auto"/>
            <w:noWrap/>
            <w:vAlign w:val="center"/>
          </w:tcPr>
          <w:p>
            <w:pPr>
              <w:numPr>
                <w:ilvl w:val="0"/>
                <w:numId w:val="87"/>
              </w:numPr>
              <w:spacing w:line="240" w:lineRule="auto"/>
              <w:ind w:left="0" w:leftChars="0" w:firstLine="0" w:firstLineChars="0"/>
              <w:jc w:val="center"/>
              <w:rPr>
                <w:rFonts w:ascii="宋体" w:hAnsi="宋体" w:cs="宋体" w:eastAsiaTheme="minorEastAsia"/>
                <w:color w:val="000000"/>
                <w:kern w:val="0"/>
                <w:szCs w:val="21"/>
              </w:rPr>
            </w:pPr>
          </w:p>
        </w:tc>
        <w:tc>
          <w:tcPr>
            <w:tcW w:w="372" w:type="pct"/>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w:t>
            </w:r>
          </w:p>
        </w:tc>
        <w:tc>
          <w:tcPr>
            <w:tcW w:w="560" w:type="pct"/>
            <w:vMerge w:val="restart"/>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视频恢复</w:t>
            </w:r>
          </w:p>
        </w:tc>
        <w:tc>
          <w:tcPr>
            <w:tcW w:w="3308" w:type="pct"/>
            <w:shd w:val="clear" w:color="auto" w:fill="auto"/>
            <w:vAlign w:val="center"/>
          </w:tcPr>
          <w:p>
            <w:pPr>
              <w:jc w:val="both"/>
              <w:rPr>
                <w:rFonts w:ascii="宋体" w:hAnsi="宋体" w:cs="宋体" w:eastAsiaTheme="minorEastAsia"/>
                <w:color w:val="000000"/>
                <w:kern w:val="0"/>
                <w:szCs w:val="21"/>
              </w:rPr>
            </w:pPr>
            <w:r>
              <w:rPr>
                <w:rFonts w:hint="eastAsia" w:ascii="宋体" w:hAnsi="宋体" w:cs="宋体" w:eastAsiaTheme="minorEastAsia"/>
                <w:color w:val="000000"/>
                <w:kern w:val="0"/>
                <w:szCs w:val="21"/>
              </w:rPr>
              <w:t>至少支持3款有硬盘锁的监控录像机硬盘解锁，包括海康DS-71系列、DS-78系列、DS-79系列、DS-88系列型号</w:t>
            </w:r>
          </w:p>
        </w:tc>
        <w:tc>
          <w:tcPr>
            <w:tcW w:w="481" w:type="pct"/>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77" w:type="pct"/>
            <w:shd w:val="clear" w:color="auto" w:fill="auto"/>
            <w:noWrap/>
            <w:vAlign w:val="center"/>
          </w:tcPr>
          <w:p>
            <w:pPr>
              <w:numPr>
                <w:ilvl w:val="0"/>
                <w:numId w:val="87"/>
              </w:numPr>
              <w:spacing w:line="240" w:lineRule="auto"/>
              <w:ind w:left="0" w:leftChars="0" w:firstLine="0" w:firstLineChars="0"/>
              <w:jc w:val="center"/>
              <w:rPr>
                <w:rFonts w:ascii="宋体" w:hAnsi="宋体" w:cs="宋体" w:eastAsiaTheme="minorEastAsia"/>
                <w:color w:val="000000"/>
                <w:kern w:val="0"/>
                <w:szCs w:val="21"/>
              </w:rPr>
            </w:pPr>
          </w:p>
        </w:tc>
        <w:tc>
          <w:tcPr>
            <w:tcW w:w="372" w:type="pct"/>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w:t>
            </w:r>
          </w:p>
        </w:tc>
        <w:tc>
          <w:tcPr>
            <w:tcW w:w="560" w:type="pct"/>
            <w:vMerge w:val="continue"/>
            <w:vAlign w:val="center"/>
          </w:tcPr>
          <w:p>
            <w:pPr>
              <w:rPr>
                <w:rFonts w:ascii="宋体" w:hAnsi="宋体" w:cs="宋体" w:eastAsiaTheme="minorEastAsia"/>
                <w:color w:val="000000"/>
                <w:kern w:val="0"/>
                <w:szCs w:val="21"/>
              </w:rPr>
            </w:pPr>
          </w:p>
        </w:tc>
        <w:tc>
          <w:tcPr>
            <w:tcW w:w="3308" w:type="pct"/>
            <w:shd w:val="clear" w:color="auto" w:fill="auto"/>
            <w:noWrap/>
            <w:vAlign w:val="center"/>
          </w:tcPr>
          <w:p>
            <w:pPr>
              <w:jc w:val="both"/>
              <w:rPr>
                <w:rFonts w:ascii="宋体" w:hAnsi="宋体" w:cs="宋体" w:eastAsiaTheme="minorEastAsia"/>
                <w:color w:val="000000"/>
                <w:kern w:val="0"/>
                <w:szCs w:val="21"/>
              </w:rPr>
            </w:pPr>
            <w:r>
              <w:rPr>
                <w:rFonts w:hint="eastAsia" w:ascii="宋体" w:hAnsi="宋体" w:cs="宋体" w:eastAsiaTheme="minorEastAsia"/>
                <w:color w:val="000000"/>
                <w:kern w:val="0"/>
                <w:szCs w:val="21"/>
              </w:rPr>
              <w:t>至少支持2种视频格式，通过学习样本文件结构的方式，恢复修复视频，包括MP4、AVI格式</w:t>
            </w:r>
          </w:p>
        </w:tc>
        <w:tc>
          <w:tcPr>
            <w:tcW w:w="481" w:type="pct"/>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77" w:type="pct"/>
            <w:shd w:val="clear" w:color="auto" w:fill="auto"/>
            <w:noWrap/>
            <w:vAlign w:val="center"/>
          </w:tcPr>
          <w:p>
            <w:pPr>
              <w:numPr>
                <w:ilvl w:val="0"/>
                <w:numId w:val="87"/>
              </w:numPr>
              <w:spacing w:line="240" w:lineRule="auto"/>
              <w:ind w:left="0" w:leftChars="0" w:firstLine="0" w:firstLineChars="0"/>
              <w:jc w:val="center"/>
              <w:rPr>
                <w:rFonts w:ascii="宋体" w:hAnsi="宋体" w:cs="宋体" w:eastAsiaTheme="minorEastAsia"/>
                <w:color w:val="000000"/>
                <w:kern w:val="0"/>
                <w:szCs w:val="21"/>
              </w:rPr>
            </w:pPr>
          </w:p>
        </w:tc>
        <w:tc>
          <w:tcPr>
            <w:tcW w:w="372" w:type="pct"/>
            <w:shd w:val="clear" w:color="auto" w:fill="auto"/>
            <w:noWrap/>
            <w:vAlign w:val="center"/>
          </w:tcPr>
          <w:p>
            <w:pPr>
              <w:jc w:val="center"/>
              <w:rPr>
                <w:rFonts w:ascii="宋体" w:hAnsi="宋体" w:cs="宋体" w:eastAsiaTheme="minorEastAsia"/>
                <w:color w:val="000000"/>
                <w:kern w:val="0"/>
                <w:szCs w:val="21"/>
              </w:rPr>
            </w:pPr>
          </w:p>
        </w:tc>
        <w:tc>
          <w:tcPr>
            <w:tcW w:w="560" w:type="pct"/>
            <w:vMerge w:val="continue"/>
            <w:vAlign w:val="center"/>
          </w:tcPr>
          <w:p>
            <w:pPr>
              <w:rPr>
                <w:rFonts w:ascii="宋体" w:hAnsi="宋体" w:cs="宋体" w:eastAsiaTheme="minorEastAsia"/>
                <w:color w:val="000000"/>
                <w:kern w:val="0"/>
                <w:szCs w:val="21"/>
              </w:rPr>
            </w:pPr>
          </w:p>
        </w:tc>
        <w:tc>
          <w:tcPr>
            <w:tcW w:w="3308" w:type="pct"/>
            <w:shd w:val="clear" w:color="auto" w:fill="auto"/>
            <w:noWrap/>
            <w:vAlign w:val="center"/>
          </w:tcPr>
          <w:p>
            <w:pPr>
              <w:jc w:val="both"/>
              <w:rPr>
                <w:rFonts w:ascii="宋体" w:hAnsi="宋体" w:cs="宋体" w:eastAsiaTheme="minorEastAsia"/>
                <w:color w:val="000000"/>
                <w:kern w:val="0"/>
                <w:szCs w:val="21"/>
                <w:highlight w:val="cyan"/>
              </w:rPr>
            </w:pPr>
            <w:r>
              <w:rPr>
                <w:rFonts w:hint="eastAsia" w:ascii="宋体" w:hAnsi="宋体" w:cs="宋体" w:eastAsiaTheme="minorEastAsia"/>
                <w:color w:val="000000"/>
                <w:kern w:val="0"/>
                <w:szCs w:val="21"/>
                <w:highlight w:val="none"/>
                <w:lang w:val="en-US" w:eastAsia="zh-CN"/>
              </w:rPr>
              <w:t>至少支持2种监控视频目录解析功能，包括</w:t>
            </w:r>
            <w:r>
              <w:rPr>
                <w:rFonts w:hint="eastAsia" w:ascii="宋体" w:hAnsi="宋体" w:cs="宋体" w:eastAsiaTheme="minorEastAsia"/>
                <w:color w:val="000000"/>
                <w:kern w:val="0"/>
                <w:szCs w:val="21"/>
                <w:highlight w:val="none"/>
              </w:rPr>
              <w:t>监控文件系统的</w:t>
            </w:r>
            <w:r>
              <w:rPr>
                <w:rFonts w:hint="eastAsia" w:ascii="宋体" w:hAnsi="宋体" w:cs="宋体" w:eastAsiaTheme="minorEastAsia"/>
                <w:color w:val="000000"/>
                <w:kern w:val="0"/>
                <w:szCs w:val="21"/>
                <w:highlight w:val="none"/>
                <w:lang w:val="en-US" w:eastAsia="zh-CN"/>
              </w:rPr>
              <w:t>监控视频</w:t>
            </w:r>
            <w:r>
              <w:rPr>
                <w:rFonts w:hint="eastAsia" w:ascii="宋体" w:hAnsi="宋体" w:cs="宋体" w:eastAsiaTheme="minorEastAsia"/>
                <w:color w:val="000000"/>
                <w:kern w:val="0"/>
                <w:szCs w:val="21"/>
                <w:highlight w:val="none"/>
              </w:rPr>
              <w:t>目录</w:t>
            </w:r>
            <w:r>
              <w:rPr>
                <w:rFonts w:hint="eastAsia" w:ascii="宋体" w:hAnsi="宋体" w:cs="宋体" w:eastAsiaTheme="minorEastAsia"/>
                <w:color w:val="000000"/>
                <w:kern w:val="0"/>
                <w:szCs w:val="21"/>
                <w:highlight w:val="none"/>
                <w:lang w:val="en-US" w:eastAsia="zh-CN"/>
              </w:rPr>
              <w:t>条目</w:t>
            </w:r>
            <w:r>
              <w:rPr>
                <w:rFonts w:hint="eastAsia" w:ascii="宋体" w:hAnsi="宋体" w:cs="宋体" w:eastAsiaTheme="minorEastAsia"/>
                <w:color w:val="000000"/>
                <w:kern w:val="0"/>
                <w:szCs w:val="21"/>
                <w:highlight w:val="none"/>
              </w:rPr>
              <w:t>解析</w:t>
            </w:r>
            <w:r>
              <w:rPr>
                <w:rFonts w:hint="eastAsia" w:ascii="宋体" w:hAnsi="宋体" w:cs="宋体" w:eastAsiaTheme="minorEastAsia"/>
                <w:color w:val="000000"/>
                <w:kern w:val="0"/>
                <w:szCs w:val="21"/>
                <w:highlight w:val="none"/>
                <w:lang w:eastAsia="zh-CN"/>
              </w:rPr>
              <w:t>、</w:t>
            </w:r>
            <w:r>
              <w:rPr>
                <w:rFonts w:hint="eastAsia" w:ascii="宋体" w:hAnsi="宋体" w:cs="宋体" w:eastAsiaTheme="minorEastAsia"/>
                <w:color w:val="000000"/>
                <w:kern w:val="0"/>
                <w:szCs w:val="21"/>
                <w:highlight w:val="none"/>
              </w:rPr>
              <w:t>目录现有时间范围以外的视频片段</w:t>
            </w:r>
            <w:r>
              <w:rPr>
                <w:rFonts w:hint="eastAsia" w:ascii="宋体" w:hAnsi="宋体" w:cs="宋体" w:eastAsiaTheme="minorEastAsia"/>
                <w:color w:val="000000"/>
                <w:kern w:val="0"/>
                <w:szCs w:val="21"/>
                <w:highlight w:val="none"/>
                <w:lang w:val="en-US" w:eastAsia="zh-CN"/>
              </w:rPr>
              <w:t>解析</w:t>
            </w:r>
          </w:p>
        </w:tc>
        <w:tc>
          <w:tcPr>
            <w:tcW w:w="481" w:type="pct"/>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77" w:type="pct"/>
            <w:shd w:val="clear" w:color="auto" w:fill="auto"/>
            <w:noWrap/>
            <w:vAlign w:val="center"/>
          </w:tcPr>
          <w:p>
            <w:pPr>
              <w:numPr>
                <w:ilvl w:val="0"/>
                <w:numId w:val="87"/>
              </w:numPr>
              <w:spacing w:line="240" w:lineRule="auto"/>
              <w:ind w:left="0" w:leftChars="0" w:firstLine="0" w:firstLineChars="0"/>
              <w:jc w:val="center"/>
              <w:rPr>
                <w:rFonts w:ascii="宋体" w:hAnsi="宋体" w:cs="宋体" w:eastAsiaTheme="minorEastAsia"/>
                <w:color w:val="000000"/>
                <w:kern w:val="0"/>
                <w:szCs w:val="21"/>
              </w:rPr>
            </w:pPr>
          </w:p>
        </w:tc>
        <w:tc>
          <w:tcPr>
            <w:tcW w:w="372" w:type="pct"/>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w:t>
            </w:r>
          </w:p>
        </w:tc>
        <w:tc>
          <w:tcPr>
            <w:tcW w:w="560" w:type="pct"/>
            <w:vMerge w:val="restart"/>
            <w:shd w:val="clear" w:color="auto" w:fill="auto"/>
            <w:noWrap/>
            <w:vAlign w:val="center"/>
          </w:tcPr>
          <w:p>
            <w:pPr>
              <w:jc w:val="center"/>
              <w:rPr>
                <w:rFonts w:ascii="宋体" w:hAnsi="宋体" w:cs="宋体" w:eastAsiaTheme="minorEastAsia"/>
                <w:kern w:val="0"/>
                <w:szCs w:val="21"/>
              </w:rPr>
            </w:pPr>
            <w:r>
              <w:rPr>
                <w:rFonts w:hint="eastAsia" w:ascii="宋体" w:hAnsi="宋体" w:cs="宋体" w:eastAsiaTheme="minorEastAsia"/>
                <w:kern w:val="0"/>
                <w:szCs w:val="21"/>
              </w:rPr>
              <w:t>硬盘故障修复</w:t>
            </w:r>
          </w:p>
        </w:tc>
        <w:tc>
          <w:tcPr>
            <w:tcW w:w="3308" w:type="pct"/>
            <w:shd w:val="clear" w:color="auto" w:fill="auto"/>
            <w:noWrap/>
            <w:vAlign w:val="center"/>
          </w:tcPr>
          <w:p>
            <w:pPr>
              <w:jc w:val="both"/>
              <w:rPr>
                <w:rFonts w:ascii="宋体" w:hAnsi="宋体" w:cs="宋体" w:eastAsiaTheme="minorEastAsia"/>
                <w:kern w:val="0"/>
                <w:szCs w:val="21"/>
              </w:rPr>
            </w:pPr>
            <w:r>
              <w:rPr>
                <w:rFonts w:hint="eastAsia" w:ascii="宋体" w:hAnsi="宋体" w:cs="宋体" w:eastAsiaTheme="minorEastAsia"/>
                <w:kern w:val="0"/>
                <w:szCs w:val="21"/>
              </w:rPr>
              <w:t>至少支持</w:t>
            </w:r>
            <w:r>
              <w:rPr>
                <w:rFonts w:ascii="宋体" w:hAnsi="宋体" w:cs="宋体" w:eastAsiaTheme="minorEastAsia"/>
                <w:kern w:val="0"/>
                <w:szCs w:val="21"/>
              </w:rPr>
              <w:t>15种类型接口的存储介质无需外置连接线对接，并且可实现</w:t>
            </w:r>
            <w:r>
              <w:rPr>
                <w:rFonts w:hint="eastAsia" w:ascii="宋体" w:hAnsi="宋体" w:cs="宋体" w:eastAsiaTheme="minorEastAsia"/>
                <w:kern w:val="0"/>
                <w:szCs w:val="21"/>
              </w:rPr>
              <w:t>只读映射</w:t>
            </w:r>
          </w:p>
        </w:tc>
        <w:tc>
          <w:tcPr>
            <w:tcW w:w="481" w:type="pct"/>
            <w:shd w:val="clear" w:color="auto" w:fill="auto"/>
            <w:noWrap/>
            <w:vAlign w:val="center"/>
          </w:tcPr>
          <w:p>
            <w:pPr>
              <w:jc w:val="center"/>
              <w:rPr>
                <w:rFonts w:ascii="宋体" w:hAnsi="宋体" w:cs="宋体" w:eastAsiaTheme="minorEastAsia"/>
                <w:kern w:val="0"/>
                <w:szCs w:val="21"/>
              </w:rPr>
            </w:pPr>
            <w:r>
              <w:rPr>
                <w:rFonts w:hint="eastAsia" w:ascii="宋体" w:hAnsi="宋体" w:cs="宋体" w:eastAsiaTheme="minorEastAsia"/>
                <w:kern w:val="0"/>
                <w:szCs w:val="21"/>
              </w:rPr>
              <w:t>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77" w:type="pct"/>
            <w:shd w:val="clear" w:color="auto" w:fill="auto"/>
            <w:noWrap/>
            <w:vAlign w:val="center"/>
          </w:tcPr>
          <w:p>
            <w:pPr>
              <w:numPr>
                <w:ilvl w:val="0"/>
                <w:numId w:val="87"/>
              </w:numPr>
              <w:spacing w:line="240" w:lineRule="auto"/>
              <w:ind w:left="0" w:leftChars="0" w:firstLine="0" w:firstLineChars="0"/>
              <w:jc w:val="center"/>
              <w:rPr>
                <w:rFonts w:ascii="宋体" w:hAnsi="宋体" w:cs="宋体" w:eastAsiaTheme="minorEastAsia"/>
                <w:color w:val="000000"/>
                <w:kern w:val="0"/>
                <w:szCs w:val="21"/>
              </w:rPr>
            </w:pPr>
          </w:p>
        </w:tc>
        <w:tc>
          <w:tcPr>
            <w:tcW w:w="372" w:type="pct"/>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w:t>
            </w:r>
          </w:p>
        </w:tc>
        <w:tc>
          <w:tcPr>
            <w:tcW w:w="560" w:type="pct"/>
            <w:vMerge w:val="continue"/>
            <w:vAlign w:val="center"/>
          </w:tcPr>
          <w:p>
            <w:pPr>
              <w:rPr>
                <w:rFonts w:ascii="宋体" w:hAnsi="宋体" w:cs="宋体" w:eastAsiaTheme="minorEastAsia"/>
                <w:kern w:val="0"/>
                <w:szCs w:val="21"/>
              </w:rPr>
            </w:pPr>
          </w:p>
        </w:tc>
        <w:tc>
          <w:tcPr>
            <w:tcW w:w="3308" w:type="pct"/>
            <w:shd w:val="clear" w:color="auto" w:fill="auto"/>
            <w:vAlign w:val="center"/>
          </w:tcPr>
          <w:p>
            <w:pPr>
              <w:jc w:val="both"/>
              <w:rPr>
                <w:rFonts w:ascii="宋体" w:hAnsi="宋体" w:cs="宋体" w:eastAsiaTheme="minorEastAsia"/>
                <w:kern w:val="0"/>
                <w:szCs w:val="21"/>
              </w:rPr>
            </w:pPr>
            <w:r>
              <w:rPr>
                <w:rFonts w:hint="eastAsia" w:ascii="宋体" w:hAnsi="宋体" w:cs="宋体" w:eastAsiaTheme="minorEastAsia"/>
                <w:kern w:val="0"/>
                <w:szCs w:val="21"/>
              </w:rPr>
              <w:t>至少支持10个型号的SMR类型机械硬盘在被格式化TRIM清零后的数据提取，包括西部数据WD20EZAZ、WD20EZBX、WD30EZAZ、WD40EZAZ、WD60EZAZ、WD500LPSX、WD10SPZX、WD20SPZX、WD10SPSX、WD20EFAX、WD30EFAX、WD40EFAX型号</w:t>
            </w:r>
          </w:p>
        </w:tc>
        <w:tc>
          <w:tcPr>
            <w:tcW w:w="481" w:type="pct"/>
            <w:shd w:val="clear" w:color="auto" w:fill="auto"/>
            <w:noWrap/>
            <w:vAlign w:val="center"/>
          </w:tcPr>
          <w:p>
            <w:pPr>
              <w:jc w:val="center"/>
              <w:rPr>
                <w:rFonts w:ascii="宋体" w:hAnsi="宋体" w:cs="宋体" w:eastAsiaTheme="minorEastAsia"/>
                <w:kern w:val="0"/>
                <w:szCs w:val="21"/>
              </w:rPr>
            </w:pPr>
            <w:r>
              <w:rPr>
                <w:rFonts w:hint="eastAsia" w:ascii="宋体" w:hAnsi="宋体" w:cs="宋体" w:eastAsiaTheme="minorEastAsia"/>
                <w:kern w:val="0"/>
                <w:szCs w:val="21"/>
              </w:rPr>
              <w:t>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277" w:type="pct"/>
            <w:shd w:val="clear" w:color="auto" w:fill="auto"/>
            <w:noWrap/>
            <w:vAlign w:val="center"/>
          </w:tcPr>
          <w:p>
            <w:pPr>
              <w:numPr>
                <w:ilvl w:val="0"/>
                <w:numId w:val="87"/>
              </w:numPr>
              <w:spacing w:line="240" w:lineRule="auto"/>
              <w:ind w:left="0" w:leftChars="0" w:firstLine="0" w:firstLineChars="0"/>
              <w:jc w:val="center"/>
              <w:rPr>
                <w:rFonts w:ascii="宋体" w:hAnsi="宋体" w:cs="宋体" w:eastAsiaTheme="minorEastAsia"/>
                <w:color w:val="000000"/>
                <w:kern w:val="0"/>
                <w:szCs w:val="21"/>
              </w:rPr>
            </w:pPr>
          </w:p>
        </w:tc>
        <w:tc>
          <w:tcPr>
            <w:tcW w:w="372" w:type="pct"/>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w:t>
            </w:r>
          </w:p>
        </w:tc>
        <w:tc>
          <w:tcPr>
            <w:tcW w:w="560" w:type="pct"/>
            <w:vMerge w:val="continue"/>
            <w:vAlign w:val="center"/>
          </w:tcPr>
          <w:p>
            <w:pPr>
              <w:rPr>
                <w:rFonts w:ascii="宋体" w:hAnsi="宋体" w:cs="宋体" w:eastAsiaTheme="minorEastAsia"/>
                <w:kern w:val="0"/>
                <w:szCs w:val="21"/>
              </w:rPr>
            </w:pPr>
          </w:p>
        </w:tc>
        <w:tc>
          <w:tcPr>
            <w:tcW w:w="3308" w:type="pct"/>
            <w:shd w:val="clear" w:color="auto" w:fill="auto"/>
            <w:noWrap/>
            <w:vAlign w:val="center"/>
          </w:tcPr>
          <w:p>
            <w:pPr>
              <w:jc w:val="both"/>
              <w:rPr>
                <w:rFonts w:ascii="宋体" w:hAnsi="宋体" w:cs="宋体" w:eastAsiaTheme="minorEastAsia"/>
                <w:kern w:val="0"/>
                <w:szCs w:val="21"/>
              </w:rPr>
            </w:pPr>
            <w:r>
              <w:rPr>
                <w:rFonts w:hint="eastAsia" w:ascii="宋体" w:hAnsi="宋体" w:cs="宋体" w:eastAsiaTheme="minorEastAsia"/>
                <w:kern w:val="0"/>
                <w:szCs w:val="21"/>
              </w:rPr>
              <w:t>至少支持2种型号的主控芯片的SSD在被（格式化、删除）TRIM清零后的数据提取</w:t>
            </w:r>
          </w:p>
        </w:tc>
        <w:tc>
          <w:tcPr>
            <w:tcW w:w="481" w:type="pct"/>
            <w:shd w:val="clear" w:color="auto" w:fill="auto"/>
            <w:noWrap/>
            <w:vAlign w:val="center"/>
          </w:tcPr>
          <w:p>
            <w:pPr>
              <w:jc w:val="center"/>
              <w:rPr>
                <w:rFonts w:ascii="宋体" w:hAnsi="宋体" w:cs="宋体" w:eastAsiaTheme="minorEastAsia"/>
                <w:kern w:val="0"/>
                <w:szCs w:val="21"/>
              </w:rPr>
            </w:pPr>
            <w:r>
              <w:rPr>
                <w:rFonts w:hint="eastAsia" w:ascii="宋体" w:hAnsi="宋体" w:cs="宋体" w:eastAsiaTheme="minorEastAsia"/>
                <w:kern w:val="0"/>
                <w:szCs w:val="21"/>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77" w:type="pct"/>
            <w:shd w:val="clear" w:color="auto" w:fill="auto"/>
            <w:noWrap/>
            <w:vAlign w:val="center"/>
          </w:tcPr>
          <w:p>
            <w:pPr>
              <w:numPr>
                <w:ilvl w:val="0"/>
                <w:numId w:val="87"/>
              </w:numPr>
              <w:spacing w:line="240" w:lineRule="auto"/>
              <w:ind w:left="0" w:leftChars="0" w:firstLine="0" w:firstLineChars="0"/>
              <w:jc w:val="center"/>
              <w:rPr>
                <w:rFonts w:ascii="宋体" w:hAnsi="宋体" w:cs="宋体" w:eastAsiaTheme="minorEastAsia"/>
                <w:color w:val="000000"/>
                <w:kern w:val="0"/>
                <w:szCs w:val="21"/>
              </w:rPr>
            </w:pPr>
          </w:p>
        </w:tc>
        <w:tc>
          <w:tcPr>
            <w:tcW w:w="372" w:type="pct"/>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w:t>
            </w:r>
          </w:p>
        </w:tc>
        <w:tc>
          <w:tcPr>
            <w:tcW w:w="560" w:type="pct"/>
            <w:vMerge w:val="continue"/>
            <w:vAlign w:val="center"/>
          </w:tcPr>
          <w:p>
            <w:pPr>
              <w:rPr>
                <w:rFonts w:ascii="宋体" w:hAnsi="宋体" w:cs="宋体" w:eastAsiaTheme="minorEastAsia"/>
                <w:kern w:val="0"/>
                <w:szCs w:val="21"/>
              </w:rPr>
            </w:pPr>
          </w:p>
        </w:tc>
        <w:tc>
          <w:tcPr>
            <w:tcW w:w="3308" w:type="pct"/>
            <w:shd w:val="clear" w:color="auto" w:fill="auto"/>
            <w:noWrap/>
            <w:vAlign w:val="center"/>
          </w:tcPr>
          <w:p>
            <w:pPr>
              <w:rPr>
                <w:rFonts w:ascii="宋体" w:hAnsi="宋体" w:cs="宋体" w:eastAsiaTheme="minorEastAsia"/>
                <w:kern w:val="0"/>
                <w:szCs w:val="21"/>
              </w:rPr>
            </w:pPr>
            <w:r>
              <w:rPr>
                <w:rFonts w:hint="eastAsia" w:ascii="宋体" w:hAnsi="宋体" w:cs="宋体" w:eastAsiaTheme="minorEastAsia"/>
                <w:kern w:val="0"/>
                <w:szCs w:val="21"/>
              </w:rPr>
              <w:t>至少支持2款品牌的机械硬盘固件读写功能，包括固件备份、固件修改、固件写入</w:t>
            </w:r>
          </w:p>
        </w:tc>
        <w:tc>
          <w:tcPr>
            <w:tcW w:w="481" w:type="pct"/>
            <w:shd w:val="clear" w:color="auto" w:fill="auto"/>
            <w:noWrap/>
            <w:vAlign w:val="center"/>
          </w:tcPr>
          <w:p>
            <w:pPr>
              <w:jc w:val="center"/>
              <w:rPr>
                <w:rFonts w:ascii="宋体" w:hAnsi="宋体" w:cs="宋体" w:eastAsiaTheme="minorEastAsia"/>
                <w:kern w:val="0"/>
                <w:szCs w:val="21"/>
              </w:rPr>
            </w:pPr>
            <w:r>
              <w:rPr>
                <w:rFonts w:hint="eastAsia" w:ascii="宋体" w:hAnsi="宋体" w:cs="宋体" w:eastAsiaTheme="minorEastAsia"/>
                <w:kern w:val="0"/>
                <w:szCs w:val="21"/>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77" w:type="pct"/>
            <w:shd w:val="clear" w:color="auto" w:fill="auto"/>
            <w:noWrap/>
            <w:vAlign w:val="center"/>
          </w:tcPr>
          <w:p>
            <w:pPr>
              <w:numPr>
                <w:ilvl w:val="0"/>
                <w:numId w:val="87"/>
              </w:numPr>
              <w:spacing w:line="240" w:lineRule="auto"/>
              <w:ind w:left="0" w:leftChars="0" w:firstLine="0" w:firstLineChars="0"/>
              <w:jc w:val="center"/>
              <w:rPr>
                <w:rFonts w:ascii="宋体" w:hAnsi="宋体" w:cs="宋体" w:eastAsiaTheme="minorEastAsia"/>
                <w:color w:val="000000"/>
                <w:kern w:val="0"/>
                <w:szCs w:val="21"/>
              </w:rPr>
            </w:pPr>
          </w:p>
        </w:tc>
        <w:tc>
          <w:tcPr>
            <w:tcW w:w="372" w:type="pct"/>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w:t>
            </w:r>
          </w:p>
        </w:tc>
        <w:tc>
          <w:tcPr>
            <w:tcW w:w="560" w:type="pct"/>
            <w:vMerge w:val="continue"/>
            <w:vAlign w:val="center"/>
          </w:tcPr>
          <w:p>
            <w:pPr>
              <w:rPr>
                <w:rFonts w:ascii="宋体" w:hAnsi="宋体" w:cs="宋体" w:eastAsiaTheme="minorEastAsia"/>
                <w:kern w:val="0"/>
                <w:szCs w:val="21"/>
              </w:rPr>
            </w:pPr>
          </w:p>
        </w:tc>
        <w:tc>
          <w:tcPr>
            <w:tcW w:w="3308" w:type="pct"/>
            <w:shd w:val="clear" w:color="auto" w:fill="auto"/>
            <w:noWrap/>
            <w:vAlign w:val="center"/>
          </w:tcPr>
          <w:p>
            <w:pPr>
              <w:rPr>
                <w:rFonts w:ascii="宋体" w:hAnsi="宋体" w:cs="宋体" w:eastAsiaTheme="minorEastAsia"/>
                <w:kern w:val="0"/>
                <w:szCs w:val="21"/>
              </w:rPr>
            </w:pPr>
            <w:r>
              <w:rPr>
                <w:rFonts w:hint="eastAsia" w:ascii="宋体" w:hAnsi="宋体" w:cs="宋体" w:eastAsiaTheme="minorEastAsia"/>
                <w:kern w:val="0"/>
                <w:szCs w:val="21"/>
              </w:rPr>
              <w:t>至少支持4种故障类型的机械硬盘故障诊断，包括电路故障、磁头故障、固件故障、坏磁道问题</w:t>
            </w:r>
          </w:p>
        </w:tc>
        <w:tc>
          <w:tcPr>
            <w:tcW w:w="481" w:type="pct"/>
            <w:shd w:val="clear" w:color="auto" w:fill="auto"/>
            <w:noWrap/>
            <w:vAlign w:val="center"/>
          </w:tcPr>
          <w:p>
            <w:pPr>
              <w:jc w:val="center"/>
              <w:rPr>
                <w:rFonts w:ascii="宋体" w:hAnsi="宋体" w:cs="宋体" w:eastAsiaTheme="minorEastAsia"/>
                <w:kern w:val="0"/>
                <w:szCs w:val="21"/>
              </w:rPr>
            </w:pPr>
            <w:r>
              <w:rPr>
                <w:rFonts w:hint="eastAsia" w:ascii="宋体" w:hAnsi="宋体" w:cs="宋体" w:eastAsiaTheme="minorEastAsia"/>
                <w:kern w:val="0"/>
                <w:szCs w:val="21"/>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277" w:type="pct"/>
            <w:shd w:val="clear" w:color="auto" w:fill="auto"/>
            <w:noWrap/>
            <w:vAlign w:val="center"/>
          </w:tcPr>
          <w:p>
            <w:pPr>
              <w:numPr>
                <w:ilvl w:val="0"/>
                <w:numId w:val="87"/>
              </w:numPr>
              <w:spacing w:line="240" w:lineRule="auto"/>
              <w:ind w:left="0" w:leftChars="0" w:firstLine="0" w:firstLineChars="0"/>
              <w:jc w:val="center"/>
              <w:rPr>
                <w:rFonts w:ascii="宋体" w:hAnsi="宋体" w:cs="宋体" w:eastAsiaTheme="minorEastAsia"/>
                <w:color w:val="000000"/>
                <w:kern w:val="0"/>
                <w:szCs w:val="21"/>
              </w:rPr>
            </w:pPr>
          </w:p>
        </w:tc>
        <w:tc>
          <w:tcPr>
            <w:tcW w:w="372" w:type="pct"/>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w:t>
            </w:r>
          </w:p>
        </w:tc>
        <w:tc>
          <w:tcPr>
            <w:tcW w:w="560" w:type="pct"/>
            <w:vMerge w:val="continue"/>
            <w:vAlign w:val="center"/>
          </w:tcPr>
          <w:p>
            <w:pPr>
              <w:rPr>
                <w:rFonts w:ascii="宋体" w:hAnsi="宋体" w:cs="宋体" w:eastAsiaTheme="minorEastAsia"/>
                <w:kern w:val="0"/>
                <w:szCs w:val="21"/>
              </w:rPr>
            </w:pPr>
          </w:p>
        </w:tc>
        <w:tc>
          <w:tcPr>
            <w:tcW w:w="3308" w:type="pct"/>
            <w:shd w:val="clear" w:color="auto" w:fill="auto"/>
            <w:noWrap/>
            <w:vAlign w:val="center"/>
          </w:tcPr>
          <w:p>
            <w:pPr>
              <w:rPr>
                <w:rFonts w:ascii="宋体" w:hAnsi="宋体" w:cs="宋体" w:eastAsiaTheme="minorEastAsia"/>
                <w:kern w:val="0"/>
                <w:szCs w:val="21"/>
              </w:rPr>
            </w:pPr>
            <w:r>
              <w:rPr>
                <w:rFonts w:hint="eastAsia" w:ascii="宋体" w:hAnsi="宋体" w:cs="宋体" w:eastAsiaTheme="minorEastAsia"/>
                <w:kern w:val="0"/>
                <w:szCs w:val="21"/>
              </w:rPr>
              <w:t>至少支持4种协议的机械硬盘及固态硬盘的镜像和数据提取，如NVMe协议、SATA协议、SAS协议、USB协议（外置）等</w:t>
            </w:r>
          </w:p>
        </w:tc>
        <w:tc>
          <w:tcPr>
            <w:tcW w:w="481" w:type="pct"/>
            <w:shd w:val="clear" w:color="auto" w:fill="auto"/>
            <w:noWrap/>
            <w:vAlign w:val="center"/>
          </w:tcPr>
          <w:p>
            <w:pPr>
              <w:jc w:val="center"/>
              <w:rPr>
                <w:rFonts w:ascii="宋体" w:hAnsi="宋体" w:cs="宋体" w:eastAsiaTheme="minorEastAsia"/>
                <w:kern w:val="0"/>
                <w:szCs w:val="21"/>
              </w:rPr>
            </w:pPr>
            <w:r>
              <w:rPr>
                <w:rFonts w:hint="eastAsia" w:ascii="宋体" w:hAnsi="宋体" w:cs="宋体" w:eastAsiaTheme="minorEastAsia"/>
                <w:kern w:val="0"/>
                <w:szCs w:val="21"/>
              </w:rPr>
              <w:t>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277" w:type="pct"/>
            <w:shd w:val="clear" w:color="auto" w:fill="auto"/>
            <w:noWrap/>
            <w:vAlign w:val="center"/>
          </w:tcPr>
          <w:p>
            <w:pPr>
              <w:numPr>
                <w:ilvl w:val="0"/>
                <w:numId w:val="87"/>
              </w:numPr>
              <w:spacing w:line="240" w:lineRule="auto"/>
              <w:ind w:left="0" w:leftChars="0" w:firstLine="0" w:firstLineChars="0"/>
              <w:jc w:val="center"/>
              <w:rPr>
                <w:rFonts w:ascii="宋体" w:hAnsi="宋体" w:cs="宋体" w:eastAsiaTheme="minorEastAsia"/>
                <w:color w:val="000000"/>
                <w:kern w:val="0"/>
                <w:szCs w:val="21"/>
              </w:rPr>
            </w:pPr>
          </w:p>
        </w:tc>
        <w:tc>
          <w:tcPr>
            <w:tcW w:w="372" w:type="pct"/>
            <w:shd w:val="clear" w:color="auto" w:fill="auto"/>
            <w:noWrap/>
            <w:vAlign w:val="center"/>
          </w:tcPr>
          <w:p>
            <w:pPr>
              <w:jc w:val="center"/>
              <w:rPr>
                <w:rFonts w:ascii="宋体" w:hAnsi="宋体" w:cs="宋体" w:eastAsiaTheme="minorEastAsia"/>
                <w:color w:val="000000"/>
                <w:kern w:val="0"/>
                <w:szCs w:val="21"/>
              </w:rPr>
            </w:pPr>
          </w:p>
        </w:tc>
        <w:tc>
          <w:tcPr>
            <w:tcW w:w="560" w:type="pct"/>
            <w:vMerge w:val="continue"/>
            <w:vAlign w:val="center"/>
          </w:tcPr>
          <w:p>
            <w:pPr>
              <w:rPr>
                <w:rFonts w:ascii="宋体" w:hAnsi="宋体" w:cs="宋体" w:eastAsiaTheme="minorEastAsia"/>
                <w:kern w:val="0"/>
                <w:szCs w:val="21"/>
              </w:rPr>
            </w:pPr>
          </w:p>
        </w:tc>
        <w:tc>
          <w:tcPr>
            <w:tcW w:w="3308" w:type="pct"/>
            <w:shd w:val="clear" w:color="auto" w:fill="auto"/>
            <w:noWrap/>
            <w:vAlign w:val="center"/>
          </w:tcPr>
          <w:p>
            <w:pPr>
              <w:rPr>
                <w:rFonts w:ascii="宋体" w:hAnsi="宋体" w:cs="宋体" w:eastAsiaTheme="minorEastAsia"/>
                <w:color w:val="000000"/>
                <w:kern w:val="0"/>
                <w:szCs w:val="21"/>
              </w:rPr>
            </w:pPr>
            <w:r>
              <w:rPr>
                <w:rFonts w:hint="eastAsia" w:ascii="宋体" w:hAnsi="宋体" w:cs="宋体" w:eastAsiaTheme="minorEastAsia"/>
                <w:color w:val="000000"/>
                <w:kern w:val="0"/>
                <w:szCs w:val="21"/>
              </w:rPr>
              <w:t>硬盘恢复时至少支持以下4种功能：</w:t>
            </w:r>
          </w:p>
          <w:p>
            <w:pPr>
              <w:rPr>
                <w:rFonts w:ascii="宋体" w:hAnsi="宋体" w:cs="宋体" w:eastAsiaTheme="minorEastAsia"/>
                <w:color w:val="000000"/>
                <w:kern w:val="0"/>
                <w:szCs w:val="21"/>
              </w:rPr>
            </w:pPr>
            <w:r>
              <w:rPr>
                <w:rFonts w:hint="eastAsia" w:ascii="宋体" w:hAnsi="宋体" w:cs="宋体" w:eastAsiaTheme="minorEastAsia"/>
                <w:color w:val="000000"/>
                <w:kern w:val="0"/>
                <w:szCs w:val="21"/>
              </w:rPr>
              <w:t>支持硬盘接口选择向导，辅助快速识别存储介质的接口类型；</w:t>
            </w:r>
          </w:p>
          <w:p>
            <w:pPr>
              <w:rPr>
                <w:rFonts w:ascii="宋体" w:hAnsi="宋体" w:cs="宋体" w:eastAsiaTheme="minorEastAsia"/>
                <w:color w:val="000000"/>
                <w:kern w:val="0"/>
                <w:szCs w:val="21"/>
              </w:rPr>
            </w:pPr>
            <w:r>
              <w:rPr>
                <w:rFonts w:hint="eastAsia" w:ascii="宋体" w:hAnsi="宋体" w:cs="宋体" w:eastAsiaTheme="minorEastAsia"/>
                <w:color w:val="000000"/>
                <w:kern w:val="0"/>
                <w:szCs w:val="21"/>
              </w:rPr>
              <w:t>支持机械硬盘和固态硬盘损伤区域探测及分级镜像，优先镜像无损区域，其次镜像坏道或坏块区域，最后镜像划伤区域；</w:t>
            </w:r>
          </w:p>
          <w:p>
            <w:pPr>
              <w:rPr>
                <w:rFonts w:ascii="宋体" w:hAnsi="宋体" w:cs="宋体" w:eastAsiaTheme="minorEastAsia"/>
                <w:color w:val="000000"/>
                <w:kern w:val="0"/>
                <w:szCs w:val="21"/>
              </w:rPr>
            </w:pPr>
            <w:r>
              <w:rPr>
                <w:rFonts w:hint="eastAsia" w:ascii="宋体" w:hAnsi="宋体" w:cs="宋体" w:eastAsiaTheme="minorEastAsia"/>
                <w:color w:val="000000"/>
                <w:kern w:val="0"/>
                <w:szCs w:val="21"/>
              </w:rPr>
              <w:t>支持机械硬盘ATA密码锁解锁；</w:t>
            </w:r>
          </w:p>
          <w:p>
            <w:pPr>
              <w:rPr>
                <w:rFonts w:ascii="宋体" w:hAnsi="宋体" w:cs="宋体" w:eastAsiaTheme="minorEastAsia"/>
                <w:b/>
                <w:bCs/>
                <w:kern w:val="0"/>
                <w:szCs w:val="21"/>
              </w:rPr>
            </w:pPr>
            <w:r>
              <w:rPr>
                <w:rFonts w:hint="eastAsia" w:ascii="宋体" w:hAnsi="宋体" w:cs="宋体" w:eastAsiaTheme="minorEastAsia"/>
                <w:color w:val="000000"/>
                <w:kern w:val="0"/>
                <w:szCs w:val="21"/>
              </w:rPr>
              <w:t>支持镜像任务的数据统计，通过柱状图百分比显示已读取区域、未读取区域、错误读取区域、跳过区域，还可以显示当前镜像位置</w:t>
            </w:r>
          </w:p>
        </w:tc>
        <w:tc>
          <w:tcPr>
            <w:tcW w:w="481" w:type="pct"/>
            <w:shd w:val="clear" w:color="auto" w:fill="auto"/>
            <w:noWrap/>
            <w:vAlign w:val="center"/>
          </w:tcPr>
          <w:p>
            <w:pPr>
              <w:jc w:val="center"/>
              <w:rPr>
                <w:rFonts w:ascii="宋体" w:hAnsi="宋体" w:cs="宋体" w:eastAsiaTheme="minorEastAsia"/>
                <w:kern w:val="0"/>
                <w:szCs w:val="21"/>
              </w:rPr>
            </w:pPr>
            <w:r>
              <w:rPr>
                <w:rFonts w:hint="eastAsia" w:ascii="宋体" w:hAnsi="宋体" w:cs="宋体" w:eastAsiaTheme="minorEastAsia"/>
                <w:kern w:val="0"/>
                <w:szCs w:val="21"/>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77" w:type="pct"/>
            <w:shd w:val="clear" w:color="auto" w:fill="auto"/>
            <w:noWrap/>
            <w:vAlign w:val="center"/>
          </w:tcPr>
          <w:p>
            <w:pPr>
              <w:numPr>
                <w:ilvl w:val="0"/>
                <w:numId w:val="87"/>
              </w:numPr>
              <w:spacing w:line="240" w:lineRule="auto"/>
              <w:ind w:left="0" w:leftChars="0" w:firstLine="0" w:firstLineChars="0"/>
              <w:jc w:val="center"/>
              <w:rPr>
                <w:rFonts w:ascii="宋体" w:hAnsi="宋体" w:cs="宋体" w:eastAsiaTheme="minorEastAsia"/>
                <w:color w:val="000000"/>
                <w:kern w:val="0"/>
                <w:szCs w:val="21"/>
              </w:rPr>
            </w:pPr>
          </w:p>
        </w:tc>
        <w:tc>
          <w:tcPr>
            <w:tcW w:w="372" w:type="pct"/>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w:t>
            </w:r>
          </w:p>
        </w:tc>
        <w:tc>
          <w:tcPr>
            <w:tcW w:w="560" w:type="pct"/>
            <w:shd w:val="clear" w:color="auto" w:fill="auto"/>
            <w:noWrap/>
            <w:vAlign w:val="center"/>
          </w:tcPr>
          <w:p>
            <w:pPr>
              <w:jc w:val="center"/>
              <w:rPr>
                <w:rFonts w:ascii="宋体" w:hAnsi="宋体" w:cs="宋体" w:eastAsiaTheme="minorEastAsia"/>
                <w:kern w:val="0"/>
                <w:szCs w:val="21"/>
              </w:rPr>
            </w:pPr>
            <w:r>
              <w:rPr>
                <w:rFonts w:hint="eastAsia" w:ascii="宋体" w:hAnsi="宋体" w:cs="宋体" w:eastAsiaTheme="minorEastAsia"/>
                <w:kern w:val="0"/>
                <w:szCs w:val="21"/>
              </w:rPr>
              <w:t>数据恢复</w:t>
            </w:r>
          </w:p>
        </w:tc>
        <w:tc>
          <w:tcPr>
            <w:tcW w:w="3308" w:type="pct"/>
            <w:shd w:val="clear" w:color="auto" w:fill="auto"/>
            <w:noWrap/>
            <w:vAlign w:val="center"/>
          </w:tcPr>
          <w:p>
            <w:pPr>
              <w:rPr>
                <w:rFonts w:ascii="宋体" w:hAnsi="宋体" w:cs="宋体" w:eastAsiaTheme="minorEastAsia"/>
                <w:kern w:val="0"/>
                <w:szCs w:val="21"/>
              </w:rPr>
            </w:pPr>
            <w:r>
              <w:rPr>
                <w:rFonts w:hint="eastAsia" w:ascii="宋体" w:hAnsi="宋体" w:cs="宋体" w:eastAsiaTheme="minorEastAsia"/>
                <w:kern w:val="0"/>
                <w:szCs w:val="21"/>
              </w:rPr>
              <w:t>至少支持10种以上的文件系统数据解析，包括NTFS、FAT、ExFAT、ReFS、Ext、BtrFS、CDFS、UDF、UFS、VMFS、Vxfs、XFS、APFS、HFS</w:t>
            </w:r>
          </w:p>
        </w:tc>
        <w:tc>
          <w:tcPr>
            <w:tcW w:w="481" w:type="pct"/>
            <w:shd w:val="clear" w:color="auto" w:fill="auto"/>
            <w:noWrap/>
            <w:vAlign w:val="center"/>
          </w:tcPr>
          <w:p>
            <w:pPr>
              <w:jc w:val="center"/>
              <w:rPr>
                <w:rFonts w:ascii="宋体" w:hAnsi="宋体" w:cs="宋体" w:eastAsiaTheme="minorEastAsia"/>
                <w:kern w:val="0"/>
                <w:szCs w:val="21"/>
              </w:rPr>
            </w:pPr>
            <w:r>
              <w:rPr>
                <w:rFonts w:hint="eastAsia" w:ascii="宋体" w:hAnsi="宋体" w:cs="宋体" w:eastAsiaTheme="minorEastAsia"/>
                <w:kern w:val="0"/>
                <w:szCs w:val="21"/>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77" w:type="pct"/>
            <w:shd w:val="clear" w:color="auto" w:fill="auto"/>
            <w:noWrap/>
            <w:vAlign w:val="center"/>
          </w:tcPr>
          <w:p>
            <w:pPr>
              <w:numPr>
                <w:ilvl w:val="0"/>
                <w:numId w:val="87"/>
              </w:numPr>
              <w:spacing w:line="240" w:lineRule="auto"/>
              <w:ind w:left="0" w:leftChars="0" w:firstLine="0" w:firstLineChars="0"/>
              <w:jc w:val="center"/>
              <w:rPr>
                <w:rFonts w:ascii="宋体" w:hAnsi="宋体" w:cs="宋体" w:eastAsiaTheme="minorEastAsia"/>
                <w:color w:val="000000"/>
                <w:kern w:val="0"/>
                <w:szCs w:val="21"/>
                <w:lang w:val="en-US"/>
              </w:rPr>
            </w:pPr>
          </w:p>
        </w:tc>
        <w:tc>
          <w:tcPr>
            <w:tcW w:w="372" w:type="pct"/>
            <w:shd w:val="clear" w:color="auto" w:fill="auto"/>
            <w:noWrap/>
            <w:vAlign w:val="center"/>
          </w:tcPr>
          <w:p>
            <w:pPr>
              <w:jc w:val="center"/>
              <w:rPr>
                <w:rFonts w:ascii="宋体" w:hAnsi="宋体" w:cs="宋体" w:eastAsiaTheme="minorEastAsia"/>
                <w:color w:val="000000"/>
                <w:kern w:val="0"/>
                <w:szCs w:val="21"/>
              </w:rPr>
            </w:pPr>
          </w:p>
        </w:tc>
        <w:tc>
          <w:tcPr>
            <w:tcW w:w="560" w:type="pct"/>
            <w:vMerge w:val="restart"/>
            <w:shd w:val="clear" w:color="auto" w:fill="auto"/>
            <w:noWrap/>
            <w:vAlign w:val="center"/>
          </w:tcPr>
          <w:p>
            <w:pPr>
              <w:jc w:val="center"/>
              <w:rPr>
                <w:rFonts w:ascii="宋体" w:hAnsi="宋体" w:cs="宋体" w:eastAsiaTheme="minorEastAsia"/>
                <w:kern w:val="0"/>
                <w:szCs w:val="21"/>
                <w:lang w:val="en-US"/>
              </w:rPr>
            </w:pPr>
            <w:r>
              <w:rPr>
                <w:rFonts w:hint="eastAsia" w:ascii="宋体" w:hAnsi="宋体" w:cs="宋体" w:eastAsiaTheme="minorEastAsia"/>
                <w:color w:val="000000"/>
                <w:kern w:val="0"/>
                <w:szCs w:val="21"/>
              </w:rPr>
              <w:t>光盘坏道镜像</w:t>
            </w:r>
          </w:p>
        </w:tc>
        <w:tc>
          <w:tcPr>
            <w:tcW w:w="3308" w:type="pct"/>
            <w:shd w:val="clear" w:color="auto" w:fill="auto"/>
            <w:noWrap/>
            <w:vAlign w:val="center"/>
          </w:tcPr>
          <w:p>
            <w:pPr>
              <w:jc w:val="both"/>
              <w:rPr>
                <w:rFonts w:ascii="宋体" w:hAnsi="宋体" w:cs="宋体" w:eastAsiaTheme="minorEastAsia"/>
                <w:color w:val="000000"/>
                <w:kern w:val="0"/>
                <w:szCs w:val="21"/>
              </w:rPr>
            </w:pPr>
            <w:r>
              <w:rPr>
                <w:rFonts w:hint="eastAsia" w:ascii="宋体" w:hAnsi="宋体" w:cs="宋体" w:eastAsiaTheme="minorEastAsia"/>
                <w:color w:val="000000"/>
                <w:kern w:val="0"/>
                <w:szCs w:val="21"/>
              </w:rPr>
              <w:t>至少支持以下2个光盘镜像功能：</w:t>
            </w:r>
          </w:p>
          <w:p>
            <w:pPr>
              <w:jc w:val="both"/>
              <w:rPr>
                <w:rFonts w:ascii="宋体" w:hAnsi="宋体" w:cs="宋体" w:eastAsiaTheme="minorEastAsia"/>
                <w:color w:val="000000"/>
                <w:kern w:val="0"/>
                <w:szCs w:val="21"/>
              </w:rPr>
            </w:pPr>
            <w:r>
              <w:rPr>
                <w:rFonts w:hint="eastAsia" w:ascii="宋体" w:hAnsi="宋体" w:cs="宋体" w:eastAsiaTheme="minorEastAsia"/>
                <w:color w:val="000000"/>
                <w:kern w:val="0"/>
                <w:szCs w:val="21"/>
              </w:rPr>
              <w:t>支持轻微刮花、磨损、坏道光盘的镜像；</w:t>
            </w:r>
          </w:p>
          <w:p>
            <w:pPr>
              <w:jc w:val="both"/>
              <w:rPr>
                <w:rFonts w:ascii="宋体" w:hAnsi="宋体" w:cs="宋体" w:eastAsiaTheme="minorEastAsia"/>
                <w:color w:val="000000"/>
                <w:kern w:val="0"/>
                <w:szCs w:val="21"/>
              </w:rPr>
            </w:pPr>
            <w:r>
              <w:rPr>
                <w:rFonts w:hint="eastAsia" w:ascii="宋体" w:hAnsi="宋体" w:cs="宋体" w:eastAsiaTheme="minorEastAsia"/>
                <w:color w:val="000000"/>
                <w:kern w:val="0"/>
                <w:szCs w:val="21"/>
              </w:rPr>
              <w:t>支持对光盘镜像，可自动纠错跳跃坏扇区，并可视化的展示光盘损伤轨道状况，并输出情况报告</w:t>
            </w:r>
          </w:p>
        </w:tc>
        <w:tc>
          <w:tcPr>
            <w:tcW w:w="481" w:type="pct"/>
            <w:shd w:val="clear" w:color="auto" w:fill="auto"/>
            <w:noWrap/>
          </w:tcPr>
          <w:p>
            <w:pPr>
              <w:jc w:val="center"/>
              <w:rPr>
                <w:rFonts w:ascii="宋体" w:hAnsi="宋体" w:cs="宋体" w:eastAsiaTheme="minorEastAsia"/>
                <w:color w:val="000000"/>
                <w:kern w:val="0"/>
                <w:szCs w:val="21"/>
              </w:rPr>
            </w:pPr>
            <w:r>
              <w:rPr>
                <w:rFonts w:hint="eastAsia" w:ascii="宋体" w:hAnsi="宋体" w:cs="宋体" w:eastAsiaTheme="minorEastAsia"/>
                <w:kern w:val="0"/>
                <w:szCs w:val="21"/>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77" w:type="pct"/>
            <w:shd w:val="clear" w:color="auto" w:fill="auto"/>
            <w:noWrap/>
            <w:vAlign w:val="center"/>
          </w:tcPr>
          <w:p>
            <w:pPr>
              <w:numPr>
                <w:ilvl w:val="0"/>
                <w:numId w:val="87"/>
              </w:numPr>
              <w:spacing w:line="240" w:lineRule="auto"/>
              <w:ind w:left="0" w:leftChars="0" w:firstLine="0" w:firstLineChars="0"/>
              <w:jc w:val="center"/>
              <w:rPr>
                <w:rFonts w:ascii="宋体" w:hAnsi="宋体" w:cs="宋体" w:eastAsiaTheme="minorEastAsia"/>
                <w:color w:val="000000"/>
                <w:kern w:val="0"/>
                <w:szCs w:val="21"/>
                <w:lang w:val="en-US"/>
              </w:rPr>
            </w:pPr>
          </w:p>
        </w:tc>
        <w:tc>
          <w:tcPr>
            <w:tcW w:w="372" w:type="pct"/>
            <w:shd w:val="clear" w:color="auto" w:fill="auto"/>
            <w:noWrap/>
            <w:vAlign w:val="center"/>
          </w:tcPr>
          <w:p>
            <w:pPr>
              <w:jc w:val="center"/>
              <w:rPr>
                <w:rFonts w:ascii="宋体" w:hAnsi="宋体" w:cs="宋体" w:eastAsiaTheme="minorEastAsia"/>
                <w:color w:val="000000"/>
                <w:kern w:val="0"/>
                <w:szCs w:val="21"/>
              </w:rPr>
            </w:pPr>
          </w:p>
        </w:tc>
        <w:tc>
          <w:tcPr>
            <w:tcW w:w="560" w:type="pct"/>
            <w:vMerge w:val="continue"/>
            <w:shd w:val="clear" w:color="auto" w:fill="auto"/>
            <w:noWrap/>
            <w:vAlign w:val="center"/>
          </w:tcPr>
          <w:p>
            <w:pPr>
              <w:jc w:val="center"/>
              <w:rPr>
                <w:rFonts w:ascii="宋体" w:hAnsi="宋体" w:cs="宋体" w:eastAsiaTheme="minorEastAsia"/>
                <w:kern w:val="0"/>
                <w:szCs w:val="21"/>
              </w:rPr>
            </w:pPr>
          </w:p>
        </w:tc>
        <w:tc>
          <w:tcPr>
            <w:tcW w:w="3308" w:type="pct"/>
            <w:shd w:val="clear" w:color="auto" w:fill="auto"/>
            <w:noWrap/>
            <w:vAlign w:val="center"/>
          </w:tcPr>
          <w:p>
            <w:pPr>
              <w:rPr>
                <w:rFonts w:ascii="宋体" w:hAnsi="宋体" w:cs="宋体" w:eastAsiaTheme="minorEastAsia"/>
                <w:kern w:val="0"/>
                <w:szCs w:val="21"/>
              </w:rPr>
            </w:pPr>
            <w:r>
              <w:rPr>
                <w:rFonts w:hint="eastAsia" w:ascii="宋体" w:hAnsi="宋体" w:cs="宋体" w:eastAsiaTheme="minorEastAsia"/>
                <w:color w:val="000000"/>
                <w:kern w:val="0"/>
                <w:szCs w:val="21"/>
              </w:rPr>
              <w:t>至少支持4类光盘，包括CD、VCD、DVD、BD光盘逐扇区镜像及UDF文件系统解析</w:t>
            </w:r>
          </w:p>
        </w:tc>
        <w:tc>
          <w:tcPr>
            <w:tcW w:w="481" w:type="pct"/>
            <w:shd w:val="clear" w:color="auto" w:fill="auto"/>
            <w:noWrap/>
            <w:vAlign w:val="center"/>
          </w:tcPr>
          <w:p>
            <w:pPr>
              <w:jc w:val="center"/>
              <w:rPr>
                <w:rFonts w:ascii="宋体" w:hAnsi="宋体" w:cs="宋体" w:eastAsiaTheme="minorEastAsia"/>
                <w:kern w:val="0"/>
                <w:szCs w:val="21"/>
              </w:rPr>
            </w:pPr>
            <w:r>
              <w:rPr>
                <w:rFonts w:hint="eastAsia" w:ascii="宋体" w:hAnsi="宋体" w:cs="宋体" w:eastAsiaTheme="minorEastAsia"/>
                <w:kern w:val="0"/>
                <w:szCs w:val="21"/>
              </w:rPr>
              <w:t>承诺函</w:t>
            </w:r>
          </w:p>
        </w:tc>
      </w:tr>
    </w:tbl>
    <w:p>
      <w:pPr>
        <w:pStyle w:val="5"/>
        <w:spacing w:before="15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第3包 密码破解设备</w:t>
      </w:r>
      <w:r>
        <w:rPr>
          <w:rFonts w:hint="default" w:ascii="Times New Roman" w:hAnsi="Times New Roman" w:cs="Times New Roman" w:eastAsiaTheme="minorEastAsia"/>
          <w:szCs w:val="21"/>
        </w:rPr>
        <w:t>Ⅱ</w:t>
      </w:r>
    </w:p>
    <w:tbl>
      <w:tblPr>
        <w:tblStyle w:val="81"/>
        <w:tblW w:w="457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3"/>
        <w:gridCol w:w="928"/>
        <w:gridCol w:w="928"/>
        <w:gridCol w:w="4958"/>
        <w:gridCol w:w="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70" w:type="pct"/>
            <w:shd w:val="clear" w:color="auto" w:fill="auto"/>
            <w:vAlign w:val="center"/>
          </w:tcPr>
          <w:p>
            <w:pPr>
              <w:jc w:val="center"/>
              <w:rPr>
                <w:rFonts w:ascii="宋体" w:hAnsi="宋体" w:cs="宋体" w:eastAsiaTheme="minorEastAsia"/>
                <w:b/>
                <w:bCs/>
                <w:color w:val="000000"/>
                <w:kern w:val="0"/>
                <w:szCs w:val="21"/>
              </w:rPr>
            </w:pPr>
            <w:r>
              <w:rPr>
                <w:rFonts w:hint="eastAsia" w:ascii="宋体" w:hAnsi="宋体" w:cs="宋体" w:eastAsiaTheme="minorEastAsia"/>
                <w:b/>
                <w:bCs/>
                <w:color w:val="000000"/>
                <w:kern w:val="0"/>
                <w:szCs w:val="21"/>
              </w:rPr>
              <w:t>序号</w:t>
            </w:r>
          </w:p>
        </w:tc>
        <w:tc>
          <w:tcPr>
            <w:tcW w:w="560" w:type="pct"/>
            <w:shd w:val="clear" w:color="auto" w:fill="auto"/>
            <w:vAlign w:val="center"/>
          </w:tcPr>
          <w:p>
            <w:pPr>
              <w:jc w:val="center"/>
              <w:rPr>
                <w:rFonts w:ascii="宋体" w:hAnsi="宋体" w:cs="宋体" w:eastAsiaTheme="minorEastAsia"/>
                <w:b/>
                <w:bCs/>
                <w:color w:val="000000"/>
                <w:kern w:val="0"/>
                <w:szCs w:val="21"/>
              </w:rPr>
            </w:pPr>
            <w:r>
              <w:rPr>
                <w:rFonts w:hint="eastAsia" w:ascii="宋体" w:hAnsi="宋体" w:cs="宋体" w:eastAsiaTheme="minorEastAsia"/>
                <w:b/>
                <w:bCs/>
                <w:color w:val="000000"/>
                <w:kern w:val="0"/>
                <w:szCs w:val="21"/>
              </w:rPr>
              <w:t>重要性</w:t>
            </w:r>
          </w:p>
        </w:tc>
        <w:tc>
          <w:tcPr>
            <w:tcW w:w="560" w:type="pct"/>
            <w:shd w:val="clear" w:color="auto" w:fill="auto"/>
            <w:vAlign w:val="center"/>
          </w:tcPr>
          <w:p>
            <w:pPr>
              <w:rPr>
                <w:rFonts w:ascii="宋体" w:hAnsi="宋体" w:cs="宋体" w:eastAsiaTheme="minorEastAsia"/>
                <w:b/>
                <w:bCs/>
                <w:color w:val="000000"/>
                <w:kern w:val="0"/>
                <w:szCs w:val="21"/>
              </w:rPr>
            </w:pPr>
            <w:r>
              <w:rPr>
                <w:rFonts w:hint="eastAsia" w:ascii="宋体" w:hAnsi="宋体" w:cs="宋体" w:eastAsiaTheme="minorEastAsia"/>
                <w:b/>
                <w:bCs/>
                <w:color w:val="000000"/>
                <w:kern w:val="0"/>
                <w:szCs w:val="21"/>
              </w:rPr>
              <w:t>指标项</w:t>
            </w:r>
          </w:p>
        </w:tc>
        <w:tc>
          <w:tcPr>
            <w:tcW w:w="2991" w:type="pct"/>
            <w:shd w:val="clear" w:color="auto" w:fill="auto"/>
            <w:vAlign w:val="center"/>
          </w:tcPr>
          <w:p>
            <w:pPr>
              <w:jc w:val="center"/>
              <w:rPr>
                <w:rFonts w:ascii="宋体" w:hAnsi="宋体" w:cs="宋体" w:eastAsiaTheme="minorEastAsia"/>
                <w:b/>
                <w:bCs/>
                <w:color w:val="000000"/>
                <w:kern w:val="0"/>
                <w:szCs w:val="21"/>
              </w:rPr>
            </w:pPr>
            <w:r>
              <w:rPr>
                <w:rFonts w:hint="eastAsia" w:ascii="宋体" w:hAnsi="宋体" w:cs="宋体" w:eastAsiaTheme="minorEastAsia"/>
                <w:b/>
                <w:bCs/>
                <w:color w:val="000000"/>
                <w:kern w:val="0"/>
                <w:szCs w:val="21"/>
              </w:rPr>
              <w:t>指标要求</w:t>
            </w:r>
          </w:p>
        </w:tc>
        <w:tc>
          <w:tcPr>
            <w:tcW w:w="519" w:type="pct"/>
            <w:shd w:val="clear" w:color="auto" w:fill="auto"/>
            <w:vAlign w:val="center"/>
          </w:tcPr>
          <w:p>
            <w:pPr>
              <w:jc w:val="center"/>
              <w:rPr>
                <w:rFonts w:ascii="宋体" w:hAnsi="宋体" w:cs="宋体" w:eastAsiaTheme="minorEastAsia"/>
                <w:b/>
                <w:bCs/>
                <w:color w:val="000000"/>
                <w:kern w:val="0"/>
                <w:szCs w:val="21"/>
              </w:rPr>
            </w:pPr>
            <w:r>
              <w:rPr>
                <w:rFonts w:hint="eastAsia" w:ascii="宋体" w:hAnsi="宋体" w:cs="宋体" w:eastAsiaTheme="minorEastAsia"/>
                <w:b/>
                <w:bCs/>
                <w:color w:val="000000"/>
                <w:kern w:val="0"/>
                <w:szCs w:val="21"/>
              </w:rPr>
              <w:t>证明材料要求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70" w:type="pct"/>
            <w:shd w:val="clear" w:color="auto" w:fill="auto"/>
            <w:noWrap/>
            <w:vAlign w:val="center"/>
          </w:tcPr>
          <w:p>
            <w:pPr>
              <w:numPr>
                <w:ilvl w:val="0"/>
                <w:numId w:val="87"/>
              </w:numPr>
              <w:spacing w:line="240" w:lineRule="auto"/>
              <w:ind w:left="0" w:leftChars="0" w:firstLine="0" w:firstLineChars="0"/>
              <w:jc w:val="center"/>
              <w:rPr>
                <w:rFonts w:ascii="宋体" w:hAnsi="宋体" w:cs="宋体" w:eastAsiaTheme="minorEastAsia"/>
                <w:color w:val="000000"/>
                <w:kern w:val="0"/>
                <w:szCs w:val="21"/>
              </w:rPr>
            </w:pPr>
          </w:p>
        </w:tc>
        <w:tc>
          <w:tcPr>
            <w:tcW w:w="560" w:type="pct"/>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w:t>
            </w:r>
          </w:p>
        </w:tc>
        <w:tc>
          <w:tcPr>
            <w:tcW w:w="560" w:type="pct"/>
            <w:vMerge w:val="restart"/>
            <w:shd w:val="clear" w:color="auto" w:fill="auto"/>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手机密码破解</w:t>
            </w:r>
          </w:p>
        </w:tc>
        <w:tc>
          <w:tcPr>
            <w:tcW w:w="2991" w:type="pct"/>
            <w:shd w:val="clear" w:color="auto" w:fill="auto"/>
            <w:vAlign w:val="center"/>
          </w:tcPr>
          <w:p>
            <w:pPr>
              <w:rPr>
                <w:rFonts w:ascii="宋体" w:hAnsi="宋体" w:cs="宋体" w:eastAsiaTheme="minorEastAsia"/>
                <w:color w:val="000000"/>
                <w:kern w:val="0"/>
                <w:szCs w:val="21"/>
              </w:rPr>
            </w:pPr>
            <w:r>
              <w:rPr>
                <w:rFonts w:hint="eastAsia" w:ascii="宋体" w:hAnsi="宋体" w:cs="宋体" w:eastAsiaTheme="minorEastAsia"/>
                <w:color w:val="000000"/>
                <w:kern w:val="0"/>
                <w:szCs w:val="21"/>
              </w:rPr>
              <w:t>至少支持1种镜像文件预览方式，支持镜像文件16进制预览，读取过程可直接预览已读取数据</w:t>
            </w:r>
          </w:p>
        </w:tc>
        <w:tc>
          <w:tcPr>
            <w:tcW w:w="519" w:type="pct"/>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70" w:type="pct"/>
            <w:shd w:val="clear" w:color="auto" w:fill="auto"/>
            <w:noWrap/>
            <w:vAlign w:val="center"/>
          </w:tcPr>
          <w:p>
            <w:pPr>
              <w:numPr>
                <w:ilvl w:val="0"/>
                <w:numId w:val="87"/>
              </w:numPr>
              <w:spacing w:line="240" w:lineRule="auto"/>
              <w:ind w:left="0" w:leftChars="0" w:firstLine="0" w:firstLineChars="0"/>
              <w:jc w:val="center"/>
              <w:rPr>
                <w:rFonts w:ascii="宋体" w:hAnsi="宋体" w:cs="宋体" w:eastAsiaTheme="minorEastAsia"/>
                <w:color w:val="000000"/>
                <w:kern w:val="0"/>
                <w:szCs w:val="21"/>
              </w:rPr>
            </w:pPr>
          </w:p>
        </w:tc>
        <w:tc>
          <w:tcPr>
            <w:tcW w:w="560" w:type="pct"/>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w:t>
            </w:r>
          </w:p>
        </w:tc>
        <w:tc>
          <w:tcPr>
            <w:tcW w:w="560" w:type="pct"/>
            <w:vMerge w:val="continue"/>
            <w:vAlign w:val="center"/>
          </w:tcPr>
          <w:p>
            <w:pPr>
              <w:rPr>
                <w:rFonts w:ascii="宋体" w:hAnsi="宋体" w:cs="宋体" w:eastAsiaTheme="minorEastAsia"/>
                <w:color w:val="000000"/>
                <w:kern w:val="0"/>
                <w:szCs w:val="21"/>
              </w:rPr>
            </w:pPr>
          </w:p>
        </w:tc>
        <w:tc>
          <w:tcPr>
            <w:tcW w:w="2991" w:type="pct"/>
            <w:shd w:val="clear" w:color="auto" w:fill="auto"/>
            <w:vAlign w:val="center"/>
          </w:tcPr>
          <w:p>
            <w:pPr>
              <w:rPr>
                <w:rFonts w:ascii="宋体" w:hAnsi="宋体" w:cs="宋体" w:eastAsiaTheme="minorEastAsia"/>
                <w:color w:val="000000"/>
                <w:kern w:val="0"/>
                <w:szCs w:val="21"/>
              </w:rPr>
            </w:pPr>
            <w:r>
              <w:rPr>
                <w:rFonts w:hint="eastAsia" w:ascii="宋体" w:hAnsi="宋体" w:cs="宋体" w:eastAsiaTheme="minorEastAsia"/>
                <w:color w:val="000000"/>
                <w:kern w:val="0"/>
                <w:szCs w:val="21"/>
              </w:rPr>
              <w:t>至少支持自定义选择</w:t>
            </w:r>
            <w:r>
              <w:rPr>
                <w:rFonts w:ascii="宋体" w:hAnsi="宋体" w:cs="宋体" w:eastAsiaTheme="minorEastAsia"/>
                <w:color w:val="000000"/>
                <w:kern w:val="0"/>
                <w:szCs w:val="21"/>
              </w:rPr>
              <w:t>1</w:t>
            </w:r>
            <w:r>
              <w:rPr>
                <w:rFonts w:hint="eastAsia" w:ascii="宋体" w:hAnsi="宋体" w:cs="宋体" w:eastAsiaTheme="minorEastAsia"/>
                <w:color w:val="000000"/>
                <w:kern w:val="0"/>
                <w:szCs w:val="21"/>
              </w:rPr>
              <w:t>个以上不同镜像分区进行提取</w:t>
            </w:r>
          </w:p>
        </w:tc>
        <w:tc>
          <w:tcPr>
            <w:tcW w:w="519" w:type="pct"/>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70" w:type="pct"/>
            <w:shd w:val="clear" w:color="auto" w:fill="auto"/>
            <w:noWrap/>
            <w:vAlign w:val="center"/>
          </w:tcPr>
          <w:p>
            <w:pPr>
              <w:numPr>
                <w:ilvl w:val="0"/>
                <w:numId w:val="87"/>
              </w:numPr>
              <w:spacing w:line="240" w:lineRule="auto"/>
              <w:ind w:left="0" w:leftChars="0" w:firstLine="0" w:firstLineChars="0"/>
              <w:jc w:val="center"/>
              <w:rPr>
                <w:rFonts w:ascii="宋体" w:hAnsi="宋体" w:cs="宋体" w:eastAsiaTheme="minorEastAsia"/>
                <w:color w:val="000000"/>
                <w:kern w:val="0"/>
                <w:szCs w:val="21"/>
              </w:rPr>
            </w:pPr>
          </w:p>
        </w:tc>
        <w:tc>
          <w:tcPr>
            <w:tcW w:w="560" w:type="pct"/>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w:t>
            </w:r>
          </w:p>
        </w:tc>
        <w:tc>
          <w:tcPr>
            <w:tcW w:w="560" w:type="pct"/>
            <w:vMerge w:val="continue"/>
            <w:vAlign w:val="center"/>
          </w:tcPr>
          <w:p>
            <w:pPr>
              <w:rPr>
                <w:rFonts w:ascii="宋体" w:hAnsi="宋体" w:cs="宋体" w:eastAsiaTheme="minorEastAsia"/>
                <w:color w:val="000000"/>
                <w:kern w:val="0"/>
                <w:szCs w:val="21"/>
              </w:rPr>
            </w:pPr>
          </w:p>
        </w:tc>
        <w:tc>
          <w:tcPr>
            <w:tcW w:w="2991" w:type="pct"/>
            <w:shd w:val="clear" w:color="auto" w:fill="auto"/>
            <w:vAlign w:val="center"/>
          </w:tcPr>
          <w:p>
            <w:pPr>
              <w:rPr>
                <w:rFonts w:ascii="宋体" w:hAnsi="宋体" w:cs="宋体" w:eastAsiaTheme="minorEastAsia"/>
                <w:color w:val="000000"/>
                <w:kern w:val="0"/>
                <w:szCs w:val="21"/>
              </w:rPr>
            </w:pPr>
            <w:r>
              <w:rPr>
                <w:rFonts w:hint="eastAsia" w:ascii="宋体" w:hAnsi="宋体" w:cs="宋体" w:eastAsiaTheme="minorEastAsia"/>
                <w:color w:val="000000"/>
                <w:kern w:val="0"/>
                <w:szCs w:val="21"/>
              </w:rPr>
              <w:t>至少支持两种不同芯片厂商的手机锁屏USB调试未开情况下做物理镜像</w:t>
            </w:r>
          </w:p>
        </w:tc>
        <w:tc>
          <w:tcPr>
            <w:tcW w:w="519" w:type="pct"/>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70" w:type="pct"/>
            <w:shd w:val="clear" w:color="auto" w:fill="auto"/>
            <w:noWrap/>
            <w:vAlign w:val="center"/>
          </w:tcPr>
          <w:p>
            <w:pPr>
              <w:numPr>
                <w:ilvl w:val="0"/>
                <w:numId w:val="87"/>
              </w:numPr>
              <w:spacing w:line="240" w:lineRule="auto"/>
              <w:ind w:left="0" w:leftChars="0" w:firstLine="0" w:firstLineChars="0"/>
              <w:jc w:val="center"/>
              <w:rPr>
                <w:rFonts w:ascii="宋体" w:hAnsi="宋体" w:cs="宋体" w:eastAsiaTheme="minorEastAsia"/>
                <w:color w:val="000000"/>
                <w:kern w:val="0"/>
                <w:szCs w:val="21"/>
              </w:rPr>
            </w:pPr>
          </w:p>
        </w:tc>
        <w:tc>
          <w:tcPr>
            <w:tcW w:w="560" w:type="pct"/>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w:t>
            </w:r>
          </w:p>
        </w:tc>
        <w:tc>
          <w:tcPr>
            <w:tcW w:w="560" w:type="pct"/>
            <w:vMerge w:val="continue"/>
            <w:vAlign w:val="center"/>
          </w:tcPr>
          <w:p>
            <w:pPr>
              <w:rPr>
                <w:rFonts w:ascii="宋体" w:hAnsi="宋体" w:cs="宋体" w:eastAsiaTheme="minorEastAsia"/>
                <w:color w:val="000000"/>
                <w:kern w:val="0"/>
                <w:szCs w:val="21"/>
              </w:rPr>
            </w:pPr>
          </w:p>
        </w:tc>
        <w:tc>
          <w:tcPr>
            <w:tcW w:w="2991" w:type="pct"/>
            <w:shd w:val="clear" w:color="auto" w:fill="auto"/>
            <w:vAlign w:val="center"/>
          </w:tcPr>
          <w:p>
            <w:pPr>
              <w:rPr>
                <w:rFonts w:ascii="宋体" w:hAnsi="宋体" w:cs="宋体" w:eastAsiaTheme="minorEastAsia"/>
                <w:color w:val="000000"/>
                <w:kern w:val="0"/>
                <w:szCs w:val="21"/>
              </w:rPr>
            </w:pPr>
            <w:r>
              <w:rPr>
                <w:rFonts w:hint="eastAsia" w:ascii="宋体" w:hAnsi="宋体" w:cs="宋体" w:eastAsiaTheme="minorEastAsia"/>
                <w:color w:val="000000"/>
                <w:kern w:val="0"/>
                <w:szCs w:val="21"/>
              </w:rPr>
              <w:t>至少支持40款以上的华为手机提取手机全盘文件，支持基于Kirin 970、980、990、990（5G）芯片的EMUI9及以上华为手机全盘文件提取，支持型号包括但不限于Mate10系列、Mate20系列、P20系列、P30系列、Mate30系列、Mate30（5G）系列、荣耀NOTE10等，支持获取支付宝、快应用及隐私空间数据</w:t>
            </w:r>
          </w:p>
        </w:tc>
        <w:tc>
          <w:tcPr>
            <w:tcW w:w="519" w:type="pct"/>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70" w:type="pct"/>
            <w:shd w:val="clear" w:color="auto" w:fill="auto"/>
            <w:noWrap/>
            <w:vAlign w:val="center"/>
          </w:tcPr>
          <w:p>
            <w:pPr>
              <w:numPr>
                <w:ilvl w:val="0"/>
                <w:numId w:val="87"/>
              </w:numPr>
              <w:spacing w:line="240" w:lineRule="auto"/>
              <w:ind w:left="0" w:leftChars="0" w:firstLine="0" w:firstLineChars="0"/>
              <w:jc w:val="center"/>
              <w:rPr>
                <w:rFonts w:ascii="宋体" w:hAnsi="宋体" w:cs="宋体" w:eastAsiaTheme="minorEastAsia"/>
                <w:color w:val="000000"/>
                <w:kern w:val="0"/>
                <w:szCs w:val="21"/>
              </w:rPr>
            </w:pPr>
          </w:p>
        </w:tc>
        <w:tc>
          <w:tcPr>
            <w:tcW w:w="560" w:type="pct"/>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w:t>
            </w:r>
          </w:p>
        </w:tc>
        <w:tc>
          <w:tcPr>
            <w:tcW w:w="560" w:type="pct"/>
            <w:vMerge w:val="continue"/>
            <w:vAlign w:val="center"/>
          </w:tcPr>
          <w:p>
            <w:pPr>
              <w:rPr>
                <w:rFonts w:ascii="宋体" w:hAnsi="宋体" w:cs="宋体" w:eastAsiaTheme="minorEastAsia"/>
                <w:color w:val="000000"/>
                <w:kern w:val="0"/>
                <w:szCs w:val="21"/>
              </w:rPr>
            </w:pPr>
          </w:p>
        </w:tc>
        <w:tc>
          <w:tcPr>
            <w:tcW w:w="2991" w:type="pct"/>
            <w:shd w:val="clear" w:color="auto" w:fill="auto"/>
            <w:noWrap/>
            <w:vAlign w:val="center"/>
          </w:tcPr>
          <w:p>
            <w:pPr>
              <w:rPr>
                <w:rFonts w:ascii="宋体" w:hAnsi="宋体" w:cs="宋体" w:eastAsiaTheme="minorEastAsia"/>
                <w:color w:val="000000"/>
                <w:kern w:val="0"/>
                <w:szCs w:val="21"/>
              </w:rPr>
            </w:pPr>
            <w:r>
              <w:rPr>
                <w:rFonts w:hint="eastAsia" w:ascii="宋体" w:hAnsi="宋体" w:cs="宋体" w:eastAsiaTheme="minorEastAsia"/>
                <w:color w:val="000000"/>
                <w:kern w:val="0"/>
                <w:szCs w:val="21"/>
              </w:rPr>
              <w:t>至少支持12个系列以上的基于Exynos芯片三星手机绕过锁屏密码提取物理镜像，包括但不限于Galaxy S系列（6、7、8、9）、Galaxy Note系列（4、5、7、8、9）、Galaxy A / J，Galaxy Tab 系列</w:t>
            </w:r>
          </w:p>
        </w:tc>
        <w:tc>
          <w:tcPr>
            <w:tcW w:w="519" w:type="pct"/>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70" w:type="pct"/>
            <w:shd w:val="clear" w:color="auto" w:fill="auto"/>
            <w:noWrap/>
            <w:vAlign w:val="center"/>
          </w:tcPr>
          <w:p>
            <w:pPr>
              <w:numPr>
                <w:ilvl w:val="0"/>
                <w:numId w:val="87"/>
              </w:numPr>
              <w:spacing w:line="240" w:lineRule="auto"/>
              <w:ind w:left="0" w:leftChars="0" w:firstLine="0" w:firstLineChars="0"/>
              <w:jc w:val="center"/>
              <w:rPr>
                <w:rFonts w:ascii="宋体" w:hAnsi="宋体" w:cs="宋体" w:eastAsiaTheme="minorEastAsia"/>
                <w:color w:val="000000"/>
                <w:kern w:val="0"/>
                <w:szCs w:val="21"/>
              </w:rPr>
            </w:pPr>
          </w:p>
        </w:tc>
        <w:tc>
          <w:tcPr>
            <w:tcW w:w="560" w:type="pct"/>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w:t>
            </w:r>
          </w:p>
        </w:tc>
        <w:tc>
          <w:tcPr>
            <w:tcW w:w="560" w:type="pct"/>
            <w:vMerge w:val="continue"/>
            <w:vAlign w:val="center"/>
          </w:tcPr>
          <w:p>
            <w:pPr>
              <w:rPr>
                <w:rFonts w:ascii="宋体" w:hAnsi="宋体" w:cs="宋体" w:eastAsiaTheme="minorEastAsia"/>
                <w:color w:val="000000"/>
                <w:kern w:val="0"/>
                <w:szCs w:val="21"/>
              </w:rPr>
            </w:pPr>
          </w:p>
        </w:tc>
        <w:tc>
          <w:tcPr>
            <w:tcW w:w="2991" w:type="pct"/>
            <w:shd w:val="clear" w:color="auto" w:fill="auto"/>
            <w:noWrap/>
            <w:vAlign w:val="center"/>
          </w:tcPr>
          <w:p>
            <w:pPr>
              <w:rPr>
                <w:rFonts w:ascii="宋体" w:hAnsi="宋体" w:cs="宋体" w:eastAsiaTheme="minorEastAsia"/>
                <w:color w:val="000000"/>
                <w:kern w:val="0"/>
                <w:szCs w:val="21"/>
              </w:rPr>
            </w:pPr>
            <w:r>
              <w:rPr>
                <w:rFonts w:hint="eastAsia" w:ascii="宋体" w:hAnsi="宋体" w:cs="宋体" w:eastAsiaTheme="minorEastAsia"/>
                <w:color w:val="000000"/>
                <w:kern w:val="0"/>
                <w:szCs w:val="21"/>
              </w:rPr>
              <w:t>至少支持三星手机1200种以上型号镜像获取，包括但不限于(S7edge \S7 \S6edge \S6 \S5 \S4 \S3 \S2 \Note5 \Note4 \note3 \Note2 \A8 \A7 \ A5 \A3 \W2013 \W2014 \W2015 \W2016)，支持同型号不同版本，绕过锁屏密码情况下提取物理镜像，S5\S4\Note3\Note2\W2013\W2014\W2015等支持不刷机不改变任何机身数据提取物理镜像</w:t>
            </w:r>
          </w:p>
        </w:tc>
        <w:tc>
          <w:tcPr>
            <w:tcW w:w="519" w:type="pct"/>
            <w:shd w:val="clear" w:color="auto" w:fill="auto"/>
            <w:noWrap/>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70" w:type="pct"/>
            <w:shd w:val="clear" w:color="auto" w:fill="auto"/>
            <w:noWrap/>
            <w:vAlign w:val="center"/>
          </w:tcPr>
          <w:p>
            <w:pPr>
              <w:numPr>
                <w:ilvl w:val="0"/>
                <w:numId w:val="87"/>
              </w:numPr>
              <w:spacing w:line="240" w:lineRule="auto"/>
              <w:ind w:left="0" w:leftChars="0" w:firstLine="0" w:firstLineChars="0"/>
              <w:jc w:val="center"/>
              <w:rPr>
                <w:rFonts w:ascii="宋体" w:hAnsi="宋体" w:cs="宋体" w:eastAsiaTheme="minorEastAsia"/>
                <w:color w:val="000000"/>
                <w:kern w:val="0"/>
                <w:szCs w:val="21"/>
              </w:rPr>
            </w:pPr>
          </w:p>
        </w:tc>
        <w:tc>
          <w:tcPr>
            <w:tcW w:w="560" w:type="pct"/>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w:t>
            </w:r>
          </w:p>
        </w:tc>
        <w:tc>
          <w:tcPr>
            <w:tcW w:w="560" w:type="pct"/>
            <w:vMerge w:val="continue"/>
            <w:vAlign w:val="center"/>
          </w:tcPr>
          <w:p>
            <w:pPr>
              <w:rPr>
                <w:rFonts w:ascii="宋体" w:hAnsi="宋体" w:cs="宋体" w:eastAsiaTheme="minorEastAsia"/>
                <w:color w:val="000000"/>
                <w:kern w:val="0"/>
                <w:szCs w:val="21"/>
              </w:rPr>
            </w:pPr>
          </w:p>
        </w:tc>
        <w:tc>
          <w:tcPr>
            <w:tcW w:w="2991" w:type="pct"/>
            <w:shd w:val="clear" w:color="auto" w:fill="auto"/>
            <w:noWrap/>
            <w:vAlign w:val="center"/>
          </w:tcPr>
          <w:p>
            <w:pPr>
              <w:rPr>
                <w:rFonts w:ascii="宋体" w:hAnsi="宋体" w:cs="宋体" w:eastAsiaTheme="minorEastAsia"/>
                <w:color w:val="000000"/>
                <w:kern w:val="0"/>
                <w:szCs w:val="21"/>
              </w:rPr>
            </w:pPr>
            <w:r>
              <w:rPr>
                <w:rFonts w:hint="eastAsia" w:ascii="宋体" w:hAnsi="宋体" w:cs="宋体" w:eastAsiaTheme="minorEastAsia"/>
                <w:color w:val="000000"/>
                <w:kern w:val="0"/>
                <w:szCs w:val="21"/>
              </w:rPr>
              <w:t>至少支持以下3种设备镜像获取：</w:t>
            </w:r>
          </w:p>
          <w:p>
            <w:pPr>
              <w:rPr>
                <w:rFonts w:ascii="宋体" w:hAnsi="宋体" w:cs="宋体" w:eastAsiaTheme="minorEastAsia"/>
                <w:color w:val="000000"/>
                <w:kern w:val="0"/>
                <w:szCs w:val="21"/>
              </w:rPr>
            </w:pPr>
            <w:r>
              <w:rPr>
                <w:rFonts w:hint="eastAsia" w:ascii="宋体" w:hAnsi="宋体" w:cs="宋体" w:eastAsiaTheme="minorEastAsia"/>
                <w:color w:val="000000"/>
                <w:kern w:val="0"/>
                <w:szCs w:val="21"/>
              </w:rPr>
              <w:t>安全补丁时间为2016年10月之前的安卓手机物理镜像获取</w:t>
            </w:r>
          </w:p>
          <w:p>
            <w:pPr>
              <w:rPr>
                <w:rFonts w:ascii="宋体" w:hAnsi="宋体" w:cs="宋体" w:eastAsiaTheme="minorEastAsia"/>
                <w:color w:val="000000"/>
                <w:kern w:val="0"/>
                <w:szCs w:val="21"/>
              </w:rPr>
            </w:pPr>
            <w:r>
              <w:rPr>
                <w:rFonts w:hint="eastAsia" w:ascii="宋体" w:hAnsi="宋体" w:cs="宋体" w:eastAsiaTheme="minorEastAsia"/>
                <w:color w:val="000000"/>
                <w:kern w:val="0"/>
                <w:szCs w:val="21"/>
              </w:rPr>
              <w:t>安卓版本为5及之前、内核版本为3.18.X的安卓手机物理镜像获取</w:t>
            </w:r>
          </w:p>
          <w:p>
            <w:pPr>
              <w:rPr>
                <w:rFonts w:ascii="宋体" w:hAnsi="宋体" w:cs="宋体" w:eastAsiaTheme="minorEastAsia"/>
                <w:b/>
                <w:bCs/>
                <w:color w:val="000000"/>
                <w:kern w:val="0"/>
                <w:szCs w:val="21"/>
              </w:rPr>
            </w:pPr>
            <w:r>
              <w:rPr>
                <w:rFonts w:hint="eastAsia" w:ascii="宋体" w:hAnsi="宋体" w:cs="宋体" w:eastAsiaTheme="minorEastAsia"/>
                <w:color w:val="000000"/>
                <w:kern w:val="0"/>
                <w:szCs w:val="21"/>
              </w:rPr>
              <w:t>安全补丁时间为2019年8月之前的三星手机（包括NOTE8\S7 Edge\S8+等）物理镜像获取</w:t>
            </w:r>
          </w:p>
        </w:tc>
        <w:tc>
          <w:tcPr>
            <w:tcW w:w="519" w:type="pct"/>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70" w:type="pct"/>
            <w:shd w:val="clear" w:color="auto" w:fill="auto"/>
            <w:noWrap/>
            <w:vAlign w:val="center"/>
          </w:tcPr>
          <w:p>
            <w:pPr>
              <w:numPr>
                <w:ilvl w:val="0"/>
                <w:numId w:val="87"/>
              </w:numPr>
              <w:spacing w:line="240" w:lineRule="auto"/>
              <w:ind w:left="0" w:leftChars="0" w:firstLine="0" w:firstLineChars="0"/>
              <w:jc w:val="center"/>
              <w:rPr>
                <w:rFonts w:ascii="宋体" w:hAnsi="宋体" w:cs="宋体" w:eastAsiaTheme="minorEastAsia"/>
                <w:color w:val="000000"/>
                <w:kern w:val="0"/>
                <w:szCs w:val="21"/>
              </w:rPr>
            </w:pPr>
          </w:p>
        </w:tc>
        <w:tc>
          <w:tcPr>
            <w:tcW w:w="560" w:type="pct"/>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w:t>
            </w:r>
          </w:p>
        </w:tc>
        <w:tc>
          <w:tcPr>
            <w:tcW w:w="560" w:type="pct"/>
            <w:vMerge w:val="continue"/>
            <w:vAlign w:val="center"/>
          </w:tcPr>
          <w:p>
            <w:pPr>
              <w:rPr>
                <w:rFonts w:ascii="宋体" w:hAnsi="宋体" w:cs="宋体" w:eastAsiaTheme="minorEastAsia"/>
                <w:color w:val="000000"/>
                <w:kern w:val="0"/>
                <w:szCs w:val="21"/>
              </w:rPr>
            </w:pPr>
          </w:p>
        </w:tc>
        <w:tc>
          <w:tcPr>
            <w:tcW w:w="2991" w:type="pct"/>
            <w:shd w:val="clear" w:color="auto" w:fill="auto"/>
            <w:noWrap/>
            <w:vAlign w:val="center"/>
          </w:tcPr>
          <w:p>
            <w:pPr>
              <w:rPr>
                <w:rFonts w:hint="eastAsia" w:ascii="宋体" w:hAnsi="宋体" w:cs="宋体" w:eastAsiaTheme="minorEastAsia"/>
                <w:color w:val="000000"/>
                <w:kern w:val="0"/>
                <w:szCs w:val="21"/>
                <w:highlight w:val="none"/>
                <w:lang w:eastAsia="zh-CN"/>
              </w:rPr>
            </w:pPr>
            <w:r>
              <w:rPr>
                <w:rFonts w:hint="eastAsia" w:ascii="宋体" w:hAnsi="宋体" w:cs="宋体" w:eastAsiaTheme="minorEastAsia"/>
                <w:color w:val="000000"/>
                <w:kern w:val="0"/>
                <w:szCs w:val="21"/>
                <w:highlight w:val="none"/>
                <w:lang w:val="en-US" w:eastAsia="zh-CN"/>
              </w:rPr>
              <w:t>至少</w:t>
            </w:r>
            <w:r>
              <w:rPr>
                <w:rFonts w:hint="eastAsia" w:ascii="宋体" w:hAnsi="宋体" w:cs="宋体" w:eastAsiaTheme="minorEastAsia"/>
                <w:color w:val="000000"/>
                <w:kern w:val="0"/>
                <w:szCs w:val="21"/>
                <w:highlight w:val="none"/>
              </w:rPr>
              <w:t>支持</w:t>
            </w:r>
            <w:r>
              <w:rPr>
                <w:rFonts w:hint="eastAsia" w:ascii="宋体" w:hAnsi="宋体" w:cs="宋体" w:eastAsiaTheme="minorEastAsia"/>
                <w:color w:val="000000"/>
                <w:kern w:val="0"/>
                <w:szCs w:val="21"/>
                <w:highlight w:val="none"/>
                <w:lang w:val="en-US" w:eastAsia="zh-CN"/>
              </w:rPr>
              <w:t>2种提取意外中断处置，包括提取任务重置和</w:t>
            </w:r>
            <w:r>
              <w:rPr>
                <w:rFonts w:hint="eastAsia" w:ascii="宋体" w:hAnsi="宋体" w:cs="宋体" w:eastAsiaTheme="minorEastAsia"/>
                <w:color w:val="000000"/>
                <w:kern w:val="0"/>
                <w:szCs w:val="21"/>
                <w:highlight w:val="none"/>
              </w:rPr>
              <w:t>断点续提</w:t>
            </w:r>
          </w:p>
        </w:tc>
        <w:tc>
          <w:tcPr>
            <w:tcW w:w="519" w:type="pct"/>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70" w:type="pct"/>
            <w:shd w:val="clear" w:color="auto" w:fill="auto"/>
            <w:noWrap/>
            <w:vAlign w:val="center"/>
          </w:tcPr>
          <w:p>
            <w:pPr>
              <w:numPr>
                <w:ilvl w:val="0"/>
                <w:numId w:val="87"/>
              </w:numPr>
              <w:spacing w:line="240" w:lineRule="auto"/>
              <w:ind w:left="0" w:leftChars="0" w:firstLine="0" w:firstLineChars="0"/>
              <w:jc w:val="center"/>
              <w:rPr>
                <w:rFonts w:ascii="宋体" w:hAnsi="宋体" w:cs="宋体" w:eastAsiaTheme="minorEastAsia"/>
                <w:color w:val="000000"/>
                <w:kern w:val="0"/>
                <w:szCs w:val="21"/>
              </w:rPr>
            </w:pPr>
          </w:p>
        </w:tc>
        <w:tc>
          <w:tcPr>
            <w:tcW w:w="560" w:type="pct"/>
            <w:shd w:val="clear" w:color="auto" w:fill="auto"/>
            <w:noWrap/>
            <w:vAlign w:val="center"/>
          </w:tcPr>
          <w:p>
            <w:pPr>
              <w:jc w:val="center"/>
              <w:rPr>
                <w:rFonts w:ascii="宋体" w:hAnsi="宋体" w:cs="宋体" w:eastAsiaTheme="minorEastAsia"/>
                <w:color w:val="000000"/>
                <w:kern w:val="0"/>
                <w:szCs w:val="21"/>
              </w:rPr>
            </w:pPr>
          </w:p>
        </w:tc>
        <w:tc>
          <w:tcPr>
            <w:tcW w:w="560" w:type="pct"/>
            <w:vMerge w:val="continue"/>
            <w:vAlign w:val="center"/>
          </w:tcPr>
          <w:p>
            <w:pPr>
              <w:rPr>
                <w:rFonts w:ascii="宋体" w:hAnsi="宋体" w:cs="宋体" w:eastAsiaTheme="minorEastAsia"/>
                <w:color w:val="000000"/>
                <w:kern w:val="0"/>
                <w:szCs w:val="21"/>
              </w:rPr>
            </w:pPr>
          </w:p>
        </w:tc>
        <w:tc>
          <w:tcPr>
            <w:tcW w:w="2991" w:type="pct"/>
            <w:shd w:val="clear" w:color="auto" w:fill="auto"/>
            <w:noWrap/>
            <w:vAlign w:val="center"/>
          </w:tcPr>
          <w:p>
            <w:pPr>
              <w:rPr>
                <w:rFonts w:ascii="宋体" w:hAnsi="宋体" w:cs="宋体" w:eastAsiaTheme="minorEastAsia"/>
                <w:color w:val="000000"/>
                <w:kern w:val="0"/>
                <w:szCs w:val="21"/>
              </w:rPr>
            </w:pPr>
            <w:r>
              <w:rPr>
                <w:rFonts w:hint="eastAsia" w:ascii="宋体" w:hAnsi="宋体" w:cs="宋体" w:eastAsiaTheme="minorEastAsia"/>
                <w:color w:val="000000"/>
                <w:kern w:val="0"/>
                <w:szCs w:val="21"/>
              </w:rPr>
              <w:t>至少支持VIVO系列手机，包括但不限于(X20\ X20Plus \X7 \X7Plus \X6s \X6Plus \X5Max \Y79 \Y51 \Y37 \Xplay5 \V3)等70款型号，无需root、无需打开USB调试、无视锁屏密码，提取物理镜像</w:t>
            </w:r>
          </w:p>
        </w:tc>
        <w:tc>
          <w:tcPr>
            <w:tcW w:w="519" w:type="pct"/>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70" w:type="pct"/>
            <w:shd w:val="clear" w:color="auto" w:fill="auto"/>
            <w:noWrap/>
            <w:vAlign w:val="center"/>
          </w:tcPr>
          <w:p>
            <w:pPr>
              <w:numPr>
                <w:ilvl w:val="0"/>
                <w:numId w:val="87"/>
              </w:numPr>
              <w:spacing w:line="240" w:lineRule="auto"/>
              <w:ind w:left="0" w:leftChars="0" w:firstLine="0" w:firstLineChars="0"/>
              <w:jc w:val="center"/>
              <w:rPr>
                <w:rFonts w:ascii="宋体" w:hAnsi="宋体" w:cs="宋体" w:eastAsiaTheme="minorEastAsia"/>
                <w:color w:val="000000"/>
                <w:kern w:val="0"/>
                <w:szCs w:val="21"/>
              </w:rPr>
            </w:pPr>
          </w:p>
        </w:tc>
        <w:tc>
          <w:tcPr>
            <w:tcW w:w="560" w:type="pct"/>
            <w:shd w:val="clear" w:color="auto" w:fill="auto"/>
            <w:noWrap/>
            <w:vAlign w:val="center"/>
          </w:tcPr>
          <w:p>
            <w:pPr>
              <w:jc w:val="center"/>
              <w:rPr>
                <w:rFonts w:ascii="宋体" w:hAnsi="宋体" w:cs="宋体" w:eastAsiaTheme="minorEastAsia"/>
                <w:color w:val="000000"/>
                <w:kern w:val="0"/>
                <w:szCs w:val="21"/>
              </w:rPr>
            </w:pPr>
          </w:p>
        </w:tc>
        <w:tc>
          <w:tcPr>
            <w:tcW w:w="560" w:type="pct"/>
            <w:vMerge w:val="continue"/>
            <w:vAlign w:val="center"/>
          </w:tcPr>
          <w:p>
            <w:pPr>
              <w:rPr>
                <w:rFonts w:ascii="宋体" w:hAnsi="宋体" w:cs="宋体" w:eastAsiaTheme="minorEastAsia"/>
                <w:color w:val="000000"/>
                <w:kern w:val="0"/>
                <w:szCs w:val="21"/>
              </w:rPr>
            </w:pPr>
          </w:p>
        </w:tc>
        <w:tc>
          <w:tcPr>
            <w:tcW w:w="2991" w:type="pct"/>
            <w:shd w:val="clear" w:color="auto" w:fill="auto"/>
            <w:noWrap/>
            <w:vAlign w:val="center"/>
          </w:tcPr>
          <w:p>
            <w:pPr>
              <w:rPr>
                <w:rFonts w:ascii="宋体" w:hAnsi="宋体" w:cs="宋体" w:eastAsiaTheme="minorEastAsia"/>
                <w:color w:val="000000"/>
                <w:kern w:val="0"/>
                <w:szCs w:val="21"/>
              </w:rPr>
            </w:pPr>
            <w:r>
              <w:rPr>
                <w:rFonts w:hint="eastAsia" w:ascii="宋体" w:hAnsi="宋体" w:cs="宋体" w:eastAsiaTheme="minorEastAsia"/>
                <w:color w:val="000000"/>
                <w:kern w:val="0"/>
                <w:szCs w:val="21"/>
              </w:rPr>
              <w:t>至少支持OPPO系列手机，包括但不限（R11s系列 \R11系列 \R9s系列\R9tm\R9Plus\R9系列\A79 \A59 \A53 \A37 \Find7）等80款型号，无需root、无需打开USB调试、无视锁屏密码，提取物理镜像</w:t>
            </w:r>
          </w:p>
        </w:tc>
        <w:tc>
          <w:tcPr>
            <w:tcW w:w="519" w:type="pct"/>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70" w:type="pct"/>
            <w:shd w:val="clear" w:color="auto" w:fill="auto"/>
            <w:noWrap/>
            <w:vAlign w:val="center"/>
          </w:tcPr>
          <w:p>
            <w:pPr>
              <w:numPr>
                <w:ilvl w:val="0"/>
                <w:numId w:val="87"/>
              </w:numPr>
              <w:spacing w:line="240" w:lineRule="auto"/>
              <w:ind w:left="0" w:leftChars="0" w:firstLine="0" w:firstLineChars="0"/>
              <w:jc w:val="center"/>
              <w:rPr>
                <w:rFonts w:ascii="宋体" w:hAnsi="宋体" w:cs="宋体" w:eastAsiaTheme="minorEastAsia"/>
                <w:color w:val="000000"/>
                <w:kern w:val="0"/>
                <w:szCs w:val="21"/>
              </w:rPr>
            </w:pPr>
          </w:p>
        </w:tc>
        <w:tc>
          <w:tcPr>
            <w:tcW w:w="560" w:type="pct"/>
            <w:shd w:val="clear" w:color="auto" w:fill="auto"/>
            <w:noWrap/>
            <w:vAlign w:val="center"/>
          </w:tcPr>
          <w:p>
            <w:pPr>
              <w:jc w:val="center"/>
              <w:rPr>
                <w:rFonts w:ascii="宋体" w:hAnsi="宋体" w:cs="宋体" w:eastAsiaTheme="minorEastAsia"/>
                <w:color w:val="000000"/>
                <w:kern w:val="0"/>
                <w:szCs w:val="21"/>
              </w:rPr>
            </w:pPr>
          </w:p>
        </w:tc>
        <w:tc>
          <w:tcPr>
            <w:tcW w:w="560" w:type="pct"/>
            <w:vMerge w:val="continue"/>
            <w:vAlign w:val="center"/>
          </w:tcPr>
          <w:p>
            <w:pPr>
              <w:rPr>
                <w:rFonts w:ascii="宋体" w:hAnsi="宋体" w:cs="宋体" w:eastAsiaTheme="minorEastAsia"/>
                <w:color w:val="000000"/>
                <w:kern w:val="0"/>
                <w:szCs w:val="21"/>
              </w:rPr>
            </w:pPr>
          </w:p>
        </w:tc>
        <w:tc>
          <w:tcPr>
            <w:tcW w:w="2991" w:type="pct"/>
            <w:shd w:val="clear" w:color="auto" w:fill="auto"/>
            <w:noWrap/>
            <w:vAlign w:val="center"/>
          </w:tcPr>
          <w:p>
            <w:pPr>
              <w:rPr>
                <w:rFonts w:ascii="宋体" w:hAnsi="宋体" w:cs="宋体" w:eastAsiaTheme="minorEastAsia"/>
                <w:color w:val="000000"/>
                <w:kern w:val="0"/>
                <w:szCs w:val="21"/>
              </w:rPr>
            </w:pPr>
            <w:r>
              <w:rPr>
                <w:rFonts w:hint="eastAsia" w:ascii="宋体" w:hAnsi="宋体" w:cs="宋体" w:eastAsiaTheme="minorEastAsia"/>
                <w:color w:val="000000"/>
                <w:kern w:val="0"/>
                <w:szCs w:val="21"/>
              </w:rPr>
              <w:t>至少支持15款小米手机（含MIUI 11系统）未开USB调试情况下移除锁屏密码，包括但不限于Mi Mix \Mi8Lite \Mi6X \Mi5s \Mi5sPlus \Mi5 \Note3 \Note2 \红米Note7 \红米Note6 Pro \红米5Plus\红米5\红米4系列\红米3系列\红米Note5\红米Note4x等</w:t>
            </w:r>
          </w:p>
        </w:tc>
        <w:tc>
          <w:tcPr>
            <w:tcW w:w="519" w:type="pct"/>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70" w:type="pct"/>
            <w:shd w:val="clear" w:color="auto" w:fill="auto"/>
            <w:noWrap/>
            <w:vAlign w:val="center"/>
          </w:tcPr>
          <w:p>
            <w:pPr>
              <w:numPr>
                <w:ilvl w:val="0"/>
                <w:numId w:val="87"/>
              </w:numPr>
              <w:spacing w:line="240" w:lineRule="auto"/>
              <w:ind w:left="0" w:leftChars="0" w:firstLine="0" w:firstLineChars="0"/>
              <w:jc w:val="center"/>
              <w:rPr>
                <w:rFonts w:ascii="宋体" w:hAnsi="宋体" w:cs="宋体" w:eastAsiaTheme="minorEastAsia"/>
                <w:color w:val="000000"/>
                <w:kern w:val="0"/>
                <w:szCs w:val="21"/>
              </w:rPr>
            </w:pPr>
          </w:p>
        </w:tc>
        <w:tc>
          <w:tcPr>
            <w:tcW w:w="560" w:type="pct"/>
            <w:shd w:val="clear" w:color="auto" w:fill="auto"/>
            <w:noWrap/>
            <w:vAlign w:val="center"/>
          </w:tcPr>
          <w:p>
            <w:pPr>
              <w:jc w:val="center"/>
              <w:rPr>
                <w:rFonts w:ascii="宋体" w:hAnsi="宋体" w:cs="宋体" w:eastAsiaTheme="minorEastAsia"/>
                <w:color w:val="000000"/>
                <w:kern w:val="0"/>
                <w:szCs w:val="21"/>
              </w:rPr>
            </w:pPr>
          </w:p>
        </w:tc>
        <w:tc>
          <w:tcPr>
            <w:tcW w:w="560" w:type="pct"/>
            <w:vMerge w:val="continue"/>
            <w:vAlign w:val="center"/>
          </w:tcPr>
          <w:p>
            <w:pPr>
              <w:rPr>
                <w:rFonts w:ascii="宋体" w:hAnsi="宋体" w:cs="宋体" w:eastAsiaTheme="minorEastAsia"/>
                <w:color w:val="000000"/>
                <w:kern w:val="0"/>
                <w:szCs w:val="21"/>
              </w:rPr>
            </w:pPr>
          </w:p>
        </w:tc>
        <w:tc>
          <w:tcPr>
            <w:tcW w:w="2991" w:type="pct"/>
            <w:shd w:val="clear" w:color="auto" w:fill="auto"/>
            <w:noWrap/>
            <w:vAlign w:val="center"/>
          </w:tcPr>
          <w:p>
            <w:pPr>
              <w:rPr>
                <w:rFonts w:ascii="宋体" w:hAnsi="宋体" w:cs="宋体" w:eastAsiaTheme="minorEastAsia"/>
                <w:color w:val="000000"/>
                <w:kern w:val="0"/>
                <w:szCs w:val="21"/>
              </w:rPr>
            </w:pPr>
            <w:r>
              <w:rPr>
                <w:rFonts w:hint="eastAsia" w:ascii="宋体" w:hAnsi="宋体" w:cs="宋体" w:eastAsiaTheme="minorEastAsia"/>
                <w:color w:val="000000"/>
                <w:kern w:val="0"/>
                <w:szCs w:val="21"/>
              </w:rPr>
              <w:t>至少支持14款VIVO手机未开USB调试情况下移除锁屏密码，包括但不限于Z3i\X21系列\X20 \X20Plus \X9s \X9 \Y97 \Y93s \Y85 \Y83 \Y79 \Y77 \Xplay6 \Xplay5s等</w:t>
            </w:r>
          </w:p>
        </w:tc>
        <w:tc>
          <w:tcPr>
            <w:tcW w:w="519" w:type="pct"/>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70" w:type="pct"/>
            <w:shd w:val="clear" w:color="auto" w:fill="auto"/>
            <w:noWrap/>
            <w:vAlign w:val="center"/>
          </w:tcPr>
          <w:p>
            <w:pPr>
              <w:numPr>
                <w:ilvl w:val="0"/>
                <w:numId w:val="87"/>
              </w:numPr>
              <w:spacing w:line="240" w:lineRule="auto"/>
              <w:ind w:left="0" w:leftChars="0" w:firstLine="0" w:firstLineChars="0"/>
              <w:jc w:val="center"/>
              <w:rPr>
                <w:rFonts w:ascii="宋体" w:hAnsi="宋体" w:cs="宋体" w:eastAsiaTheme="minorEastAsia"/>
                <w:color w:val="000000"/>
                <w:kern w:val="0"/>
                <w:szCs w:val="21"/>
              </w:rPr>
            </w:pPr>
          </w:p>
        </w:tc>
        <w:tc>
          <w:tcPr>
            <w:tcW w:w="560" w:type="pct"/>
            <w:shd w:val="clear" w:color="auto" w:fill="auto"/>
            <w:noWrap/>
            <w:vAlign w:val="center"/>
          </w:tcPr>
          <w:p>
            <w:pPr>
              <w:jc w:val="center"/>
              <w:rPr>
                <w:rFonts w:ascii="宋体" w:hAnsi="宋体" w:cs="宋体" w:eastAsiaTheme="minorEastAsia"/>
                <w:color w:val="000000"/>
                <w:kern w:val="0"/>
                <w:szCs w:val="21"/>
              </w:rPr>
            </w:pPr>
          </w:p>
        </w:tc>
        <w:tc>
          <w:tcPr>
            <w:tcW w:w="560" w:type="pct"/>
            <w:vMerge w:val="continue"/>
            <w:vAlign w:val="center"/>
          </w:tcPr>
          <w:p>
            <w:pPr>
              <w:rPr>
                <w:rFonts w:ascii="宋体" w:hAnsi="宋体" w:cs="宋体" w:eastAsiaTheme="minorEastAsia"/>
                <w:color w:val="000000"/>
                <w:kern w:val="0"/>
                <w:szCs w:val="21"/>
              </w:rPr>
            </w:pPr>
          </w:p>
        </w:tc>
        <w:tc>
          <w:tcPr>
            <w:tcW w:w="2991" w:type="pct"/>
            <w:shd w:val="clear" w:color="auto" w:fill="auto"/>
            <w:noWrap/>
            <w:vAlign w:val="center"/>
          </w:tcPr>
          <w:p>
            <w:pPr>
              <w:rPr>
                <w:rFonts w:ascii="宋体" w:hAnsi="宋体" w:cs="宋体" w:eastAsiaTheme="minorEastAsia"/>
                <w:color w:val="000000"/>
                <w:kern w:val="0"/>
                <w:szCs w:val="21"/>
              </w:rPr>
            </w:pPr>
            <w:r>
              <w:rPr>
                <w:rFonts w:hint="eastAsia" w:ascii="宋体" w:hAnsi="宋体" w:cs="宋体" w:eastAsiaTheme="minorEastAsia"/>
                <w:color w:val="000000"/>
                <w:kern w:val="0"/>
                <w:szCs w:val="21"/>
              </w:rPr>
              <w:t>至少支持3款MTK芯片（MT816X，MT817X，MT67XX）的所有Android设备提取物理镜像</w:t>
            </w:r>
          </w:p>
        </w:tc>
        <w:tc>
          <w:tcPr>
            <w:tcW w:w="519" w:type="pct"/>
            <w:shd w:val="clear" w:color="auto" w:fill="auto"/>
            <w:noWrap/>
            <w:vAlign w:val="center"/>
          </w:tcPr>
          <w:p>
            <w:pPr>
              <w:jc w:val="center"/>
              <w:rPr>
                <w:rFonts w:ascii="宋体" w:hAnsi="宋体" w:cs="宋体" w:eastAsiaTheme="minorEastAsia"/>
                <w:b/>
                <w:bCs/>
                <w:color w:val="000000"/>
                <w:kern w:val="0"/>
                <w:szCs w:val="21"/>
              </w:rPr>
            </w:pPr>
            <w:r>
              <w:rPr>
                <w:rFonts w:hint="eastAsia" w:ascii="宋体" w:hAnsi="宋体" w:cs="宋体" w:eastAsiaTheme="minorEastAsia"/>
                <w:color w:val="000000"/>
                <w:kern w:val="0"/>
                <w:szCs w:val="21"/>
              </w:rPr>
              <w:t>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70" w:type="pct"/>
            <w:shd w:val="clear" w:color="auto" w:fill="auto"/>
            <w:noWrap/>
            <w:vAlign w:val="center"/>
          </w:tcPr>
          <w:p>
            <w:pPr>
              <w:numPr>
                <w:ilvl w:val="0"/>
                <w:numId w:val="87"/>
              </w:numPr>
              <w:spacing w:line="240" w:lineRule="auto"/>
              <w:ind w:left="0" w:leftChars="0" w:firstLine="0" w:firstLineChars="0"/>
              <w:jc w:val="center"/>
              <w:rPr>
                <w:rFonts w:ascii="宋体" w:hAnsi="宋体" w:cs="宋体" w:eastAsiaTheme="minorEastAsia"/>
                <w:color w:val="000000"/>
                <w:kern w:val="0"/>
                <w:szCs w:val="21"/>
              </w:rPr>
            </w:pPr>
          </w:p>
        </w:tc>
        <w:tc>
          <w:tcPr>
            <w:tcW w:w="560" w:type="pct"/>
            <w:shd w:val="clear" w:color="auto" w:fill="auto"/>
            <w:noWrap/>
            <w:vAlign w:val="center"/>
          </w:tcPr>
          <w:p>
            <w:pPr>
              <w:jc w:val="center"/>
              <w:rPr>
                <w:rFonts w:ascii="宋体" w:hAnsi="宋体" w:cs="宋体" w:eastAsiaTheme="minorEastAsia"/>
                <w:color w:val="000000"/>
                <w:kern w:val="0"/>
                <w:szCs w:val="21"/>
              </w:rPr>
            </w:pPr>
          </w:p>
        </w:tc>
        <w:tc>
          <w:tcPr>
            <w:tcW w:w="560" w:type="pct"/>
            <w:vMerge w:val="restart"/>
            <w:vAlign w:val="center"/>
          </w:tcPr>
          <w:p>
            <w:pPr>
              <w:rPr>
                <w:rFonts w:ascii="宋体" w:hAnsi="宋体" w:cs="宋体" w:eastAsiaTheme="minorEastAsia"/>
                <w:color w:val="000000"/>
                <w:kern w:val="0"/>
                <w:szCs w:val="21"/>
              </w:rPr>
            </w:pPr>
            <w:r>
              <w:rPr>
                <w:rFonts w:hint="eastAsia" w:ascii="宋体" w:hAnsi="宋体" w:cs="宋体" w:eastAsiaTheme="minorEastAsia"/>
                <w:color w:val="000000"/>
                <w:kern w:val="0"/>
                <w:szCs w:val="21"/>
              </w:rPr>
              <w:t>文件破解</w:t>
            </w:r>
          </w:p>
        </w:tc>
        <w:tc>
          <w:tcPr>
            <w:tcW w:w="2991" w:type="pct"/>
            <w:shd w:val="clear" w:color="auto" w:fill="auto"/>
            <w:noWrap/>
            <w:vAlign w:val="center"/>
          </w:tcPr>
          <w:p>
            <w:pPr>
              <w:rPr>
                <w:rFonts w:ascii="宋体" w:hAnsi="宋体" w:cs="宋体" w:eastAsiaTheme="minorEastAsia"/>
                <w:color w:val="000000"/>
                <w:kern w:val="0"/>
                <w:szCs w:val="21"/>
              </w:rPr>
            </w:pPr>
            <w:r>
              <w:rPr>
                <w:rFonts w:hint="eastAsia" w:ascii="宋体" w:hAnsi="宋体" w:cs="宋体" w:eastAsiaTheme="minorEastAsia"/>
                <w:color w:val="000000"/>
                <w:kern w:val="0"/>
                <w:szCs w:val="21"/>
              </w:rPr>
              <w:t>至少支持280种以上常见加密文件类型破解，包括Windows 帐户、Word 文档、Excel表格、Outlook 电子邮件账户、Access 数据库、PDF、ZIP 、RAR 、Quickbooks、FileMaker、Lotus Notes，和其他常见文件类型密码破解</w:t>
            </w:r>
          </w:p>
        </w:tc>
        <w:tc>
          <w:tcPr>
            <w:tcW w:w="519" w:type="pct"/>
            <w:shd w:val="clear" w:color="auto" w:fill="auto"/>
            <w:noWrap/>
            <w:vAlign w:val="center"/>
          </w:tcPr>
          <w:p>
            <w:pPr>
              <w:jc w:val="center"/>
              <w:rPr>
                <w:rFonts w:ascii="宋体" w:hAnsi="宋体" w:cs="宋体" w:eastAsiaTheme="minorEastAsia"/>
                <w:color w:val="000000"/>
                <w:kern w:val="0"/>
                <w:szCs w:val="21"/>
              </w:rPr>
            </w:pPr>
            <w:r>
              <w:rPr>
                <w:rFonts w:hint="eastAsia" w:asciiTheme="minorEastAsia" w:hAnsiTheme="minorEastAsia" w:eastAsiaTheme="minorEastAsia" w:cstheme="minorEastAsia"/>
                <w:bCs/>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70" w:type="pct"/>
            <w:shd w:val="clear" w:color="auto" w:fill="auto"/>
            <w:noWrap/>
            <w:vAlign w:val="center"/>
          </w:tcPr>
          <w:p>
            <w:pPr>
              <w:numPr>
                <w:ilvl w:val="0"/>
                <w:numId w:val="87"/>
              </w:numPr>
              <w:spacing w:line="240" w:lineRule="auto"/>
              <w:ind w:left="0" w:leftChars="0" w:firstLine="0" w:firstLineChars="0"/>
              <w:jc w:val="center"/>
              <w:rPr>
                <w:rFonts w:ascii="宋体" w:hAnsi="宋体" w:cs="宋体" w:eastAsiaTheme="minorEastAsia"/>
                <w:color w:val="000000"/>
                <w:kern w:val="0"/>
                <w:szCs w:val="21"/>
              </w:rPr>
            </w:pPr>
          </w:p>
        </w:tc>
        <w:tc>
          <w:tcPr>
            <w:tcW w:w="560" w:type="pct"/>
            <w:shd w:val="clear" w:color="auto" w:fill="auto"/>
            <w:noWrap/>
            <w:vAlign w:val="center"/>
          </w:tcPr>
          <w:p>
            <w:pPr>
              <w:jc w:val="center"/>
              <w:rPr>
                <w:rFonts w:ascii="宋体" w:hAnsi="宋体" w:cs="宋体" w:eastAsiaTheme="minorEastAsia"/>
                <w:color w:val="000000"/>
                <w:kern w:val="0"/>
                <w:szCs w:val="21"/>
              </w:rPr>
            </w:pPr>
          </w:p>
        </w:tc>
        <w:tc>
          <w:tcPr>
            <w:tcW w:w="560" w:type="pct"/>
            <w:vMerge w:val="continue"/>
            <w:vAlign w:val="center"/>
          </w:tcPr>
          <w:p>
            <w:pPr>
              <w:rPr>
                <w:rFonts w:ascii="宋体" w:hAnsi="宋体" w:cs="宋体" w:eastAsiaTheme="minorEastAsia"/>
                <w:color w:val="000000"/>
                <w:kern w:val="0"/>
                <w:szCs w:val="21"/>
              </w:rPr>
            </w:pPr>
          </w:p>
        </w:tc>
        <w:tc>
          <w:tcPr>
            <w:tcW w:w="2991" w:type="pct"/>
            <w:shd w:val="clear" w:color="auto" w:fill="auto"/>
            <w:noWrap/>
            <w:vAlign w:val="center"/>
          </w:tcPr>
          <w:p>
            <w:pPr>
              <w:rPr>
                <w:rFonts w:ascii="宋体" w:hAnsi="宋体" w:cs="宋体" w:eastAsiaTheme="minorEastAsia"/>
                <w:color w:val="000000"/>
                <w:kern w:val="0"/>
                <w:szCs w:val="21"/>
              </w:rPr>
            </w:pPr>
            <w:r>
              <w:rPr>
                <w:rFonts w:hint="eastAsia" w:ascii="宋体" w:hAnsi="宋体" w:cs="宋体" w:eastAsiaTheme="minorEastAsia"/>
                <w:color w:val="000000"/>
                <w:kern w:val="0"/>
                <w:szCs w:val="21"/>
              </w:rPr>
              <w:t>至少支持3类文件破解：</w:t>
            </w:r>
          </w:p>
          <w:p>
            <w:pPr>
              <w:rPr>
                <w:rFonts w:ascii="宋体" w:hAnsi="宋体" w:cs="宋体" w:eastAsiaTheme="minorEastAsia"/>
                <w:color w:val="000000"/>
                <w:kern w:val="0"/>
                <w:szCs w:val="21"/>
              </w:rPr>
            </w:pPr>
            <w:r>
              <w:rPr>
                <w:rFonts w:hint="eastAsia" w:ascii="宋体" w:hAnsi="宋体" w:cs="宋体" w:eastAsiaTheme="minorEastAsia"/>
                <w:color w:val="000000"/>
                <w:kern w:val="0"/>
                <w:szCs w:val="21"/>
              </w:rPr>
              <w:t>使用已知的密码对iPhone和BlackBerry备份进行解密；</w:t>
            </w:r>
          </w:p>
          <w:p>
            <w:pPr>
              <w:rPr>
                <w:rFonts w:ascii="宋体" w:hAnsi="宋体" w:cs="宋体" w:eastAsiaTheme="minorEastAsia"/>
                <w:color w:val="000000"/>
                <w:kern w:val="0"/>
                <w:szCs w:val="21"/>
              </w:rPr>
            </w:pPr>
            <w:r>
              <w:rPr>
                <w:rFonts w:hint="eastAsia" w:ascii="宋体" w:hAnsi="宋体" w:cs="宋体" w:eastAsiaTheme="minorEastAsia"/>
                <w:color w:val="000000"/>
                <w:kern w:val="0"/>
                <w:szCs w:val="21"/>
              </w:rPr>
              <w:t>破解BlackBerry Password Keeper和Wallet应用的密码；</w:t>
            </w:r>
          </w:p>
          <w:p>
            <w:pPr>
              <w:rPr>
                <w:rFonts w:ascii="宋体" w:hAnsi="宋体" w:cs="宋体" w:eastAsiaTheme="minorEastAsia"/>
                <w:color w:val="000000"/>
                <w:kern w:val="0"/>
                <w:szCs w:val="21"/>
              </w:rPr>
            </w:pPr>
            <w:r>
              <w:rPr>
                <w:rFonts w:hint="eastAsia" w:ascii="宋体" w:hAnsi="宋体" w:cs="宋体" w:eastAsiaTheme="minorEastAsia"/>
                <w:color w:val="000000"/>
                <w:kern w:val="0"/>
                <w:szCs w:val="21"/>
              </w:rPr>
              <w:t>破解密码保护应用中的数据，包括KeePass、1Password、LastPass等</w:t>
            </w:r>
          </w:p>
        </w:tc>
        <w:tc>
          <w:tcPr>
            <w:tcW w:w="519" w:type="pct"/>
            <w:shd w:val="clear" w:color="auto" w:fill="auto"/>
            <w:noWrap/>
            <w:vAlign w:val="center"/>
          </w:tcPr>
          <w:p>
            <w:pPr>
              <w:jc w:val="center"/>
              <w:rPr>
                <w:rFonts w:asciiTheme="minorEastAsia" w:hAnsiTheme="minorEastAsia" w:eastAsiaTheme="minorEastAsia" w:cstheme="minorEastAsia"/>
                <w:bCs/>
                <w:szCs w:val="21"/>
                <w:lang w:bidi="ar"/>
              </w:rPr>
            </w:pPr>
            <w:r>
              <w:rPr>
                <w:rFonts w:hint="eastAsia" w:asciiTheme="minorEastAsia" w:hAnsiTheme="minorEastAsia" w:eastAsiaTheme="minorEastAsia" w:cstheme="minorEastAsia"/>
                <w:bCs/>
                <w:szCs w:val="21"/>
                <w:lang w:bidi="ar"/>
              </w:rPr>
              <w:t>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70" w:type="pct"/>
            <w:shd w:val="clear" w:color="auto" w:fill="auto"/>
            <w:noWrap/>
            <w:vAlign w:val="center"/>
          </w:tcPr>
          <w:p>
            <w:pPr>
              <w:numPr>
                <w:ilvl w:val="0"/>
                <w:numId w:val="87"/>
              </w:numPr>
              <w:spacing w:line="240" w:lineRule="auto"/>
              <w:ind w:left="0" w:leftChars="0" w:firstLine="0" w:firstLineChars="0"/>
              <w:jc w:val="center"/>
              <w:rPr>
                <w:rFonts w:ascii="宋体" w:hAnsi="宋体" w:cs="宋体" w:eastAsiaTheme="minorEastAsia"/>
                <w:color w:val="000000"/>
                <w:kern w:val="0"/>
                <w:szCs w:val="21"/>
              </w:rPr>
            </w:pPr>
          </w:p>
        </w:tc>
        <w:tc>
          <w:tcPr>
            <w:tcW w:w="560" w:type="pct"/>
            <w:shd w:val="clear" w:color="auto" w:fill="auto"/>
            <w:noWrap/>
            <w:vAlign w:val="center"/>
          </w:tcPr>
          <w:p>
            <w:pPr>
              <w:jc w:val="center"/>
              <w:rPr>
                <w:rFonts w:ascii="宋体" w:hAnsi="宋体" w:cs="宋体" w:eastAsiaTheme="minorEastAsia"/>
                <w:color w:val="000000"/>
                <w:kern w:val="0"/>
                <w:szCs w:val="21"/>
              </w:rPr>
            </w:pPr>
          </w:p>
        </w:tc>
        <w:tc>
          <w:tcPr>
            <w:tcW w:w="560" w:type="pct"/>
            <w:vMerge w:val="continue"/>
            <w:vAlign w:val="center"/>
          </w:tcPr>
          <w:p>
            <w:pPr>
              <w:rPr>
                <w:rFonts w:ascii="宋体" w:hAnsi="宋体" w:cs="宋体" w:eastAsiaTheme="minorEastAsia"/>
                <w:color w:val="000000"/>
                <w:kern w:val="0"/>
                <w:szCs w:val="21"/>
              </w:rPr>
            </w:pPr>
          </w:p>
        </w:tc>
        <w:tc>
          <w:tcPr>
            <w:tcW w:w="2991" w:type="pct"/>
            <w:shd w:val="clear" w:color="auto" w:fill="auto"/>
            <w:noWrap/>
            <w:vAlign w:val="center"/>
          </w:tcPr>
          <w:p>
            <w:pPr>
              <w:rPr>
                <w:rFonts w:ascii="宋体" w:hAnsi="宋体" w:cs="宋体" w:eastAsiaTheme="minorEastAsia"/>
                <w:color w:val="000000"/>
                <w:kern w:val="0"/>
                <w:szCs w:val="21"/>
              </w:rPr>
            </w:pPr>
            <w:r>
              <w:rPr>
                <w:rFonts w:hint="eastAsia" w:ascii="宋体" w:hAnsi="宋体" w:cs="宋体" w:eastAsiaTheme="minorEastAsia"/>
                <w:color w:val="000000"/>
                <w:kern w:val="0"/>
                <w:szCs w:val="21"/>
              </w:rPr>
              <w:t>至少支持4种密钥或数据读取功能：</w:t>
            </w:r>
          </w:p>
          <w:p>
            <w:pPr>
              <w:rPr>
                <w:rFonts w:ascii="宋体" w:hAnsi="宋体" w:cs="宋体" w:eastAsiaTheme="minorEastAsia"/>
                <w:color w:val="000000"/>
                <w:kern w:val="0"/>
                <w:szCs w:val="21"/>
              </w:rPr>
            </w:pPr>
            <w:r>
              <w:rPr>
                <w:rFonts w:hint="eastAsia" w:ascii="宋体" w:hAnsi="宋体" w:cs="宋体" w:eastAsiaTheme="minorEastAsia"/>
                <w:color w:val="000000"/>
                <w:kern w:val="0"/>
                <w:szCs w:val="21"/>
              </w:rPr>
              <w:t>读取和解密钥匙链iCloud Keychain数据（电子邮箱帐户密码、Wi-Fi密码以及在网站和其他应用中您输入密码）；</w:t>
            </w:r>
          </w:p>
          <w:p>
            <w:pPr>
              <w:rPr>
                <w:rFonts w:ascii="宋体" w:hAnsi="宋体" w:cs="宋体" w:eastAsiaTheme="minorEastAsia"/>
                <w:color w:val="000000"/>
                <w:kern w:val="0"/>
                <w:szCs w:val="21"/>
              </w:rPr>
            </w:pPr>
            <w:r>
              <w:rPr>
                <w:rFonts w:hint="eastAsia" w:ascii="宋体" w:hAnsi="宋体" w:cs="宋体" w:eastAsiaTheme="minorEastAsia"/>
                <w:color w:val="000000"/>
                <w:kern w:val="0"/>
                <w:szCs w:val="21"/>
              </w:rPr>
              <w:t>获取iCloud照片流数据；</w:t>
            </w:r>
          </w:p>
          <w:p>
            <w:pPr>
              <w:rPr>
                <w:rFonts w:ascii="宋体" w:hAnsi="宋体" w:cs="宋体" w:eastAsiaTheme="minorEastAsia"/>
                <w:color w:val="000000"/>
                <w:kern w:val="0"/>
                <w:szCs w:val="21"/>
              </w:rPr>
            </w:pPr>
            <w:r>
              <w:rPr>
                <w:rFonts w:hint="eastAsia" w:ascii="宋体" w:hAnsi="宋体" w:cs="宋体" w:eastAsiaTheme="minorEastAsia"/>
                <w:color w:val="000000"/>
                <w:kern w:val="0"/>
                <w:szCs w:val="21"/>
              </w:rPr>
              <w:t>使用Apple ID和密码或者认证令牌来下载Apple iCloud备份；</w:t>
            </w:r>
          </w:p>
          <w:p>
            <w:pPr>
              <w:rPr>
                <w:rFonts w:ascii="宋体" w:hAnsi="宋体" w:cs="宋体" w:eastAsiaTheme="minorEastAsia"/>
                <w:b/>
                <w:bCs/>
                <w:color w:val="000000"/>
                <w:kern w:val="0"/>
                <w:szCs w:val="21"/>
              </w:rPr>
            </w:pPr>
            <w:r>
              <w:rPr>
                <w:rFonts w:hint="eastAsia" w:ascii="宋体" w:hAnsi="宋体" w:cs="宋体" w:eastAsiaTheme="minorEastAsia"/>
                <w:color w:val="000000"/>
                <w:kern w:val="0"/>
                <w:szCs w:val="21"/>
              </w:rPr>
              <w:t>手机同步云数据获取，包括Apple iCloud、iCloud Drive、MS OneDrive、Dropbox等</w:t>
            </w:r>
          </w:p>
        </w:tc>
        <w:tc>
          <w:tcPr>
            <w:tcW w:w="519" w:type="pct"/>
            <w:shd w:val="clear" w:color="auto" w:fill="auto"/>
            <w:noWrap/>
            <w:vAlign w:val="center"/>
          </w:tcPr>
          <w:p>
            <w:pPr>
              <w:jc w:val="center"/>
              <w:rPr>
                <w:rFonts w:asciiTheme="minorEastAsia" w:hAnsiTheme="minorEastAsia" w:eastAsiaTheme="minorEastAsia" w:cstheme="minorEastAsia"/>
                <w:bCs/>
                <w:szCs w:val="21"/>
                <w:lang w:bidi="ar"/>
              </w:rPr>
            </w:pPr>
            <w:r>
              <w:rPr>
                <w:rFonts w:hint="eastAsia" w:asciiTheme="minorEastAsia" w:hAnsiTheme="minorEastAsia" w:eastAsiaTheme="minorEastAsia" w:cstheme="minorEastAsia"/>
                <w:bCs/>
                <w:szCs w:val="21"/>
                <w:lang w:bidi="ar"/>
              </w:rPr>
              <w:t>承诺函</w:t>
            </w:r>
          </w:p>
        </w:tc>
      </w:tr>
    </w:tbl>
    <w:p>
      <w:pPr>
        <w:pStyle w:val="5"/>
        <w:spacing w:before="15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第3包 实验室管理系统</w:t>
      </w:r>
      <w:r>
        <w:rPr>
          <w:rFonts w:hint="default" w:ascii="Times New Roman" w:hAnsi="Times New Roman" w:cs="Times New Roman" w:eastAsiaTheme="minorEastAsia"/>
          <w:szCs w:val="21"/>
        </w:rPr>
        <w:t>Ⅱ</w:t>
      </w:r>
    </w:p>
    <w:tbl>
      <w:tblPr>
        <w:tblStyle w:val="81"/>
        <w:tblW w:w="453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2"/>
        <w:gridCol w:w="466"/>
        <w:gridCol w:w="957"/>
        <w:gridCol w:w="5329"/>
        <w:gridCol w:w="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72" w:type="pct"/>
            <w:shd w:val="clear" w:color="auto" w:fill="auto"/>
            <w:vAlign w:val="center"/>
          </w:tcPr>
          <w:p>
            <w:pPr>
              <w:jc w:val="center"/>
              <w:rPr>
                <w:rFonts w:ascii="宋体" w:hAnsi="宋体" w:cs="宋体" w:eastAsiaTheme="minorEastAsia"/>
                <w:b/>
                <w:bCs/>
                <w:color w:val="000000"/>
                <w:kern w:val="0"/>
                <w:szCs w:val="21"/>
              </w:rPr>
            </w:pPr>
            <w:r>
              <w:rPr>
                <w:rFonts w:hint="eastAsia" w:ascii="宋体" w:hAnsi="宋体" w:cs="宋体" w:eastAsiaTheme="minorEastAsia"/>
                <w:b/>
                <w:bCs/>
                <w:color w:val="000000"/>
                <w:kern w:val="0"/>
                <w:szCs w:val="21"/>
              </w:rPr>
              <w:t>序号</w:t>
            </w:r>
          </w:p>
        </w:tc>
        <w:tc>
          <w:tcPr>
            <w:tcW w:w="283" w:type="pct"/>
            <w:shd w:val="clear" w:color="auto" w:fill="auto"/>
            <w:vAlign w:val="center"/>
          </w:tcPr>
          <w:p>
            <w:pPr>
              <w:jc w:val="center"/>
              <w:rPr>
                <w:rFonts w:ascii="宋体" w:hAnsi="宋体" w:cs="宋体" w:eastAsiaTheme="minorEastAsia"/>
                <w:b/>
                <w:bCs/>
                <w:color w:val="000000"/>
                <w:kern w:val="0"/>
                <w:szCs w:val="21"/>
              </w:rPr>
            </w:pPr>
            <w:r>
              <w:rPr>
                <w:rFonts w:hint="eastAsia" w:ascii="宋体" w:hAnsi="宋体" w:cs="宋体" w:eastAsiaTheme="minorEastAsia"/>
                <w:b/>
                <w:bCs/>
                <w:color w:val="000000"/>
                <w:kern w:val="0"/>
                <w:szCs w:val="21"/>
              </w:rPr>
              <w:t>重要性</w:t>
            </w:r>
          </w:p>
        </w:tc>
        <w:tc>
          <w:tcPr>
            <w:tcW w:w="581" w:type="pct"/>
            <w:shd w:val="clear" w:color="auto" w:fill="auto"/>
            <w:vAlign w:val="center"/>
          </w:tcPr>
          <w:p>
            <w:pPr>
              <w:jc w:val="center"/>
              <w:rPr>
                <w:rFonts w:ascii="宋体" w:hAnsi="宋体" w:cs="宋体" w:eastAsiaTheme="minorEastAsia"/>
                <w:b/>
                <w:bCs/>
                <w:color w:val="000000"/>
                <w:kern w:val="0"/>
                <w:szCs w:val="21"/>
              </w:rPr>
            </w:pPr>
            <w:r>
              <w:rPr>
                <w:rFonts w:hint="eastAsia" w:ascii="宋体" w:hAnsi="宋体" w:cs="宋体" w:eastAsiaTheme="minorEastAsia"/>
                <w:b/>
                <w:bCs/>
                <w:color w:val="000000"/>
                <w:kern w:val="0"/>
                <w:szCs w:val="21"/>
              </w:rPr>
              <w:t>指标项</w:t>
            </w:r>
          </w:p>
        </w:tc>
        <w:tc>
          <w:tcPr>
            <w:tcW w:w="3240" w:type="pct"/>
            <w:shd w:val="clear" w:color="auto" w:fill="auto"/>
            <w:vAlign w:val="center"/>
          </w:tcPr>
          <w:p>
            <w:pPr>
              <w:jc w:val="center"/>
              <w:rPr>
                <w:rFonts w:ascii="宋体" w:hAnsi="宋体" w:cs="宋体" w:eastAsiaTheme="minorEastAsia"/>
                <w:b/>
                <w:bCs/>
                <w:color w:val="000000"/>
                <w:kern w:val="0"/>
                <w:szCs w:val="21"/>
              </w:rPr>
            </w:pPr>
            <w:r>
              <w:rPr>
                <w:rFonts w:hint="eastAsia" w:ascii="宋体" w:hAnsi="宋体" w:cs="宋体" w:eastAsiaTheme="minorEastAsia"/>
                <w:b/>
                <w:bCs/>
                <w:color w:val="000000"/>
                <w:kern w:val="0"/>
                <w:szCs w:val="21"/>
              </w:rPr>
              <w:t>指标要求</w:t>
            </w:r>
          </w:p>
        </w:tc>
        <w:tc>
          <w:tcPr>
            <w:tcW w:w="522" w:type="pct"/>
            <w:shd w:val="clear" w:color="auto" w:fill="auto"/>
            <w:vAlign w:val="center"/>
          </w:tcPr>
          <w:p>
            <w:pPr>
              <w:jc w:val="center"/>
              <w:rPr>
                <w:rFonts w:ascii="宋体" w:hAnsi="宋体" w:cs="宋体" w:eastAsiaTheme="minorEastAsia"/>
                <w:b/>
                <w:bCs/>
                <w:color w:val="000000"/>
                <w:kern w:val="0"/>
                <w:szCs w:val="21"/>
              </w:rPr>
            </w:pPr>
            <w:r>
              <w:rPr>
                <w:rFonts w:hint="eastAsia" w:ascii="宋体" w:hAnsi="宋体" w:cs="宋体" w:eastAsiaTheme="minorEastAsia"/>
                <w:b/>
                <w:bCs/>
                <w:color w:val="000000"/>
                <w:kern w:val="0"/>
                <w:szCs w:val="21"/>
              </w:rPr>
              <w:t>证明材料要求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trPr>
        <w:tc>
          <w:tcPr>
            <w:tcW w:w="372" w:type="pct"/>
            <w:shd w:val="clear" w:color="auto" w:fill="auto"/>
            <w:vAlign w:val="center"/>
          </w:tcPr>
          <w:p>
            <w:pPr>
              <w:numPr>
                <w:ilvl w:val="0"/>
                <w:numId w:val="87"/>
              </w:numPr>
              <w:spacing w:line="240" w:lineRule="auto"/>
              <w:ind w:left="0" w:leftChars="0" w:firstLine="0" w:firstLineChars="0"/>
              <w:jc w:val="center"/>
              <w:rPr>
                <w:rFonts w:ascii="宋体" w:hAnsi="宋体" w:cs="宋体" w:eastAsiaTheme="minorEastAsia"/>
                <w:color w:val="000000"/>
                <w:kern w:val="0"/>
                <w:szCs w:val="21"/>
              </w:rPr>
            </w:pPr>
          </w:p>
        </w:tc>
        <w:tc>
          <w:tcPr>
            <w:tcW w:w="283" w:type="pct"/>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w:t>
            </w:r>
          </w:p>
        </w:tc>
        <w:tc>
          <w:tcPr>
            <w:tcW w:w="581" w:type="pct"/>
            <w:vMerge w:val="restart"/>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统计与数据管理能力</w:t>
            </w:r>
          </w:p>
        </w:tc>
        <w:tc>
          <w:tcPr>
            <w:tcW w:w="3240" w:type="pct"/>
            <w:shd w:val="clear" w:color="auto" w:fill="auto"/>
            <w:vAlign w:val="center"/>
          </w:tcPr>
          <w:p>
            <w:pPr>
              <w:rPr>
                <w:rFonts w:ascii="宋体" w:hAnsi="宋体" w:eastAsia="宋体" w:cs="宋体"/>
                <w:color w:val="000000"/>
                <w:kern w:val="0"/>
                <w:szCs w:val="21"/>
                <w:highlight w:val="yellow"/>
              </w:rPr>
            </w:pPr>
            <w:r>
              <w:rPr>
                <w:rFonts w:ascii="宋体" w:hAnsi="宋体" w:eastAsia="宋体" w:cs="宋体"/>
                <w:color w:val="000000"/>
                <w:kern w:val="0"/>
                <w:szCs w:val="21"/>
              </w:rPr>
              <w:t>至少</w:t>
            </w:r>
            <w:r>
              <w:rPr>
                <w:rFonts w:hint="eastAsia" w:ascii="宋体" w:hAnsi="宋体" w:eastAsia="宋体" w:cs="宋体"/>
                <w:color w:val="000000"/>
                <w:kern w:val="0"/>
                <w:szCs w:val="21"/>
              </w:rPr>
              <w:t>支持</w:t>
            </w:r>
            <w:r>
              <w:rPr>
                <w:rFonts w:ascii="宋体" w:hAnsi="宋体" w:eastAsia="宋体" w:cs="宋体"/>
                <w:color w:val="000000"/>
                <w:kern w:val="0"/>
                <w:szCs w:val="21"/>
              </w:rPr>
              <w:t>3类</w:t>
            </w:r>
            <w:r>
              <w:rPr>
                <w:rFonts w:hint="eastAsia" w:ascii="宋体" w:hAnsi="宋体" w:eastAsia="宋体" w:cs="宋体"/>
                <w:color w:val="000000"/>
                <w:kern w:val="0"/>
                <w:szCs w:val="21"/>
              </w:rPr>
              <w:t>考核数据统计，包括单位任务统计、人员业务统计、任务完整率统计等</w:t>
            </w:r>
          </w:p>
        </w:tc>
        <w:tc>
          <w:tcPr>
            <w:tcW w:w="522" w:type="pct"/>
            <w:shd w:val="clear" w:color="auto" w:fill="auto"/>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trPr>
        <w:tc>
          <w:tcPr>
            <w:tcW w:w="372" w:type="pct"/>
            <w:shd w:val="clear" w:color="auto" w:fill="auto"/>
            <w:noWrap/>
            <w:vAlign w:val="center"/>
          </w:tcPr>
          <w:p>
            <w:pPr>
              <w:numPr>
                <w:ilvl w:val="0"/>
                <w:numId w:val="87"/>
              </w:numPr>
              <w:spacing w:line="240" w:lineRule="auto"/>
              <w:ind w:left="0" w:leftChars="0" w:firstLine="0" w:firstLineChars="0"/>
              <w:jc w:val="center"/>
              <w:rPr>
                <w:rFonts w:ascii="宋体" w:hAnsi="宋体" w:cs="宋体" w:eastAsiaTheme="minorEastAsia"/>
                <w:color w:val="000000"/>
                <w:kern w:val="0"/>
                <w:szCs w:val="21"/>
              </w:rPr>
            </w:pPr>
          </w:p>
        </w:tc>
        <w:tc>
          <w:tcPr>
            <w:tcW w:w="283" w:type="pct"/>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w:t>
            </w:r>
          </w:p>
        </w:tc>
        <w:tc>
          <w:tcPr>
            <w:tcW w:w="581" w:type="pct"/>
            <w:vMerge w:val="continue"/>
            <w:vAlign w:val="center"/>
          </w:tcPr>
          <w:p>
            <w:pPr>
              <w:rPr>
                <w:rFonts w:ascii="宋体" w:hAnsi="宋体" w:cs="宋体" w:eastAsiaTheme="minorEastAsia"/>
                <w:color w:val="000000"/>
                <w:kern w:val="0"/>
                <w:szCs w:val="21"/>
              </w:rPr>
            </w:pPr>
          </w:p>
        </w:tc>
        <w:tc>
          <w:tcPr>
            <w:tcW w:w="3240" w:type="pct"/>
            <w:shd w:val="clear" w:color="auto" w:fill="auto"/>
            <w:vAlign w:val="center"/>
          </w:tcPr>
          <w:p>
            <w:pPr>
              <w:rPr>
                <w:rFonts w:ascii="宋体" w:hAnsi="宋体" w:eastAsia="宋体" w:cs="宋体"/>
                <w:color w:val="000000"/>
                <w:kern w:val="0"/>
                <w:szCs w:val="21"/>
                <w:highlight w:val="yellow"/>
              </w:rPr>
            </w:pPr>
            <w:r>
              <w:rPr>
                <w:rFonts w:hint="eastAsia" w:ascii="宋体" w:hAnsi="宋体" w:eastAsia="宋体" w:cs="宋体"/>
                <w:color w:val="000000"/>
                <w:kern w:val="0"/>
                <w:szCs w:val="21"/>
              </w:rPr>
              <w:t>“一案一档”文件管理</w:t>
            </w:r>
            <w:r>
              <w:rPr>
                <w:rFonts w:ascii="宋体" w:hAnsi="宋体" w:eastAsia="宋体" w:cs="宋体"/>
                <w:color w:val="000000"/>
                <w:kern w:val="0"/>
                <w:szCs w:val="21"/>
              </w:rPr>
              <w:t>至少支持5类文件的保存，包括</w:t>
            </w:r>
            <w:r>
              <w:rPr>
                <w:rFonts w:hint="eastAsia" w:ascii="宋体" w:hAnsi="宋体" w:eastAsia="宋体" w:cs="宋体"/>
                <w:color w:val="000000"/>
                <w:kern w:val="0"/>
                <w:szCs w:val="21"/>
              </w:rPr>
              <w:t>检材拆封图片、数据包、取证录屏文件、报告与文书、镜像</w:t>
            </w:r>
            <w:r>
              <w:rPr>
                <w:rFonts w:ascii="宋体" w:hAnsi="宋体" w:eastAsia="宋体" w:cs="宋体"/>
                <w:color w:val="000000"/>
                <w:kern w:val="0"/>
                <w:szCs w:val="21"/>
              </w:rPr>
              <w:t>/备份文件</w:t>
            </w:r>
          </w:p>
        </w:tc>
        <w:tc>
          <w:tcPr>
            <w:tcW w:w="522" w:type="pct"/>
            <w:shd w:val="clear" w:color="auto" w:fill="auto"/>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372" w:type="pct"/>
            <w:shd w:val="clear" w:color="auto" w:fill="auto"/>
            <w:noWrap/>
            <w:vAlign w:val="center"/>
          </w:tcPr>
          <w:p>
            <w:pPr>
              <w:numPr>
                <w:ilvl w:val="0"/>
                <w:numId w:val="87"/>
              </w:numPr>
              <w:spacing w:line="240" w:lineRule="auto"/>
              <w:ind w:left="0" w:leftChars="0" w:firstLine="0" w:firstLineChars="0"/>
              <w:jc w:val="center"/>
              <w:rPr>
                <w:rFonts w:ascii="宋体" w:hAnsi="宋体" w:cs="宋体" w:eastAsiaTheme="minorEastAsia"/>
                <w:color w:val="000000"/>
                <w:kern w:val="0"/>
                <w:szCs w:val="21"/>
              </w:rPr>
            </w:pPr>
          </w:p>
        </w:tc>
        <w:tc>
          <w:tcPr>
            <w:tcW w:w="283" w:type="pct"/>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w:t>
            </w:r>
          </w:p>
        </w:tc>
        <w:tc>
          <w:tcPr>
            <w:tcW w:w="581" w:type="pct"/>
            <w:shd w:val="clear" w:color="auto" w:fill="auto"/>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案件与检材管理能力</w:t>
            </w:r>
          </w:p>
        </w:tc>
        <w:tc>
          <w:tcPr>
            <w:tcW w:w="3240" w:type="pct"/>
            <w:shd w:val="clear" w:color="auto" w:fill="auto"/>
            <w:vAlign w:val="center"/>
          </w:tcPr>
          <w:p>
            <w:pPr>
              <w:rPr>
                <w:rFonts w:ascii="宋体" w:hAnsi="宋体" w:eastAsia="宋体" w:cs="宋体"/>
                <w:color w:val="000000"/>
                <w:szCs w:val="21"/>
              </w:rPr>
            </w:pPr>
            <w:r>
              <w:rPr>
                <w:rFonts w:ascii="宋体" w:hAnsi="宋体" w:eastAsia="宋体" w:cs="宋体"/>
                <w:color w:val="000000"/>
                <w:szCs w:val="21"/>
              </w:rPr>
              <w:t>扫码查询检材</w:t>
            </w:r>
            <w:r>
              <w:rPr>
                <w:rFonts w:hint="eastAsia" w:ascii="宋体" w:hAnsi="宋体" w:eastAsia="宋体" w:cs="宋体"/>
                <w:color w:val="000000"/>
                <w:szCs w:val="21"/>
              </w:rPr>
              <w:t>至少支持</w:t>
            </w:r>
            <w:r>
              <w:rPr>
                <w:rFonts w:ascii="宋体" w:hAnsi="宋体" w:eastAsia="宋体" w:cs="宋体"/>
                <w:color w:val="000000"/>
                <w:szCs w:val="21"/>
              </w:rPr>
              <w:t>定位</w:t>
            </w:r>
            <w:r>
              <w:rPr>
                <w:rFonts w:hint="eastAsia" w:ascii="宋体" w:hAnsi="宋体" w:eastAsia="宋体" w:cs="宋体"/>
                <w:color w:val="000000"/>
                <w:szCs w:val="21"/>
              </w:rPr>
              <w:t>并</w:t>
            </w:r>
            <w:r>
              <w:rPr>
                <w:rFonts w:ascii="宋体" w:hAnsi="宋体" w:eastAsia="宋体" w:cs="宋体"/>
                <w:color w:val="000000"/>
                <w:szCs w:val="21"/>
              </w:rPr>
              <w:t>展示9种信息，包括检材编号、名称、持有人、送检单位、送检时间、采集开始时间、采集结束时间、笔录状态、入库状态信息</w:t>
            </w:r>
          </w:p>
        </w:tc>
        <w:tc>
          <w:tcPr>
            <w:tcW w:w="522" w:type="pct"/>
            <w:shd w:val="clear" w:color="auto" w:fill="auto"/>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72" w:type="pct"/>
            <w:shd w:val="clear" w:color="auto" w:fill="auto"/>
            <w:noWrap/>
            <w:vAlign w:val="center"/>
          </w:tcPr>
          <w:p>
            <w:pPr>
              <w:numPr>
                <w:ilvl w:val="0"/>
                <w:numId w:val="87"/>
              </w:numPr>
              <w:spacing w:line="240" w:lineRule="auto"/>
              <w:ind w:left="0" w:leftChars="0" w:firstLine="0" w:firstLineChars="0"/>
              <w:jc w:val="center"/>
              <w:rPr>
                <w:rFonts w:ascii="宋体" w:hAnsi="宋体" w:cs="宋体" w:eastAsiaTheme="minorEastAsia"/>
                <w:color w:val="000000"/>
                <w:kern w:val="0"/>
                <w:szCs w:val="21"/>
              </w:rPr>
            </w:pPr>
          </w:p>
        </w:tc>
        <w:tc>
          <w:tcPr>
            <w:tcW w:w="283" w:type="pct"/>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w:t>
            </w:r>
          </w:p>
        </w:tc>
        <w:tc>
          <w:tcPr>
            <w:tcW w:w="581" w:type="pct"/>
            <w:shd w:val="clear" w:color="auto" w:fill="auto"/>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字段质量检查</w:t>
            </w:r>
          </w:p>
        </w:tc>
        <w:tc>
          <w:tcPr>
            <w:tcW w:w="3240" w:type="pct"/>
            <w:shd w:val="clear" w:color="auto" w:fill="auto"/>
            <w:vAlign w:val="center"/>
          </w:tcPr>
          <w:p>
            <w:pPr>
              <w:rPr>
                <w:rFonts w:ascii="宋体" w:hAnsi="宋体" w:eastAsia="宋体" w:cs="宋体"/>
                <w:color w:val="000000"/>
                <w:szCs w:val="21"/>
                <w:highlight w:val="yellow"/>
              </w:rPr>
            </w:pPr>
            <w:r>
              <w:rPr>
                <w:rFonts w:hint="eastAsia" w:ascii="宋体" w:hAnsi="宋体" w:cs="宋体" w:eastAsiaTheme="minorEastAsia"/>
                <w:color w:val="000000"/>
                <w:kern w:val="0"/>
                <w:szCs w:val="21"/>
              </w:rPr>
              <w:t>数据包重要字段质量检查，内容至少包括3类信息：采集信息、案件信息、检材信息</w:t>
            </w:r>
          </w:p>
        </w:tc>
        <w:tc>
          <w:tcPr>
            <w:tcW w:w="522" w:type="pct"/>
            <w:shd w:val="clear" w:color="auto" w:fill="auto"/>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72" w:type="pct"/>
            <w:shd w:val="clear" w:color="auto" w:fill="auto"/>
            <w:noWrap/>
            <w:vAlign w:val="center"/>
          </w:tcPr>
          <w:p>
            <w:pPr>
              <w:numPr>
                <w:ilvl w:val="0"/>
                <w:numId w:val="87"/>
              </w:numPr>
              <w:spacing w:line="240" w:lineRule="auto"/>
              <w:ind w:left="0" w:leftChars="0" w:firstLine="0" w:firstLineChars="0"/>
              <w:jc w:val="center"/>
              <w:rPr>
                <w:rFonts w:ascii="宋体" w:hAnsi="宋体" w:cs="宋体" w:eastAsiaTheme="minorEastAsia"/>
                <w:color w:val="000000"/>
                <w:kern w:val="0"/>
                <w:szCs w:val="21"/>
              </w:rPr>
            </w:pPr>
          </w:p>
        </w:tc>
        <w:tc>
          <w:tcPr>
            <w:tcW w:w="283" w:type="pct"/>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w:t>
            </w:r>
          </w:p>
        </w:tc>
        <w:tc>
          <w:tcPr>
            <w:tcW w:w="581" w:type="pct"/>
            <w:shd w:val="clear" w:color="auto" w:fill="auto"/>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笔录</w:t>
            </w:r>
          </w:p>
        </w:tc>
        <w:tc>
          <w:tcPr>
            <w:tcW w:w="3240" w:type="pct"/>
            <w:shd w:val="clear" w:color="auto" w:fill="auto"/>
            <w:vAlign w:val="center"/>
          </w:tcPr>
          <w:p>
            <w:pPr>
              <w:rPr>
                <w:rFonts w:ascii="宋体" w:hAnsi="宋体" w:eastAsia="宋体" w:cs="宋体"/>
                <w:color w:val="000000"/>
                <w:szCs w:val="21"/>
                <w:highlight w:val="yellow"/>
              </w:rPr>
            </w:pPr>
            <w:r>
              <w:rPr>
                <w:rFonts w:hint="eastAsia" w:ascii="宋体" w:hAnsi="宋体" w:cs="宋体" w:eastAsiaTheme="minorEastAsia"/>
                <w:color w:val="000000"/>
                <w:kern w:val="0"/>
                <w:szCs w:val="21"/>
              </w:rPr>
              <w:t>取证笔录制作与生成，内容至少包括8类信息：送检单位信息、相关人员信息、案件检材信息、检材照片、技术标准、取证过程方法、使用设备（含硬件和软件），取证过程描述等</w:t>
            </w:r>
          </w:p>
        </w:tc>
        <w:tc>
          <w:tcPr>
            <w:tcW w:w="522" w:type="pct"/>
            <w:shd w:val="clear" w:color="auto" w:fill="auto"/>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 w:hRule="atLeast"/>
        </w:trPr>
        <w:tc>
          <w:tcPr>
            <w:tcW w:w="372" w:type="pct"/>
            <w:shd w:val="clear" w:color="auto" w:fill="auto"/>
            <w:noWrap/>
            <w:vAlign w:val="center"/>
          </w:tcPr>
          <w:p>
            <w:pPr>
              <w:numPr>
                <w:ilvl w:val="0"/>
                <w:numId w:val="87"/>
              </w:numPr>
              <w:spacing w:line="240" w:lineRule="auto"/>
              <w:ind w:left="0" w:leftChars="0" w:firstLine="0" w:firstLineChars="0"/>
              <w:jc w:val="center"/>
              <w:rPr>
                <w:rFonts w:ascii="宋体" w:hAnsi="宋体" w:cs="宋体" w:eastAsiaTheme="minorEastAsia"/>
                <w:color w:val="000000"/>
                <w:kern w:val="0"/>
                <w:szCs w:val="21"/>
              </w:rPr>
            </w:pPr>
          </w:p>
        </w:tc>
        <w:tc>
          <w:tcPr>
            <w:tcW w:w="283" w:type="pct"/>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w:t>
            </w:r>
          </w:p>
        </w:tc>
        <w:tc>
          <w:tcPr>
            <w:tcW w:w="581" w:type="pct"/>
            <w:vMerge w:val="restart"/>
            <w:shd w:val="clear" w:color="auto" w:fill="auto"/>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设备与实验室管理能力</w:t>
            </w:r>
          </w:p>
        </w:tc>
        <w:tc>
          <w:tcPr>
            <w:tcW w:w="3240" w:type="pct"/>
            <w:shd w:val="clear" w:color="auto" w:fill="auto"/>
            <w:vAlign w:val="center"/>
          </w:tcPr>
          <w:p>
            <w:pPr>
              <w:rPr>
                <w:rFonts w:ascii="宋体" w:hAnsi="宋体" w:eastAsia="宋体" w:cs="宋体"/>
                <w:color w:val="000000"/>
                <w:kern w:val="0"/>
                <w:szCs w:val="21"/>
                <w:highlight w:val="yellow"/>
              </w:rPr>
            </w:pPr>
            <w:r>
              <w:rPr>
                <w:rFonts w:hint="eastAsia" w:ascii="宋体" w:hAnsi="宋体" w:eastAsia="宋体" w:cs="宋体"/>
                <w:color w:val="000000"/>
                <w:kern w:val="0"/>
                <w:szCs w:val="21"/>
              </w:rPr>
              <w:t>至少支持对接1个检材智能柜，支持在取证任务流转过程中与物证存储柜的交互。支持扫描检材二维码或使用密码方式开柜存取检材，可记录使用日志，同时即时存取人员照片</w:t>
            </w:r>
          </w:p>
        </w:tc>
        <w:tc>
          <w:tcPr>
            <w:tcW w:w="522" w:type="pct"/>
            <w:shd w:val="clear" w:color="auto" w:fill="auto"/>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41" w:hRule="atLeast"/>
        </w:trPr>
        <w:tc>
          <w:tcPr>
            <w:tcW w:w="372" w:type="pct"/>
            <w:shd w:val="clear" w:color="auto" w:fill="auto"/>
            <w:noWrap/>
            <w:vAlign w:val="center"/>
          </w:tcPr>
          <w:p>
            <w:pPr>
              <w:numPr>
                <w:ilvl w:val="0"/>
                <w:numId w:val="87"/>
              </w:numPr>
              <w:spacing w:line="240" w:lineRule="auto"/>
              <w:ind w:left="0" w:leftChars="0" w:firstLine="0" w:firstLineChars="0"/>
              <w:jc w:val="center"/>
              <w:rPr>
                <w:rFonts w:ascii="宋体" w:hAnsi="宋体" w:cs="宋体" w:eastAsiaTheme="minorEastAsia"/>
                <w:color w:val="000000"/>
                <w:kern w:val="0"/>
                <w:szCs w:val="21"/>
              </w:rPr>
            </w:pPr>
          </w:p>
        </w:tc>
        <w:tc>
          <w:tcPr>
            <w:tcW w:w="283" w:type="pct"/>
            <w:shd w:val="clear" w:color="auto" w:fill="auto"/>
            <w:noWrap/>
            <w:vAlign w:val="center"/>
          </w:tcPr>
          <w:p>
            <w:pPr>
              <w:jc w:val="center"/>
              <w:rPr>
                <w:rFonts w:ascii="宋体" w:hAnsi="宋体" w:cs="宋体" w:eastAsiaTheme="minorEastAsia"/>
                <w:color w:val="000000"/>
                <w:kern w:val="0"/>
                <w:szCs w:val="21"/>
              </w:rPr>
            </w:pPr>
          </w:p>
        </w:tc>
        <w:tc>
          <w:tcPr>
            <w:tcW w:w="581" w:type="pct"/>
            <w:vMerge w:val="continue"/>
            <w:shd w:val="clear" w:color="auto" w:fill="auto"/>
            <w:vAlign w:val="center"/>
          </w:tcPr>
          <w:p>
            <w:pPr>
              <w:jc w:val="center"/>
              <w:rPr>
                <w:rFonts w:ascii="宋体" w:hAnsi="宋体" w:cs="宋体" w:eastAsiaTheme="minorEastAsia"/>
                <w:color w:val="000000"/>
                <w:kern w:val="0"/>
                <w:szCs w:val="21"/>
              </w:rPr>
            </w:pPr>
          </w:p>
        </w:tc>
        <w:tc>
          <w:tcPr>
            <w:tcW w:w="3240" w:type="pct"/>
            <w:shd w:val="clear" w:color="auto" w:fill="auto"/>
            <w:vAlign w:val="center"/>
          </w:tcPr>
          <w:p>
            <w:pPr>
              <w:rPr>
                <w:rFonts w:ascii="宋体" w:hAnsi="宋体" w:eastAsia="宋体" w:cs="宋体"/>
                <w:color w:val="000000"/>
                <w:kern w:val="0"/>
                <w:szCs w:val="21"/>
              </w:rPr>
            </w:pPr>
            <w:r>
              <w:rPr>
                <w:rFonts w:hint="eastAsia" w:ascii="宋体" w:hAnsi="宋体" w:cs="宋体" w:eastAsiaTheme="minorEastAsia"/>
                <w:color w:val="000000"/>
                <w:kern w:val="0"/>
                <w:szCs w:val="21"/>
                <w:highlight w:val="none"/>
              </w:rPr>
              <w:t>支持物证存储柜管理，</w:t>
            </w:r>
            <w:r>
              <w:rPr>
                <w:rFonts w:hint="eastAsia" w:ascii="宋体" w:hAnsi="宋体" w:cs="宋体" w:eastAsiaTheme="minorEastAsia"/>
                <w:color w:val="000000"/>
                <w:kern w:val="0"/>
                <w:szCs w:val="21"/>
                <w:highlight w:val="none"/>
                <w:lang w:val="en-US" w:eastAsia="zh-CN"/>
              </w:rPr>
              <w:t>至少包含</w:t>
            </w:r>
            <w:r>
              <w:rPr>
                <w:rFonts w:hint="eastAsia" w:ascii="宋体" w:hAnsi="宋体" w:cs="宋体" w:eastAsiaTheme="minorEastAsia"/>
                <w:color w:val="000000"/>
                <w:kern w:val="0"/>
                <w:szCs w:val="21"/>
                <w:highlight w:val="none"/>
              </w:rPr>
              <w:t>记录柜体基本信息、监测柜体使用情况、记录使用日志、支持一键开柜</w:t>
            </w:r>
          </w:p>
        </w:tc>
        <w:tc>
          <w:tcPr>
            <w:tcW w:w="522" w:type="pct"/>
            <w:shd w:val="clear" w:color="auto" w:fill="auto"/>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372" w:type="pct"/>
            <w:shd w:val="clear" w:color="auto" w:fill="auto"/>
            <w:noWrap/>
            <w:vAlign w:val="center"/>
          </w:tcPr>
          <w:p>
            <w:pPr>
              <w:numPr>
                <w:ilvl w:val="0"/>
                <w:numId w:val="87"/>
              </w:numPr>
              <w:spacing w:line="240" w:lineRule="auto"/>
              <w:ind w:left="0" w:leftChars="0" w:firstLine="0" w:firstLineChars="0"/>
              <w:jc w:val="center"/>
              <w:rPr>
                <w:rFonts w:ascii="宋体" w:hAnsi="宋体" w:cs="宋体" w:eastAsiaTheme="minorEastAsia"/>
                <w:color w:val="000000"/>
                <w:kern w:val="0"/>
                <w:szCs w:val="21"/>
              </w:rPr>
            </w:pPr>
          </w:p>
        </w:tc>
        <w:tc>
          <w:tcPr>
            <w:tcW w:w="283" w:type="pct"/>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w:t>
            </w:r>
          </w:p>
        </w:tc>
        <w:tc>
          <w:tcPr>
            <w:tcW w:w="581" w:type="pct"/>
            <w:vMerge w:val="continue"/>
            <w:vAlign w:val="center"/>
          </w:tcPr>
          <w:p>
            <w:pPr>
              <w:rPr>
                <w:rFonts w:ascii="宋体" w:hAnsi="宋体" w:cs="宋体" w:eastAsiaTheme="minorEastAsia"/>
                <w:color w:val="000000"/>
                <w:kern w:val="0"/>
                <w:szCs w:val="21"/>
              </w:rPr>
            </w:pPr>
          </w:p>
        </w:tc>
        <w:tc>
          <w:tcPr>
            <w:tcW w:w="3240" w:type="pct"/>
            <w:shd w:val="clear" w:color="auto" w:fill="auto"/>
            <w:noWrap/>
            <w:vAlign w:val="center"/>
          </w:tcPr>
          <w:p>
            <w:pPr>
              <w:jc w:val="both"/>
              <w:rPr>
                <w:rFonts w:ascii="宋体" w:hAnsi="宋体" w:eastAsia="宋体" w:cs="宋体"/>
                <w:color w:val="000000"/>
                <w:kern w:val="0"/>
                <w:szCs w:val="21"/>
                <w:highlight w:val="yellow"/>
              </w:rPr>
            </w:pPr>
            <w:r>
              <w:rPr>
                <w:rFonts w:hint="eastAsia" w:ascii="宋体" w:hAnsi="宋体" w:eastAsia="宋体" w:cs="宋体"/>
                <w:color w:val="000000"/>
                <w:kern w:val="0"/>
                <w:szCs w:val="21"/>
              </w:rPr>
              <w:t>至少支持2个大屏，包括实验室数据统计大屏和实验室全景定制大屏展示</w:t>
            </w:r>
          </w:p>
        </w:tc>
        <w:tc>
          <w:tcPr>
            <w:tcW w:w="522" w:type="pct"/>
            <w:shd w:val="clear" w:color="auto" w:fill="auto"/>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372" w:type="pct"/>
            <w:shd w:val="clear" w:color="auto" w:fill="auto"/>
            <w:noWrap/>
            <w:vAlign w:val="center"/>
          </w:tcPr>
          <w:p>
            <w:pPr>
              <w:numPr>
                <w:ilvl w:val="0"/>
                <w:numId w:val="87"/>
              </w:numPr>
              <w:spacing w:line="240" w:lineRule="auto"/>
              <w:ind w:left="0" w:leftChars="0" w:firstLine="0" w:firstLineChars="0"/>
              <w:jc w:val="center"/>
              <w:rPr>
                <w:rFonts w:ascii="宋体" w:hAnsi="宋体" w:cs="宋体" w:eastAsiaTheme="minorEastAsia"/>
                <w:color w:val="000000"/>
                <w:kern w:val="0"/>
                <w:szCs w:val="21"/>
              </w:rPr>
            </w:pPr>
          </w:p>
        </w:tc>
        <w:tc>
          <w:tcPr>
            <w:tcW w:w="283" w:type="pct"/>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w:t>
            </w:r>
          </w:p>
        </w:tc>
        <w:tc>
          <w:tcPr>
            <w:tcW w:w="581" w:type="pct"/>
            <w:vMerge w:val="continue"/>
            <w:vAlign w:val="center"/>
          </w:tcPr>
          <w:p>
            <w:pPr>
              <w:rPr>
                <w:rFonts w:ascii="宋体" w:hAnsi="宋体" w:cs="宋体" w:eastAsiaTheme="minorEastAsia"/>
                <w:color w:val="000000"/>
                <w:kern w:val="0"/>
                <w:szCs w:val="21"/>
              </w:rPr>
            </w:pPr>
          </w:p>
        </w:tc>
        <w:tc>
          <w:tcPr>
            <w:tcW w:w="3240" w:type="pct"/>
            <w:shd w:val="clear" w:color="auto" w:fill="auto"/>
            <w:noWrap/>
            <w:vAlign w:val="center"/>
          </w:tcPr>
          <w:p>
            <w:pPr>
              <w:jc w:val="both"/>
              <w:rPr>
                <w:rFonts w:ascii="宋体" w:hAnsi="宋体" w:eastAsia="宋体" w:cs="宋体"/>
                <w:color w:val="000000"/>
                <w:kern w:val="0"/>
                <w:szCs w:val="21"/>
              </w:rPr>
            </w:pPr>
            <w:r>
              <w:rPr>
                <w:rFonts w:hint="eastAsia" w:ascii="宋体" w:hAnsi="宋体" w:eastAsia="宋体" w:cs="宋体"/>
                <w:color w:val="000000"/>
                <w:kern w:val="0"/>
                <w:szCs w:val="21"/>
              </w:rPr>
              <w:t>至少支持取证设备2种运行状态的监控，包括在线、离线</w:t>
            </w:r>
          </w:p>
        </w:tc>
        <w:tc>
          <w:tcPr>
            <w:tcW w:w="522" w:type="pct"/>
            <w:shd w:val="clear" w:color="auto" w:fill="auto"/>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372" w:type="pct"/>
            <w:shd w:val="clear" w:color="auto" w:fill="auto"/>
            <w:noWrap/>
            <w:vAlign w:val="center"/>
          </w:tcPr>
          <w:p>
            <w:pPr>
              <w:numPr>
                <w:ilvl w:val="0"/>
                <w:numId w:val="87"/>
              </w:numPr>
              <w:spacing w:line="240" w:lineRule="auto"/>
              <w:ind w:left="0" w:leftChars="0" w:firstLine="0" w:firstLineChars="0"/>
              <w:jc w:val="center"/>
              <w:rPr>
                <w:rFonts w:ascii="宋体" w:hAnsi="宋体" w:cs="宋体" w:eastAsiaTheme="minorEastAsia"/>
                <w:color w:val="000000"/>
                <w:kern w:val="0"/>
                <w:szCs w:val="21"/>
              </w:rPr>
            </w:pPr>
          </w:p>
        </w:tc>
        <w:tc>
          <w:tcPr>
            <w:tcW w:w="283" w:type="pct"/>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w:t>
            </w:r>
          </w:p>
        </w:tc>
        <w:tc>
          <w:tcPr>
            <w:tcW w:w="581" w:type="pct"/>
            <w:vMerge w:val="continue"/>
            <w:vAlign w:val="center"/>
          </w:tcPr>
          <w:p>
            <w:pPr>
              <w:rPr>
                <w:rFonts w:ascii="宋体" w:hAnsi="宋体" w:cs="宋体" w:eastAsiaTheme="minorEastAsia"/>
                <w:color w:val="000000"/>
                <w:kern w:val="0"/>
                <w:szCs w:val="21"/>
              </w:rPr>
            </w:pPr>
          </w:p>
        </w:tc>
        <w:tc>
          <w:tcPr>
            <w:tcW w:w="3240" w:type="pct"/>
            <w:shd w:val="clear" w:color="auto" w:fill="auto"/>
            <w:noWrap/>
            <w:vAlign w:val="center"/>
          </w:tcPr>
          <w:p>
            <w:pPr>
              <w:jc w:val="both"/>
              <w:rPr>
                <w:rFonts w:ascii="宋体" w:hAnsi="宋体" w:eastAsia="宋体" w:cs="宋体"/>
                <w:color w:val="000000"/>
                <w:kern w:val="0"/>
                <w:szCs w:val="21"/>
              </w:rPr>
            </w:pPr>
            <w:r>
              <w:rPr>
                <w:rFonts w:hint="eastAsia" w:ascii="宋体" w:hAnsi="宋体" w:cs="宋体" w:eastAsiaTheme="minorEastAsia"/>
                <w:kern w:val="0"/>
                <w:szCs w:val="21"/>
              </w:rPr>
              <w:t>取证完成后，支持取证结果数据同步传输至实验室系统，至少包括2类文件：取证视频和数据包</w:t>
            </w:r>
          </w:p>
        </w:tc>
        <w:tc>
          <w:tcPr>
            <w:tcW w:w="522" w:type="pct"/>
            <w:shd w:val="clear" w:color="auto" w:fill="auto"/>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372" w:type="pct"/>
            <w:shd w:val="clear" w:color="auto" w:fill="auto"/>
            <w:noWrap/>
            <w:vAlign w:val="center"/>
          </w:tcPr>
          <w:p>
            <w:pPr>
              <w:numPr>
                <w:ilvl w:val="0"/>
                <w:numId w:val="87"/>
              </w:numPr>
              <w:spacing w:line="240" w:lineRule="auto"/>
              <w:ind w:left="0" w:leftChars="0" w:firstLine="0" w:firstLineChars="0"/>
              <w:jc w:val="center"/>
              <w:rPr>
                <w:rFonts w:ascii="宋体" w:hAnsi="宋体" w:cs="宋体" w:eastAsiaTheme="minorEastAsia"/>
                <w:color w:val="000000"/>
                <w:kern w:val="0"/>
                <w:szCs w:val="21"/>
              </w:rPr>
            </w:pPr>
          </w:p>
        </w:tc>
        <w:tc>
          <w:tcPr>
            <w:tcW w:w="283" w:type="pct"/>
            <w:shd w:val="clear" w:color="auto" w:fill="auto"/>
            <w:noWrap/>
            <w:vAlign w:val="center"/>
          </w:tcPr>
          <w:p>
            <w:pPr>
              <w:jc w:val="center"/>
              <w:rPr>
                <w:rFonts w:ascii="宋体" w:hAnsi="宋体" w:cs="宋体" w:eastAsiaTheme="minorEastAsia"/>
                <w:color w:val="000000"/>
                <w:kern w:val="0"/>
                <w:szCs w:val="21"/>
              </w:rPr>
            </w:pPr>
          </w:p>
        </w:tc>
        <w:tc>
          <w:tcPr>
            <w:tcW w:w="581" w:type="pct"/>
            <w:vMerge w:val="continue"/>
            <w:vAlign w:val="center"/>
          </w:tcPr>
          <w:p>
            <w:pPr>
              <w:rPr>
                <w:rFonts w:ascii="宋体" w:hAnsi="宋体" w:cs="宋体" w:eastAsiaTheme="minorEastAsia"/>
                <w:color w:val="000000"/>
                <w:kern w:val="0"/>
                <w:szCs w:val="21"/>
              </w:rPr>
            </w:pPr>
          </w:p>
        </w:tc>
        <w:tc>
          <w:tcPr>
            <w:tcW w:w="3240" w:type="pct"/>
            <w:shd w:val="clear" w:color="auto" w:fill="auto"/>
            <w:noWrap/>
            <w:vAlign w:val="center"/>
          </w:tcPr>
          <w:p>
            <w:pPr>
              <w:jc w:val="both"/>
              <w:rPr>
                <w:rFonts w:ascii="宋体" w:hAnsi="宋体" w:eastAsia="宋体" w:cs="宋体"/>
                <w:color w:val="000000"/>
                <w:kern w:val="0"/>
                <w:szCs w:val="21"/>
                <w:highlight w:val="yellow"/>
              </w:rPr>
            </w:pPr>
            <w:r>
              <w:rPr>
                <w:rFonts w:hint="eastAsia" w:ascii="宋体" w:hAnsi="宋体" w:cs="宋体" w:eastAsiaTheme="minorEastAsia"/>
                <w:color w:val="000000"/>
                <w:kern w:val="0"/>
                <w:szCs w:val="21"/>
              </w:rPr>
              <w:t>至少支持4种实验室配套设备对接，包括条码打印机、扫码枪、高拍仪、智能物证存储柜</w:t>
            </w:r>
          </w:p>
        </w:tc>
        <w:tc>
          <w:tcPr>
            <w:tcW w:w="522" w:type="pct"/>
            <w:shd w:val="clear" w:color="auto" w:fill="auto"/>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372" w:type="pct"/>
            <w:shd w:val="clear" w:color="auto" w:fill="auto"/>
            <w:noWrap/>
            <w:vAlign w:val="center"/>
          </w:tcPr>
          <w:p>
            <w:pPr>
              <w:numPr>
                <w:ilvl w:val="0"/>
                <w:numId w:val="87"/>
              </w:numPr>
              <w:spacing w:line="240" w:lineRule="auto"/>
              <w:ind w:left="0" w:leftChars="0" w:firstLine="0" w:firstLineChars="0"/>
              <w:jc w:val="center"/>
              <w:rPr>
                <w:rFonts w:ascii="宋体" w:hAnsi="宋体" w:cs="宋体" w:eastAsiaTheme="minorEastAsia"/>
                <w:color w:val="000000"/>
                <w:kern w:val="0"/>
                <w:szCs w:val="21"/>
              </w:rPr>
            </w:pPr>
          </w:p>
        </w:tc>
        <w:tc>
          <w:tcPr>
            <w:tcW w:w="283" w:type="pct"/>
            <w:shd w:val="clear" w:color="auto" w:fill="auto"/>
            <w:noWrap/>
            <w:vAlign w:val="center"/>
          </w:tcPr>
          <w:p>
            <w:pPr>
              <w:jc w:val="center"/>
              <w:rPr>
                <w:rFonts w:ascii="宋体" w:hAnsi="宋体" w:cs="宋体" w:eastAsiaTheme="minorEastAsia"/>
                <w:color w:val="000000"/>
                <w:kern w:val="0"/>
                <w:szCs w:val="21"/>
              </w:rPr>
            </w:pPr>
          </w:p>
        </w:tc>
        <w:tc>
          <w:tcPr>
            <w:tcW w:w="581" w:type="pct"/>
            <w:vMerge w:val="continue"/>
            <w:vAlign w:val="center"/>
          </w:tcPr>
          <w:p>
            <w:pPr>
              <w:rPr>
                <w:rFonts w:ascii="宋体" w:hAnsi="宋体" w:cs="宋体" w:eastAsiaTheme="minorEastAsia"/>
                <w:color w:val="000000"/>
                <w:kern w:val="0"/>
                <w:szCs w:val="21"/>
              </w:rPr>
            </w:pPr>
          </w:p>
        </w:tc>
        <w:tc>
          <w:tcPr>
            <w:tcW w:w="3240" w:type="pct"/>
            <w:shd w:val="clear" w:color="auto" w:fill="auto"/>
            <w:noWrap/>
            <w:vAlign w:val="center"/>
          </w:tcPr>
          <w:p>
            <w:pPr>
              <w:jc w:val="both"/>
              <w:rPr>
                <w:rFonts w:ascii="宋体" w:hAnsi="宋体" w:cs="宋体" w:eastAsiaTheme="minorEastAsia"/>
                <w:color w:val="000000"/>
                <w:kern w:val="0"/>
                <w:szCs w:val="21"/>
              </w:rPr>
            </w:pPr>
            <w:r>
              <w:rPr>
                <w:rFonts w:hint="eastAsia" w:ascii="宋体" w:hAnsi="宋体" w:cs="宋体" w:eastAsiaTheme="minorEastAsia"/>
                <w:color w:val="000000"/>
                <w:kern w:val="0"/>
                <w:szCs w:val="21"/>
              </w:rPr>
              <w:t>支持自助核查取证设备清单，至少包括3类信息：设备信息、设备状态、核查记录</w:t>
            </w:r>
          </w:p>
        </w:tc>
        <w:tc>
          <w:tcPr>
            <w:tcW w:w="522" w:type="pct"/>
            <w:shd w:val="clear" w:color="auto" w:fill="auto"/>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72" w:type="pct"/>
            <w:shd w:val="clear" w:color="auto" w:fill="auto"/>
            <w:noWrap/>
            <w:vAlign w:val="center"/>
          </w:tcPr>
          <w:p>
            <w:pPr>
              <w:numPr>
                <w:ilvl w:val="0"/>
                <w:numId w:val="87"/>
              </w:numPr>
              <w:spacing w:line="240" w:lineRule="auto"/>
              <w:ind w:left="0" w:leftChars="0" w:firstLine="0" w:firstLineChars="0"/>
              <w:jc w:val="center"/>
              <w:rPr>
                <w:rFonts w:ascii="宋体" w:hAnsi="宋体" w:cs="宋体" w:eastAsiaTheme="minorEastAsia"/>
                <w:color w:val="000000"/>
                <w:kern w:val="0"/>
                <w:szCs w:val="21"/>
              </w:rPr>
            </w:pPr>
          </w:p>
        </w:tc>
        <w:tc>
          <w:tcPr>
            <w:tcW w:w="283" w:type="pct"/>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w:t>
            </w:r>
          </w:p>
        </w:tc>
        <w:tc>
          <w:tcPr>
            <w:tcW w:w="581" w:type="pct"/>
            <w:shd w:val="clear" w:color="auto" w:fill="auto"/>
            <w:noWrap/>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数据API接口</w:t>
            </w:r>
          </w:p>
        </w:tc>
        <w:tc>
          <w:tcPr>
            <w:tcW w:w="3240" w:type="pct"/>
            <w:shd w:val="clear" w:color="auto" w:fill="auto"/>
            <w:vAlign w:val="center"/>
          </w:tcPr>
          <w:p>
            <w:pPr>
              <w:rPr>
                <w:rFonts w:ascii="宋体" w:hAnsi="宋体" w:eastAsia="宋体" w:cs="宋体"/>
                <w:color w:val="000000"/>
                <w:kern w:val="0"/>
                <w:szCs w:val="21"/>
              </w:rPr>
            </w:pPr>
            <w:r>
              <w:rPr>
                <w:rFonts w:ascii="宋体" w:hAnsi="宋体" w:eastAsia="宋体" w:cs="宋体"/>
                <w:color w:val="000000"/>
                <w:szCs w:val="21"/>
              </w:rPr>
              <w:t>至少支持开放1个数据API接口，供大数据系统抽取本系统内数据</w:t>
            </w:r>
          </w:p>
        </w:tc>
        <w:tc>
          <w:tcPr>
            <w:tcW w:w="522" w:type="pct"/>
            <w:shd w:val="clear" w:color="auto" w:fill="auto"/>
            <w:vAlign w:val="center"/>
          </w:tcPr>
          <w:p>
            <w:pPr>
              <w:jc w:val="center"/>
              <w:rPr>
                <w:rFonts w:ascii="宋体" w:hAnsi="宋体" w:cs="宋体" w:eastAsiaTheme="minorEastAsia"/>
                <w:color w:val="000000"/>
                <w:kern w:val="0"/>
                <w:szCs w:val="21"/>
              </w:rPr>
            </w:pPr>
            <w:r>
              <w:rPr>
                <w:rFonts w:hint="eastAsia" w:ascii="宋体" w:hAnsi="宋体" w:cs="宋体" w:eastAsiaTheme="minorEastAsia"/>
                <w:color w:val="000000"/>
                <w:kern w:val="0"/>
                <w:szCs w:val="21"/>
              </w:rPr>
              <w:t>承诺函</w:t>
            </w:r>
          </w:p>
        </w:tc>
      </w:tr>
    </w:tbl>
    <w:p>
      <w:pPr>
        <w:rPr>
          <w:rFonts w:eastAsiaTheme="minorEastAsia"/>
          <w:szCs w:val="21"/>
        </w:rPr>
      </w:pPr>
    </w:p>
    <w:p>
      <w:pPr>
        <w:pStyle w:val="5"/>
        <w:spacing w:before="15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w:t>
      </w:r>
      <w:r>
        <w:rPr>
          <w:rFonts w:asciiTheme="minorEastAsia" w:hAnsiTheme="minorEastAsia" w:eastAsiaTheme="minorEastAsia" w:cstheme="minorEastAsia"/>
          <w:szCs w:val="21"/>
        </w:rPr>
        <w:t>4</w:t>
      </w:r>
      <w:r>
        <w:rPr>
          <w:rFonts w:hint="eastAsia" w:asciiTheme="minorEastAsia" w:hAnsiTheme="minorEastAsia" w:eastAsiaTheme="minorEastAsia" w:cstheme="minorEastAsia"/>
          <w:szCs w:val="21"/>
        </w:rPr>
        <w:t>包手机取证塔</w:t>
      </w:r>
      <w:r>
        <w:rPr>
          <w:rFonts w:hint="default" w:ascii="Times New Roman" w:hAnsi="Times New Roman" w:cs="Times New Roman" w:eastAsiaTheme="minorEastAsia"/>
          <w:szCs w:val="21"/>
        </w:rPr>
        <w:t>Ⅳ</w:t>
      </w:r>
    </w:p>
    <w:tbl>
      <w:tblPr>
        <w:tblStyle w:val="81"/>
        <w:tblW w:w="465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0"/>
        <w:gridCol w:w="614"/>
        <w:gridCol w:w="928"/>
        <w:gridCol w:w="4356"/>
        <w:gridCol w:w="1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2" w:type="pct"/>
            <w:tcBorders>
              <w:top w:val="single" w:color="auto" w:sz="4" w:space="0"/>
              <w:left w:val="single" w:color="auto" w:sz="4" w:space="0"/>
              <w:bottom w:val="single" w:color="auto" w:sz="4" w:space="0"/>
              <w:right w:val="single" w:color="auto" w:sz="4" w:space="0"/>
            </w:tcBorders>
            <w:vAlign w:val="center"/>
          </w:tcPr>
          <w:p>
            <w:pPr>
              <w:spacing w:line="360" w:lineRule="auto"/>
              <w:rPr>
                <w:rFonts w:eastAsiaTheme="minorEastAsia"/>
                <w:szCs w:val="21"/>
              </w:rPr>
            </w:pPr>
            <w:r>
              <w:rPr>
                <w:rFonts w:hint="eastAsia" w:ascii="宋体" w:hAnsi="宋体" w:eastAsiaTheme="minorEastAsia"/>
                <w:b/>
                <w:szCs w:val="21"/>
              </w:rPr>
              <w:t>序号</w:t>
            </w:r>
          </w:p>
        </w:tc>
        <w:tc>
          <w:tcPr>
            <w:tcW w:w="364"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Cs w:val="21"/>
              </w:rPr>
            </w:pPr>
            <w:r>
              <w:rPr>
                <w:rFonts w:hint="eastAsia" w:ascii="宋体" w:hAnsi="宋体" w:eastAsiaTheme="minorEastAsia"/>
                <w:b/>
                <w:szCs w:val="21"/>
              </w:rPr>
              <w:t>重要性</w:t>
            </w:r>
          </w:p>
        </w:tc>
        <w:tc>
          <w:tcPr>
            <w:tcW w:w="550" w:type="pct"/>
            <w:tcBorders>
              <w:top w:val="single" w:color="auto" w:sz="4" w:space="0"/>
              <w:left w:val="single" w:color="auto" w:sz="4" w:space="0"/>
              <w:bottom w:val="single" w:color="auto" w:sz="4" w:space="0"/>
              <w:right w:val="single" w:color="auto" w:sz="4" w:space="0"/>
            </w:tcBorders>
            <w:vAlign w:val="center"/>
          </w:tcPr>
          <w:p>
            <w:pPr>
              <w:rPr>
                <w:rFonts w:ascii="宋体" w:hAnsi="宋体" w:eastAsiaTheme="minorEastAsia"/>
                <w:szCs w:val="21"/>
              </w:rPr>
            </w:pPr>
            <w:r>
              <w:rPr>
                <w:rFonts w:hint="eastAsia" w:ascii="宋体" w:hAnsi="宋体" w:eastAsiaTheme="minorEastAsia"/>
                <w:b/>
                <w:szCs w:val="21"/>
              </w:rPr>
              <w:t>指标项</w:t>
            </w:r>
          </w:p>
        </w:tc>
        <w:tc>
          <w:tcPr>
            <w:tcW w:w="2581" w:type="pct"/>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szCs w:val="21"/>
              </w:rPr>
            </w:pPr>
            <w:r>
              <w:rPr>
                <w:rFonts w:hint="eastAsia" w:ascii="宋体" w:hAnsi="宋体" w:eastAsiaTheme="minorEastAsia"/>
                <w:b/>
                <w:szCs w:val="21"/>
              </w:rPr>
              <w:t>指标要求</w:t>
            </w:r>
          </w:p>
        </w:tc>
        <w:tc>
          <w:tcPr>
            <w:tcW w:w="883" w:type="pct"/>
            <w:tcBorders>
              <w:top w:val="single" w:color="auto" w:sz="4" w:space="0"/>
              <w:left w:val="single" w:color="auto" w:sz="4" w:space="0"/>
              <w:bottom w:val="single" w:color="auto" w:sz="4" w:space="0"/>
              <w:right w:val="single" w:color="auto" w:sz="4" w:space="0"/>
            </w:tcBorders>
            <w:vAlign w:val="center"/>
          </w:tcPr>
          <w:p>
            <w:pPr>
              <w:rPr>
                <w:rFonts w:ascii="宋体" w:hAnsi="宋体" w:eastAsiaTheme="minorEastAsia"/>
                <w:szCs w:val="21"/>
              </w:rPr>
            </w:pPr>
            <w:r>
              <w:rPr>
                <w:rFonts w:hint="eastAsia" w:ascii="宋体" w:hAnsi="宋体" w:eastAsiaTheme="minorEastAsia"/>
                <w:b/>
                <w:szCs w:val="21"/>
              </w:rPr>
              <w:t>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88"/>
              </w:numPr>
              <w:spacing w:line="360" w:lineRule="auto"/>
              <w:jc w:val="both"/>
              <w:rPr>
                <w:rFonts w:asciiTheme="minorHAnsi" w:hAnsiTheme="minorHAnsi" w:eastAsiaTheme="minorEastAsia"/>
                <w:szCs w:val="21"/>
              </w:rPr>
            </w:pPr>
          </w:p>
        </w:tc>
        <w:tc>
          <w:tcPr>
            <w:tcW w:w="364"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Cs w:val="21"/>
              </w:rPr>
            </w:pPr>
            <w:r>
              <w:rPr>
                <w:rFonts w:hint="eastAsia" w:eastAsiaTheme="minorEastAsia"/>
                <w:szCs w:val="21"/>
              </w:rPr>
              <w:t>★</w:t>
            </w:r>
          </w:p>
        </w:tc>
        <w:tc>
          <w:tcPr>
            <w:tcW w:w="550" w:type="pct"/>
            <w:vMerge w:val="restart"/>
            <w:tcBorders>
              <w:top w:val="single" w:color="auto" w:sz="4" w:space="0"/>
              <w:left w:val="single" w:color="auto" w:sz="4" w:space="0"/>
              <w:bottom w:val="single" w:color="auto" w:sz="4" w:space="0"/>
              <w:right w:val="single" w:color="auto" w:sz="4" w:space="0"/>
            </w:tcBorders>
            <w:vAlign w:val="center"/>
          </w:tcPr>
          <w:p>
            <w:pPr>
              <w:rPr>
                <w:rFonts w:ascii="宋体" w:hAnsi="宋体" w:eastAsiaTheme="minorEastAsia"/>
                <w:szCs w:val="21"/>
              </w:rPr>
            </w:pPr>
            <w:r>
              <w:rPr>
                <w:rFonts w:hint="eastAsia" w:ascii="宋体" w:hAnsi="宋体" w:eastAsiaTheme="minorEastAsia"/>
                <w:szCs w:val="21"/>
              </w:rPr>
              <w:t>移动终端分析模块</w:t>
            </w:r>
          </w:p>
        </w:tc>
        <w:tc>
          <w:tcPr>
            <w:tcW w:w="2581" w:type="pct"/>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szCs w:val="21"/>
              </w:rPr>
            </w:pPr>
            <w:r>
              <w:rPr>
                <w:rFonts w:hint="eastAsia" w:eastAsiaTheme="minorEastAsia"/>
                <w:szCs w:val="21"/>
              </w:rPr>
              <w:t>需支持不少于</w:t>
            </w:r>
            <w:r>
              <w:rPr>
                <w:rFonts w:eastAsiaTheme="minorEastAsia"/>
                <w:szCs w:val="21"/>
              </w:rPr>
              <w:t>5</w:t>
            </w:r>
            <w:r>
              <w:rPr>
                <w:rFonts w:hint="eastAsia" w:eastAsiaTheme="minorEastAsia"/>
                <w:szCs w:val="21"/>
              </w:rPr>
              <w:t>种类型终端解析功能，包括：</w:t>
            </w:r>
            <w:r>
              <w:rPr>
                <w:rFonts w:eastAsiaTheme="minorEastAsia"/>
                <w:szCs w:val="21"/>
              </w:rPr>
              <w:t>1</w:t>
            </w:r>
            <w:r>
              <w:rPr>
                <w:rFonts w:hint="eastAsia" w:eastAsiaTheme="minorEastAsia"/>
                <w:szCs w:val="21"/>
              </w:rPr>
              <w:t>）支持检测、提取三星安全文件夹；</w:t>
            </w:r>
            <w:r>
              <w:rPr>
                <w:rFonts w:eastAsiaTheme="minorEastAsia"/>
                <w:szCs w:val="21"/>
              </w:rPr>
              <w:t>2</w:t>
            </w:r>
            <w:r>
              <w:rPr>
                <w:rFonts w:hint="eastAsia" w:eastAsiaTheme="minorEastAsia"/>
                <w:szCs w:val="21"/>
              </w:rPr>
              <w:t>）支持华为在</w:t>
            </w:r>
            <w:r>
              <w:rPr>
                <w:rFonts w:eastAsiaTheme="minorEastAsia"/>
                <w:szCs w:val="21"/>
              </w:rPr>
              <w:t xml:space="preserve"> USB </w:t>
            </w:r>
            <w:r>
              <w:rPr>
                <w:rFonts w:hint="eastAsia" w:eastAsiaTheme="minorEastAsia"/>
                <w:szCs w:val="21"/>
              </w:rPr>
              <w:t>调试无法打开的情况下跳过隐私锁密码直接提取</w:t>
            </w:r>
            <w:r>
              <w:rPr>
                <w:rFonts w:eastAsiaTheme="minorEastAsia"/>
                <w:szCs w:val="21"/>
              </w:rPr>
              <w:t>;3</w:t>
            </w:r>
            <w:r>
              <w:rPr>
                <w:rFonts w:hint="eastAsia" w:eastAsiaTheme="minorEastAsia"/>
                <w:szCs w:val="21"/>
              </w:rPr>
              <w:t>）支持解析应用凭证并支持与云取证联动固定云数据；</w:t>
            </w:r>
            <w:r>
              <w:rPr>
                <w:rFonts w:eastAsiaTheme="minorEastAsia"/>
                <w:szCs w:val="21"/>
              </w:rPr>
              <w:t>4</w:t>
            </w:r>
            <w:r>
              <w:rPr>
                <w:rFonts w:hint="eastAsia" w:eastAsiaTheme="minorEastAsia"/>
                <w:szCs w:val="21"/>
              </w:rPr>
              <w:t>）支持对未知应用的分析，能够直接查看未知应用内数据库文件的内容；</w:t>
            </w:r>
            <w:r>
              <w:rPr>
                <w:rFonts w:eastAsiaTheme="minorEastAsia"/>
                <w:szCs w:val="21"/>
              </w:rPr>
              <w:t>5</w:t>
            </w:r>
            <w:r>
              <w:rPr>
                <w:rFonts w:hint="eastAsia" w:eastAsiaTheme="minorEastAsia"/>
                <w:szCs w:val="21"/>
              </w:rPr>
              <w:t>）支持证据嵌套识别，可自动识别</w:t>
            </w:r>
            <w:r>
              <w:rPr>
                <w:rFonts w:eastAsiaTheme="minorEastAsia"/>
                <w:szCs w:val="21"/>
              </w:rPr>
              <w:t xml:space="preserve"> iOS </w:t>
            </w:r>
            <w:r>
              <w:rPr>
                <w:rFonts w:hint="eastAsia" w:eastAsiaTheme="minorEastAsia"/>
                <w:szCs w:val="21"/>
              </w:rPr>
              <w:t>、</w:t>
            </w:r>
            <w:r>
              <w:rPr>
                <w:rFonts w:eastAsiaTheme="minorEastAsia"/>
                <w:szCs w:val="21"/>
              </w:rPr>
              <w:t xml:space="preserve">Android </w:t>
            </w:r>
            <w:r>
              <w:rPr>
                <w:rFonts w:hint="eastAsia" w:eastAsiaTheme="minorEastAsia"/>
                <w:szCs w:val="21"/>
              </w:rPr>
              <w:t>备份等证据，支持同一案件内的嵌套证据无需导出直接加载分析</w:t>
            </w:r>
          </w:p>
        </w:tc>
        <w:tc>
          <w:tcPr>
            <w:tcW w:w="883" w:type="pct"/>
            <w:vMerge w:val="restart"/>
            <w:tcBorders>
              <w:top w:val="single" w:color="auto" w:sz="4" w:space="0"/>
              <w:left w:val="single" w:color="auto" w:sz="4" w:space="0"/>
              <w:bottom w:val="single" w:color="auto" w:sz="4" w:space="0"/>
              <w:right w:val="single" w:color="auto" w:sz="4" w:space="0"/>
            </w:tcBorders>
            <w:vAlign w:val="center"/>
          </w:tcPr>
          <w:p>
            <w:pPr>
              <w:rPr>
                <w:rFonts w:ascii="宋体" w:hAnsi="宋体" w:eastAsiaTheme="minorEastAsia"/>
                <w:szCs w:val="21"/>
              </w:rPr>
            </w:pPr>
            <w:r>
              <w:rPr>
                <w:rFonts w:hint="eastAsia" w:ascii="宋体" w:hAnsi="宋体" w:eastAsiaTheme="minorEastAsia"/>
                <w:szCs w:val="21"/>
              </w:rPr>
              <w:t>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88"/>
              </w:numPr>
              <w:spacing w:line="360" w:lineRule="auto"/>
              <w:jc w:val="both"/>
              <w:rPr>
                <w:rFonts w:asciiTheme="minorHAnsi" w:hAnsiTheme="minorHAnsi" w:eastAsiaTheme="minorEastAsia"/>
                <w:szCs w:val="21"/>
              </w:rPr>
            </w:pPr>
          </w:p>
        </w:tc>
        <w:tc>
          <w:tcPr>
            <w:tcW w:w="364"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Cs w:val="21"/>
              </w:rPr>
            </w:pPr>
            <w:r>
              <w:rPr>
                <w:rFonts w:hint="eastAsia" w:ascii="宋体" w:hAnsi="宋体" w:cs="宋体" w:eastAsiaTheme="minorEastAsia"/>
                <w:szCs w:val="21"/>
              </w:rPr>
              <w:t>▲</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Theme="minorEastAsia"/>
                <w:kern w:val="2"/>
                <w:szCs w:val="21"/>
              </w:rPr>
            </w:pPr>
          </w:p>
        </w:tc>
        <w:tc>
          <w:tcPr>
            <w:tcW w:w="2581"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需支持不少于</w:t>
            </w:r>
            <w:r>
              <w:rPr>
                <w:rFonts w:eastAsiaTheme="minorEastAsia"/>
                <w:szCs w:val="21"/>
              </w:rPr>
              <w:t>3</w:t>
            </w:r>
            <w:r>
              <w:rPr>
                <w:rFonts w:hint="eastAsia" w:eastAsiaTheme="minorEastAsia"/>
                <w:szCs w:val="21"/>
              </w:rPr>
              <w:t>种类型终端提取</w:t>
            </w:r>
            <w:r>
              <w:rPr>
                <w:rFonts w:eastAsiaTheme="minorEastAsia"/>
                <w:szCs w:val="21"/>
              </w:rPr>
              <w:t>/</w:t>
            </w:r>
            <w:r>
              <w:rPr>
                <w:rFonts w:hint="eastAsia" w:eastAsiaTheme="minorEastAsia"/>
                <w:szCs w:val="21"/>
              </w:rPr>
              <w:t>解析功能，包括：</w:t>
            </w:r>
            <w:r>
              <w:rPr>
                <w:rFonts w:eastAsiaTheme="minorEastAsia"/>
                <w:szCs w:val="21"/>
              </w:rPr>
              <w:t>1</w:t>
            </w:r>
            <w:r>
              <w:rPr>
                <w:rFonts w:hint="eastAsia" w:eastAsiaTheme="minorEastAsia"/>
                <w:szCs w:val="21"/>
              </w:rPr>
              <w:t>）支持美版等外版三星手机的高级备份提取，支持三星手机显示地区版本；</w:t>
            </w:r>
            <w:r>
              <w:rPr>
                <w:rFonts w:eastAsiaTheme="minorEastAsia"/>
                <w:szCs w:val="21"/>
              </w:rPr>
              <w:t>2</w:t>
            </w:r>
            <w:r>
              <w:rPr>
                <w:rFonts w:hint="eastAsia" w:eastAsiaTheme="minorEastAsia"/>
                <w:szCs w:val="21"/>
              </w:rPr>
              <w:t>）支持华为、小米、</w:t>
            </w:r>
            <w:r>
              <w:rPr>
                <w:rFonts w:eastAsiaTheme="minorEastAsia"/>
                <w:szCs w:val="21"/>
              </w:rPr>
              <w:t>oppo</w:t>
            </w:r>
            <w:r>
              <w:rPr>
                <w:rFonts w:hint="eastAsia" w:eastAsiaTheme="minorEastAsia"/>
                <w:szCs w:val="21"/>
              </w:rPr>
              <w:t>、</w:t>
            </w:r>
            <w:r>
              <w:rPr>
                <w:rFonts w:eastAsiaTheme="minorEastAsia"/>
                <w:szCs w:val="21"/>
              </w:rPr>
              <w:t xml:space="preserve">vivo </w:t>
            </w:r>
            <w:r>
              <w:rPr>
                <w:rFonts w:hint="eastAsia" w:eastAsiaTheme="minorEastAsia"/>
                <w:szCs w:val="21"/>
              </w:rPr>
              <w:t>无需数据线连接设备、无需开启开发者模式、</w:t>
            </w:r>
            <w:r>
              <w:rPr>
                <w:rFonts w:eastAsiaTheme="minorEastAsia"/>
                <w:szCs w:val="21"/>
              </w:rPr>
              <w:t xml:space="preserve">usb </w:t>
            </w:r>
            <w:r>
              <w:rPr>
                <w:rFonts w:hint="eastAsia" w:eastAsiaTheme="minorEastAsia"/>
                <w:szCs w:val="21"/>
              </w:rPr>
              <w:t>调试进行无线提取实现通话记录、通讯录、短信、</w:t>
            </w:r>
            <w:r>
              <w:rPr>
                <w:rFonts w:eastAsiaTheme="minorEastAsia"/>
                <w:szCs w:val="21"/>
              </w:rPr>
              <w:t>QQ</w:t>
            </w:r>
            <w:r>
              <w:rPr>
                <w:rFonts w:hint="eastAsia" w:eastAsiaTheme="minorEastAsia"/>
                <w:szCs w:val="21"/>
              </w:rPr>
              <w:t>、微信等系统及第三方应用数据提取恢复；</w:t>
            </w:r>
            <w:r>
              <w:rPr>
                <w:rFonts w:eastAsiaTheme="minorEastAsia"/>
                <w:szCs w:val="21"/>
              </w:rPr>
              <w:t>3</w:t>
            </w:r>
            <w:r>
              <w:rPr>
                <w:rFonts w:hint="eastAsia" w:eastAsiaTheme="minorEastAsia"/>
                <w:szCs w:val="21"/>
              </w:rPr>
              <w:t>）支持</w:t>
            </w:r>
            <w:r>
              <w:rPr>
                <w:rFonts w:eastAsiaTheme="minorEastAsia"/>
                <w:szCs w:val="21"/>
              </w:rPr>
              <w:t xml:space="preserve"> Android </w:t>
            </w:r>
            <w:r>
              <w:rPr>
                <w:rFonts w:hint="eastAsia" w:eastAsiaTheme="minorEastAsia"/>
                <w:szCs w:val="21"/>
              </w:rPr>
              <w:t>设备临时提权进行高级</w:t>
            </w:r>
            <w:r>
              <w:rPr>
                <w:rFonts w:eastAsiaTheme="minorEastAsia"/>
                <w:szCs w:val="21"/>
              </w:rPr>
              <w:t xml:space="preserve"> ADB </w:t>
            </w:r>
            <w:r>
              <w:rPr>
                <w:rFonts w:hint="eastAsia" w:eastAsiaTheme="minorEastAsia"/>
                <w:szCs w:val="21"/>
              </w:rPr>
              <w:t>镜像</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atLeast"/>
          <w:jc w:val="center"/>
        </w:trPr>
        <w:tc>
          <w:tcPr>
            <w:tcW w:w="62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88"/>
              </w:numPr>
              <w:spacing w:line="360" w:lineRule="auto"/>
              <w:jc w:val="both"/>
              <w:rPr>
                <w:rFonts w:eastAsiaTheme="minorEastAsia"/>
                <w:szCs w:val="21"/>
              </w:rPr>
            </w:pPr>
          </w:p>
        </w:tc>
        <w:tc>
          <w:tcPr>
            <w:tcW w:w="364"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Cs w:val="21"/>
              </w:rPr>
            </w:pPr>
          </w:p>
        </w:tc>
        <w:tc>
          <w:tcPr>
            <w:tcW w:w="550" w:type="pct"/>
            <w:tcBorders>
              <w:top w:val="single" w:color="auto" w:sz="4" w:space="0"/>
              <w:left w:val="single" w:color="auto" w:sz="4" w:space="0"/>
              <w:bottom w:val="single" w:color="auto" w:sz="4" w:space="0"/>
              <w:right w:val="single" w:color="auto" w:sz="4" w:space="0"/>
            </w:tcBorders>
            <w:vAlign w:val="center"/>
          </w:tcPr>
          <w:p>
            <w:pPr>
              <w:rPr>
                <w:rFonts w:ascii="宋体" w:hAnsi="宋体" w:eastAsiaTheme="minorEastAsia"/>
                <w:szCs w:val="21"/>
              </w:rPr>
            </w:pPr>
            <w:r>
              <w:rPr>
                <w:rFonts w:hint="eastAsia" w:ascii="宋体" w:hAnsi="宋体" w:eastAsiaTheme="minorEastAsia"/>
                <w:szCs w:val="21"/>
              </w:rPr>
              <w:t>多语言支持模块</w:t>
            </w:r>
          </w:p>
        </w:tc>
        <w:tc>
          <w:tcPr>
            <w:tcW w:w="2581" w:type="pct"/>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szCs w:val="21"/>
              </w:rPr>
            </w:pPr>
            <w:r>
              <w:rPr>
                <w:rFonts w:hint="eastAsia" w:eastAsiaTheme="minorEastAsia"/>
                <w:szCs w:val="21"/>
              </w:rPr>
              <w:t>支持联网状态下对即时通讯内容的维文转汉文翻译、语音转文字等功能</w:t>
            </w:r>
          </w:p>
          <w:p>
            <w:pPr>
              <w:rPr>
                <w:rFonts w:eastAsiaTheme="minorEastAsia"/>
                <w:szCs w:val="21"/>
              </w:rPr>
            </w:pPr>
            <w:r>
              <w:rPr>
                <w:rFonts w:hint="eastAsia" w:eastAsiaTheme="minorEastAsia"/>
                <w:szCs w:val="21"/>
              </w:rPr>
              <w:t>支持对即时通讯中的语音进行转换，包括不限于将维文转化成汉文、语音转文字等</w:t>
            </w:r>
          </w:p>
        </w:tc>
        <w:tc>
          <w:tcPr>
            <w:tcW w:w="883" w:type="pct"/>
            <w:tcBorders>
              <w:top w:val="single" w:color="auto" w:sz="4" w:space="0"/>
              <w:left w:val="single" w:color="auto" w:sz="4" w:space="0"/>
              <w:bottom w:val="single" w:color="auto" w:sz="4" w:space="0"/>
              <w:right w:val="single" w:color="auto" w:sz="4" w:space="0"/>
            </w:tcBorders>
            <w:vAlign w:val="center"/>
          </w:tcPr>
          <w:p>
            <w:pPr>
              <w:rPr>
                <w:rFonts w:ascii="宋体" w:hAnsi="宋体" w:eastAsiaTheme="minorEastAsia"/>
                <w:szCs w:val="21"/>
              </w:rPr>
            </w:pPr>
            <w:r>
              <w:rPr>
                <w:rFonts w:hint="eastAsia" w:ascii="宋体" w:hAnsi="宋体" w:eastAsiaTheme="minorEastAsia"/>
                <w:szCs w:val="21"/>
              </w:rPr>
              <w:t>功能截图</w:t>
            </w:r>
          </w:p>
        </w:tc>
      </w:tr>
    </w:tbl>
    <w:p>
      <w:pPr>
        <w:rPr>
          <w:rFonts w:asciiTheme="minorEastAsia" w:hAnsiTheme="minorEastAsia" w:eastAsiaTheme="minorEastAsia" w:cstheme="minorEastAsia"/>
          <w:szCs w:val="21"/>
        </w:rPr>
      </w:pPr>
    </w:p>
    <w:p>
      <w:pPr>
        <w:pStyle w:val="5"/>
        <w:spacing w:before="15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w:t>
      </w:r>
      <w:r>
        <w:rPr>
          <w:rFonts w:asciiTheme="minorEastAsia" w:hAnsiTheme="minorEastAsia" w:eastAsiaTheme="minorEastAsia" w:cstheme="minorEastAsia"/>
          <w:szCs w:val="21"/>
        </w:rPr>
        <w:t>4</w:t>
      </w:r>
      <w:r>
        <w:rPr>
          <w:rFonts w:hint="eastAsia" w:asciiTheme="minorEastAsia" w:hAnsiTheme="minorEastAsia" w:eastAsiaTheme="minorEastAsia" w:cstheme="minorEastAsia"/>
          <w:szCs w:val="21"/>
        </w:rPr>
        <w:t>包介质取证塔</w:t>
      </w:r>
      <w:r>
        <w:rPr>
          <w:rFonts w:hint="default" w:ascii="Times New Roman" w:hAnsi="Times New Roman" w:cs="Times New Roman" w:eastAsiaTheme="minorEastAsia"/>
          <w:szCs w:val="21"/>
        </w:rPr>
        <w:t>Ⅳ</w:t>
      </w:r>
    </w:p>
    <w:tbl>
      <w:tblPr>
        <w:tblStyle w:val="81"/>
        <w:tblW w:w="465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1"/>
        <w:gridCol w:w="614"/>
        <w:gridCol w:w="928"/>
        <w:gridCol w:w="4356"/>
        <w:gridCol w:w="14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3" w:type="pct"/>
            <w:tcBorders>
              <w:top w:val="single" w:color="auto" w:sz="4" w:space="0"/>
              <w:left w:val="single" w:color="auto" w:sz="4" w:space="0"/>
              <w:bottom w:val="single" w:color="auto" w:sz="4" w:space="0"/>
              <w:right w:val="single" w:color="auto" w:sz="4" w:space="0"/>
            </w:tcBorders>
            <w:vAlign w:val="center"/>
          </w:tcPr>
          <w:p>
            <w:pPr>
              <w:spacing w:line="360" w:lineRule="auto"/>
              <w:ind w:left="562"/>
              <w:rPr>
                <w:rFonts w:eastAsiaTheme="minorEastAsia"/>
                <w:szCs w:val="21"/>
              </w:rPr>
            </w:pPr>
            <w:r>
              <w:rPr>
                <w:rFonts w:hint="eastAsia" w:ascii="宋体" w:hAnsi="宋体" w:eastAsiaTheme="minorEastAsia"/>
                <w:b/>
                <w:szCs w:val="21"/>
              </w:rPr>
              <w:t>序号</w:t>
            </w:r>
          </w:p>
        </w:tc>
        <w:tc>
          <w:tcPr>
            <w:tcW w:w="364"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Theme="minorEastAsia"/>
                <w:szCs w:val="21"/>
              </w:rPr>
            </w:pPr>
            <w:r>
              <w:rPr>
                <w:rFonts w:hint="eastAsia" w:ascii="宋体" w:hAnsi="宋体" w:eastAsiaTheme="minorEastAsia"/>
                <w:b/>
                <w:szCs w:val="21"/>
              </w:rPr>
              <w:t>重要性</w:t>
            </w:r>
          </w:p>
        </w:tc>
        <w:tc>
          <w:tcPr>
            <w:tcW w:w="550" w:type="pct"/>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szCs w:val="21"/>
              </w:rPr>
            </w:pPr>
            <w:r>
              <w:rPr>
                <w:rFonts w:hint="eastAsia" w:ascii="宋体" w:hAnsi="宋体" w:eastAsiaTheme="minorEastAsia"/>
                <w:b/>
                <w:szCs w:val="21"/>
              </w:rPr>
              <w:t>指标项</w:t>
            </w:r>
          </w:p>
        </w:tc>
        <w:tc>
          <w:tcPr>
            <w:tcW w:w="2581" w:type="pct"/>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napToGrid w:val="0"/>
              <w:textAlignment w:val="center"/>
              <w:rPr>
                <w:rFonts w:eastAsiaTheme="minorEastAsia"/>
                <w:szCs w:val="21"/>
              </w:rPr>
            </w:pPr>
            <w:r>
              <w:rPr>
                <w:rFonts w:hint="eastAsia" w:ascii="宋体" w:hAnsi="宋体" w:eastAsiaTheme="minorEastAsia"/>
                <w:b/>
                <w:szCs w:val="21"/>
              </w:rPr>
              <w:t>指标要求</w:t>
            </w:r>
          </w:p>
        </w:tc>
        <w:tc>
          <w:tcPr>
            <w:tcW w:w="882" w:type="pct"/>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napToGrid w:val="0"/>
              <w:textAlignment w:val="center"/>
              <w:rPr>
                <w:rFonts w:ascii="宋体" w:hAnsi="宋体" w:eastAsiaTheme="minorEastAsia"/>
                <w:szCs w:val="21"/>
              </w:rPr>
            </w:pPr>
            <w:r>
              <w:rPr>
                <w:rFonts w:hint="eastAsia" w:ascii="宋体" w:hAnsi="宋体" w:eastAsiaTheme="minorEastAsia"/>
                <w:b/>
                <w:szCs w:val="21"/>
              </w:rPr>
              <w:t>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623"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88"/>
              </w:numPr>
              <w:spacing w:line="360" w:lineRule="auto"/>
              <w:jc w:val="both"/>
              <w:rPr>
                <w:rFonts w:eastAsiaTheme="minorEastAsia"/>
                <w:szCs w:val="21"/>
              </w:rPr>
            </w:pPr>
          </w:p>
        </w:tc>
        <w:tc>
          <w:tcPr>
            <w:tcW w:w="364"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Theme="minorEastAsia"/>
                <w:szCs w:val="21"/>
              </w:rPr>
            </w:pPr>
            <w:r>
              <w:rPr>
                <w:rFonts w:hint="eastAsia" w:ascii="宋体" w:hAnsi="宋体" w:eastAsiaTheme="minorEastAsia"/>
                <w:szCs w:val="21"/>
              </w:rPr>
              <w:t>▲</w:t>
            </w:r>
          </w:p>
        </w:tc>
        <w:tc>
          <w:tcPr>
            <w:tcW w:w="550" w:type="pct"/>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szCs w:val="21"/>
              </w:rPr>
            </w:pPr>
            <w:r>
              <w:rPr>
                <w:rFonts w:hint="eastAsia" w:eastAsiaTheme="minorEastAsia"/>
                <w:szCs w:val="21"/>
              </w:rPr>
              <w:t>硬盘复制模块</w:t>
            </w:r>
          </w:p>
        </w:tc>
        <w:tc>
          <w:tcPr>
            <w:tcW w:w="2581" w:type="pct"/>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napToGrid w:val="0"/>
              <w:textAlignment w:val="center"/>
              <w:rPr>
                <w:rFonts w:ascii="宋体" w:hAnsi="宋体" w:eastAsiaTheme="minorEastAsia"/>
                <w:color w:val="FF0000"/>
                <w:szCs w:val="21"/>
              </w:rPr>
            </w:pPr>
            <w:r>
              <w:rPr>
                <w:rFonts w:hint="eastAsia" w:eastAsiaTheme="minorEastAsia"/>
                <w:szCs w:val="21"/>
              </w:rPr>
              <w:t>支持不少于</w:t>
            </w:r>
            <w:r>
              <w:rPr>
                <w:rFonts w:eastAsiaTheme="minorEastAsia"/>
                <w:szCs w:val="21"/>
              </w:rPr>
              <w:t>2</w:t>
            </w:r>
            <w:r>
              <w:rPr>
                <w:rFonts w:hint="eastAsia" w:eastAsiaTheme="minorEastAsia"/>
                <w:szCs w:val="21"/>
              </w:rPr>
              <w:t>路硬盘同时复制；</w:t>
            </w:r>
          </w:p>
          <w:p>
            <w:pPr>
              <w:overflowPunct w:val="0"/>
              <w:autoSpaceDE w:val="0"/>
              <w:autoSpaceDN w:val="0"/>
              <w:adjustRightInd w:val="0"/>
              <w:snapToGrid w:val="0"/>
              <w:textAlignment w:val="center"/>
              <w:rPr>
                <w:rFonts w:ascii="宋体" w:hAnsi="宋体" w:eastAsiaTheme="minorEastAsia"/>
                <w:szCs w:val="21"/>
              </w:rPr>
            </w:pPr>
            <w:r>
              <w:rPr>
                <w:rFonts w:hint="eastAsia" w:eastAsiaTheme="minorEastAsia"/>
                <w:szCs w:val="21"/>
              </w:rPr>
              <w:t>支持不少于</w:t>
            </w:r>
            <w:r>
              <w:rPr>
                <w:rFonts w:eastAsiaTheme="minorEastAsia"/>
                <w:szCs w:val="21"/>
              </w:rPr>
              <w:t>4</w:t>
            </w:r>
            <w:r>
              <w:rPr>
                <w:rFonts w:hint="eastAsia" w:eastAsiaTheme="minorEastAsia"/>
                <w:szCs w:val="21"/>
              </w:rPr>
              <w:t>路硬盘只读及同时镜像；</w:t>
            </w:r>
          </w:p>
          <w:p>
            <w:pPr>
              <w:rPr>
                <w:rFonts w:ascii="宋体" w:hAnsi="宋体" w:eastAsiaTheme="minorEastAsia"/>
                <w:color w:val="FF0000"/>
                <w:szCs w:val="21"/>
              </w:rPr>
            </w:pPr>
            <w:r>
              <w:rPr>
                <w:rFonts w:eastAsiaTheme="minorEastAsia"/>
                <w:szCs w:val="21"/>
              </w:rPr>
              <w:t>SAS</w:t>
            </w:r>
            <w:r>
              <w:rPr>
                <w:rFonts w:hint="eastAsia" w:eastAsiaTheme="minorEastAsia"/>
                <w:szCs w:val="21"/>
              </w:rPr>
              <w:t>硬盘最高复制速度不低于</w:t>
            </w:r>
            <w:r>
              <w:rPr>
                <w:rFonts w:eastAsiaTheme="minorEastAsia"/>
                <w:szCs w:val="21"/>
              </w:rPr>
              <w:t>40GB/min</w:t>
            </w:r>
          </w:p>
        </w:tc>
        <w:tc>
          <w:tcPr>
            <w:tcW w:w="882" w:type="pct"/>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napToGrid w:val="0"/>
              <w:textAlignment w:val="center"/>
              <w:rPr>
                <w:rFonts w:ascii="宋体" w:hAnsi="宋体" w:eastAsiaTheme="minorEastAsia"/>
                <w:szCs w:val="21"/>
              </w:rPr>
            </w:pPr>
            <w:r>
              <w:rPr>
                <w:rFonts w:hint="eastAsia" w:ascii="宋体" w:hAnsi="宋体" w:eastAsiaTheme="minorEastAsia"/>
                <w:szCs w:val="21"/>
              </w:rPr>
              <w:t>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3"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88"/>
              </w:numPr>
              <w:spacing w:line="360" w:lineRule="auto"/>
              <w:jc w:val="both"/>
              <w:rPr>
                <w:rFonts w:eastAsiaTheme="minorEastAsia"/>
                <w:szCs w:val="21"/>
              </w:rPr>
            </w:pPr>
          </w:p>
        </w:tc>
        <w:tc>
          <w:tcPr>
            <w:tcW w:w="364"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Theme="minorEastAsia"/>
                <w:szCs w:val="21"/>
              </w:rPr>
            </w:pPr>
            <w:r>
              <w:rPr>
                <w:rFonts w:hint="eastAsia" w:eastAsiaTheme="minorEastAsia"/>
                <w:szCs w:val="21"/>
              </w:rPr>
              <w:t>★</w:t>
            </w:r>
          </w:p>
        </w:tc>
        <w:tc>
          <w:tcPr>
            <w:tcW w:w="550" w:type="pct"/>
            <w:vMerge w:val="restart"/>
            <w:tcBorders>
              <w:top w:val="single" w:color="auto" w:sz="4" w:space="0"/>
              <w:left w:val="single" w:color="auto" w:sz="4" w:space="0"/>
              <w:bottom w:val="single" w:color="auto" w:sz="4" w:space="0"/>
              <w:right w:val="single" w:color="auto" w:sz="4" w:space="0"/>
            </w:tcBorders>
            <w:vAlign w:val="center"/>
          </w:tcPr>
          <w:p>
            <w:pPr>
              <w:rPr>
                <w:rFonts w:ascii="宋体" w:hAnsi="宋体" w:eastAsiaTheme="minorEastAsia"/>
                <w:szCs w:val="21"/>
              </w:rPr>
            </w:pPr>
            <w:r>
              <w:rPr>
                <w:rFonts w:hint="eastAsia" w:ascii="宋体" w:hAnsi="宋体" w:eastAsiaTheme="minorEastAsia"/>
                <w:szCs w:val="21"/>
              </w:rPr>
              <w:t>介质仿真模块</w:t>
            </w:r>
          </w:p>
        </w:tc>
        <w:tc>
          <w:tcPr>
            <w:tcW w:w="2581" w:type="pct"/>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napToGrid w:val="0"/>
              <w:textAlignment w:val="center"/>
              <w:rPr>
                <w:rFonts w:asciiTheme="minorHAnsi" w:hAnsiTheme="minorHAnsi" w:eastAsiaTheme="minorEastAsia"/>
                <w:color w:val="FF0000"/>
                <w:szCs w:val="21"/>
              </w:rPr>
            </w:pPr>
            <w:r>
              <w:rPr>
                <w:rFonts w:hint="eastAsia" w:eastAsiaTheme="minorEastAsia"/>
                <w:szCs w:val="21"/>
              </w:rPr>
              <w:t>需支持不少于</w:t>
            </w:r>
            <w:r>
              <w:rPr>
                <w:rFonts w:eastAsiaTheme="minorEastAsia"/>
                <w:szCs w:val="21"/>
              </w:rPr>
              <w:t>3</w:t>
            </w:r>
            <w:r>
              <w:rPr>
                <w:rFonts w:hint="eastAsia" w:eastAsiaTheme="minorEastAsia"/>
                <w:szCs w:val="21"/>
              </w:rPr>
              <w:t>种类型镜像仿真功能，包括：</w:t>
            </w:r>
            <w:r>
              <w:rPr>
                <w:rFonts w:eastAsiaTheme="minorEastAsia"/>
                <w:szCs w:val="21"/>
              </w:rPr>
              <w:t>1</w:t>
            </w:r>
            <w:r>
              <w:rPr>
                <w:rFonts w:hint="eastAsia" w:eastAsiaTheme="minorEastAsia"/>
                <w:szCs w:val="21"/>
              </w:rPr>
              <w:t>）</w:t>
            </w:r>
            <w:r>
              <w:rPr>
                <w:rFonts w:eastAsiaTheme="minorEastAsia"/>
                <w:szCs w:val="21"/>
              </w:rPr>
              <w:t xml:space="preserve">Windows </w:t>
            </w:r>
            <w:r>
              <w:rPr>
                <w:rFonts w:hint="eastAsia" w:eastAsiaTheme="minorEastAsia"/>
                <w:szCs w:val="21"/>
              </w:rPr>
              <w:t>域账户和微软在线账户登录密码清除；</w:t>
            </w:r>
            <w:r>
              <w:rPr>
                <w:rFonts w:eastAsiaTheme="minorEastAsia"/>
                <w:szCs w:val="21"/>
              </w:rPr>
              <w:t>2</w:t>
            </w:r>
            <w:r>
              <w:rPr>
                <w:rFonts w:hint="eastAsia" w:eastAsiaTheme="minorEastAsia"/>
                <w:szCs w:val="21"/>
              </w:rPr>
              <w:t>）可选为</w:t>
            </w:r>
            <w:r>
              <w:rPr>
                <w:rFonts w:eastAsiaTheme="minorEastAsia"/>
                <w:szCs w:val="21"/>
              </w:rPr>
              <w:t xml:space="preserve"> windows </w:t>
            </w:r>
            <w:r>
              <w:rPr>
                <w:rFonts w:hint="eastAsia" w:eastAsiaTheme="minorEastAsia"/>
                <w:szCs w:val="21"/>
              </w:rPr>
              <w:t>虚拟机安装</w:t>
            </w:r>
            <w:r>
              <w:rPr>
                <w:rFonts w:eastAsiaTheme="minorEastAsia"/>
                <w:szCs w:val="21"/>
              </w:rPr>
              <w:t xml:space="preserve"> vmtools</w:t>
            </w:r>
            <w:r>
              <w:rPr>
                <w:rFonts w:hint="eastAsia" w:eastAsiaTheme="minorEastAsia"/>
                <w:szCs w:val="21"/>
              </w:rPr>
              <w:t>，支持</w:t>
            </w:r>
            <w:r>
              <w:rPr>
                <w:rFonts w:eastAsiaTheme="minorEastAsia"/>
                <w:szCs w:val="21"/>
              </w:rPr>
              <w:t xml:space="preserve"> win7</w:t>
            </w:r>
            <w:r>
              <w:rPr>
                <w:rFonts w:hint="eastAsia" w:eastAsiaTheme="minorEastAsia"/>
                <w:szCs w:val="21"/>
              </w:rPr>
              <w:t>、</w:t>
            </w:r>
            <w:r>
              <w:rPr>
                <w:rFonts w:eastAsiaTheme="minorEastAsia"/>
                <w:szCs w:val="21"/>
              </w:rPr>
              <w:t xml:space="preserve"> win10</w:t>
            </w:r>
            <w:r>
              <w:rPr>
                <w:rFonts w:hint="eastAsia" w:eastAsiaTheme="minorEastAsia"/>
                <w:szCs w:val="21"/>
              </w:rPr>
              <w:t>、</w:t>
            </w:r>
            <w:r>
              <w:rPr>
                <w:rFonts w:eastAsiaTheme="minorEastAsia"/>
                <w:szCs w:val="21"/>
              </w:rPr>
              <w:t xml:space="preserve">win11 </w:t>
            </w:r>
            <w:r>
              <w:rPr>
                <w:rFonts w:hint="eastAsia" w:eastAsiaTheme="minorEastAsia"/>
                <w:szCs w:val="21"/>
              </w:rPr>
              <w:t>最新版本；</w:t>
            </w:r>
            <w:r>
              <w:rPr>
                <w:rFonts w:eastAsiaTheme="minorEastAsia"/>
                <w:szCs w:val="21"/>
              </w:rPr>
              <w:t>3</w:t>
            </w:r>
            <w:r>
              <w:rPr>
                <w:rFonts w:hint="eastAsia" w:eastAsiaTheme="minorEastAsia"/>
                <w:szCs w:val="21"/>
              </w:rPr>
              <w:t>）</w:t>
            </w:r>
            <w:r>
              <w:rPr>
                <w:rFonts w:eastAsiaTheme="minorEastAsia"/>
                <w:szCs w:val="21"/>
              </w:rPr>
              <w:t xml:space="preserve">Bitlocker </w:t>
            </w:r>
            <w:r>
              <w:rPr>
                <w:rFonts w:hint="eastAsia" w:eastAsiaTheme="minorEastAsia"/>
                <w:szCs w:val="21"/>
              </w:rPr>
              <w:t>加密的系统盘仿真并重置开机密码</w:t>
            </w:r>
          </w:p>
        </w:tc>
        <w:tc>
          <w:tcPr>
            <w:tcW w:w="882" w:type="pct"/>
            <w:vMerge w:val="restart"/>
            <w:tcBorders>
              <w:top w:val="single" w:color="auto" w:sz="4" w:space="0"/>
              <w:left w:val="single" w:color="auto" w:sz="4" w:space="0"/>
              <w:bottom w:val="single" w:color="auto" w:sz="4" w:space="0"/>
              <w:right w:val="single" w:color="auto" w:sz="4" w:space="0"/>
            </w:tcBorders>
            <w:vAlign w:val="center"/>
          </w:tcPr>
          <w:p>
            <w:pPr>
              <w:rPr>
                <w:rFonts w:ascii="宋体" w:hAnsi="宋体" w:eastAsiaTheme="minorEastAsia"/>
                <w:szCs w:val="21"/>
              </w:rPr>
            </w:pPr>
            <w:r>
              <w:rPr>
                <w:rFonts w:hint="eastAsia" w:ascii="宋体" w:hAnsi="宋体" w:eastAsiaTheme="minorEastAsia"/>
                <w:szCs w:val="21"/>
              </w:rPr>
              <w:t>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3"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88"/>
              </w:numPr>
              <w:spacing w:line="360" w:lineRule="auto"/>
              <w:jc w:val="both"/>
              <w:rPr>
                <w:rFonts w:eastAsiaTheme="minorEastAsia"/>
                <w:szCs w:val="21"/>
              </w:rPr>
            </w:pPr>
          </w:p>
        </w:tc>
        <w:tc>
          <w:tcPr>
            <w:tcW w:w="364"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Theme="minorEastAsia"/>
                <w:szCs w:val="21"/>
              </w:rPr>
            </w:pPr>
            <w:r>
              <w:rPr>
                <w:rFonts w:hint="eastAsia" w:ascii="宋体" w:hAnsi="宋体" w:eastAsiaTheme="minorEastAsia"/>
                <w:szCs w:val="21"/>
              </w:rPr>
              <w:t>▲</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Theme="minorEastAsia"/>
                <w:kern w:val="2"/>
                <w:szCs w:val="21"/>
              </w:rPr>
            </w:pPr>
          </w:p>
        </w:tc>
        <w:tc>
          <w:tcPr>
            <w:tcW w:w="2581" w:type="pct"/>
            <w:tcBorders>
              <w:top w:val="single" w:color="auto" w:sz="4" w:space="0"/>
              <w:left w:val="single" w:color="auto" w:sz="4" w:space="0"/>
              <w:bottom w:val="single" w:color="auto" w:sz="4" w:space="0"/>
              <w:right w:val="single" w:color="auto" w:sz="4" w:space="0"/>
            </w:tcBorders>
            <w:vAlign w:val="center"/>
          </w:tcPr>
          <w:p>
            <w:pPr>
              <w:rPr>
                <w:rFonts w:ascii="宋体" w:hAnsi="宋体" w:eastAsiaTheme="minorEastAsia"/>
                <w:szCs w:val="21"/>
              </w:rPr>
            </w:pPr>
            <w:r>
              <w:rPr>
                <w:rFonts w:hint="eastAsia" w:eastAsiaTheme="minorEastAsia"/>
                <w:szCs w:val="21"/>
              </w:rPr>
              <w:t>需支持不少于</w:t>
            </w:r>
            <w:r>
              <w:rPr>
                <w:rFonts w:eastAsiaTheme="minorEastAsia"/>
                <w:szCs w:val="21"/>
              </w:rPr>
              <w:t>5</w:t>
            </w:r>
            <w:r>
              <w:rPr>
                <w:rFonts w:hint="eastAsia" w:eastAsiaTheme="minorEastAsia"/>
                <w:szCs w:val="21"/>
              </w:rPr>
              <w:t>种类型镜像启动</w:t>
            </w:r>
            <w:r>
              <w:rPr>
                <w:rFonts w:eastAsiaTheme="minorEastAsia"/>
                <w:szCs w:val="21"/>
              </w:rPr>
              <w:t>/</w:t>
            </w:r>
            <w:r>
              <w:rPr>
                <w:rFonts w:hint="eastAsia" w:eastAsiaTheme="minorEastAsia"/>
                <w:szCs w:val="21"/>
              </w:rPr>
              <w:t>修复功能，包括：</w:t>
            </w:r>
            <w:r>
              <w:rPr>
                <w:rFonts w:eastAsiaTheme="minorEastAsia"/>
                <w:szCs w:val="21"/>
              </w:rPr>
              <w:t xml:space="preserve"> 1</w:t>
            </w:r>
            <w:r>
              <w:rPr>
                <w:rFonts w:hint="eastAsia" w:eastAsiaTheme="minorEastAsia"/>
                <w:szCs w:val="21"/>
              </w:rPr>
              <w:t>）</w:t>
            </w:r>
            <w:r>
              <w:rPr>
                <w:rFonts w:eastAsiaTheme="minorEastAsia"/>
                <w:szCs w:val="21"/>
              </w:rPr>
              <w:t>Windows</w:t>
            </w:r>
            <w:r>
              <w:rPr>
                <w:rFonts w:hint="eastAsia" w:eastAsiaTheme="minorEastAsia"/>
                <w:szCs w:val="21"/>
              </w:rPr>
              <w:t>、</w:t>
            </w:r>
            <w:r>
              <w:rPr>
                <w:rFonts w:eastAsiaTheme="minorEastAsia"/>
                <w:szCs w:val="21"/>
              </w:rPr>
              <w:t>Debian</w:t>
            </w:r>
            <w:r>
              <w:rPr>
                <w:rFonts w:hint="eastAsia" w:eastAsiaTheme="minorEastAsia"/>
                <w:szCs w:val="21"/>
              </w:rPr>
              <w:t>、</w:t>
            </w:r>
            <w:r>
              <w:rPr>
                <w:rFonts w:eastAsiaTheme="minorEastAsia"/>
                <w:szCs w:val="21"/>
              </w:rPr>
              <w:t>Ubuntu</w:t>
            </w:r>
            <w:r>
              <w:rPr>
                <w:rFonts w:hint="eastAsia" w:eastAsiaTheme="minorEastAsia"/>
                <w:szCs w:val="21"/>
              </w:rPr>
              <w:t>、</w:t>
            </w:r>
            <w:r>
              <w:rPr>
                <w:rFonts w:eastAsiaTheme="minorEastAsia"/>
                <w:szCs w:val="21"/>
              </w:rPr>
              <w:t xml:space="preserve">Centos </w:t>
            </w:r>
            <w:r>
              <w:rPr>
                <w:rFonts w:hint="eastAsia" w:eastAsiaTheme="minorEastAsia"/>
                <w:szCs w:val="21"/>
              </w:rPr>
              <w:t>等操作系统的</w:t>
            </w:r>
            <w:r>
              <w:rPr>
                <w:rFonts w:eastAsiaTheme="minorEastAsia"/>
                <w:szCs w:val="21"/>
              </w:rPr>
              <w:t xml:space="preserve"> BIOS</w:t>
            </w:r>
            <w:r>
              <w:rPr>
                <w:rFonts w:hint="eastAsia" w:eastAsiaTheme="minorEastAsia"/>
                <w:szCs w:val="21"/>
              </w:rPr>
              <w:t>启动类型的单分区镜像仿真并自动修复引导分区；</w:t>
            </w:r>
            <w:r>
              <w:rPr>
                <w:rFonts w:eastAsiaTheme="minorEastAsia"/>
                <w:szCs w:val="21"/>
              </w:rPr>
              <w:t>2</w:t>
            </w:r>
            <w:r>
              <w:rPr>
                <w:rFonts w:hint="eastAsia" w:eastAsiaTheme="minorEastAsia"/>
                <w:szCs w:val="21"/>
              </w:rPr>
              <w:t>）</w:t>
            </w:r>
            <w:r>
              <w:rPr>
                <w:rFonts w:eastAsiaTheme="minorEastAsia"/>
                <w:szCs w:val="21"/>
              </w:rPr>
              <w:t>Windows</w:t>
            </w:r>
            <w:r>
              <w:rPr>
                <w:rFonts w:hint="eastAsia" w:eastAsiaTheme="minorEastAsia"/>
                <w:szCs w:val="21"/>
              </w:rPr>
              <w:t>、</w:t>
            </w:r>
            <w:r>
              <w:rPr>
                <w:rFonts w:eastAsiaTheme="minorEastAsia"/>
                <w:szCs w:val="21"/>
              </w:rPr>
              <w:t>Debian</w:t>
            </w:r>
            <w:r>
              <w:rPr>
                <w:rFonts w:hint="eastAsia" w:eastAsiaTheme="minorEastAsia"/>
                <w:szCs w:val="21"/>
              </w:rPr>
              <w:t>、</w:t>
            </w:r>
            <w:r>
              <w:rPr>
                <w:rFonts w:eastAsiaTheme="minorEastAsia"/>
                <w:szCs w:val="21"/>
              </w:rPr>
              <w:t>Ubuntu</w:t>
            </w:r>
            <w:r>
              <w:rPr>
                <w:rFonts w:hint="eastAsia" w:eastAsiaTheme="minorEastAsia"/>
                <w:szCs w:val="21"/>
              </w:rPr>
              <w:t>、</w:t>
            </w:r>
            <w:r>
              <w:rPr>
                <w:rFonts w:eastAsiaTheme="minorEastAsia"/>
                <w:szCs w:val="21"/>
              </w:rPr>
              <w:t xml:space="preserve">macOS </w:t>
            </w:r>
            <w:r>
              <w:rPr>
                <w:rFonts w:hint="eastAsia" w:eastAsiaTheme="minorEastAsia"/>
                <w:szCs w:val="21"/>
              </w:rPr>
              <w:t>等操作系统的</w:t>
            </w:r>
            <w:r>
              <w:rPr>
                <w:rFonts w:eastAsiaTheme="minorEastAsia"/>
                <w:szCs w:val="21"/>
              </w:rPr>
              <w:t xml:space="preserve"> UEFI </w:t>
            </w:r>
            <w:r>
              <w:rPr>
                <w:rFonts w:hint="eastAsia" w:eastAsiaTheme="minorEastAsia"/>
                <w:szCs w:val="21"/>
              </w:rPr>
              <w:t>启动类型的单分区镜像仿真，并自动修复引导分区；</w:t>
            </w:r>
            <w:r>
              <w:rPr>
                <w:rFonts w:eastAsiaTheme="minorEastAsia"/>
                <w:szCs w:val="21"/>
              </w:rPr>
              <w:t>3</w:t>
            </w:r>
            <w:r>
              <w:rPr>
                <w:rFonts w:hint="eastAsia" w:eastAsiaTheme="minorEastAsia"/>
                <w:szCs w:val="21"/>
              </w:rPr>
              <w:t>）</w:t>
            </w:r>
            <w:r>
              <w:rPr>
                <w:rFonts w:eastAsiaTheme="minorEastAsia"/>
                <w:szCs w:val="21"/>
              </w:rPr>
              <w:t xml:space="preserve">Parallels Desktop </w:t>
            </w:r>
            <w:r>
              <w:rPr>
                <w:rFonts w:hint="eastAsia" w:eastAsiaTheme="minorEastAsia"/>
                <w:szCs w:val="21"/>
              </w:rPr>
              <w:t>虚拟机磁盘的仿真，且支持差分快照；</w:t>
            </w:r>
            <w:r>
              <w:rPr>
                <w:rFonts w:eastAsiaTheme="minorEastAsia"/>
                <w:szCs w:val="21"/>
              </w:rPr>
              <w:t>4</w:t>
            </w:r>
            <w:r>
              <w:rPr>
                <w:rFonts w:hint="eastAsia" w:eastAsiaTheme="minorEastAsia"/>
                <w:szCs w:val="21"/>
              </w:rPr>
              <w:t>）</w:t>
            </w:r>
            <w:r>
              <w:rPr>
                <w:rFonts w:eastAsiaTheme="minorEastAsia"/>
                <w:szCs w:val="21"/>
              </w:rPr>
              <w:t xml:space="preserve">intel+T2 </w:t>
            </w:r>
            <w:r>
              <w:rPr>
                <w:rFonts w:hint="eastAsia" w:eastAsiaTheme="minorEastAsia"/>
                <w:szCs w:val="21"/>
              </w:rPr>
              <w:t>芯片的</w:t>
            </w:r>
            <w:r>
              <w:rPr>
                <w:rFonts w:eastAsiaTheme="minorEastAsia"/>
                <w:szCs w:val="21"/>
              </w:rPr>
              <w:t xml:space="preserve"> macOS </w:t>
            </w:r>
            <w:r>
              <w:rPr>
                <w:rFonts w:hint="eastAsia" w:eastAsiaTheme="minorEastAsia"/>
                <w:szCs w:val="21"/>
              </w:rPr>
              <w:t>脱密镜像的仿真，</w:t>
            </w:r>
            <w:r>
              <w:rPr>
                <w:rFonts w:eastAsiaTheme="minorEastAsia"/>
                <w:szCs w:val="21"/>
              </w:rPr>
              <w:t xml:space="preserve">macOS 4K </w:t>
            </w:r>
            <w:r>
              <w:rPr>
                <w:rFonts w:hint="eastAsia" w:eastAsiaTheme="minorEastAsia"/>
                <w:szCs w:val="21"/>
              </w:rPr>
              <w:t>扇区的仿真；</w:t>
            </w:r>
            <w:r>
              <w:rPr>
                <w:rFonts w:eastAsiaTheme="minorEastAsia"/>
                <w:szCs w:val="21"/>
              </w:rPr>
              <w:t>5</w:t>
            </w:r>
            <w:r>
              <w:rPr>
                <w:rFonts w:hint="eastAsia" w:eastAsiaTheme="minorEastAsia"/>
                <w:szCs w:val="21"/>
              </w:rPr>
              <w:t>）自动检测</w:t>
            </w:r>
            <w:r>
              <w:rPr>
                <w:rFonts w:eastAsiaTheme="minorEastAsia"/>
                <w:szCs w:val="21"/>
              </w:rPr>
              <w:t xml:space="preserve"> Windows </w:t>
            </w:r>
            <w:r>
              <w:rPr>
                <w:rFonts w:hint="eastAsia" w:eastAsiaTheme="minorEastAsia"/>
                <w:szCs w:val="21"/>
              </w:rPr>
              <w:t>账户密码（常用密码可直接显示明文）</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3"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88"/>
              </w:numPr>
              <w:spacing w:line="360" w:lineRule="auto"/>
              <w:jc w:val="both"/>
              <w:rPr>
                <w:rFonts w:eastAsiaTheme="minorEastAsia"/>
                <w:szCs w:val="21"/>
              </w:rPr>
            </w:pPr>
          </w:p>
        </w:tc>
        <w:tc>
          <w:tcPr>
            <w:tcW w:w="364"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Cs w:val="21"/>
              </w:rPr>
            </w:pPr>
            <w:r>
              <w:rPr>
                <w:rFonts w:hint="eastAsia" w:eastAsiaTheme="minorEastAsia"/>
                <w:szCs w:val="21"/>
              </w:rPr>
              <w:t>★</w:t>
            </w:r>
          </w:p>
        </w:tc>
        <w:tc>
          <w:tcPr>
            <w:tcW w:w="550" w:type="pct"/>
            <w:vMerge w:val="restart"/>
            <w:tcBorders>
              <w:top w:val="single" w:color="auto" w:sz="4" w:space="0"/>
              <w:left w:val="single" w:color="auto" w:sz="4" w:space="0"/>
              <w:bottom w:val="single" w:color="auto" w:sz="4" w:space="0"/>
              <w:right w:val="single" w:color="auto" w:sz="4" w:space="0"/>
            </w:tcBorders>
            <w:vAlign w:val="center"/>
          </w:tcPr>
          <w:p>
            <w:pPr>
              <w:rPr>
                <w:rFonts w:ascii="宋体" w:hAnsi="宋体" w:eastAsiaTheme="minorEastAsia"/>
                <w:szCs w:val="21"/>
              </w:rPr>
            </w:pPr>
            <w:r>
              <w:rPr>
                <w:rFonts w:hint="eastAsia" w:ascii="宋体" w:hAnsi="宋体" w:eastAsiaTheme="minorEastAsia"/>
                <w:szCs w:val="21"/>
              </w:rPr>
              <w:t>介质分析模块</w:t>
            </w:r>
          </w:p>
        </w:tc>
        <w:tc>
          <w:tcPr>
            <w:tcW w:w="2581" w:type="pct"/>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szCs w:val="21"/>
              </w:rPr>
            </w:pPr>
            <w:r>
              <w:rPr>
                <w:rFonts w:hint="eastAsia" w:eastAsiaTheme="minorEastAsia"/>
                <w:szCs w:val="21"/>
              </w:rPr>
              <w:t>需支持不少于</w:t>
            </w:r>
            <w:r>
              <w:rPr>
                <w:rFonts w:eastAsiaTheme="minorEastAsia"/>
                <w:szCs w:val="21"/>
              </w:rPr>
              <w:t>3</w:t>
            </w:r>
            <w:r>
              <w:rPr>
                <w:rFonts w:hint="eastAsia" w:eastAsiaTheme="minorEastAsia"/>
                <w:szCs w:val="21"/>
              </w:rPr>
              <w:t>种类型介质解析功能，包括：</w:t>
            </w:r>
            <w:r>
              <w:rPr>
                <w:rFonts w:eastAsiaTheme="minorEastAsia"/>
                <w:szCs w:val="21"/>
              </w:rPr>
              <w:t>1</w:t>
            </w:r>
            <w:r>
              <w:rPr>
                <w:rFonts w:hint="eastAsia" w:eastAsiaTheme="minorEastAsia"/>
                <w:szCs w:val="21"/>
              </w:rPr>
              <w:t>）支持</w:t>
            </w:r>
            <w:r>
              <w:rPr>
                <w:rFonts w:eastAsiaTheme="minorEastAsia"/>
                <w:szCs w:val="21"/>
              </w:rPr>
              <w:t xml:space="preserve"> Xftp</w:t>
            </w:r>
            <w:r>
              <w:rPr>
                <w:rFonts w:hint="eastAsia" w:eastAsiaTheme="minorEastAsia"/>
                <w:szCs w:val="21"/>
              </w:rPr>
              <w:t>、</w:t>
            </w:r>
            <w:r>
              <w:rPr>
                <w:rFonts w:eastAsiaTheme="minorEastAsia"/>
                <w:szCs w:val="21"/>
              </w:rPr>
              <w:t xml:space="preserve">Xshell </w:t>
            </w:r>
            <w:r>
              <w:rPr>
                <w:rFonts w:hint="eastAsia" w:eastAsiaTheme="minorEastAsia"/>
                <w:szCs w:val="21"/>
              </w:rPr>
              <w:t>用户密钥等解析；</w:t>
            </w:r>
            <w:r>
              <w:rPr>
                <w:rFonts w:eastAsiaTheme="minorEastAsia"/>
                <w:szCs w:val="21"/>
              </w:rPr>
              <w:t>2</w:t>
            </w:r>
            <w:r>
              <w:rPr>
                <w:rFonts w:hint="eastAsia" w:eastAsiaTheme="minorEastAsia"/>
                <w:szCs w:val="21"/>
              </w:rPr>
              <w:t>）解析</w:t>
            </w:r>
            <w:r>
              <w:rPr>
                <w:rFonts w:eastAsiaTheme="minorEastAsia"/>
                <w:szCs w:val="21"/>
              </w:rPr>
              <w:t xml:space="preserve"> skype</w:t>
            </w:r>
            <w:r>
              <w:rPr>
                <w:rFonts w:hint="eastAsia" w:eastAsiaTheme="minorEastAsia"/>
                <w:szCs w:val="21"/>
              </w:rPr>
              <w:t>、</w:t>
            </w:r>
            <w:r>
              <w:rPr>
                <w:rFonts w:eastAsiaTheme="minorEastAsia"/>
                <w:szCs w:val="21"/>
              </w:rPr>
              <w:t>telegram</w:t>
            </w:r>
            <w:r>
              <w:rPr>
                <w:rFonts w:hint="eastAsia" w:eastAsiaTheme="minorEastAsia"/>
                <w:szCs w:val="21"/>
              </w:rPr>
              <w:t>、百度网盘等应用凭证并支持与云取证工具联动固定云数据；</w:t>
            </w:r>
            <w:r>
              <w:rPr>
                <w:rFonts w:eastAsiaTheme="minorEastAsia"/>
                <w:szCs w:val="21"/>
              </w:rPr>
              <w:t>3</w:t>
            </w:r>
            <w:r>
              <w:rPr>
                <w:rFonts w:hint="eastAsia" w:eastAsiaTheme="minorEastAsia"/>
                <w:szCs w:val="21"/>
              </w:rPr>
              <w:t>）支持内置数据库取证工具（支持</w:t>
            </w:r>
            <w:r>
              <w:rPr>
                <w:rFonts w:eastAsiaTheme="minorEastAsia"/>
                <w:szCs w:val="21"/>
              </w:rPr>
              <w:t xml:space="preserve"> Mysql &amp; qp </w:t>
            </w:r>
            <w:r>
              <w:rPr>
                <w:rFonts w:hint="eastAsia" w:eastAsiaTheme="minorEastAsia"/>
                <w:szCs w:val="21"/>
              </w:rPr>
              <w:t>文件解析、数据预览），无需在本地搭建</w:t>
            </w:r>
            <w:r>
              <w:rPr>
                <w:rFonts w:eastAsiaTheme="minorEastAsia"/>
                <w:szCs w:val="21"/>
              </w:rPr>
              <w:t xml:space="preserve"> Mysql </w:t>
            </w:r>
            <w:r>
              <w:rPr>
                <w:rFonts w:hint="eastAsia" w:eastAsiaTheme="minorEastAsia"/>
                <w:szCs w:val="21"/>
              </w:rPr>
              <w:t>环境即可直接查看数据库结构，对数据库进行表恢复、解析预览</w:t>
            </w:r>
          </w:p>
        </w:tc>
        <w:tc>
          <w:tcPr>
            <w:tcW w:w="882" w:type="pct"/>
            <w:vMerge w:val="restart"/>
            <w:tcBorders>
              <w:top w:val="single" w:color="auto" w:sz="4" w:space="0"/>
              <w:left w:val="single" w:color="auto" w:sz="4" w:space="0"/>
              <w:bottom w:val="single" w:color="auto" w:sz="4" w:space="0"/>
              <w:right w:val="single" w:color="auto" w:sz="4" w:space="0"/>
            </w:tcBorders>
            <w:vAlign w:val="center"/>
          </w:tcPr>
          <w:p>
            <w:pPr>
              <w:rPr>
                <w:rFonts w:ascii="宋体" w:hAnsi="宋体" w:eastAsiaTheme="minorEastAsia"/>
                <w:szCs w:val="21"/>
              </w:rPr>
            </w:pPr>
            <w:r>
              <w:rPr>
                <w:rFonts w:hint="eastAsia" w:ascii="宋体" w:hAnsi="宋体" w:eastAsiaTheme="minorEastAsia"/>
                <w:szCs w:val="21"/>
              </w:rPr>
              <w:t>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3"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88"/>
              </w:numPr>
              <w:spacing w:line="360" w:lineRule="auto"/>
              <w:jc w:val="both"/>
              <w:rPr>
                <w:rFonts w:eastAsiaTheme="minorEastAsia"/>
                <w:szCs w:val="21"/>
              </w:rPr>
            </w:pPr>
          </w:p>
        </w:tc>
        <w:tc>
          <w:tcPr>
            <w:tcW w:w="364"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Cs w:val="21"/>
              </w:rPr>
            </w:pPr>
            <w:r>
              <w:rPr>
                <w:rFonts w:hint="eastAsia" w:ascii="宋体" w:hAnsi="宋体" w:eastAsiaTheme="minorEastAsia"/>
                <w:szCs w:val="21"/>
              </w:rPr>
              <w:t>▲</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Theme="minorEastAsia"/>
                <w:kern w:val="2"/>
                <w:szCs w:val="21"/>
              </w:rPr>
            </w:pPr>
          </w:p>
        </w:tc>
        <w:tc>
          <w:tcPr>
            <w:tcW w:w="2581"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需支持不少于</w:t>
            </w:r>
            <w:r>
              <w:rPr>
                <w:rFonts w:eastAsiaTheme="minorEastAsia"/>
                <w:szCs w:val="21"/>
              </w:rPr>
              <w:t>3</w:t>
            </w:r>
            <w:r>
              <w:rPr>
                <w:rFonts w:hint="eastAsia" w:eastAsiaTheme="minorEastAsia"/>
                <w:szCs w:val="21"/>
              </w:rPr>
              <w:t>种类型镜像</w:t>
            </w:r>
            <w:r>
              <w:rPr>
                <w:rFonts w:eastAsiaTheme="minorEastAsia"/>
                <w:szCs w:val="21"/>
              </w:rPr>
              <w:t>/</w:t>
            </w:r>
            <w:r>
              <w:rPr>
                <w:rFonts w:hint="eastAsia" w:eastAsiaTheme="minorEastAsia"/>
                <w:szCs w:val="21"/>
              </w:rPr>
              <w:t>备份分析功能，包括：</w:t>
            </w:r>
            <w:r>
              <w:rPr>
                <w:rFonts w:eastAsiaTheme="minorEastAsia"/>
                <w:szCs w:val="21"/>
              </w:rPr>
              <w:t>1</w:t>
            </w:r>
            <w:r>
              <w:rPr>
                <w:rFonts w:hint="eastAsia" w:eastAsiaTheme="minorEastAsia"/>
                <w:szCs w:val="21"/>
              </w:rPr>
              <w:t>）</w:t>
            </w:r>
            <w:r>
              <w:rPr>
                <w:rFonts w:eastAsiaTheme="minorEastAsia"/>
                <w:szCs w:val="21"/>
              </w:rPr>
              <w:t xml:space="preserve">APFS </w:t>
            </w:r>
            <w:r>
              <w:rPr>
                <w:rFonts w:hint="eastAsia" w:eastAsiaTheme="minorEastAsia"/>
                <w:szCs w:val="21"/>
              </w:rPr>
              <w:t>解密加载分析；支持</w:t>
            </w:r>
            <w:r>
              <w:rPr>
                <w:rFonts w:eastAsiaTheme="minorEastAsia"/>
                <w:szCs w:val="21"/>
              </w:rPr>
              <w:t xml:space="preserve"> M1 </w:t>
            </w:r>
            <w:r>
              <w:rPr>
                <w:rFonts w:hint="eastAsia" w:eastAsiaTheme="minorEastAsia"/>
                <w:szCs w:val="21"/>
              </w:rPr>
              <w:t>和</w:t>
            </w:r>
            <w:r>
              <w:rPr>
                <w:rFonts w:eastAsiaTheme="minorEastAsia"/>
                <w:szCs w:val="21"/>
              </w:rPr>
              <w:t xml:space="preserve"> M2 </w:t>
            </w:r>
            <w:r>
              <w:rPr>
                <w:rFonts w:hint="eastAsia" w:eastAsiaTheme="minorEastAsia"/>
                <w:szCs w:val="21"/>
              </w:rPr>
              <w:t>芯片</w:t>
            </w:r>
            <w:r>
              <w:rPr>
                <w:rFonts w:eastAsiaTheme="minorEastAsia"/>
                <w:szCs w:val="21"/>
              </w:rPr>
              <w:t xml:space="preserve"> macOS </w:t>
            </w:r>
            <w:r>
              <w:rPr>
                <w:rFonts w:hint="eastAsia" w:eastAsiaTheme="minorEastAsia"/>
                <w:szCs w:val="21"/>
              </w:rPr>
              <w:t>通过时间机器制作的备份解析；</w:t>
            </w:r>
            <w:r>
              <w:rPr>
                <w:rFonts w:eastAsiaTheme="minorEastAsia"/>
                <w:szCs w:val="21"/>
              </w:rPr>
              <w:t>2</w:t>
            </w:r>
            <w:r>
              <w:rPr>
                <w:rFonts w:hint="eastAsia" w:eastAsiaTheme="minorEastAsia"/>
                <w:szCs w:val="21"/>
              </w:rPr>
              <w:t>）支持</w:t>
            </w:r>
            <w:r>
              <w:rPr>
                <w:rFonts w:eastAsiaTheme="minorEastAsia"/>
                <w:szCs w:val="21"/>
              </w:rPr>
              <w:t xml:space="preserve"> VHD</w:t>
            </w:r>
            <w:r>
              <w:rPr>
                <w:rFonts w:hint="eastAsia" w:eastAsiaTheme="minorEastAsia"/>
                <w:szCs w:val="21"/>
              </w:rPr>
              <w:t>、</w:t>
            </w:r>
            <w:r>
              <w:rPr>
                <w:rFonts w:eastAsiaTheme="minorEastAsia"/>
                <w:szCs w:val="21"/>
              </w:rPr>
              <w:t>VHDX</w:t>
            </w:r>
            <w:r>
              <w:rPr>
                <w:rFonts w:hint="eastAsia" w:eastAsiaTheme="minorEastAsia"/>
                <w:szCs w:val="21"/>
              </w:rPr>
              <w:t>、</w:t>
            </w:r>
            <w:r>
              <w:rPr>
                <w:rFonts w:eastAsiaTheme="minorEastAsia"/>
                <w:szCs w:val="21"/>
              </w:rPr>
              <w:t>VMDK</w:t>
            </w:r>
            <w:r>
              <w:rPr>
                <w:rFonts w:hint="eastAsia" w:eastAsiaTheme="minorEastAsia"/>
                <w:szCs w:val="21"/>
              </w:rPr>
              <w:t>、</w:t>
            </w:r>
            <w:r>
              <w:rPr>
                <w:rFonts w:eastAsiaTheme="minorEastAsia"/>
                <w:szCs w:val="21"/>
              </w:rPr>
              <w:t>VDI</w:t>
            </w:r>
            <w:r>
              <w:rPr>
                <w:rFonts w:hint="eastAsia" w:eastAsiaTheme="minorEastAsia"/>
                <w:szCs w:val="21"/>
              </w:rPr>
              <w:t>、</w:t>
            </w:r>
            <w:r>
              <w:rPr>
                <w:rFonts w:eastAsiaTheme="minorEastAsia"/>
                <w:szCs w:val="21"/>
              </w:rPr>
              <w:t>QCOW2</w:t>
            </w:r>
            <w:r>
              <w:rPr>
                <w:rFonts w:hint="eastAsia" w:eastAsiaTheme="minorEastAsia"/>
                <w:szCs w:val="21"/>
              </w:rPr>
              <w:t>、</w:t>
            </w:r>
            <w:r>
              <w:rPr>
                <w:rFonts w:eastAsiaTheme="minorEastAsia"/>
                <w:szCs w:val="21"/>
              </w:rPr>
              <w:t xml:space="preserve">RAW </w:t>
            </w:r>
            <w:r>
              <w:rPr>
                <w:rFonts w:hint="eastAsia" w:eastAsiaTheme="minorEastAsia"/>
                <w:szCs w:val="21"/>
              </w:rPr>
              <w:t>等镜像解析；</w:t>
            </w:r>
            <w:r>
              <w:rPr>
                <w:rFonts w:eastAsiaTheme="minorEastAsia"/>
                <w:szCs w:val="21"/>
              </w:rPr>
              <w:t>3</w:t>
            </w:r>
            <w:r>
              <w:rPr>
                <w:rFonts w:hint="eastAsia" w:eastAsiaTheme="minorEastAsia"/>
                <w:szCs w:val="21"/>
              </w:rPr>
              <w:t>）支持证据嵌套识别，可识别</w:t>
            </w:r>
            <w:r>
              <w:rPr>
                <w:rFonts w:eastAsiaTheme="minorEastAsia"/>
                <w:szCs w:val="21"/>
              </w:rPr>
              <w:t xml:space="preserve"> iOS </w:t>
            </w:r>
            <w:r>
              <w:rPr>
                <w:rFonts w:hint="eastAsia" w:eastAsiaTheme="minorEastAsia"/>
                <w:szCs w:val="21"/>
              </w:rPr>
              <w:t>备份、</w:t>
            </w:r>
            <w:r>
              <w:rPr>
                <w:rFonts w:eastAsiaTheme="minorEastAsia"/>
                <w:szCs w:val="21"/>
              </w:rPr>
              <w:t xml:space="preserve">Android </w:t>
            </w:r>
            <w:r>
              <w:rPr>
                <w:rFonts w:hint="eastAsia" w:eastAsiaTheme="minorEastAsia"/>
                <w:szCs w:val="21"/>
              </w:rPr>
              <w:t>备份、</w:t>
            </w:r>
            <w:r>
              <w:rPr>
                <w:rFonts w:eastAsiaTheme="minorEastAsia"/>
                <w:szCs w:val="21"/>
              </w:rPr>
              <w:t>Vmware/</w:t>
            </w:r>
            <w:r>
              <w:rPr>
                <w:rFonts w:hint="eastAsia" w:eastAsiaTheme="minorEastAsia"/>
                <w:szCs w:val="21"/>
              </w:rPr>
              <w:t>等虚拟机证据，支持同一案件内嵌套证据的直接加载分析，无需导出</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3"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88"/>
              </w:numPr>
              <w:spacing w:line="360" w:lineRule="auto"/>
              <w:jc w:val="both"/>
              <w:rPr>
                <w:rFonts w:eastAsiaTheme="minorEastAsia"/>
                <w:szCs w:val="21"/>
              </w:rPr>
            </w:pPr>
          </w:p>
        </w:tc>
        <w:tc>
          <w:tcPr>
            <w:tcW w:w="364"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Theme="minorEastAsia"/>
                <w:szCs w:val="21"/>
              </w:rPr>
            </w:pPr>
            <w:r>
              <w:rPr>
                <w:rFonts w:hint="eastAsia" w:eastAsiaTheme="minorEastAsia"/>
                <w:szCs w:val="21"/>
              </w:rPr>
              <w:t>★</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Theme="minorEastAsia"/>
                <w:kern w:val="2"/>
                <w:szCs w:val="21"/>
              </w:rPr>
            </w:pPr>
          </w:p>
        </w:tc>
        <w:tc>
          <w:tcPr>
            <w:tcW w:w="2581" w:type="pct"/>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szCs w:val="21"/>
              </w:rPr>
            </w:pPr>
            <w:r>
              <w:rPr>
                <w:rFonts w:hint="eastAsia" w:eastAsiaTheme="minorEastAsia"/>
                <w:szCs w:val="21"/>
              </w:rPr>
              <w:t>支持</w:t>
            </w:r>
            <w:r>
              <w:rPr>
                <w:rFonts w:eastAsiaTheme="minorEastAsia"/>
                <w:szCs w:val="21"/>
              </w:rPr>
              <w:t xml:space="preserve"> Windows </w:t>
            </w:r>
            <w:r>
              <w:rPr>
                <w:rFonts w:hint="eastAsia" w:eastAsiaTheme="minorEastAsia"/>
                <w:szCs w:val="21"/>
              </w:rPr>
              <w:t>主流浏览器保存的用户账号、对应网站、密码解析，不少于</w:t>
            </w:r>
            <w:r>
              <w:rPr>
                <w:rFonts w:eastAsiaTheme="minorEastAsia"/>
                <w:szCs w:val="21"/>
              </w:rPr>
              <w:t>9</w:t>
            </w:r>
            <w:r>
              <w:rPr>
                <w:rFonts w:hint="eastAsia" w:eastAsiaTheme="minorEastAsia"/>
                <w:szCs w:val="21"/>
              </w:rPr>
              <w:t>种浏览器，包括：</w:t>
            </w:r>
            <w:r>
              <w:rPr>
                <w:rFonts w:eastAsiaTheme="minorEastAsia"/>
                <w:szCs w:val="21"/>
              </w:rPr>
              <w:t xml:space="preserve"> 2345 </w:t>
            </w:r>
            <w:r>
              <w:rPr>
                <w:rFonts w:hint="eastAsia" w:eastAsiaTheme="minorEastAsia"/>
                <w:szCs w:val="21"/>
              </w:rPr>
              <w:t>浏览器、搜狗浏览器、</w:t>
            </w:r>
            <w:r>
              <w:rPr>
                <w:rFonts w:eastAsiaTheme="minorEastAsia"/>
                <w:szCs w:val="21"/>
              </w:rPr>
              <w:t xml:space="preserve">Chrome </w:t>
            </w:r>
            <w:r>
              <w:rPr>
                <w:rFonts w:hint="eastAsia" w:eastAsiaTheme="minorEastAsia"/>
                <w:szCs w:val="21"/>
              </w:rPr>
              <w:t>浏览器、火狐浏览器、</w:t>
            </w:r>
            <w:r>
              <w:rPr>
                <w:rFonts w:eastAsiaTheme="minorEastAsia"/>
                <w:szCs w:val="21"/>
              </w:rPr>
              <w:t xml:space="preserve">Edge </w:t>
            </w:r>
            <w:r>
              <w:rPr>
                <w:rFonts w:hint="eastAsia" w:eastAsiaTheme="minorEastAsia"/>
                <w:szCs w:val="21"/>
              </w:rPr>
              <w:t>浏览器、</w:t>
            </w:r>
            <w:r>
              <w:rPr>
                <w:rFonts w:eastAsiaTheme="minorEastAsia"/>
                <w:szCs w:val="21"/>
              </w:rPr>
              <w:t xml:space="preserve">360 </w:t>
            </w:r>
            <w:r>
              <w:rPr>
                <w:rFonts w:hint="eastAsia" w:eastAsiaTheme="minorEastAsia"/>
                <w:szCs w:val="21"/>
              </w:rPr>
              <w:t>安全浏览器、</w:t>
            </w:r>
            <w:r>
              <w:rPr>
                <w:rFonts w:eastAsiaTheme="minorEastAsia"/>
                <w:szCs w:val="21"/>
              </w:rPr>
              <w:t xml:space="preserve">QQ </w:t>
            </w:r>
            <w:r>
              <w:rPr>
                <w:rFonts w:hint="eastAsia" w:eastAsiaTheme="minorEastAsia"/>
                <w:szCs w:val="21"/>
              </w:rPr>
              <w:t>浏览器、</w:t>
            </w:r>
            <w:r>
              <w:rPr>
                <w:rFonts w:eastAsiaTheme="minorEastAsia"/>
                <w:szCs w:val="21"/>
              </w:rPr>
              <w:t>Opera</w:t>
            </w:r>
            <w:r>
              <w:rPr>
                <w:rFonts w:hint="eastAsia" w:eastAsiaTheme="minorEastAsia"/>
                <w:szCs w:val="21"/>
              </w:rPr>
              <w:t>浏览器、双核浏览器</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4" w:hRule="atLeast"/>
          <w:jc w:val="center"/>
        </w:trPr>
        <w:tc>
          <w:tcPr>
            <w:tcW w:w="623"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88"/>
              </w:numPr>
              <w:spacing w:line="360" w:lineRule="auto"/>
              <w:jc w:val="both"/>
              <w:rPr>
                <w:rFonts w:eastAsiaTheme="minorEastAsia"/>
                <w:szCs w:val="21"/>
              </w:rPr>
            </w:pPr>
          </w:p>
        </w:tc>
        <w:tc>
          <w:tcPr>
            <w:tcW w:w="364"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Cs w:val="21"/>
              </w:rPr>
            </w:pPr>
            <w:r>
              <w:rPr>
                <w:rFonts w:hint="eastAsia" w:ascii="宋体" w:hAnsi="宋体" w:cs="宋体" w:eastAsiaTheme="minorEastAsia"/>
                <w:szCs w:val="21"/>
              </w:rPr>
              <w:t>▲</w:t>
            </w:r>
          </w:p>
        </w:tc>
        <w:tc>
          <w:tcPr>
            <w:tcW w:w="550" w:type="pct"/>
            <w:tcBorders>
              <w:top w:val="single" w:color="auto" w:sz="4" w:space="0"/>
              <w:left w:val="single" w:color="auto" w:sz="4" w:space="0"/>
              <w:bottom w:val="single" w:color="auto" w:sz="4" w:space="0"/>
              <w:right w:val="single" w:color="auto" w:sz="4" w:space="0"/>
            </w:tcBorders>
            <w:vAlign w:val="center"/>
          </w:tcPr>
          <w:p>
            <w:pPr>
              <w:rPr>
                <w:rFonts w:ascii="宋体" w:hAnsi="宋体" w:eastAsiaTheme="minorEastAsia"/>
                <w:szCs w:val="21"/>
              </w:rPr>
            </w:pPr>
            <w:r>
              <w:rPr>
                <w:rFonts w:hint="eastAsia" w:ascii="宋体" w:hAnsi="宋体" w:eastAsiaTheme="minorEastAsia"/>
                <w:szCs w:val="21"/>
              </w:rPr>
              <w:t>数据恢复模块</w:t>
            </w:r>
          </w:p>
        </w:tc>
        <w:tc>
          <w:tcPr>
            <w:tcW w:w="2581" w:type="pct"/>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szCs w:val="21"/>
              </w:rPr>
            </w:pPr>
            <w:r>
              <w:rPr>
                <w:rFonts w:hint="eastAsia" w:eastAsiaTheme="minorEastAsia"/>
                <w:szCs w:val="21"/>
              </w:rPr>
              <w:t>支持简单删除文件恢复，不少于</w:t>
            </w:r>
            <w:r>
              <w:rPr>
                <w:rFonts w:eastAsiaTheme="minorEastAsia"/>
                <w:szCs w:val="21"/>
              </w:rPr>
              <w:t>3</w:t>
            </w:r>
            <w:r>
              <w:rPr>
                <w:rFonts w:hint="eastAsia" w:eastAsiaTheme="minorEastAsia"/>
                <w:szCs w:val="21"/>
              </w:rPr>
              <w:t>种恢复方式，包括：</w:t>
            </w:r>
            <w:r>
              <w:rPr>
                <w:rFonts w:eastAsiaTheme="minorEastAsia"/>
                <w:szCs w:val="21"/>
              </w:rPr>
              <w:t>1</w:t>
            </w:r>
            <w:r>
              <w:rPr>
                <w:rFonts w:hint="eastAsia" w:eastAsiaTheme="minorEastAsia"/>
                <w:szCs w:val="21"/>
              </w:rPr>
              <w:t>）格式化后的文件恢复；</w:t>
            </w:r>
            <w:r>
              <w:rPr>
                <w:rFonts w:eastAsiaTheme="minorEastAsia"/>
                <w:szCs w:val="21"/>
              </w:rPr>
              <w:t>2</w:t>
            </w:r>
            <w:r>
              <w:rPr>
                <w:rFonts w:hint="eastAsia" w:eastAsiaTheme="minorEastAsia"/>
                <w:szCs w:val="21"/>
              </w:rPr>
              <w:t>）被删除的磁盘分区恢复；</w:t>
            </w:r>
            <w:r>
              <w:rPr>
                <w:rFonts w:eastAsiaTheme="minorEastAsia"/>
                <w:szCs w:val="21"/>
              </w:rPr>
              <w:t>3</w:t>
            </w:r>
            <w:r>
              <w:rPr>
                <w:rFonts w:hint="eastAsia" w:eastAsiaTheme="minorEastAsia"/>
                <w:szCs w:val="21"/>
              </w:rPr>
              <w:t>）根据文件头尾特征对被删除文件进行恢复；</w:t>
            </w:r>
          </w:p>
          <w:p>
            <w:pPr>
              <w:rPr>
                <w:rFonts w:eastAsiaTheme="minorEastAsia"/>
                <w:szCs w:val="21"/>
              </w:rPr>
            </w:pPr>
            <w:r>
              <w:rPr>
                <w:rFonts w:hint="eastAsia" w:eastAsiaTheme="minorEastAsia"/>
                <w:szCs w:val="21"/>
              </w:rPr>
              <w:t>支持修复损坏的文件，不少于</w:t>
            </w:r>
            <w:r>
              <w:rPr>
                <w:rFonts w:eastAsiaTheme="minorEastAsia"/>
                <w:szCs w:val="21"/>
              </w:rPr>
              <w:t>5</w:t>
            </w:r>
            <w:r>
              <w:rPr>
                <w:rFonts w:hint="eastAsia" w:eastAsiaTheme="minorEastAsia"/>
                <w:szCs w:val="21"/>
              </w:rPr>
              <w:t>种类型，包括：</w:t>
            </w:r>
            <w:r>
              <w:rPr>
                <w:rFonts w:eastAsiaTheme="minorEastAsia"/>
                <w:szCs w:val="21"/>
              </w:rPr>
              <w:t>1</w:t>
            </w:r>
            <w:r>
              <w:rPr>
                <w:rFonts w:hint="eastAsia" w:eastAsiaTheme="minorEastAsia"/>
                <w:szCs w:val="21"/>
              </w:rPr>
              <w:t>）视频；</w:t>
            </w:r>
            <w:r>
              <w:rPr>
                <w:rFonts w:eastAsiaTheme="minorEastAsia"/>
                <w:szCs w:val="21"/>
              </w:rPr>
              <w:t>2</w:t>
            </w:r>
            <w:r>
              <w:rPr>
                <w:rFonts w:hint="eastAsia" w:eastAsiaTheme="minorEastAsia"/>
                <w:szCs w:val="21"/>
              </w:rPr>
              <w:t>）音频；</w:t>
            </w:r>
            <w:r>
              <w:rPr>
                <w:rFonts w:eastAsiaTheme="minorEastAsia"/>
                <w:szCs w:val="21"/>
              </w:rPr>
              <w:t>3</w:t>
            </w:r>
            <w:r>
              <w:rPr>
                <w:rFonts w:hint="eastAsia" w:eastAsiaTheme="minorEastAsia"/>
                <w:szCs w:val="21"/>
              </w:rPr>
              <w:t>）图片；</w:t>
            </w:r>
            <w:r>
              <w:rPr>
                <w:rFonts w:eastAsiaTheme="minorEastAsia"/>
                <w:szCs w:val="21"/>
              </w:rPr>
              <w:t>4</w:t>
            </w:r>
            <w:r>
              <w:rPr>
                <w:rFonts w:hint="eastAsia" w:eastAsiaTheme="minorEastAsia"/>
                <w:szCs w:val="21"/>
              </w:rPr>
              <w:t>）</w:t>
            </w:r>
            <w:r>
              <w:rPr>
                <w:rFonts w:eastAsiaTheme="minorEastAsia"/>
                <w:szCs w:val="21"/>
              </w:rPr>
              <w:t>PDF</w:t>
            </w:r>
            <w:r>
              <w:rPr>
                <w:rFonts w:hint="eastAsia" w:eastAsiaTheme="minorEastAsia"/>
                <w:szCs w:val="21"/>
              </w:rPr>
              <w:t>；</w:t>
            </w:r>
            <w:r>
              <w:rPr>
                <w:rFonts w:eastAsiaTheme="minorEastAsia"/>
                <w:szCs w:val="21"/>
              </w:rPr>
              <w:t>5</w:t>
            </w:r>
            <w:r>
              <w:rPr>
                <w:rFonts w:hint="eastAsia" w:eastAsiaTheme="minorEastAsia"/>
                <w:szCs w:val="21"/>
              </w:rPr>
              <w:t>）压缩文档</w:t>
            </w:r>
          </w:p>
        </w:tc>
        <w:tc>
          <w:tcPr>
            <w:tcW w:w="882" w:type="pct"/>
            <w:tcBorders>
              <w:top w:val="single" w:color="auto" w:sz="4" w:space="0"/>
              <w:left w:val="single" w:color="auto" w:sz="4" w:space="0"/>
              <w:bottom w:val="single" w:color="auto" w:sz="4" w:space="0"/>
              <w:right w:val="single" w:color="auto" w:sz="4" w:space="0"/>
            </w:tcBorders>
            <w:vAlign w:val="center"/>
          </w:tcPr>
          <w:p>
            <w:pPr>
              <w:rPr>
                <w:rFonts w:ascii="宋体" w:hAnsi="宋体" w:eastAsiaTheme="minorEastAsia"/>
                <w:szCs w:val="21"/>
              </w:rPr>
            </w:pPr>
            <w:r>
              <w:rPr>
                <w:rFonts w:hint="eastAsia" w:ascii="宋体" w:hAnsi="宋体" w:eastAsiaTheme="minorEastAsia"/>
                <w:szCs w:val="21"/>
              </w:rPr>
              <w:t>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atLeast"/>
          <w:jc w:val="center"/>
        </w:trPr>
        <w:tc>
          <w:tcPr>
            <w:tcW w:w="623"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88"/>
              </w:numPr>
              <w:spacing w:line="360" w:lineRule="auto"/>
              <w:jc w:val="both"/>
              <w:rPr>
                <w:rFonts w:eastAsiaTheme="minorEastAsia"/>
                <w:szCs w:val="21"/>
              </w:rPr>
            </w:pPr>
          </w:p>
        </w:tc>
        <w:tc>
          <w:tcPr>
            <w:tcW w:w="364"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Cs w:val="21"/>
              </w:rPr>
            </w:pPr>
          </w:p>
        </w:tc>
        <w:tc>
          <w:tcPr>
            <w:tcW w:w="550" w:type="pct"/>
            <w:tcBorders>
              <w:top w:val="single" w:color="auto" w:sz="4" w:space="0"/>
              <w:left w:val="single" w:color="auto" w:sz="4" w:space="0"/>
              <w:bottom w:val="single" w:color="auto" w:sz="4" w:space="0"/>
              <w:right w:val="single" w:color="auto" w:sz="4" w:space="0"/>
            </w:tcBorders>
            <w:vAlign w:val="center"/>
          </w:tcPr>
          <w:p>
            <w:pPr>
              <w:rPr>
                <w:rFonts w:ascii="宋体" w:hAnsi="宋体" w:eastAsiaTheme="minorEastAsia"/>
                <w:szCs w:val="21"/>
              </w:rPr>
            </w:pPr>
            <w:r>
              <w:rPr>
                <w:rFonts w:hint="eastAsia" w:ascii="宋体" w:hAnsi="宋体" w:eastAsiaTheme="minorEastAsia"/>
                <w:szCs w:val="21"/>
              </w:rPr>
              <w:t>多语言支持模块</w:t>
            </w:r>
          </w:p>
        </w:tc>
        <w:tc>
          <w:tcPr>
            <w:tcW w:w="2581" w:type="pct"/>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szCs w:val="21"/>
              </w:rPr>
            </w:pPr>
            <w:r>
              <w:rPr>
                <w:rFonts w:hint="eastAsia" w:eastAsiaTheme="minorEastAsia"/>
                <w:szCs w:val="21"/>
              </w:rPr>
              <w:t>支持联网状态下对即时通讯内容的维文转汉文翻译、语音转文字等功能；</w:t>
            </w:r>
          </w:p>
          <w:p>
            <w:pPr>
              <w:rPr>
                <w:rFonts w:eastAsiaTheme="minorEastAsia"/>
                <w:szCs w:val="21"/>
              </w:rPr>
            </w:pPr>
            <w:r>
              <w:rPr>
                <w:rFonts w:hint="eastAsia" w:eastAsiaTheme="minorEastAsia"/>
                <w:szCs w:val="21"/>
              </w:rPr>
              <w:t>支持对即时通讯中的语音进行转换，包括不限于将维文转化成汉文、语音转文字等</w:t>
            </w:r>
          </w:p>
        </w:tc>
        <w:tc>
          <w:tcPr>
            <w:tcW w:w="882" w:type="pct"/>
            <w:tcBorders>
              <w:top w:val="single" w:color="auto" w:sz="4" w:space="0"/>
              <w:left w:val="single" w:color="auto" w:sz="4" w:space="0"/>
              <w:bottom w:val="single" w:color="auto" w:sz="4" w:space="0"/>
              <w:right w:val="single" w:color="auto" w:sz="4" w:space="0"/>
            </w:tcBorders>
            <w:vAlign w:val="center"/>
          </w:tcPr>
          <w:p>
            <w:pPr>
              <w:rPr>
                <w:rFonts w:ascii="宋体" w:hAnsi="宋体" w:eastAsiaTheme="minorEastAsia"/>
                <w:szCs w:val="21"/>
              </w:rPr>
            </w:pPr>
            <w:r>
              <w:rPr>
                <w:rFonts w:hint="eastAsia" w:ascii="宋体" w:hAnsi="宋体" w:eastAsiaTheme="minorEastAsia"/>
                <w:szCs w:val="21"/>
              </w:rPr>
              <w:t>功能截图</w:t>
            </w:r>
          </w:p>
        </w:tc>
      </w:tr>
    </w:tbl>
    <w:p>
      <w:pPr>
        <w:rPr>
          <w:rFonts w:asciiTheme="minorHAnsi" w:hAnsiTheme="minorHAnsi" w:eastAsiaTheme="minorEastAsia" w:cstheme="minorBidi"/>
          <w:kern w:val="2"/>
          <w:szCs w:val="21"/>
        </w:rPr>
      </w:pPr>
    </w:p>
    <w:p>
      <w:pPr>
        <w:pStyle w:val="5"/>
        <w:spacing w:before="15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w:t>
      </w:r>
      <w:r>
        <w:rPr>
          <w:rFonts w:asciiTheme="minorEastAsia" w:hAnsiTheme="minorEastAsia" w:eastAsiaTheme="minorEastAsia" w:cstheme="minorEastAsia"/>
          <w:szCs w:val="21"/>
        </w:rPr>
        <w:t>4</w:t>
      </w:r>
      <w:r>
        <w:rPr>
          <w:rFonts w:hint="eastAsia" w:asciiTheme="minorEastAsia" w:hAnsiTheme="minorEastAsia" w:eastAsiaTheme="minorEastAsia" w:cstheme="minorEastAsia"/>
          <w:szCs w:val="21"/>
        </w:rPr>
        <w:t>包一体化电子取证工作站</w:t>
      </w:r>
      <w:r>
        <w:rPr>
          <w:rFonts w:hint="default" w:ascii="Times New Roman" w:hAnsi="Times New Roman" w:cs="Times New Roman" w:eastAsiaTheme="minorEastAsia"/>
          <w:szCs w:val="21"/>
        </w:rPr>
        <w:t>Ⅱ</w:t>
      </w:r>
    </w:p>
    <w:tbl>
      <w:tblPr>
        <w:tblStyle w:val="81"/>
        <w:tblW w:w="465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0"/>
        <w:gridCol w:w="614"/>
        <w:gridCol w:w="928"/>
        <w:gridCol w:w="4356"/>
        <w:gridCol w:w="1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2" w:type="pct"/>
            <w:tcBorders>
              <w:top w:val="single" w:color="auto" w:sz="4" w:space="0"/>
              <w:left w:val="single" w:color="auto" w:sz="4" w:space="0"/>
              <w:bottom w:val="single" w:color="auto" w:sz="4" w:space="0"/>
              <w:right w:val="single" w:color="auto" w:sz="4" w:space="0"/>
            </w:tcBorders>
            <w:vAlign w:val="center"/>
          </w:tcPr>
          <w:p>
            <w:pPr>
              <w:spacing w:line="360" w:lineRule="auto"/>
              <w:rPr>
                <w:rFonts w:eastAsiaTheme="minorEastAsia"/>
                <w:szCs w:val="21"/>
              </w:rPr>
            </w:pPr>
            <w:r>
              <w:rPr>
                <w:rFonts w:hint="eastAsia" w:ascii="宋体" w:hAnsi="宋体" w:eastAsiaTheme="minorEastAsia"/>
                <w:b/>
                <w:szCs w:val="21"/>
              </w:rPr>
              <w:t>序号</w:t>
            </w:r>
          </w:p>
        </w:tc>
        <w:tc>
          <w:tcPr>
            <w:tcW w:w="364"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Theme="minorEastAsia"/>
                <w:szCs w:val="21"/>
              </w:rPr>
            </w:pPr>
            <w:r>
              <w:rPr>
                <w:rFonts w:hint="eastAsia" w:ascii="宋体" w:hAnsi="宋体" w:eastAsiaTheme="minorEastAsia"/>
                <w:b/>
                <w:szCs w:val="21"/>
              </w:rPr>
              <w:t>重要性</w:t>
            </w:r>
          </w:p>
        </w:tc>
        <w:tc>
          <w:tcPr>
            <w:tcW w:w="550" w:type="pct"/>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szCs w:val="21"/>
              </w:rPr>
            </w:pPr>
            <w:r>
              <w:rPr>
                <w:rFonts w:hint="eastAsia" w:ascii="宋体" w:hAnsi="宋体" w:eastAsiaTheme="minorEastAsia"/>
                <w:b/>
                <w:szCs w:val="21"/>
              </w:rPr>
              <w:t>指标项</w:t>
            </w:r>
          </w:p>
        </w:tc>
        <w:tc>
          <w:tcPr>
            <w:tcW w:w="2581" w:type="pct"/>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napToGrid w:val="0"/>
              <w:textAlignment w:val="center"/>
              <w:rPr>
                <w:rFonts w:eastAsiaTheme="minorEastAsia"/>
                <w:szCs w:val="21"/>
              </w:rPr>
            </w:pPr>
            <w:r>
              <w:rPr>
                <w:rFonts w:hint="eastAsia" w:ascii="宋体" w:hAnsi="宋体" w:eastAsiaTheme="minorEastAsia"/>
                <w:b/>
                <w:szCs w:val="21"/>
              </w:rPr>
              <w:t>指标要求</w:t>
            </w:r>
          </w:p>
        </w:tc>
        <w:tc>
          <w:tcPr>
            <w:tcW w:w="883" w:type="pct"/>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napToGrid w:val="0"/>
              <w:textAlignment w:val="center"/>
              <w:rPr>
                <w:rFonts w:ascii="宋体" w:hAnsi="宋体" w:eastAsiaTheme="minorEastAsia"/>
                <w:szCs w:val="21"/>
              </w:rPr>
            </w:pPr>
            <w:r>
              <w:rPr>
                <w:rFonts w:hint="eastAsia" w:ascii="宋体" w:hAnsi="宋体" w:eastAsiaTheme="minorEastAsia"/>
                <w:b/>
                <w:szCs w:val="21"/>
              </w:rPr>
              <w:t>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62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88"/>
              </w:numPr>
              <w:spacing w:line="360" w:lineRule="auto"/>
              <w:jc w:val="both"/>
              <w:rPr>
                <w:rFonts w:eastAsiaTheme="minorEastAsia"/>
                <w:szCs w:val="21"/>
              </w:rPr>
            </w:pPr>
          </w:p>
        </w:tc>
        <w:tc>
          <w:tcPr>
            <w:tcW w:w="364"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Theme="minorEastAsia"/>
                <w:szCs w:val="21"/>
              </w:rPr>
            </w:pPr>
            <w:r>
              <w:rPr>
                <w:rFonts w:hint="eastAsia" w:ascii="宋体" w:hAnsi="宋体" w:eastAsiaTheme="minorEastAsia"/>
                <w:szCs w:val="21"/>
              </w:rPr>
              <w:t>▲</w:t>
            </w:r>
          </w:p>
        </w:tc>
        <w:tc>
          <w:tcPr>
            <w:tcW w:w="550" w:type="pct"/>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szCs w:val="21"/>
              </w:rPr>
            </w:pPr>
            <w:r>
              <w:rPr>
                <w:rFonts w:hint="eastAsia" w:eastAsiaTheme="minorEastAsia"/>
                <w:szCs w:val="21"/>
              </w:rPr>
              <w:t>硬盘复制模块</w:t>
            </w:r>
          </w:p>
        </w:tc>
        <w:tc>
          <w:tcPr>
            <w:tcW w:w="2581" w:type="pct"/>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napToGrid w:val="0"/>
              <w:textAlignment w:val="center"/>
              <w:rPr>
                <w:rFonts w:ascii="宋体" w:hAnsi="宋体" w:eastAsiaTheme="minorEastAsia"/>
                <w:color w:val="FF0000"/>
                <w:szCs w:val="21"/>
              </w:rPr>
            </w:pPr>
            <w:r>
              <w:rPr>
                <w:rFonts w:hint="eastAsia" w:eastAsiaTheme="minorEastAsia"/>
                <w:szCs w:val="21"/>
              </w:rPr>
              <w:t>支持不少于</w:t>
            </w:r>
            <w:r>
              <w:rPr>
                <w:rFonts w:eastAsiaTheme="minorEastAsia"/>
                <w:szCs w:val="21"/>
              </w:rPr>
              <w:t>2</w:t>
            </w:r>
            <w:r>
              <w:rPr>
                <w:rFonts w:hint="eastAsia" w:eastAsiaTheme="minorEastAsia"/>
                <w:szCs w:val="21"/>
              </w:rPr>
              <w:t>路硬盘同时复制</w:t>
            </w:r>
          </w:p>
          <w:p>
            <w:pPr>
              <w:overflowPunct w:val="0"/>
              <w:autoSpaceDE w:val="0"/>
              <w:autoSpaceDN w:val="0"/>
              <w:adjustRightInd w:val="0"/>
              <w:snapToGrid w:val="0"/>
              <w:textAlignment w:val="center"/>
              <w:rPr>
                <w:rFonts w:ascii="宋体" w:hAnsi="宋体" w:eastAsiaTheme="minorEastAsia"/>
                <w:szCs w:val="21"/>
              </w:rPr>
            </w:pPr>
            <w:r>
              <w:rPr>
                <w:rFonts w:hint="eastAsia" w:eastAsiaTheme="minorEastAsia"/>
                <w:szCs w:val="21"/>
              </w:rPr>
              <w:t>支持不少于</w:t>
            </w:r>
            <w:r>
              <w:rPr>
                <w:rFonts w:eastAsiaTheme="minorEastAsia"/>
                <w:szCs w:val="21"/>
              </w:rPr>
              <w:t>4</w:t>
            </w:r>
            <w:r>
              <w:rPr>
                <w:rFonts w:hint="eastAsia" w:eastAsiaTheme="minorEastAsia"/>
                <w:szCs w:val="21"/>
              </w:rPr>
              <w:t>路硬盘只读及同时镜像</w:t>
            </w:r>
          </w:p>
          <w:p>
            <w:pPr>
              <w:rPr>
                <w:rFonts w:ascii="宋体" w:hAnsi="宋体" w:eastAsiaTheme="minorEastAsia"/>
                <w:color w:val="FF0000"/>
                <w:szCs w:val="21"/>
              </w:rPr>
            </w:pPr>
            <w:r>
              <w:rPr>
                <w:rFonts w:eastAsiaTheme="minorEastAsia"/>
                <w:szCs w:val="21"/>
              </w:rPr>
              <w:t>SAS</w:t>
            </w:r>
            <w:r>
              <w:rPr>
                <w:rFonts w:hint="eastAsia" w:eastAsiaTheme="minorEastAsia"/>
                <w:szCs w:val="21"/>
              </w:rPr>
              <w:t>硬盘最高复制速度不低于</w:t>
            </w:r>
            <w:r>
              <w:rPr>
                <w:rFonts w:eastAsiaTheme="minorEastAsia"/>
                <w:szCs w:val="21"/>
              </w:rPr>
              <w:t>40GB/min</w:t>
            </w:r>
          </w:p>
        </w:tc>
        <w:tc>
          <w:tcPr>
            <w:tcW w:w="883" w:type="pct"/>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napToGrid w:val="0"/>
              <w:textAlignment w:val="center"/>
              <w:rPr>
                <w:rFonts w:ascii="宋体" w:hAnsi="宋体" w:eastAsiaTheme="minorEastAsia"/>
                <w:szCs w:val="21"/>
              </w:rPr>
            </w:pPr>
            <w:r>
              <w:rPr>
                <w:rFonts w:hint="eastAsia" w:ascii="宋体" w:hAnsi="宋体" w:eastAsiaTheme="minorEastAsia"/>
                <w:szCs w:val="21"/>
              </w:rPr>
              <w:t>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88"/>
              </w:numPr>
              <w:spacing w:line="360" w:lineRule="auto"/>
              <w:jc w:val="both"/>
              <w:rPr>
                <w:rFonts w:eastAsiaTheme="minorEastAsia"/>
                <w:szCs w:val="21"/>
              </w:rPr>
            </w:pPr>
          </w:p>
        </w:tc>
        <w:tc>
          <w:tcPr>
            <w:tcW w:w="364"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Theme="minorEastAsia"/>
                <w:szCs w:val="21"/>
              </w:rPr>
            </w:pPr>
            <w:r>
              <w:rPr>
                <w:rFonts w:hint="eastAsia" w:eastAsiaTheme="minorEastAsia"/>
                <w:szCs w:val="21"/>
              </w:rPr>
              <w:t>★</w:t>
            </w:r>
          </w:p>
        </w:tc>
        <w:tc>
          <w:tcPr>
            <w:tcW w:w="550" w:type="pct"/>
            <w:vMerge w:val="restart"/>
            <w:tcBorders>
              <w:top w:val="single" w:color="auto" w:sz="4" w:space="0"/>
              <w:left w:val="single" w:color="auto" w:sz="4" w:space="0"/>
              <w:bottom w:val="single" w:color="auto" w:sz="4" w:space="0"/>
              <w:right w:val="single" w:color="auto" w:sz="4" w:space="0"/>
            </w:tcBorders>
            <w:vAlign w:val="center"/>
          </w:tcPr>
          <w:p>
            <w:pPr>
              <w:rPr>
                <w:rFonts w:ascii="宋体" w:hAnsi="宋体" w:eastAsiaTheme="minorEastAsia"/>
                <w:szCs w:val="21"/>
              </w:rPr>
            </w:pPr>
            <w:r>
              <w:rPr>
                <w:rFonts w:hint="eastAsia" w:ascii="宋体" w:hAnsi="宋体" w:eastAsiaTheme="minorEastAsia"/>
                <w:szCs w:val="21"/>
              </w:rPr>
              <w:t>介质仿真模块</w:t>
            </w:r>
          </w:p>
        </w:tc>
        <w:tc>
          <w:tcPr>
            <w:tcW w:w="2581" w:type="pct"/>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napToGrid w:val="0"/>
              <w:textAlignment w:val="center"/>
              <w:rPr>
                <w:rFonts w:asciiTheme="minorHAnsi" w:hAnsiTheme="minorHAnsi" w:eastAsiaTheme="minorEastAsia"/>
                <w:color w:val="FF0000"/>
                <w:szCs w:val="21"/>
              </w:rPr>
            </w:pPr>
            <w:r>
              <w:rPr>
                <w:rFonts w:hint="eastAsia" w:eastAsiaTheme="minorEastAsia"/>
                <w:szCs w:val="21"/>
              </w:rPr>
              <w:t>需支持不少于</w:t>
            </w:r>
            <w:r>
              <w:rPr>
                <w:rFonts w:eastAsiaTheme="minorEastAsia"/>
                <w:szCs w:val="21"/>
              </w:rPr>
              <w:t>3</w:t>
            </w:r>
            <w:r>
              <w:rPr>
                <w:rFonts w:hint="eastAsia" w:eastAsiaTheme="minorEastAsia"/>
                <w:szCs w:val="21"/>
              </w:rPr>
              <w:t>种类型镜像仿真功能，包括：</w:t>
            </w:r>
            <w:r>
              <w:rPr>
                <w:rFonts w:eastAsiaTheme="minorEastAsia"/>
                <w:szCs w:val="21"/>
              </w:rPr>
              <w:t>1</w:t>
            </w:r>
            <w:r>
              <w:rPr>
                <w:rFonts w:hint="eastAsia" w:eastAsiaTheme="minorEastAsia"/>
                <w:szCs w:val="21"/>
              </w:rPr>
              <w:t>）</w:t>
            </w:r>
            <w:r>
              <w:rPr>
                <w:rFonts w:eastAsiaTheme="minorEastAsia"/>
                <w:szCs w:val="21"/>
              </w:rPr>
              <w:t xml:space="preserve">Windows </w:t>
            </w:r>
            <w:r>
              <w:rPr>
                <w:rFonts w:hint="eastAsia" w:eastAsiaTheme="minorEastAsia"/>
                <w:szCs w:val="21"/>
              </w:rPr>
              <w:t>域账户和微软在线账户登录密码清除；</w:t>
            </w:r>
            <w:r>
              <w:rPr>
                <w:rFonts w:eastAsiaTheme="minorEastAsia"/>
                <w:szCs w:val="21"/>
              </w:rPr>
              <w:t>2</w:t>
            </w:r>
            <w:r>
              <w:rPr>
                <w:rFonts w:hint="eastAsia" w:eastAsiaTheme="minorEastAsia"/>
                <w:szCs w:val="21"/>
              </w:rPr>
              <w:t>）可选为</w:t>
            </w:r>
            <w:r>
              <w:rPr>
                <w:rFonts w:eastAsiaTheme="minorEastAsia"/>
                <w:szCs w:val="21"/>
              </w:rPr>
              <w:t xml:space="preserve"> windows </w:t>
            </w:r>
            <w:r>
              <w:rPr>
                <w:rFonts w:hint="eastAsia" w:eastAsiaTheme="minorEastAsia"/>
                <w:szCs w:val="21"/>
              </w:rPr>
              <w:t>虚拟机安装</w:t>
            </w:r>
            <w:r>
              <w:rPr>
                <w:rFonts w:eastAsiaTheme="minorEastAsia"/>
                <w:szCs w:val="21"/>
              </w:rPr>
              <w:t xml:space="preserve"> vmtools</w:t>
            </w:r>
            <w:r>
              <w:rPr>
                <w:rFonts w:hint="eastAsia" w:eastAsiaTheme="minorEastAsia"/>
                <w:szCs w:val="21"/>
              </w:rPr>
              <w:t>，支持</w:t>
            </w:r>
            <w:r>
              <w:rPr>
                <w:rFonts w:eastAsiaTheme="minorEastAsia"/>
                <w:szCs w:val="21"/>
              </w:rPr>
              <w:t xml:space="preserve"> win7</w:t>
            </w:r>
            <w:r>
              <w:rPr>
                <w:rFonts w:hint="eastAsia" w:eastAsiaTheme="minorEastAsia"/>
                <w:szCs w:val="21"/>
              </w:rPr>
              <w:t>、</w:t>
            </w:r>
            <w:r>
              <w:rPr>
                <w:rFonts w:eastAsiaTheme="minorEastAsia"/>
                <w:szCs w:val="21"/>
              </w:rPr>
              <w:t xml:space="preserve"> win10</w:t>
            </w:r>
            <w:r>
              <w:rPr>
                <w:rFonts w:hint="eastAsia" w:eastAsiaTheme="minorEastAsia"/>
                <w:szCs w:val="21"/>
              </w:rPr>
              <w:t>、</w:t>
            </w:r>
            <w:r>
              <w:rPr>
                <w:rFonts w:eastAsiaTheme="minorEastAsia"/>
                <w:szCs w:val="21"/>
              </w:rPr>
              <w:t xml:space="preserve">win11 </w:t>
            </w:r>
            <w:r>
              <w:rPr>
                <w:rFonts w:hint="eastAsia" w:eastAsiaTheme="minorEastAsia"/>
                <w:szCs w:val="21"/>
              </w:rPr>
              <w:t>最新版本；</w:t>
            </w:r>
            <w:r>
              <w:rPr>
                <w:rFonts w:eastAsiaTheme="minorEastAsia"/>
                <w:szCs w:val="21"/>
              </w:rPr>
              <w:t>3</w:t>
            </w:r>
            <w:r>
              <w:rPr>
                <w:rFonts w:hint="eastAsia" w:eastAsiaTheme="minorEastAsia"/>
                <w:szCs w:val="21"/>
              </w:rPr>
              <w:t>）</w:t>
            </w:r>
            <w:r>
              <w:rPr>
                <w:rFonts w:eastAsiaTheme="minorEastAsia"/>
                <w:szCs w:val="21"/>
              </w:rPr>
              <w:t xml:space="preserve">Bitlocker </w:t>
            </w:r>
            <w:r>
              <w:rPr>
                <w:rFonts w:hint="eastAsia" w:eastAsiaTheme="minorEastAsia"/>
                <w:szCs w:val="21"/>
              </w:rPr>
              <w:t>加密的系统盘仿真并重置开机密码</w:t>
            </w:r>
          </w:p>
        </w:tc>
        <w:tc>
          <w:tcPr>
            <w:tcW w:w="883" w:type="pct"/>
            <w:vMerge w:val="restart"/>
            <w:tcBorders>
              <w:top w:val="single" w:color="auto" w:sz="4" w:space="0"/>
              <w:left w:val="single" w:color="auto" w:sz="4" w:space="0"/>
              <w:bottom w:val="single" w:color="auto" w:sz="4" w:space="0"/>
              <w:right w:val="single" w:color="auto" w:sz="4" w:space="0"/>
            </w:tcBorders>
            <w:vAlign w:val="center"/>
          </w:tcPr>
          <w:p>
            <w:pPr>
              <w:rPr>
                <w:rFonts w:ascii="宋体" w:hAnsi="宋体" w:eastAsiaTheme="minorEastAsia"/>
                <w:szCs w:val="21"/>
              </w:rPr>
            </w:pPr>
            <w:r>
              <w:rPr>
                <w:rFonts w:hint="eastAsia" w:ascii="宋体" w:hAnsi="宋体" w:eastAsiaTheme="minorEastAsia"/>
                <w:szCs w:val="21"/>
              </w:rPr>
              <w:t>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88"/>
              </w:numPr>
              <w:spacing w:line="360" w:lineRule="auto"/>
              <w:jc w:val="both"/>
              <w:rPr>
                <w:rFonts w:eastAsiaTheme="minorEastAsia"/>
                <w:szCs w:val="21"/>
              </w:rPr>
            </w:pPr>
          </w:p>
        </w:tc>
        <w:tc>
          <w:tcPr>
            <w:tcW w:w="364"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Theme="minorEastAsia"/>
                <w:szCs w:val="21"/>
              </w:rPr>
            </w:pPr>
            <w:r>
              <w:rPr>
                <w:rFonts w:hint="eastAsia" w:ascii="宋体" w:hAnsi="宋体" w:eastAsiaTheme="minorEastAsia"/>
                <w:szCs w:val="21"/>
              </w:rPr>
              <w:t>▲</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Theme="minorEastAsia"/>
                <w:kern w:val="2"/>
                <w:szCs w:val="21"/>
              </w:rPr>
            </w:pPr>
          </w:p>
        </w:tc>
        <w:tc>
          <w:tcPr>
            <w:tcW w:w="2581" w:type="pct"/>
            <w:tcBorders>
              <w:top w:val="single" w:color="auto" w:sz="4" w:space="0"/>
              <w:left w:val="single" w:color="auto" w:sz="4" w:space="0"/>
              <w:bottom w:val="single" w:color="auto" w:sz="4" w:space="0"/>
              <w:right w:val="single" w:color="auto" w:sz="4" w:space="0"/>
            </w:tcBorders>
            <w:vAlign w:val="center"/>
          </w:tcPr>
          <w:p>
            <w:pPr>
              <w:rPr>
                <w:rFonts w:ascii="宋体" w:hAnsi="宋体" w:eastAsiaTheme="minorEastAsia"/>
                <w:szCs w:val="21"/>
              </w:rPr>
            </w:pPr>
            <w:r>
              <w:rPr>
                <w:rFonts w:hint="eastAsia" w:eastAsiaTheme="minorEastAsia"/>
                <w:szCs w:val="21"/>
              </w:rPr>
              <w:t>需支持不少于</w:t>
            </w:r>
            <w:r>
              <w:rPr>
                <w:rFonts w:eastAsiaTheme="minorEastAsia"/>
                <w:szCs w:val="21"/>
              </w:rPr>
              <w:t>5</w:t>
            </w:r>
            <w:r>
              <w:rPr>
                <w:rFonts w:hint="eastAsia" w:eastAsiaTheme="minorEastAsia"/>
                <w:szCs w:val="21"/>
              </w:rPr>
              <w:t>种类型镜像启动</w:t>
            </w:r>
            <w:r>
              <w:rPr>
                <w:rFonts w:eastAsiaTheme="minorEastAsia"/>
                <w:szCs w:val="21"/>
              </w:rPr>
              <w:t>/</w:t>
            </w:r>
            <w:r>
              <w:rPr>
                <w:rFonts w:hint="eastAsia" w:eastAsiaTheme="minorEastAsia"/>
                <w:szCs w:val="21"/>
              </w:rPr>
              <w:t>修复功能，包括：</w:t>
            </w:r>
            <w:r>
              <w:rPr>
                <w:rFonts w:eastAsiaTheme="minorEastAsia"/>
                <w:szCs w:val="21"/>
              </w:rPr>
              <w:t xml:space="preserve"> 1</w:t>
            </w:r>
            <w:r>
              <w:rPr>
                <w:rFonts w:hint="eastAsia" w:eastAsiaTheme="minorEastAsia"/>
                <w:szCs w:val="21"/>
              </w:rPr>
              <w:t>）</w:t>
            </w:r>
            <w:r>
              <w:rPr>
                <w:rFonts w:eastAsiaTheme="minorEastAsia"/>
                <w:szCs w:val="21"/>
              </w:rPr>
              <w:t>Windows</w:t>
            </w:r>
            <w:r>
              <w:rPr>
                <w:rFonts w:hint="eastAsia" w:eastAsiaTheme="minorEastAsia"/>
                <w:szCs w:val="21"/>
              </w:rPr>
              <w:t>、</w:t>
            </w:r>
            <w:r>
              <w:rPr>
                <w:rFonts w:eastAsiaTheme="minorEastAsia"/>
                <w:szCs w:val="21"/>
              </w:rPr>
              <w:t>Debian</w:t>
            </w:r>
            <w:r>
              <w:rPr>
                <w:rFonts w:hint="eastAsia" w:eastAsiaTheme="minorEastAsia"/>
                <w:szCs w:val="21"/>
              </w:rPr>
              <w:t>、</w:t>
            </w:r>
            <w:r>
              <w:rPr>
                <w:rFonts w:eastAsiaTheme="minorEastAsia"/>
                <w:szCs w:val="21"/>
              </w:rPr>
              <w:t>Ubuntu</w:t>
            </w:r>
            <w:r>
              <w:rPr>
                <w:rFonts w:hint="eastAsia" w:eastAsiaTheme="minorEastAsia"/>
                <w:szCs w:val="21"/>
              </w:rPr>
              <w:t>、</w:t>
            </w:r>
            <w:r>
              <w:rPr>
                <w:rFonts w:eastAsiaTheme="minorEastAsia"/>
                <w:szCs w:val="21"/>
              </w:rPr>
              <w:t xml:space="preserve">Centos </w:t>
            </w:r>
            <w:r>
              <w:rPr>
                <w:rFonts w:hint="eastAsia" w:eastAsiaTheme="minorEastAsia"/>
                <w:szCs w:val="21"/>
              </w:rPr>
              <w:t>等操作系统的</w:t>
            </w:r>
            <w:r>
              <w:rPr>
                <w:rFonts w:eastAsiaTheme="minorEastAsia"/>
                <w:szCs w:val="21"/>
              </w:rPr>
              <w:t xml:space="preserve"> BIOS</w:t>
            </w:r>
            <w:r>
              <w:rPr>
                <w:rFonts w:hint="eastAsia" w:eastAsiaTheme="minorEastAsia"/>
                <w:szCs w:val="21"/>
              </w:rPr>
              <w:t>启动类型的单分区镜像仿真并自动修复引导分区；</w:t>
            </w:r>
            <w:r>
              <w:rPr>
                <w:rFonts w:eastAsiaTheme="minorEastAsia"/>
                <w:szCs w:val="21"/>
              </w:rPr>
              <w:t>2</w:t>
            </w:r>
            <w:r>
              <w:rPr>
                <w:rFonts w:hint="eastAsia" w:eastAsiaTheme="minorEastAsia"/>
                <w:szCs w:val="21"/>
              </w:rPr>
              <w:t>）</w:t>
            </w:r>
            <w:r>
              <w:rPr>
                <w:rFonts w:eastAsiaTheme="minorEastAsia"/>
                <w:szCs w:val="21"/>
              </w:rPr>
              <w:t>Windows</w:t>
            </w:r>
            <w:r>
              <w:rPr>
                <w:rFonts w:hint="eastAsia" w:eastAsiaTheme="minorEastAsia"/>
                <w:szCs w:val="21"/>
              </w:rPr>
              <w:t>、</w:t>
            </w:r>
            <w:r>
              <w:rPr>
                <w:rFonts w:eastAsiaTheme="minorEastAsia"/>
                <w:szCs w:val="21"/>
              </w:rPr>
              <w:t>Debian</w:t>
            </w:r>
            <w:r>
              <w:rPr>
                <w:rFonts w:hint="eastAsia" w:eastAsiaTheme="minorEastAsia"/>
                <w:szCs w:val="21"/>
              </w:rPr>
              <w:t>、</w:t>
            </w:r>
            <w:r>
              <w:rPr>
                <w:rFonts w:eastAsiaTheme="minorEastAsia"/>
                <w:szCs w:val="21"/>
              </w:rPr>
              <w:t>Ubuntu</w:t>
            </w:r>
            <w:r>
              <w:rPr>
                <w:rFonts w:hint="eastAsia" w:eastAsiaTheme="minorEastAsia"/>
                <w:szCs w:val="21"/>
              </w:rPr>
              <w:t>、</w:t>
            </w:r>
            <w:r>
              <w:rPr>
                <w:rFonts w:eastAsiaTheme="minorEastAsia"/>
                <w:szCs w:val="21"/>
              </w:rPr>
              <w:t xml:space="preserve">macOS </w:t>
            </w:r>
            <w:r>
              <w:rPr>
                <w:rFonts w:hint="eastAsia" w:eastAsiaTheme="minorEastAsia"/>
                <w:szCs w:val="21"/>
              </w:rPr>
              <w:t>等操作系统的</w:t>
            </w:r>
            <w:r>
              <w:rPr>
                <w:rFonts w:eastAsiaTheme="minorEastAsia"/>
                <w:szCs w:val="21"/>
              </w:rPr>
              <w:t xml:space="preserve"> UEFI </w:t>
            </w:r>
            <w:r>
              <w:rPr>
                <w:rFonts w:hint="eastAsia" w:eastAsiaTheme="minorEastAsia"/>
                <w:szCs w:val="21"/>
              </w:rPr>
              <w:t>启动类型的单分区镜像仿真，并自动修复引导分区；</w:t>
            </w:r>
            <w:r>
              <w:rPr>
                <w:rFonts w:eastAsiaTheme="minorEastAsia"/>
                <w:szCs w:val="21"/>
              </w:rPr>
              <w:t>3</w:t>
            </w:r>
            <w:r>
              <w:rPr>
                <w:rFonts w:hint="eastAsia" w:eastAsiaTheme="minorEastAsia"/>
                <w:szCs w:val="21"/>
              </w:rPr>
              <w:t>）</w:t>
            </w:r>
            <w:r>
              <w:rPr>
                <w:rFonts w:eastAsiaTheme="minorEastAsia"/>
                <w:szCs w:val="21"/>
              </w:rPr>
              <w:t xml:space="preserve">Parallels Desktop </w:t>
            </w:r>
            <w:r>
              <w:rPr>
                <w:rFonts w:hint="eastAsia" w:eastAsiaTheme="minorEastAsia"/>
                <w:szCs w:val="21"/>
              </w:rPr>
              <w:t>虚拟机磁盘的仿真，且支持差分快照；</w:t>
            </w:r>
            <w:r>
              <w:rPr>
                <w:rFonts w:eastAsiaTheme="minorEastAsia"/>
                <w:szCs w:val="21"/>
              </w:rPr>
              <w:t>4</w:t>
            </w:r>
            <w:r>
              <w:rPr>
                <w:rFonts w:hint="eastAsia" w:eastAsiaTheme="minorEastAsia"/>
                <w:szCs w:val="21"/>
              </w:rPr>
              <w:t>）</w:t>
            </w:r>
            <w:r>
              <w:rPr>
                <w:rFonts w:eastAsiaTheme="minorEastAsia"/>
                <w:szCs w:val="21"/>
              </w:rPr>
              <w:t xml:space="preserve">intel+T2 </w:t>
            </w:r>
            <w:r>
              <w:rPr>
                <w:rFonts w:hint="eastAsia" w:eastAsiaTheme="minorEastAsia"/>
                <w:szCs w:val="21"/>
              </w:rPr>
              <w:t>芯片的</w:t>
            </w:r>
            <w:r>
              <w:rPr>
                <w:rFonts w:eastAsiaTheme="minorEastAsia"/>
                <w:szCs w:val="21"/>
              </w:rPr>
              <w:t xml:space="preserve"> macOS </w:t>
            </w:r>
            <w:r>
              <w:rPr>
                <w:rFonts w:hint="eastAsia" w:eastAsiaTheme="minorEastAsia"/>
                <w:szCs w:val="21"/>
              </w:rPr>
              <w:t>脱密镜像的仿真，</w:t>
            </w:r>
            <w:r>
              <w:rPr>
                <w:rFonts w:eastAsiaTheme="minorEastAsia"/>
                <w:szCs w:val="21"/>
              </w:rPr>
              <w:t xml:space="preserve">macOS 4K </w:t>
            </w:r>
            <w:r>
              <w:rPr>
                <w:rFonts w:hint="eastAsia" w:eastAsiaTheme="minorEastAsia"/>
                <w:szCs w:val="21"/>
              </w:rPr>
              <w:t>扇区的仿真；</w:t>
            </w:r>
            <w:r>
              <w:rPr>
                <w:rFonts w:eastAsiaTheme="minorEastAsia"/>
                <w:szCs w:val="21"/>
              </w:rPr>
              <w:t>5</w:t>
            </w:r>
            <w:r>
              <w:rPr>
                <w:rFonts w:hint="eastAsia" w:eastAsiaTheme="minorEastAsia"/>
                <w:szCs w:val="21"/>
              </w:rPr>
              <w:t>）自动检测</w:t>
            </w:r>
            <w:r>
              <w:rPr>
                <w:rFonts w:eastAsiaTheme="minorEastAsia"/>
                <w:szCs w:val="21"/>
              </w:rPr>
              <w:t xml:space="preserve"> Windows </w:t>
            </w:r>
            <w:r>
              <w:rPr>
                <w:rFonts w:hint="eastAsia" w:eastAsiaTheme="minorEastAsia"/>
                <w:szCs w:val="21"/>
              </w:rPr>
              <w:t>账户密码（常用密码可直接显示明文）</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88"/>
              </w:numPr>
              <w:spacing w:line="360" w:lineRule="auto"/>
              <w:jc w:val="both"/>
              <w:rPr>
                <w:rFonts w:eastAsiaTheme="minorEastAsia"/>
                <w:szCs w:val="21"/>
              </w:rPr>
            </w:pPr>
          </w:p>
        </w:tc>
        <w:tc>
          <w:tcPr>
            <w:tcW w:w="364"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Cs w:val="21"/>
              </w:rPr>
            </w:pPr>
            <w:r>
              <w:rPr>
                <w:rFonts w:hint="eastAsia" w:eastAsiaTheme="minorEastAsia"/>
                <w:szCs w:val="21"/>
              </w:rPr>
              <w:t>★</w:t>
            </w:r>
          </w:p>
        </w:tc>
        <w:tc>
          <w:tcPr>
            <w:tcW w:w="550" w:type="pct"/>
            <w:vMerge w:val="restart"/>
            <w:tcBorders>
              <w:top w:val="single" w:color="auto" w:sz="4" w:space="0"/>
              <w:left w:val="single" w:color="auto" w:sz="4" w:space="0"/>
              <w:bottom w:val="single" w:color="auto" w:sz="4" w:space="0"/>
              <w:right w:val="single" w:color="auto" w:sz="4" w:space="0"/>
            </w:tcBorders>
            <w:vAlign w:val="center"/>
          </w:tcPr>
          <w:p>
            <w:pPr>
              <w:rPr>
                <w:rFonts w:ascii="宋体" w:hAnsi="宋体" w:eastAsiaTheme="minorEastAsia"/>
                <w:szCs w:val="21"/>
              </w:rPr>
            </w:pPr>
            <w:r>
              <w:rPr>
                <w:rFonts w:hint="eastAsia" w:ascii="宋体" w:hAnsi="宋体" w:eastAsiaTheme="minorEastAsia"/>
                <w:szCs w:val="21"/>
              </w:rPr>
              <w:t>介质分析模块</w:t>
            </w:r>
          </w:p>
        </w:tc>
        <w:tc>
          <w:tcPr>
            <w:tcW w:w="2581" w:type="pct"/>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szCs w:val="21"/>
              </w:rPr>
            </w:pPr>
            <w:r>
              <w:rPr>
                <w:rFonts w:hint="eastAsia" w:eastAsiaTheme="minorEastAsia"/>
                <w:szCs w:val="21"/>
              </w:rPr>
              <w:t>需支持不少于</w:t>
            </w:r>
            <w:r>
              <w:rPr>
                <w:rFonts w:eastAsiaTheme="minorEastAsia"/>
                <w:szCs w:val="21"/>
              </w:rPr>
              <w:t>3</w:t>
            </w:r>
            <w:r>
              <w:rPr>
                <w:rFonts w:hint="eastAsia" w:eastAsiaTheme="minorEastAsia"/>
                <w:szCs w:val="21"/>
              </w:rPr>
              <w:t>种类型介质解析功能，包括：</w:t>
            </w:r>
            <w:r>
              <w:rPr>
                <w:rFonts w:eastAsiaTheme="minorEastAsia"/>
                <w:szCs w:val="21"/>
              </w:rPr>
              <w:t>1</w:t>
            </w:r>
            <w:r>
              <w:rPr>
                <w:rFonts w:hint="eastAsia" w:eastAsiaTheme="minorEastAsia"/>
                <w:szCs w:val="21"/>
              </w:rPr>
              <w:t>）支持</w:t>
            </w:r>
            <w:r>
              <w:rPr>
                <w:rFonts w:eastAsiaTheme="minorEastAsia"/>
                <w:szCs w:val="21"/>
              </w:rPr>
              <w:t xml:space="preserve"> Xftp</w:t>
            </w:r>
            <w:r>
              <w:rPr>
                <w:rFonts w:hint="eastAsia" w:eastAsiaTheme="minorEastAsia"/>
                <w:szCs w:val="21"/>
              </w:rPr>
              <w:t>、</w:t>
            </w:r>
            <w:r>
              <w:rPr>
                <w:rFonts w:eastAsiaTheme="minorEastAsia"/>
                <w:szCs w:val="21"/>
              </w:rPr>
              <w:t xml:space="preserve">Xshell </w:t>
            </w:r>
            <w:r>
              <w:rPr>
                <w:rFonts w:hint="eastAsia" w:eastAsiaTheme="minorEastAsia"/>
                <w:szCs w:val="21"/>
              </w:rPr>
              <w:t>用户密钥等解析；</w:t>
            </w:r>
            <w:r>
              <w:rPr>
                <w:rFonts w:eastAsiaTheme="minorEastAsia"/>
                <w:szCs w:val="21"/>
              </w:rPr>
              <w:t>2</w:t>
            </w:r>
            <w:r>
              <w:rPr>
                <w:rFonts w:hint="eastAsia" w:eastAsiaTheme="minorEastAsia"/>
                <w:szCs w:val="21"/>
              </w:rPr>
              <w:t>）解析</w:t>
            </w:r>
            <w:r>
              <w:rPr>
                <w:rFonts w:eastAsiaTheme="minorEastAsia"/>
                <w:szCs w:val="21"/>
              </w:rPr>
              <w:t xml:space="preserve"> skype</w:t>
            </w:r>
            <w:r>
              <w:rPr>
                <w:rFonts w:hint="eastAsia" w:eastAsiaTheme="minorEastAsia"/>
                <w:szCs w:val="21"/>
              </w:rPr>
              <w:t>、</w:t>
            </w:r>
            <w:r>
              <w:rPr>
                <w:rFonts w:eastAsiaTheme="minorEastAsia"/>
                <w:szCs w:val="21"/>
              </w:rPr>
              <w:t>telegram</w:t>
            </w:r>
            <w:r>
              <w:rPr>
                <w:rFonts w:hint="eastAsia" w:eastAsiaTheme="minorEastAsia"/>
                <w:szCs w:val="21"/>
              </w:rPr>
              <w:t>、百度网盘等应用凭证并支持与云取证工具联动固定云数据；</w:t>
            </w:r>
            <w:r>
              <w:rPr>
                <w:rFonts w:eastAsiaTheme="minorEastAsia"/>
                <w:szCs w:val="21"/>
              </w:rPr>
              <w:t>3</w:t>
            </w:r>
            <w:r>
              <w:rPr>
                <w:rFonts w:hint="eastAsia" w:eastAsiaTheme="minorEastAsia"/>
                <w:szCs w:val="21"/>
              </w:rPr>
              <w:t>）支持内置数据库取证工具（支持</w:t>
            </w:r>
            <w:r>
              <w:rPr>
                <w:rFonts w:eastAsiaTheme="minorEastAsia"/>
                <w:szCs w:val="21"/>
              </w:rPr>
              <w:t xml:space="preserve"> Mysql &amp; qp </w:t>
            </w:r>
            <w:r>
              <w:rPr>
                <w:rFonts w:hint="eastAsia" w:eastAsiaTheme="minorEastAsia"/>
                <w:szCs w:val="21"/>
              </w:rPr>
              <w:t>文件解析、数据预览），无需在本地搭建</w:t>
            </w:r>
            <w:r>
              <w:rPr>
                <w:rFonts w:eastAsiaTheme="minorEastAsia"/>
                <w:szCs w:val="21"/>
              </w:rPr>
              <w:t xml:space="preserve"> Mysql </w:t>
            </w:r>
            <w:r>
              <w:rPr>
                <w:rFonts w:hint="eastAsia" w:eastAsiaTheme="minorEastAsia"/>
                <w:szCs w:val="21"/>
              </w:rPr>
              <w:t>环境即可直接查看数据库结构，对数据库进行表恢复、解析预览</w:t>
            </w:r>
          </w:p>
        </w:tc>
        <w:tc>
          <w:tcPr>
            <w:tcW w:w="883" w:type="pct"/>
            <w:vMerge w:val="restart"/>
            <w:tcBorders>
              <w:top w:val="single" w:color="auto" w:sz="4" w:space="0"/>
              <w:left w:val="single" w:color="auto" w:sz="4" w:space="0"/>
              <w:bottom w:val="single" w:color="auto" w:sz="4" w:space="0"/>
              <w:right w:val="single" w:color="auto" w:sz="4" w:space="0"/>
            </w:tcBorders>
            <w:vAlign w:val="center"/>
          </w:tcPr>
          <w:p>
            <w:pPr>
              <w:rPr>
                <w:rFonts w:ascii="宋体" w:hAnsi="宋体" w:eastAsiaTheme="minorEastAsia"/>
                <w:szCs w:val="21"/>
              </w:rPr>
            </w:pPr>
            <w:r>
              <w:rPr>
                <w:rFonts w:hint="eastAsia" w:ascii="宋体" w:hAnsi="宋体" w:eastAsiaTheme="minorEastAsia"/>
                <w:szCs w:val="21"/>
              </w:rPr>
              <w:t>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88"/>
              </w:numPr>
              <w:spacing w:line="360" w:lineRule="auto"/>
              <w:jc w:val="both"/>
              <w:rPr>
                <w:rFonts w:eastAsiaTheme="minorEastAsia"/>
                <w:szCs w:val="21"/>
              </w:rPr>
            </w:pPr>
          </w:p>
        </w:tc>
        <w:tc>
          <w:tcPr>
            <w:tcW w:w="364"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Cs w:val="21"/>
              </w:rPr>
            </w:pPr>
            <w:r>
              <w:rPr>
                <w:rFonts w:hint="eastAsia" w:ascii="宋体" w:hAnsi="宋体" w:eastAsiaTheme="minorEastAsia"/>
                <w:szCs w:val="21"/>
              </w:rPr>
              <w:t>▲</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Theme="minorEastAsia"/>
                <w:kern w:val="2"/>
                <w:szCs w:val="21"/>
              </w:rPr>
            </w:pPr>
          </w:p>
        </w:tc>
        <w:tc>
          <w:tcPr>
            <w:tcW w:w="2581"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需支持不少于</w:t>
            </w:r>
            <w:r>
              <w:rPr>
                <w:rFonts w:eastAsiaTheme="minorEastAsia"/>
                <w:szCs w:val="21"/>
              </w:rPr>
              <w:t>3</w:t>
            </w:r>
            <w:r>
              <w:rPr>
                <w:rFonts w:hint="eastAsia" w:eastAsiaTheme="minorEastAsia"/>
                <w:szCs w:val="21"/>
              </w:rPr>
              <w:t>种类型镜像</w:t>
            </w:r>
            <w:r>
              <w:rPr>
                <w:rFonts w:eastAsiaTheme="minorEastAsia"/>
                <w:szCs w:val="21"/>
              </w:rPr>
              <w:t>/</w:t>
            </w:r>
            <w:r>
              <w:rPr>
                <w:rFonts w:hint="eastAsia" w:eastAsiaTheme="minorEastAsia"/>
                <w:szCs w:val="21"/>
              </w:rPr>
              <w:t>备份分析功能，包括：</w:t>
            </w:r>
            <w:r>
              <w:rPr>
                <w:rFonts w:eastAsiaTheme="minorEastAsia"/>
                <w:szCs w:val="21"/>
              </w:rPr>
              <w:t>1</w:t>
            </w:r>
            <w:r>
              <w:rPr>
                <w:rFonts w:hint="eastAsia" w:eastAsiaTheme="minorEastAsia"/>
                <w:szCs w:val="21"/>
              </w:rPr>
              <w:t>）</w:t>
            </w:r>
            <w:r>
              <w:rPr>
                <w:rFonts w:eastAsiaTheme="minorEastAsia"/>
                <w:szCs w:val="21"/>
              </w:rPr>
              <w:t xml:space="preserve">APFS </w:t>
            </w:r>
            <w:r>
              <w:rPr>
                <w:rFonts w:hint="eastAsia" w:eastAsiaTheme="minorEastAsia"/>
                <w:szCs w:val="21"/>
              </w:rPr>
              <w:t>解密加载分析；支持</w:t>
            </w:r>
            <w:r>
              <w:rPr>
                <w:rFonts w:eastAsiaTheme="minorEastAsia"/>
                <w:szCs w:val="21"/>
              </w:rPr>
              <w:t xml:space="preserve"> M1 </w:t>
            </w:r>
            <w:r>
              <w:rPr>
                <w:rFonts w:hint="eastAsia" w:eastAsiaTheme="minorEastAsia"/>
                <w:szCs w:val="21"/>
              </w:rPr>
              <w:t>和</w:t>
            </w:r>
            <w:r>
              <w:rPr>
                <w:rFonts w:eastAsiaTheme="minorEastAsia"/>
                <w:szCs w:val="21"/>
              </w:rPr>
              <w:t xml:space="preserve"> M2 </w:t>
            </w:r>
            <w:r>
              <w:rPr>
                <w:rFonts w:hint="eastAsia" w:eastAsiaTheme="minorEastAsia"/>
                <w:szCs w:val="21"/>
              </w:rPr>
              <w:t>芯片</w:t>
            </w:r>
            <w:r>
              <w:rPr>
                <w:rFonts w:eastAsiaTheme="minorEastAsia"/>
                <w:szCs w:val="21"/>
              </w:rPr>
              <w:t xml:space="preserve"> macOS </w:t>
            </w:r>
            <w:r>
              <w:rPr>
                <w:rFonts w:hint="eastAsia" w:eastAsiaTheme="minorEastAsia"/>
                <w:szCs w:val="21"/>
              </w:rPr>
              <w:t>通过时间机器制作的备份解析；</w:t>
            </w:r>
            <w:r>
              <w:rPr>
                <w:rFonts w:eastAsiaTheme="minorEastAsia"/>
                <w:szCs w:val="21"/>
              </w:rPr>
              <w:t>2</w:t>
            </w:r>
            <w:r>
              <w:rPr>
                <w:rFonts w:hint="eastAsia" w:eastAsiaTheme="minorEastAsia"/>
                <w:szCs w:val="21"/>
              </w:rPr>
              <w:t>）支持</w:t>
            </w:r>
            <w:r>
              <w:rPr>
                <w:rFonts w:eastAsiaTheme="minorEastAsia"/>
                <w:szCs w:val="21"/>
              </w:rPr>
              <w:t xml:space="preserve"> VHD</w:t>
            </w:r>
            <w:r>
              <w:rPr>
                <w:rFonts w:hint="eastAsia" w:eastAsiaTheme="minorEastAsia"/>
                <w:szCs w:val="21"/>
              </w:rPr>
              <w:t>、</w:t>
            </w:r>
            <w:r>
              <w:rPr>
                <w:rFonts w:eastAsiaTheme="minorEastAsia"/>
                <w:szCs w:val="21"/>
              </w:rPr>
              <w:t>VHDX</w:t>
            </w:r>
            <w:r>
              <w:rPr>
                <w:rFonts w:hint="eastAsia" w:eastAsiaTheme="minorEastAsia"/>
                <w:szCs w:val="21"/>
              </w:rPr>
              <w:t>、</w:t>
            </w:r>
            <w:r>
              <w:rPr>
                <w:rFonts w:eastAsiaTheme="minorEastAsia"/>
                <w:szCs w:val="21"/>
              </w:rPr>
              <w:t>VMDK</w:t>
            </w:r>
            <w:r>
              <w:rPr>
                <w:rFonts w:hint="eastAsia" w:eastAsiaTheme="minorEastAsia"/>
                <w:szCs w:val="21"/>
              </w:rPr>
              <w:t>、</w:t>
            </w:r>
            <w:r>
              <w:rPr>
                <w:rFonts w:eastAsiaTheme="minorEastAsia"/>
                <w:szCs w:val="21"/>
              </w:rPr>
              <w:t>VDI</w:t>
            </w:r>
            <w:r>
              <w:rPr>
                <w:rFonts w:hint="eastAsia" w:eastAsiaTheme="minorEastAsia"/>
                <w:szCs w:val="21"/>
              </w:rPr>
              <w:t>、</w:t>
            </w:r>
            <w:r>
              <w:rPr>
                <w:rFonts w:eastAsiaTheme="minorEastAsia"/>
                <w:szCs w:val="21"/>
              </w:rPr>
              <w:t>QCOW2</w:t>
            </w:r>
            <w:r>
              <w:rPr>
                <w:rFonts w:hint="eastAsia" w:eastAsiaTheme="minorEastAsia"/>
                <w:szCs w:val="21"/>
              </w:rPr>
              <w:t>、</w:t>
            </w:r>
            <w:r>
              <w:rPr>
                <w:rFonts w:eastAsiaTheme="minorEastAsia"/>
                <w:szCs w:val="21"/>
              </w:rPr>
              <w:t xml:space="preserve">RAW </w:t>
            </w:r>
            <w:r>
              <w:rPr>
                <w:rFonts w:hint="eastAsia" w:eastAsiaTheme="minorEastAsia"/>
                <w:szCs w:val="21"/>
              </w:rPr>
              <w:t>等镜像解析；</w:t>
            </w:r>
            <w:r>
              <w:rPr>
                <w:rFonts w:eastAsiaTheme="minorEastAsia"/>
                <w:szCs w:val="21"/>
              </w:rPr>
              <w:t>3</w:t>
            </w:r>
            <w:r>
              <w:rPr>
                <w:rFonts w:hint="eastAsia" w:eastAsiaTheme="minorEastAsia"/>
                <w:szCs w:val="21"/>
              </w:rPr>
              <w:t>）支持证据嵌套识别，可识别</w:t>
            </w:r>
            <w:r>
              <w:rPr>
                <w:rFonts w:eastAsiaTheme="minorEastAsia"/>
                <w:szCs w:val="21"/>
              </w:rPr>
              <w:t xml:space="preserve"> iOS </w:t>
            </w:r>
            <w:r>
              <w:rPr>
                <w:rFonts w:hint="eastAsia" w:eastAsiaTheme="minorEastAsia"/>
                <w:szCs w:val="21"/>
              </w:rPr>
              <w:t>备份、</w:t>
            </w:r>
            <w:r>
              <w:rPr>
                <w:rFonts w:eastAsiaTheme="minorEastAsia"/>
                <w:szCs w:val="21"/>
              </w:rPr>
              <w:t xml:space="preserve">Android </w:t>
            </w:r>
            <w:r>
              <w:rPr>
                <w:rFonts w:hint="eastAsia" w:eastAsiaTheme="minorEastAsia"/>
                <w:szCs w:val="21"/>
              </w:rPr>
              <w:t>备份、</w:t>
            </w:r>
            <w:r>
              <w:rPr>
                <w:rFonts w:eastAsiaTheme="minorEastAsia"/>
                <w:szCs w:val="21"/>
              </w:rPr>
              <w:t>Vmware/</w:t>
            </w:r>
            <w:r>
              <w:rPr>
                <w:rFonts w:hint="eastAsia" w:eastAsiaTheme="minorEastAsia"/>
                <w:szCs w:val="21"/>
              </w:rPr>
              <w:t>等虚拟机证据，支持同一案件内嵌套证据的直接加载分析，无需导出</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88"/>
              </w:numPr>
              <w:spacing w:line="360" w:lineRule="auto"/>
              <w:jc w:val="both"/>
              <w:rPr>
                <w:rFonts w:eastAsiaTheme="minorEastAsia"/>
                <w:szCs w:val="21"/>
              </w:rPr>
            </w:pPr>
          </w:p>
        </w:tc>
        <w:tc>
          <w:tcPr>
            <w:tcW w:w="364"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Theme="minorEastAsia"/>
                <w:szCs w:val="21"/>
              </w:rPr>
            </w:pPr>
            <w:r>
              <w:rPr>
                <w:rFonts w:hint="eastAsia" w:eastAsiaTheme="minorEastAsia"/>
                <w:szCs w:val="21"/>
              </w:rPr>
              <w:t>★</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Theme="minorEastAsia"/>
                <w:kern w:val="2"/>
                <w:szCs w:val="21"/>
              </w:rPr>
            </w:pPr>
          </w:p>
        </w:tc>
        <w:tc>
          <w:tcPr>
            <w:tcW w:w="2581" w:type="pct"/>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szCs w:val="21"/>
              </w:rPr>
            </w:pPr>
            <w:r>
              <w:rPr>
                <w:rFonts w:hint="eastAsia" w:eastAsiaTheme="minorEastAsia"/>
                <w:szCs w:val="21"/>
              </w:rPr>
              <w:t>支持</w:t>
            </w:r>
            <w:r>
              <w:rPr>
                <w:rFonts w:eastAsiaTheme="minorEastAsia"/>
                <w:szCs w:val="21"/>
              </w:rPr>
              <w:t xml:space="preserve"> Windows </w:t>
            </w:r>
            <w:r>
              <w:rPr>
                <w:rFonts w:hint="eastAsia" w:eastAsiaTheme="minorEastAsia"/>
                <w:szCs w:val="21"/>
              </w:rPr>
              <w:t>主流浏览器保存的用户账号、对应网站、密码解析，不少于</w:t>
            </w:r>
            <w:r>
              <w:rPr>
                <w:rFonts w:eastAsiaTheme="minorEastAsia"/>
                <w:szCs w:val="21"/>
              </w:rPr>
              <w:t>9</w:t>
            </w:r>
            <w:r>
              <w:rPr>
                <w:rFonts w:hint="eastAsia" w:eastAsiaTheme="minorEastAsia"/>
                <w:szCs w:val="21"/>
              </w:rPr>
              <w:t>种浏览器，包括：</w:t>
            </w:r>
            <w:r>
              <w:rPr>
                <w:rFonts w:eastAsiaTheme="minorEastAsia"/>
                <w:szCs w:val="21"/>
              </w:rPr>
              <w:t xml:space="preserve"> 2345 </w:t>
            </w:r>
            <w:r>
              <w:rPr>
                <w:rFonts w:hint="eastAsia" w:eastAsiaTheme="minorEastAsia"/>
                <w:szCs w:val="21"/>
              </w:rPr>
              <w:t>浏览器、搜狗浏览器、</w:t>
            </w:r>
            <w:r>
              <w:rPr>
                <w:rFonts w:eastAsiaTheme="minorEastAsia"/>
                <w:szCs w:val="21"/>
              </w:rPr>
              <w:t xml:space="preserve">Chrome </w:t>
            </w:r>
            <w:r>
              <w:rPr>
                <w:rFonts w:hint="eastAsia" w:eastAsiaTheme="minorEastAsia"/>
                <w:szCs w:val="21"/>
              </w:rPr>
              <w:t>浏览器、火狐浏览器、</w:t>
            </w:r>
            <w:r>
              <w:rPr>
                <w:rFonts w:eastAsiaTheme="minorEastAsia"/>
                <w:szCs w:val="21"/>
              </w:rPr>
              <w:t xml:space="preserve">Edge </w:t>
            </w:r>
            <w:r>
              <w:rPr>
                <w:rFonts w:hint="eastAsia" w:eastAsiaTheme="minorEastAsia"/>
                <w:szCs w:val="21"/>
              </w:rPr>
              <w:t>浏览器、</w:t>
            </w:r>
            <w:r>
              <w:rPr>
                <w:rFonts w:eastAsiaTheme="minorEastAsia"/>
                <w:szCs w:val="21"/>
              </w:rPr>
              <w:t xml:space="preserve">360 </w:t>
            </w:r>
            <w:r>
              <w:rPr>
                <w:rFonts w:hint="eastAsia" w:eastAsiaTheme="minorEastAsia"/>
                <w:szCs w:val="21"/>
              </w:rPr>
              <w:t>安全浏览器、</w:t>
            </w:r>
            <w:r>
              <w:rPr>
                <w:rFonts w:eastAsiaTheme="minorEastAsia"/>
                <w:szCs w:val="21"/>
              </w:rPr>
              <w:t xml:space="preserve">QQ </w:t>
            </w:r>
            <w:r>
              <w:rPr>
                <w:rFonts w:hint="eastAsia" w:eastAsiaTheme="minorEastAsia"/>
                <w:szCs w:val="21"/>
              </w:rPr>
              <w:t>浏览器、</w:t>
            </w:r>
            <w:r>
              <w:rPr>
                <w:rFonts w:eastAsiaTheme="minorEastAsia"/>
                <w:szCs w:val="21"/>
              </w:rPr>
              <w:t>Opera</w:t>
            </w:r>
            <w:r>
              <w:rPr>
                <w:rFonts w:hint="eastAsia" w:eastAsiaTheme="minorEastAsia"/>
                <w:szCs w:val="21"/>
              </w:rPr>
              <w:t>浏览器、双核浏览器</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88"/>
              </w:numPr>
              <w:spacing w:line="360" w:lineRule="auto"/>
              <w:jc w:val="both"/>
              <w:rPr>
                <w:rFonts w:eastAsiaTheme="minorEastAsia"/>
                <w:szCs w:val="21"/>
              </w:rPr>
            </w:pPr>
          </w:p>
        </w:tc>
        <w:tc>
          <w:tcPr>
            <w:tcW w:w="364"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Cs w:val="21"/>
              </w:rPr>
            </w:pPr>
            <w:r>
              <w:rPr>
                <w:rFonts w:hint="eastAsia" w:eastAsiaTheme="minorEastAsia"/>
                <w:szCs w:val="21"/>
              </w:rPr>
              <w:t>★</w:t>
            </w:r>
          </w:p>
        </w:tc>
        <w:tc>
          <w:tcPr>
            <w:tcW w:w="550" w:type="pct"/>
            <w:vMerge w:val="restart"/>
            <w:tcBorders>
              <w:top w:val="single" w:color="auto" w:sz="4" w:space="0"/>
              <w:left w:val="single" w:color="auto" w:sz="4" w:space="0"/>
              <w:bottom w:val="single" w:color="auto" w:sz="4" w:space="0"/>
              <w:right w:val="single" w:color="auto" w:sz="4" w:space="0"/>
            </w:tcBorders>
            <w:vAlign w:val="center"/>
          </w:tcPr>
          <w:p>
            <w:pPr>
              <w:rPr>
                <w:rFonts w:ascii="宋体" w:hAnsi="宋体" w:eastAsiaTheme="minorEastAsia"/>
                <w:szCs w:val="21"/>
              </w:rPr>
            </w:pPr>
            <w:r>
              <w:rPr>
                <w:rFonts w:hint="eastAsia" w:ascii="宋体" w:hAnsi="宋体" w:eastAsiaTheme="minorEastAsia"/>
                <w:szCs w:val="21"/>
              </w:rPr>
              <w:t>移动终端分析模块</w:t>
            </w:r>
          </w:p>
        </w:tc>
        <w:tc>
          <w:tcPr>
            <w:tcW w:w="2581" w:type="pct"/>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szCs w:val="21"/>
              </w:rPr>
            </w:pPr>
            <w:r>
              <w:rPr>
                <w:rFonts w:hint="eastAsia" w:eastAsiaTheme="minorEastAsia"/>
                <w:szCs w:val="21"/>
              </w:rPr>
              <w:t>需支持不少于</w:t>
            </w:r>
            <w:r>
              <w:rPr>
                <w:rFonts w:eastAsiaTheme="minorEastAsia"/>
                <w:szCs w:val="21"/>
              </w:rPr>
              <w:t>5</w:t>
            </w:r>
            <w:r>
              <w:rPr>
                <w:rFonts w:hint="eastAsia" w:eastAsiaTheme="minorEastAsia"/>
                <w:szCs w:val="21"/>
              </w:rPr>
              <w:t>种类型终端解析功能，包括：</w:t>
            </w:r>
            <w:r>
              <w:rPr>
                <w:rFonts w:eastAsiaTheme="minorEastAsia"/>
                <w:szCs w:val="21"/>
              </w:rPr>
              <w:t>1</w:t>
            </w:r>
            <w:r>
              <w:rPr>
                <w:rFonts w:hint="eastAsia" w:eastAsiaTheme="minorEastAsia"/>
                <w:szCs w:val="21"/>
              </w:rPr>
              <w:t>）支持检测、提取三星安全文件夹；</w:t>
            </w:r>
            <w:r>
              <w:rPr>
                <w:rFonts w:eastAsiaTheme="minorEastAsia"/>
                <w:szCs w:val="21"/>
              </w:rPr>
              <w:t>2</w:t>
            </w:r>
            <w:r>
              <w:rPr>
                <w:rFonts w:hint="eastAsia" w:eastAsiaTheme="minorEastAsia"/>
                <w:szCs w:val="21"/>
              </w:rPr>
              <w:t>）支持华为在</w:t>
            </w:r>
            <w:r>
              <w:rPr>
                <w:rFonts w:eastAsiaTheme="minorEastAsia"/>
                <w:szCs w:val="21"/>
              </w:rPr>
              <w:t xml:space="preserve"> USB </w:t>
            </w:r>
            <w:r>
              <w:rPr>
                <w:rFonts w:hint="eastAsia" w:eastAsiaTheme="minorEastAsia"/>
                <w:szCs w:val="21"/>
              </w:rPr>
              <w:t>调试无法打开的情况下跳过隐私锁密码直接提取</w:t>
            </w:r>
            <w:r>
              <w:rPr>
                <w:rFonts w:eastAsiaTheme="minorEastAsia"/>
                <w:szCs w:val="21"/>
              </w:rPr>
              <w:t>;3</w:t>
            </w:r>
            <w:r>
              <w:rPr>
                <w:rFonts w:hint="eastAsia" w:eastAsiaTheme="minorEastAsia"/>
                <w:szCs w:val="21"/>
              </w:rPr>
              <w:t>）支持解析应用凭证并支持与云取证联动固定云数据；</w:t>
            </w:r>
            <w:r>
              <w:rPr>
                <w:rFonts w:eastAsiaTheme="minorEastAsia"/>
                <w:szCs w:val="21"/>
              </w:rPr>
              <w:t>4</w:t>
            </w:r>
            <w:r>
              <w:rPr>
                <w:rFonts w:hint="eastAsia" w:eastAsiaTheme="minorEastAsia"/>
                <w:szCs w:val="21"/>
              </w:rPr>
              <w:t>）支持对未知应用的分析，能够直接查看未知应用内数据库文件的内容；</w:t>
            </w:r>
            <w:r>
              <w:rPr>
                <w:rFonts w:eastAsiaTheme="minorEastAsia"/>
                <w:szCs w:val="21"/>
              </w:rPr>
              <w:t>5</w:t>
            </w:r>
            <w:r>
              <w:rPr>
                <w:rFonts w:hint="eastAsia" w:eastAsiaTheme="minorEastAsia"/>
                <w:szCs w:val="21"/>
              </w:rPr>
              <w:t>）支持证据嵌套识别，可自动识别</w:t>
            </w:r>
            <w:r>
              <w:rPr>
                <w:rFonts w:eastAsiaTheme="minorEastAsia"/>
                <w:szCs w:val="21"/>
              </w:rPr>
              <w:t xml:space="preserve"> iOS </w:t>
            </w:r>
            <w:r>
              <w:rPr>
                <w:rFonts w:hint="eastAsia" w:eastAsiaTheme="minorEastAsia"/>
                <w:szCs w:val="21"/>
              </w:rPr>
              <w:t>、</w:t>
            </w:r>
            <w:r>
              <w:rPr>
                <w:rFonts w:eastAsiaTheme="minorEastAsia"/>
                <w:szCs w:val="21"/>
              </w:rPr>
              <w:t xml:space="preserve">Android </w:t>
            </w:r>
            <w:r>
              <w:rPr>
                <w:rFonts w:hint="eastAsia" w:eastAsiaTheme="minorEastAsia"/>
                <w:szCs w:val="21"/>
              </w:rPr>
              <w:t>备份等证据，支持同一案件内的嵌套证据无需导出直接加载分析</w:t>
            </w:r>
          </w:p>
        </w:tc>
        <w:tc>
          <w:tcPr>
            <w:tcW w:w="883" w:type="pct"/>
            <w:vMerge w:val="restart"/>
            <w:tcBorders>
              <w:top w:val="single" w:color="auto" w:sz="4" w:space="0"/>
              <w:left w:val="single" w:color="auto" w:sz="4" w:space="0"/>
              <w:bottom w:val="single" w:color="auto" w:sz="4" w:space="0"/>
              <w:right w:val="single" w:color="auto" w:sz="4" w:space="0"/>
            </w:tcBorders>
            <w:vAlign w:val="center"/>
          </w:tcPr>
          <w:p>
            <w:pPr>
              <w:rPr>
                <w:rFonts w:ascii="宋体" w:hAnsi="宋体" w:eastAsiaTheme="minorEastAsia"/>
                <w:szCs w:val="21"/>
              </w:rPr>
            </w:pPr>
            <w:r>
              <w:rPr>
                <w:rFonts w:hint="eastAsia" w:ascii="宋体" w:hAnsi="宋体" w:eastAsiaTheme="minorEastAsia"/>
                <w:szCs w:val="21"/>
              </w:rPr>
              <w:t>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88"/>
              </w:numPr>
              <w:spacing w:line="360" w:lineRule="auto"/>
              <w:jc w:val="both"/>
              <w:rPr>
                <w:rFonts w:eastAsiaTheme="minorEastAsia"/>
                <w:szCs w:val="21"/>
              </w:rPr>
            </w:pPr>
          </w:p>
        </w:tc>
        <w:tc>
          <w:tcPr>
            <w:tcW w:w="364"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Cs w:val="21"/>
              </w:rPr>
            </w:pPr>
            <w:r>
              <w:rPr>
                <w:rFonts w:hint="eastAsia" w:ascii="宋体" w:hAnsi="宋体" w:cs="宋体" w:eastAsiaTheme="minorEastAsia"/>
                <w:szCs w:val="21"/>
              </w:rPr>
              <w:t>▲</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Theme="minorEastAsia"/>
                <w:kern w:val="2"/>
                <w:szCs w:val="21"/>
              </w:rPr>
            </w:pPr>
          </w:p>
        </w:tc>
        <w:tc>
          <w:tcPr>
            <w:tcW w:w="2581"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需支持不少于</w:t>
            </w:r>
            <w:r>
              <w:rPr>
                <w:rFonts w:eastAsiaTheme="minorEastAsia"/>
                <w:szCs w:val="21"/>
              </w:rPr>
              <w:t>3</w:t>
            </w:r>
            <w:r>
              <w:rPr>
                <w:rFonts w:hint="eastAsia" w:eastAsiaTheme="minorEastAsia"/>
                <w:szCs w:val="21"/>
              </w:rPr>
              <w:t>种类型终端提取</w:t>
            </w:r>
            <w:r>
              <w:rPr>
                <w:rFonts w:eastAsiaTheme="minorEastAsia"/>
                <w:szCs w:val="21"/>
              </w:rPr>
              <w:t>/</w:t>
            </w:r>
            <w:r>
              <w:rPr>
                <w:rFonts w:hint="eastAsia" w:eastAsiaTheme="minorEastAsia"/>
                <w:szCs w:val="21"/>
              </w:rPr>
              <w:t>解析功能，包括：</w:t>
            </w:r>
            <w:r>
              <w:rPr>
                <w:rFonts w:eastAsiaTheme="minorEastAsia"/>
                <w:szCs w:val="21"/>
              </w:rPr>
              <w:t>1</w:t>
            </w:r>
            <w:r>
              <w:rPr>
                <w:rFonts w:hint="eastAsia" w:eastAsiaTheme="minorEastAsia"/>
                <w:szCs w:val="21"/>
              </w:rPr>
              <w:t>）支持美版等外版三星手机的高级备份提取，支持三星手机显示地区版本；</w:t>
            </w:r>
            <w:r>
              <w:rPr>
                <w:rFonts w:eastAsiaTheme="minorEastAsia"/>
                <w:szCs w:val="21"/>
              </w:rPr>
              <w:t>2</w:t>
            </w:r>
            <w:r>
              <w:rPr>
                <w:rFonts w:hint="eastAsia" w:eastAsiaTheme="minorEastAsia"/>
                <w:szCs w:val="21"/>
              </w:rPr>
              <w:t>）支持华为、小米、</w:t>
            </w:r>
            <w:r>
              <w:rPr>
                <w:rFonts w:eastAsiaTheme="minorEastAsia"/>
                <w:szCs w:val="21"/>
              </w:rPr>
              <w:t>oppo</w:t>
            </w:r>
            <w:r>
              <w:rPr>
                <w:rFonts w:hint="eastAsia" w:eastAsiaTheme="minorEastAsia"/>
                <w:szCs w:val="21"/>
              </w:rPr>
              <w:t>、</w:t>
            </w:r>
            <w:r>
              <w:rPr>
                <w:rFonts w:eastAsiaTheme="minorEastAsia"/>
                <w:szCs w:val="21"/>
              </w:rPr>
              <w:t xml:space="preserve">vivo </w:t>
            </w:r>
            <w:r>
              <w:rPr>
                <w:rFonts w:hint="eastAsia" w:eastAsiaTheme="minorEastAsia"/>
                <w:szCs w:val="21"/>
              </w:rPr>
              <w:t>无需数据线连接设备、无需开启开发者模式、</w:t>
            </w:r>
            <w:r>
              <w:rPr>
                <w:rFonts w:eastAsiaTheme="minorEastAsia"/>
                <w:szCs w:val="21"/>
              </w:rPr>
              <w:t xml:space="preserve">usb </w:t>
            </w:r>
            <w:r>
              <w:rPr>
                <w:rFonts w:hint="eastAsia" w:eastAsiaTheme="minorEastAsia"/>
                <w:szCs w:val="21"/>
              </w:rPr>
              <w:t>调试进行无线提取实现通话记录、通讯录、短信、</w:t>
            </w:r>
            <w:r>
              <w:rPr>
                <w:rFonts w:eastAsiaTheme="minorEastAsia"/>
                <w:szCs w:val="21"/>
              </w:rPr>
              <w:t>QQ</w:t>
            </w:r>
            <w:r>
              <w:rPr>
                <w:rFonts w:hint="eastAsia" w:eastAsiaTheme="minorEastAsia"/>
                <w:szCs w:val="21"/>
              </w:rPr>
              <w:t>、微信等系统及第三方应用数据提取恢复；</w:t>
            </w:r>
            <w:r>
              <w:rPr>
                <w:rFonts w:eastAsiaTheme="minorEastAsia"/>
                <w:szCs w:val="21"/>
              </w:rPr>
              <w:t>3</w:t>
            </w:r>
            <w:r>
              <w:rPr>
                <w:rFonts w:hint="eastAsia" w:eastAsiaTheme="minorEastAsia"/>
                <w:szCs w:val="21"/>
              </w:rPr>
              <w:t>）支持</w:t>
            </w:r>
            <w:r>
              <w:rPr>
                <w:rFonts w:eastAsiaTheme="minorEastAsia"/>
                <w:szCs w:val="21"/>
              </w:rPr>
              <w:t xml:space="preserve"> Android </w:t>
            </w:r>
            <w:r>
              <w:rPr>
                <w:rFonts w:hint="eastAsia" w:eastAsiaTheme="minorEastAsia"/>
                <w:szCs w:val="21"/>
              </w:rPr>
              <w:t>设备临时提权进行高级</w:t>
            </w:r>
            <w:r>
              <w:rPr>
                <w:rFonts w:eastAsiaTheme="minorEastAsia"/>
                <w:szCs w:val="21"/>
              </w:rPr>
              <w:t xml:space="preserve"> ADB </w:t>
            </w:r>
            <w:r>
              <w:rPr>
                <w:rFonts w:hint="eastAsia" w:eastAsiaTheme="minorEastAsia"/>
                <w:szCs w:val="21"/>
              </w:rPr>
              <w:t>镜像</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7" w:hRule="atLeast"/>
          <w:jc w:val="center"/>
        </w:trPr>
        <w:tc>
          <w:tcPr>
            <w:tcW w:w="62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88"/>
              </w:numPr>
              <w:spacing w:line="360" w:lineRule="auto"/>
              <w:jc w:val="both"/>
              <w:rPr>
                <w:rFonts w:eastAsiaTheme="minorEastAsia"/>
                <w:szCs w:val="21"/>
              </w:rPr>
            </w:pPr>
          </w:p>
        </w:tc>
        <w:tc>
          <w:tcPr>
            <w:tcW w:w="364"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Cs w:val="21"/>
              </w:rPr>
            </w:pPr>
            <w:r>
              <w:rPr>
                <w:rFonts w:hint="eastAsia" w:ascii="宋体" w:hAnsi="宋体" w:cs="宋体" w:eastAsiaTheme="minorEastAsia"/>
                <w:szCs w:val="21"/>
              </w:rPr>
              <w:t>▲</w:t>
            </w:r>
          </w:p>
        </w:tc>
        <w:tc>
          <w:tcPr>
            <w:tcW w:w="550" w:type="pct"/>
            <w:vMerge w:val="restart"/>
            <w:tcBorders>
              <w:top w:val="single" w:color="auto" w:sz="4" w:space="0"/>
              <w:left w:val="single" w:color="auto" w:sz="4" w:space="0"/>
              <w:right w:val="single" w:color="auto" w:sz="4" w:space="0"/>
            </w:tcBorders>
            <w:vAlign w:val="center"/>
          </w:tcPr>
          <w:p>
            <w:pPr>
              <w:rPr>
                <w:rFonts w:ascii="宋体" w:hAnsi="宋体" w:eastAsiaTheme="minorEastAsia"/>
                <w:szCs w:val="21"/>
              </w:rPr>
            </w:pPr>
            <w:r>
              <w:rPr>
                <w:rFonts w:hint="eastAsia" w:ascii="宋体" w:hAnsi="宋体" w:eastAsiaTheme="minorEastAsia"/>
                <w:szCs w:val="21"/>
              </w:rPr>
              <w:t>数据恢复模块</w:t>
            </w:r>
          </w:p>
        </w:tc>
        <w:tc>
          <w:tcPr>
            <w:tcW w:w="2581"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支持简单删除文件恢复，不少于</w:t>
            </w:r>
            <w:r>
              <w:rPr>
                <w:rFonts w:eastAsiaTheme="minorEastAsia"/>
                <w:szCs w:val="21"/>
              </w:rPr>
              <w:t>3</w:t>
            </w:r>
            <w:r>
              <w:rPr>
                <w:rFonts w:hint="eastAsia" w:eastAsiaTheme="minorEastAsia"/>
                <w:szCs w:val="21"/>
              </w:rPr>
              <w:t>种恢复方式，包括：</w:t>
            </w:r>
            <w:r>
              <w:rPr>
                <w:rFonts w:eastAsiaTheme="minorEastAsia"/>
                <w:szCs w:val="21"/>
              </w:rPr>
              <w:t>1</w:t>
            </w:r>
            <w:r>
              <w:rPr>
                <w:rFonts w:hint="eastAsia" w:eastAsiaTheme="minorEastAsia"/>
                <w:szCs w:val="21"/>
              </w:rPr>
              <w:t>）格式化后的文件恢复；</w:t>
            </w:r>
            <w:r>
              <w:rPr>
                <w:rFonts w:eastAsiaTheme="minorEastAsia"/>
                <w:szCs w:val="21"/>
              </w:rPr>
              <w:t>2</w:t>
            </w:r>
            <w:r>
              <w:rPr>
                <w:rFonts w:hint="eastAsia" w:eastAsiaTheme="minorEastAsia"/>
                <w:szCs w:val="21"/>
              </w:rPr>
              <w:t>）被删除的磁盘分区恢复；</w:t>
            </w:r>
            <w:r>
              <w:rPr>
                <w:rFonts w:eastAsiaTheme="minorEastAsia"/>
                <w:szCs w:val="21"/>
              </w:rPr>
              <w:t>3</w:t>
            </w:r>
            <w:r>
              <w:rPr>
                <w:rFonts w:hint="eastAsia" w:eastAsiaTheme="minorEastAsia"/>
                <w:szCs w:val="21"/>
              </w:rPr>
              <w:t>）根据文件头尾特征对被删除文件进行恢复</w:t>
            </w:r>
          </w:p>
        </w:tc>
        <w:tc>
          <w:tcPr>
            <w:tcW w:w="883" w:type="pct"/>
            <w:vMerge w:val="restart"/>
            <w:tcBorders>
              <w:top w:val="single" w:color="auto" w:sz="4" w:space="0"/>
              <w:left w:val="single" w:color="auto" w:sz="4" w:space="0"/>
              <w:right w:val="single" w:color="auto" w:sz="4" w:space="0"/>
            </w:tcBorders>
            <w:vAlign w:val="center"/>
          </w:tcPr>
          <w:p>
            <w:pPr>
              <w:rPr>
                <w:rFonts w:ascii="宋体" w:hAnsi="宋体" w:eastAsiaTheme="minorEastAsia"/>
                <w:szCs w:val="21"/>
              </w:rPr>
            </w:pPr>
            <w:r>
              <w:rPr>
                <w:rFonts w:hint="eastAsia" w:ascii="宋体" w:hAnsi="宋体" w:eastAsiaTheme="minorEastAsia"/>
                <w:szCs w:val="21"/>
              </w:rPr>
              <w:t>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62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88"/>
              </w:numPr>
              <w:spacing w:line="360" w:lineRule="auto"/>
              <w:jc w:val="both"/>
              <w:rPr>
                <w:rFonts w:eastAsiaTheme="minorEastAsia"/>
                <w:szCs w:val="21"/>
              </w:rPr>
            </w:pPr>
          </w:p>
        </w:tc>
        <w:tc>
          <w:tcPr>
            <w:tcW w:w="364"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eastAsiaTheme="minorEastAsia"/>
                <w:szCs w:val="21"/>
              </w:rPr>
            </w:pPr>
            <w:r>
              <w:rPr>
                <w:rFonts w:hint="eastAsia" w:ascii="宋体" w:hAnsi="宋体" w:cs="宋体" w:eastAsiaTheme="minorEastAsia"/>
                <w:szCs w:val="21"/>
              </w:rPr>
              <w:t>▲</w:t>
            </w:r>
          </w:p>
        </w:tc>
        <w:tc>
          <w:tcPr>
            <w:tcW w:w="550" w:type="pct"/>
            <w:vMerge w:val="continue"/>
            <w:tcBorders>
              <w:left w:val="single" w:color="auto" w:sz="4" w:space="0"/>
              <w:bottom w:val="single" w:color="auto" w:sz="4" w:space="0"/>
              <w:right w:val="single" w:color="auto" w:sz="4" w:space="0"/>
            </w:tcBorders>
            <w:vAlign w:val="center"/>
          </w:tcPr>
          <w:p>
            <w:pPr>
              <w:rPr>
                <w:rFonts w:ascii="宋体" w:hAnsi="宋体" w:eastAsiaTheme="minorEastAsia"/>
                <w:szCs w:val="21"/>
              </w:rPr>
            </w:pPr>
          </w:p>
        </w:tc>
        <w:tc>
          <w:tcPr>
            <w:tcW w:w="2581" w:type="pct"/>
            <w:tcBorders>
              <w:top w:val="single" w:color="auto" w:sz="4" w:space="0"/>
              <w:left w:val="single" w:color="auto" w:sz="4" w:space="0"/>
              <w:bottom w:val="single" w:color="auto" w:sz="4" w:space="0"/>
              <w:right w:val="single" w:color="auto" w:sz="4" w:space="0"/>
            </w:tcBorders>
            <w:vAlign w:val="center"/>
          </w:tcPr>
          <w:p>
            <w:pPr>
              <w:rPr>
                <w:rFonts w:eastAsiaTheme="minorEastAsia"/>
                <w:szCs w:val="21"/>
              </w:rPr>
            </w:pPr>
            <w:r>
              <w:rPr>
                <w:rFonts w:hint="eastAsia" w:eastAsiaTheme="minorEastAsia"/>
                <w:szCs w:val="21"/>
              </w:rPr>
              <w:t>支持修复损坏的文件，不少于</w:t>
            </w:r>
            <w:r>
              <w:rPr>
                <w:rFonts w:eastAsiaTheme="minorEastAsia"/>
                <w:szCs w:val="21"/>
              </w:rPr>
              <w:t>5</w:t>
            </w:r>
            <w:r>
              <w:rPr>
                <w:rFonts w:hint="eastAsia" w:eastAsiaTheme="minorEastAsia"/>
                <w:szCs w:val="21"/>
              </w:rPr>
              <w:t>种类型，包括：</w:t>
            </w:r>
            <w:r>
              <w:rPr>
                <w:rFonts w:eastAsiaTheme="minorEastAsia"/>
                <w:szCs w:val="21"/>
              </w:rPr>
              <w:t>1</w:t>
            </w:r>
            <w:r>
              <w:rPr>
                <w:rFonts w:hint="eastAsia" w:eastAsiaTheme="minorEastAsia"/>
                <w:szCs w:val="21"/>
              </w:rPr>
              <w:t>）视频；</w:t>
            </w:r>
            <w:r>
              <w:rPr>
                <w:rFonts w:eastAsiaTheme="minorEastAsia"/>
                <w:szCs w:val="21"/>
              </w:rPr>
              <w:t>2</w:t>
            </w:r>
            <w:r>
              <w:rPr>
                <w:rFonts w:hint="eastAsia" w:eastAsiaTheme="minorEastAsia"/>
                <w:szCs w:val="21"/>
              </w:rPr>
              <w:t>）音频；</w:t>
            </w:r>
            <w:r>
              <w:rPr>
                <w:rFonts w:eastAsiaTheme="minorEastAsia"/>
                <w:szCs w:val="21"/>
              </w:rPr>
              <w:t>3</w:t>
            </w:r>
            <w:r>
              <w:rPr>
                <w:rFonts w:hint="eastAsia" w:eastAsiaTheme="minorEastAsia"/>
                <w:szCs w:val="21"/>
              </w:rPr>
              <w:t>）图片；</w:t>
            </w:r>
            <w:r>
              <w:rPr>
                <w:rFonts w:eastAsiaTheme="minorEastAsia"/>
                <w:szCs w:val="21"/>
              </w:rPr>
              <w:t>4</w:t>
            </w:r>
            <w:r>
              <w:rPr>
                <w:rFonts w:hint="eastAsia" w:eastAsiaTheme="minorEastAsia"/>
                <w:szCs w:val="21"/>
              </w:rPr>
              <w:t>）</w:t>
            </w:r>
            <w:r>
              <w:rPr>
                <w:rFonts w:eastAsiaTheme="minorEastAsia"/>
                <w:szCs w:val="21"/>
              </w:rPr>
              <w:t>PDF</w:t>
            </w:r>
            <w:r>
              <w:rPr>
                <w:rFonts w:hint="eastAsia" w:eastAsiaTheme="minorEastAsia"/>
                <w:szCs w:val="21"/>
              </w:rPr>
              <w:t>；</w:t>
            </w:r>
            <w:r>
              <w:rPr>
                <w:rFonts w:eastAsiaTheme="minorEastAsia"/>
                <w:szCs w:val="21"/>
              </w:rPr>
              <w:t>5</w:t>
            </w:r>
            <w:r>
              <w:rPr>
                <w:rFonts w:hint="eastAsia" w:eastAsiaTheme="minorEastAsia"/>
                <w:szCs w:val="21"/>
              </w:rPr>
              <w:t>）压缩文档</w:t>
            </w:r>
          </w:p>
        </w:tc>
        <w:tc>
          <w:tcPr>
            <w:tcW w:w="883" w:type="pct"/>
            <w:vMerge w:val="continue"/>
            <w:tcBorders>
              <w:left w:val="single" w:color="auto" w:sz="4" w:space="0"/>
              <w:bottom w:val="single" w:color="auto" w:sz="4" w:space="0"/>
              <w:right w:val="single" w:color="auto" w:sz="4" w:space="0"/>
            </w:tcBorders>
            <w:vAlign w:val="center"/>
          </w:tcPr>
          <w:p>
            <w:pPr>
              <w:rPr>
                <w:rFonts w:ascii="宋体" w:hAnsi="宋体"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jc w:val="center"/>
        </w:trPr>
        <w:tc>
          <w:tcPr>
            <w:tcW w:w="62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88"/>
              </w:numPr>
              <w:spacing w:line="360" w:lineRule="auto"/>
              <w:jc w:val="both"/>
              <w:rPr>
                <w:rFonts w:eastAsiaTheme="minorEastAsia"/>
                <w:szCs w:val="21"/>
              </w:rPr>
            </w:pPr>
          </w:p>
        </w:tc>
        <w:tc>
          <w:tcPr>
            <w:tcW w:w="364"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Cs w:val="21"/>
              </w:rPr>
            </w:pPr>
          </w:p>
        </w:tc>
        <w:tc>
          <w:tcPr>
            <w:tcW w:w="550" w:type="pct"/>
            <w:tcBorders>
              <w:top w:val="single" w:color="auto" w:sz="4" w:space="0"/>
              <w:left w:val="single" w:color="auto" w:sz="4" w:space="0"/>
              <w:bottom w:val="single" w:color="auto" w:sz="4" w:space="0"/>
              <w:right w:val="single" w:color="auto" w:sz="4" w:space="0"/>
            </w:tcBorders>
            <w:vAlign w:val="center"/>
          </w:tcPr>
          <w:p>
            <w:pPr>
              <w:rPr>
                <w:rFonts w:ascii="宋体" w:hAnsi="宋体" w:eastAsiaTheme="minorEastAsia"/>
                <w:szCs w:val="21"/>
              </w:rPr>
            </w:pPr>
            <w:r>
              <w:rPr>
                <w:rFonts w:hint="eastAsia" w:ascii="宋体" w:hAnsi="宋体" w:eastAsiaTheme="minorEastAsia"/>
                <w:szCs w:val="21"/>
              </w:rPr>
              <w:t>多语言支持模块</w:t>
            </w:r>
          </w:p>
        </w:tc>
        <w:tc>
          <w:tcPr>
            <w:tcW w:w="2581" w:type="pct"/>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szCs w:val="21"/>
              </w:rPr>
            </w:pPr>
            <w:r>
              <w:rPr>
                <w:rFonts w:hint="eastAsia" w:eastAsiaTheme="minorEastAsia"/>
                <w:szCs w:val="21"/>
              </w:rPr>
              <w:t>支持联网状态下对即时通讯内容的维文转汉文翻译、语音转文字等功能；</w:t>
            </w:r>
          </w:p>
          <w:p>
            <w:pPr>
              <w:rPr>
                <w:rFonts w:eastAsiaTheme="minorEastAsia"/>
                <w:szCs w:val="21"/>
              </w:rPr>
            </w:pPr>
            <w:r>
              <w:rPr>
                <w:rFonts w:hint="eastAsia" w:eastAsiaTheme="minorEastAsia"/>
                <w:szCs w:val="21"/>
              </w:rPr>
              <w:t>支持对即时通讯中的语音进行转换，包括不限于将维文转化成汉文、语音转文字等</w:t>
            </w:r>
          </w:p>
        </w:tc>
        <w:tc>
          <w:tcPr>
            <w:tcW w:w="883" w:type="pct"/>
            <w:tcBorders>
              <w:top w:val="single" w:color="auto" w:sz="4" w:space="0"/>
              <w:left w:val="single" w:color="auto" w:sz="4" w:space="0"/>
              <w:bottom w:val="single" w:color="auto" w:sz="4" w:space="0"/>
              <w:right w:val="single" w:color="auto" w:sz="4" w:space="0"/>
            </w:tcBorders>
            <w:vAlign w:val="center"/>
          </w:tcPr>
          <w:p>
            <w:pPr>
              <w:rPr>
                <w:rFonts w:ascii="宋体" w:hAnsi="宋体" w:eastAsiaTheme="minorEastAsia"/>
                <w:szCs w:val="21"/>
              </w:rPr>
            </w:pPr>
            <w:r>
              <w:rPr>
                <w:rFonts w:hint="eastAsia" w:ascii="宋体" w:hAnsi="宋体" w:eastAsiaTheme="minorEastAsia"/>
                <w:szCs w:val="21"/>
              </w:rPr>
              <w:t>功能截图</w:t>
            </w:r>
          </w:p>
        </w:tc>
      </w:tr>
    </w:tbl>
    <w:p>
      <w:pPr>
        <w:rPr>
          <w:rFonts w:asciiTheme="minorHAnsi" w:hAnsiTheme="minorHAnsi" w:eastAsiaTheme="minorEastAsia" w:cstheme="minorBidi"/>
          <w:kern w:val="2"/>
          <w:szCs w:val="21"/>
        </w:rPr>
      </w:pPr>
    </w:p>
    <w:p>
      <w:pPr>
        <w:pStyle w:val="5"/>
        <w:spacing w:before="15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w:t>
      </w:r>
      <w:r>
        <w:rPr>
          <w:rFonts w:asciiTheme="minorEastAsia" w:hAnsiTheme="minorEastAsia" w:eastAsiaTheme="minorEastAsia" w:cstheme="minorEastAsia"/>
          <w:szCs w:val="21"/>
        </w:rPr>
        <w:t>4</w:t>
      </w:r>
      <w:r>
        <w:rPr>
          <w:rFonts w:hint="eastAsia" w:asciiTheme="minorEastAsia" w:hAnsiTheme="minorEastAsia" w:eastAsiaTheme="minorEastAsia" w:cstheme="minorEastAsia"/>
          <w:szCs w:val="21"/>
        </w:rPr>
        <w:t>包</w:t>
      </w:r>
      <w:r>
        <w:rPr>
          <w:rFonts w:asciiTheme="minorEastAsia" w:hAnsiTheme="minorEastAsia" w:eastAsiaTheme="minorEastAsia" w:cstheme="minorEastAsia"/>
          <w:szCs w:val="21"/>
        </w:rPr>
        <w:t xml:space="preserve"> </w:t>
      </w:r>
      <w:r>
        <w:rPr>
          <w:rFonts w:hint="eastAsia" w:asciiTheme="minorEastAsia" w:hAnsiTheme="minorEastAsia" w:eastAsiaTheme="minorEastAsia" w:cstheme="minorEastAsia"/>
          <w:szCs w:val="21"/>
        </w:rPr>
        <w:t>云取证工作站</w:t>
      </w:r>
      <w:r>
        <w:rPr>
          <w:rFonts w:hint="default" w:ascii="Times New Roman" w:hAnsi="Times New Roman" w:cs="Times New Roman" w:eastAsiaTheme="minorEastAsia"/>
          <w:szCs w:val="21"/>
        </w:rPr>
        <w:t>Ⅲ</w:t>
      </w:r>
    </w:p>
    <w:tbl>
      <w:tblPr>
        <w:tblStyle w:val="81"/>
        <w:tblW w:w="461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9"/>
        <w:gridCol w:w="694"/>
        <w:gridCol w:w="1013"/>
        <w:gridCol w:w="4438"/>
        <w:gridCol w:w="15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2"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
                <w:szCs w:val="21"/>
              </w:rPr>
            </w:pPr>
            <w:r>
              <w:rPr>
                <w:rFonts w:hint="eastAsia" w:ascii="宋体" w:hAnsi="宋体" w:eastAsiaTheme="minorEastAsia"/>
                <w:b/>
                <w:szCs w:val="21"/>
              </w:rPr>
              <w:t>序号</w:t>
            </w:r>
          </w:p>
        </w:tc>
        <w:tc>
          <w:tcPr>
            <w:tcW w:w="415"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Theme="minorEastAsia"/>
                <w:b/>
                <w:szCs w:val="21"/>
              </w:rPr>
            </w:pPr>
            <w:r>
              <w:rPr>
                <w:rFonts w:hint="eastAsia" w:ascii="宋体" w:hAnsi="宋体" w:eastAsiaTheme="minorEastAsia"/>
                <w:b/>
                <w:szCs w:val="21"/>
              </w:rPr>
              <w:t>重要性</w:t>
            </w:r>
          </w:p>
        </w:tc>
        <w:tc>
          <w:tcPr>
            <w:tcW w:w="606" w:type="pct"/>
            <w:tcBorders>
              <w:top w:val="single" w:color="auto" w:sz="4" w:space="0"/>
              <w:left w:val="single" w:color="auto" w:sz="4" w:space="0"/>
              <w:bottom w:val="single" w:color="auto" w:sz="4" w:space="0"/>
              <w:right w:val="single" w:color="auto" w:sz="4" w:space="0"/>
            </w:tcBorders>
            <w:vAlign w:val="center"/>
          </w:tcPr>
          <w:p>
            <w:pPr>
              <w:jc w:val="center"/>
              <w:rPr>
                <w:rFonts w:asciiTheme="minorHAnsi" w:hAnsiTheme="minorHAnsi" w:eastAsiaTheme="minorEastAsia"/>
                <w:b/>
                <w:szCs w:val="21"/>
              </w:rPr>
            </w:pPr>
            <w:r>
              <w:rPr>
                <w:rFonts w:hint="eastAsia" w:ascii="宋体" w:hAnsi="宋体" w:eastAsiaTheme="minorEastAsia"/>
                <w:b/>
                <w:szCs w:val="21"/>
              </w:rPr>
              <w:t>指标项</w:t>
            </w:r>
          </w:p>
        </w:tc>
        <w:tc>
          <w:tcPr>
            <w:tcW w:w="2654"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
                <w:szCs w:val="21"/>
              </w:rPr>
            </w:pPr>
            <w:r>
              <w:rPr>
                <w:rFonts w:hint="eastAsia" w:ascii="宋体" w:hAnsi="宋体" w:eastAsiaTheme="minorEastAsia"/>
                <w:b/>
                <w:szCs w:val="21"/>
              </w:rPr>
              <w:t>指标要求</w:t>
            </w:r>
          </w:p>
        </w:tc>
        <w:tc>
          <w:tcPr>
            <w:tcW w:w="943"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Theme="minorEastAsia"/>
                <w:b/>
                <w:szCs w:val="21"/>
              </w:rPr>
            </w:pPr>
            <w:r>
              <w:rPr>
                <w:rFonts w:hint="eastAsia" w:ascii="宋体" w:hAnsi="宋体" w:eastAsiaTheme="minorEastAsia"/>
                <w:b/>
                <w:szCs w:val="21"/>
              </w:rPr>
              <w:t>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88"/>
              </w:numPr>
              <w:spacing w:line="360" w:lineRule="auto"/>
              <w:jc w:val="both"/>
              <w:rPr>
                <w:rFonts w:eastAsiaTheme="minorEastAsia"/>
                <w:szCs w:val="21"/>
              </w:rPr>
            </w:pPr>
          </w:p>
        </w:tc>
        <w:tc>
          <w:tcPr>
            <w:tcW w:w="415"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Theme="minorEastAsia"/>
                <w:szCs w:val="21"/>
              </w:rPr>
            </w:pPr>
            <w:r>
              <w:rPr>
                <w:rFonts w:hint="eastAsia" w:ascii="宋体" w:hAnsi="宋体" w:eastAsiaTheme="minorEastAsia"/>
                <w:szCs w:val="21"/>
              </w:rPr>
              <w:t>★</w:t>
            </w:r>
          </w:p>
        </w:tc>
        <w:tc>
          <w:tcPr>
            <w:tcW w:w="606" w:type="pct"/>
            <w:vMerge w:val="restart"/>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szCs w:val="21"/>
              </w:rPr>
            </w:pPr>
            <w:r>
              <w:rPr>
                <w:rFonts w:hint="eastAsia" w:eastAsiaTheme="minorEastAsia"/>
                <w:szCs w:val="21"/>
              </w:rPr>
              <w:t>网页取证模块</w:t>
            </w:r>
          </w:p>
        </w:tc>
        <w:tc>
          <w:tcPr>
            <w:tcW w:w="2654" w:type="pct"/>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napToGrid w:val="0"/>
              <w:textAlignment w:val="center"/>
              <w:rPr>
                <w:rFonts w:ascii="宋体" w:hAnsi="宋体" w:eastAsiaTheme="minorEastAsia"/>
                <w:color w:val="FF0000"/>
                <w:szCs w:val="21"/>
              </w:rPr>
            </w:pPr>
            <w:r>
              <w:rPr>
                <w:rFonts w:hint="eastAsia" w:eastAsiaTheme="minorEastAsia"/>
                <w:szCs w:val="21"/>
              </w:rPr>
              <w:t>需支持不少于</w:t>
            </w:r>
            <w:r>
              <w:rPr>
                <w:rFonts w:eastAsiaTheme="minorEastAsia"/>
                <w:szCs w:val="21"/>
              </w:rPr>
              <w:t>3</w:t>
            </w:r>
            <w:r>
              <w:rPr>
                <w:rFonts w:hint="eastAsia" w:eastAsiaTheme="minorEastAsia"/>
                <w:szCs w:val="21"/>
              </w:rPr>
              <w:t>种类型网站固定功能，包括：</w:t>
            </w:r>
            <w:r>
              <w:rPr>
                <w:rFonts w:eastAsiaTheme="minorEastAsia"/>
                <w:szCs w:val="21"/>
              </w:rPr>
              <w:t>1</w:t>
            </w:r>
            <w:r>
              <w:rPr>
                <w:rFonts w:hint="eastAsia" w:eastAsiaTheme="minorEastAsia"/>
                <w:szCs w:val="21"/>
              </w:rPr>
              <w:t>）支持任意网站上视频一键下载；支持批量下载视频；</w:t>
            </w:r>
            <w:r>
              <w:rPr>
                <w:rFonts w:eastAsiaTheme="minorEastAsia"/>
                <w:szCs w:val="21"/>
              </w:rPr>
              <w:t>2</w:t>
            </w:r>
            <w:r>
              <w:rPr>
                <w:rFonts w:hint="eastAsia" w:eastAsiaTheme="minorEastAsia"/>
                <w:szCs w:val="21"/>
              </w:rPr>
              <w:t>）支持任意网站上直播视频一键下载；支持批量固定直播视频；</w:t>
            </w:r>
            <w:r>
              <w:rPr>
                <w:rFonts w:eastAsiaTheme="minorEastAsia"/>
                <w:szCs w:val="21"/>
              </w:rPr>
              <w:t>3</w:t>
            </w:r>
            <w:r>
              <w:rPr>
                <w:rFonts w:hint="eastAsia" w:eastAsiaTheme="minorEastAsia"/>
                <w:szCs w:val="21"/>
              </w:rPr>
              <w:t>）支持对多层级页面进行批量处理，多层级批处理的“下一级入口”支持按索引、文字过滤选择</w:t>
            </w:r>
          </w:p>
        </w:tc>
        <w:tc>
          <w:tcPr>
            <w:tcW w:w="943" w:type="pct"/>
            <w:vMerge w:val="restart"/>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napToGrid w:val="0"/>
              <w:textAlignment w:val="center"/>
              <w:rPr>
                <w:rFonts w:ascii="宋体" w:hAnsi="宋体" w:eastAsiaTheme="minorEastAsia"/>
                <w:szCs w:val="21"/>
              </w:rPr>
            </w:pPr>
            <w:r>
              <w:rPr>
                <w:rFonts w:hint="eastAsia" w:ascii="宋体" w:hAnsi="宋体" w:eastAsiaTheme="minorEastAsia"/>
                <w:szCs w:val="21"/>
              </w:rPr>
              <w:t>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88"/>
              </w:numPr>
              <w:spacing w:line="360" w:lineRule="auto"/>
              <w:jc w:val="both"/>
              <w:rPr>
                <w:rFonts w:eastAsiaTheme="minorEastAsia"/>
                <w:szCs w:val="21"/>
              </w:rPr>
            </w:pPr>
          </w:p>
        </w:tc>
        <w:tc>
          <w:tcPr>
            <w:tcW w:w="415" w:type="pct"/>
            <w:tcBorders>
              <w:top w:val="single" w:color="auto" w:sz="4" w:space="0"/>
              <w:left w:val="single" w:color="auto" w:sz="4" w:space="0"/>
              <w:bottom w:val="single" w:color="auto" w:sz="4" w:space="0"/>
              <w:right w:val="single" w:color="auto" w:sz="4" w:space="0"/>
            </w:tcBorders>
            <w:vAlign w:val="center"/>
          </w:tcPr>
          <w:p>
            <w:pPr>
              <w:jc w:val="center"/>
              <w:rPr>
                <w:rFonts w:ascii="Segoe UI Symbol" w:hAnsi="Segoe UI Symbol" w:cs="Segoe UI Symbol" w:eastAsiaTheme="minorEastAsia"/>
                <w:szCs w:val="21"/>
              </w:rPr>
            </w:pPr>
            <w:r>
              <w:rPr>
                <w:rFonts w:hint="eastAsia" w:ascii="宋体" w:hAnsi="宋体" w:cs="宋体" w:eastAsiaTheme="minorEastAsia"/>
                <w:szCs w:val="21"/>
              </w:rPr>
              <w:t>▲</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kern w:val="2"/>
                <w:szCs w:val="21"/>
              </w:rPr>
            </w:pPr>
          </w:p>
        </w:tc>
        <w:tc>
          <w:tcPr>
            <w:tcW w:w="2654" w:type="pct"/>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napToGrid w:val="0"/>
              <w:textAlignment w:val="center"/>
              <w:rPr>
                <w:rFonts w:ascii="宋体" w:hAnsi="宋体" w:eastAsiaTheme="minorEastAsia" w:cstheme="minorBidi"/>
                <w:szCs w:val="21"/>
              </w:rPr>
            </w:pPr>
            <w:r>
              <w:rPr>
                <w:rFonts w:hint="eastAsia" w:eastAsiaTheme="minorEastAsia"/>
                <w:szCs w:val="21"/>
              </w:rPr>
              <w:t>需支持不少于</w:t>
            </w:r>
            <w:r>
              <w:rPr>
                <w:rFonts w:eastAsiaTheme="minorEastAsia"/>
                <w:szCs w:val="21"/>
              </w:rPr>
              <w:t>5</w:t>
            </w:r>
            <w:r>
              <w:rPr>
                <w:rFonts w:hint="eastAsia" w:eastAsiaTheme="minorEastAsia"/>
                <w:szCs w:val="21"/>
              </w:rPr>
              <w:t>种类型网页固定功能，包括：</w:t>
            </w:r>
            <w:r>
              <w:rPr>
                <w:rFonts w:eastAsiaTheme="minorEastAsia"/>
                <w:szCs w:val="21"/>
              </w:rPr>
              <w:t>1</w:t>
            </w:r>
            <w:r>
              <w:rPr>
                <w:rFonts w:hint="eastAsia" w:eastAsiaTheme="minorEastAsia"/>
                <w:szCs w:val="21"/>
              </w:rPr>
              <w:t>）支持添加或修改</w:t>
            </w:r>
            <w:r>
              <w:rPr>
                <w:rFonts w:eastAsiaTheme="minorEastAsia"/>
                <w:szCs w:val="21"/>
              </w:rPr>
              <w:t xml:space="preserve"> HTTP </w:t>
            </w:r>
            <w:r>
              <w:rPr>
                <w:rFonts w:hint="eastAsia" w:eastAsiaTheme="minorEastAsia"/>
                <w:szCs w:val="21"/>
              </w:rPr>
              <w:t>请求头，可实时修改</w:t>
            </w:r>
            <w:r>
              <w:rPr>
                <w:rFonts w:eastAsiaTheme="minorEastAsia"/>
                <w:szCs w:val="21"/>
              </w:rPr>
              <w:t xml:space="preserve"> 30 </w:t>
            </w:r>
            <w:r>
              <w:rPr>
                <w:rFonts w:hint="eastAsia" w:eastAsiaTheme="minorEastAsia"/>
                <w:szCs w:val="21"/>
              </w:rPr>
              <w:t>种预定义请求头类型，也支持自定义类型添加；</w:t>
            </w:r>
            <w:r>
              <w:rPr>
                <w:rFonts w:eastAsiaTheme="minorEastAsia"/>
                <w:szCs w:val="21"/>
              </w:rPr>
              <w:t>2</w:t>
            </w:r>
            <w:r>
              <w:rPr>
                <w:rFonts w:hint="eastAsia" w:eastAsiaTheme="minorEastAsia"/>
                <w:szCs w:val="21"/>
              </w:rPr>
              <w:t>）支持一键连接暗网，完成暗网取证；</w:t>
            </w:r>
            <w:r>
              <w:rPr>
                <w:rFonts w:eastAsiaTheme="minorEastAsia"/>
                <w:szCs w:val="21"/>
              </w:rPr>
              <w:t>3</w:t>
            </w:r>
            <w:r>
              <w:rPr>
                <w:rFonts w:hint="eastAsia" w:eastAsiaTheme="minorEastAsia"/>
                <w:szCs w:val="21"/>
              </w:rPr>
              <w:t>）支持下载网站</w:t>
            </w:r>
            <w:r>
              <w:rPr>
                <w:rFonts w:eastAsiaTheme="minorEastAsia"/>
                <w:szCs w:val="21"/>
              </w:rPr>
              <w:t xml:space="preserve"> shadow-root</w:t>
            </w:r>
            <w:r>
              <w:rPr>
                <w:rFonts w:hint="eastAsia" w:eastAsiaTheme="minorEastAsia"/>
                <w:szCs w:val="21"/>
              </w:rPr>
              <w:t>中的视频；</w:t>
            </w:r>
            <w:r>
              <w:rPr>
                <w:rFonts w:eastAsiaTheme="minorEastAsia"/>
                <w:szCs w:val="21"/>
              </w:rPr>
              <w:t>4</w:t>
            </w:r>
            <w:r>
              <w:rPr>
                <w:rFonts w:hint="eastAsia" w:eastAsiaTheme="minorEastAsia"/>
                <w:szCs w:val="21"/>
              </w:rPr>
              <w:t>）支持自定义脚本（</w:t>
            </w:r>
            <w:r>
              <w:rPr>
                <w:rFonts w:eastAsiaTheme="minorEastAsia"/>
                <w:szCs w:val="21"/>
              </w:rPr>
              <w:t>Node.js</w:t>
            </w:r>
            <w:r>
              <w:rPr>
                <w:rFonts w:hint="eastAsia" w:eastAsiaTheme="minorEastAsia"/>
                <w:szCs w:val="21"/>
              </w:rPr>
              <w:t>、</w:t>
            </w:r>
            <w:r>
              <w:rPr>
                <w:rFonts w:eastAsiaTheme="minorEastAsia"/>
                <w:szCs w:val="21"/>
              </w:rPr>
              <w:t>JavaScript</w:t>
            </w:r>
            <w:r>
              <w:rPr>
                <w:rFonts w:hint="eastAsia" w:eastAsiaTheme="minorEastAsia"/>
                <w:szCs w:val="21"/>
              </w:rPr>
              <w:t>、</w:t>
            </w:r>
            <w:r>
              <w:rPr>
                <w:rFonts w:eastAsiaTheme="minorEastAsia"/>
                <w:szCs w:val="21"/>
              </w:rPr>
              <w:t>coffeescript</w:t>
            </w:r>
            <w:r>
              <w:rPr>
                <w:rFonts w:hint="eastAsia" w:eastAsiaTheme="minorEastAsia"/>
                <w:szCs w:val="21"/>
              </w:rPr>
              <w:t>、</w:t>
            </w:r>
            <w:r>
              <w:rPr>
                <w:rFonts w:eastAsiaTheme="minorEastAsia"/>
                <w:szCs w:val="21"/>
              </w:rPr>
              <w:t>IcedCoffeeScript</w:t>
            </w:r>
            <w:r>
              <w:rPr>
                <w:rFonts w:hint="eastAsia" w:eastAsiaTheme="minorEastAsia"/>
                <w:szCs w:val="21"/>
              </w:rPr>
              <w:t>）提取；</w:t>
            </w:r>
            <w:r>
              <w:rPr>
                <w:rFonts w:eastAsiaTheme="minorEastAsia"/>
                <w:szCs w:val="21"/>
              </w:rPr>
              <w:t>5</w:t>
            </w:r>
            <w:r>
              <w:rPr>
                <w:rFonts w:hint="eastAsia" w:eastAsiaTheme="minorEastAsia"/>
                <w:szCs w:val="21"/>
              </w:rPr>
              <w:t>）支持任意页面（包括</w:t>
            </w:r>
            <w:r>
              <w:rPr>
                <w:rFonts w:eastAsiaTheme="minorEastAsia"/>
                <w:szCs w:val="21"/>
              </w:rPr>
              <w:t xml:space="preserve"> iframe</w:t>
            </w:r>
            <w:r>
              <w:rPr>
                <w:rFonts w:hint="eastAsia" w:eastAsiaTheme="minorEastAsia"/>
                <w:szCs w:val="21"/>
              </w:rPr>
              <w:t>，</w:t>
            </w:r>
            <w:r>
              <w:rPr>
                <w:rFonts w:eastAsiaTheme="minorEastAsia"/>
                <w:szCs w:val="21"/>
              </w:rPr>
              <w:t xml:space="preserve">div </w:t>
            </w:r>
            <w:r>
              <w:rPr>
                <w:rFonts w:hint="eastAsia" w:eastAsiaTheme="minorEastAsia"/>
                <w:szCs w:val="21"/>
              </w:rPr>
              <w:t>内部滚动的复杂页面）自动滚动截长图；</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88"/>
              </w:numPr>
              <w:spacing w:line="360" w:lineRule="auto"/>
              <w:jc w:val="both"/>
              <w:rPr>
                <w:rFonts w:eastAsiaTheme="minorEastAsia"/>
                <w:szCs w:val="21"/>
              </w:rPr>
            </w:pPr>
          </w:p>
        </w:tc>
        <w:tc>
          <w:tcPr>
            <w:tcW w:w="415"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Theme="minorEastAsia"/>
                <w:szCs w:val="21"/>
              </w:rPr>
            </w:pPr>
            <w:r>
              <w:rPr>
                <w:rFonts w:hint="eastAsia" w:ascii="宋体" w:hAnsi="宋体" w:eastAsiaTheme="minorEastAsia"/>
                <w:szCs w:val="21"/>
              </w:rPr>
              <w:t>★</w:t>
            </w:r>
          </w:p>
        </w:tc>
        <w:tc>
          <w:tcPr>
            <w:tcW w:w="606" w:type="pct"/>
            <w:vMerge w:val="restart"/>
            <w:tcBorders>
              <w:top w:val="single" w:color="auto" w:sz="4" w:space="0"/>
              <w:left w:val="single" w:color="auto" w:sz="4" w:space="0"/>
              <w:bottom w:val="single" w:color="auto" w:sz="4" w:space="0"/>
              <w:right w:val="single" w:color="auto" w:sz="4" w:space="0"/>
            </w:tcBorders>
            <w:vAlign w:val="center"/>
          </w:tcPr>
          <w:p>
            <w:pPr>
              <w:rPr>
                <w:rFonts w:ascii="宋体" w:hAnsi="宋体" w:eastAsiaTheme="minorEastAsia"/>
                <w:szCs w:val="21"/>
              </w:rPr>
            </w:pPr>
            <w:r>
              <w:rPr>
                <w:rFonts w:hint="eastAsia" w:ascii="宋体" w:hAnsi="宋体" w:eastAsiaTheme="minorEastAsia"/>
                <w:szCs w:val="21"/>
              </w:rPr>
              <w:t>Windows服务器取证模块</w:t>
            </w:r>
          </w:p>
        </w:tc>
        <w:tc>
          <w:tcPr>
            <w:tcW w:w="2654" w:type="pct"/>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napToGrid w:val="0"/>
              <w:textAlignment w:val="center"/>
              <w:rPr>
                <w:rFonts w:asciiTheme="minorHAnsi" w:hAnsiTheme="minorHAnsi" w:eastAsiaTheme="minorEastAsia"/>
                <w:color w:val="FF0000"/>
                <w:szCs w:val="21"/>
              </w:rPr>
            </w:pPr>
            <w:r>
              <w:rPr>
                <w:rFonts w:hint="eastAsia" w:eastAsiaTheme="minorEastAsia"/>
                <w:szCs w:val="21"/>
              </w:rPr>
              <w:t>需支持不少于</w:t>
            </w:r>
            <w:r>
              <w:rPr>
                <w:rFonts w:eastAsiaTheme="minorEastAsia"/>
                <w:szCs w:val="21"/>
              </w:rPr>
              <w:t>5</w:t>
            </w:r>
            <w:r>
              <w:rPr>
                <w:rFonts w:hint="eastAsia" w:eastAsiaTheme="minorEastAsia"/>
                <w:szCs w:val="21"/>
              </w:rPr>
              <w:t>种类型服务器固定方法，包括：</w:t>
            </w:r>
            <w:r>
              <w:rPr>
                <w:rFonts w:eastAsiaTheme="minorEastAsia"/>
                <w:szCs w:val="21"/>
              </w:rPr>
              <w:t>1</w:t>
            </w:r>
            <w:r>
              <w:rPr>
                <w:rFonts w:hint="eastAsia" w:eastAsiaTheme="minorEastAsia"/>
                <w:szCs w:val="21"/>
              </w:rPr>
              <w:t>）支持案件隔离模式，每个案件可对应不同的树形拓扑网络，支持层级渗透，集群控制；</w:t>
            </w:r>
            <w:r>
              <w:rPr>
                <w:rFonts w:eastAsiaTheme="minorEastAsia"/>
                <w:szCs w:val="21"/>
              </w:rPr>
              <w:t>2</w:t>
            </w:r>
            <w:r>
              <w:rPr>
                <w:rFonts w:hint="eastAsia" w:eastAsiaTheme="minorEastAsia"/>
                <w:szCs w:val="21"/>
              </w:rPr>
              <w:t>）支持本机作为根节点，可反向配置目标服务器连接本机、代理服务器中转流量连接；</w:t>
            </w:r>
            <w:r>
              <w:rPr>
                <w:rFonts w:eastAsiaTheme="minorEastAsia"/>
                <w:szCs w:val="21"/>
              </w:rPr>
              <w:t>3</w:t>
            </w:r>
            <w:r>
              <w:rPr>
                <w:rFonts w:hint="eastAsia" w:eastAsiaTheme="minorEastAsia"/>
                <w:szCs w:val="21"/>
              </w:rPr>
              <w:t>）支持本机勘验功能；</w:t>
            </w:r>
            <w:r>
              <w:rPr>
                <w:rFonts w:eastAsiaTheme="minorEastAsia"/>
                <w:szCs w:val="21"/>
              </w:rPr>
              <w:t>4</w:t>
            </w:r>
            <w:r>
              <w:rPr>
                <w:rFonts w:hint="eastAsia" w:eastAsiaTheme="minorEastAsia"/>
                <w:szCs w:val="21"/>
              </w:rPr>
              <w:t>）支持磁盘镜像过程中因断网导致的任务中断，可自动断点续传；</w:t>
            </w:r>
            <w:r>
              <w:rPr>
                <w:rFonts w:eastAsiaTheme="minorEastAsia"/>
                <w:szCs w:val="21"/>
              </w:rPr>
              <w:t>5</w:t>
            </w:r>
            <w:r>
              <w:rPr>
                <w:rFonts w:hint="eastAsia" w:eastAsiaTheme="minorEastAsia"/>
                <w:szCs w:val="21"/>
              </w:rPr>
              <w:t>）支持最大宽带传输。阿里</w:t>
            </w:r>
            <w:r>
              <w:rPr>
                <w:rFonts w:eastAsiaTheme="minorEastAsia"/>
                <w:szCs w:val="21"/>
              </w:rPr>
              <w:t>/</w:t>
            </w:r>
            <w:r>
              <w:rPr>
                <w:rFonts w:hint="eastAsia" w:eastAsiaTheme="minorEastAsia"/>
                <w:szCs w:val="21"/>
              </w:rPr>
              <w:t>腾讯云</w:t>
            </w:r>
            <w:r>
              <w:rPr>
                <w:rFonts w:eastAsiaTheme="minorEastAsia"/>
                <w:szCs w:val="21"/>
              </w:rPr>
              <w:t>/</w:t>
            </w:r>
            <w:r>
              <w:rPr>
                <w:rFonts w:hint="eastAsia" w:eastAsiaTheme="minorEastAsia"/>
                <w:szCs w:val="21"/>
              </w:rPr>
              <w:t>华为云</w:t>
            </w:r>
            <w:r>
              <w:rPr>
                <w:rFonts w:eastAsiaTheme="minorEastAsia"/>
                <w:szCs w:val="21"/>
              </w:rPr>
              <w:t>OSS</w:t>
            </w:r>
            <w:r>
              <w:rPr>
                <w:rFonts w:hint="eastAsia" w:eastAsiaTheme="minorEastAsia"/>
                <w:szCs w:val="21"/>
              </w:rPr>
              <w:t>镜像可自行识别内网传输，内网理论上传速度可达</w:t>
            </w:r>
            <w:r>
              <w:rPr>
                <w:rFonts w:eastAsiaTheme="minorEastAsia"/>
                <w:szCs w:val="21"/>
              </w:rPr>
              <w:t xml:space="preserve"> 30MB/s</w:t>
            </w:r>
          </w:p>
        </w:tc>
        <w:tc>
          <w:tcPr>
            <w:tcW w:w="943" w:type="pct"/>
            <w:vMerge w:val="restart"/>
            <w:tcBorders>
              <w:top w:val="single" w:color="auto" w:sz="4" w:space="0"/>
              <w:left w:val="single" w:color="auto" w:sz="4" w:space="0"/>
              <w:bottom w:val="single" w:color="auto" w:sz="4" w:space="0"/>
              <w:right w:val="single" w:color="auto" w:sz="4" w:space="0"/>
            </w:tcBorders>
            <w:vAlign w:val="center"/>
          </w:tcPr>
          <w:p>
            <w:pPr>
              <w:rPr>
                <w:rFonts w:ascii="宋体" w:hAnsi="宋体" w:eastAsiaTheme="minorEastAsia"/>
                <w:szCs w:val="21"/>
              </w:rPr>
            </w:pPr>
            <w:r>
              <w:rPr>
                <w:rFonts w:hint="eastAsia" w:ascii="宋体" w:hAnsi="宋体" w:eastAsiaTheme="minorEastAsia"/>
                <w:szCs w:val="21"/>
              </w:rPr>
              <w:t>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88"/>
              </w:numPr>
              <w:spacing w:line="360" w:lineRule="auto"/>
              <w:jc w:val="both"/>
              <w:rPr>
                <w:rFonts w:eastAsiaTheme="minorEastAsia"/>
                <w:szCs w:val="21"/>
              </w:rPr>
            </w:pPr>
          </w:p>
        </w:tc>
        <w:tc>
          <w:tcPr>
            <w:tcW w:w="415"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Theme="minorEastAsia"/>
                <w:szCs w:val="21"/>
              </w:rPr>
            </w:pPr>
            <w:r>
              <w:rPr>
                <w:rFonts w:hint="eastAsia" w:ascii="宋体" w:hAnsi="宋体" w:cs="宋体" w:eastAsiaTheme="minorEastAsia"/>
                <w:szCs w:val="21"/>
              </w:rPr>
              <w:t>▲</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Theme="minorEastAsia"/>
                <w:kern w:val="2"/>
                <w:szCs w:val="21"/>
              </w:rPr>
            </w:pPr>
          </w:p>
        </w:tc>
        <w:tc>
          <w:tcPr>
            <w:tcW w:w="2654" w:type="pct"/>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napToGrid w:val="0"/>
              <w:textAlignment w:val="center"/>
              <w:rPr>
                <w:rFonts w:ascii="宋体" w:hAnsi="宋体" w:eastAsiaTheme="minorEastAsia"/>
                <w:szCs w:val="21"/>
              </w:rPr>
            </w:pPr>
            <w:r>
              <w:rPr>
                <w:rFonts w:hint="eastAsia" w:eastAsiaTheme="minorEastAsia"/>
                <w:szCs w:val="21"/>
              </w:rPr>
              <w:t>需支持不少于</w:t>
            </w:r>
            <w:r>
              <w:rPr>
                <w:rFonts w:eastAsiaTheme="minorEastAsia"/>
                <w:szCs w:val="21"/>
              </w:rPr>
              <w:t>4</w:t>
            </w:r>
            <w:r>
              <w:rPr>
                <w:rFonts w:hint="eastAsia" w:eastAsiaTheme="minorEastAsia"/>
                <w:szCs w:val="21"/>
              </w:rPr>
              <w:t>种类型服务器固定</w:t>
            </w:r>
            <w:r>
              <w:rPr>
                <w:rFonts w:eastAsiaTheme="minorEastAsia"/>
                <w:szCs w:val="21"/>
              </w:rPr>
              <w:t>/</w:t>
            </w:r>
            <w:r>
              <w:rPr>
                <w:rFonts w:hint="eastAsia" w:eastAsiaTheme="minorEastAsia"/>
                <w:szCs w:val="21"/>
              </w:rPr>
              <w:t>分析功能：</w:t>
            </w:r>
            <w:r>
              <w:rPr>
                <w:rFonts w:eastAsiaTheme="minorEastAsia"/>
                <w:szCs w:val="21"/>
              </w:rPr>
              <w:t>1</w:t>
            </w:r>
            <w:r>
              <w:rPr>
                <w:rFonts w:hint="eastAsia" w:eastAsiaTheme="minorEastAsia"/>
                <w:szCs w:val="21"/>
              </w:rPr>
              <w:t>）支持部署并连接代理服务器进行取证，实现内网穿透；</w:t>
            </w:r>
            <w:r>
              <w:rPr>
                <w:rFonts w:eastAsiaTheme="minorEastAsia"/>
                <w:szCs w:val="21"/>
              </w:rPr>
              <w:t>2</w:t>
            </w:r>
            <w:r>
              <w:rPr>
                <w:rFonts w:hint="eastAsia" w:eastAsiaTheme="minorEastAsia"/>
                <w:szCs w:val="21"/>
              </w:rPr>
              <w:t>）支持连接多台机器，使用路由表可随时切换控制表内所有设备集群，拥有广播任务的功能；</w:t>
            </w:r>
            <w:r>
              <w:rPr>
                <w:rFonts w:eastAsiaTheme="minorEastAsia"/>
                <w:szCs w:val="21"/>
              </w:rPr>
              <w:t>3</w:t>
            </w:r>
            <w:r>
              <w:rPr>
                <w:rFonts w:hint="eastAsia" w:eastAsiaTheme="minorEastAsia"/>
                <w:szCs w:val="21"/>
              </w:rPr>
              <w:t>）支持广播执行</w:t>
            </w:r>
            <w:r>
              <w:rPr>
                <w:rFonts w:eastAsiaTheme="minorEastAsia"/>
                <w:szCs w:val="21"/>
              </w:rPr>
              <w:t xml:space="preserve"> bat </w:t>
            </w:r>
            <w:r>
              <w:rPr>
                <w:rFonts w:hint="eastAsia" w:eastAsiaTheme="minorEastAsia"/>
                <w:szCs w:val="21"/>
              </w:rPr>
              <w:t>脚本功能，可同时对多服务器发送并执行脚本</w:t>
            </w:r>
            <w:r>
              <w:rPr>
                <w:rFonts w:eastAsiaTheme="minorEastAsia"/>
                <w:szCs w:val="21"/>
              </w:rPr>
              <w:t xml:space="preserve"> bat </w:t>
            </w:r>
            <w:r>
              <w:rPr>
                <w:rFonts w:hint="eastAsia" w:eastAsiaTheme="minorEastAsia"/>
                <w:szCs w:val="21"/>
              </w:rPr>
              <w:t>脚本；</w:t>
            </w:r>
            <w:r>
              <w:rPr>
                <w:rFonts w:eastAsiaTheme="minorEastAsia"/>
                <w:szCs w:val="21"/>
              </w:rPr>
              <w:t>4</w:t>
            </w:r>
            <w:r>
              <w:rPr>
                <w:rFonts w:hint="eastAsia" w:eastAsiaTheme="minorEastAsia"/>
                <w:szCs w:val="21"/>
              </w:rPr>
              <w:t>）支持</w:t>
            </w:r>
            <w:r>
              <w:rPr>
                <w:rFonts w:eastAsiaTheme="minorEastAsia"/>
                <w:szCs w:val="21"/>
              </w:rPr>
              <w:t>Agent</w:t>
            </w:r>
            <w:r>
              <w:rPr>
                <w:rFonts w:hint="eastAsia" w:eastAsiaTheme="minorEastAsia"/>
                <w:szCs w:val="21"/>
              </w:rPr>
              <w:t>端一键部署</w:t>
            </w:r>
            <w:r>
              <w:rPr>
                <w:rFonts w:eastAsiaTheme="minorEastAsia"/>
                <w:szCs w:val="21"/>
              </w:rPr>
              <w:t xml:space="preserve"> Socks5 </w:t>
            </w:r>
            <w:r>
              <w:rPr>
                <w:rFonts w:hint="eastAsia" w:eastAsiaTheme="minorEastAsia"/>
                <w:szCs w:val="21"/>
              </w:rPr>
              <w:t>服务，在多服务器同时提取时隐藏源</w:t>
            </w:r>
            <w:r>
              <w:rPr>
                <w:rFonts w:eastAsiaTheme="minorEastAsia"/>
                <w:szCs w:val="21"/>
              </w:rPr>
              <w:t xml:space="preserve"> IP </w:t>
            </w:r>
            <w:r>
              <w:rPr>
                <w:rFonts w:hint="eastAsia" w:eastAsiaTheme="minorEastAsia"/>
                <w:szCs w:val="21"/>
              </w:rPr>
              <w:t>地址</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88"/>
              </w:numPr>
              <w:spacing w:line="360" w:lineRule="auto"/>
              <w:jc w:val="both"/>
              <w:rPr>
                <w:rFonts w:eastAsiaTheme="minorEastAsia"/>
                <w:szCs w:val="21"/>
              </w:rPr>
            </w:pPr>
          </w:p>
        </w:tc>
        <w:tc>
          <w:tcPr>
            <w:tcW w:w="415"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Cs w:val="21"/>
              </w:rPr>
            </w:pPr>
            <w:r>
              <w:rPr>
                <w:rFonts w:hint="eastAsia" w:ascii="宋体" w:hAnsi="宋体" w:eastAsiaTheme="minorEastAsia"/>
                <w:szCs w:val="21"/>
              </w:rPr>
              <w:t>★</w:t>
            </w:r>
          </w:p>
        </w:tc>
        <w:tc>
          <w:tcPr>
            <w:tcW w:w="606" w:type="pct"/>
            <w:vMerge w:val="restart"/>
            <w:tcBorders>
              <w:top w:val="single" w:color="auto" w:sz="4" w:space="0"/>
              <w:left w:val="single" w:color="auto" w:sz="4" w:space="0"/>
              <w:bottom w:val="single" w:color="auto" w:sz="4" w:space="0"/>
              <w:right w:val="single" w:color="auto" w:sz="4" w:space="0"/>
            </w:tcBorders>
            <w:vAlign w:val="center"/>
          </w:tcPr>
          <w:p>
            <w:pPr>
              <w:rPr>
                <w:rFonts w:ascii="宋体" w:hAnsi="宋体" w:eastAsiaTheme="minorEastAsia"/>
                <w:szCs w:val="21"/>
              </w:rPr>
            </w:pPr>
            <w:r>
              <w:rPr>
                <w:rFonts w:hint="eastAsia" w:ascii="宋体" w:hAnsi="宋体" w:eastAsiaTheme="minorEastAsia"/>
                <w:szCs w:val="21"/>
              </w:rPr>
              <w:t>Linux服务器取证模块</w:t>
            </w:r>
          </w:p>
        </w:tc>
        <w:tc>
          <w:tcPr>
            <w:tcW w:w="2654" w:type="pct"/>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napToGrid w:val="0"/>
              <w:textAlignment w:val="center"/>
              <w:rPr>
                <w:rFonts w:asciiTheme="minorHAnsi" w:hAnsiTheme="minorHAnsi" w:eastAsiaTheme="minorEastAsia"/>
                <w:szCs w:val="21"/>
              </w:rPr>
            </w:pPr>
            <w:r>
              <w:rPr>
                <w:rFonts w:hint="eastAsia" w:eastAsiaTheme="minorEastAsia"/>
                <w:szCs w:val="21"/>
              </w:rPr>
              <w:t>需支持不少于</w:t>
            </w:r>
            <w:r>
              <w:rPr>
                <w:rFonts w:eastAsiaTheme="minorEastAsia"/>
                <w:szCs w:val="21"/>
              </w:rPr>
              <w:t>5</w:t>
            </w:r>
            <w:r>
              <w:rPr>
                <w:rFonts w:hint="eastAsia" w:eastAsiaTheme="minorEastAsia"/>
                <w:szCs w:val="21"/>
              </w:rPr>
              <w:t>种类型服务器固定方法，包括：</w:t>
            </w:r>
            <w:r>
              <w:rPr>
                <w:rFonts w:eastAsiaTheme="minorEastAsia"/>
                <w:szCs w:val="21"/>
              </w:rPr>
              <w:t>1</w:t>
            </w:r>
            <w:r>
              <w:rPr>
                <w:rFonts w:hint="eastAsia" w:eastAsiaTheme="minorEastAsia"/>
                <w:szCs w:val="21"/>
              </w:rPr>
              <w:t>）支持案件隔离模式，每个案件可对应不同的树形拓扑网络，支持层级渗透，集群控制；</w:t>
            </w:r>
            <w:r>
              <w:rPr>
                <w:rFonts w:eastAsiaTheme="minorEastAsia"/>
                <w:szCs w:val="21"/>
              </w:rPr>
              <w:t>2</w:t>
            </w:r>
            <w:r>
              <w:rPr>
                <w:rFonts w:hint="eastAsia" w:eastAsiaTheme="minorEastAsia"/>
                <w:szCs w:val="21"/>
              </w:rPr>
              <w:t>）支持本机作为根节点，可反向配置目标服务器连接本机、代理服务器中转流量连接；</w:t>
            </w:r>
            <w:r>
              <w:rPr>
                <w:rFonts w:eastAsiaTheme="minorEastAsia"/>
                <w:szCs w:val="21"/>
              </w:rPr>
              <w:t>3</w:t>
            </w:r>
            <w:r>
              <w:rPr>
                <w:rFonts w:hint="eastAsia" w:eastAsiaTheme="minorEastAsia"/>
                <w:szCs w:val="21"/>
              </w:rPr>
              <w:t>）支持本机勘验功能；</w:t>
            </w:r>
            <w:r>
              <w:rPr>
                <w:rFonts w:eastAsiaTheme="minorEastAsia"/>
                <w:szCs w:val="21"/>
              </w:rPr>
              <w:t>4</w:t>
            </w:r>
            <w:r>
              <w:rPr>
                <w:rFonts w:hint="eastAsia" w:eastAsiaTheme="minorEastAsia"/>
                <w:szCs w:val="21"/>
              </w:rPr>
              <w:t>）支持磁盘镜像过程中因断网导致的任务中断，可自动断点续传；</w:t>
            </w:r>
            <w:r>
              <w:rPr>
                <w:rFonts w:eastAsiaTheme="minorEastAsia"/>
                <w:szCs w:val="21"/>
              </w:rPr>
              <w:t>5</w:t>
            </w:r>
            <w:r>
              <w:rPr>
                <w:rFonts w:hint="eastAsia" w:eastAsiaTheme="minorEastAsia"/>
                <w:szCs w:val="21"/>
              </w:rPr>
              <w:t>）支持最大宽带传输。阿里</w:t>
            </w:r>
            <w:r>
              <w:rPr>
                <w:rFonts w:eastAsiaTheme="minorEastAsia"/>
                <w:szCs w:val="21"/>
              </w:rPr>
              <w:t>/</w:t>
            </w:r>
            <w:r>
              <w:rPr>
                <w:rFonts w:hint="eastAsia" w:eastAsiaTheme="minorEastAsia"/>
                <w:szCs w:val="21"/>
              </w:rPr>
              <w:t>腾讯云</w:t>
            </w:r>
            <w:r>
              <w:rPr>
                <w:rFonts w:eastAsiaTheme="minorEastAsia"/>
                <w:szCs w:val="21"/>
              </w:rPr>
              <w:t>/</w:t>
            </w:r>
            <w:r>
              <w:rPr>
                <w:rFonts w:hint="eastAsia" w:eastAsiaTheme="minorEastAsia"/>
                <w:szCs w:val="21"/>
              </w:rPr>
              <w:t>华为云</w:t>
            </w:r>
            <w:r>
              <w:rPr>
                <w:rFonts w:eastAsiaTheme="minorEastAsia"/>
                <w:szCs w:val="21"/>
              </w:rPr>
              <w:t xml:space="preserve"> OSS </w:t>
            </w:r>
            <w:r>
              <w:rPr>
                <w:rFonts w:hint="eastAsia" w:eastAsiaTheme="minorEastAsia"/>
                <w:szCs w:val="21"/>
              </w:rPr>
              <w:t>镜像可自行识别内网传输，内网理论上传速度可达</w:t>
            </w:r>
            <w:r>
              <w:rPr>
                <w:rFonts w:eastAsiaTheme="minorEastAsia"/>
                <w:szCs w:val="21"/>
              </w:rPr>
              <w:t xml:space="preserve"> 30MB/s</w:t>
            </w:r>
          </w:p>
        </w:tc>
        <w:tc>
          <w:tcPr>
            <w:tcW w:w="943" w:type="pct"/>
            <w:vMerge w:val="restart"/>
            <w:tcBorders>
              <w:top w:val="single" w:color="auto" w:sz="4" w:space="0"/>
              <w:left w:val="single" w:color="auto" w:sz="4" w:space="0"/>
              <w:bottom w:val="single" w:color="auto" w:sz="4" w:space="0"/>
              <w:right w:val="single" w:color="auto" w:sz="4" w:space="0"/>
            </w:tcBorders>
            <w:vAlign w:val="center"/>
          </w:tcPr>
          <w:p>
            <w:pPr>
              <w:rPr>
                <w:rFonts w:ascii="宋体" w:hAnsi="宋体" w:eastAsiaTheme="minorEastAsia"/>
                <w:szCs w:val="21"/>
              </w:rPr>
            </w:pPr>
            <w:r>
              <w:rPr>
                <w:rFonts w:hint="eastAsia" w:ascii="宋体" w:hAnsi="宋体" w:eastAsiaTheme="minorEastAsia"/>
                <w:szCs w:val="21"/>
              </w:rPr>
              <w:t>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88"/>
              </w:numPr>
              <w:spacing w:line="360" w:lineRule="auto"/>
              <w:jc w:val="both"/>
              <w:rPr>
                <w:rFonts w:eastAsiaTheme="minorEastAsia"/>
                <w:szCs w:val="21"/>
              </w:rPr>
            </w:pPr>
          </w:p>
        </w:tc>
        <w:tc>
          <w:tcPr>
            <w:tcW w:w="415"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Cs w:val="21"/>
              </w:rPr>
            </w:pPr>
            <w:r>
              <w:rPr>
                <w:rFonts w:hint="eastAsia" w:ascii="宋体" w:hAnsi="宋体" w:cs="宋体" w:eastAsiaTheme="minorEastAsia"/>
                <w:szCs w:val="21"/>
              </w:rPr>
              <w:t>▲</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Theme="minorEastAsia"/>
                <w:kern w:val="2"/>
                <w:szCs w:val="21"/>
              </w:rPr>
            </w:pPr>
          </w:p>
        </w:tc>
        <w:tc>
          <w:tcPr>
            <w:tcW w:w="2654" w:type="pct"/>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napToGrid w:val="0"/>
              <w:textAlignment w:val="center"/>
              <w:rPr>
                <w:rFonts w:eastAsiaTheme="minorEastAsia"/>
                <w:szCs w:val="21"/>
              </w:rPr>
            </w:pPr>
            <w:r>
              <w:rPr>
                <w:rFonts w:hint="eastAsia" w:eastAsiaTheme="minorEastAsia"/>
                <w:szCs w:val="21"/>
              </w:rPr>
              <w:t>需支持不少于</w:t>
            </w:r>
            <w:r>
              <w:rPr>
                <w:rFonts w:eastAsiaTheme="minorEastAsia"/>
                <w:szCs w:val="21"/>
              </w:rPr>
              <w:t>4</w:t>
            </w:r>
            <w:r>
              <w:rPr>
                <w:rFonts w:hint="eastAsia" w:eastAsiaTheme="minorEastAsia"/>
                <w:szCs w:val="21"/>
              </w:rPr>
              <w:t>种类型服务器固定</w:t>
            </w:r>
            <w:r>
              <w:rPr>
                <w:rFonts w:eastAsiaTheme="minorEastAsia"/>
                <w:szCs w:val="21"/>
              </w:rPr>
              <w:t>/</w:t>
            </w:r>
            <w:r>
              <w:rPr>
                <w:rFonts w:hint="eastAsia" w:eastAsiaTheme="minorEastAsia"/>
                <w:szCs w:val="21"/>
              </w:rPr>
              <w:t>分析功能：</w:t>
            </w:r>
            <w:r>
              <w:rPr>
                <w:rFonts w:eastAsiaTheme="minorEastAsia"/>
                <w:szCs w:val="21"/>
              </w:rPr>
              <w:t>1</w:t>
            </w:r>
            <w:r>
              <w:rPr>
                <w:rFonts w:hint="eastAsia" w:eastAsiaTheme="minorEastAsia"/>
                <w:szCs w:val="21"/>
              </w:rPr>
              <w:t>）支持部署并连接代理服务器进行取证，实现内网穿透；</w:t>
            </w:r>
            <w:r>
              <w:rPr>
                <w:rFonts w:eastAsiaTheme="minorEastAsia"/>
                <w:szCs w:val="21"/>
              </w:rPr>
              <w:t>2</w:t>
            </w:r>
            <w:r>
              <w:rPr>
                <w:rFonts w:hint="eastAsia" w:eastAsiaTheme="minorEastAsia"/>
                <w:szCs w:val="21"/>
              </w:rPr>
              <w:t>）支持国产操作系统版本；</w:t>
            </w:r>
            <w:r>
              <w:rPr>
                <w:rFonts w:eastAsiaTheme="minorEastAsia"/>
                <w:szCs w:val="21"/>
              </w:rPr>
              <w:t>3</w:t>
            </w:r>
            <w:r>
              <w:rPr>
                <w:rFonts w:hint="eastAsia" w:eastAsiaTheme="minorEastAsia"/>
                <w:szCs w:val="21"/>
              </w:rPr>
              <w:t>）支持连接多台机器，使用路由表可随时切换控制表内所有设备集群，拥有广播任务的功能；</w:t>
            </w:r>
            <w:r>
              <w:rPr>
                <w:rFonts w:eastAsiaTheme="minorEastAsia"/>
                <w:szCs w:val="21"/>
              </w:rPr>
              <w:t>4</w:t>
            </w:r>
            <w:r>
              <w:rPr>
                <w:rFonts w:hint="eastAsia" w:eastAsiaTheme="minorEastAsia"/>
                <w:szCs w:val="21"/>
              </w:rPr>
              <w:t>）支持广播方式进行全文关键词搜索，可同时对多服务器进行关键词搜索；</w:t>
            </w:r>
            <w:r>
              <w:rPr>
                <w:rFonts w:eastAsiaTheme="minorEastAsia"/>
                <w:szCs w:val="21"/>
              </w:rPr>
              <w:t>5</w:t>
            </w:r>
            <w:r>
              <w:rPr>
                <w:rFonts w:hint="eastAsia" w:eastAsiaTheme="minorEastAsia"/>
                <w:szCs w:val="21"/>
              </w:rPr>
              <w:t>）支持</w:t>
            </w:r>
            <w:r>
              <w:rPr>
                <w:rFonts w:eastAsiaTheme="minorEastAsia"/>
                <w:szCs w:val="21"/>
              </w:rPr>
              <w:t xml:space="preserve"> Agent </w:t>
            </w:r>
            <w:r>
              <w:rPr>
                <w:rFonts w:hint="eastAsia" w:eastAsiaTheme="minorEastAsia"/>
                <w:szCs w:val="21"/>
              </w:rPr>
              <w:t>端一键部署</w:t>
            </w:r>
            <w:r>
              <w:rPr>
                <w:rFonts w:eastAsiaTheme="minorEastAsia"/>
                <w:szCs w:val="21"/>
              </w:rPr>
              <w:t xml:space="preserve"> Socks5 </w:t>
            </w:r>
            <w:r>
              <w:rPr>
                <w:rFonts w:hint="eastAsia" w:eastAsiaTheme="minorEastAsia"/>
                <w:szCs w:val="21"/>
              </w:rPr>
              <w:t>服务，在多服务器同时提取时隐藏源</w:t>
            </w:r>
            <w:r>
              <w:rPr>
                <w:rFonts w:eastAsiaTheme="minorEastAsia"/>
                <w:szCs w:val="21"/>
              </w:rPr>
              <w:t xml:space="preserve"> IP </w:t>
            </w:r>
            <w:r>
              <w:rPr>
                <w:rFonts w:hint="eastAsia" w:eastAsiaTheme="minorEastAsia"/>
                <w:szCs w:val="21"/>
              </w:rPr>
              <w:t>地址</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Theme="minorEastAsia"/>
                <w:kern w:val="2"/>
                <w:szCs w:val="21"/>
              </w:rPr>
            </w:pPr>
          </w:p>
        </w:tc>
      </w:tr>
    </w:tbl>
    <w:p>
      <w:pPr>
        <w:rPr>
          <w:rFonts w:asciiTheme="minorHAnsi" w:hAnsiTheme="minorHAnsi" w:eastAsiaTheme="minorEastAsia" w:cstheme="minorBidi"/>
          <w:kern w:val="2"/>
          <w:szCs w:val="21"/>
        </w:rPr>
      </w:pPr>
    </w:p>
    <w:p>
      <w:pPr>
        <w:pStyle w:val="5"/>
        <w:spacing w:before="15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w:t>
      </w:r>
      <w:r>
        <w:rPr>
          <w:rFonts w:asciiTheme="minorEastAsia" w:hAnsiTheme="minorEastAsia" w:eastAsiaTheme="minorEastAsia" w:cstheme="minorEastAsia"/>
          <w:szCs w:val="21"/>
        </w:rPr>
        <w:t>4</w:t>
      </w:r>
      <w:r>
        <w:rPr>
          <w:rFonts w:hint="eastAsia" w:asciiTheme="minorEastAsia" w:hAnsiTheme="minorEastAsia" w:eastAsiaTheme="minorEastAsia" w:cstheme="minorEastAsia"/>
          <w:szCs w:val="21"/>
        </w:rPr>
        <w:t>包手机密码破解设备</w:t>
      </w:r>
      <w:r>
        <w:rPr>
          <w:rFonts w:hint="default" w:ascii="Times New Roman" w:hAnsi="Times New Roman" w:cs="Times New Roman" w:eastAsiaTheme="minorEastAsia"/>
          <w:szCs w:val="21"/>
        </w:rPr>
        <w:t>Ⅰ</w:t>
      </w:r>
    </w:p>
    <w:tbl>
      <w:tblPr>
        <w:tblStyle w:val="81"/>
        <w:tblW w:w="465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0"/>
        <w:gridCol w:w="614"/>
        <w:gridCol w:w="928"/>
        <w:gridCol w:w="4356"/>
        <w:gridCol w:w="1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2" w:type="pct"/>
            <w:tcBorders>
              <w:top w:val="single" w:color="auto" w:sz="4" w:space="0"/>
              <w:left w:val="single" w:color="auto" w:sz="4" w:space="0"/>
              <w:bottom w:val="single" w:color="auto" w:sz="4" w:space="0"/>
              <w:right w:val="single" w:color="auto" w:sz="4" w:space="0"/>
            </w:tcBorders>
            <w:vAlign w:val="center"/>
          </w:tcPr>
          <w:p>
            <w:pPr>
              <w:spacing w:line="360" w:lineRule="auto"/>
              <w:rPr>
                <w:rFonts w:eastAsiaTheme="minorEastAsia"/>
                <w:szCs w:val="21"/>
              </w:rPr>
            </w:pPr>
            <w:r>
              <w:rPr>
                <w:rFonts w:hint="eastAsia" w:ascii="宋体" w:hAnsi="宋体" w:eastAsiaTheme="minorEastAsia"/>
                <w:b/>
                <w:szCs w:val="21"/>
              </w:rPr>
              <w:t>序号</w:t>
            </w:r>
          </w:p>
        </w:tc>
        <w:tc>
          <w:tcPr>
            <w:tcW w:w="364"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Theme="minorEastAsia"/>
                <w:szCs w:val="21"/>
              </w:rPr>
            </w:pPr>
            <w:r>
              <w:rPr>
                <w:rFonts w:hint="eastAsia" w:ascii="宋体" w:hAnsi="宋体" w:eastAsiaTheme="minorEastAsia"/>
                <w:b/>
                <w:szCs w:val="21"/>
              </w:rPr>
              <w:t>重要性</w:t>
            </w:r>
          </w:p>
        </w:tc>
        <w:tc>
          <w:tcPr>
            <w:tcW w:w="550" w:type="pct"/>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szCs w:val="21"/>
              </w:rPr>
            </w:pPr>
            <w:r>
              <w:rPr>
                <w:rFonts w:hint="eastAsia" w:ascii="宋体" w:hAnsi="宋体" w:eastAsiaTheme="minorEastAsia"/>
                <w:b/>
                <w:szCs w:val="21"/>
              </w:rPr>
              <w:t>指标项</w:t>
            </w:r>
          </w:p>
        </w:tc>
        <w:tc>
          <w:tcPr>
            <w:tcW w:w="2581" w:type="pct"/>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napToGrid w:val="0"/>
              <w:textAlignment w:val="center"/>
              <w:rPr>
                <w:rFonts w:eastAsiaTheme="minorEastAsia"/>
                <w:szCs w:val="21"/>
              </w:rPr>
            </w:pPr>
            <w:r>
              <w:rPr>
                <w:rFonts w:hint="eastAsia" w:ascii="宋体" w:hAnsi="宋体" w:eastAsiaTheme="minorEastAsia"/>
                <w:b/>
                <w:szCs w:val="21"/>
              </w:rPr>
              <w:t>指标要求</w:t>
            </w:r>
          </w:p>
        </w:tc>
        <w:tc>
          <w:tcPr>
            <w:tcW w:w="883" w:type="pct"/>
            <w:tcBorders>
              <w:top w:val="single" w:color="auto" w:sz="4" w:space="0"/>
              <w:left w:val="single" w:color="auto" w:sz="4" w:space="0"/>
              <w:bottom w:val="single" w:color="auto" w:sz="4" w:space="0"/>
              <w:right w:val="single" w:color="auto" w:sz="4" w:space="0"/>
            </w:tcBorders>
            <w:vAlign w:val="center"/>
          </w:tcPr>
          <w:p>
            <w:pPr>
              <w:rPr>
                <w:rFonts w:ascii="宋体" w:hAnsi="宋体" w:eastAsiaTheme="minorEastAsia"/>
                <w:szCs w:val="21"/>
              </w:rPr>
            </w:pPr>
            <w:r>
              <w:rPr>
                <w:rFonts w:hint="eastAsia" w:ascii="宋体" w:hAnsi="宋体" w:eastAsiaTheme="minorEastAsia"/>
                <w:b/>
                <w:szCs w:val="21"/>
              </w:rPr>
              <w:t>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0" w:hRule="atLeast"/>
          <w:jc w:val="center"/>
        </w:trPr>
        <w:tc>
          <w:tcPr>
            <w:tcW w:w="62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88"/>
              </w:numPr>
              <w:spacing w:line="360" w:lineRule="auto"/>
              <w:jc w:val="both"/>
              <w:rPr>
                <w:rFonts w:eastAsiaTheme="minorEastAsia"/>
                <w:szCs w:val="21"/>
              </w:rPr>
            </w:pPr>
          </w:p>
        </w:tc>
        <w:tc>
          <w:tcPr>
            <w:tcW w:w="364"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Theme="minorEastAsia"/>
                <w:szCs w:val="21"/>
              </w:rPr>
            </w:pPr>
            <w:r>
              <w:rPr>
                <w:rFonts w:hint="eastAsia" w:ascii="宋体" w:hAnsi="宋体" w:eastAsiaTheme="minorEastAsia"/>
                <w:szCs w:val="21"/>
              </w:rPr>
              <w:t>★</w:t>
            </w:r>
          </w:p>
        </w:tc>
        <w:tc>
          <w:tcPr>
            <w:tcW w:w="550" w:type="pct"/>
            <w:tcBorders>
              <w:top w:val="single" w:color="auto" w:sz="4" w:space="0"/>
              <w:left w:val="single" w:color="auto" w:sz="4" w:space="0"/>
              <w:bottom w:val="single" w:color="auto" w:sz="4" w:space="0"/>
              <w:right w:val="single" w:color="auto" w:sz="4" w:space="0"/>
            </w:tcBorders>
            <w:vAlign w:val="center"/>
          </w:tcPr>
          <w:p>
            <w:pPr>
              <w:rPr>
                <w:rFonts w:ascii="宋体" w:hAnsi="宋体" w:eastAsiaTheme="minorEastAsia"/>
                <w:szCs w:val="21"/>
              </w:rPr>
            </w:pPr>
            <w:r>
              <w:rPr>
                <w:rFonts w:hint="eastAsia" w:eastAsiaTheme="minorEastAsia"/>
                <w:szCs w:val="21"/>
              </w:rPr>
              <w:t>解锁模块</w:t>
            </w:r>
          </w:p>
        </w:tc>
        <w:tc>
          <w:tcPr>
            <w:tcW w:w="2581" w:type="pct"/>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napToGrid w:val="0"/>
              <w:textAlignment w:val="center"/>
              <w:rPr>
                <w:rFonts w:asciiTheme="minorHAnsi" w:hAnsiTheme="minorHAnsi" w:eastAsiaTheme="minorEastAsia"/>
                <w:szCs w:val="21"/>
              </w:rPr>
            </w:pPr>
            <w:r>
              <w:rPr>
                <w:rFonts w:hint="eastAsia" w:eastAsiaTheme="minorEastAsia"/>
                <w:szCs w:val="21"/>
              </w:rPr>
              <w:t>解锁功能不少于</w:t>
            </w:r>
            <w:r>
              <w:rPr>
                <w:rFonts w:eastAsiaTheme="minorEastAsia"/>
                <w:szCs w:val="21"/>
              </w:rPr>
              <w:t>6</w:t>
            </w:r>
            <w:r>
              <w:rPr>
                <w:rFonts w:hint="eastAsia" w:eastAsiaTheme="minorEastAsia"/>
                <w:szCs w:val="21"/>
              </w:rPr>
              <w:t>种，包括：</w:t>
            </w:r>
          </w:p>
          <w:p>
            <w:pPr>
              <w:overflowPunct w:val="0"/>
              <w:autoSpaceDE w:val="0"/>
              <w:autoSpaceDN w:val="0"/>
              <w:adjustRightInd w:val="0"/>
              <w:snapToGrid w:val="0"/>
              <w:textAlignment w:val="center"/>
              <w:rPr>
                <w:rFonts w:eastAsiaTheme="minorEastAsia"/>
                <w:szCs w:val="21"/>
              </w:rPr>
            </w:pPr>
            <w:r>
              <w:rPr>
                <w:rFonts w:eastAsiaTheme="minorEastAsia"/>
                <w:szCs w:val="21"/>
              </w:rPr>
              <w:t>1</w:t>
            </w:r>
            <w:r>
              <w:rPr>
                <w:rFonts w:hint="eastAsia" w:eastAsiaTheme="minorEastAsia"/>
                <w:szCs w:val="21"/>
              </w:rPr>
              <w:t>）支持集成苹果</w:t>
            </w:r>
            <w:r>
              <w:rPr>
                <w:rFonts w:eastAsiaTheme="minorEastAsia"/>
                <w:szCs w:val="21"/>
              </w:rPr>
              <w:t xml:space="preserve"> A6</w:t>
            </w:r>
            <w:r>
              <w:rPr>
                <w:rFonts w:hint="eastAsia" w:eastAsiaTheme="minorEastAsia"/>
                <w:szCs w:val="21"/>
              </w:rPr>
              <w:t>芯片的密码解密方案，支持四位数和六位数计算锁屏密码；</w:t>
            </w:r>
          </w:p>
          <w:p>
            <w:pPr>
              <w:overflowPunct w:val="0"/>
              <w:autoSpaceDE w:val="0"/>
              <w:autoSpaceDN w:val="0"/>
              <w:adjustRightInd w:val="0"/>
              <w:snapToGrid w:val="0"/>
              <w:textAlignment w:val="center"/>
              <w:rPr>
                <w:rFonts w:eastAsiaTheme="minorEastAsia"/>
                <w:szCs w:val="21"/>
              </w:rPr>
            </w:pPr>
            <w:r>
              <w:rPr>
                <w:rFonts w:eastAsiaTheme="minorEastAsia"/>
                <w:szCs w:val="21"/>
              </w:rPr>
              <w:t>2</w:t>
            </w:r>
            <w:r>
              <w:rPr>
                <w:rFonts w:hint="eastAsia" w:eastAsiaTheme="minorEastAsia"/>
                <w:szCs w:val="21"/>
              </w:rPr>
              <w:t>）支持集成苹果</w:t>
            </w:r>
            <w:r>
              <w:rPr>
                <w:rFonts w:eastAsiaTheme="minorEastAsia"/>
                <w:szCs w:val="21"/>
              </w:rPr>
              <w:t xml:space="preserve">A10 </w:t>
            </w:r>
            <w:r>
              <w:rPr>
                <w:rFonts w:hint="eastAsia" w:eastAsiaTheme="minorEastAsia"/>
                <w:szCs w:val="21"/>
              </w:rPr>
              <w:t>芯片的密码解密方案，支持四位数及六位数计算锁屏密码；</w:t>
            </w:r>
          </w:p>
          <w:p>
            <w:pPr>
              <w:overflowPunct w:val="0"/>
              <w:autoSpaceDE w:val="0"/>
              <w:autoSpaceDN w:val="0"/>
              <w:adjustRightInd w:val="0"/>
              <w:snapToGrid w:val="0"/>
              <w:textAlignment w:val="center"/>
              <w:rPr>
                <w:rFonts w:eastAsiaTheme="minorEastAsia"/>
                <w:szCs w:val="21"/>
              </w:rPr>
            </w:pPr>
            <w:r>
              <w:rPr>
                <w:rFonts w:eastAsiaTheme="minorEastAsia"/>
                <w:szCs w:val="21"/>
              </w:rPr>
              <w:t>3</w:t>
            </w:r>
            <w:r>
              <w:rPr>
                <w:rFonts w:hint="eastAsia" w:eastAsiaTheme="minorEastAsia"/>
                <w:szCs w:val="21"/>
              </w:rPr>
              <w:t>）支持集成</w:t>
            </w:r>
            <w:r>
              <w:rPr>
                <w:rFonts w:eastAsiaTheme="minorEastAsia"/>
                <w:szCs w:val="21"/>
              </w:rPr>
              <w:t>VIVO</w:t>
            </w:r>
            <w:r>
              <w:rPr>
                <w:rFonts w:hint="eastAsia" w:eastAsiaTheme="minorEastAsia"/>
                <w:szCs w:val="21"/>
              </w:rPr>
              <w:t>品牌的全盘加密（</w:t>
            </w:r>
            <w:r>
              <w:rPr>
                <w:rFonts w:eastAsiaTheme="minorEastAsia"/>
                <w:szCs w:val="21"/>
              </w:rPr>
              <w:t>FDE</w:t>
            </w:r>
            <w:r>
              <w:rPr>
                <w:rFonts w:hint="eastAsia" w:eastAsiaTheme="minorEastAsia"/>
                <w:szCs w:val="21"/>
              </w:rPr>
              <w:t>）且搭载联发科芯片的机型重置锁屏密码；</w:t>
            </w:r>
            <w:r>
              <w:rPr>
                <w:rFonts w:eastAsiaTheme="minorEastAsia"/>
                <w:szCs w:val="21"/>
              </w:rPr>
              <w:t>4</w:t>
            </w:r>
            <w:r>
              <w:rPr>
                <w:rFonts w:hint="eastAsia" w:eastAsiaTheme="minorEastAsia"/>
                <w:szCs w:val="21"/>
              </w:rPr>
              <w:t>）支持集成小米、红米联发科芯片</w:t>
            </w:r>
            <w:r>
              <w:rPr>
                <w:rFonts w:eastAsiaTheme="minorEastAsia"/>
                <w:szCs w:val="21"/>
              </w:rPr>
              <w:t xml:space="preserve"> FBE </w:t>
            </w:r>
            <w:r>
              <w:rPr>
                <w:rFonts w:hint="eastAsia" w:eastAsiaTheme="minorEastAsia"/>
                <w:szCs w:val="21"/>
              </w:rPr>
              <w:t>加密</w:t>
            </w:r>
            <w:r>
              <w:rPr>
                <w:rFonts w:eastAsiaTheme="minorEastAsia"/>
                <w:szCs w:val="21"/>
              </w:rPr>
              <w:t xml:space="preserve"> Android9-Android13 </w:t>
            </w:r>
            <w:r>
              <w:rPr>
                <w:rFonts w:hint="eastAsia" w:eastAsiaTheme="minorEastAsia"/>
                <w:szCs w:val="21"/>
              </w:rPr>
              <w:t>离线计算密码；</w:t>
            </w:r>
          </w:p>
          <w:p>
            <w:pPr>
              <w:overflowPunct w:val="0"/>
              <w:autoSpaceDE w:val="0"/>
              <w:autoSpaceDN w:val="0"/>
              <w:adjustRightInd w:val="0"/>
              <w:snapToGrid w:val="0"/>
              <w:textAlignment w:val="center"/>
              <w:rPr>
                <w:rFonts w:eastAsiaTheme="minorEastAsia"/>
                <w:szCs w:val="21"/>
              </w:rPr>
            </w:pPr>
            <w:r>
              <w:rPr>
                <w:rFonts w:eastAsiaTheme="minorEastAsia"/>
                <w:szCs w:val="21"/>
              </w:rPr>
              <w:t>5</w:t>
            </w:r>
            <w:r>
              <w:rPr>
                <w:rFonts w:hint="eastAsia" w:eastAsiaTheme="minorEastAsia"/>
                <w:szCs w:val="21"/>
              </w:rPr>
              <w:t>）支持集成</w:t>
            </w:r>
            <w:r>
              <w:rPr>
                <w:rFonts w:eastAsiaTheme="minorEastAsia"/>
                <w:szCs w:val="21"/>
              </w:rPr>
              <w:t>OPPO</w:t>
            </w:r>
            <w:r>
              <w:rPr>
                <w:rFonts w:hint="eastAsia" w:eastAsiaTheme="minorEastAsia"/>
                <w:szCs w:val="21"/>
              </w:rPr>
              <w:t>、</w:t>
            </w:r>
            <w:r>
              <w:rPr>
                <w:rFonts w:eastAsiaTheme="minorEastAsia"/>
                <w:szCs w:val="21"/>
              </w:rPr>
              <w:t>VIVO</w:t>
            </w:r>
            <w:r>
              <w:rPr>
                <w:rFonts w:hint="eastAsia" w:eastAsiaTheme="minorEastAsia"/>
                <w:szCs w:val="21"/>
              </w:rPr>
              <w:t>、</w:t>
            </w:r>
            <w:r>
              <w:rPr>
                <w:rFonts w:eastAsiaTheme="minorEastAsia"/>
                <w:szCs w:val="21"/>
              </w:rPr>
              <w:t>Realme</w:t>
            </w:r>
            <w:r>
              <w:rPr>
                <w:rFonts w:hint="eastAsia" w:eastAsiaTheme="minorEastAsia"/>
                <w:szCs w:val="21"/>
              </w:rPr>
              <w:t>联发科芯片</w:t>
            </w:r>
            <w:r>
              <w:rPr>
                <w:rFonts w:eastAsiaTheme="minorEastAsia"/>
                <w:szCs w:val="21"/>
              </w:rPr>
              <w:t xml:space="preserve">  Android9-Android13</w:t>
            </w:r>
            <w:r>
              <w:rPr>
                <w:rFonts w:hint="eastAsia" w:eastAsiaTheme="minorEastAsia"/>
                <w:szCs w:val="21"/>
              </w:rPr>
              <w:t>离线计算密码；</w:t>
            </w:r>
          </w:p>
          <w:p>
            <w:pPr>
              <w:overflowPunct w:val="0"/>
              <w:autoSpaceDE w:val="0"/>
              <w:autoSpaceDN w:val="0"/>
              <w:adjustRightInd w:val="0"/>
              <w:snapToGrid w:val="0"/>
              <w:textAlignment w:val="center"/>
              <w:rPr>
                <w:rFonts w:ascii="宋体" w:hAnsi="宋体" w:eastAsiaTheme="minorEastAsia"/>
                <w:szCs w:val="21"/>
              </w:rPr>
            </w:pPr>
            <w:r>
              <w:rPr>
                <w:rFonts w:eastAsiaTheme="minorEastAsia"/>
                <w:szCs w:val="21"/>
              </w:rPr>
              <w:t>6</w:t>
            </w:r>
            <w:r>
              <w:rPr>
                <w:rFonts w:hint="eastAsia" w:eastAsiaTheme="minorEastAsia"/>
                <w:szCs w:val="21"/>
              </w:rPr>
              <w:t>）支持集成苹果</w:t>
            </w:r>
            <w:r>
              <w:rPr>
                <w:rFonts w:eastAsiaTheme="minorEastAsia"/>
                <w:szCs w:val="21"/>
              </w:rPr>
              <w:t xml:space="preserve"> A6</w:t>
            </w:r>
            <w:r>
              <w:rPr>
                <w:rFonts w:hint="eastAsia" w:eastAsiaTheme="minorEastAsia"/>
                <w:szCs w:val="21"/>
              </w:rPr>
              <w:t>芯片的密码解密方案，支持四位数和六位数计算锁屏密码</w:t>
            </w:r>
          </w:p>
        </w:tc>
        <w:tc>
          <w:tcPr>
            <w:tcW w:w="883" w:type="pct"/>
            <w:tcBorders>
              <w:top w:val="single" w:color="auto" w:sz="4" w:space="0"/>
              <w:left w:val="single" w:color="auto" w:sz="4" w:space="0"/>
              <w:bottom w:val="single" w:color="auto" w:sz="4" w:space="0"/>
              <w:right w:val="single" w:color="auto" w:sz="4" w:space="0"/>
            </w:tcBorders>
            <w:vAlign w:val="center"/>
          </w:tcPr>
          <w:p>
            <w:pPr>
              <w:rPr>
                <w:rFonts w:ascii="宋体" w:hAnsi="宋体" w:eastAsiaTheme="minorEastAsia"/>
                <w:szCs w:val="21"/>
              </w:rPr>
            </w:pPr>
            <w:r>
              <w:rPr>
                <w:rFonts w:hint="eastAsia" w:ascii="宋体" w:hAnsi="宋体" w:eastAsiaTheme="minorEastAsia"/>
                <w:szCs w:val="21"/>
              </w:rPr>
              <w:t>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6" w:hRule="atLeast"/>
          <w:jc w:val="center"/>
        </w:trPr>
        <w:tc>
          <w:tcPr>
            <w:tcW w:w="62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88"/>
              </w:numPr>
              <w:spacing w:line="360" w:lineRule="auto"/>
              <w:jc w:val="both"/>
              <w:rPr>
                <w:rFonts w:eastAsiaTheme="minorEastAsia"/>
                <w:szCs w:val="21"/>
              </w:rPr>
            </w:pPr>
          </w:p>
        </w:tc>
        <w:tc>
          <w:tcPr>
            <w:tcW w:w="364"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Cs w:val="21"/>
              </w:rPr>
            </w:pPr>
            <w:r>
              <w:rPr>
                <w:rFonts w:hint="eastAsia" w:ascii="宋体" w:hAnsi="宋体" w:cs="宋体" w:eastAsiaTheme="minorEastAsia"/>
                <w:szCs w:val="21"/>
              </w:rPr>
              <w:t>▲</w:t>
            </w:r>
          </w:p>
        </w:tc>
        <w:tc>
          <w:tcPr>
            <w:tcW w:w="550" w:type="pct"/>
            <w:tcBorders>
              <w:top w:val="single" w:color="auto" w:sz="4" w:space="0"/>
              <w:left w:val="single" w:color="auto" w:sz="4" w:space="0"/>
              <w:bottom w:val="single" w:color="auto" w:sz="4" w:space="0"/>
              <w:right w:val="single" w:color="auto" w:sz="4" w:space="0"/>
            </w:tcBorders>
            <w:vAlign w:val="center"/>
          </w:tcPr>
          <w:p>
            <w:pPr>
              <w:rPr>
                <w:rFonts w:ascii="宋体" w:hAnsi="宋体" w:eastAsiaTheme="minorEastAsia"/>
                <w:szCs w:val="21"/>
              </w:rPr>
            </w:pPr>
            <w:r>
              <w:rPr>
                <w:rFonts w:hint="eastAsia" w:ascii="宋体" w:hAnsi="宋体" w:eastAsiaTheme="minorEastAsia"/>
                <w:szCs w:val="21"/>
              </w:rPr>
              <w:t>采集模块</w:t>
            </w:r>
          </w:p>
        </w:tc>
        <w:tc>
          <w:tcPr>
            <w:tcW w:w="2581" w:type="pct"/>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szCs w:val="21"/>
              </w:rPr>
            </w:pPr>
            <w:r>
              <w:rPr>
                <w:rFonts w:hint="eastAsia" w:eastAsiaTheme="minorEastAsia"/>
                <w:szCs w:val="21"/>
              </w:rPr>
              <w:t>采集功能不少于</w:t>
            </w:r>
            <w:r>
              <w:rPr>
                <w:rFonts w:eastAsiaTheme="minorEastAsia"/>
                <w:szCs w:val="21"/>
              </w:rPr>
              <w:t>3</w:t>
            </w:r>
            <w:r>
              <w:rPr>
                <w:rFonts w:hint="eastAsia" w:eastAsiaTheme="minorEastAsia"/>
                <w:szCs w:val="21"/>
              </w:rPr>
              <w:t>种，包括：</w:t>
            </w:r>
          </w:p>
          <w:p>
            <w:pPr>
              <w:rPr>
                <w:rFonts w:eastAsiaTheme="minorEastAsia"/>
                <w:szCs w:val="21"/>
              </w:rPr>
            </w:pPr>
            <w:r>
              <w:rPr>
                <w:rFonts w:eastAsiaTheme="minorEastAsia"/>
                <w:szCs w:val="21"/>
              </w:rPr>
              <w:t>1</w:t>
            </w:r>
            <w:r>
              <w:rPr>
                <w:rFonts w:hint="eastAsia" w:eastAsiaTheme="minorEastAsia"/>
                <w:szCs w:val="21"/>
              </w:rPr>
              <w:t>）支持集成</w:t>
            </w:r>
            <w:r>
              <w:rPr>
                <w:rFonts w:eastAsiaTheme="minorEastAsia"/>
                <w:szCs w:val="21"/>
              </w:rPr>
              <w:t>OPPO</w:t>
            </w:r>
            <w:r>
              <w:rPr>
                <w:rFonts w:hint="eastAsia" w:eastAsiaTheme="minorEastAsia"/>
                <w:szCs w:val="21"/>
              </w:rPr>
              <w:t>品牌出厂版本为</w:t>
            </w:r>
            <w:r>
              <w:rPr>
                <w:rFonts w:eastAsiaTheme="minorEastAsia"/>
                <w:szCs w:val="21"/>
              </w:rPr>
              <w:t>Android9.x</w:t>
            </w:r>
            <w:r>
              <w:rPr>
                <w:rFonts w:hint="eastAsia" w:eastAsiaTheme="minorEastAsia"/>
                <w:szCs w:val="21"/>
              </w:rPr>
              <w:t>文件级加密（</w:t>
            </w:r>
            <w:r>
              <w:rPr>
                <w:rFonts w:eastAsiaTheme="minorEastAsia"/>
                <w:szCs w:val="21"/>
              </w:rPr>
              <w:t>FBE</w:t>
            </w:r>
            <w:r>
              <w:rPr>
                <w:rFonts w:hint="eastAsia" w:eastAsiaTheme="minorEastAsia"/>
                <w:szCs w:val="21"/>
              </w:rPr>
              <w:t>）且搭载联发科芯片的机型，绕密提取全盘数据（免密码提取全文件系统）；</w:t>
            </w:r>
          </w:p>
          <w:p>
            <w:pPr>
              <w:rPr>
                <w:rFonts w:eastAsiaTheme="minorEastAsia"/>
                <w:szCs w:val="21"/>
              </w:rPr>
            </w:pPr>
            <w:r>
              <w:rPr>
                <w:rFonts w:eastAsiaTheme="minorEastAsia"/>
                <w:szCs w:val="21"/>
              </w:rPr>
              <w:t>2</w:t>
            </w:r>
            <w:r>
              <w:rPr>
                <w:rFonts w:hint="eastAsia" w:eastAsiaTheme="minorEastAsia"/>
                <w:szCs w:val="21"/>
              </w:rPr>
              <w:t>）支持集成三星品牌</w:t>
            </w:r>
            <w:r>
              <w:rPr>
                <w:rFonts w:eastAsiaTheme="minorEastAsia"/>
                <w:szCs w:val="21"/>
              </w:rPr>
              <w:t>Android9.x-Android12.x</w:t>
            </w:r>
            <w:r>
              <w:rPr>
                <w:rFonts w:hint="eastAsia" w:eastAsiaTheme="minorEastAsia"/>
                <w:szCs w:val="21"/>
              </w:rPr>
              <w:t>文件级加密（</w:t>
            </w:r>
            <w:r>
              <w:rPr>
                <w:rFonts w:eastAsiaTheme="minorEastAsia"/>
                <w:szCs w:val="21"/>
              </w:rPr>
              <w:t>FBE</w:t>
            </w:r>
            <w:r>
              <w:rPr>
                <w:rFonts w:hint="eastAsia" w:eastAsiaTheme="minorEastAsia"/>
                <w:szCs w:val="21"/>
              </w:rPr>
              <w:t>）且搭载猎户座（</w:t>
            </w:r>
            <w:r>
              <w:rPr>
                <w:rFonts w:eastAsiaTheme="minorEastAsia"/>
                <w:szCs w:val="21"/>
              </w:rPr>
              <w:t>Exynos</w:t>
            </w:r>
            <w:r>
              <w:rPr>
                <w:rFonts w:hint="eastAsia" w:eastAsiaTheme="minorEastAsia"/>
                <w:szCs w:val="21"/>
              </w:rPr>
              <w:t>）芯片的机型，动态提权提取全盘数据（全文件系统）；</w:t>
            </w:r>
          </w:p>
          <w:p>
            <w:pPr>
              <w:rPr>
                <w:rFonts w:eastAsiaTheme="minorEastAsia"/>
                <w:szCs w:val="21"/>
              </w:rPr>
            </w:pPr>
            <w:r>
              <w:rPr>
                <w:rFonts w:eastAsiaTheme="minorEastAsia"/>
                <w:szCs w:val="21"/>
              </w:rPr>
              <w:t>3</w:t>
            </w:r>
            <w:r>
              <w:rPr>
                <w:rFonts w:hint="eastAsia" w:eastAsiaTheme="minorEastAsia"/>
                <w:szCs w:val="21"/>
              </w:rPr>
              <w:t>）支持集成小米品牌</w:t>
            </w:r>
            <w:r>
              <w:rPr>
                <w:rFonts w:eastAsiaTheme="minorEastAsia"/>
                <w:szCs w:val="21"/>
              </w:rPr>
              <w:t>Android9.x-Android12.x</w:t>
            </w:r>
            <w:r>
              <w:rPr>
                <w:rFonts w:hint="eastAsia" w:eastAsiaTheme="minorEastAsia"/>
                <w:szCs w:val="21"/>
              </w:rPr>
              <w:t>文件级加密（</w:t>
            </w:r>
            <w:r>
              <w:rPr>
                <w:rFonts w:eastAsiaTheme="minorEastAsia"/>
                <w:szCs w:val="21"/>
              </w:rPr>
              <w:t>FBE</w:t>
            </w:r>
            <w:r>
              <w:rPr>
                <w:rFonts w:hint="eastAsia" w:eastAsiaTheme="minorEastAsia"/>
                <w:szCs w:val="21"/>
              </w:rPr>
              <w:t>）且搭载联发科芯片的机型，进入系统界面提权提取全盘数据（全文件系统）</w:t>
            </w:r>
          </w:p>
        </w:tc>
        <w:tc>
          <w:tcPr>
            <w:tcW w:w="883" w:type="pct"/>
            <w:tcBorders>
              <w:top w:val="single" w:color="auto" w:sz="4" w:space="0"/>
              <w:left w:val="single" w:color="auto" w:sz="4" w:space="0"/>
              <w:bottom w:val="single" w:color="auto" w:sz="4" w:space="0"/>
              <w:right w:val="single" w:color="auto" w:sz="4" w:space="0"/>
            </w:tcBorders>
            <w:vAlign w:val="center"/>
          </w:tcPr>
          <w:p>
            <w:pPr>
              <w:rPr>
                <w:rFonts w:ascii="宋体" w:hAnsi="宋体" w:eastAsiaTheme="minorEastAsia"/>
                <w:szCs w:val="21"/>
              </w:rPr>
            </w:pPr>
            <w:r>
              <w:rPr>
                <w:rFonts w:hint="eastAsia" w:ascii="宋体" w:hAnsi="宋体" w:eastAsiaTheme="minorEastAsia"/>
                <w:szCs w:val="21"/>
              </w:rPr>
              <w:t>功能截图</w:t>
            </w:r>
          </w:p>
        </w:tc>
      </w:tr>
    </w:tbl>
    <w:p>
      <w:pPr>
        <w:rPr>
          <w:rFonts w:asciiTheme="minorHAnsi" w:hAnsiTheme="minorHAnsi" w:eastAsiaTheme="minorEastAsia" w:cstheme="minorBidi"/>
          <w:kern w:val="2"/>
          <w:szCs w:val="21"/>
        </w:rPr>
      </w:pPr>
    </w:p>
    <w:p>
      <w:pPr>
        <w:pStyle w:val="5"/>
        <w:spacing w:before="15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w:t>
      </w:r>
      <w:r>
        <w:rPr>
          <w:rFonts w:asciiTheme="minorEastAsia" w:hAnsiTheme="minorEastAsia" w:eastAsiaTheme="minorEastAsia" w:cstheme="minorEastAsia"/>
          <w:szCs w:val="21"/>
        </w:rPr>
        <w:t>4</w:t>
      </w:r>
      <w:r>
        <w:rPr>
          <w:rFonts w:hint="eastAsia" w:asciiTheme="minorEastAsia" w:hAnsiTheme="minorEastAsia" w:eastAsiaTheme="minorEastAsia" w:cstheme="minorEastAsia"/>
          <w:szCs w:val="21"/>
        </w:rPr>
        <w:t>包电子取证数据库分析系统</w:t>
      </w:r>
    </w:p>
    <w:tbl>
      <w:tblPr>
        <w:tblStyle w:val="81"/>
        <w:tblW w:w="461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9"/>
        <w:gridCol w:w="694"/>
        <w:gridCol w:w="1018"/>
        <w:gridCol w:w="4438"/>
        <w:gridCol w:w="15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2" w:type="pct"/>
            <w:tcBorders>
              <w:top w:val="single" w:color="auto" w:sz="4" w:space="0"/>
              <w:left w:val="single" w:color="auto" w:sz="4" w:space="0"/>
              <w:bottom w:val="single" w:color="auto" w:sz="4" w:space="0"/>
              <w:right w:val="single" w:color="auto" w:sz="4" w:space="0"/>
            </w:tcBorders>
            <w:vAlign w:val="center"/>
          </w:tcPr>
          <w:p>
            <w:pPr>
              <w:spacing w:line="360" w:lineRule="auto"/>
              <w:ind w:left="142"/>
              <w:rPr>
                <w:rFonts w:eastAsiaTheme="minorEastAsia"/>
                <w:szCs w:val="21"/>
              </w:rPr>
            </w:pPr>
            <w:r>
              <w:rPr>
                <w:rFonts w:hint="eastAsia" w:ascii="宋体" w:hAnsi="宋体" w:eastAsiaTheme="minorEastAsia"/>
                <w:b/>
                <w:szCs w:val="21"/>
              </w:rPr>
              <w:t>序号</w:t>
            </w:r>
          </w:p>
        </w:tc>
        <w:tc>
          <w:tcPr>
            <w:tcW w:w="415"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Theme="minorEastAsia"/>
                <w:szCs w:val="21"/>
              </w:rPr>
            </w:pPr>
            <w:r>
              <w:rPr>
                <w:rFonts w:hint="eastAsia" w:ascii="宋体" w:hAnsi="宋体" w:eastAsiaTheme="minorEastAsia"/>
                <w:b/>
                <w:szCs w:val="21"/>
              </w:rPr>
              <w:t>重要性</w:t>
            </w:r>
          </w:p>
        </w:tc>
        <w:tc>
          <w:tcPr>
            <w:tcW w:w="609" w:type="pct"/>
            <w:tcBorders>
              <w:top w:val="single" w:color="auto" w:sz="4" w:space="0"/>
              <w:left w:val="single" w:color="auto" w:sz="4" w:space="0"/>
              <w:bottom w:val="single" w:color="auto" w:sz="4" w:space="0"/>
              <w:right w:val="single" w:color="auto" w:sz="4" w:space="0"/>
            </w:tcBorders>
            <w:vAlign w:val="center"/>
          </w:tcPr>
          <w:p>
            <w:pPr>
              <w:rPr>
                <w:rFonts w:asciiTheme="minorHAnsi" w:hAnsiTheme="minorHAnsi" w:eastAsiaTheme="minorEastAsia"/>
                <w:szCs w:val="21"/>
              </w:rPr>
            </w:pPr>
            <w:r>
              <w:rPr>
                <w:rFonts w:hint="eastAsia" w:ascii="宋体" w:hAnsi="宋体" w:eastAsiaTheme="minorEastAsia"/>
                <w:b/>
                <w:szCs w:val="21"/>
              </w:rPr>
              <w:t>指标项</w:t>
            </w:r>
          </w:p>
        </w:tc>
        <w:tc>
          <w:tcPr>
            <w:tcW w:w="2654" w:type="pct"/>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napToGrid w:val="0"/>
              <w:textAlignment w:val="center"/>
              <w:rPr>
                <w:rFonts w:eastAsiaTheme="minorEastAsia"/>
                <w:szCs w:val="21"/>
              </w:rPr>
            </w:pPr>
            <w:r>
              <w:rPr>
                <w:rFonts w:hint="eastAsia" w:ascii="宋体" w:hAnsi="宋体" w:eastAsiaTheme="minorEastAsia"/>
                <w:b/>
                <w:szCs w:val="21"/>
              </w:rPr>
              <w:t>指标要求</w:t>
            </w:r>
          </w:p>
        </w:tc>
        <w:tc>
          <w:tcPr>
            <w:tcW w:w="940" w:type="pct"/>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napToGrid w:val="0"/>
              <w:textAlignment w:val="center"/>
              <w:rPr>
                <w:rFonts w:ascii="宋体" w:hAnsi="宋体" w:eastAsiaTheme="minorEastAsia"/>
                <w:szCs w:val="21"/>
              </w:rPr>
            </w:pPr>
            <w:r>
              <w:rPr>
                <w:rFonts w:hint="eastAsia" w:ascii="宋体" w:hAnsi="宋体" w:eastAsiaTheme="minorEastAsia"/>
                <w:b/>
                <w:szCs w:val="21"/>
              </w:rPr>
              <w:t>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88"/>
              </w:numPr>
              <w:spacing w:line="360" w:lineRule="auto"/>
              <w:jc w:val="both"/>
              <w:rPr>
                <w:rFonts w:eastAsiaTheme="minorEastAsia"/>
                <w:szCs w:val="21"/>
              </w:rPr>
            </w:pPr>
          </w:p>
        </w:tc>
        <w:tc>
          <w:tcPr>
            <w:tcW w:w="415"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Theme="minorEastAsia"/>
                <w:szCs w:val="21"/>
              </w:rPr>
            </w:pPr>
            <w:r>
              <w:rPr>
                <w:rFonts w:hint="eastAsia" w:ascii="宋体" w:hAnsi="宋体" w:eastAsiaTheme="minorEastAsia"/>
                <w:szCs w:val="21"/>
              </w:rPr>
              <w:t>▲</w:t>
            </w:r>
          </w:p>
        </w:tc>
        <w:tc>
          <w:tcPr>
            <w:tcW w:w="609" w:type="pct"/>
            <w:vMerge w:val="restart"/>
            <w:tcBorders>
              <w:top w:val="single" w:color="auto" w:sz="4" w:space="0"/>
              <w:left w:val="single" w:color="auto" w:sz="4" w:space="0"/>
              <w:bottom w:val="single" w:color="auto" w:sz="4" w:space="0"/>
              <w:right w:val="single" w:color="auto" w:sz="4" w:space="0"/>
            </w:tcBorders>
            <w:vAlign w:val="center"/>
          </w:tcPr>
          <w:p>
            <w:pPr>
              <w:rPr>
                <w:rFonts w:ascii="宋体" w:hAnsi="宋体" w:eastAsiaTheme="minorEastAsia"/>
                <w:szCs w:val="21"/>
              </w:rPr>
            </w:pPr>
            <w:r>
              <w:rPr>
                <w:rFonts w:hint="eastAsia" w:eastAsiaTheme="minorEastAsia"/>
                <w:szCs w:val="21"/>
              </w:rPr>
              <w:t>软件功能要求</w:t>
            </w:r>
          </w:p>
        </w:tc>
        <w:tc>
          <w:tcPr>
            <w:tcW w:w="2654" w:type="pct"/>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napToGrid w:val="0"/>
              <w:textAlignment w:val="center"/>
              <w:rPr>
                <w:rFonts w:ascii="宋体" w:hAnsi="宋体" w:eastAsiaTheme="minorEastAsia"/>
                <w:szCs w:val="21"/>
              </w:rPr>
            </w:pPr>
            <w:r>
              <w:rPr>
                <w:rFonts w:hint="eastAsia" w:eastAsiaTheme="minorEastAsia"/>
                <w:szCs w:val="21"/>
              </w:rPr>
              <w:t>需支持不少于</w:t>
            </w:r>
            <w:r>
              <w:rPr>
                <w:rFonts w:eastAsiaTheme="minorEastAsia"/>
                <w:szCs w:val="21"/>
              </w:rPr>
              <w:t>2</w:t>
            </w:r>
            <w:r>
              <w:rPr>
                <w:rFonts w:hint="eastAsia" w:eastAsiaTheme="minorEastAsia"/>
                <w:szCs w:val="21"/>
              </w:rPr>
              <w:t>种数据库功能，包括：</w:t>
            </w:r>
            <w:r>
              <w:rPr>
                <w:rFonts w:eastAsiaTheme="minorEastAsia"/>
                <w:szCs w:val="21"/>
              </w:rPr>
              <w:t>1</w:t>
            </w:r>
            <w:r>
              <w:rPr>
                <w:rFonts w:hint="eastAsia" w:eastAsiaTheme="minorEastAsia"/>
                <w:szCs w:val="21"/>
              </w:rPr>
              <w:t>）支持</w:t>
            </w:r>
            <w:r>
              <w:rPr>
                <w:rFonts w:eastAsiaTheme="minorEastAsia"/>
                <w:szCs w:val="21"/>
              </w:rPr>
              <w:t>Neo4j</w:t>
            </w:r>
            <w:r>
              <w:rPr>
                <w:rFonts w:hint="eastAsia" w:eastAsiaTheme="minorEastAsia"/>
                <w:szCs w:val="21"/>
              </w:rPr>
              <w:t>转换工具，支持将取证</w:t>
            </w:r>
            <w:r>
              <w:rPr>
                <w:rFonts w:eastAsiaTheme="minorEastAsia"/>
                <w:szCs w:val="21"/>
              </w:rPr>
              <w:t>BCP</w:t>
            </w:r>
            <w:r>
              <w:rPr>
                <w:rFonts w:hint="eastAsia" w:eastAsiaTheme="minorEastAsia"/>
                <w:szCs w:val="21"/>
              </w:rPr>
              <w:t>数据中关联数据转换成可导入</w:t>
            </w:r>
            <w:r>
              <w:rPr>
                <w:rFonts w:eastAsiaTheme="minorEastAsia"/>
                <w:szCs w:val="21"/>
              </w:rPr>
              <w:t>Neo4j</w:t>
            </w:r>
            <w:r>
              <w:rPr>
                <w:rFonts w:hint="eastAsia" w:eastAsiaTheme="minorEastAsia"/>
                <w:szCs w:val="21"/>
              </w:rPr>
              <w:t>的</w:t>
            </w:r>
            <w:r>
              <w:rPr>
                <w:rFonts w:eastAsiaTheme="minorEastAsia"/>
                <w:szCs w:val="21"/>
              </w:rPr>
              <w:t>CSV</w:t>
            </w:r>
            <w:r>
              <w:rPr>
                <w:rFonts w:hint="eastAsia" w:eastAsiaTheme="minorEastAsia"/>
                <w:szCs w:val="21"/>
              </w:rPr>
              <w:t>文件；</w:t>
            </w:r>
            <w:r>
              <w:rPr>
                <w:rFonts w:eastAsiaTheme="minorEastAsia"/>
                <w:szCs w:val="21"/>
              </w:rPr>
              <w:t>2</w:t>
            </w:r>
            <w:r>
              <w:rPr>
                <w:rFonts w:hint="eastAsia" w:eastAsiaTheme="minorEastAsia"/>
                <w:szCs w:val="21"/>
              </w:rPr>
              <w:t>）支持</w:t>
            </w:r>
            <w:r>
              <w:rPr>
                <w:rFonts w:eastAsiaTheme="minorEastAsia"/>
                <w:szCs w:val="21"/>
              </w:rPr>
              <w:t>MySQL</w:t>
            </w:r>
            <w:r>
              <w:rPr>
                <w:rFonts w:hint="eastAsia" w:eastAsiaTheme="minorEastAsia"/>
                <w:szCs w:val="21"/>
              </w:rPr>
              <w:t>在线数据库直接连接，可选择指定数据库和数据表解析，数据表备注和字段备注自动展示，可通过</w:t>
            </w:r>
            <w:r>
              <w:rPr>
                <w:rFonts w:eastAsiaTheme="minorEastAsia"/>
                <w:szCs w:val="21"/>
              </w:rPr>
              <w:t>SQL</w:t>
            </w:r>
            <w:r>
              <w:rPr>
                <w:rFonts w:hint="eastAsia" w:eastAsiaTheme="minorEastAsia"/>
                <w:szCs w:val="21"/>
              </w:rPr>
              <w:t>语句查询并导入数据，支持</w:t>
            </w:r>
            <w:r>
              <w:rPr>
                <w:rFonts w:eastAsiaTheme="minorEastAsia"/>
                <w:szCs w:val="21"/>
              </w:rPr>
              <w:t>MySQL</w:t>
            </w:r>
            <w:r>
              <w:rPr>
                <w:rFonts w:hint="eastAsia" w:eastAsiaTheme="minorEastAsia"/>
                <w:szCs w:val="21"/>
              </w:rPr>
              <w:t>离线数据库数据恢复</w:t>
            </w:r>
          </w:p>
        </w:tc>
        <w:tc>
          <w:tcPr>
            <w:tcW w:w="940" w:type="pct"/>
            <w:vMerge w:val="restart"/>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napToGrid w:val="0"/>
              <w:textAlignment w:val="center"/>
              <w:rPr>
                <w:rFonts w:ascii="宋体" w:hAnsi="宋体" w:eastAsiaTheme="minorEastAsia"/>
                <w:szCs w:val="21"/>
              </w:rPr>
            </w:pPr>
            <w:r>
              <w:rPr>
                <w:rFonts w:hint="eastAsia" w:ascii="宋体" w:hAnsi="宋体" w:eastAsiaTheme="minorEastAsia"/>
                <w:szCs w:val="21"/>
              </w:rPr>
              <w:t>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88"/>
              </w:numPr>
              <w:spacing w:line="360" w:lineRule="auto"/>
              <w:jc w:val="both"/>
              <w:rPr>
                <w:rFonts w:eastAsiaTheme="minorEastAsia"/>
                <w:szCs w:val="21"/>
              </w:rPr>
            </w:pPr>
          </w:p>
        </w:tc>
        <w:tc>
          <w:tcPr>
            <w:tcW w:w="415" w:type="pct"/>
            <w:tcBorders>
              <w:top w:val="single" w:color="auto" w:sz="4" w:space="0"/>
              <w:left w:val="single" w:color="auto" w:sz="4" w:space="0"/>
              <w:bottom w:val="single" w:color="auto" w:sz="4" w:space="0"/>
              <w:right w:val="single" w:color="auto" w:sz="4" w:space="0"/>
            </w:tcBorders>
            <w:vAlign w:val="center"/>
          </w:tcPr>
          <w:p>
            <w:pPr>
              <w:jc w:val="center"/>
              <w:rPr>
                <w:rFonts w:ascii="Segoe UI Symbol" w:hAnsi="Segoe UI Symbol" w:cs="Segoe UI Symbol" w:eastAsiaTheme="minorEastAsia"/>
                <w:szCs w:val="21"/>
              </w:rPr>
            </w:pPr>
            <w:r>
              <w:rPr>
                <w:rFonts w:hint="eastAsia" w:ascii="宋体" w:hAnsi="宋体" w:eastAsiaTheme="minorEastAsia"/>
                <w:szCs w:val="21"/>
              </w:rPr>
              <w:t>▲</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Theme="minorEastAsia"/>
                <w:kern w:val="2"/>
                <w:szCs w:val="21"/>
              </w:rPr>
            </w:pPr>
          </w:p>
        </w:tc>
        <w:tc>
          <w:tcPr>
            <w:tcW w:w="2654" w:type="pct"/>
            <w:tcBorders>
              <w:top w:val="single" w:color="auto" w:sz="4" w:space="0"/>
              <w:left w:val="single" w:color="auto" w:sz="4" w:space="0"/>
              <w:bottom w:val="single" w:color="auto" w:sz="4" w:space="0"/>
              <w:right w:val="single" w:color="auto" w:sz="4" w:space="0"/>
            </w:tcBorders>
            <w:vAlign w:val="center"/>
          </w:tcPr>
          <w:p>
            <w:pPr>
              <w:rPr>
                <w:rFonts w:ascii="宋体" w:hAnsi="宋体" w:eastAsiaTheme="minorEastAsia" w:cstheme="minorBidi"/>
                <w:szCs w:val="21"/>
              </w:rPr>
            </w:pPr>
            <w:r>
              <w:rPr>
                <w:rFonts w:hint="eastAsia" w:eastAsiaTheme="minorEastAsia"/>
                <w:szCs w:val="21"/>
              </w:rPr>
              <w:t>支持向导式数据导入功能，引导用户按照数据类型进行数据导入，数据类型不少于</w:t>
            </w:r>
            <w:r>
              <w:rPr>
                <w:rFonts w:eastAsiaTheme="minorEastAsia"/>
                <w:szCs w:val="21"/>
              </w:rPr>
              <w:t>9</w:t>
            </w:r>
            <w:r>
              <w:rPr>
                <w:rFonts w:hint="eastAsia" w:eastAsiaTheme="minorEastAsia"/>
                <w:szCs w:val="21"/>
              </w:rPr>
              <w:t>种，包括：文本、表格、部标</w:t>
            </w:r>
            <w:r>
              <w:rPr>
                <w:rFonts w:eastAsiaTheme="minorEastAsia"/>
                <w:szCs w:val="21"/>
              </w:rPr>
              <w:t>BCP</w:t>
            </w:r>
            <w:r>
              <w:rPr>
                <w:rFonts w:hint="eastAsia" w:eastAsiaTheme="minorEastAsia"/>
                <w:szCs w:val="21"/>
              </w:rPr>
              <w:t>、主流取证厂商</w:t>
            </w:r>
            <w:r>
              <w:rPr>
                <w:rFonts w:eastAsiaTheme="minorEastAsia"/>
                <w:szCs w:val="21"/>
              </w:rPr>
              <w:t>html</w:t>
            </w:r>
            <w:r>
              <w:rPr>
                <w:rFonts w:hint="eastAsia" w:eastAsiaTheme="minorEastAsia"/>
                <w:szCs w:val="21"/>
              </w:rPr>
              <w:t>报告、</w:t>
            </w:r>
            <w:r>
              <w:rPr>
                <w:rFonts w:eastAsiaTheme="minorEastAsia"/>
                <w:szCs w:val="21"/>
              </w:rPr>
              <w:t>MySQL</w:t>
            </w:r>
            <w:r>
              <w:rPr>
                <w:rFonts w:hint="eastAsia" w:eastAsiaTheme="minorEastAsia"/>
                <w:szCs w:val="21"/>
              </w:rPr>
              <w:t>离线数据库、二进制、</w:t>
            </w:r>
            <w:r>
              <w:rPr>
                <w:rFonts w:eastAsiaTheme="minorEastAsia"/>
                <w:szCs w:val="21"/>
              </w:rPr>
              <w:t>PDF</w:t>
            </w:r>
            <w:r>
              <w:rPr>
                <w:rFonts w:hint="eastAsia" w:eastAsiaTheme="minorEastAsia"/>
                <w:szCs w:val="21"/>
              </w:rPr>
              <w:t>、</w:t>
            </w:r>
            <w:r>
              <w:rPr>
                <w:rFonts w:eastAsiaTheme="minorEastAsia"/>
                <w:szCs w:val="21"/>
              </w:rPr>
              <w:t>Json</w:t>
            </w:r>
            <w:r>
              <w:rPr>
                <w:rFonts w:hint="eastAsia" w:eastAsiaTheme="minorEastAsia"/>
                <w:szCs w:val="21"/>
              </w:rPr>
              <w:t>、</w:t>
            </w:r>
            <w:r>
              <w:rPr>
                <w:rFonts w:eastAsiaTheme="minorEastAsia"/>
                <w:szCs w:val="21"/>
              </w:rPr>
              <w:t>SQL</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88"/>
              </w:numPr>
              <w:spacing w:line="360" w:lineRule="auto"/>
              <w:jc w:val="both"/>
              <w:rPr>
                <w:rFonts w:eastAsiaTheme="minorEastAsia"/>
                <w:szCs w:val="21"/>
              </w:rPr>
            </w:pPr>
          </w:p>
        </w:tc>
        <w:tc>
          <w:tcPr>
            <w:tcW w:w="415"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szCs w:val="21"/>
              </w:rPr>
            </w:pPr>
            <w:r>
              <w:rPr>
                <w:rFonts w:hint="eastAsia" w:ascii="宋体" w:hAnsi="宋体" w:eastAsiaTheme="minorEastAsia"/>
                <w:szCs w:val="21"/>
              </w:rPr>
              <w:t>▲</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Theme="minorEastAsia"/>
                <w:kern w:val="2"/>
                <w:szCs w:val="21"/>
              </w:rPr>
            </w:pPr>
          </w:p>
        </w:tc>
        <w:tc>
          <w:tcPr>
            <w:tcW w:w="2654" w:type="pct"/>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napToGrid w:val="0"/>
              <w:textAlignment w:val="center"/>
              <w:rPr>
                <w:rFonts w:ascii="宋体" w:hAnsi="宋体" w:eastAsiaTheme="minorEastAsia"/>
                <w:color w:val="FF0000"/>
                <w:szCs w:val="21"/>
              </w:rPr>
            </w:pPr>
            <w:r>
              <w:rPr>
                <w:rFonts w:hint="eastAsia" w:eastAsiaTheme="minorEastAsia"/>
                <w:szCs w:val="21"/>
              </w:rPr>
              <w:t>支持不少于</w:t>
            </w:r>
            <w:r>
              <w:rPr>
                <w:rFonts w:eastAsiaTheme="minorEastAsia"/>
                <w:szCs w:val="21"/>
              </w:rPr>
              <w:t>3</w:t>
            </w:r>
            <w:r>
              <w:rPr>
                <w:rFonts w:hint="eastAsia" w:eastAsiaTheme="minorEastAsia"/>
                <w:szCs w:val="21"/>
              </w:rPr>
              <w:t>种网站访问日志数据分析，包括：</w:t>
            </w:r>
            <w:r>
              <w:rPr>
                <w:rFonts w:eastAsiaTheme="minorEastAsia"/>
                <w:szCs w:val="21"/>
              </w:rPr>
              <w:t>Apache</w:t>
            </w:r>
            <w:r>
              <w:rPr>
                <w:rFonts w:hint="eastAsia" w:eastAsiaTheme="minorEastAsia"/>
                <w:szCs w:val="21"/>
              </w:rPr>
              <w:t>、</w:t>
            </w:r>
            <w:r>
              <w:rPr>
                <w:rFonts w:eastAsiaTheme="minorEastAsia"/>
                <w:szCs w:val="21"/>
              </w:rPr>
              <w:t>Nginx</w:t>
            </w:r>
            <w:r>
              <w:rPr>
                <w:rFonts w:hint="eastAsia" w:eastAsiaTheme="minorEastAsia"/>
                <w:szCs w:val="21"/>
              </w:rPr>
              <w:t>、</w:t>
            </w:r>
            <w:r>
              <w:rPr>
                <w:rFonts w:eastAsiaTheme="minorEastAsia"/>
                <w:szCs w:val="21"/>
              </w:rPr>
              <w:t>IIS</w:t>
            </w:r>
            <w:r>
              <w:rPr>
                <w:rFonts w:hint="eastAsia" w:eastAsiaTheme="minorEastAsia"/>
                <w:szCs w:val="21"/>
              </w:rPr>
              <w:t>，支持</w:t>
            </w:r>
            <w:r>
              <w:rPr>
                <w:rFonts w:eastAsiaTheme="minorEastAsia"/>
                <w:szCs w:val="21"/>
              </w:rPr>
              <w:t>IIS</w:t>
            </w:r>
            <w:r>
              <w:rPr>
                <w:rFonts w:hint="eastAsia" w:eastAsiaTheme="minorEastAsia"/>
                <w:szCs w:val="21"/>
              </w:rPr>
              <w:t>单文件混合多种格式的日志数据</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2" w:type="pct"/>
            <w:tcBorders>
              <w:top w:val="single" w:color="auto" w:sz="4" w:space="0"/>
              <w:left w:val="single" w:color="auto" w:sz="4" w:space="0"/>
              <w:bottom w:val="single" w:color="auto" w:sz="4" w:space="0"/>
              <w:right w:val="single" w:color="auto" w:sz="4" w:space="0"/>
            </w:tcBorders>
            <w:vAlign w:val="center"/>
          </w:tcPr>
          <w:p>
            <w:pPr>
              <w:widowControl w:val="0"/>
              <w:numPr>
                <w:ilvl w:val="0"/>
                <w:numId w:val="88"/>
              </w:numPr>
              <w:spacing w:line="360" w:lineRule="auto"/>
              <w:jc w:val="both"/>
              <w:rPr>
                <w:rFonts w:eastAsiaTheme="minorEastAsia"/>
                <w:szCs w:val="21"/>
              </w:rPr>
            </w:pPr>
          </w:p>
        </w:tc>
        <w:tc>
          <w:tcPr>
            <w:tcW w:w="415"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Theme="minorEastAsia"/>
                <w:szCs w:val="21"/>
              </w:rPr>
            </w:pPr>
            <w:r>
              <w:rPr>
                <w:rFonts w:hint="eastAsia" w:ascii="宋体" w:hAnsi="宋体" w:eastAsiaTheme="minorEastAsia"/>
                <w:szCs w:val="21"/>
              </w:rPr>
              <w:t>▲</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Theme="minorEastAsia"/>
                <w:kern w:val="2"/>
                <w:szCs w:val="21"/>
              </w:rPr>
            </w:pPr>
          </w:p>
        </w:tc>
        <w:tc>
          <w:tcPr>
            <w:tcW w:w="2654" w:type="pct"/>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napToGrid w:val="0"/>
              <w:textAlignment w:val="center"/>
              <w:rPr>
                <w:rFonts w:ascii="宋体" w:hAnsi="宋体" w:eastAsiaTheme="minorEastAsia"/>
                <w:color w:val="FF0000"/>
                <w:szCs w:val="21"/>
              </w:rPr>
            </w:pPr>
            <w:r>
              <w:rPr>
                <w:rFonts w:hint="eastAsia" w:eastAsiaTheme="minorEastAsia"/>
                <w:szCs w:val="21"/>
              </w:rPr>
              <w:t>支持人物画像工具，导入取证</w:t>
            </w:r>
            <w:r>
              <w:rPr>
                <w:rFonts w:eastAsiaTheme="minorEastAsia"/>
                <w:szCs w:val="21"/>
              </w:rPr>
              <w:t>BCP</w:t>
            </w:r>
            <w:r>
              <w:rPr>
                <w:rFonts w:hint="eastAsia" w:eastAsiaTheme="minorEastAsia"/>
                <w:szCs w:val="21"/>
              </w:rPr>
              <w:t>数据进行自动分析，展示不少于</w:t>
            </w:r>
            <w:r>
              <w:rPr>
                <w:rFonts w:eastAsiaTheme="minorEastAsia"/>
                <w:szCs w:val="21"/>
              </w:rPr>
              <w:t>3</w:t>
            </w:r>
            <w:r>
              <w:rPr>
                <w:rFonts w:hint="eastAsia" w:eastAsiaTheme="minorEastAsia"/>
                <w:szCs w:val="21"/>
              </w:rPr>
              <w:t>种信息，包括：社交规律、经济规律、出行信息</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eastAsiaTheme="minorEastAsia"/>
                <w:kern w:val="2"/>
                <w:szCs w:val="21"/>
              </w:rPr>
            </w:pPr>
          </w:p>
        </w:tc>
      </w:tr>
    </w:tbl>
    <w:p>
      <w:pPr>
        <w:rPr>
          <w:rFonts w:asciiTheme="minorHAnsi" w:hAnsiTheme="minorHAnsi" w:eastAsiaTheme="minorEastAsia" w:cstheme="minorBidi"/>
          <w:kern w:val="2"/>
          <w:szCs w:val="21"/>
        </w:rPr>
      </w:pPr>
    </w:p>
    <w:p>
      <w:pPr>
        <w:pStyle w:val="5"/>
        <w:spacing w:before="15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第5包手机取证塔</w:t>
      </w:r>
      <w:r>
        <w:rPr>
          <w:rFonts w:hint="default" w:ascii="Times New Roman" w:hAnsi="Times New Roman" w:cs="Times New Roman" w:eastAsiaTheme="minorEastAsia"/>
          <w:szCs w:val="21"/>
        </w:rPr>
        <w:t>Ⅴ</w:t>
      </w:r>
    </w:p>
    <w:tbl>
      <w:tblPr>
        <w:tblStyle w:val="81"/>
        <w:tblW w:w="485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4"/>
        <w:gridCol w:w="566"/>
        <w:gridCol w:w="1371"/>
        <w:gridCol w:w="4375"/>
        <w:gridCol w:w="1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eastAsiaTheme="minorEastAsia"/>
                <w:b/>
                <w:color w:val="000000" w:themeColor="text1"/>
                <w:szCs w:val="21"/>
                <w14:textFill>
                  <w14:solidFill>
                    <w14:schemeClr w14:val="tx1"/>
                  </w14:solidFill>
                </w14:textFill>
              </w:rPr>
            </w:pPr>
            <w:bookmarkStart w:id="123" w:name="_Toc18865"/>
            <w:bookmarkStart w:id="124" w:name="_Toc10097"/>
            <w:r>
              <w:rPr>
                <w:rFonts w:hint="eastAsia" w:ascii="宋体" w:hAnsi="宋体" w:cs="宋体" w:eastAsiaTheme="minorEastAsia"/>
                <w:b/>
                <w:color w:val="000000" w:themeColor="text1"/>
                <w:szCs w:val="21"/>
                <w14:textFill>
                  <w14:solidFill>
                    <w14:schemeClr w14:val="tx1"/>
                  </w14:solidFill>
                </w14:textFill>
              </w:rPr>
              <w:t>序号</w:t>
            </w:r>
          </w:p>
        </w:tc>
        <w:tc>
          <w:tcPr>
            <w:tcW w:w="321" w:type="pct"/>
            <w:tcBorders>
              <w:top w:val="single" w:color="auto" w:sz="4" w:space="0"/>
              <w:left w:val="single" w:color="auto" w:sz="4" w:space="0"/>
              <w:bottom w:val="single" w:color="auto" w:sz="4" w:space="0"/>
              <w:right w:val="single" w:color="auto" w:sz="4" w:space="0"/>
            </w:tcBorders>
          </w:tcPr>
          <w:p>
            <w:pPr>
              <w:jc w:val="center"/>
              <w:rPr>
                <w:rFonts w:ascii="宋体" w:hAnsi="宋体" w:cs="宋体" w:eastAsiaTheme="minorEastAsia"/>
                <w:b/>
                <w:color w:val="000000" w:themeColor="text1"/>
                <w:szCs w:val="21"/>
                <w14:textFill>
                  <w14:solidFill>
                    <w14:schemeClr w14:val="tx1"/>
                  </w14:solidFill>
                </w14:textFill>
              </w:rPr>
            </w:pPr>
            <w:r>
              <w:rPr>
                <w:rFonts w:hint="eastAsia" w:ascii="宋体" w:hAnsi="宋体" w:cs="宋体" w:eastAsiaTheme="minorEastAsia"/>
                <w:b/>
                <w:color w:val="000000" w:themeColor="text1"/>
                <w:szCs w:val="21"/>
                <w14:textFill>
                  <w14:solidFill>
                    <w14:schemeClr w14:val="tx1"/>
                  </w14:solidFill>
                </w14:textFill>
              </w:rPr>
              <w:t>重要性</w:t>
            </w:r>
          </w:p>
        </w:tc>
        <w:tc>
          <w:tcPr>
            <w:tcW w:w="778"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eastAsiaTheme="minorEastAsia"/>
                <w:b/>
                <w:color w:val="000000" w:themeColor="text1"/>
                <w:szCs w:val="21"/>
                <w14:textFill>
                  <w14:solidFill>
                    <w14:schemeClr w14:val="tx1"/>
                  </w14:solidFill>
                </w14:textFill>
              </w:rPr>
            </w:pPr>
            <w:r>
              <w:rPr>
                <w:rFonts w:hint="eastAsia" w:ascii="宋体" w:hAnsi="宋体" w:cs="宋体" w:eastAsiaTheme="minorEastAsia"/>
                <w:b/>
                <w:color w:val="000000" w:themeColor="text1"/>
                <w:szCs w:val="21"/>
                <w14:textFill>
                  <w14:solidFill>
                    <w14:schemeClr w14:val="tx1"/>
                  </w14:solidFill>
                </w14:textFill>
              </w:rPr>
              <w:t>指标项</w:t>
            </w:r>
          </w:p>
        </w:tc>
        <w:tc>
          <w:tcPr>
            <w:tcW w:w="2483"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eastAsiaTheme="minorEastAsia"/>
                <w:b/>
                <w:color w:val="000000" w:themeColor="text1"/>
                <w:szCs w:val="21"/>
                <w14:textFill>
                  <w14:solidFill>
                    <w14:schemeClr w14:val="tx1"/>
                  </w14:solidFill>
                </w14:textFill>
              </w:rPr>
            </w:pPr>
            <w:r>
              <w:rPr>
                <w:rFonts w:hint="eastAsia" w:ascii="宋体" w:hAnsi="宋体" w:cs="宋体" w:eastAsiaTheme="minorEastAsia"/>
                <w:b/>
                <w:color w:val="000000" w:themeColor="text1"/>
                <w:szCs w:val="21"/>
                <w14:textFill>
                  <w14:solidFill>
                    <w14:schemeClr w14:val="tx1"/>
                  </w14:solidFill>
                </w14:textFill>
              </w:rPr>
              <w:t>指标要求</w:t>
            </w:r>
          </w:p>
        </w:tc>
        <w:tc>
          <w:tcPr>
            <w:tcW w:w="1078" w:type="pct"/>
            <w:tcBorders>
              <w:top w:val="single" w:color="auto" w:sz="4" w:space="0"/>
              <w:left w:val="single" w:color="auto" w:sz="4" w:space="0"/>
              <w:bottom w:val="single" w:color="auto" w:sz="4" w:space="0"/>
              <w:right w:val="single" w:color="auto" w:sz="4" w:space="0"/>
            </w:tcBorders>
          </w:tcPr>
          <w:p>
            <w:pPr>
              <w:jc w:val="center"/>
              <w:rPr>
                <w:rFonts w:ascii="宋体" w:hAnsi="宋体" w:cs="宋体" w:eastAsiaTheme="minorEastAsia"/>
                <w:b/>
                <w:color w:val="000000" w:themeColor="text1"/>
                <w:szCs w:val="21"/>
                <w14:textFill>
                  <w14:solidFill>
                    <w14:schemeClr w14:val="tx1"/>
                  </w14:solidFill>
                </w14:textFill>
              </w:rPr>
            </w:pPr>
            <w:r>
              <w:rPr>
                <w:rFonts w:hint="eastAsia" w:ascii="宋体" w:hAnsi="宋体" w:cs="宋体" w:eastAsiaTheme="minorEastAsia"/>
                <w:b/>
                <w:color w:val="000000" w:themeColor="text1"/>
                <w:szCs w:val="21"/>
                <w14:textFill>
                  <w14:solidFill>
                    <w14:schemeClr w14:val="tx1"/>
                  </w14:solidFill>
                </w14:textFill>
              </w:rPr>
              <w:t>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宋体" w:hAnsi="宋体" w:cs="宋体" w:eastAsiaTheme="minorEastAsia"/>
                <w:color w:val="000000"/>
                <w:szCs w:val="21"/>
                <w:lang w:val="en-US"/>
              </w:rPr>
            </w:pPr>
            <w:r>
              <w:rPr>
                <w:rFonts w:hint="eastAsia" w:ascii="宋体" w:hAnsi="宋体" w:cs="宋体" w:eastAsiaTheme="minorEastAsia"/>
                <w:color w:val="000000"/>
                <w:kern w:val="0"/>
                <w:szCs w:val="21"/>
                <w:lang w:val="en-US" w:bidi="ar"/>
              </w:rPr>
              <w:t>1</w:t>
            </w:r>
          </w:p>
        </w:tc>
        <w:tc>
          <w:tcPr>
            <w:tcW w:w="321"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宋体" w:hAnsi="宋体" w:cs="宋体" w:eastAsiaTheme="minorEastAsia"/>
                <w:color w:val="000000" w:themeColor="text1"/>
                <w:szCs w:val="21"/>
                <w14:textFill>
                  <w14:solidFill>
                    <w14:schemeClr w14:val="tx1"/>
                  </w14:solidFill>
                </w14:textFill>
              </w:rPr>
            </w:pPr>
            <w:r>
              <w:rPr>
                <w:rFonts w:hint="eastAsia" w:ascii="宋体" w:hAnsi="宋体" w:cs="宋体" w:eastAsiaTheme="minorEastAsia"/>
                <w:color w:val="000000" w:themeColor="text1"/>
                <w:szCs w:val="21"/>
                <w14:textFill>
                  <w14:solidFill>
                    <w14:schemeClr w14:val="tx1"/>
                  </w14:solidFill>
                </w14:textFill>
              </w:rPr>
              <w:t>★</w:t>
            </w:r>
          </w:p>
        </w:tc>
        <w:tc>
          <w:tcPr>
            <w:tcW w:w="778" w:type="pct"/>
            <w:vMerge w:val="restart"/>
            <w:tcBorders>
              <w:top w:val="single" w:color="auto" w:sz="4" w:space="0"/>
              <w:left w:val="single" w:color="auto" w:sz="4" w:space="0"/>
              <w:right w:val="single" w:color="auto" w:sz="4" w:space="0"/>
            </w:tcBorders>
            <w:shd w:val="clear" w:color="auto" w:fill="auto"/>
            <w:vAlign w:val="center"/>
          </w:tcPr>
          <w:p>
            <w:pPr>
              <w:adjustRightInd w:val="0"/>
              <w:snapToGrid w:val="0"/>
              <w:rPr>
                <w:rFonts w:ascii="宋体" w:hAnsi="宋体" w:cs="宋体" w:eastAsiaTheme="minorEastAsia"/>
                <w:color w:val="000000" w:themeColor="text1"/>
                <w:szCs w:val="21"/>
                <w14:textFill>
                  <w14:solidFill>
                    <w14:schemeClr w14:val="tx1"/>
                  </w14:solidFill>
                </w14:textFill>
              </w:rPr>
            </w:pPr>
            <w:r>
              <w:rPr>
                <w:rFonts w:hint="eastAsia" w:ascii="宋体" w:hAnsi="宋体" w:cs="宋体" w:eastAsiaTheme="minorEastAsia"/>
                <w:color w:val="000000" w:themeColor="text1"/>
                <w:szCs w:val="21"/>
                <w14:textFill>
                  <w14:solidFill>
                    <w14:schemeClr w14:val="tx1"/>
                  </w14:solidFill>
                </w14:textFill>
              </w:rPr>
              <w:t>并行能力</w:t>
            </w:r>
          </w:p>
          <w:p>
            <w:pPr>
              <w:adjustRightInd w:val="0"/>
              <w:snapToGrid w:val="0"/>
              <w:jc w:val="center"/>
              <w:rPr>
                <w:rFonts w:ascii="宋体" w:hAnsi="宋体" w:cs="宋体" w:eastAsiaTheme="minorEastAsia"/>
                <w:color w:val="000000" w:themeColor="text1"/>
                <w:szCs w:val="21"/>
                <w14:textFill>
                  <w14:solidFill>
                    <w14:schemeClr w14:val="tx1"/>
                  </w14:solidFill>
                </w14:textFill>
              </w:rPr>
            </w:pPr>
          </w:p>
        </w:tc>
        <w:tc>
          <w:tcPr>
            <w:tcW w:w="2483"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rPr>
                <w:rFonts w:ascii="宋体" w:hAnsi="宋体" w:cs="宋体" w:eastAsiaTheme="minorEastAsia"/>
                <w:color w:val="000000" w:themeColor="text1"/>
                <w:szCs w:val="21"/>
                <w:lang w:val="en-US"/>
                <w14:textFill>
                  <w14:solidFill>
                    <w14:schemeClr w14:val="tx1"/>
                  </w14:solidFill>
                </w14:textFill>
              </w:rPr>
            </w:pPr>
            <w:r>
              <w:rPr>
                <w:rFonts w:hint="eastAsia" w:ascii="宋体" w:hAnsi="宋体" w:cs="宋体" w:eastAsiaTheme="minorEastAsia"/>
                <w:color w:val="000000"/>
                <w:szCs w:val="21"/>
              </w:rPr>
              <w:t>状态集中展示：</w:t>
            </w:r>
            <w:r>
              <w:rPr>
                <w:rFonts w:hint="eastAsia" w:ascii="宋体" w:hAnsi="宋体" w:cs="宋体" w:eastAsiaTheme="minorEastAsia"/>
                <w:color w:val="000000"/>
                <w:szCs w:val="21"/>
                <w:lang w:val="en-US"/>
              </w:rPr>
              <w:t>可至少支持3</w:t>
            </w:r>
            <w:r>
              <w:rPr>
                <w:rFonts w:hint="eastAsia" w:ascii="宋体" w:hAnsi="宋体" w:cs="宋体" w:eastAsiaTheme="minorEastAsia"/>
                <w:color w:val="000000"/>
                <w:szCs w:val="21"/>
              </w:rPr>
              <w:t>部</w:t>
            </w:r>
            <w:r>
              <w:rPr>
                <w:rFonts w:hint="eastAsia" w:ascii="宋体" w:hAnsi="宋体" w:cs="宋体" w:eastAsiaTheme="minorEastAsia"/>
                <w:color w:val="000000"/>
                <w:szCs w:val="21"/>
                <w:lang w:val="en-US"/>
              </w:rPr>
              <w:t>以上</w:t>
            </w:r>
            <w:r>
              <w:rPr>
                <w:rFonts w:hint="eastAsia" w:ascii="宋体" w:hAnsi="宋体" w:cs="宋体" w:eastAsiaTheme="minorEastAsia"/>
                <w:color w:val="000000"/>
                <w:szCs w:val="21"/>
              </w:rPr>
              <w:t>手机进行并行取证时，手机取证端口与证据提取界面中的一一对应，可展示所有连接手机的实时取证状态</w:t>
            </w:r>
          </w:p>
        </w:tc>
        <w:tc>
          <w:tcPr>
            <w:tcW w:w="107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jc w:val="center"/>
              <w:rPr>
                <w:rFonts w:ascii="宋体" w:hAnsi="宋体" w:cs="宋体" w:eastAsiaTheme="minorEastAsia"/>
                <w:color w:val="000000" w:themeColor="text1"/>
                <w:kern w:val="0"/>
                <w:szCs w:val="21"/>
                <w:lang w:val="en-US"/>
                <w14:textFill>
                  <w14:solidFill>
                    <w14:schemeClr w14:val="tx1"/>
                  </w14:solidFill>
                </w14:textFill>
              </w:rPr>
            </w:pPr>
            <w:r>
              <w:rPr>
                <w:rFonts w:hint="eastAsia" w:ascii="宋体" w:hAnsi="宋体" w:cs="宋体" w:eastAsiaTheme="minorEastAsia"/>
                <w:bCs/>
                <w:color w:val="000000" w:themeColor="text1"/>
                <w:szCs w:val="21"/>
                <w:lang w:val="en-US"/>
                <w14:textFill>
                  <w14:solidFill>
                    <w14:schemeClr w14:val="tx1"/>
                  </w14:solidFill>
                </w14:textFill>
              </w:rPr>
              <w:t>软件功能截图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宋体" w:hAnsi="宋体" w:cs="宋体" w:eastAsiaTheme="minorEastAsia"/>
                <w:color w:val="000000"/>
                <w:szCs w:val="21"/>
                <w:lang w:val="en-US"/>
              </w:rPr>
            </w:pPr>
            <w:r>
              <w:rPr>
                <w:rFonts w:hint="eastAsia" w:ascii="宋体" w:hAnsi="宋体" w:cs="宋体" w:eastAsiaTheme="minorEastAsia"/>
                <w:color w:val="000000"/>
                <w:kern w:val="0"/>
                <w:szCs w:val="21"/>
                <w:lang w:val="en-US" w:bidi="ar"/>
              </w:rPr>
              <w:t>2</w:t>
            </w:r>
          </w:p>
        </w:tc>
        <w:tc>
          <w:tcPr>
            <w:tcW w:w="321"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宋体" w:hAnsi="宋体" w:cs="宋体" w:eastAsiaTheme="minorEastAsia"/>
                <w:color w:val="000000" w:themeColor="text1"/>
                <w:szCs w:val="21"/>
                <w14:textFill>
                  <w14:solidFill>
                    <w14:schemeClr w14:val="tx1"/>
                  </w14:solidFill>
                </w14:textFill>
              </w:rPr>
            </w:pPr>
            <w:r>
              <w:rPr>
                <w:rFonts w:hint="eastAsia" w:ascii="宋体" w:hAnsi="宋体" w:cs="宋体" w:eastAsiaTheme="minorEastAsia"/>
                <w:color w:val="000000" w:themeColor="text1"/>
                <w:szCs w:val="21"/>
                <w14:textFill>
                  <w14:solidFill>
                    <w14:schemeClr w14:val="tx1"/>
                  </w14:solidFill>
                </w14:textFill>
              </w:rPr>
              <w:t>▲</w:t>
            </w:r>
          </w:p>
        </w:tc>
        <w:tc>
          <w:tcPr>
            <w:tcW w:w="778" w:type="pct"/>
            <w:vMerge w:val="continue"/>
            <w:tcBorders>
              <w:left w:val="single" w:color="auto" w:sz="4" w:space="0"/>
              <w:right w:val="single" w:color="auto" w:sz="4" w:space="0"/>
            </w:tcBorders>
            <w:shd w:val="clear" w:color="auto" w:fill="auto"/>
            <w:vAlign w:val="center"/>
          </w:tcPr>
          <w:p>
            <w:pPr>
              <w:adjustRightInd w:val="0"/>
              <w:snapToGrid w:val="0"/>
              <w:rPr>
                <w:rFonts w:ascii="宋体" w:hAnsi="宋体" w:cs="宋体" w:eastAsiaTheme="minorEastAsia"/>
                <w:color w:val="000000" w:themeColor="text1"/>
                <w:szCs w:val="21"/>
                <w14:textFill>
                  <w14:solidFill>
                    <w14:schemeClr w14:val="tx1"/>
                  </w14:solidFill>
                </w14:textFill>
              </w:rPr>
            </w:pPr>
          </w:p>
        </w:tc>
        <w:tc>
          <w:tcPr>
            <w:tcW w:w="2483"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rPr>
                <w:rFonts w:ascii="宋体" w:hAnsi="宋体" w:cs="宋体" w:eastAsiaTheme="minorEastAsia"/>
                <w:color w:val="000000" w:themeColor="text1"/>
                <w:kern w:val="0"/>
                <w:szCs w:val="21"/>
                <w:lang w:val="en-US"/>
                <w14:textFill>
                  <w14:solidFill>
                    <w14:schemeClr w14:val="tx1"/>
                  </w14:solidFill>
                </w14:textFill>
              </w:rPr>
            </w:pPr>
            <w:r>
              <w:rPr>
                <w:rFonts w:hint="eastAsia" w:ascii="宋体" w:hAnsi="宋体" w:cs="宋体" w:eastAsiaTheme="minorEastAsia"/>
                <w:color w:val="000000" w:themeColor="text1"/>
                <w:kern w:val="0"/>
                <w:szCs w:val="21"/>
                <w14:textFill>
                  <w14:solidFill>
                    <w14:schemeClr w14:val="tx1"/>
                  </w14:solidFill>
                </w14:textFill>
              </w:rPr>
              <w:t>在并行取证时，可独立进行每一路的手机数据提取操作，已经完成提取的检材可以浏览数据、搜索数据、导出报告</w:t>
            </w:r>
            <w:r>
              <w:rPr>
                <w:rFonts w:hint="eastAsia" w:ascii="宋体" w:hAnsi="宋体" w:cs="宋体" w:eastAsiaTheme="minorEastAsia"/>
                <w:color w:val="000000" w:themeColor="text1"/>
                <w:kern w:val="0"/>
                <w:szCs w:val="21"/>
                <w:lang w:val="en-US"/>
                <w14:textFill>
                  <w14:solidFill>
                    <w14:schemeClr w14:val="tx1"/>
                  </w14:solidFill>
                </w14:textFill>
              </w:rPr>
              <w:t>等至少3种操作</w:t>
            </w:r>
          </w:p>
        </w:tc>
        <w:tc>
          <w:tcPr>
            <w:tcW w:w="107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jc w:val="center"/>
              <w:rPr>
                <w:rFonts w:ascii="宋体" w:hAnsi="宋体" w:cs="宋体" w:eastAsiaTheme="minorEastAsia"/>
                <w:bCs/>
                <w:color w:val="000000" w:themeColor="text1"/>
                <w:szCs w:val="21"/>
                <w:lang w:val="en-US"/>
                <w14:textFill>
                  <w14:solidFill>
                    <w14:schemeClr w14:val="tx1"/>
                  </w14:solidFill>
                </w14:textFill>
              </w:rPr>
            </w:pPr>
            <w:r>
              <w:rPr>
                <w:rFonts w:hint="eastAsia" w:ascii="宋体" w:hAnsi="宋体" w:cs="宋体" w:eastAsiaTheme="minorEastAsia"/>
                <w:color w:val="000000" w:themeColor="text1"/>
                <w:kern w:val="0"/>
                <w:szCs w:val="21"/>
                <w14:textFill>
                  <w14:solidFill>
                    <w14:schemeClr w14:val="tx1"/>
                  </w14:solidFill>
                </w14:textFill>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宋体" w:hAnsi="宋体" w:cs="宋体" w:eastAsiaTheme="minorEastAsia"/>
                <w:color w:val="000000"/>
                <w:szCs w:val="21"/>
                <w:lang w:val="en-US"/>
              </w:rPr>
            </w:pPr>
            <w:r>
              <w:rPr>
                <w:rFonts w:hint="eastAsia" w:ascii="宋体" w:hAnsi="宋体" w:cs="宋体" w:eastAsiaTheme="minorEastAsia"/>
                <w:color w:val="000000"/>
                <w:kern w:val="0"/>
                <w:szCs w:val="21"/>
                <w:lang w:val="en-US" w:bidi="ar"/>
              </w:rPr>
              <w:t>3</w:t>
            </w:r>
          </w:p>
        </w:tc>
        <w:tc>
          <w:tcPr>
            <w:tcW w:w="321" w:type="pct"/>
            <w:tcBorders>
              <w:top w:val="single" w:color="auto" w:sz="4" w:space="0"/>
              <w:left w:val="single" w:color="auto" w:sz="4" w:space="0"/>
              <w:bottom w:val="single" w:color="auto" w:sz="4" w:space="0"/>
              <w:right w:val="single" w:color="auto" w:sz="4" w:space="0"/>
            </w:tcBorders>
          </w:tcPr>
          <w:p>
            <w:pPr>
              <w:jc w:val="center"/>
              <w:rPr>
                <w:rFonts w:ascii="宋体" w:hAnsi="宋体" w:cs="宋体" w:eastAsiaTheme="minorEastAsia"/>
                <w:b/>
                <w:color w:val="000000" w:themeColor="text1"/>
                <w:szCs w:val="21"/>
                <w14:textFill>
                  <w14:solidFill>
                    <w14:schemeClr w14:val="tx1"/>
                  </w14:solidFill>
                </w14:textFill>
              </w:rPr>
            </w:pPr>
          </w:p>
        </w:tc>
        <w:tc>
          <w:tcPr>
            <w:tcW w:w="778" w:type="pct"/>
            <w:vMerge w:val="continue"/>
            <w:tcBorders>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宋体" w:hAnsi="宋体" w:cs="宋体" w:eastAsiaTheme="minorEastAsia"/>
                <w:color w:val="000000" w:themeColor="text1"/>
                <w:szCs w:val="21"/>
                <w14:textFill>
                  <w14:solidFill>
                    <w14:schemeClr w14:val="tx1"/>
                  </w14:solidFill>
                </w14:textFill>
              </w:rPr>
            </w:pPr>
          </w:p>
        </w:tc>
        <w:tc>
          <w:tcPr>
            <w:tcW w:w="2483"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rPr>
                <w:rFonts w:ascii="宋体" w:hAnsi="宋体" w:cs="宋体" w:eastAsiaTheme="minorEastAsia"/>
                <w:color w:val="000000" w:themeColor="text1"/>
                <w:szCs w:val="21"/>
                <w:lang w:val="en-US" w:bidi="en-US"/>
                <w14:textFill>
                  <w14:solidFill>
                    <w14:schemeClr w14:val="tx1"/>
                  </w14:solidFill>
                </w14:textFill>
              </w:rPr>
            </w:pPr>
            <w:r>
              <w:rPr>
                <w:rFonts w:hint="eastAsia" w:eastAsiaTheme="minorEastAsia"/>
                <w:color w:val="000000" w:themeColor="text1"/>
                <w:szCs w:val="21"/>
                <w14:textFill>
                  <w14:solidFill>
                    <w14:schemeClr w14:val="tx1"/>
                  </w14:solidFill>
                </w14:textFill>
              </w:rPr>
              <w:t>支持不低于8路手机取证，至少包括8路直连取证，也可进行其他方式取证，包括4路Wi-Fi取证、SIM卡取证、镜像解析、备份解析、云取证、APP快取等</w:t>
            </w:r>
          </w:p>
        </w:tc>
        <w:tc>
          <w:tcPr>
            <w:tcW w:w="107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Theme="minorEastAsia"/>
                <w:bCs/>
                <w:color w:val="000000" w:themeColor="text1"/>
                <w:szCs w:val="21"/>
                <w:lang w:val="en-US"/>
                <w14:textFill>
                  <w14:solidFill>
                    <w14:schemeClr w14:val="tx1"/>
                  </w14:solidFill>
                </w14:textFill>
              </w:rPr>
            </w:pPr>
            <w:r>
              <w:rPr>
                <w:rFonts w:hint="eastAsia" w:eastAsiaTheme="minorEastAsia"/>
                <w:bCs/>
                <w:color w:val="000000" w:themeColor="text1"/>
                <w:szCs w:val="21"/>
                <w:lang w:val="en-US"/>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宋体" w:hAnsi="宋体" w:cs="宋体" w:eastAsiaTheme="minorEastAsia"/>
                <w:color w:val="000000"/>
                <w:szCs w:val="21"/>
                <w:lang w:val="en-US"/>
              </w:rPr>
            </w:pPr>
            <w:r>
              <w:rPr>
                <w:rFonts w:hint="eastAsia" w:ascii="宋体" w:hAnsi="宋体" w:cs="宋体" w:eastAsiaTheme="minorEastAsia"/>
                <w:color w:val="000000"/>
                <w:kern w:val="0"/>
                <w:szCs w:val="21"/>
                <w:lang w:val="en-US" w:bidi="ar"/>
              </w:rPr>
              <w:t>4</w:t>
            </w:r>
          </w:p>
        </w:tc>
        <w:tc>
          <w:tcPr>
            <w:tcW w:w="321"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宋体" w:hAnsi="宋体" w:cs="宋体" w:eastAsiaTheme="minorEastAsia"/>
                <w:color w:val="000000" w:themeColor="text1"/>
                <w:kern w:val="0"/>
                <w:szCs w:val="21"/>
                <w14:textFill>
                  <w14:solidFill>
                    <w14:schemeClr w14:val="tx1"/>
                  </w14:solidFill>
                </w14:textFill>
              </w:rPr>
            </w:pPr>
            <w:r>
              <w:rPr>
                <w:rFonts w:hint="eastAsia" w:ascii="宋体" w:hAnsi="宋体" w:cs="宋体" w:eastAsiaTheme="minorEastAsia"/>
                <w:color w:val="000000" w:themeColor="text1"/>
                <w:szCs w:val="21"/>
                <w14:textFill>
                  <w14:solidFill>
                    <w14:schemeClr w14:val="tx1"/>
                  </w14:solidFill>
                </w14:textFill>
              </w:rPr>
              <w:t>★</w:t>
            </w:r>
          </w:p>
        </w:tc>
        <w:tc>
          <w:tcPr>
            <w:tcW w:w="778" w:type="pct"/>
            <w:vMerge w:val="restart"/>
            <w:tcBorders>
              <w:top w:val="single" w:color="auto" w:sz="4" w:space="0"/>
              <w:left w:val="single" w:color="auto" w:sz="4" w:space="0"/>
              <w:right w:val="single" w:color="auto" w:sz="4" w:space="0"/>
            </w:tcBorders>
            <w:shd w:val="clear" w:color="auto" w:fill="auto"/>
            <w:vAlign w:val="center"/>
          </w:tcPr>
          <w:p>
            <w:pPr>
              <w:adjustRightInd w:val="0"/>
              <w:snapToGrid w:val="0"/>
              <w:rPr>
                <w:rFonts w:ascii="宋体" w:hAnsi="宋体" w:cs="宋体" w:eastAsiaTheme="minorEastAsia"/>
                <w:color w:val="000000" w:themeColor="text1"/>
                <w:szCs w:val="21"/>
                <w14:textFill>
                  <w14:solidFill>
                    <w14:schemeClr w14:val="tx1"/>
                  </w14:solidFill>
                </w14:textFill>
              </w:rPr>
            </w:pPr>
            <w:r>
              <w:rPr>
                <w:rFonts w:hint="eastAsia" w:ascii="宋体" w:hAnsi="宋体" w:cs="宋体" w:eastAsiaTheme="minorEastAsia"/>
                <w:color w:val="000000" w:themeColor="text1"/>
                <w:szCs w:val="21"/>
                <w14:textFill>
                  <w14:solidFill>
                    <w14:schemeClr w14:val="tx1"/>
                  </w14:solidFill>
                </w14:textFill>
              </w:rPr>
              <w:t>取证子机</w:t>
            </w:r>
          </w:p>
          <w:p>
            <w:pPr>
              <w:adjustRightInd w:val="0"/>
              <w:snapToGrid w:val="0"/>
              <w:jc w:val="center"/>
              <w:rPr>
                <w:rFonts w:ascii="宋体" w:hAnsi="宋体" w:cs="宋体" w:eastAsiaTheme="minorEastAsia"/>
                <w:color w:val="000000" w:themeColor="text1"/>
                <w:szCs w:val="21"/>
                <w14:textFill>
                  <w14:solidFill>
                    <w14:schemeClr w14:val="tx1"/>
                  </w14:solidFill>
                </w14:textFill>
              </w:rPr>
            </w:pPr>
          </w:p>
        </w:tc>
        <w:tc>
          <w:tcPr>
            <w:tcW w:w="2483"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rPr>
                <w:rFonts w:ascii="宋体" w:hAnsi="宋体" w:cs="宋体" w:eastAsiaTheme="minorEastAsia"/>
                <w:color w:val="000000" w:themeColor="text1"/>
                <w:szCs w:val="21"/>
                <w:lang w:val="en-US" w:bidi="en-US"/>
                <w14:textFill>
                  <w14:solidFill>
                    <w14:schemeClr w14:val="tx1"/>
                  </w14:solidFill>
                </w14:textFill>
              </w:rPr>
            </w:pPr>
            <w:r>
              <w:rPr>
                <w:rFonts w:hint="eastAsia" w:ascii="宋体" w:hAnsi="宋体" w:cs="宋体" w:eastAsiaTheme="minorEastAsia"/>
                <w:color w:val="000000" w:themeColor="text1"/>
                <w:szCs w:val="21"/>
                <w:lang w:bidi="en-US"/>
                <w14:textFill>
                  <w14:solidFill>
                    <w14:schemeClr w14:val="tx1"/>
                  </w14:solidFill>
                </w14:textFill>
              </w:rPr>
              <w:t>取证设备内置</w:t>
            </w:r>
            <w:r>
              <w:rPr>
                <w:rFonts w:hint="eastAsia" w:ascii="宋体" w:hAnsi="宋体" w:cs="宋体" w:eastAsiaTheme="minorEastAsia"/>
                <w:color w:val="000000" w:themeColor="text1"/>
                <w:szCs w:val="21"/>
                <w:lang w:val="en-US" w:bidi="en-US"/>
                <w14:textFill>
                  <w14:solidFill>
                    <w14:schemeClr w14:val="tx1"/>
                  </w14:solidFill>
                </w14:textFill>
              </w:rPr>
              <w:t>不少于</w:t>
            </w:r>
            <w:r>
              <w:rPr>
                <w:rFonts w:hint="eastAsia" w:ascii="宋体" w:hAnsi="宋体" w:cs="宋体" w:eastAsiaTheme="minorEastAsia"/>
                <w:color w:val="000000" w:themeColor="text1"/>
                <w:szCs w:val="21"/>
                <w:lang w:bidi="en-US"/>
                <w14:textFill>
                  <w14:solidFill>
                    <w14:schemeClr w14:val="tx1"/>
                  </w14:solidFill>
                </w14:textFill>
              </w:rPr>
              <w:t>8块主板，每个主板均有独立的操作系统、CPU、内存、硬盘</w:t>
            </w:r>
            <w:r>
              <w:rPr>
                <w:rFonts w:hint="eastAsia" w:ascii="宋体" w:hAnsi="宋体" w:cs="宋体" w:eastAsiaTheme="minorEastAsia"/>
                <w:color w:val="000000" w:themeColor="text1"/>
                <w:szCs w:val="21"/>
                <w:lang w:val="en-US" w:bidi="en-US"/>
                <w14:textFill>
                  <w14:solidFill>
                    <w14:schemeClr w14:val="tx1"/>
                  </w14:solidFill>
                </w14:textFill>
              </w:rPr>
              <w:t>4种基础配置</w:t>
            </w:r>
          </w:p>
        </w:tc>
        <w:tc>
          <w:tcPr>
            <w:tcW w:w="107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jc w:val="center"/>
              <w:rPr>
                <w:rFonts w:ascii="宋体" w:hAnsi="宋体" w:cs="宋体" w:eastAsiaTheme="minorEastAsia"/>
                <w:color w:val="000000" w:themeColor="text1"/>
                <w:kern w:val="0"/>
                <w:szCs w:val="21"/>
                <w:lang w:val="en-US"/>
                <w14:textFill>
                  <w14:solidFill>
                    <w14:schemeClr w14:val="tx1"/>
                  </w14:solidFill>
                </w14:textFill>
              </w:rPr>
            </w:pPr>
            <w:r>
              <w:rPr>
                <w:rFonts w:hint="eastAsia" w:ascii="宋体" w:hAnsi="宋体" w:cs="宋体" w:eastAsiaTheme="minorEastAsia"/>
                <w:bCs/>
                <w:color w:val="000000" w:themeColor="text1"/>
                <w:szCs w:val="21"/>
                <w:lang w:val="en-US"/>
                <w14:textFill>
                  <w14:solidFill>
                    <w14:schemeClr w14:val="tx1"/>
                  </w14:solidFill>
                </w14:textFill>
              </w:rPr>
              <w:t>软件功能截图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宋体" w:hAnsi="宋体" w:cs="宋体" w:eastAsiaTheme="minorEastAsia"/>
                <w:color w:val="000000"/>
                <w:szCs w:val="21"/>
                <w:lang w:val="en-US"/>
              </w:rPr>
            </w:pPr>
            <w:r>
              <w:rPr>
                <w:rFonts w:hint="eastAsia" w:ascii="宋体" w:hAnsi="宋体" w:cs="宋体" w:eastAsiaTheme="minorEastAsia"/>
                <w:color w:val="000000"/>
                <w:kern w:val="0"/>
                <w:szCs w:val="21"/>
                <w:lang w:val="en-US" w:bidi="ar"/>
              </w:rPr>
              <w:t>5</w:t>
            </w:r>
          </w:p>
        </w:tc>
        <w:tc>
          <w:tcPr>
            <w:tcW w:w="321"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宋体" w:hAnsi="宋体" w:cs="宋体" w:eastAsiaTheme="minorEastAsia"/>
                <w:color w:val="000000" w:themeColor="text1"/>
                <w:szCs w:val="21"/>
                <w14:textFill>
                  <w14:solidFill>
                    <w14:schemeClr w14:val="tx1"/>
                  </w14:solidFill>
                </w14:textFill>
              </w:rPr>
            </w:pPr>
          </w:p>
        </w:tc>
        <w:tc>
          <w:tcPr>
            <w:tcW w:w="778" w:type="pct"/>
            <w:vMerge w:val="continue"/>
            <w:tcBorders>
              <w:left w:val="single" w:color="auto" w:sz="4" w:space="0"/>
              <w:right w:val="single" w:color="auto" w:sz="4" w:space="0"/>
            </w:tcBorders>
            <w:shd w:val="clear" w:color="auto" w:fill="auto"/>
            <w:vAlign w:val="center"/>
          </w:tcPr>
          <w:p>
            <w:pPr>
              <w:adjustRightInd w:val="0"/>
              <w:snapToGrid w:val="0"/>
              <w:jc w:val="center"/>
              <w:rPr>
                <w:rFonts w:ascii="宋体" w:hAnsi="宋体" w:cs="宋体" w:eastAsiaTheme="minorEastAsia"/>
                <w:color w:val="000000" w:themeColor="text1"/>
                <w:szCs w:val="21"/>
                <w14:textFill>
                  <w14:solidFill>
                    <w14:schemeClr w14:val="tx1"/>
                  </w14:solidFill>
                </w14:textFill>
              </w:rPr>
            </w:pPr>
          </w:p>
        </w:tc>
        <w:tc>
          <w:tcPr>
            <w:tcW w:w="2483"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rPr>
                <w:rFonts w:ascii="宋体" w:hAnsi="宋体" w:cs="宋体" w:eastAsiaTheme="minorEastAsia"/>
                <w:color w:val="000000" w:themeColor="text1"/>
                <w:szCs w:val="21"/>
                <w:lang w:bidi="en-US"/>
                <w14:textFill>
                  <w14:solidFill>
                    <w14:schemeClr w14:val="tx1"/>
                  </w14:solidFill>
                </w14:textFill>
              </w:rPr>
            </w:pPr>
            <w:r>
              <w:rPr>
                <w:rFonts w:hint="eastAsia" w:ascii="宋体" w:hAnsi="宋体" w:cs="宋体" w:eastAsiaTheme="minorEastAsia"/>
                <w:color w:val="000000" w:themeColor="text1"/>
                <w:szCs w:val="21"/>
                <w:lang w:bidi="en-US"/>
                <w14:textFill>
                  <w14:solidFill>
                    <w14:schemeClr w14:val="tx1"/>
                  </w14:solidFill>
                </w14:textFill>
              </w:rPr>
              <w:t>一体机机箱内置显示屏，可实时显示不少于8个采集端口状态</w:t>
            </w:r>
          </w:p>
        </w:tc>
        <w:tc>
          <w:tcPr>
            <w:tcW w:w="107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val="0"/>
              <w:jc w:val="center"/>
              <w:rPr>
                <w:rFonts w:ascii="宋体" w:hAnsi="宋体" w:cs="宋体" w:eastAsiaTheme="minorEastAsia"/>
                <w:bCs/>
                <w:color w:val="000000" w:themeColor="text1"/>
                <w:szCs w:val="21"/>
                <w:lang w:val="en-US"/>
                <w14:textFill>
                  <w14:solidFill>
                    <w14:schemeClr w14:val="tx1"/>
                  </w14:solidFill>
                </w14:textFill>
              </w:rPr>
            </w:pPr>
            <w:r>
              <w:rPr>
                <w:rFonts w:hint="eastAsia" w:eastAsiaTheme="minorEastAsia"/>
                <w:bCs/>
                <w:color w:val="000000" w:themeColor="text1"/>
                <w:szCs w:val="21"/>
                <w:lang w:val="en-US"/>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宋体" w:hAnsi="宋体" w:cs="宋体" w:eastAsiaTheme="minorEastAsia"/>
                <w:color w:val="000000"/>
                <w:szCs w:val="21"/>
                <w:lang w:val="en-US"/>
              </w:rPr>
            </w:pPr>
            <w:r>
              <w:rPr>
                <w:rFonts w:hint="eastAsia" w:ascii="宋体" w:hAnsi="宋体" w:cs="宋体" w:eastAsiaTheme="minorEastAsia"/>
                <w:color w:val="000000"/>
                <w:kern w:val="0"/>
                <w:szCs w:val="21"/>
                <w:lang w:val="en-US" w:bidi="ar"/>
              </w:rPr>
              <w:t>6</w:t>
            </w:r>
          </w:p>
        </w:tc>
        <w:tc>
          <w:tcPr>
            <w:tcW w:w="321" w:type="pct"/>
            <w:tcBorders>
              <w:top w:val="single" w:color="auto" w:sz="4" w:space="0"/>
              <w:left w:val="single" w:color="auto" w:sz="4" w:space="0"/>
              <w:bottom w:val="single" w:color="auto" w:sz="4" w:space="0"/>
              <w:right w:val="single" w:color="auto" w:sz="4" w:space="0"/>
            </w:tcBorders>
          </w:tcPr>
          <w:p>
            <w:pPr>
              <w:jc w:val="center"/>
              <w:rPr>
                <w:rFonts w:ascii="宋体" w:hAnsi="宋体" w:cs="宋体" w:eastAsiaTheme="minorEastAsia"/>
                <w:b/>
                <w:color w:val="000000" w:themeColor="text1"/>
                <w:szCs w:val="21"/>
                <w14:textFill>
                  <w14:solidFill>
                    <w14:schemeClr w14:val="tx1"/>
                  </w14:solidFill>
                </w14:textFill>
              </w:rPr>
            </w:pPr>
          </w:p>
        </w:tc>
        <w:tc>
          <w:tcPr>
            <w:tcW w:w="778" w:type="pct"/>
            <w:vMerge w:val="continue"/>
            <w:tcBorders>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宋体" w:hAnsi="宋体" w:cs="宋体" w:eastAsiaTheme="minorEastAsia"/>
                <w:color w:val="000000" w:themeColor="text1"/>
                <w:szCs w:val="21"/>
                <w14:textFill>
                  <w14:solidFill>
                    <w14:schemeClr w14:val="tx1"/>
                  </w14:solidFill>
                </w14:textFill>
              </w:rPr>
            </w:pPr>
          </w:p>
        </w:tc>
        <w:tc>
          <w:tcPr>
            <w:tcW w:w="2483"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rPr>
                <w:rFonts w:ascii="宋体" w:hAnsi="宋体" w:cs="宋体" w:eastAsiaTheme="minorEastAsia"/>
                <w:color w:val="000000" w:themeColor="text1"/>
                <w:szCs w:val="21"/>
                <w:lang w:bidi="en-US"/>
                <w14:textFill>
                  <w14:solidFill>
                    <w14:schemeClr w14:val="tx1"/>
                  </w14:solidFill>
                </w14:textFill>
              </w:rPr>
            </w:pPr>
            <w:r>
              <w:rPr>
                <w:rFonts w:hint="eastAsia" w:ascii="宋体" w:hAnsi="宋体" w:cs="宋体" w:eastAsiaTheme="minorEastAsia"/>
                <w:color w:val="000000" w:themeColor="text1"/>
                <w:szCs w:val="21"/>
                <w:lang w:bidi="en-US"/>
                <w14:textFill>
                  <w14:solidFill>
                    <w14:schemeClr w14:val="tx1"/>
                  </w14:solidFill>
                </w14:textFill>
              </w:rPr>
              <w:t>内置8台独立主机，并行处理取证任务。主、副机集成在一体化机箱内，通过单片机控制板完成对主机与副机的统一开机、关机操作。</w:t>
            </w:r>
            <w:r>
              <w:rPr>
                <w:rFonts w:hint="eastAsia" w:ascii="宋体" w:hAnsi="宋体" w:cs="宋体" w:eastAsiaTheme="minorEastAsia"/>
                <w:color w:val="000000" w:themeColor="text1"/>
                <w:szCs w:val="21"/>
                <w:lang w:val="en-US" w:bidi="en-US"/>
                <w14:textFill>
                  <w14:solidFill>
                    <w14:schemeClr w14:val="tx1"/>
                  </w14:solidFill>
                </w14:textFill>
              </w:rPr>
              <w:t>配备千兆网络交换机，实现主、副机之间通过千兆网络进行数据交换，软件控制主机实时全自动接收副机提取的数据</w:t>
            </w:r>
          </w:p>
        </w:tc>
        <w:tc>
          <w:tcPr>
            <w:tcW w:w="107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Theme="minorEastAsia"/>
                <w:bCs/>
                <w:color w:val="000000" w:themeColor="text1"/>
                <w:szCs w:val="21"/>
                <w14:textFill>
                  <w14:solidFill>
                    <w14:schemeClr w14:val="tx1"/>
                  </w14:solidFill>
                </w14:textFill>
              </w:rPr>
            </w:pPr>
            <w:r>
              <w:rPr>
                <w:rFonts w:hint="eastAsia" w:eastAsiaTheme="minorEastAsia"/>
                <w:bCs/>
                <w:color w:val="000000" w:themeColor="text1"/>
                <w:szCs w:val="21"/>
                <w:lang w:val="en-US"/>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宋体" w:hAnsi="宋体" w:cs="宋体" w:eastAsiaTheme="minorEastAsia"/>
                <w:color w:val="000000"/>
                <w:szCs w:val="21"/>
              </w:rPr>
            </w:pPr>
            <w:r>
              <w:rPr>
                <w:rFonts w:hint="eastAsia" w:ascii="宋体" w:hAnsi="宋体" w:cs="宋体" w:eastAsiaTheme="minorEastAsia"/>
                <w:color w:val="000000"/>
                <w:kern w:val="0"/>
                <w:szCs w:val="21"/>
                <w:lang w:val="en-US" w:bidi="ar"/>
              </w:rPr>
              <w:t>7</w:t>
            </w:r>
          </w:p>
        </w:tc>
        <w:tc>
          <w:tcPr>
            <w:tcW w:w="321"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s="宋体" w:eastAsiaTheme="minorEastAsia"/>
                <w:color w:val="000000" w:themeColor="text1"/>
                <w:kern w:val="0"/>
                <w:szCs w:val="21"/>
                <w14:textFill>
                  <w14:solidFill>
                    <w14:schemeClr w14:val="tx1"/>
                  </w14:solidFill>
                </w14:textFill>
              </w:rPr>
            </w:pPr>
          </w:p>
        </w:tc>
        <w:tc>
          <w:tcPr>
            <w:tcW w:w="778"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ascii="宋体" w:hAnsi="宋体" w:cs="宋体" w:eastAsiaTheme="minorEastAsia"/>
                <w:color w:val="000000" w:themeColor="text1"/>
                <w:szCs w:val="21"/>
                <w14:textFill>
                  <w14:solidFill>
                    <w14:schemeClr w14:val="tx1"/>
                  </w14:solidFill>
                </w14:textFill>
              </w:rPr>
            </w:pPr>
            <w:r>
              <w:rPr>
                <w:rFonts w:hint="eastAsia" w:ascii="宋体" w:hAnsi="宋体" w:cs="宋体" w:eastAsiaTheme="minorEastAsia"/>
                <w:color w:val="000000" w:themeColor="text1"/>
                <w:szCs w:val="21"/>
                <w14:textFill>
                  <w14:solidFill>
                    <w14:schemeClr w14:val="tx1"/>
                  </w14:solidFill>
                </w14:textFill>
              </w:rPr>
              <w:t>Wi-Fi取证能力</w:t>
            </w:r>
          </w:p>
        </w:tc>
        <w:tc>
          <w:tcPr>
            <w:tcW w:w="2483"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rPr>
                <w:rFonts w:ascii="宋体" w:hAnsi="宋体" w:cs="宋体" w:eastAsiaTheme="minorEastAsia"/>
                <w:color w:val="000000" w:themeColor="text1"/>
                <w:szCs w:val="21"/>
                <w:lang w:bidi="en-US"/>
                <w14:textFill>
                  <w14:solidFill>
                    <w14:schemeClr w14:val="tx1"/>
                  </w14:solidFill>
                </w14:textFill>
              </w:rPr>
            </w:pPr>
            <w:r>
              <w:rPr>
                <w:rFonts w:hint="eastAsia" w:ascii="宋体" w:hAnsi="宋体" w:cs="宋体" w:eastAsiaTheme="minorEastAsia"/>
                <w:color w:val="000000" w:themeColor="text1"/>
                <w:szCs w:val="21"/>
                <w:lang w:val="en-US" w:bidi="en-US"/>
                <w14:textFill>
                  <w14:solidFill>
                    <w14:schemeClr w14:val="tx1"/>
                  </w14:solidFill>
                </w14:textFill>
              </w:rPr>
              <w:t>Wi-Fi取证能力：主机内置千兆路由器，至少集成4路Wi-Fi取证，且需具有对Wi-Fi信号进行隔离的配件</w:t>
            </w:r>
          </w:p>
        </w:tc>
        <w:tc>
          <w:tcPr>
            <w:tcW w:w="107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eastAsiaTheme="minorEastAsia"/>
                <w:bCs/>
                <w:color w:val="000000" w:themeColor="text1"/>
                <w:szCs w:val="21"/>
                <w:lang w:val="en-US"/>
                <w14:textFill>
                  <w14:solidFill>
                    <w14:schemeClr w14:val="tx1"/>
                  </w14:solidFill>
                </w14:textFill>
              </w:rPr>
            </w:pPr>
            <w:r>
              <w:rPr>
                <w:rFonts w:hint="eastAsia" w:eastAsiaTheme="minorEastAsia"/>
                <w:bCs/>
                <w:color w:val="000000" w:themeColor="text1"/>
                <w:szCs w:val="21"/>
                <w:lang w:val="en-US"/>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 w:type="pct"/>
            <w:shd w:val="clear" w:color="auto" w:fill="auto"/>
            <w:vAlign w:val="center"/>
          </w:tcPr>
          <w:p>
            <w:pPr>
              <w:jc w:val="center"/>
              <w:textAlignment w:val="center"/>
              <w:rPr>
                <w:rFonts w:ascii="宋体" w:hAnsi="宋体" w:cs="宋体" w:eastAsiaTheme="minorEastAsia"/>
                <w:color w:val="000000"/>
                <w:szCs w:val="21"/>
                <w:lang w:val="en-US"/>
              </w:rPr>
            </w:pPr>
            <w:r>
              <w:rPr>
                <w:rFonts w:hint="eastAsia" w:ascii="宋体" w:hAnsi="宋体" w:cs="宋体" w:eastAsiaTheme="minorEastAsia"/>
                <w:color w:val="000000"/>
                <w:kern w:val="0"/>
                <w:szCs w:val="21"/>
                <w:lang w:val="en-US" w:bidi="ar"/>
              </w:rPr>
              <w:t>8</w:t>
            </w:r>
          </w:p>
        </w:tc>
        <w:tc>
          <w:tcPr>
            <w:tcW w:w="321" w:type="pct"/>
            <w:vAlign w:val="center"/>
          </w:tcPr>
          <w:p>
            <w:pPr>
              <w:adjustRightInd w:val="0"/>
              <w:snapToGrid w:val="0"/>
              <w:jc w:val="center"/>
              <w:rPr>
                <w:rFonts w:ascii="宋体" w:hAnsi="宋体" w:cs="宋体" w:eastAsiaTheme="minorEastAsia"/>
                <w:color w:val="000000" w:themeColor="text1"/>
                <w:szCs w:val="21"/>
                <w14:textFill>
                  <w14:solidFill>
                    <w14:schemeClr w14:val="tx1"/>
                  </w14:solidFill>
                </w14:textFill>
              </w:rPr>
            </w:pPr>
          </w:p>
        </w:tc>
        <w:tc>
          <w:tcPr>
            <w:tcW w:w="778" w:type="pct"/>
            <w:vMerge w:val="restart"/>
            <w:vAlign w:val="center"/>
          </w:tcPr>
          <w:p>
            <w:pPr>
              <w:adjustRightInd w:val="0"/>
              <w:snapToGrid w:val="0"/>
              <w:jc w:val="center"/>
              <w:rPr>
                <w:rFonts w:ascii="宋体" w:hAnsi="宋体" w:cs="宋体" w:eastAsiaTheme="minorEastAsia"/>
                <w:color w:val="000000" w:themeColor="text1"/>
                <w:szCs w:val="21"/>
                <w14:textFill>
                  <w14:solidFill>
                    <w14:schemeClr w14:val="tx1"/>
                  </w14:solidFill>
                </w14:textFill>
              </w:rPr>
            </w:pPr>
            <w:r>
              <w:rPr>
                <w:rFonts w:hint="eastAsia" w:ascii="宋体" w:hAnsi="宋体" w:cs="宋体" w:eastAsiaTheme="minorEastAsia"/>
                <w:color w:val="000000" w:themeColor="text1"/>
                <w:szCs w:val="21"/>
                <w14:textFill>
                  <w14:solidFill>
                    <w14:schemeClr w14:val="tx1"/>
                  </w14:solidFill>
                </w14:textFill>
              </w:rPr>
              <w:t>取证能力</w:t>
            </w:r>
          </w:p>
          <w:p>
            <w:pPr>
              <w:adjustRightInd w:val="0"/>
              <w:snapToGrid w:val="0"/>
              <w:jc w:val="center"/>
              <w:rPr>
                <w:rFonts w:ascii="宋体" w:hAnsi="宋体" w:cs="宋体" w:eastAsiaTheme="minorEastAsia"/>
                <w:color w:val="000000" w:themeColor="text1"/>
                <w:szCs w:val="21"/>
                <w14:textFill>
                  <w14:solidFill>
                    <w14:schemeClr w14:val="tx1"/>
                  </w14:solidFill>
                </w14:textFill>
              </w:rPr>
            </w:pPr>
          </w:p>
        </w:tc>
        <w:tc>
          <w:tcPr>
            <w:tcW w:w="2483" w:type="pct"/>
            <w:vAlign w:val="center"/>
          </w:tcPr>
          <w:p>
            <w:pPr>
              <w:adjustRightInd w:val="0"/>
              <w:snapToGrid w:val="0"/>
              <w:rPr>
                <w:rFonts w:ascii="宋体" w:hAnsi="宋体" w:cs="宋体" w:eastAsiaTheme="minorEastAsia"/>
                <w:color w:val="000000" w:themeColor="text1"/>
                <w:kern w:val="0"/>
                <w:szCs w:val="21"/>
                <w14:textFill>
                  <w14:solidFill>
                    <w14:schemeClr w14:val="tx1"/>
                  </w14:solidFill>
                </w14:textFill>
              </w:rPr>
            </w:pPr>
            <w:r>
              <w:rPr>
                <w:rFonts w:hint="eastAsia" w:ascii="宋体" w:hAnsi="宋体" w:cs="宋体" w:eastAsiaTheme="minorEastAsia"/>
                <w:color w:val="000000" w:themeColor="text1"/>
                <w:szCs w:val="21"/>
                <w14:textFill>
                  <w14:solidFill>
                    <w14:schemeClr w14:val="tx1"/>
                  </w14:solidFill>
                </w14:textFill>
              </w:rPr>
              <w:t>支持镜像取证、文件取证、SIM/SD卡取证、</w:t>
            </w:r>
            <w:r>
              <w:rPr>
                <w:rFonts w:hint="eastAsia" w:ascii="宋体" w:hAnsi="宋体" w:cs="宋体" w:eastAsiaTheme="minorEastAsia"/>
                <w:color w:val="000000" w:themeColor="text1"/>
                <w:szCs w:val="21"/>
                <w:lang w:val="en-US"/>
                <w14:textFill>
                  <w14:solidFill>
                    <w14:schemeClr w14:val="tx1"/>
                  </w14:solidFill>
                </w14:textFill>
              </w:rPr>
              <w:t>截屏</w:t>
            </w:r>
            <w:r>
              <w:rPr>
                <w:rFonts w:hint="eastAsia" w:ascii="宋体" w:hAnsi="宋体" w:cs="宋体" w:eastAsiaTheme="minorEastAsia"/>
                <w:color w:val="000000" w:themeColor="text1"/>
                <w:szCs w:val="21"/>
                <w14:textFill>
                  <w14:solidFill>
                    <w14:schemeClr w14:val="tx1"/>
                  </w14:solidFill>
                </w14:textFill>
              </w:rPr>
              <w:t>取证</w:t>
            </w:r>
            <w:r>
              <w:rPr>
                <w:rFonts w:hint="eastAsia" w:ascii="宋体" w:hAnsi="宋体" w:cs="宋体" w:eastAsiaTheme="minorEastAsia"/>
                <w:color w:val="000000" w:themeColor="text1"/>
                <w:szCs w:val="21"/>
                <w:lang w:val="en-US"/>
                <w14:textFill>
                  <w14:solidFill>
                    <w14:schemeClr w14:val="tx1"/>
                  </w14:solidFill>
                </w14:textFill>
              </w:rPr>
              <w:t>等至少4种</w:t>
            </w:r>
            <w:r>
              <w:rPr>
                <w:rFonts w:hint="eastAsia" w:ascii="宋体" w:hAnsi="宋体" w:cs="宋体" w:eastAsiaTheme="minorEastAsia"/>
                <w:color w:val="000000" w:themeColor="text1"/>
                <w:szCs w:val="21"/>
                <w14:textFill>
                  <w14:solidFill>
                    <w14:schemeClr w14:val="tx1"/>
                  </w14:solidFill>
                </w14:textFill>
              </w:rPr>
              <w:t>取证方式</w:t>
            </w:r>
          </w:p>
        </w:tc>
        <w:tc>
          <w:tcPr>
            <w:tcW w:w="1078" w:type="pct"/>
            <w:vAlign w:val="center"/>
          </w:tcPr>
          <w:p>
            <w:pPr>
              <w:widowControl w:val="0"/>
              <w:jc w:val="center"/>
              <w:rPr>
                <w:rFonts w:ascii="宋体" w:hAnsi="宋体" w:cs="宋体" w:eastAsiaTheme="minorEastAsia"/>
                <w:color w:val="000000" w:themeColor="text1"/>
                <w:kern w:val="0"/>
                <w:szCs w:val="21"/>
                <w14:textFill>
                  <w14:solidFill>
                    <w14:schemeClr w14:val="tx1"/>
                  </w14:solidFill>
                </w14:textFill>
              </w:rPr>
            </w:pPr>
            <w:r>
              <w:rPr>
                <w:rFonts w:hint="eastAsia" w:eastAsiaTheme="minorEastAsia"/>
                <w:bCs/>
                <w:color w:val="000000" w:themeColor="text1"/>
                <w:szCs w:val="21"/>
                <w:lang w:val="en-US"/>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 w:type="pct"/>
            <w:shd w:val="clear" w:color="auto" w:fill="auto"/>
            <w:vAlign w:val="center"/>
          </w:tcPr>
          <w:p>
            <w:pPr>
              <w:jc w:val="center"/>
              <w:textAlignment w:val="center"/>
              <w:rPr>
                <w:rFonts w:ascii="宋体" w:hAnsi="宋体" w:cs="宋体" w:eastAsiaTheme="minorEastAsia"/>
                <w:color w:val="000000"/>
                <w:szCs w:val="21"/>
              </w:rPr>
            </w:pPr>
            <w:r>
              <w:rPr>
                <w:rFonts w:hint="eastAsia" w:ascii="宋体" w:hAnsi="宋体" w:cs="宋体" w:eastAsiaTheme="minorEastAsia"/>
                <w:color w:val="000000"/>
                <w:kern w:val="0"/>
                <w:szCs w:val="21"/>
                <w:lang w:val="en-US" w:bidi="ar"/>
              </w:rPr>
              <w:t>9</w:t>
            </w:r>
          </w:p>
        </w:tc>
        <w:tc>
          <w:tcPr>
            <w:tcW w:w="321" w:type="pct"/>
            <w:vAlign w:val="center"/>
          </w:tcPr>
          <w:p>
            <w:pPr>
              <w:adjustRightInd w:val="0"/>
              <w:snapToGrid w:val="0"/>
              <w:jc w:val="center"/>
              <w:rPr>
                <w:rFonts w:ascii="宋体" w:hAnsi="宋体" w:cs="宋体" w:eastAsiaTheme="minorEastAsia"/>
                <w:color w:val="000000" w:themeColor="text1"/>
                <w:szCs w:val="21"/>
                <w14:textFill>
                  <w14:solidFill>
                    <w14:schemeClr w14:val="tx1"/>
                  </w14:solidFill>
                </w14:textFill>
              </w:rPr>
            </w:pPr>
            <w:r>
              <w:rPr>
                <w:rFonts w:hint="eastAsia" w:ascii="宋体" w:hAnsi="宋体" w:cs="宋体" w:eastAsiaTheme="minorEastAsia"/>
                <w:color w:val="000000" w:themeColor="text1"/>
                <w:szCs w:val="21"/>
                <w14:textFill>
                  <w14:solidFill>
                    <w14:schemeClr w14:val="tx1"/>
                  </w14:solidFill>
                </w14:textFill>
              </w:rPr>
              <w:t>▲</w:t>
            </w:r>
          </w:p>
        </w:tc>
        <w:tc>
          <w:tcPr>
            <w:tcW w:w="778" w:type="pct"/>
            <w:vMerge w:val="continue"/>
            <w:vAlign w:val="center"/>
          </w:tcPr>
          <w:p>
            <w:pPr>
              <w:adjustRightInd w:val="0"/>
              <w:snapToGrid w:val="0"/>
              <w:rPr>
                <w:rFonts w:ascii="宋体" w:hAnsi="宋体" w:cs="宋体" w:eastAsiaTheme="minorEastAsia"/>
                <w:color w:val="000000" w:themeColor="text1"/>
                <w:szCs w:val="21"/>
                <w14:textFill>
                  <w14:solidFill>
                    <w14:schemeClr w14:val="tx1"/>
                  </w14:solidFill>
                </w14:textFill>
              </w:rPr>
            </w:pPr>
          </w:p>
        </w:tc>
        <w:tc>
          <w:tcPr>
            <w:tcW w:w="2483" w:type="pct"/>
            <w:vAlign w:val="center"/>
          </w:tcPr>
          <w:p>
            <w:pPr>
              <w:adjustRightInd w:val="0"/>
              <w:snapToGrid w:val="0"/>
              <w:rPr>
                <w:rFonts w:ascii="宋体" w:hAnsi="宋体" w:cs="宋体" w:eastAsiaTheme="minorEastAsia"/>
                <w:color w:val="000000" w:themeColor="text1"/>
                <w:szCs w:val="21"/>
                <w14:textFill>
                  <w14:solidFill>
                    <w14:schemeClr w14:val="tx1"/>
                  </w14:solidFill>
                </w14:textFill>
              </w:rPr>
            </w:pPr>
            <w:r>
              <w:rPr>
                <w:rFonts w:hint="eastAsia" w:ascii="宋体" w:hAnsi="宋体" w:cs="宋体" w:eastAsiaTheme="minorEastAsia"/>
                <w:color w:val="000000" w:themeColor="text1"/>
                <w:szCs w:val="21"/>
                <w14:textFill>
                  <w14:solidFill>
                    <w14:schemeClr w14:val="tx1"/>
                  </w14:solidFill>
                </w14:textFill>
              </w:rPr>
              <w:t>支持列表、会话、</w:t>
            </w:r>
            <w:r>
              <w:rPr>
                <w:rFonts w:hint="eastAsia" w:ascii="宋体" w:hAnsi="宋体" w:cs="宋体" w:eastAsiaTheme="minorEastAsia"/>
                <w:color w:val="000000" w:themeColor="text1"/>
                <w:szCs w:val="21"/>
                <w:lang w:val="en-US"/>
                <w14:textFill>
                  <w14:solidFill>
                    <w14:schemeClr w14:val="tx1"/>
                  </w14:solidFill>
                </w14:textFill>
              </w:rPr>
              <w:t>缩略图</w:t>
            </w:r>
            <w:r>
              <w:rPr>
                <w:rFonts w:hint="eastAsia" w:ascii="宋体" w:hAnsi="宋体" w:cs="宋体" w:eastAsiaTheme="minorEastAsia"/>
                <w:color w:val="000000" w:themeColor="text1"/>
                <w:szCs w:val="21"/>
                <w14:textFill>
                  <w14:solidFill>
                    <w14:schemeClr w14:val="tx1"/>
                  </w14:solidFill>
                </w14:textFill>
              </w:rPr>
              <w:t>等</w:t>
            </w:r>
            <w:r>
              <w:rPr>
                <w:rFonts w:hint="eastAsia" w:ascii="宋体" w:hAnsi="宋体" w:cs="宋体" w:eastAsiaTheme="minorEastAsia"/>
                <w:color w:val="000000" w:themeColor="text1"/>
                <w:szCs w:val="21"/>
                <w:lang w:val="en-US"/>
                <w14:textFill>
                  <w14:solidFill>
                    <w14:schemeClr w14:val="tx1"/>
                  </w14:solidFill>
                </w14:textFill>
              </w:rPr>
              <w:t>至少3种视图展示</w:t>
            </w:r>
            <w:r>
              <w:rPr>
                <w:rFonts w:hint="eastAsia" w:ascii="宋体" w:hAnsi="宋体" w:cs="宋体" w:eastAsiaTheme="minorEastAsia"/>
                <w:color w:val="000000" w:themeColor="text1"/>
                <w:szCs w:val="21"/>
                <w14:textFill>
                  <w14:solidFill>
                    <w14:schemeClr w14:val="tx1"/>
                  </w14:solidFill>
                </w14:textFill>
              </w:rPr>
              <w:t>，</w:t>
            </w:r>
            <w:r>
              <w:rPr>
                <w:rFonts w:hint="eastAsia" w:ascii="宋体" w:hAnsi="宋体" w:cs="宋体" w:eastAsiaTheme="minorEastAsia"/>
                <w:color w:val="000000" w:themeColor="text1"/>
                <w:szCs w:val="21"/>
                <w:lang w:val="en-US"/>
                <w14:textFill>
                  <w14:solidFill>
                    <w14:schemeClr w14:val="tx1"/>
                  </w14:solidFill>
                </w14:textFill>
              </w:rPr>
              <w:t>支持</w:t>
            </w:r>
            <w:r>
              <w:rPr>
                <w:rFonts w:hint="eastAsia" w:ascii="宋体" w:hAnsi="宋体" w:cs="宋体" w:eastAsiaTheme="minorEastAsia"/>
                <w:color w:val="000000" w:themeColor="text1"/>
                <w:szCs w:val="21"/>
                <w14:textFill>
                  <w14:solidFill>
                    <w14:schemeClr w14:val="tx1"/>
                  </w14:solidFill>
                </w14:textFill>
              </w:rPr>
              <w:t>语音、视频等</w:t>
            </w:r>
            <w:r>
              <w:rPr>
                <w:rFonts w:hint="eastAsia" w:ascii="宋体" w:hAnsi="宋体" w:cs="宋体" w:eastAsiaTheme="minorEastAsia"/>
                <w:color w:val="000000" w:themeColor="text1"/>
                <w:szCs w:val="21"/>
                <w:lang w:val="en-US"/>
                <w14:textFill>
                  <w14:solidFill>
                    <w14:schemeClr w14:val="tx1"/>
                  </w14:solidFill>
                </w14:textFill>
              </w:rPr>
              <w:t>至少2种</w:t>
            </w:r>
            <w:r>
              <w:rPr>
                <w:rFonts w:hint="eastAsia" w:ascii="宋体" w:hAnsi="宋体" w:cs="宋体" w:eastAsiaTheme="minorEastAsia"/>
                <w:color w:val="000000" w:themeColor="text1"/>
                <w:szCs w:val="21"/>
                <w14:textFill>
                  <w14:solidFill>
                    <w14:schemeClr w14:val="tx1"/>
                  </w14:solidFill>
                </w14:textFill>
              </w:rPr>
              <w:t>多媒体文件直接播放，红包、分享链接、转账等</w:t>
            </w:r>
            <w:r>
              <w:rPr>
                <w:rFonts w:hint="eastAsia" w:ascii="宋体" w:hAnsi="宋体" w:cs="宋体" w:eastAsiaTheme="minorEastAsia"/>
                <w:color w:val="000000" w:themeColor="text1"/>
                <w:szCs w:val="21"/>
                <w:lang w:val="en-US"/>
                <w14:textFill>
                  <w14:solidFill>
                    <w14:schemeClr w14:val="tx1"/>
                  </w14:solidFill>
                </w14:textFill>
              </w:rPr>
              <w:t>至少3类</w:t>
            </w:r>
            <w:r>
              <w:rPr>
                <w:rFonts w:hint="eastAsia" w:ascii="宋体" w:hAnsi="宋体" w:cs="宋体" w:eastAsiaTheme="minorEastAsia"/>
                <w:color w:val="000000" w:themeColor="text1"/>
                <w:szCs w:val="21"/>
                <w14:textFill>
                  <w14:solidFill>
                    <w14:schemeClr w14:val="tx1"/>
                  </w14:solidFill>
                </w14:textFill>
              </w:rPr>
              <w:t>直观展示</w:t>
            </w:r>
          </w:p>
        </w:tc>
        <w:tc>
          <w:tcPr>
            <w:tcW w:w="1078" w:type="pct"/>
            <w:vAlign w:val="center"/>
          </w:tcPr>
          <w:p>
            <w:pPr>
              <w:widowControl w:val="0"/>
              <w:jc w:val="center"/>
              <w:rPr>
                <w:rFonts w:ascii="宋体" w:hAnsi="宋体" w:cs="宋体" w:eastAsiaTheme="minorEastAsia"/>
                <w:bCs/>
                <w:color w:val="000000" w:themeColor="text1"/>
                <w:szCs w:val="21"/>
                <w:lang w:val="en-US"/>
                <w14:textFill>
                  <w14:solidFill>
                    <w14:schemeClr w14:val="tx1"/>
                  </w14:solidFill>
                </w14:textFill>
              </w:rPr>
            </w:pPr>
            <w:r>
              <w:rPr>
                <w:rFonts w:hint="eastAsia" w:ascii="宋体" w:hAnsi="宋体" w:cs="宋体" w:eastAsiaTheme="minorEastAsia"/>
                <w:color w:val="000000" w:themeColor="text1"/>
                <w:kern w:val="0"/>
                <w:szCs w:val="21"/>
                <w14:textFill>
                  <w14:solidFill>
                    <w14:schemeClr w14:val="tx1"/>
                  </w14:solidFill>
                </w14:textFill>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 w:type="pct"/>
            <w:shd w:val="clear" w:color="auto" w:fill="auto"/>
            <w:vAlign w:val="center"/>
          </w:tcPr>
          <w:p>
            <w:pPr>
              <w:jc w:val="center"/>
              <w:textAlignment w:val="center"/>
              <w:rPr>
                <w:rFonts w:ascii="宋体" w:hAnsi="宋体" w:cs="宋体" w:eastAsiaTheme="minorEastAsia"/>
                <w:color w:val="000000"/>
                <w:szCs w:val="21"/>
              </w:rPr>
            </w:pPr>
            <w:r>
              <w:rPr>
                <w:rFonts w:hint="eastAsia" w:ascii="宋体" w:hAnsi="宋体" w:cs="宋体" w:eastAsiaTheme="minorEastAsia"/>
                <w:color w:val="000000"/>
                <w:kern w:val="0"/>
                <w:szCs w:val="21"/>
                <w:lang w:val="en-US" w:bidi="ar"/>
              </w:rPr>
              <w:t>10</w:t>
            </w:r>
          </w:p>
        </w:tc>
        <w:tc>
          <w:tcPr>
            <w:tcW w:w="321" w:type="pct"/>
            <w:vAlign w:val="center"/>
          </w:tcPr>
          <w:p>
            <w:pPr>
              <w:jc w:val="center"/>
              <w:rPr>
                <w:rFonts w:ascii="宋体" w:hAnsi="宋体" w:cs="宋体" w:eastAsiaTheme="minorEastAsia"/>
                <w:color w:val="000000" w:themeColor="text1"/>
                <w:szCs w:val="21"/>
                <w14:textFill>
                  <w14:solidFill>
                    <w14:schemeClr w14:val="tx1"/>
                  </w14:solidFill>
                </w14:textFill>
              </w:rPr>
            </w:pPr>
          </w:p>
        </w:tc>
        <w:tc>
          <w:tcPr>
            <w:tcW w:w="778" w:type="pct"/>
            <w:vMerge w:val="continue"/>
            <w:vAlign w:val="center"/>
          </w:tcPr>
          <w:p>
            <w:pPr>
              <w:adjustRightInd w:val="0"/>
              <w:snapToGrid w:val="0"/>
              <w:rPr>
                <w:rFonts w:ascii="宋体" w:hAnsi="宋体" w:cs="宋体" w:eastAsiaTheme="minorEastAsia"/>
                <w:color w:val="000000" w:themeColor="text1"/>
                <w:szCs w:val="21"/>
                <w14:textFill>
                  <w14:solidFill>
                    <w14:schemeClr w14:val="tx1"/>
                  </w14:solidFill>
                </w14:textFill>
              </w:rPr>
            </w:pPr>
          </w:p>
        </w:tc>
        <w:tc>
          <w:tcPr>
            <w:tcW w:w="2483" w:type="pct"/>
            <w:vAlign w:val="center"/>
          </w:tcPr>
          <w:p>
            <w:pPr>
              <w:adjustRightInd w:val="0"/>
              <w:snapToGrid w:val="0"/>
              <w:rPr>
                <w:rFonts w:ascii="宋体" w:hAnsi="宋体" w:cs="宋体" w:eastAsiaTheme="minorEastAsia"/>
                <w:color w:val="000000" w:themeColor="text1"/>
                <w:szCs w:val="21"/>
                <w14:textFill>
                  <w14:solidFill>
                    <w14:schemeClr w14:val="tx1"/>
                  </w14:solidFill>
                </w14:textFill>
              </w:rPr>
            </w:pPr>
            <w:r>
              <w:rPr>
                <w:rFonts w:hint="eastAsia" w:ascii="宋体" w:hAnsi="宋体" w:cs="宋体" w:eastAsiaTheme="minorEastAsia"/>
                <w:color w:val="000000" w:themeColor="text1"/>
                <w:szCs w:val="21"/>
                <w14:textFill>
                  <w14:solidFill>
                    <w14:schemeClr w14:val="tx1"/>
                  </w14:solidFill>
                </w14:textFill>
              </w:rPr>
              <w:t>支持安卓12-13系统、鸿蒙3.0.0、鸿蒙3.1.0、鸿蒙4.0.0、鸿蒙4.2.0手机</w:t>
            </w:r>
            <w:r>
              <w:rPr>
                <w:rFonts w:hint="eastAsia" w:ascii="宋体" w:hAnsi="宋体" w:cs="宋体" w:eastAsiaTheme="minorEastAsia"/>
                <w:color w:val="000000" w:themeColor="text1"/>
                <w:szCs w:val="21"/>
                <w:lang w:val="en-US"/>
                <w14:textFill>
                  <w14:solidFill>
                    <w14:schemeClr w14:val="tx1"/>
                  </w14:solidFill>
                </w14:textFill>
              </w:rPr>
              <w:t>等至少5个版本系统</w:t>
            </w:r>
            <w:r>
              <w:rPr>
                <w:rFonts w:hint="eastAsia" w:ascii="宋体" w:hAnsi="宋体" w:cs="宋体" w:eastAsiaTheme="minorEastAsia"/>
                <w:color w:val="000000" w:themeColor="text1"/>
                <w:szCs w:val="21"/>
                <w14:textFill>
                  <w14:solidFill>
                    <w14:schemeClr w14:val="tx1"/>
                  </w14:solidFill>
                </w14:textFill>
              </w:rPr>
              <w:t>无感提权取证，可在应用提取失败后自动尝试提权获取数据</w:t>
            </w:r>
          </w:p>
        </w:tc>
        <w:tc>
          <w:tcPr>
            <w:tcW w:w="1078" w:type="pct"/>
            <w:vAlign w:val="center"/>
          </w:tcPr>
          <w:p>
            <w:pPr>
              <w:widowControl w:val="0"/>
              <w:jc w:val="center"/>
              <w:rPr>
                <w:rFonts w:ascii="宋体" w:hAnsi="宋体" w:cs="宋体" w:eastAsiaTheme="minorEastAsia"/>
                <w:bCs/>
                <w:color w:val="000000" w:themeColor="text1"/>
                <w:szCs w:val="21"/>
                <w:lang w:val="en-US"/>
                <w14:textFill>
                  <w14:solidFill>
                    <w14:schemeClr w14:val="tx1"/>
                  </w14:solidFill>
                </w14:textFill>
              </w:rPr>
            </w:pPr>
            <w:r>
              <w:rPr>
                <w:rFonts w:hint="eastAsia" w:ascii="宋体" w:hAnsi="宋体" w:cs="宋体" w:eastAsiaTheme="minorEastAsia"/>
                <w:bCs/>
                <w:color w:val="000000" w:themeColor="text1"/>
                <w:szCs w:val="21"/>
                <w:lang w:val="en-US"/>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 w:type="pct"/>
            <w:shd w:val="clear" w:color="auto" w:fill="auto"/>
            <w:vAlign w:val="center"/>
          </w:tcPr>
          <w:p>
            <w:pPr>
              <w:jc w:val="center"/>
              <w:textAlignment w:val="center"/>
              <w:rPr>
                <w:rFonts w:ascii="宋体" w:hAnsi="宋体" w:cs="宋体" w:eastAsiaTheme="minorEastAsia"/>
                <w:color w:val="000000"/>
                <w:szCs w:val="21"/>
              </w:rPr>
            </w:pPr>
            <w:r>
              <w:rPr>
                <w:rFonts w:hint="eastAsia" w:ascii="宋体" w:hAnsi="宋体" w:cs="宋体" w:eastAsiaTheme="minorEastAsia"/>
                <w:color w:val="000000"/>
                <w:kern w:val="0"/>
                <w:szCs w:val="21"/>
                <w:lang w:val="en-US" w:bidi="ar"/>
              </w:rPr>
              <w:t>11</w:t>
            </w:r>
          </w:p>
        </w:tc>
        <w:tc>
          <w:tcPr>
            <w:tcW w:w="321" w:type="pct"/>
            <w:vAlign w:val="center"/>
          </w:tcPr>
          <w:p>
            <w:pPr>
              <w:jc w:val="center"/>
              <w:rPr>
                <w:rFonts w:ascii="宋体" w:hAnsi="宋体" w:cs="宋体" w:eastAsiaTheme="minorEastAsia"/>
                <w:color w:val="000000" w:themeColor="text1"/>
                <w:szCs w:val="21"/>
                <w14:textFill>
                  <w14:solidFill>
                    <w14:schemeClr w14:val="tx1"/>
                  </w14:solidFill>
                </w14:textFill>
              </w:rPr>
            </w:pPr>
            <w:r>
              <w:rPr>
                <w:rFonts w:hint="eastAsia" w:ascii="宋体" w:hAnsi="宋体" w:cs="宋体" w:eastAsiaTheme="minorEastAsia"/>
                <w:color w:val="000000" w:themeColor="text1"/>
                <w:szCs w:val="21"/>
                <w14:textFill>
                  <w14:solidFill>
                    <w14:schemeClr w14:val="tx1"/>
                  </w14:solidFill>
                </w14:textFill>
              </w:rPr>
              <w:t>▲</w:t>
            </w:r>
          </w:p>
        </w:tc>
        <w:tc>
          <w:tcPr>
            <w:tcW w:w="778" w:type="pct"/>
            <w:vMerge w:val="continue"/>
            <w:vAlign w:val="center"/>
          </w:tcPr>
          <w:p>
            <w:pPr>
              <w:adjustRightInd w:val="0"/>
              <w:snapToGrid w:val="0"/>
              <w:rPr>
                <w:rFonts w:ascii="宋体" w:hAnsi="宋体" w:cs="宋体" w:eastAsiaTheme="minorEastAsia"/>
                <w:color w:val="000000" w:themeColor="text1"/>
                <w:szCs w:val="21"/>
                <w14:textFill>
                  <w14:solidFill>
                    <w14:schemeClr w14:val="tx1"/>
                  </w14:solidFill>
                </w14:textFill>
              </w:rPr>
            </w:pPr>
          </w:p>
        </w:tc>
        <w:tc>
          <w:tcPr>
            <w:tcW w:w="2483" w:type="pct"/>
            <w:vAlign w:val="center"/>
          </w:tcPr>
          <w:p>
            <w:pPr>
              <w:adjustRightInd w:val="0"/>
              <w:snapToGrid w:val="0"/>
              <w:rPr>
                <w:rFonts w:ascii="宋体" w:hAnsi="宋体" w:cs="宋体" w:eastAsiaTheme="minorEastAsia"/>
                <w:color w:val="000000" w:themeColor="text1"/>
                <w:szCs w:val="21"/>
                <w14:textFill>
                  <w14:solidFill>
                    <w14:schemeClr w14:val="tx1"/>
                  </w14:solidFill>
                </w14:textFill>
              </w:rPr>
            </w:pPr>
            <w:r>
              <w:rPr>
                <w:rFonts w:hint="eastAsia" w:ascii="宋体" w:hAnsi="宋体" w:cs="宋体" w:eastAsiaTheme="minorEastAsia"/>
                <w:color w:val="000000" w:themeColor="text1"/>
                <w:szCs w:val="21"/>
                <w:lang w:val="en-US"/>
                <w14:textFill>
                  <w14:solidFill>
                    <w14:schemeClr w14:val="tx1"/>
                  </w14:solidFill>
                </w14:textFill>
              </w:rPr>
              <w:t>至少</w:t>
            </w:r>
            <w:r>
              <w:rPr>
                <w:rFonts w:hint="eastAsia" w:ascii="宋体" w:hAnsi="宋体" w:cs="宋体" w:eastAsiaTheme="minorEastAsia"/>
                <w:color w:val="000000" w:themeColor="text1"/>
                <w:szCs w:val="21"/>
                <w14:textFill>
                  <w14:solidFill>
                    <w14:schemeClr w14:val="tx1"/>
                  </w14:solidFill>
                </w14:textFill>
              </w:rPr>
              <w:t>支持</w:t>
            </w:r>
            <w:r>
              <w:rPr>
                <w:rFonts w:hint="eastAsia" w:ascii="宋体" w:hAnsi="宋体" w:cs="宋体" w:eastAsiaTheme="minorEastAsia"/>
                <w:color w:val="000000" w:themeColor="text1"/>
                <w:szCs w:val="21"/>
                <w:lang w:val="en-US"/>
                <w14:textFill>
                  <w14:solidFill>
                    <w14:schemeClr w14:val="tx1"/>
                  </w14:solidFill>
                </w14:textFill>
              </w:rPr>
              <w:t>2种信息提取，包括</w:t>
            </w:r>
            <w:r>
              <w:rPr>
                <w:rFonts w:hint="eastAsia" w:ascii="宋体" w:hAnsi="宋体" w:cs="宋体" w:eastAsiaTheme="minorEastAsia"/>
                <w:color w:val="000000" w:themeColor="text1"/>
                <w:szCs w:val="21"/>
                <w14:textFill>
                  <w14:solidFill>
                    <w14:schemeClr w14:val="tx1"/>
                  </w14:solidFill>
                </w14:textFill>
              </w:rPr>
              <w:t>对微信及其分身数据、支付宝资金信息</w:t>
            </w:r>
            <w:r>
              <w:rPr>
                <w:rFonts w:hint="eastAsia" w:ascii="宋体" w:hAnsi="宋体" w:cs="宋体" w:eastAsiaTheme="minorEastAsia"/>
                <w:color w:val="000000" w:themeColor="text1"/>
                <w:szCs w:val="21"/>
                <w:lang w:val="en-US"/>
                <w14:textFill>
                  <w14:solidFill>
                    <w14:schemeClr w14:val="tx1"/>
                  </w14:solidFill>
                </w14:textFill>
              </w:rPr>
              <w:t>提取</w:t>
            </w:r>
          </w:p>
        </w:tc>
        <w:tc>
          <w:tcPr>
            <w:tcW w:w="1078" w:type="pct"/>
            <w:vAlign w:val="center"/>
          </w:tcPr>
          <w:p>
            <w:pPr>
              <w:widowControl w:val="0"/>
              <w:jc w:val="center"/>
              <w:rPr>
                <w:rFonts w:ascii="宋体" w:hAnsi="宋体" w:cs="宋体" w:eastAsiaTheme="minorEastAsia"/>
                <w:bCs/>
                <w:color w:val="000000" w:themeColor="text1"/>
                <w:szCs w:val="21"/>
                <w:lang w:val="en-US"/>
                <w14:textFill>
                  <w14:solidFill>
                    <w14:schemeClr w14:val="tx1"/>
                  </w14:solidFill>
                </w14:textFill>
              </w:rPr>
            </w:pPr>
            <w:r>
              <w:rPr>
                <w:rFonts w:hint="eastAsia" w:ascii="宋体" w:hAnsi="宋体" w:cs="宋体" w:eastAsiaTheme="minorEastAsia"/>
                <w:bCs/>
                <w:color w:val="000000" w:themeColor="text1"/>
                <w:szCs w:val="21"/>
                <w:lang w:val="en-US"/>
                <w14:textFill>
                  <w14:solidFill>
                    <w14:schemeClr w14:val="tx1"/>
                  </w14:solidFill>
                </w14:textFill>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 w:type="pct"/>
            <w:shd w:val="clear" w:color="auto" w:fill="auto"/>
            <w:vAlign w:val="center"/>
          </w:tcPr>
          <w:p>
            <w:pPr>
              <w:jc w:val="center"/>
              <w:textAlignment w:val="center"/>
              <w:rPr>
                <w:rFonts w:ascii="宋体" w:hAnsi="宋体" w:cs="宋体" w:eastAsiaTheme="minorEastAsia"/>
                <w:color w:val="000000"/>
                <w:szCs w:val="21"/>
              </w:rPr>
            </w:pPr>
            <w:r>
              <w:rPr>
                <w:rFonts w:hint="eastAsia" w:ascii="宋体" w:hAnsi="宋体" w:cs="宋体" w:eastAsiaTheme="minorEastAsia"/>
                <w:color w:val="000000"/>
                <w:kern w:val="0"/>
                <w:szCs w:val="21"/>
                <w:lang w:val="en-US" w:bidi="ar"/>
              </w:rPr>
              <w:t>12</w:t>
            </w:r>
          </w:p>
        </w:tc>
        <w:tc>
          <w:tcPr>
            <w:tcW w:w="321" w:type="pct"/>
            <w:vAlign w:val="center"/>
          </w:tcPr>
          <w:p>
            <w:pPr>
              <w:jc w:val="center"/>
              <w:rPr>
                <w:rFonts w:ascii="宋体" w:hAnsi="宋体" w:cs="宋体" w:eastAsiaTheme="minorEastAsia"/>
                <w:color w:val="000000" w:themeColor="text1"/>
                <w:szCs w:val="21"/>
                <w14:textFill>
                  <w14:solidFill>
                    <w14:schemeClr w14:val="tx1"/>
                  </w14:solidFill>
                </w14:textFill>
              </w:rPr>
            </w:pPr>
            <w:r>
              <w:rPr>
                <w:rFonts w:hint="eastAsia" w:ascii="宋体" w:hAnsi="宋体" w:cs="宋体" w:eastAsiaTheme="minorEastAsia"/>
                <w:color w:val="000000" w:themeColor="text1"/>
                <w:szCs w:val="21"/>
                <w14:textFill>
                  <w14:solidFill>
                    <w14:schemeClr w14:val="tx1"/>
                  </w14:solidFill>
                </w14:textFill>
              </w:rPr>
              <w:t>▲</w:t>
            </w:r>
          </w:p>
        </w:tc>
        <w:tc>
          <w:tcPr>
            <w:tcW w:w="778" w:type="pct"/>
            <w:vMerge w:val="continue"/>
            <w:vAlign w:val="center"/>
          </w:tcPr>
          <w:p>
            <w:pPr>
              <w:adjustRightInd w:val="0"/>
              <w:snapToGrid w:val="0"/>
              <w:rPr>
                <w:rFonts w:ascii="宋体" w:hAnsi="宋体" w:cs="宋体" w:eastAsiaTheme="minorEastAsia"/>
                <w:color w:val="000000" w:themeColor="text1"/>
                <w:szCs w:val="21"/>
                <w14:textFill>
                  <w14:solidFill>
                    <w14:schemeClr w14:val="tx1"/>
                  </w14:solidFill>
                </w14:textFill>
              </w:rPr>
            </w:pPr>
          </w:p>
        </w:tc>
        <w:tc>
          <w:tcPr>
            <w:tcW w:w="2483" w:type="pct"/>
            <w:vAlign w:val="center"/>
          </w:tcPr>
          <w:p>
            <w:pPr>
              <w:adjustRightInd w:val="0"/>
              <w:snapToGrid w:val="0"/>
              <w:rPr>
                <w:rFonts w:ascii="宋体" w:hAnsi="宋体" w:cs="宋体" w:eastAsiaTheme="minorEastAsia"/>
                <w:color w:val="000000" w:themeColor="text1"/>
                <w:szCs w:val="21"/>
                <w14:textFill>
                  <w14:solidFill>
                    <w14:schemeClr w14:val="tx1"/>
                  </w14:solidFill>
                </w14:textFill>
              </w:rPr>
            </w:pPr>
            <w:r>
              <w:rPr>
                <w:rFonts w:hint="eastAsia" w:ascii="宋体" w:hAnsi="宋体" w:cs="宋体" w:eastAsiaTheme="minorEastAsia"/>
                <w:color w:val="000000" w:themeColor="text1"/>
                <w:szCs w:val="21"/>
                <w14:textFill>
                  <w14:solidFill>
                    <w14:schemeClr w14:val="tx1"/>
                  </w14:solidFill>
                </w14:textFill>
              </w:rPr>
              <w:t>支持提取微信云数据，可提取账单信息；支持提取支付宝云数据，</w:t>
            </w:r>
            <w:r>
              <w:rPr>
                <w:rFonts w:hint="eastAsia" w:ascii="宋体" w:hAnsi="宋体" w:cs="宋体" w:eastAsiaTheme="minorEastAsia"/>
                <w:color w:val="000000" w:themeColor="text1"/>
                <w:szCs w:val="21"/>
                <w:lang w:val="en-US"/>
                <w14:textFill>
                  <w14:solidFill>
                    <w14:schemeClr w14:val="tx1"/>
                  </w14:solidFill>
                </w14:textFill>
              </w:rPr>
              <w:t>至少</w:t>
            </w:r>
            <w:r>
              <w:rPr>
                <w:rFonts w:hint="eastAsia" w:ascii="宋体" w:hAnsi="宋体" w:cs="宋体" w:eastAsiaTheme="minorEastAsia"/>
                <w:color w:val="000000" w:themeColor="text1"/>
                <w:szCs w:val="21"/>
                <w14:textFill>
                  <w14:solidFill>
                    <w14:schemeClr w14:val="tx1"/>
                  </w14:solidFill>
                </w14:textFill>
              </w:rPr>
              <w:t>可提取绑定银行卡、账单、回收站</w:t>
            </w:r>
            <w:r>
              <w:rPr>
                <w:rFonts w:hint="eastAsia" w:ascii="宋体" w:hAnsi="宋体" w:cs="宋体" w:eastAsiaTheme="minorEastAsia"/>
                <w:color w:val="000000" w:themeColor="text1"/>
                <w:szCs w:val="21"/>
                <w:lang w:val="en-US"/>
                <w14:textFill>
                  <w14:solidFill>
                    <w14:schemeClr w14:val="tx1"/>
                  </w14:solidFill>
                </w14:textFill>
              </w:rPr>
              <w:t>3种</w:t>
            </w:r>
            <w:r>
              <w:rPr>
                <w:rFonts w:hint="eastAsia" w:ascii="宋体" w:hAnsi="宋体" w:cs="宋体" w:eastAsiaTheme="minorEastAsia"/>
                <w:color w:val="000000" w:themeColor="text1"/>
                <w:szCs w:val="21"/>
                <w14:textFill>
                  <w14:solidFill>
                    <w14:schemeClr w14:val="tx1"/>
                  </w14:solidFill>
                </w14:textFill>
              </w:rPr>
              <w:t>信息</w:t>
            </w:r>
          </w:p>
        </w:tc>
        <w:tc>
          <w:tcPr>
            <w:tcW w:w="1078" w:type="pct"/>
            <w:vAlign w:val="center"/>
          </w:tcPr>
          <w:p>
            <w:pPr>
              <w:widowControl w:val="0"/>
              <w:jc w:val="center"/>
              <w:rPr>
                <w:rFonts w:ascii="宋体" w:hAnsi="宋体" w:cs="宋体" w:eastAsiaTheme="minorEastAsia"/>
                <w:bCs/>
                <w:color w:val="000000" w:themeColor="text1"/>
                <w:szCs w:val="21"/>
                <w:lang w:val="en-US"/>
                <w14:textFill>
                  <w14:solidFill>
                    <w14:schemeClr w14:val="tx1"/>
                  </w14:solidFill>
                </w14:textFill>
              </w:rPr>
            </w:pPr>
            <w:r>
              <w:rPr>
                <w:rFonts w:hint="eastAsia" w:ascii="宋体" w:hAnsi="宋体" w:cs="宋体" w:eastAsiaTheme="minorEastAsia"/>
                <w:bCs/>
                <w:color w:val="000000" w:themeColor="text1"/>
                <w:szCs w:val="21"/>
                <w:lang w:val="en-US"/>
                <w14:textFill>
                  <w14:solidFill>
                    <w14:schemeClr w14:val="tx1"/>
                  </w14:solidFill>
                </w14:textFill>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 w:type="pct"/>
            <w:shd w:val="clear" w:color="auto" w:fill="auto"/>
            <w:vAlign w:val="center"/>
          </w:tcPr>
          <w:p>
            <w:pPr>
              <w:jc w:val="center"/>
              <w:textAlignment w:val="center"/>
              <w:rPr>
                <w:rFonts w:ascii="宋体" w:hAnsi="宋体" w:cs="宋体" w:eastAsiaTheme="minorEastAsia"/>
                <w:color w:val="000000"/>
                <w:szCs w:val="21"/>
              </w:rPr>
            </w:pPr>
            <w:r>
              <w:rPr>
                <w:rFonts w:hint="eastAsia" w:ascii="宋体" w:hAnsi="宋体" w:cs="宋体" w:eastAsiaTheme="minorEastAsia"/>
                <w:color w:val="000000"/>
                <w:kern w:val="0"/>
                <w:szCs w:val="21"/>
                <w:lang w:val="en-US" w:bidi="ar"/>
              </w:rPr>
              <w:t>13</w:t>
            </w:r>
          </w:p>
        </w:tc>
        <w:tc>
          <w:tcPr>
            <w:tcW w:w="321" w:type="pct"/>
            <w:vAlign w:val="center"/>
          </w:tcPr>
          <w:p>
            <w:pPr>
              <w:jc w:val="center"/>
              <w:rPr>
                <w:rFonts w:ascii="宋体" w:hAnsi="宋体" w:cs="宋体" w:eastAsiaTheme="minorEastAsia"/>
                <w:color w:val="000000" w:themeColor="text1"/>
                <w:szCs w:val="21"/>
                <w14:textFill>
                  <w14:solidFill>
                    <w14:schemeClr w14:val="tx1"/>
                  </w14:solidFill>
                </w14:textFill>
              </w:rPr>
            </w:pPr>
            <w:r>
              <w:rPr>
                <w:rFonts w:hint="eastAsia" w:ascii="宋体" w:hAnsi="宋体" w:cs="宋体" w:eastAsiaTheme="minorEastAsia"/>
                <w:color w:val="000000" w:themeColor="text1"/>
                <w:szCs w:val="21"/>
                <w14:textFill>
                  <w14:solidFill>
                    <w14:schemeClr w14:val="tx1"/>
                  </w14:solidFill>
                </w14:textFill>
              </w:rPr>
              <w:t>▲</w:t>
            </w:r>
          </w:p>
        </w:tc>
        <w:tc>
          <w:tcPr>
            <w:tcW w:w="778" w:type="pct"/>
            <w:vMerge w:val="continue"/>
            <w:vAlign w:val="center"/>
          </w:tcPr>
          <w:p>
            <w:pPr>
              <w:adjustRightInd w:val="0"/>
              <w:snapToGrid w:val="0"/>
              <w:rPr>
                <w:rFonts w:ascii="宋体" w:hAnsi="宋体" w:cs="宋体" w:eastAsiaTheme="minorEastAsia"/>
                <w:color w:val="000000" w:themeColor="text1"/>
                <w:szCs w:val="21"/>
                <w14:textFill>
                  <w14:solidFill>
                    <w14:schemeClr w14:val="tx1"/>
                  </w14:solidFill>
                </w14:textFill>
              </w:rPr>
            </w:pPr>
          </w:p>
        </w:tc>
        <w:tc>
          <w:tcPr>
            <w:tcW w:w="2483" w:type="pct"/>
            <w:vAlign w:val="center"/>
          </w:tcPr>
          <w:p>
            <w:pPr>
              <w:adjustRightInd w:val="0"/>
              <w:snapToGrid w:val="0"/>
              <w:rPr>
                <w:rFonts w:ascii="宋体" w:hAnsi="宋体" w:cs="宋体" w:eastAsiaTheme="minorEastAsia"/>
                <w:color w:val="000000" w:themeColor="text1"/>
                <w:szCs w:val="21"/>
                <w14:textFill>
                  <w14:solidFill>
                    <w14:schemeClr w14:val="tx1"/>
                  </w14:solidFill>
                </w14:textFill>
              </w:rPr>
            </w:pPr>
            <w:r>
              <w:rPr>
                <w:rFonts w:hint="eastAsia" w:ascii="宋体" w:hAnsi="宋体" w:cs="宋体" w:eastAsiaTheme="minorEastAsia"/>
                <w:color w:val="000000" w:themeColor="text1"/>
                <w:szCs w:val="21"/>
                <w14:textFill>
                  <w14:solidFill>
                    <w14:schemeClr w14:val="tx1"/>
                  </w14:solidFill>
                </w14:textFill>
              </w:rPr>
              <w:t>支持APP快取</w:t>
            </w:r>
            <w:r>
              <w:rPr>
                <w:rFonts w:hint="eastAsia" w:ascii="宋体" w:hAnsi="宋体" w:cs="宋体" w:eastAsiaTheme="minorEastAsia"/>
                <w:color w:val="000000" w:themeColor="text1"/>
                <w:szCs w:val="21"/>
                <w:lang w:val="en-US"/>
                <w14:textFill>
                  <w14:solidFill>
                    <w14:schemeClr w14:val="tx1"/>
                  </w14:solidFill>
                </w14:textFill>
              </w:rPr>
              <w:t>,不少于QQ、</w:t>
            </w:r>
            <w:r>
              <w:rPr>
                <w:rFonts w:hint="eastAsia" w:ascii="宋体" w:hAnsi="宋体" w:cs="宋体" w:eastAsiaTheme="minorEastAsia"/>
                <w:color w:val="000000" w:themeColor="text1"/>
                <w:szCs w:val="21"/>
                <w14:textFill>
                  <w14:solidFill>
                    <w14:schemeClr w14:val="tx1"/>
                  </w14:solidFill>
                </w14:textFill>
              </w:rPr>
              <w:t>微信</w:t>
            </w:r>
            <w:r>
              <w:rPr>
                <w:rFonts w:hint="eastAsia" w:ascii="宋体" w:hAnsi="宋体" w:cs="宋体" w:eastAsiaTheme="minorEastAsia"/>
                <w:color w:val="000000" w:themeColor="text1"/>
                <w:szCs w:val="21"/>
                <w:lang w:val="en-US"/>
                <w14:textFill>
                  <w14:solidFill>
                    <w14:schemeClr w14:val="tx1"/>
                  </w14:solidFill>
                </w14:textFill>
              </w:rPr>
              <w:t>2种</w:t>
            </w:r>
            <w:r>
              <w:rPr>
                <w:rFonts w:hint="eastAsia" w:ascii="宋体" w:hAnsi="宋体" w:cs="宋体" w:eastAsiaTheme="minorEastAsia"/>
                <w:color w:val="000000" w:themeColor="text1"/>
                <w:szCs w:val="21"/>
                <w14:textFill>
                  <w14:solidFill>
                    <w14:schemeClr w14:val="tx1"/>
                  </w14:solidFill>
                </w14:textFill>
              </w:rPr>
              <w:t>快取功能</w:t>
            </w:r>
          </w:p>
        </w:tc>
        <w:tc>
          <w:tcPr>
            <w:tcW w:w="1078" w:type="pct"/>
            <w:vAlign w:val="center"/>
          </w:tcPr>
          <w:p>
            <w:pPr>
              <w:widowControl w:val="0"/>
              <w:jc w:val="center"/>
              <w:rPr>
                <w:rFonts w:ascii="宋体" w:hAnsi="宋体" w:cs="宋体" w:eastAsiaTheme="minorEastAsia"/>
                <w:bCs/>
                <w:color w:val="000000" w:themeColor="text1"/>
                <w:szCs w:val="21"/>
                <w:lang w:val="en-US"/>
                <w14:textFill>
                  <w14:solidFill>
                    <w14:schemeClr w14:val="tx1"/>
                  </w14:solidFill>
                </w14:textFill>
              </w:rPr>
            </w:pPr>
            <w:r>
              <w:rPr>
                <w:rFonts w:hint="eastAsia" w:ascii="宋体" w:hAnsi="宋体" w:cs="宋体" w:eastAsiaTheme="minorEastAsia"/>
                <w:bCs/>
                <w:color w:val="000000" w:themeColor="text1"/>
                <w:szCs w:val="21"/>
                <w:lang w:val="en-US"/>
                <w14:textFill>
                  <w14:solidFill>
                    <w14:schemeClr w14:val="tx1"/>
                  </w14:solidFill>
                </w14:textFill>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 w:type="pct"/>
            <w:shd w:val="clear" w:color="auto" w:fill="auto"/>
            <w:vAlign w:val="center"/>
          </w:tcPr>
          <w:p>
            <w:pPr>
              <w:jc w:val="center"/>
              <w:textAlignment w:val="center"/>
              <w:rPr>
                <w:rFonts w:ascii="宋体" w:hAnsi="宋体" w:cs="宋体" w:eastAsiaTheme="minorEastAsia"/>
                <w:color w:val="000000"/>
                <w:szCs w:val="21"/>
              </w:rPr>
            </w:pPr>
            <w:r>
              <w:rPr>
                <w:rFonts w:hint="eastAsia" w:ascii="宋体" w:hAnsi="宋体" w:cs="宋体" w:eastAsiaTheme="minorEastAsia"/>
                <w:color w:val="000000"/>
                <w:kern w:val="0"/>
                <w:szCs w:val="21"/>
                <w:lang w:val="en-US" w:bidi="ar"/>
              </w:rPr>
              <w:t>14</w:t>
            </w:r>
          </w:p>
        </w:tc>
        <w:tc>
          <w:tcPr>
            <w:tcW w:w="321" w:type="pct"/>
            <w:vAlign w:val="center"/>
          </w:tcPr>
          <w:p>
            <w:pPr>
              <w:jc w:val="center"/>
              <w:rPr>
                <w:rFonts w:ascii="宋体" w:hAnsi="宋体" w:cs="宋体" w:eastAsiaTheme="minorEastAsia"/>
                <w:color w:val="000000" w:themeColor="text1"/>
                <w:szCs w:val="21"/>
                <w14:textFill>
                  <w14:solidFill>
                    <w14:schemeClr w14:val="tx1"/>
                  </w14:solidFill>
                </w14:textFill>
              </w:rPr>
            </w:pPr>
            <w:r>
              <w:rPr>
                <w:rFonts w:hint="eastAsia" w:ascii="宋体" w:hAnsi="宋体" w:cs="宋体" w:eastAsiaTheme="minorEastAsia"/>
                <w:color w:val="000000" w:themeColor="text1"/>
                <w:szCs w:val="21"/>
                <w14:textFill>
                  <w14:solidFill>
                    <w14:schemeClr w14:val="tx1"/>
                  </w14:solidFill>
                </w14:textFill>
              </w:rPr>
              <w:t>▲</w:t>
            </w:r>
          </w:p>
        </w:tc>
        <w:tc>
          <w:tcPr>
            <w:tcW w:w="778" w:type="pct"/>
            <w:vMerge w:val="continue"/>
            <w:vAlign w:val="center"/>
          </w:tcPr>
          <w:p>
            <w:pPr>
              <w:adjustRightInd w:val="0"/>
              <w:snapToGrid w:val="0"/>
              <w:rPr>
                <w:rFonts w:ascii="宋体" w:hAnsi="宋体" w:cs="宋体" w:eastAsiaTheme="minorEastAsia"/>
                <w:color w:val="000000" w:themeColor="text1"/>
                <w:szCs w:val="21"/>
                <w14:textFill>
                  <w14:solidFill>
                    <w14:schemeClr w14:val="tx1"/>
                  </w14:solidFill>
                </w14:textFill>
              </w:rPr>
            </w:pPr>
          </w:p>
        </w:tc>
        <w:tc>
          <w:tcPr>
            <w:tcW w:w="2483" w:type="pct"/>
            <w:vAlign w:val="center"/>
          </w:tcPr>
          <w:p>
            <w:pPr>
              <w:adjustRightInd w:val="0"/>
              <w:snapToGrid w:val="0"/>
              <w:rPr>
                <w:rFonts w:ascii="宋体" w:hAnsi="宋体" w:cs="宋体" w:eastAsiaTheme="minorEastAsia"/>
                <w:color w:val="000000" w:themeColor="text1"/>
                <w:szCs w:val="21"/>
                <w14:textFill>
                  <w14:solidFill>
                    <w14:schemeClr w14:val="tx1"/>
                  </w14:solidFill>
                </w14:textFill>
              </w:rPr>
            </w:pPr>
            <w:r>
              <w:rPr>
                <w:rFonts w:hint="eastAsia" w:ascii="宋体" w:hAnsi="宋体" w:cs="宋体" w:eastAsiaTheme="minorEastAsia"/>
                <w:color w:val="000000" w:themeColor="text1"/>
                <w:szCs w:val="21"/>
                <w14:textFill>
                  <w14:solidFill>
                    <w14:schemeClr w14:val="tx1"/>
                  </w14:solidFill>
                </w14:textFill>
              </w:rPr>
              <w:t>支持QQ快取，</w:t>
            </w:r>
            <w:r>
              <w:rPr>
                <w:rFonts w:hint="eastAsia" w:ascii="宋体" w:hAnsi="宋体" w:cs="宋体" w:eastAsiaTheme="minorEastAsia"/>
                <w:color w:val="000000" w:themeColor="text1"/>
                <w:szCs w:val="21"/>
                <w:lang w:val="en-US"/>
                <w14:textFill>
                  <w14:solidFill>
                    <w14:schemeClr w14:val="tx1"/>
                  </w14:solidFill>
                </w14:textFill>
              </w:rPr>
              <w:t>至少</w:t>
            </w:r>
            <w:r>
              <w:rPr>
                <w:rFonts w:hint="eastAsia" w:ascii="宋体" w:hAnsi="宋体" w:cs="宋体" w:eastAsiaTheme="minorEastAsia"/>
                <w:color w:val="000000" w:themeColor="text1"/>
                <w:szCs w:val="21"/>
                <w14:textFill>
                  <w14:solidFill>
                    <w14:schemeClr w14:val="tx1"/>
                  </w14:solidFill>
                </w14:textFill>
              </w:rPr>
              <w:t>可提取</w:t>
            </w:r>
            <w:r>
              <w:rPr>
                <w:rFonts w:hint="eastAsia" w:ascii="宋体" w:hAnsi="宋体" w:cs="宋体" w:eastAsiaTheme="minorEastAsia"/>
                <w:color w:val="000000" w:themeColor="text1"/>
                <w:szCs w:val="21"/>
                <w:lang w:val="en-US"/>
                <w14:textFill>
                  <w14:solidFill>
                    <w14:schemeClr w14:val="tx1"/>
                  </w14:solidFill>
                </w14:textFill>
              </w:rPr>
              <w:t>3类数据，包括</w:t>
            </w:r>
            <w:r>
              <w:rPr>
                <w:rFonts w:hint="eastAsia" w:ascii="宋体" w:hAnsi="宋体" w:cs="宋体" w:eastAsiaTheme="minorEastAsia"/>
                <w:color w:val="000000" w:themeColor="text1"/>
                <w:szCs w:val="21"/>
                <w14:textFill>
                  <w14:solidFill>
                    <w14:schemeClr w14:val="tx1"/>
                  </w14:solidFill>
                </w14:textFill>
              </w:rPr>
              <w:t>QQ通讯录、指定联系人或群聊的聊天记录、聊天附件数据</w:t>
            </w:r>
          </w:p>
        </w:tc>
        <w:tc>
          <w:tcPr>
            <w:tcW w:w="1078" w:type="pct"/>
            <w:vAlign w:val="center"/>
          </w:tcPr>
          <w:p>
            <w:pPr>
              <w:widowControl w:val="0"/>
              <w:jc w:val="center"/>
              <w:rPr>
                <w:rFonts w:ascii="宋体" w:hAnsi="宋体" w:cs="宋体" w:eastAsiaTheme="minorEastAsia"/>
                <w:bCs/>
                <w:color w:val="000000" w:themeColor="text1"/>
                <w:szCs w:val="21"/>
                <w:lang w:val="en-US"/>
                <w14:textFill>
                  <w14:solidFill>
                    <w14:schemeClr w14:val="tx1"/>
                  </w14:solidFill>
                </w14:textFill>
              </w:rPr>
            </w:pPr>
            <w:r>
              <w:rPr>
                <w:rFonts w:hint="eastAsia" w:ascii="宋体" w:hAnsi="宋体" w:cs="宋体" w:eastAsiaTheme="minorEastAsia"/>
                <w:bCs/>
                <w:color w:val="000000" w:themeColor="text1"/>
                <w:szCs w:val="21"/>
                <w:lang w:val="en-US"/>
                <w14:textFill>
                  <w14:solidFill>
                    <w14:schemeClr w14:val="tx1"/>
                  </w14:solidFill>
                </w14:textFill>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 w:type="pct"/>
            <w:shd w:val="clear" w:color="auto" w:fill="auto"/>
            <w:vAlign w:val="center"/>
          </w:tcPr>
          <w:p>
            <w:pPr>
              <w:jc w:val="center"/>
              <w:textAlignment w:val="center"/>
              <w:rPr>
                <w:rFonts w:ascii="宋体" w:hAnsi="宋体" w:cs="宋体" w:eastAsiaTheme="minorEastAsia"/>
                <w:color w:val="000000"/>
                <w:szCs w:val="21"/>
                <w:lang w:val="en-US"/>
              </w:rPr>
            </w:pPr>
            <w:r>
              <w:rPr>
                <w:rFonts w:hint="eastAsia" w:ascii="宋体" w:hAnsi="宋体" w:cs="宋体" w:eastAsiaTheme="minorEastAsia"/>
                <w:color w:val="000000"/>
                <w:kern w:val="0"/>
                <w:szCs w:val="21"/>
                <w:lang w:val="en-US" w:bidi="ar"/>
              </w:rPr>
              <w:t>15</w:t>
            </w:r>
          </w:p>
        </w:tc>
        <w:tc>
          <w:tcPr>
            <w:tcW w:w="321" w:type="pct"/>
            <w:shd w:val="clear" w:color="auto" w:fill="auto"/>
            <w:vAlign w:val="center"/>
          </w:tcPr>
          <w:p>
            <w:pPr>
              <w:jc w:val="center"/>
              <w:rPr>
                <w:rFonts w:ascii="宋体" w:hAnsi="宋体" w:cs="宋体" w:eastAsiaTheme="minorEastAsia"/>
                <w:color w:val="000000" w:themeColor="text1"/>
                <w:szCs w:val="21"/>
                <w14:textFill>
                  <w14:solidFill>
                    <w14:schemeClr w14:val="tx1"/>
                  </w14:solidFill>
                </w14:textFill>
              </w:rPr>
            </w:pPr>
            <w:r>
              <w:rPr>
                <w:rFonts w:hint="eastAsia" w:ascii="宋体" w:hAnsi="宋体" w:cs="宋体" w:eastAsiaTheme="minorEastAsia"/>
                <w:color w:val="000000" w:themeColor="text1"/>
                <w:szCs w:val="21"/>
                <w14:textFill>
                  <w14:solidFill>
                    <w14:schemeClr w14:val="tx1"/>
                  </w14:solidFill>
                </w14:textFill>
              </w:rPr>
              <w:t>▲</w:t>
            </w:r>
          </w:p>
        </w:tc>
        <w:tc>
          <w:tcPr>
            <w:tcW w:w="778" w:type="pct"/>
            <w:vMerge w:val="continue"/>
            <w:shd w:val="clear" w:color="auto" w:fill="auto"/>
            <w:vAlign w:val="center"/>
          </w:tcPr>
          <w:p>
            <w:pPr>
              <w:adjustRightInd w:val="0"/>
              <w:snapToGrid w:val="0"/>
              <w:rPr>
                <w:rFonts w:ascii="宋体" w:hAnsi="宋体" w:cs="宋体" w:eastAsiaTheme="minorEastAsia"/>
                <w:color w:val="000000" w:themeColor="text1"/>
                <w:szCs w:val="21"/>
                <w14:textFill>
                  <w14:solidFill>
                    <w14:schemeClr w14:val="tx1"/>
                  </w14:solidFill>
                </w14:textFill>
              </w:rPr>
            </w:pPr>
          </w:p>
        </w:tc>
        <w:tc>
          <w:tcPr>
            <w:tcW w:w="2483" w:type="pct"/>
            <w:shd w:val="clear" w:color="auto" w:fill="auto"/>
            <w:vAlign w:val="center"/>
          </w:tcPr>
          <w:p>
            <w:pPr>
              <w:adjustRightInd w:val="0"/>
              <w:snapToGrid w:val="0"/>
              <w:rPr>
                <w:rFonts w:ascii="宋体" w:hAnsi="宋体" w:cs="宋体" w:eastAsiaTheme="minorEastAsia"/>
                <w:color w:val="000000" w:themeColor="text1"/>
                <w:szCs w:val="21"/>
                <w14:textFill>
                  <w14:solidFill>
                    <w14:schemeClr w14:val="tx1"/>
                  </w14:solidFill>
                </w14:textFill>
              </w:rPr>
            </w:pPr>
            <w:r>
              <w:rPr>
                <w:rFonts w:hint="eastAsia" w:ascii="宋体" w:hAnsi="宋体" w:cs="宋体" w:eastAsiaTheme="minorEastAsia"/>
                <w:color w:val="000000" w:themeColor="text1"/>
                <w:szCs w:val="21"/>
                <w:lang w:val="en-US"/>
                <w14:textFill>
                  <w14:solidFill>
                    <w14:schemeClr w14:val="tx1"/>
                  </w14:solidFill>
                </w14:textFill>
              </w:rPr>
              <w:t>至少</w:t>
            </w:r>
            <w:r>
              <w:rPr>
                <w:rFonts w:hint="eastAsia" w:eastAsiaTheme="minorEastAsia"/>
                <w:color w:val="000000" w:themeColor="text1"/>
                <w:szCs w:val="21"/>
                <w14:textFill>
                  <w14:solidFill>
                    <w14:schemeClr w14:val="tx1"/>
                  </w14:solidFill>
                </w14:textFill>
              </w:rPr>
              <w:t>支持导出Word、HTML</w:t>
            </w:r>
            <w:r>
              <w:rPr>
                <w:rFonts w:hint="eastAsia" w:eastAsiaTheme="minorEastAsia"/>
                <w:color w:val="000000" w:themeColor="text1"/>
                <w:szCs w:val="21"/>
                <w:lang w:val="en-US"/>
                <w14:textFill>
                  <w14:solidFill>
                    <w14:schemeClr w14:val="tx1"/>
                  </w14:solidFill>
                </w14:textFill>
              </w:rPr>
              <w:t>2种</w:t>
            </w:r>
            <w:r>
              <w:rPr>
                <w:rFonts w:hint="eastAsia" w:eastAsiaTheme="minorEastAsia"/>
                <w:color w:val="000000" w:themeColor="text1"/>
                <w:szCs w:val="21"/>
                <w14:textFill>
                  <w14:solidFill>
                    <w14:schemeClr w14:val="tx1"/>
                  </w14:solidFill>
                </w14:textFill>
              </w:rPr>
              <w:t>格式的取证报告，</w:t>
            </w:r>
            <w:r>
              <w:rPr>
                <w:rFonts w:hint="eastAsia" w:eastAsiaTheme="minorEastAsia"/>
                <w:color w:val="000000" w:themeColor="text1"/>
                <w:szCs w:val="21"/>
                <w:lang w:val="en-US"/>
                <w14:textFill>
                  <w14:solidFill>
                    <w14:schemeClr w14:val="tx1"/>
                  </w14:solidFill>
                </w14:textFill>
              </w:rPr>
              <w:t>支持</w:t>
            </w:r>
            <w:r>
              <w:rPr>
                <w:rFonts w:hint="eastAsia" w:eastAsiaTheme="minorEastAsia"/>
                <w:color w:val="000000" w:themeColor="text1"/>
                <w:szCs w:val="21"/>
                <w14:textFill>
                  <w14:solidFill>
                    <w14:schemeClr w14:val="tx1"/>
                  </w14:solidFill>
                </w14:textFill>
              </w:rPr>
              <w:t>将数据导出为CSV表格文件；HTML取证报告</w:t>
            </w:r>
            <w:r>
              <w:rPr>
                <w:rFonts w:hint="eastAsia" w:ascii="宋体" w:hAnsi="宋体" w:cs="宋体" w:eastAsiaTheme="minorEastAsia"/>
                <w:color w:val="000000" w:themeColor="text1"/>
                <w:szCs w:val="21"/>
                <w:lang w:val="en-US"/>
                <w14:textFill>
                  <w14:solidFill>
                    <w14:schemeClr w14:val="tx1"/>
                  </w14:solidFill>
                </w14:textFill>
              </w:rPr>
              <w:t>至少</w:t>
            </w:r>
            <w:r>
              <w:rPr>
                <w:rFonts w:hint="eastAsia" w:eastAsiaTheme="minorEastAsia"/>
                <w:color w:val="000000" w:themeColor="text1"/>
                <w:szCs w:val="21"/>
                <w14:textFill>
                  <w14:solidFill>
                    <w14:schemeClr w14:val="tx1"/>
                  </w14:solidFill>
                </w14:textFill>
              </w:rPr>
              <w:t>支持会话展示，支持</w:t>
            </w:r>
            <w:r>
              <w:rPr>
                <w:rFonts w:hint="eastAsia" w:eastAsiaTheme="minorEastAsia"/>
                <w:color w:val="000000" w:themeColor="text1"/>
                <w:szCs w:val="21"/>
                <w:lang w:val="en-US"/>
                <w14:textFill>
                  <w14:solidFill>
                    <w14:schemeClr w14:val="tx1"/>
                  </w14:solidFill>
                </w14:textFill>
              </w:rPr>
              <w:t>浏览器</w:t>
            </w:r>
            <w:r>
              <w:rPr>
                <w:rFonts w:hint="eastAsia" w:eastAsiaTheme="minorEastAsia"/>
                <w:color w:val="000000" w:themeColor="text1"/>
                <w:szCs w:val="21"/>
                <w14:textFill>
                  <w14:solidFill>
                    <w14:schemeClr w14:val="tx1"/>
                  </w14:solidFill>
                </w14:textFill>
              </w:rPr>
              <w:t>关键词搜索、搜索结果标记展示</w:t>
            </w:r>
          </w:p>
        </w:tc>
        <w:tc>
          <w:tcPr>
            <w:tcW w:w="1078" w:type="pct"/>
            <w:shd w:val="clear" w:color="auto" w:fill="auto"/>
            <w:vAlign w:val="center"/>
          </w:tcPr>
          <w:p>
            <w:pPr>
              <w:widowControl w:val="0"/>
              <w:jc w:val="center"/>
              <w:rPr>
                <w:rFonts w:ascii="宋体" w:hAnsi="宋体" w:cs="宋体" w:eastAsiaTheme="minorEastAsia"/>
                <w:bCs/>
                <w:color w:val="000000" w:themeColor="text1"/>
                <w:szCs w:val="21"/>
                <w:lang w:val="en-US"/>
                <w14:textFill>
                  <w14:solidFill>
                    <w14:schemeClr w14:val="tx1"/>
                  </w14:solidFill>
                </w14:textFill>
              </w:rPr>
            </w:pPr>
            <w:r>
              <w:rPr>
                <w:rFonts w:hint="eastAsia" w:ascii="宋体" w:hAnsi="宋体" w:cs="宋体" w:eastAsiaTheme="minorEastAsia"/>
                <w:bCs/>
                <w:color w:val="000000" w:themeColor="text1"/>
                <w:szCs w:val="21"/>
                <w:lang w:val="en-US"/>
                <w14:textFill>
                  <w14:solidFill>
                    <w14:schemeClr w14:val="tx1"/>
                  </w14:solidFill>
                </w14:textFill>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 w:type="pct"/>
            <w:shd w:val="clear" w:color="auto" w:fill="auto"/>
            <w:vAlign w:val="center"/>
          </w:tcPr>
          <w:p>
            <w:pPr>
              <w:jc w:val="center"/>
              <w:textAlignment w:val="center"/>
              <w:rPr>
                <w:rFonts w:ascii="宋体" w:hAnsi="宋体" w:cs="宋体" w:eastAsiaTheme="minorEastAsia"/>
                <w:color w:val="000000"/>
                <w:szCs w:val="21"/>
                <w:lang w:val="en-US"/>
              </w:rPr>
            </w:pPr>
            <w:r>
              <w:rPr>
                <w:rFonts w:hint="eastAsia" w:ascii="宋体" w:hAnsi="宋体" w:cs="宋体" w:eastAsiaTheme="minorEastAsia"/>
                <w:color w:val="000000"/>
                <w:kern w:val="0"/>
                <w:szCs w:val="21"/>
                <w:lang w:val="en-US" w:bidi="ar"/>
              </w:rPr>
              <w:t>16</w:t>
            </w:r>
          </w:p>
        </w:tc>
        <w:tc>
          <w:tcPr>
            <w:tcW w:w="321" w:type="pct"/>
            <w:shd w:val="clear" w:color="auto" w:fill="auto"/>
            <w:vAlign w:val="center"/>
          </w:tcPr>
          <w:p>
            <w:pPr>
              <w:jc w:val="center"/>
              <w:rPr>
                <w:rFonts w:ascii="宋体" w:hAnsi="宋体" w:cs="宋体" w:eastAsiaTheme="minorEastAsia"/>
                <w:color w:val="000000" w:themeColor="text1"/>
                <w:szCs w:val="21"/>
                <w14:textFill>
                  <w14:solidFill>
                    <w14:schemeClr w14:val="tx1"/>
                  </w14:solidFill>
                </w14:textFill>
              </w:rPr>
            </w:pPr>
            <w:r>
              <w:rPr>
                <w:rFonts w:hint="eastAsia" w:ascii="宋体" w:hAnsi="宋体" w:cs="宋体" w:eastAsiaTheme="minorEastAsia"/>
                <w:color w:val="000000" w:themeColor="text1"/>
                <w:szCs w:val="21"/>
                <w14:textFill>
                  <w14:solidFill>
                    <w14:schemeClr w14:val="tx1"/>
                  </w14:solidFill>
                </w14:textFill>
              </w:rPr>
              <w:t>★</w:t>
            </w:r>
          </w:p>
        </w:tc>
        <w:tc>
          <w:tcPr>
            <w:tcW w:w="778" w:type="pct"/>
            <w:vMerge w:val="continue"/>
            <w:shd w:val="clear" w:color="auto" w:fill="auto"/>
            <w:vAlign w:val="center"/>
          </w:tcPr>
          <w:p>
            <w:pPr>
              <w:adjustRightInd w:val="0"/>
              <w:snapToGrid w:val="0"/>
              <w:rPr>
                <w:rFonts w:ascii="宋体" w:hAnsi="宋体" w:cs="宋体" w:eastAsiaTheme="minorEastAsia"/>
                <w:color w:val="000000" w:themeColor="text1"/>
                <w:szCs w:val="21"/>
                <w14:textFill>
                  <w14:solidFill>
                    <w14:schemeClr w14:val="tx1"/>
                  </w14:solidFill>
                </w14:textFill>
              </w:rPr>
            </w:pPr>
          </w:p>
        </w:tc>
        <w:tc>
          <w:tcPr>
            <w:tcW w:w="2483" w:type="pct"/>
            <w:shd w:val="clear" w:color="auto" w:fill="auto"/>
            <w:vAlign w:val="center"/>
          </w:tcPr>
          <w:p>
            <w:pPr>
              <w:adjustRightInd w:val="0"/>
              <w:snapToGrid w:val="0"/>
              <w:rPr>
                <w:rFonts w:ascii="宋体" w:hAnsi="宋体" w:cs="宋体" w:eastAsiaTheme="minorEastAsia"/>
                <w:color w:val="000000" w:themeColor="text1"/>
                <w:szCs w:val="21"/>
                <w:lang w:val="en-US"/>
                <w14:textFill>
                  <w14:solidFill>
                    <w14:schemeClr w14:val="tx1"/>
                  </w14:solidFill>
                </w14:textFill>
              </w:rPr>
            </w:pPr>
            <w:r>
              <w:rPr>
                <w:rFonts w:hint="eastAsia" w:ascii="宋体" w:hAnsi="宋体" w:cs="宋体" w:eastAsiaTheme="minorEastAsia"/>
                <w:color w:val="000000" w:themeColor="text1"/>
                <w:szCs w:val="21"/>
                <w14:textFill>
                  <w14:solidFill>
                    <w14:schemeClr w14:val="tx1"/>
                  </w14:solidFill>
                </w14:textFill>
              </w:rPr>
              <w:t>支持案件管理隐私模式:对所选案件的所有信息进行星号覆盖，可隐藏</w:t>
            </w:r>
            <w:r>
              <w:rPr>
                <w:rFonts w:hint="eastAsia" w:ascii="宋体" w:hAnsi="宋体" w:cs="宋体" w:eastAsiaTheme="minorEastAsia"/>
                <w:color w:val="000000" w:themeColor="text1"/>
                <w:szCs w:val="21"/>
                <w:lang w:val="en-US"/>
                <w14:textFill>
                  <w14:solidFill>
                    <w14:schemeClr w14:val="tx1"/>
                  </w14:solidFill>
                </w14:textFill>
              </w:rPr>
              <w:t>至少2种信息，包括但不限于</w:t>
            </w:r>
            <w:r>
              <w:rPr>
                <w:rFonts w:hint="eastAsia" w:ascii="宋体" w:hAnsi="宋体" w:cs="宋体" w:eastAsiaTheme="minorEastAsia"/>
                <w:color w:val="000000" w:themeColor="text1"/>
                <w:szCs w:val="21"/>
                <w14:textFill>
                  <w14:solidFill>
                    <w14:schemeClr w14:val="tx1"/>
                  </w14:solidFill>
                </w14:textFill>
              </w:rPr>
              <w:t>案件信息、检材信息</w:t>
            </w:r>
          </w:p>
        </w:tc>
        <w:tc>
          <w:tcPr>
            <w:tcW w:w="1078" w:type="pct"/>
            <w:shd w:val="clear" w:color="auto" w:fill="auto"/>
            <w:vAlign w:val="center"/>
          </w:tcPr>
          <w:p>
            <w:pPr>
              <w:widowControl w:val="0"/>
              <w:jc w:val="center"/>
              <w:rPr>
                <w:rFonts w:ascii="宋体" w:hAnsi="宋体" w:cs="宋体" w:eastAsiaTheme="minorEastAsia"/>
                <w:bCs/>
                <w:color w:val="000000" w:themeColor="text1"/>
                <w:szCs w:val="21"/>
                <w:lang w:val="en-US"/>
                <w14:textFill>
                  <w14:solidFill>
                    <w14:schemeClr w14:val="tx1"/>
                  </w14:solidFill>
                </w14:textFill>
              </w:rPr>
            </w:pPr>
            <w:r>
              <w:rPr>
                <w:rFonts w:hint="eastAsia" w:ascii="宋体" w:hAnsi="宋体" w:cs="宋体" w:eastAsiaTheme="minorEastAsia"/>
                <w:bCs/>
                <w:color w:val="000000" w:themeColor="text1"/>
                <w:szCs w:val="21"/>
                <w:lang w:val="en-US"/>
                <w14:textFill>
                  <w14:solidFill>
                    <w14:schemeClr w14:val="tx1"/>
                  </w14:solidFill>
                </w14:textFill>
              </w:rPr>
              <w:t>软件功能截图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 w:type="pct"/>
            <w:shd w:val="clear" w:color="auto" w:fill="auto"/>
            <w:vAlign w:val="center"/>
          </w:tcPr>
          <w:p>
            <w:pPr>
              <w:jc w:val="center"/>
              <w:textAlignment w:val="center"/>
              <w:rPr>
                <w:rFonts w:ascii="宋体" w:hAnsi="宋体" w:cs="宋体" w:eastAsiaTheme="minorEastAsia"/>
                <w:color w:val="000000"/>
                <w:szCs w:val="21"/>
                <w:lang w:val="en-US"/>
              </w:rPr>
            </w:pPr>
            <w:r>
              <w:rPr>
                <w:rFonts w:hint="eastAsia" w:ascii="宋体" w:hAnsi="宋体" w:cs="宋体" w:eastAsiaTheme="minorEastAsia"/>
                <w:color w:val="000000"/>
                <w:kern w:val="0"/>
                <w:szCs w:val="21"/>
                <w:lang w:val="en-US" w:bidi="ar"/>
              </w:rPr>
              <w:t>17</w:t>
            </w:r>
          </w:p>
        </w:tc>
        <w:tc>
          <w:tcPr>
            <w:tcW w:w="321" w:type="pct"/>
            <w:shd w:val="clear" w:color="auto" w:fill="auto"/>
            <w:vAlign w:val="center"/>
          </w:tcPr>
          <w:p>
            <w:pPr>
              <w:jc w:val="center"/>
              <w:rPr>
                <w:rFonts w:ascii="宋体" w:hAnsi="宋体" w:cs="宋体" w:eastAsiaTheme="minorEastAsia"/>
                <w:color w:val="000000" w:themeColor="text1"/>
                <w:szCs w:val="21"/>
                <w14:textFill>
                  <w14:solidFill>
                    <w14:schemeClr w14:val="tx1"/>
                  </w14:solidFill>
                </w14:textFill>
              </w:rPr>
            </w:pPr>
            <w:r>
              <w:rPr>
                <w:rFonts w:hint="eastAsia" w:ascii="宋体" w:hAnsi="宋体" w:cs="宋体" w:eastAsiaTheme="minorEastAsia"/>
                <w:color w:val="000000" w:themeColor="text1"/>
                <w:szCs w:val="21"/>
                <w14:textFill>
                  <w14:solidFill>
                    <w14:schemeClr w14:val="tx1"/>
                  </w14:solidFill>
                </w14:textFill>
              </w:rPr>
              <w:t>★</w:t>
            </w:r>
          </w:p>
        </w:tc>
        <w:tc>
          <w:tcPr>
            <w:tcW w:w="778" w:type="pct"/>
            <w:vMerge w:val="continue"/>
            <w:shd w:val="clear" w:color="auto" w:fill="auto"/>
            <w:vAlign w:val="center"/>
          </w:tcPr>
          <w:p>
            <w:pPr>
              <w:adjustRightInd w:val="0"/>
              <w:snapToGrid w:val="0"/>
              <w:rPr>
                <w:rFonts w:ascii="宋体" w:hAnsi="宋体" w:cs="宋体" w:eastAsiaTheme="minorEastAsia"/>
                <w:color w:val="000000" w:themeColor="text1"/>
                <w:szCs w:val="21"/>
                <w14:textFill>
                  <w14:solidFill>
                    <w14:schemeClr w14:val="tx1"/>
                  </w14:solidFill>
                </w14:textFill>
              </w:rPr>
            </w:pPr>
          </w:p>
        </w:tc>
        <w:tc>
          <w:tcPr>
            <w:tcW w:w="2483" w:type="pct"/>
            <w:shd w:val="clear" w:color="auto" w:fill="auto"/>
            <w:vAlign w:val="center"/>
          </w:tcPr>
          <w:p>
            <w:pPr>
              <w:adjustRightInd w:val="0"/>
              <w:snapToGrid w:val="0"/>
              <w:rPr>
                <w:rFonts w:ascii="宋体" w:hAnsi="宋体" w:cs="宋体" w:eastAsiaTheme="minorEastAsia"/>
                <w:color w:val="000000" w:themeColor="text1"/>
                <w:szCs w:val="21"/>
                <w14:textFill>
                  <w14:solidFill>
                    <w14:schemeClr w14:val="tx1"/>
                  </w14:solidFill>
                </w14:textFill>
              </w:rPr>
            </w:pPr>
            <w:r>
              <w:rPr>
                <w:rFonts w:hint="eastAsia" w:ascii="宋体" w:hAnsi="宋体" w:cs="宋体" w:eastAsiaTheme="minorEastAsia"/>
                <w:color w:val="000000" w:themeColor="text1"/>
                <w:szCs w:val="21"/>
                <w:lang w:val="en-US"/>
                <w14:textFill>
                  <w14:solidFill>
                    <w14:schemeClr w14:val="tx1"/>
                  </w14:solidFill>
                </w14:textFill>
              </w:rPr>
              <w:t>支持</w:t>
            </w:r>
            <w:r>
              <w:rPr>
                <w:rFonts w:hint="eastAsia" w:ascii="宋体" w:hAnsi="宋体" w:cs="宋体" w:eastAsiaTheme="minorEastAsia"/>
                <w:color w:val="000000" w:themeColor="text1"/>
                <w:szCs w:val="21"/>
                <w14:textFill>
                  <w14:solidFill>
                    <w14:schemeClr w14:val="tx1"/>
                  </w14:solidFill>
                </w14:textFill>
              </w:rPr>
              <w:t>对微信群名称修改记录进行统一展示，可在微信提取结果中群名称修改记录节点，支持展示</w:t>
            </w:r>
            <w:r>
              <w:rPr>
                <w:rFonts w:hint="eastAsia" w:ascii="宋体" w:hAnsi="宋体" w:cs="宋体" w:eastAsiaTheme="minorEastAsia"/>
                <w:color w:val="000000" w:themeColor="text1"/>
                <w:szCs w:val="21"/>
                <w:lang w:val="en-US"/>
                <w14:textFill>
                  <w14:solidFill>
                    <w14:schemeClr w14:val="tx1"/>
                  </w14:solidFill>
                </w14:textFill>
              </w:rPr>
              <w:t>查看</w:t>
            </w:r>
            <w:r>
              <w:rPr>
                <w:rFonts w:hint="eastAsia" w:ascii="宋体" w:hAnsi="宋体" w:cs="宋体" w:eastAsiaTheme="minorEastAsia"/>
                <w:color w:val="000000" w:themeColor="text1"/>
                <w:szCs w:val="21"/>
                <w14:textFill>
                  <w14:solidFill>
                    <w14:schemeClr w14:val="tx1"/>
                  </w14:solidFill>
                </w14:textFill>
              </w:rPr>
              <w:t>修改过的群名称消息内容、修改群名称前后的上下文聊天内容</w:t>
            </w:r>
            <w:r>
              <w:rPr>
                <w:rFonts w:hint="eastAsia" w:ascii="宋体" w:hAnsi="宋体" w:cs="宋体" w:eastAsiaTheme="minorEastAsia"/>
                <w:color w:val="000000" w:themeColor="text1"/>
                <w:szCs w:val="21"/>
                <w:lang w:val="en-US"/>
                <w14:textFill>
                  <w14:solidFill>
                    <w14:schemeClr w14:val="tx1"/>
                  </w14:solidFill>
                </w14:textFill>
              </w:rPr>
              <w:t>等至少2种内容</w:t>
            </w:r>
          </w:p>
        </w:tc>
        <w:tc>
          <w:tcPr>
            <w:tcW w:w="1078" w:type="pct"/>
            <w:shd w:val="clear" w:color="auto" w:fill="auto"/>
            <w:vAlign w:val="center"/>
          </w:tcPr>
          <w:p>
            <w:pPr>
              <w:widowControl w:val="0"/>
              <w:jc w:val="center"/>
              <w:rPr>
                <w:rFonts w:ascii="宋体" w:hAnsi="宋体" w:cs="宋体" w:eastAsiaTheme="minorEastAsia"/>
                <w:bCs/>
                <w:color w:val="000000" w:themeColor="text1"/>
                <w:szCs w:val="21"/>
                <w:lang w:val="en-US"/>
                <w14:textFill>
                  <w14:solidFill>
                    <w14:schemeClr w14:val="tx1"/>
                  </w14:solidFill>
                </w14:textFill>
              </w:rPr>
            </w:pPr>
            <w:r>
              <w:rPr>
                <w:rFonts w:hint="eastAsia" w:ascii="宋体" w:hAnsi="宋体" w:cs="宋体" w:eastAsiaTheme="minorEastAsia"/>
                <w:bCs/>
                <w:color w:val="000000" w:themeColor="text1"/>
                <w:szCs w:val="21"/>
                <w:lang w:val="en-US"/>
                <w14:textFill>
                  <w14:solidFill>
                    <w14:schemeClr w14:val="tx1"/>
                  </w14:solidFill>
                </w14:textFill>
              </w:rPr>
              <w:t>软件功能截图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 w:type="pct"/>
            <w:shd w:val="clear" w:color="auto" w:fill="auto"/>
            <w:vAlign w:val="center"/>
          </w:tcPr>
          <w:p>
            <w:pPr>
              <w:jc w:val="center"/>
              <w:textAlignment w:val="center"/>
              <w:rPr>
                <w:rFonts w:ascii="宋体" w:hAnsi="宋体" w:cs="宋体" w:eastAsiaTheme="minorEastAsia"/>
                <w:color w:val="000000"/>
                <w:szCs w:val="21"/>
                <w:lang w:val="en-US"/>
              </w:rPr>
            </w:pPr>
            <w:r>
              <w:rPr>
                <w:rFonts w:hint="eastAsia" w:ascii="宋体" w:hAnsi="宋体" w:cs="宋体" w:eastAsiaTheme="minorEastAsia"/>
                <w:color w:val="000000"/>
                <w:kern w:val="0"/>
                <w:szCs w:val="21"/>
                <w:lang w:val="en-US" w:bidi="ar"/>
              </w:rPr>
              <w:t>18</w:t>
            </w:r>
          </w:p>
        </w:tc>
        <w:tc>
          <w:tcPr>
            <w:tcW w:w="321" w:type="pct"/>
            <w:shd w:val="clear" w:color="auto" w:fill="auto"/>
            <w:vAlign w:val="center"/>
          </w:tcPr>
          <w:p>
            <w:pPr>
              <w:jc w:val="center"/>
              <w:rPr>
                <w:rFonts w:ascii="宋体" w:hAnsi="宋体" w:cs="宋体" w:eastAsiaTheme="minorEastAsia"/>
                <w:color w:val="000000" w:themeColor="text1"/>
                <w:szCs w:val="21"/>
                <w14:textFill>
                  <w14:solidFill>
                    <w14:schemeClr w14:val="tx1"/>
                  </w14:solidFill>
                </w14:textFill>
              </w:rPr>
            </w:pPr>
            <w:r>
              <w:rPr>
                <w:rFonts w:hint="eastAsia" w:ascii="宋体" w:hAnsi="宋体" w:cs="宋体" w:eastAsiaTheme="minorEastAsia"/>
                <w:color w:val="000000" w:themeColor="text1"/>
                <w:szCs w:val="21"/>
                <w14:textFill>
                  <w14:solidFill>
                    <w14:schemeClr w14:val="tx1"/>
                  </w14:solidFill>
                </w14:textFill>
              </w:rPr>
              <w:t>★</w:t>
            </w:r>
          </w:p>
        </w:tc>
        <w:tc>
          <w:tcPr>
            <w:tcW w:w="778" w:type="pct"/>
            <w:vMerge w:val="continue"/>
            <w:shd w:val="clear" w:color="auto" w:fill="auto"/>
            <w:vAlign w:val="center"/>
          </w:tcPr>
          <w:p>
            <w:pPr>
              <w:adjustRightInd w:val="0"/>
              <w:snapToGrid w:val="0"/>
              <w:rPr>
                <w:rFonts w:ascii="宋体" w:hAnsi="宋体" w:cs="宋体" w:eastAsiaTheme="minorEastAsia"/>
                <w:color w:val="000000" w:themeColor="text1"/>
                <w:szCs w:val="21"/>
                <w14:textFill>
                  <w14:solidFill>
                    <w14:schemeClr w14:val="tx1"/>
                  </w14:solidFill>
                </w14:textFill>
              </w:rPr>
            </w:pPr>
          </w:p>
        </w:tc>
        <w:tc>
          <w:tcPr>
            <w:tcW w:w="2483" w:type="pct"/>
            <w:shd w:val="clear" w:color="auto" w:fill="auto"/>
            <w:vAlign w:val="center"/>
          </w:tcPr>
          <w:p>
            <w:pPr>
              <w:adjustRightInd w:val="0"/>
              <w:snapToGrid w:val="0"/>
              <w:rPr>
                <w:rFonts w:ascii="宋体" w:hAnsi="宋体" w:cs="宋体" w:eastAsiaTheme="minorEastAsia"/>
                <w:color w:val="000000" w:themeColor="text1"/>
                <w:szCs w:val="21"/>
                <w:lang w:val="en-US"/>
                <w14:textFill>
                  <w14:solidFill>
                    <w14:schemeClr w14:val="tx1"/>
                  </w14:solidFill>
                </w14:textFill>
              </w:rPr>
            </w:pPr>
            <w:r>
              <w:rPr>
                <w:rFonts w:hint="eastAsia" w:ascii="宋体" w:hAnsi="宋体" w:cs="宋体" w:eastAsiaTheme="minorEastAsia"/>
                <w:color w:val="000000" w:themeColor="text1"/>
                <w:szCs w:val="21"/>
                <w14:textFill>
                  <w14:solidFill>
                    <w14:schemeClr w14:val="tx1"/>
                  </w14:solidFill>
                </w14:textFill>
              </w:rPr>
              <w:t>证据展示页面可对己生成报告的检材进行“已导出”标记，</w:t>
            </w:r>
            <w:r>
              <w:rPr>
                <w:rFonts w:hint="eastAsia" w:ascii="宋体" w:hAnsi="宋体" w:cs="宋体" w:eastAsiaTheme="minorEastAsia"/>
                <w:color w:val="000000" w:themeColor="text1"/>
                <w:szCs w:val="21"/>
                <w:lang w:val="en-US"/>
                <w14:textFill>
                  <w14:solidFill>
                    <w14:schemeClr w14:val="tx1"/>
                  </w14:solidFill>
                </w14:textFill>
              </w:rPr>
              <w:t>至少</w:t>
            </w:r>
            <w:r>
              <w:rPr>
                <w:rFonts w:hint="eastAsia" w:ascii="宋体" w:hAnsi="宋体" w:cs="宋体" w:eastAsiaTheme="minorEastAsia"/>
                <w:color w:val="000000" w:themeColor="text1"/>
                <w:szCs w:val="21"/>
                <w14:textFill>
                  <w14:solidFill>
                    <w14:schemeClr w14:val="tx1"/>
                  </w14:solidFill>
                </w14:textFill>
              </w:rPr>
              <w:t>可区分</w:t>
            </w:r>
            <w:r>
              <w:rPr>
                <w:rFonts w:hint="eastAsia" w:ascii="宋体" w:hAnsi="宋体" w:cs="宋体" w:eastAsiaTheme="minorEastAsia"/>
                <w:color w:val="000000" w:themeColor="text1"/>
                <w:szCs w:val="21"/>
                <w:lang w:val="en-US"/>
                <w14:textFill>
                  <w14:solidFill>
                    <w14:schemeClr w14:val="tx1"/>
                  </w14:solidFill>
                </w14:textFill>
              </w:rPr>
              <w:t>2种标记，包括</w:t>
            </w:r>
            <w:r>
              <w:rPr>
                <w:rFonts w:hint="eastAsia" w:ascii="宋体" w:hAnsi="宋体" w:cs="宋体" w:eastAsiaTheme="minorEastAsia"/>
                <w:color w:val="000000" w:themeColor="text1"/>
                <w:szCs w:val="21"/>
                <w14:textFill>
                  <w14:solidFill>
                    <w14:schemeClr w14:val="tx1"/>
                  </w14:solidFill>
                </w14:textFill>
              </w:rPr>
              <w:t>已生成报告与未生成报告的检材，支持定位报告存放的文件夹</w:t>
            </w:r>
          </w:p>
        </w:tc>
        <w:tc>
          <w:tcPr>
            <w:tcW w:w="1078" w:type="pct"/>
            <w:shd w:val="clear" w:color="auto" w:fill="auto"/>
            <w:vAlign w:val="center"/>
          </w:tcPr>
          <w:p>
            <w:pPr>
              <w:widowControl w:val="0"/>
              <w:jc w:val="center"/>
              <w:rPr>
                <w:rFonts w:ascii="宋体" w:hAnsi="宋体" w:cs="宋体" w:eastAsiaTheme="minorEastAsia"/>
                <w:bCs/>
                <w:color w:val="000000" w:themeColor="text1"/>
                <w:szCs w:val="21"/>
                <w:lang w:val="en-US"/>
                <w14:textFill>
                  <w14:solidFill>
                    <w14:schemeClr w14:val="tx1"/>
                  </w14:solidFill>
                </w14:textFill>
              </w:rPr>
            </w:pPr>
            <w:r>
              <w:rPr>
                <w:rFonts w:hint="eastAsia" w:ascii="宋体" w:hAnsi="宋体" w:cs="宋体" w:eastAsiaTheme="minorEastAsia"/>
                <w:bCs/>
                <w:color w:val="000000" w:themeColor="text1"/>
                <w:szCs w:val="21"/>
                <w:lang w:val="en-US"/>
                <w14:textFill>
                  <w14:solidFill>
                    <w14:schemeClr w14:val="tx1"/>
                  </w14:solidFill>
                </w14:textFill>
              </w:rPr>
              <w:t>软件功能截图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 w:type="pct"/>
            <w:shd w:val="clear" w:color="auto" w:fill="auto"/>
            <w:vAlign w:val="center"/>
          </w:tcPr>
          <w:p>
            <w:pPr>
              <w:jc w:val="center"/>
              <w:textAlignment w:val="center"/>
              <w:rPr>
                <w:rFonts w:ascii="宋体" w:hAnsi="宋体" w:cs="宋体" w:eastAsiaTheme="minorEastAsia"/>
                <w:color w:val="000000"/>
                <w:szCs w:val="21"/>
                <w:lang w:val="en-US"/>
              </w:rPr>
            </w:pPr>
            <w:r>
              <w:rPr>
                <w:rFonts w:hint="eastAsia" w:ascii="宋体" w:hAnsi="宋体" w:cs="宋体" w:eastAsiaTheme="minorEastAsia"/>
                <w:color w:val="000000"/>
                <w:kern w:val="0"/>
                <w:szCs w:val="21"/>
                <w:lang w:val="en-US" w:bidi="ar"/>
              </w:rPr>
              <w:t>19</w:t>
            </w:r>
          </w:p>
        </w:tc>
        <w:tc>
          <w:tcPr>
            <w:tcW w:w="321" w:type="pct"/>
            <w:shd w:val="clear" w:color="auto" w:fill="auto"/>
            <w:vAlign w:val="center"/>
          </w:tcPr>
          <w:p>
            <w:pPr>
              <w:jc w:val="center"/>
              <w:rPr>
                <w:rFonts w:ascii="宋体" w:hAnsi="宋体" w:cs="宋体" w:eastAsiaTheme="minorEastAsia"/>
                <w:color w:val="000000" w:themeColor="text1"/>
                <w:szCs w:val="21"/>
                <w14:textFill>
                  <w14:solidFill>
                    <w14:schemeClr w14:val="tx1"/>
                  </w14:solidFill>
                </w14:textFill>
              </w:rPr>
            </w:pPr>
            <w:r>
              <w:rPr>
                <w:rFonts w:hint="eastAsia" w:ascii="宋体" w:hAnsi="宋体" w:cs="宋体" w:eastAsiaTheme="minorEastAsia"/>
                <w:color w:val="000000" w:themeColor="text1"/>
                <w:szCs w:val="21"/>
                <w14:textFill>
                  <w14:solidFill>
                    <w14:schemeClr w14:val="tx1"/>
                  </w14:solidFill>
                </w14:textFill>
              </w:rPr>
              <w:t>★</w:t>
            </w:r>
          </w:p>
        </w:tc>
        <w:tc>
          <w:tcPr>
            <w:tcW w:w="778" w:type="pct"/>
            <w:vMerge w:val="continue"/>
            <w:shd w:val="clear" w:color="auto" w:fill="auto"/>
            <w:vAlign w:val="center"/>
          </w:tcPr>
          <w:p>
            <w:pPr>
              <w:adjustRightInd w:val="0"/>
              <w:snapToGrid w:val="0"/>
              <w:rPr>
                <w:rFonts w:ascii="宋体" w:hAnsi="宋体" w:cs="宋体" w:eastAsiaTheme="minorEastAsia"/>
                <w:color w:val="000000" w:themeColor="text1"/>
                <w:szCs w:val="21"/>
                <w14:textFill>
                  <w14:solidFill>
                    <w14:schemeClr w14:val="tx1"/>
                  </w14:solidFill>
                </w14:textFill>
              </w:rPr>
            </w:pPr>
          </w:p>
        </w:tc>
        <w:tc>
          <w:tcPr>
            <w:tcW w:w="2483" w:type="pct"/>
            <w:shd w:val="clear" w:color="auto" w:fill="auto"/>
            <w:vAlign w:val="center"/>
          </w:tcPr>
          <w:p>
            <w:pPr>
              <w:adjustRightInd w:val="0"/>
              <w:snapToGrid w:val="0"/>
              <w:rPr>
                <w:rFonts w:ascii="宋体" w:hAnsi="宋体" w:cs="宋体" w:eastAsiaTheme="minorEastAsia"/>
                <w:color w:val="000000" w:themeColor="text1"/>
                <w:szCs w:val="21"/>
                <w:lang w:val="en-US"/>
                <w14:textFill>
                  <w14:solidFill>
                    <w14:schemeClr w14:val="tx1"/>
                  </w14:solidFill>
                </w14:textFill>
              </w:rPr>
            </w:pPr>
            <w:r>
              <w:rPr>
                <w:rFonts w:hint="eastAsia" w:ascii="宋体" w:hAnsi="宋体" w:cs="宋体" w:eastAsiaTheme="minorEastAsia"/>
                <w:color w:val="000000" w:themeColor="text1"/>
                <w:szCs w:val="21"/>
                <w14:textFill>
                  <w14:solidFill>
                    <w14:schemeClr w14:val="tx1"/>
                  </w14:solidFill>
                </w14:textFill>
              </w:rPr>
              <w:t>支持APP列表预警功能，可对手机中安装或卸载的异常APP进行预警并展示，支持APP异常自定义名单，包括涉境外 涉翻墙，涉黄等至少</w:t>
            </w:r>
            <w:r>
              <w:rPr>
                <w:rFonts w:hint="eastAsia" w:ascii="宋体" w:hAnsi="宋体" w:cs="宋体" w:eastAsiaTheme="minorEastAsia"/>
                <w:color w:val="000000" w:themeColor="text1"/>
                <w:szCs w:val="21"/>
                <w:lang w:val="en-US"/>
                <w14:textFill>
                  <w14:solidFill>
                    <w14:schemeClr w14:val="tx1"/>
                  </w14:solidFill>
                </w14:textFill>
              </w:rPr>
              <w:t>3</w:t>
            </w:r>
            <w:r>
              <w:rPr>
                <w:rFonts w:hint="eastAsia" w:ascii="宋体" w:hAnsi="宋体" w:cs="宋体" w:eastAsiaTheme="minorEastAsia"/>
                <w:color w:val="000000" w:themeColor="text1"/>
                <w:szCs w:val="21"/>
                <w14:textFill>
                  <w14:solidFill>
                    <w14:schemeClr w14:val="tx1"/>
                  </w14:solidFill>
                </w14:textFill>
              </w:rPr>
              <w:t>种类型APP名单</w:t>
            </w:r>
          </w:p>
        </w:tc>
        <w:tc>
          <w:tcPr>
            <w:tcW w:w="1078" w:type="pct"/>
            <w:shd w:val="clear" w:color="auto" w:fill="auto"/>
            <w:vAlign w:val="center"/>
          </w:tcPr>
          <w:p>
            <w:pPr>
              <w:widowControl w:val="0"/>
              <w:jc w:val="center"/>
              <w:rPr>
                <w:rFonts w:ascii="宋体" w:hAnsi="宋体" w:cs="宋体" w:eastAsiaTheme="minorEastAsia"/>
                <w:bCs/>
                <w:color w:val="000000" w:themeColor="text1"/>
                <w:szCs w:val="21"/>
                <w:lang w:val="en-US"/>
                <w14:textFill>
                  <w14:solidFill>
                    <w14:schemeClr w14:val="tx1"/>
                  </w14:solidFill>
                </w14:textFill>
              </w:rPr>
            </w:pPr>
            <w:r>
              <w:rPr>
                <w:rFonts w:hint="eastAsia" w:ascii="宋体" w:hAnsi="宋体" w:cs="宋体" w:eastAsiaTheme="minorEastAsia"/>
                <w:bCs/>
                <w:color w:val="000000" w:themeColor="text1"/>
                <w:szCs w:val="21"/>
                <w:lang w:val="en-US"/>
                <w14:textFill>
                  <w14:solidFill>
                    <w14:schemeClr w14:val="tx1"/>
                  </w14:solidFill>
                </w14:textFill>
              </w:rPr>
              <w:t>软件功能截图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 w:type="pct"/>
            <w:shd w:val="clear" w:color="auto" w:fill="auto"/>
            <w:vAlign w:val="center"/>
          </w:tcPr>
          <w:p>
            <w:pPr>
              <w:jc w:val="center"/>
              <w:textAlignment w:val="center"/>
              <w:rPr>
                <w:rFonts w:ascii="宋体" w:hAnsi="宋体" w:cs="宋体" w:eastAsiaTheme="minorEastAsia"/>
                <w:color w:val="000000"/>
                <w:szCs w:val="21"/>
                <w:lang w:val="en-US"/>
              </w:rPr>
            </w:pPr>
            <w:r>
              <w:rPr>
                <w:rFonts w:hint="eastAsia" w:ascii="宋体" w:hAnsi="宋体" w:cs="宋体" w:eastAsiaTheme="minorEastAsia"/>
                <w:color w:val="000000"/>
                <w:kern w:val="0"/>
                <w:szCs w:val="21"/>
                <w:lang w:val="en-US" w:bidi="ar"/>
              </w:rPr>
              <w:t>20</w:t>
            </w:r>
          </w:p>
        </w:tc>
        <w:tc>
          <w:tcPr>
            <w:tcW w:w="321" w:type="pct"/>
            <w:shd w:val="clear" w:color="auto" w:fill="auto"/>
            <w:vAlign w:val="center"/>
          </w:tcPr>
          <w:p>
            <w:pPr>
              <w:jc w:val="center"/>
              <w:rPr>
                <w:rFonts w:ascii="宋体" w:hAnsi="宋体" w:cs="宋体" w:eastAsiaTheme="minorEastAsia"/>
                <w:color w:val="000000" w:themeColor="text1"/>
                <w:szCs w:val="21"/>
                <w14:textFill>
                  <w14:solidFill>
                    <w14:schemeClr w14:val="tx1"/>
                  </w14:solidFill>
                </w14:textFill>
              </w:rPr>
            </w:pPr>
          </w:p>
        </w:tc>
        <w:tc>
          <w:tcPr>
            <w:tcW w:w="778" w:type="pct"/>
            <w:shd w:val="clear" w:color="auto" w:fill="auto"/>
            <w:vAlign w:val="center"/>
          </w:tcPr>
          <w:p>
            <w:pPr>
              <w:adjustRightInd w:val="0"/>
              <w:snapToGrid w:val="0"/>
              <w:rPr>
                <w:rFonts w:ascii="宋体" w:hAnsi="宋体" w:cs="宋体" w:eastAsiaTheme="minorEastAsia"/>
                <w:color w:val="000000" w:themeColor="text1"/>
                <w:szCs w:val="21"/>
                <w:lang w:val="en-US"/>
                <w14:textFill>
                  <w14:solidFill>
                    <w14:schemeClr w14:val="tx1"/>
                  </w14:solidFill>
                </w14:textFill>
              </w:rPr>
            </w:pPr>
            <w:r>
              <w:rPr>
                <w:rFonts w:hint="eastAsia" w:ascii="宋体" w:hAnsi="宋体" w:cs="宋体" w:eastAsiaTheme="minorEastAsia"/>
                <w:color w:val="000000" w:themeColor="text1"/>
                <w:szCs w:val="21"/>
                <w:lang w:val="en-US"/>
                <w14:textFill>
                  <w14:solidFill>
                    <w14:schemeClr w14:val="tx1"/>
                  </w14:solidFill>
                </w14:textFill>
              </w:rPr>
              <w:t>分析能力</w:t>
            </w:r>
          </w:p>
        </w:tc>
        <w:tc>
          <w:tcPr>
            <w:tcW w:w="2483" w:type="pct"/>
            <w:shd w:val="clear" w:color="auto" w:fill="auto"/>
            <w:vAlign w:val="center"/>
          </w:tcPr>
          <w:p>
            <w:pPr>
              <w:adjustRightInd w:val="0"/>
              <w:snapToGrid w:val="0"/>
              <w:rPr>
                <w:rFonts w:ascii="宋体" w:hAnsi="宋体" w:cs="宋体" w:eastAsiaTheme="minorEastAsia"/>
                <w:color w:val="000000" w:themeColor="text1"/>
                <w:szCs w:val="21"/>
                <w:lang w:val="en-US"/>
                <w14:textFill>
                  <w14:solidFill>
                    <w14:schemeClr w14:val="tx1"/>
                  </w14:solidFill>
                </w14:textFill>
              </w:rPr>
            </w:pPr>
            <w:r>
              <w:rPr>
                <w:rFonts w:hint="eastAsia" w:ascii="宋体" w:hAnsi="宋体" w:cs="宋体" w:eastAsiaTheme="minorEastAsia"/>
                <w:color w:val="000000" w:themeColor="text1"/>
                <w:szCs w:val="21"/>
                <w:lang w:val="en-US"/>
                <w14:textFill>
                  <w14:solidFill>
                    <w14:schemeClr w14:val="tx1"/>
                  </w14:solidFill>
                </w14:textFill>
              </w:rPr>
              <w:t>支持对图片进行OCR识别；至少可对分析对象的人物画像、社会关系、时空轨迹等3种关联进行分析</w:t>
            </w:r>
          </w:p>
        </w:tc>
        <w:tc>
          <w:tcPr>
            <w:tcW w:w="1078" w:type="pct"/>
            <w:shd w:val="clear" w:color="auto" w:fill="auto"/>
            <w:vAlign w:val="center"/>
          </w:tcPr>
          <w:p>
            <w:pPr>
              <w:widowControl w:val="0"/>
              <w:jc w:val="center"/>
              <w:rPr>
                <w:rFonts w:ascii="宋体" w:hAnsi="宋体" w:cs="宋体" w:eastAsiaTheme="minorEastAsia"/>
                <w:bCs/>
                <w:color w:val="000000" w:themeColor="text1"/>
                <w:szCs w:val="21"/>
                <w:lang w:val="en-US"/>
                <w14:textFill>
                  <w14:solidFill>
                    <w14:schemeClr w14:val="tx1"/>
                  </w14:solidFill>
                </w14:textFill>
              </w:rPr>
            </w:pPr>
            <w:r>
              <w:rPr>
                <w:rFonts w:hint="eastAsia" w:ascii="宋体" w:hAnsi="宋体" w:cs="宋体" w:eastAsiaTheme="minorEastAsia"/>
                <w:bCs/>
                <w:color w:val="000000" w:themeColor="text1"/>
                <w:szCs w:val="21"/>
                <w:lang w:val="en-US"/>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 w:type="pct"/>
            <w:shd w:val="clear" w:color="auto" w:fill="auto"/>
            <w:vAlign w:val="center"/>
          </w:tcPr>
          <w:p>
            <w:pPr>
              <w:jc w:val="center"/>
              <w:textAlignment w:val="center"/>
              <w:rPr>
                <w:rFonts w:ascii="宋体" w:hAnsi="宋体" w:cs="宋体" w:eastAsiaTheme="minorEastAsia"/>
                <w:color w:val="000000"/>
                <w:szCs w:val="21"/>
                <w:lang w:val="en-US"/>
              </w:rPr>
            </w:pPr>
            <w:r>
              <w:rPr>
                <w:rFonts w:hint="eastAsia" w:ascii="宋体" w:hAnsi="宋体" w:cs="宋体" w:eastAsiaTheme="minorEastAsia"/>
                <w:color w:val="000000"/>
                <w:kern w:val="0"/>
                <w:szCs w:val="21"/>
                <w:lang w:val="en-US" w:bidi="ar"/>
              </w:rPr>
              <w:t>21</w:t>
            </w:r>
          </w:p>
        </w:tc>
        <w:tc>
          <w:tcPr>
            <w:tcW w:w="321" w:type="pct"/>
            <w:shd w:val="clear" w:color="auto" w:fill="auto"/>
            <w:vAlign w:val="center"/>
          </w:tcPr>
          <w:p>
            <w:pPr>
              <w:jc w:val="center"/>
              <w:rPr>
                <w:rFonts w:ascii="宋体" w:hAnsi="宋体" w:cs="宋体" w:eastAsiaTheme="minorEastAsia"/>
                <w:color w:val="000000" w:themeColor="text1"/>
                <w:szCs w:val="21"/>
                <w14:textFill>
                  <w14:solidFill>
                    <w14:schemeClr w14:val="tx1"/>
                  </w14:solidFill>
                </w14:textFill>
              </w:rPr>
            </w:pPr>
          </w:p>
        </w:tc>
        <w:tc>
          <w:tcPr>
            <w:tcW w:w="778" w:type="pct"/>
            <w:vMerge w:val="restart"/>
            <w:shd w:val="clear" w:color="auto" w:fill="auto"/>
            <w:vAlign w:val="center"/>
          </w:tcPr>
          <w:p>
            <w:pPr>
              <w:adjustRightInd w:val="0"/>
              <w:snapToGrid w:val="0"/>
              <w:jc w:val="center"/>
              <w:rPr>
                <w:rFonts w:eastAsiaTheme="minorEastAsia"/>
                <w:color w:val="000000" w:themeColor="text1"/>
                <w:szCs w:val="21"/>
                <w14:textFill>
                  <w14:solidFill>
                    <w14:schemeClr w14:val="tx1"/>
                  </w14:solidFill>
                </w14:textFill>
              </w:rPr>
            </w:pPr>
            <w:r>
              <w:rPr>
                <w:rFonts w:hint="eastAsia" w:eastAsiaTheme="minorEastAsia"/>
                <w:color w:val="000000" w:themeColor="text1"/>
                <w:szCs w:val="21"/>
                <w14:textFill>
                  <w14:solidFill>
                    <w14:schemeClr w14:val="tx1"/>
                  </w14:solidFill>
                </w14:textFill>
              </w:rPr>
              <w:t>手机数据提取和恢复能力</w:t>
            </w:r>
          </w:p>
          <w:p>
            <w:pPr>
              <w:adjustRightInd w:val="0"/>
              <w:snapToGrid w:val="0"/>
              <w:rPr>
                <w:rFonts w:ascii="宋体" w:hAnsi="宋体" w:cs="宋体" w:eastAsiaTheme="minorEastAsia"/>
                <w:color w:val="000000" w:themeColor="text1"/>
                <w:szCs w:val="21"/>
                <w:lang w:val="en-US"/>
                <w14:textFill>
                  <w14:solidFill>
                    <w14:schemeClr w14:val="tx1"/>
                  </w14:solidFill>
                </w14:textFill>
              </w:rPr>
            </w:pPr>
          </w:p>
        </w:tc>
        <w:tc>
          <w:tcPr>
            <w:tcW w:w="2483" w:type="pct"/>
            <w:shd w:val="clear" w:color="auto" w:fill="auto"/>
            <w:vAlign w:val="center"/>
          </w:tcPr>
          <w:p>
            <w:pPr>
              <w:adjustRightInd w:val="0"/>
              <w:snapToGrid w:val="0"/>
              <w:rPr>
                <w:rFonts w:eastAsiaTheme="minorEastAsia"/>
                <w:color w:val="000000" w:themeColor="text1"/>
                <w:szCs w:val="21"/>
                <w:lang w:val="en-US"/>
                <w14:textFill>
                  <w14:solidFill>
                    <w14:schemeClr w14:val="tx1"/>
                  </w14:solidFill>
                </w14:textFill>
              </w:rPr>
            </w:pPr>
            <w:r>
              <w:rPr>
                <w:rFonts w:hint="eastAsia" w:eastAsiaTheme="minorEastAsia"/>
                <w:color w:val="000000" w:themeColor="text1"/>
                <w:szCs w:val="21"/>
                <w14:textFill>
                  <w14:solidFill>
                    <w14:schemeClr w14:val="tx1"/>
                  </w14:solidFill>
                </w14:textFill>
              </w:rPr>
              <w:t>支持获取手机IMEI、通讯簿、短信、通话记录、位置信息、备忘录、Wi-Fi、多媒体文件（图片/视频/音频）</w:t>
            </w:r>
            <w:r>
              <w:rPr>
                <w:rFonts w:hint="eastAsia" w:eastAsiaTheme="minorEastAsia"/>
                <w:color w:val="000000" w:themeColor="text1"/>
                <w:szCs w:val="21"/>
                <w:lang w:val="en-US"/>
                <w14:textFill>
                  <w14:solidFill>
                    <w14:schemeClr w14:val="tx1"/>
                  </w14:solidFill>
                </w14:textFill>
              </w:rPr>
              <w:t>等至少8种信息</w:t>
            </w:r>
            <w:r>
              <w:rPr>
                <w:rFonts w:hint="eastAsia" w:eastAsiaTheme="minorEastAsia"/>
                <w:color w:val="000000" w:themeColor="text1"/>
                <w:szCs w:val="21"/>
                <w14:textFill>
                  <w14:solidFill>
                    <w14:schemeClr w14:val="tx1"/>
                  </w14:solidFill>
                </w14:textFill>
              </w:rPr>
              <w:t>。支持提取SIM卡上的通讯录、短信、通话记录</w:t>
            </w:r>
            <w:r>
              <w:rPr>
                <w:rFonts w:hint="eastAsia" w:eastAsiaTheme="minorEastAsia"/>
                <w:color w:val="000000" w:themeColor="text1"/>
                <w:szCs w:val="21"/>
                <w:lang w:val="en-US"/>
                <w14:textFill>
                  <w14:solidFill>
                    <w14:schemeClr w14:val="tx1"/>
                  </w14:solidFill>
                </w14:textFill>
              </w:rPr>
              <w:t>等至少3种信息</w:t>
            </w:r>
          </w:p>
        </w:tc>
        <w:tc>
          <w:tcPr>
            <w:tcW w:w="1078" w:type="pct"/>
            <w:shd w:val="clear" w:color="auto" w:fill="auto"/>
            <w:vAlign w:val="center"/>
          </w:tcPr>
          <w:p>
            <w:pPr>
              <w:jc w:val="center"/>
              <w:rPr>
                <w:rFonts w:eastAsiaTheme="minorEastAsia"/>
                <w:bCs/>
                <w:color w:val="000000" w:themeColor="text1"/>
                <w:szCs w:val="21"/>
                <w:lang w:val="en-US"/>
                <w14:textFill>
                  <w14:solidFill>
                    <w14:schemeClr w14:val="tx1"/>
                  </w14:solidFill>
                </w14:textFill>
              </w:rPr>
            </w:pPr>
            <w:r>
              <w:rPr>
                <w:rFonts w:hint="eastAsia" w:eastAsiaTheme="minorEastAsia"/>
                <w:bCs/>
                <w:color w:val="000000" w:themeColor="text1"/>
                <w:szCs w:val="21"/>
                <w:lang w:val="en-US"/>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 w:type="pct"/>
            <w:shd w:val="clear" w:color="auto" w:fill="auto"/>
            <w:vAlign w:val="center"/>
          </w:tcPr>
          <w:p>
            <w:pPr>
              <w:jc w:val="center"/>
              <w:textAlignment w:val="center"/>
              <w:rPr>
                <w:rFonts w:ascii="宋体" w:hAnsi="宋体" w:cs="宋体" w:eastAsiaTheme="minorEastAsia"/>
                <w:color w:val="000000"/>
                <w:szCs w:val="21"/>
                <w:lang w:val="en-US"/>
              </w:rPr>
            </w:pPr>
            <w:r>
              <w:rPr>
                <w:rFonts w:hint="eastAsia" w:ascii="宋体" w:hAnsi="宋体" w:cs="宋体" w:eastAsiaTheme="minorEastAsia"/>
                <w:color w:val="000000"/>
                <w:kern w:val="0"/>
                <w:szCs w:val="21"/>
                <w:lang w:val="en-US" w:bidi="ar"/>
              </w:rPr>
              <w:t>22</w:t>
            </w:r>
          </w:p>
        </w:tc>
        <w:tc>
          <w:tcPr>
            <w:tcW w:w="321" w:type="pct"/>
            <w:vAlign w:val="center"/>
          </w:tcPr>
          <w:p>
            <w:pPr>
              <w:jc w:val="center"/>
              <w:rPr>
                <w:rFonts w:ascii="宋体" w:hAnsi="宋体" w:cs="宋体" w:eastAsiaTheme="minorEastAsia"/>
                <w:color w:val="000000" w:themeColor="text1"/>
                <w:szCs w:val="21"/>
                <w14:textFill>
                  <w14:solidFill>
                    <w14:schemeClr w14:val="tx1"/>
                  </w14:solidFill>
                </w14:textFill>
              </w:rPr>
            </w:pPr>
            <w:r>
              <w:rPr>
                <w:rFonts w:hint="eastAsia" w:ascii="宋体" w:hAnsi="宋体" w:cs="宋体" w:eastAsiaTheme="minorEastAsia"/>
                <w:color w:val="000000" w:themeColor="text1"/>
                <w:szCs w:val="21"/>
                <w14:textFill>
                  <w14:solidFill>
                    <w14:schemeClr w14:val="tx1"/>
                  </w14:solidFill>
                </w14:textFill>
              </w:rPr>
              <w:t>▲</w:t>
            </w:r>
          </w:p>
        </w:tc>
        <w:tc>
          <w:tcPr>
            <w:tcW w:w="778" w:type="pct"/>
            <w:vMerge w:val="continue"/>
            <w:vAlign w:val="center"/>
          </w:tcPr>
          <w:p>
            <w:pPr>
              <w:adjustRightInd w:val="0"/>
              <w:snapToGrid w:val="0"/>
              <w:rPr>
                <w:rFonts w:ascii="宋体" w:hAnsi="宋体" w:cs="宋体" w:eastAsiaTheme="minorEastAsia"/>
                <w:color w:val="000000" w:themeColor="text1"/>
                <w:szCs w:val="21"/>
                <w14:textFill>
                  <w14:solidFill>
                    <w14:schemeClr w14:val="tx1"/>
                  </w14:solidFill>
                </w14:textFill>
              </w:rPr>
            </w:pPr>
          </w:p>
        </w:tc>
        <w:tc>
          <w:tcPr>
            <w:tcW w:w="2483" w:type="pct"/>
            <w:vAlign w:val="center"/>
          </w:tcPr>
          <w:p>
            <w:pPr>
              <w:adjustRightInd w:val="0"/>
              <w:snapToGrid w:val="0"/>
              <w:rPr>
                <w:rFonts w:ascii="宋体" w:hAnsi="宋体" w:cs="宋体" w:eastAsiaTheme="minorEastAsia"/>
                <w:color w:val="000000" w:themeColor="text1"/>
                <w:szCs w:val="21"/>
                <w14:textFill>
                  <w14:solidFill>
                    <w14:schemeClr w14:val="tx1"/>
                  </w14:solidFill>
                </w14:textFill>
              </w:rPr>
            </w:pPr>
            <w:r>
              <w:rPr>
                <w:rFonts w:hint="eastAsia" w:ascii="宋体" w:hAnsi="宋体" w:cs="宋体" w:eastAsiaTheme="minorEastAsia"/>
                <w:color w:val="000000" w:themeColor="text1"/>
                <w:szCs w:val="21"/>
                <w:lang w:val="en-US"/>
                <w14:textFill>
                  <w14:solidFill>
                    <w14:schemeClr w14:val="tx1"/>
                  </w14:solidFill>
                </w14:textFill>
              </w:rPr>
              <w:t>至少</w:t>
            </w:r>
            <w:r>
              <w:rPr>
                <w:rFonts w:hint="eastAsia" w:ascii="宋体" w:hAnsi="宋体" w:cs="宋体" w:eastAsiaTheme="minorEastAsia"/>
                <w:color w:val="000000" w:themeColor="text1"/>
                <w:szCs w:val="21"/>
                <w14:textFill>
                  <w14:solidFill>
                    <w14:schemeClr w14:val="tx1"/>
                  </w14:solidFill>
                </w14:textFill>
              </w:rPr>
              <w:t>支持哈希值计算工具、fastboot工具、ADB调试工具、16进制查看器、sqlite阅读器、plist阅读器、支持手机投屏工具、支持一键降级自识别工具、支持日志实时展示、支持WiFi密码查看、PC逆向小助手、HTTP 分析、APK 文件静态分析</w:t>
            </w:r>
            <w:r>
              <w:rPr>
                <w:rFonts w:hint="eastAsia" w:ascii="宋体" w:hAnsi="宋体" w:cs="宋体" w:eastAsiaTheme="minorEastAsia"/>
                <w:color w:val="000000" w:themeColor="text1"/>
                <w:szCs w:val="21"/>
                <w:lang w:val="en-US"/>
                <w14:textFill>
                  <w14:solidFill>
                    <w14:schemeClr w14:val="tx1"/>
                  </w14:solidFill>
                </w14:textFill>
              </w:rPr>
              <w:t>等13种工具</w:t>
            </w:r>
          </w:p>
        </w:tc>
        <w:tc>
          <w:tcPr>
            <w:tcW w:w="1078" w:type="pct"/>
            <w:vAlign w:val="center"/>
          </w:tcPr>
          <w:p>
            <w:pPr>
              <w:widowControl w:val="0"/>
              <w:jc w:val="center"/>
              <w:rPr>
                <w:rFonts w:ascii="宋体" w:hAnsi="宋体" w:cs="宋体" w:eastAsiaTheme="minorEastAsia"/>
                <w:bCs/>
                <w:color w:val="000000" w:themeColor="text1"/>
                <w:szCs w:val="21"/>
                <w:lang w:val="en-US"/>
                <w14:textFill>
                  <w14:solidFill>
                    <w14:schemeClr w14:val="tx1"/>
                  </w14:solidFill>
                </w14:textFill>
              </w:rPr>
            </w:pPr>
            <w:r>
              <w:rPr>
                <w:rFonts w:hint="eastAsia" w:ascii="宋体" w:hAnsi="宋体" w:cs="宋体" w:eastAsiaTheme="minorEastAsia"/>
                <w:bCs/>
                <w:color w:val="000000" w:themeColor="text1"/>
                <w:szCs w:val="21"/>
                <w:lang w:val="en-US"/>
                <w14:textFill>
                  <w14:solidFill>
                    <w14:schemeClr w14:val="tx1"/>
                  </w14:solidFill>
                </w14:textFill>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 w:type="pct"/>
            <w:shd w:val="clear" w:color="auto" w:fill="auto"/>
            <w:vAlign w:val="center"/>
          </w:tcPr>
          <w:p>
            <w:pPr>
              <w:jc w:val="center"/>
              <w:textAlignment w:val="center"/>
              <w:rPr>
                <w:rFonts w:ascii="宋体" w:hAnsi="宋体" w:cs="宋体" w:eastAsiaTheme="minorEastAsia"/>
                <w:color w:val="000000"/>
                <w:szCs w:val="21"/>
                <w:lang w:val="en-US"/>
              </w:rPr>
            </w:pPr>
            <w:r>
              <w:rPr>
                <w:rFonts w:hint="eastAsia" w:ascii="宋体" w:hAnsi="宋体" w:cs="宋体" w:eastAsiaTheme="minorEastAsia"/>
                <w:color w:val="000000"/>
                <w:kern w:val="0"/>
                <w:szCs w:val="21"/>
                <w:lang w:val="en-US" w:bidi="ar"/>
              </w:rPr>
              <w:t>23</w:t>
            </w:r>
          </w:p>
        </w:tc>
        <w:tc>
          <w:tcPr>
            <w:tcW w:w="321" w:type="pct"/>
            <w:vAlign w:val="center"/>
          </w:tcPr>
          <w:p>
            <w:pPr>
              <w:jc w:val="center"/>
              <w:rPr>
                <w:rFonts w:ascii="宋体" w:hAnsi="宋体" w:cs="宋体" w:eastAsiaTheme="minorEastAsia"/>
                <w:color w:val="000000" w:themeColor="text1"/>
                <w:szCs w:val="21"/>
                <w14:textFill>
                  <w14:solidFill>
                    <w14:schemeClr w14:val="tx1"/>
                  </w14:solidFill>
                </w14:textFill>
              </w:rPr>
            </w:pPr>
            <w:r>
              <w:rPr>
                <w:rFonts w:hint="eastAsia" w:ascii="宋体" w:hAnsi="宋体" w:cs="宋体" w:eastAsiaTheme="minorEastAsia"/>
                <w:color w:val="000000" w:themeColor="text1"/>
                <w:kern w:val="0"/>
                <w:szCs w:val="21"/>
                <w14:textFill>
                  <w14:solidFill>
                    <w14:schemeClr w14:val="tx1"/>
                  </w14:solidFill>
                </w14:textFill>
              </w:rPr>
              <w:t>★</w:t>
            </w:r>
          </w:p>
        </w:tc>
        <w:tc>
          <w:tcPr>
            <w:tcW w:w="778" w:type="pct"/>
            <w:vMerge w:val="restart"/>
            <w:vAlign w:val="center"/>
          </w:tcPr>
          <w:p>
            <w:pPr>
              <w:adjustRightInd w:val="0"/>
              <w:snapToGrid w:val="0"/>
              <w:rPr>
                <w:rFonts w:eastAsiaTheme="minorEastAsia"/>
                <w:color w:val="000000" w:themeColor="text1"/>
                <w:szCs w:val="21"/>
                <w14:textFill>
                  <w14:solidFill>
                    <w14:schemeClr w14:val="tx1"/>
                  </w14:solidFill>
                </w14:textFill>
              </w:rPr>
            </w:pPr>
            <w:r>
              <w:rPr>
                <w:rFonts w:hint="eastAsia" w:ascii="宋体" w:hAnsi="宋体" w:cs="宋体" w:eastAsiaTheme="minorEastAsia"/>
                <w:color w:val="000000" w:themeColor="text1"/>
                <w:szCs w:val="21"/>
                <w14:textFill>
                  <w14:solidFill>
                    <w14:schemeClr w14:val="tx1"/>
                  </w14:solidFill>
                </w14:textFill>
              </w:rPr>
              <w:t>物联网设备取证能力</w:t>
            </w:r>
          </w:p>
        </w:tc>
        <w:tc>
          <w:tcPr>
            <w:tcW w:w="2483" w:type="pct"/>
            <w:vAlign w:val="center"/>
          </w:tcPr>
          <w:p>
            <w:pPr>
              <w:adjustRightInd w:val="0"/>
              <w:snapToGrid w:val="0"/>
              <w:rPr>
                <w:rFonts w:ascii="宋体" w:hAnsi="宋体" w:cs="宋体" w:eastAsiaTheme="minorEastAsia"/>
                <w:color w:val="000000" w:themeColor="text1"/>
                <w:szCs w:val="21"/>
                <w14:textFill>
                  <w14:solidFill>
                    <w14:schemeClr w14:val="tx1"/>
                  </w14:solidFill>
                </w14:textFill>
              </w:rPr>
            </w:pPr>
            <w:r>
              <w:rPr>
                <w:rFonts w:hint="eastAsia" w:ascii="宋体" w:hAnsi="宋体" w:cs="宋体" w:eastAsiaTheme="minorEastAsia"/>
                <w:color w:val="000000" w:themeColor="text1"/>
                <w:szCs w:val="21"/>
                <w14:textFill>
                  <w14:solidFill>
                    <w14:schemeClr w14:val="tx1"/>
                  </w14:solidFill>
                </w14:textFill>
              </w:rPr>
              <w:t>支持通过直连提取方式获取智能手表基本信息、通讯录、通话记录等</w:t>
            </w:r>
            <w:r>
              <w:rPr>
                <w:rFonts w:hint="eastAsia" w:ascii="宋体" w:hAnsi="宋体" w:cs="宋体" w:eastAsiaTheme="minorEastAsia"/>
                <w:color w:val="000000" w:themeColor="text1"/>
                <w:szCs w:val="21"/>
                <w:lang w:val="en-US"/>
                <w14:textFill>
                  <w14:solidFill>
                    <w14:schemeClr w14:val="tx1"/>
                  </w14:solidFill>
                </w14:textFill>
              </w:rPr>
              <w:t>至少3类</w:t>
            </w:r>
            <w:r>
              <w:rPr>
                <w:rFonts w:hint="eastAsia" w:ascii="宋体" w:hAnsi="宋体" w:cs="宋体" w:eastAsiaTheme="minorEastAsia"/>
                <w:color w:val="000000" w:themeColor="text1"/>
                <w:szCs w:val="21"/>
                <w14:textFill>
                  <w14:solidFill>
                    <w14:schemeClr w14:val="tx1"/>
                  </w14:solidFill>
                </w14:textFill>
              </w:rPr>
              <w:t>数据</w:t>
            </w:r>
          </w:p>
        </w:tc>
        <w:tc>
          <w:tcPr>
            <w:tcW w:w="1078" w:type="pct"/>
            <w:vAlign w:val="center"/>
          </w:tcPr>
          <w:p>
            <w:pPr>
              <w:widowControl w:val="0"/>
              <w:jc w:val="center"/>
              <w:rPr>
                <w:rFonts w:ascii="宋体" w:hAnsi="宋体" w:cs="宋体" w:eastAsiaTheme="minorEastAsia"/>
                <w:bCs/>
                <w:color w:val="000000" w:themeColor="text1"/>
                <w:szCs w:val="21"/>
                <w:lang w:val="en-US"/>
                <w14:textFill>
                  <w14:solidFill>
                    <w14:schemeClr w14:val="tx1"/>
                  </w14:solidFill>
                </w14:textFill>
              </w:rPr>
            </w:pPr>
            <w:r>
              <w:rPr>
                <w:rFonts w:hint="eastAsia" w:ascii="宋体" w:hAnsi="宋体" w:cs="宋体" w:eastAsiaTheme="minorEastAsia"/>
                <w:bCs/>
                <w:color w:val="000000" w:themeColor="text1"/>
                <w:szCs w:val="21"/>
                <w:lang w:val="en-US"/>
                <w14:textFill>
                  <w14:solidFill>
                    <w14:schemeClr w14:val="tx1"/>
                  </w14:solidFill>
                </w14:textFill>
              </w:rPr>
              <w:t>软件功能截图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 w:type="pct"/>
            <w:shd w:val="clear" w:color="auto" w:fill="auto"/>
            <w:vAlign w:val="center"/>
          </w:tcPr>
          <w:p>
            <w:pPr>
              <w:jc w:val="center"/>
              <w:textAlignment w:val="center"/>
              <w:rPr>
                <w:rFonts w:ascii="宋体" w:hAnsi="宋体" w:cs="宋体" w:eastAsiaTheme="minorEastAsia"/>
                <w:color w:val="000000"/>
                <w:szCs w:val="21"/>
                <w:lang w:val="en-US"/>
              </w:rPr>
            </w:pPr>
            <w:r>
              <w:rPr>
                <w:rFonts w:hint="eastAsia" w:ascii="宋体" w:hAnsi="宋体" w:cs="宋体" w:eastAsiaTheme="minorEastAsia"/>
                <w:color w:val="000000"/>
                <w:kern w:val="0"/>
                <w:szCs w:val="21"/>
                <w:lang w:val="en-US" w:bidi="ar"/>
              </w:rPr>
              <w:t>24</w:t>
            </w:r>
          </w:p>
        </w:tc>
        <w:tc>
          <w:tcPr>
            <w:tcW w:w="321" w:type="pct"/>
            <w:vAlign w:val="center"/>
          </w:tcPr>
          <w:p>
            <w:pPr>
              <w:jc w:val="center"/>
              <w:rPr>
                <w:rFonts w:ascii="宋体" w:hAnsi="宋体" w:cs="宋体" w:eastAsiaTheme="minorEastAsia"/>
                <w:color w:val="000000" w:themeColor="text1"/>
                <w:kern w:val="0"/>
                <w:szCs w:val="21"/>
                <w14:textFill>
                  <w14:solidFill>
                    <w14:schemeClr w14:val="tx1"/>
                  </w14:solidFill>
                </w14:textFill>
              </w:rPr>
            </w:pPr>
            <w:r>
              <w:rPr>
                <w:rFonts w:hint="eastAsia" w:ascii="宋体" w:hAnsi="宋体" w:cs="宋体" w:eastAsiaTheme="minorEastAsia"/>
                <w:color w:val="000000" w:themeColor="text1"/>
                <w:kern w:val="0"/>
                <w:szCs w:val="21"/>
                <w14:textFill>
                  <w14:solidFill>
                    <w14:schemeClr w14:val="tx1"/>
                  </w14:solidFill>
                </w14:textFill>
              </w:rPr>
              <w:t>★</w:t>
            </w:r>
          </w:p>
        </w:tc>
        <w:tc>
          <w:tcPr>
            <w:tcW w:w="778" w:type="pct"/>
            <w:vMerge w:val="continue"/>
            <w:vAlign w:val="center"/>
          </w:tcPr>
          <w:p>
            <w:pPr>
              <w:adjustRightInd w:val="0"/>
              <w:snapToGrid w:val="0"/>
              <w:rPr>
                <w:rFonts w:ascii="宋体" w:hAnsi="宋体" w:cs="宋体" w:eastAsiaTheme="minorEastAsia"/>
                <w:color w:val="000000" w:themeColor="text1"/>
                <w:szCs w:val="21"/>
                <w14:textFill>
                  <w14:solidFill>
                    <w14:schemeClr w14:val="tx1"/>
                  </w14:solidFill>
                </w14:textFill>
              </w:rPr>
            </w:pPr>
          </w:p>
        </w:tc>
        <w:tc>
          <w:tcPr>
            <w:tcW w:w="2483" w:type="pct"/>
            <w:vAlign w:val="center"/>
          </w:tcPr>
          <w:p>
            <w:pPr>
              <w:adjustRightInd w:val="0"/>
              <w:snapToGrid w:val="0"/>
              <w:rPr>
                <w:rFonts w:ascii="宋体" w:hAnsi="宋体" w:cs="宋体" w:eastAsiaTheme="minorEastAsia"/>
                <w:color w:val="000000" w:themeColor="text1"/>
                <w:szCs w:val="21"/>
                <w:lang w:val="en-US"/>
                <w14:textFill>
                  <w14:solidFill>
                    <w14:schemeClr w14:val="tx1"/>
                  </w14:solidFill>
                </w14:textFill>
              </w:rPr>
            </w:pPr>
            <w:r>
              <w:rPr>
                <w:rFonts w:hint="eastAsia" w:ascii="宋体" w:hAnsi="宋体" w:cs="宋体" w:eastAsiaTheme="minorEastAsia"/>
                <w:color w:val="000000" w:themeColor="text1"/>
                <w:szCs w:val="21"/>
                <w14:textFill>
                  <w14:solidFill>
                    <w14:schemeClr w14:val="tx1"/>
                  </w14:solidFill>
                </w14:textFill>
              </w:rPr>
              <w:t>支持开放的物联网管理API接口，自动监控手机取证设备提取进度，</w:t>
            </w:r>
            <w:r>
              <w:rPr>
                <w:rFonts w:hint="eastAsia" w:ascii="宋体" w:hAnsi="宋体" w:cs="宋体" w:eastAsiaTheme="minorEastAsia"/>
                <w:color w:val="000000" w:themeColor="text1"/>
                <w:szCs w:val="21"/>
                <w:lang w:val="en-US"/>
                <w14:textFill>
                  <w14:solidFill>
                    <w14:schemeClr w14:val="tx1"/>
                  </w14:solidFill>
                </w14:textFill>
              </w:rPr>
              <w:t>提</w:t>
            </w:r>
            <w:r>
              <w:rPr>
                <w:rFonts w:hint="eastAsia" w:ascii="宋体" w:hAnsi="宋体" w:cs="宋体" w:eastAsiaTheme="minorEastAsia"/>
                <w:color w:val="000000" w:themeColor="text1"/>
                <w:szCs w:val="21"/>
                <w14:textFill>
                  <w14:solidFill>
                    <w14:schemeClr w14:val="tx1"/>
                  </w14:solidFill>
                </w14:textFill>
              </w:rPr>
              <w:t>供实验室管理系统采集设备工作状态和工作量</w:t>
            </w:r>
            <w:r>
              <w:rPr>
                <w:rFonts w:hint="eastAsia" w:ascii="宋体" w:hAnsi="宋体" w:cs="宋体" w:eastAsiaTheme="minorEastAsia"/>
                <w:color w:val="000000" w:themeColor="text1"/>
                <w:szCs w:val="21"/>
                <w:lang w:val="en-US"/>
                <w14:textFill>
                  <w14:solidFill>
                    <w14:schemeClr w14:val="tx1"/>
                  </w14:solidFill>
                </w14:textFill>
              </w:rPr>
              <w:t>等至少2种信息</w:t>
            </w:r>
          </w:p>
        </w:tc>
        <w:tc>
          <w:tcPr>
            <w:tcW w:w="1078" w:type="pct"/>
            <w:vAlign w:val="center"/>
          </w:tcPr>
          <w:p>
            <w:pPr>
              <w:widowControl w:val="0"/>
              <w:jc w:val="center"/>
              <w:rPr>
                <w:rFonts w:ascii="宋体" w:hAnsi="宋体" w:cs="宋体" w:eastAsiaTheme="minorEastAsia"/>
                <w:bCs/>
                <w:color w:val="000000" w:themeColor="text1"/>
                <w:szCs w:val="21"/>
                <w:lang w:val="en-US"/>
                <w14:textFill>
                  <w14:solidFill>
                    <w14:schemeClr w14:val="tx1"/>
                  </w14:solidFill>
                </w14:textFill>
              </w:rPr>
            </w:pPr>
            <w:r>
              <w:rPr>
                <w:rFonts w:hint="eastAsia" w:ascii="宋体" w:hAnsi="宋体" w:cs="宋体" w:eastAsiaTheme="minorEastAsia"/>
                <w:bCs/>
                <w:color w:val="000000" w:themeColor="text1"/>
                <w:szCs w:val="21"/>
                <w:lang w:val="en-US"/>
                <w14:textFill>
                  <w14:solidFill>
                    <w14:schemeClr w14:val="tx1"/>
                  </w14:solidFill>
                </w14:textFill>
              </w:rPr>
              <w:t>软件功能截图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 w:type="pct"/>
            <w:shd w:val="clear" w:color="auto" w:fill="auto"/>
            <w:vAlign w:val="center"/>
          </w:tcPr>
          <w:p>
            <w:pPr>
              <w:jc w:val="center"/>
              <w:textAlignment w:val="center"/>
              <w:rPr>
                <w:rFonts w:ascii="宋体" w:hAnsi="宋体" w:cs="宋体" w:eastAsiaTheme="minorEastAsia"/>
                <w:color w:val="000000"/>
                <w:szCs w:val="21"/>
                <w:lang w:val="en-US"/>
              </w:rPr>
            </w:pPr>
            <w:r>
              <w:rPr>
                <w:rFonts w:hint="eastAsia" w:ascii="宋体" w:hAnsi="宋体" w:cs="宋体" w:eastAsiaTheme="minorEastAsia"/>
                <w:color w:val="000000"/>
                <w:kern w:val="0"/>
                <w:szCs w:val="21"/>
                <w:lang w:val="en-US" w:bidi="ar"/>
              </w:rPr>
              <w:t>25</w:t>
            </w:r>
          </w:p>
        </w:tc>
        <w:tc>
          <w:tcPr>
            <w:tcW w:w="321" w:type="pct"/>
            <w:vAlign w:val="center"/>
          </w:tcPr>
          <w:p>
            <w:pPr>
              <w:jc w:val="center"/>
              <w:rPr>
                <w:rFonts w:ascii="宋体" w:hAnsi="宋体" w:cs="宋体" w:eastAsiaTheme="minorEastAsia"/>
                <w:color w:val="000000" w:themeColor="text1"/>
                <w:kern w:val="0"/>
                <w:szCs w:val="21"/>
                <w14:textFill>
                  <w14:solidFill>
                    <w14:schemeClr w14:val="tx1"/>
                  </w14:solidFill>
                </w14:textFill>
              </w:rPr>
            </w:pPr>
            <w:r>
              <w:rPr>
                <w:rFonts w:hint="eastAsia" w:ascii="宋体" w:hAnsi="宋体" w:cs="宋体" w:eastAsiaTheme="minorEastAsia"/>
                <w:color w:val="000000" w:themeColor="text1"/>
                <w:kern w:val="0"/>
                <w:szCs w:val="21"/>
                <w14:textFill>
                  <w14:solidFill>
                    <w14:schemeClr w14:val="tx1"/>
                  </w14:solidFill>
                </w14:textFill>
              </w:rPr>
              <w:t>★</w:t>
            </w:r>
          </w:p>
        </w:tc>
        <w:tc>
          <w:tcPr>
            <w:tcW w:w="778" w:type="pct"/>
            <w:vMerge w:val="continue"/>
            <w:vAlign w:val="center"/>
          </w:tcPr>
          <w:p>
            <w:pPr>
              <w:adjustRightInd w:val="0"/>
              <w:snapToGrid w:val="0"/>
              <w:jc w:val="center"/>
              <w:rPr>
                <w:rFonts w:eastAsiaTheme="minorEastAsia"/>
                <w:color w:val="000000" w:themeColor="text1"/>
                <w:szCs w:val="21"/>
                <w14:textFill>
                  <w14:solidFill>
                    <w14:schemeClr w14:val="tx1"/>
                  </w14:solidFill>
                </w14:textFill>
              </w:rPr>
            </w:pPr>
          </w:p>
        </w:tc>
        <w:tc>
          <w:tcPr>
            <w:tcW w:w="2483" w:type="pct"/>
            <w:vAlign w:val="center"/>
          </w:tcPr>
          <w:p>
            <w:pPr>
              <w:adjustRightInd w:val="0"/>
              <w:snapToGrid w:val="0"/>
              <w:rPr>
                <w:rFonts w:eastAsiaTheme="minorEastAsia"/>
                <w:color w:val="000000" w:themeColor="text1"/>
                <w:szCs w:val="21"/>
                <w14:textFill>
                  <w14:solidFill>
                    <w14:schemeClr w14:val="tx1"/>
                  </w14:solidFill>
                </w14:textFill>
              </w:rPr>
            </w:pPr>
            <w:r>
              <w:rPr>
                <w:rFonts w:hint="eastAsia" w:eastAsiaTheme="minorEastAsia"/>
                <w:color w:val="000000" w:themeColor="text1"/>
                <w:szCs w:val="21"/>
                <w14:textFill>
                  <w14:solidFill>
                    <w14:schemeClr w14:val="tx1"/>
                  </w14:solidFill>
                </w14:textFill>
              </w:rPr>
              <w:t>支持通过外置读写器，读取智能手环的设备序号、mac地址、电量信息等</w:t>
            </w:r>
            <w:r>
              <w:rPr>
                <w:rFonts w:hint="eastAsia" w:eastAsiaTheme="minorEastAsia"/>
                <w:color w:val="000000" w:themeColor="text1"/>
                <w:szCs w:val="21"/>
                <w:lang w:val="en-US"/>
                <w14:textFill>
                  <w14:solidFill>
                    <w14:schemeClr w14:val="tx1"/>
                  </w14:solidFill>
                </w14:textFill>
              </w:rPr>
              <w:t>至少3种信息</w:t>
            </w:r>
          </w:p>
        </w:tc>
        <w:tc>
          <w:tcPr>
            <w:tcW w:w="1078" w:type="pct"/>
            <w:vAlign w:val="center"/>
          </w:tcPr>
          <w:p>
            <w:pPr>
              <w:widowControl w:val="0"/>
              <w:jc w:val="center"/>
              <w:rPr>
                <w:rFonts w:ascii="宋体" w:hAnsi="宋体" w:cs="宋体" w:eastAsiaTheme="minorEastAsia"/>
                <w:bCs/>
                <w:color w:val="000000" w:themeColor="text1"/>
                <w:szCs w:val="21"/>
                <w:lang w:val="en-US"/>
                <w14:textFill>
                  <w14:solidFill>
                    <w14:schemeClr w14:val="tx1"/>
                  </w14:solidFill>
                </w14:textFill>
              </w:rPr>
            </w:pPr>
            <w:r>
              <w:rPr>
                <w:rFonts w:hint="eastAsia" w:ascii="宋体" w:hAnsi="宋体" w:cs="宋体" w:eastAsiaTheme="minorEastAsia"/>
                <w:bCs/>
                <w:color w:val="000000" w:themeColor="text1"/>
                <w:szCs w:val="21"/>
                <w:lang w:val="en-US"/>
                <w14:textFill>
                  <w14:solidFill>
                    <w14:schemeClr w14:val="tx1"/>
                  </w14:solidFill>
                </w14:textFill>
              </w:rPr>
              <w:t>软件功能截图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8" w:type="pct"/>
            <w:shd w:val="clear" w:color="auto" w:fill="auto"/>
            <w:vAlign w:val="center"/>
          </w:tcPr>
          <w:p>
            <w:pPr>
              <w:jc w:val="center"/>
              <w:textAlignment w:val="center"/>
              <w:rPr>
                <w:rFonts w:ascii="宋体" w:hAnsi="宋体" w:cs="宋体" w:eastAsiaTheme="minorEastAsia"/>
                <w:color w:val="000000"/>
                <w:szCs w:val="21"/>
                <w:lang w:val="en-US"/>
              </w:rPr>
            </w:pPr>
            <w:r>
              <w:rPr>
                <w:rFonts w:hint="eastAsia" w:ascii="宋体" w:hAnsi="宋体" w:cs="宋体" w:eastAsiaTheme="minorEastAsia"/>
                <w:color w:val="000000"/>
                <w:kern w:val="0"/>
                <w:szCs w:val="21"/>
                <w:lang w:val="en-US" w:bidi="ar"/>
              </w:rPr>
              <w:t>26</w:t>
            </w:r>
          </w:p>
        </w:tc>
        <w:tc>
          <w:tcPr>
            <w:tcW w:w="321" w:type="pct"/>
            <w:vAlign w:val="center"/>
          </w:tcPr>
          <w:p>
            <w:pPr>
              <w:jc w:val="center"/>
              <w:rPr>
                <w:rFonts w:ascii="宋体" w:hAnsi="宋体" w:cs="宋体" w:eastAsiaTheme="minorEastAsia"/>
                <w:color w:val="000000" w:themeColor="text1"/>
                <w:szCs w:val="21"/>
                <w14:textFill>
                  <w14:solidFill>
                    <w14:schemeClr w14:val="tx1"/>
                  </w14:solidFill>
                </w14:textFill>
              </w:rPr>
            </w:pPr>
          </w:p>
        </w:tc>
        <w:tc>
          <w:tcPr>
            <w:tcW w:w="778" w:type="pct"/>
            <w:vMerge w:val="continue"/>
            <w:vAlign w:val="center"/>
          </w:tcPr>
          <w:p>
            <w:pPr>
              <w:adjustRightInd w:val="0"/>
              <w:snapToGrid w:val="0"/>
              <w:jc w:val="center"/>
              <w:rPr>
                <w:rFonts w:eastAsiaTheme="minorEastAsia"/>
                <w:color w:val="000000" w:themeColor="text1"/>
                <w:szCs w:val="21"/>
                <w14:textFill>
                  <w14:solidFill>
                    <w14:schemeClr w14:val="tx1"/>
                  </w14:solidFill>
                </w14:textFill>
              </w:rPr>
            </w:pPr>
          </w:p>
        </w:tc>
        <w:tc>
          <w:tcPr>
            <w:tcW w:w="2483" w:type="pct"/>
            <w:shd w:val="clear" w:color="auto" w:fill="auto"/>
            <w:vAlign w:val="center"/>
          </w:tcPr>
          <w:p>
            <w:pPr>
              <w:adjustRightInd w:val="0"/>
              <w:snapToGrid w:val="0"/>
              <w:rPr>
                <w:rFonts w:eastAsiaTheme="minorEastAsia"/>
                <w:color w:val="000000" w:themeColor="text1"/>
                <w:szCs w:val="21"/>
                <w14:textFill>
                  <w14:solidFill>
                    <w14:schemeClr w14:val="tx1"/>
                  </w14:solidFill>
                </w14:textFill>
              </w:rPr>
            </w:pPr>
            <w:r>
              <w:rPr>
                <w:rFonts w:hint="eastAsia" w:eastAsiaTheme="minorEastAsia"/>
                <w:color w:val="000000" w:themeColor="text1"/>
                <w:szCs w:val="21"/>
                <w14:textFill>
                  <w14:solidFill>
                    <w14:schemeClr w14:val="tx1"/>
                  </w14:solidFill>
                </w14:textFill>
              </w:rPr>
              <w:t>支持电视盒子、群呼设备、智能投影仪、智能手环</w:t>
            </w:r>
            <w:r>
              <w:rPr>
                <w:rFonts w:hint="eastAsia" w:eastAsiaTheme="minorEastAsia"/>
                <w:color w:val="000000" w:themeColor="text1"/>
                <w:szCs w:val="21"/>
                <w:lang w:val="en-US"/>
                <w14:textFill>
                  <w14:solidFill>
                    <w14:schemeClr w14:val="tx1"/>
                  </w14:solidFill>
                </w14:textFill>
              </w:rPr>
              <w:t>等至少4种</w:t>
            </w:r>
            <w:r>
              <w:rPr>
                <w:rFonts w:hint="eastAsia" w:eastAsiaTheme="minorEastAsia"/>
                <w:color w:val="000000" w:themeColor="text1"/>
                <w:szCs w:val="21"/>
                <w14:textFill>
                  <w14:solidFill>
                    <w14:schemeClr w14:val="tx1"/>
                  </w14:solidFill>
                </w14:textFill>
              </w:rPr>
              <w:t>数据提取和解析</w:t>
            </w:r>
          </w:p>
        </w:tc>
        <w:tc>
          <w:tcPr>
            <w:tcW w:w="1078" w:type="pct"/>
            <w:shd w:val="clear" w:color="auto" w:fill="auto"/>
            <w:vAlign w:val="center"/>
          </w:tcPr>
          <w:p>
            <w:pPr>
              <w:jc w:val="center"/>
              <w:rPr>
                <w:rFonts w:eastAsiaTheme="minorEastAsia"/>
                <w:bCs/>
                <w:color w:val="000000" w:themeColor="text1"/>
                <w:szCs w:val="21"/>
                <w:lang w:val="en-US"/>
                <w14:textFill>
                  <w14:solidFill>
                    <w14:schemeClr w14:val="tx1"/>
                  </w14:solidFill>
                </w14:textFill>
              </w:rPr>
            </w:pPr>
            <w:r>
              <w:rPr>
                <w:rFonts w:hint="eastAsia" w:eastAsiaTheme="minorEastAsia"/>
                <w:bCs/>
                <w:color w:val="000000" w:themeColor="text1"/>
                <w:szCs w:val="21"/>
                <w:lang w:val="en-US"/>
                <w14:textFill>
                  <w14:solidFill>
                    <w14:schemeClr w14:val="tx1"/>
                  </w14:solidFill>
                </w14:textFill>
              </w:rPr>
              <w:t>/</w:t>
            </w:r>
          </w:p>
        </w:tc>
      </w:tr>
      <w:bookmarkEnd w:id="123"/>
      <w:bookmarkEnd w:id="124"/>
    </w:tbl>
    <w:p>
      <w:pPr>
        <w:pStyle w:val="5"/>
        <w:spacing w:before="156"/>
        <w:rPr>
          <w:rFonts w:eastAsiaTheme="minorEastAsia"/>
          <w:szCs w:val="21"/>
        </w:rPr>
      </w:pPr>
      <w:r>
        <w:rPr>
          <w:rFonts w:hint="eastAsia" w:asciiTheme="minorEastAsia" w:hAnsiTheme="minorEastAsia" w:eastAsiaTheme="minorEastAsia" w:cstheme="minorEastAsia"/>
          <w:szCs w:val="21"/>
        </w:rPr>
        <w:t>第6包手机密码破解设备</w:t>
      </w:r>
      <w:r>
        <w:rPr>
          <w:rFonts w:hint="default" w:ascii="Times New Roman" w:hAnsi="Times New Roman" w:cs="Times New Roman" w:eastAsiaTheme="minorEastAsia"/>
          <w:szCs w:val="21"/>
        </w:rPr>
        <w:t>Ⅱ</w:t>
      </w:r>
    </w:p>
    <w:tbl>
      <w:tblPr>
        <w:tblStyle w:val="81"/>
        <w:tblW w:w="45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703"/>
        <w:gridCol w:w="972"/>
        <w:gridCol w:w="4557"/>
        <w:gridCol w:w="13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445" w:type="pct"/>
            <w:vAlign w:val="center"/>
          </w:tcPr>
          <w:p>
            <w:pPr>
              <w:jc w:val="center"/>
              <w:rPr>
                <w:rFonts w:eastAsiaTheme="minorEastAsia"/>
                <w:b/>
                <w:bCs/>
                <w:szCs w:val="21"/>
              </w:rPr>
            </w:pPr>
            <w:r>
              <w:rPr>
                <w:rFonts w:eastAsiaTheme="minorEastAsia"/>
                <w:b/>
                <w:bCs/>
                <w:szCs w:val="21"/>
              </w:rPr>
              <w:t>序号</w:t>
            </w:r>
          </w:p>
        </w:tc>
        <w:tc>
          <w:tcPr>
            <w:tcW w:w="422" w:type="pct"/>
            <w:vAlign w:val="center"/>
          </w:tcPr>
          <w:p>
            <w:pPr>
              <w:jc w:val="center"/>
              <w:rPr>
                <w:rFonts w:eastAsiaTheme="minorEastAsia"/>
                <w:b/>
                <w:bCs/>
                <w:szCs w:val="21"/>
              </w:rPr>
            </w:pPr>
            <w:r>
              <w:rPr>
                <w:rFonts w:hint="eastAsia" w:eastAsiaTheme="minorEastAsia"/>
                <w:b/>
                <w:bCs/>
                <w:szCs w:val="21"/>
              </w:rPr>
              <w:t>重要性</w:t>
            </w:r>
          </w:p>
        </w:tc>
        <w:tc>
          <w:tcPr>
            <w:tcW w:w="584" w:type="pct"/>
            <w:vAlign w:val="center"/>
          </w:tcPr>
          <w:p>
            <w:pPr>
              <w:jc w:val="center"/>
              <w:rPr>
                <w:rFonts w:eastAsiaTheme="minorEastAsia"/>
                <w:b/>
                <w:bCs/>
                <w:szCs w:val="21"/>
              </w:rPr>
            </w:pPr>
            <w:r>
              <w:rPr>
                <w:rFonts w:eastAsiaTheme="minorEastAsia"/>
                <w:b/>
                <w:bCs/>
                <w:szCs w:val="21"/>
              </w:rPr>
              <w:t>指标项</w:t>
            </w:r>
          </w:p>
        </w:tc>
        <w:tc>
          <w:tcPr>
            <w:tcW w:w="2737" w:type="pct"/>
            <w:vAlign w:val="center"/>
          </w:tcPr>
          <w:p>
            <w:pPr>
              <w:jc w:val="center"/>
              <w:rPr>
                <w:rFonts w:eastAsiaTheme="minorEastAsia"/>
                <w:b/>
                <w:bCs/>
                <w:szCs w:val="21"/>
              </w:rPr>
            </w:pPr>
            <w:r>
              <w:rPr>
                <w:rFonts w:eastAsiaTheme="minorEastAsia"/>
                <w:b/>
                <w:bCs/>
                <w:szCs w:val="21"/>
              </w:rPr>
              <w:t>技术</w:t>
            </w:r>
            <w:r>
              <w:rPr>
                <w:rFonts w:hint="eastAsia" w:eastAsiaTheme="minorEastAsia"/>
                <w:b/>
                <w:bCs/>
                <w:szCs w:val="21"/>
              </w:rPr>
              <w:t>要求</w:t>
            </w:r>
          </w:p>
        </w:tc>
        <w:tc>
          <w:tcPr>
            <w:tcW w:w="812" w:type="pct"/>
            <w:vAlign w:val="center"/>
          </w:tcPr>
          <w:p>
            <w:pPr>
              <w:jc w:val="center"/>
              <w:rPr>
                <w:rFonts w:eastAsiaTheme="minorEastAsia"/>
                <w:b/>
                <w:bCs/>
                <w:szCs w:val="21"/>
              </w:rPr>
            </w:pPr>
            <w:r>
              <w:rPr>
                <w:rFonts w:eastAsiaTheme="minorEastAsia"/>
                <w:b/>
                <w:bCs/>
                <w:szCs w:val="21"/>
              </w:rPr>
              <w:t>证明材料要求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445" w:type="pct"/>
            <w:vAlign w:val="center"/>
          </w:tcPr>
          <w:p>
            <w:pPr>
              <w:widowControl w:val="0"/>
              <w:numPr>
                <w:ilvl w:val="0"/>
                <w:numId w:val="89"/>
              </w:numPr>
              <w:autoSpaceDE w:val="0"/>
              <w:autoSpaceDN w:val="0"/>
              <w:adjustRightInd w:val="0"/>
              <w:spacing w:line="360" w:lineRule="auto"/>
              <w:jc w:val="both"/>
              <w:rPr>
                <w:rFonts w:eastAsiaTheme="minorEastAsia"/>
                <w:szCs w:val="21"/>
              </w:rPr>
            </w:pPr>
          </w:p>
        </w:tc>
        <w:tc>
          <w:tcPr>
            <w:tcW w:w="422" w:type="pct"/>
            <w:vAlign w:val="center"/>
          </w:tcPr>
          <w:p>
            <w:pPr>
              <w:jc w:val="center"/>
              <w:rPr>
                <w:rFonts w:eastAsiaTheme="minorEastAsia"/>
                <w:szCs w:val="21"/>
              </w:rPr>
            </w:pPr>
          </w:p>
        </w:tc>
        <w:tc>
          <w:tcPr>
            <w:tcW w:w="584" w:type="pct"/>
            <w:vAlign w:val="center"/>
          </w:tcPr>
          <w:p>
            <w:pPr>
              <w:jc w:val="center"/>
              <w:rPr>
                <w:rFonts w:eastAsiaTheme="minorEastAsia"/>
                <w:szCs w:val="21"/>
              </w:rPr>
            </w:pPr>
            <w:r>
              <w:rPr>
                <w:rFonts w:eastAsiaTheme="minorEastAsia"/>
                <w:szCs w:val="21"/>
              </w:rPr>
              <w:t>应用锁移除</w:t>
            </w:r>
          </w:p>
        </w:tc>
        <w:tc>
          <w:tcPr>
            <w:tcW w:w="2737" w:type="pct"/>
            <w:vAlign w:val="center"/>
          </w:tcPr>
          <w:p>
            <w:pPr>
              <w:rPr>
                <w:rFonts w:eastAsiaTheme="minorEastAsia"/>
                <w:szCs w:val="21"/>
              </w:rPr>
            </w:pPr>
            <w:r>
              <w:rPr>
                <w:rFonts w:eastAsiaTheme="minorEastAsia"/>
                <w:szCs w:val="21"/>
              </w:rPr>
              <w:t>支持</w:t>
            </w:r>
            <w:r>
              <w:rPr>
                <w:rFonts w:hint="eastAsia" w:eastAsiaTheme="minorEastAsia"/>
                <w:szCs w:val="21"/>
              </w:rPr>
              <w:t>不少于3种</w:t>
            </w:r>
            <w:r>
              <w:rPr>
                <w:rFonts w:eastAsiaTheme="minorEastAsia"/>
                <w:szCs w:val="21"/>
              </w:rPr>
              <w:t>品牌</w:t>
            </w:r>
            <w:r>
              <w:rPr>
                <w:rFonts w:hint="eastAsia" w:eastAsiaTheme="minorEastAsia"/>
                <w:szCs w:val="21"/>
              </w:rPr>
              <w:t>手机</w:t>
            </w:r>
            <w:r>
              <w:rPr>
                <w:rFonts w:eastAsiaTheme="minorEastAsia"/>
                <w:szCs w:val="21"/>
              </w:rPr>
              <w:t>的应用锁移除功能</w:t>
            </w:r>
          </w:p>
        </w:tc>
        <w:tc>
          <w:tcPr>
            <w:tcW w:w="812" w:type="pct"/>
            <w:vAlign w:val="center"/>
          </w:tcPr>
          <w:p>
            <w:pPr>
              <w:jc w:val="center"/>
              <w:rPr>
                <w:rFonts w:eastAsiaTheme="minorEastAsia"/>
                <w:szCs w:val="21"/>
              </w:rPr>
            </w:pPr>
            <w:r>
              <w:rPr>
                <w:rFonts w:ascii="Times New Roman" w:hAnsi="Times New Roman" w:eastAsiaTheme="min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445" w:type="pct"/>
            <w:vAlign w:val="center"/>
          </w:tcPr>
          <w:p>
            <w:pPr>
              <w:widowControl w:val="0"/>
              <w:numPr>
                <w:ilvl w:val="0"/>
                <w:numId w:val="89"/>
              </w:numPr>
              <w:autoSpaceDE w:val="0"/>
              <w:autoSpaceDN w:val="0"/>
              <w:adjustRightInd w:val="0"/>
              <w:spacing w:line="360" w:lineRule="auto"/>
              <w:jc w:val="both"/>
              <w:rPr>
                <w:rFonts w:eastAsiaTheme="minorEastAsia"/>
                <w:szCs w:val="21"/>
              </w:rPr>
            </w:pPr>
          </w:p>
        </w:tc>
        <w:tc>
          <w:tcPr>
            <w:tcW w:w="422" w:type="pct"/>
            <w:vAlign w:val="center"/>
          </w:tcPr>
          <w:p>
            <w:pPr>
              <w:jc w:val="center"/>
              <w:rPr>
                <w:rFonts w:eastAsiaTheme="minorEastAsia"/>
                <w:szCs w:val="21"/>
              </w:rPr>
            </w:pPr>
          </w:p>
        </w:tc>
        <w:tc>
          <w:tcPr>
            <w:tcW w:w="584" w:type="pct"/>
            <w:vAlign w:val="center"/>
          </w:tcPr>
          <w:p>
            <w:pPr>
              <w:jc w:val="center"/>
              <w:rPr>
                <w:rFonts w:eastAsiaTheme="minorEastAsia"/>
                <w:szCs w:val="21"/>
              </w:rPr>
            </w:pPr>
            <w:r>
              <w:rPr>
                <w:rFonts w:eastAsiaTheme="minorEastAsia"/>
                <w:szCs w:val="21"/>
              </w:rPr>
              <w:t>高通芯片</w:t>
            </w:r>
          </w:p>
        </w:tc>
        <w:tc>
          <w:tcPr>
            <w:tcW w:w="2737" w:type="pct"/>
            <w:vAlign w:val="center"/>
          </w:tcPr>
          <w:p>
            <w:pPr>
              <w:rPr>
                <w:rFonts w:eastAsiaTheme="minorEastAsia"/>
                <w:szCs w:val="21"/>
              </w:rPr>
            </w:pPr>
            <w:r>
              <w:rPr>
                <w:rFonts w:eastAsiaTheme="minorEastAsia"/>
                <w:szCs w:val="21"/>
              </w:rPr>
              <w:t>支持Android4.x-Android9.x的无加密且搭载高通芯片的机型禁用屏锁密码，支持</w:t>
            </w:r>
            <w:r>
              <w:rPr>
                <w:rFonts w:hint="eastAsia" w:eastAsiaTheme="minorEastAsia"/>
                <w:szCs w:val="21"/>
              </w:rPr>
              <w:t>不少于3种</w:t>
            </w:r>
            <w:r>
              <w:rPr>
                <w:rFonts w:eastAsiaTheme="minorEastAsia"/>
                <w:szCs w:val="21"/>
              </w:rPr>
              <w:t>品牌</w:t>
            </w:r>
            <w:r>
              <w:rPr>
                <w:rFonts w:hint="eastAsia" w:eastAsiaTheme="minorEastAsia"/>
                <w:szCs w:val="21"/>
              </w:rPr>
              <w:t>手机</w:t>
            </w:r>
          </w:p>
        </w:tc>
        <w:tc>
          <w:tcPr>
            <w:tcW w:w="812" w:type="pct"/>
            <w:vAlign w:val="center"/>
          </w:tcPr>
          <w:p>
            <w:pPr>
              <w:jc w:val="center"/>
              <w:rPr>
                <w:rFonts w:eastAsiaTheme="minorEastAsia"/>
                <w:szCs w:val="21"/>
              </w:rPr>
            </w:pPr>
            <w:r>
              <w:rPr>
                <w:rFonts w:ascii="Times New Roman" w:hAnsi="Times New Roman" w:eastAsiaTheme="min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445" w:type="pct"/>
            <w:vAlign w:val="center"/>
          </w:tcPr>
          <w:p>
            <w:pPr>
              <w:widowControl w:val="0"/>
              <w:numPr>
                <w:ilvl w:val="0"/>
                <w:numId w:val="89"/>
              </w:numPr>
              <w:autoSpaceDE w:val="0"/>
              <w:autoSpaceDN w:val="0"/>
              <w:adjustRightInd w:val="0"/>
              <w:spacing w:line="360" w:lineRule="auto"/>
              <w:jc w:val="both"/>
              <w:rPr>
                <w:rFonts w:eastAsiaTheme="minorEastAsia"/>
                <w:szCs w:val="21"/>
              </w:rPr>
            </w:pPr>
          </w:p>
        </w:tc>
        <w:tc>
          <w:tcPr>
            <w:tcW w:w="422" w:type="pct"/>
            <w:vAlign w:val="center"/>
          </w:tcPr>
          <w:p>
            <w:pPr>
              <w:jc w:val="center"/>
              <w:rPr>
                <w:rFonts w:eastAsiaTheme="minorEastAsia"/>
                <w:szCs w:val="21"/>
              </w:rPr>
            </w:pPr>
          </w:p>
        </w:tc>
        <w:tc>
          <w:tcPr>
            <w:tcW w:w="584" w:type="pct"/>
            <w:vAlign w:val="center"/>
          </w:tcPr>
          <w:p>
            <w:pPr>
              <w:jc w:val="center"/>
              <w:rPr>
                <w:rFonts w:eastAsiaTheme="minorEastAsia"/>
                <w:szCs w:val="21"/>
              </w:rPr>
            </w:pPr>
            <w:r>
              <w:rPr>
                <w:rFonts w:eastAsiaTheme="minorEastAsia"/>
                <w:szCs w:val="21"/>
              </w:rPr>
              <w:t>联发科芯片</w:t>
            </w:r>
          </w:p>
        </w:tc>
        <w:tc>
          <w:tcPr>
            <w:tcW w:w="2737" w:type="pct"/>
            <w:vAlign w:val="center"/>
          </w:tcPr>
          <w:p>
            <w:pPr>
              <w:rPr>
                <w:rFonts w:eastAsiaTheme="minorEastAsia"/>
                <w:szCs w:val="21"/>
              </w:rPr>
            </w:pPr>
            <w:r>
              <w:rPr>
                <w:rFonts w:eastAsiaTheme="minorEastAsia"/>
                <w:szCs w:val="21"/>
              </w:rPr>
              <w:t>支持Android4.x-Android9.x的无加密且搭载联发科芯片的机型禁用屏锁密码，</w:t>
            </w:r>
            <w:r>
              <w:rPr>
                <w:rFonts w:hint="eastAsia" w:eastAsiaTheme="minorEastAsia"/>
                <w:szCs w:val="21"/>
              </w:rPr>
              <w:t>支持不少于2种</w:t>
            </w:r>
            <w:r>
              <w:rPr>
                <w:rFonts w:eastAsiaTheme="minorEastAsia"/>
                <w:szCs w:val="21"/>
              </w:rPr>
              <w:t>品牌</w:t>
            </w:r>
            <w:r>
              <w:rPr>
                <w:rFonts w:hint="eastAsia" w:eastAsiaTheme="minorEastAsia"/>
                <w:szCs w:val="21"/>
              </w:rPr>
              <w:t>手机</w:t>
            </w:r>
          </w:p>
        </w:tc>
        <w:tc>
          <w:tcPr>
            <w:tcW w:w="812" w:type="pct"/>
            <w:vAlign w:val="center"/>
          </w:tcPr>
          <w:p>
            <w:pPr>
              <w:jc w:val="center"/>
              <w:rPr>
                <w:rFonts w:eastAsiaTheme="minorEastAsia"/>
                <w:szCs w:val="21"/>
              </w:rPr>
            </w:pPr>
            <w:r>
              <w:rPr>
                <w:rFonts w:ascii="Times New Roman" w:hAnsi="Times New Roman" w:eastAsiaTheme="min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445" w:type="pct"/>
            <w:vAlign w:val="center"/>
          </w:tcPr>
          <w:p>
            <w:pPr>
              <w:widowControl w:val="0"/>
              <w:numPr>
                <w:ilvl w:val="0"/>
                <w:numId w:val="89"/>
              </w:numPr>
              <w:autoSpaceDE w:val="0"/>
              <w:autoSpaceDN w:val="0"/>
              <w:adjustRightInd w:val="0"/>
              <w:spacing w:line="360" w:lineRule="auto"/>
              <w:jc w:val="both"/>
              <w:rPr>
                <w:rFonts w:eastAsiaTheme="minorEastAsia"/>
                <w:szCs w:val="21"/>
              </w:rPr>
            </w:pPr>
          </w:p>
        </w:tc>
        <w:tc>
          <w:tcPr>
            <w:tcW w:w="422" w:type="pct"/>
            <w:vAlign w:val="center"/>
          </w:tcPr>
          <w:p>
            <w:pPr>
              <w:jc w:val="center"/>
              <w:rPr>
                <w:rFonts w:eastAsiaTheme="minorEastAsia"/>
                <w:szCs w:val="21"/>
              </w:rPr>
            </w:pPr>
          </w:p>
        </w:tc>
        <w:tc>
          <w:tcPr>
            <w:tcW w:w="584" w:type="pct"/>
            <w:vAlign w:val="center"/>
          </w:tcPr>
          <w:p>
            <w:pPr>
              <w:jc w:val="center"/>
              <w:rPr>
                <w:rFonts w:eastAsiaTheme="minorEastAsia"/>
                <w:szCs w:val="21"/>
              </w:rPr>
            </w:pPr>
            <w:r>
              <w:rPr>
                <w:rFonts w:eastAsiaTheme="minorEastAsia"/>
                <w:szCs w:val="21"/>
              </w:rPr>
              <w:t>全盘加密高通芯片</w:t>
            </w:r>
          </w:p>
        </w:tc>
        <w:tc>
          <w:tcPr>
            <w:tcW w:w="2737" w:type="pct"/>
            <w:vAlign w:val="center"/>
          </w:tcPr>
          <w:p>
            <w:pPr>
              <w:rPr>
                <w:rFonts w:eastAsiaTheme="minorEastAsia"/>
                <w:szCs w:val="21"/>
              </w:rPr>
            </w:pPr>
            <w:r>
              <w:rPr>
                <w:rFonts w:eastAsiaTheme="minorEastAsia"/>
                <w:szCs w:val="21"/>
              </w:rPr>
              <w:t>支持Android6.x-Android10.x 的全盘加密（FDE）且搭载高通芯片的机型禁用屏锁密码</w:t>
            </w:r>
            <w:r>
              <w:rPr>
                <w:rFonts w:hint="eastAsia" w:eastAsiaTheme="minorEastAsia"/>
                <w:szCs w:val="21"/>
              </w:rPr>
              <w:t>，支持不少于2种</w:t>
            </w:r>
            <w:r>
              <w:rPr>
                <w:rFonts w:eastAsiaTheme="minorEastAsia"/>
                <w:szCs w:val="21"/>
              </w:rPr>
              <w:t>品牌</w:t>
            </w:r>
            <w:r>
              <w:rPr>
                <w:rFonts w:hint="eastAsia" w:eastAsiaTheme="minorEastAsia"/>
                <w:szCs w:val="21"/>
              </w:rPr>
              <w:t>手机</w:t>
            </w:r>
          </w:p>
        </w:tc>
        <w:tc>
          <w:tcPr>
            <w:tcW w:w="812" w:type="pct"/>
            <w:vAlign w:val="center"/>
          </w:tcPr>
          <w:p>
            <w:pPr>
              <w:jc w:val="center"/>
              <w:rPr>
                <w:rFonts w:eastAsiaTheme="minorEastAsia"/>
                <w:szCs w:val="21"/>
              </w:rPr>
            </w:pPr>
            <w:r>
              <w:rPr>
                <w:rFonts w:ascii="Times New Roman" w:hAnsi="Times New Roman" w:eastAsiaTheme="min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445" w:type="pct"/>
            <w:vAlign w:val="center"/>
          </w:tcPr>
          <w:p>
            <w:pPr>
              <w:widowControl w:val="0"/>
              <w:numPr>
                <w:ilvl w:val="0"/>
                <w:numId w:val="89"/>
              </w:numPr>
              <w:autoSpaceDE w:val="0"/>
              <w:autoSpaceDN w:val="0"/>
              <w:adjustRightInd w:val="0"/>
              <w:spacing w:line="360" w:lineRule="auto"/>
              <w:jc w:val="both"/>
              <w:rPr>
                <w:rFonts w:eastAsiaTheme="minorEastAsia"/>
                <w:szCs w:val="21"/>
              </w:rPr>
            </w:pPr>
          </w:p>
        </w:tc>
        <w:tc>
          <w:tcPr>
            <w:tcW w:w="422" w:type="pct"/>
            <w:vAlign w:val="center"/>
          </w:tcPr>
          <w:p>
            <w:pPr>
              <w:jc w:val="center"/>
              <w:rPr>
                <w:rFonts w:eastAsiaTheme="minorEastAsia"/>
                <w:szCs w:val="21"/>
              </w:rPr>
            </w:pPr>
          </w:p>
        </w:tc>
        <w:tc>
          <w:tcPr>
            <w:tcW w:w="584" w:type="pct"/>
            <w:vAlign w:val="center"/>
          </w:tcPr>
          <w:p>
            <w:pPr>
              <w:jc w:val="center"/>
              <w:rPr>
                <w:rFonts w:eastAsiaTheme="minorEastAsia"/>
                <w:szCs w:val="21"/>
              </w:rPr>
            </w:pPr>
            <w:r>
              <w:rPr>
                <w:rFonts w:eastAsiaTheme="minorEastAsia"/>
                <w:szCs w:val="21"/>
              </w:rPr>
              <w:t>全盘加密联发科芯片</w:t>
            </w:r>
          </w:p>
        </w:tc>
        <w:tc>
          <w:tcPr>
            <w:tcW w:w="2737" w:type="pct"/>
            <w:vAlign w:val="center"/>
          </w:tcPr>
          <w:p>
            <w:pPr>
              <w:rPr>
                <w:rFonts w:eastAsiaTheme="minorEastAsia"/>
                <w:szCs w:val="21"/>
              </w:rPr>
            </w:pPr>
            <w:r>
              <w:rPr>
                <w:rFonts w:eastAsiaTheme="minorEastAsia"/>
                <w:szCs w:val="21"/>
              </w:rPr>
              <w:t>支持Android6.x-Android10.x 的全盘加密（FDE）且搭载联发科芯片的机型禁用屏锁密码，支持</w:t>
            </w:r>
            <w:r>
              <w:rPr>
                <w:rFonts w:hint="eastAsia" w:eastAsiaTheme="minorEastAsia"/>
                <w:szCs w:val="21"/>
              </w:rPr>
              <w:t>不少于3种</w:t>
            </w:r>
            <w:r>
              <w:rPr>
                <w:rFonts w:eastAsiaTheme="minorEastAsia"/>
                <w:szCs w:val="21"/>
              </w:rPr>
              <w:t>品牌</w:t>
            </w:r>
            <w:r>
              <w:rPr>
                <w:rFonts w:hint="eastAsia" w:eastAsiaTheme="minorEastAsia"/>
                <w:szCs w:val="21"/>
              </w:rPr>
              <w:t>手机</w:t>
            </w:r>
          </w:p>
        </w:tc>
        <w:tc>
          <w:tcPr>
            <w:tcW w:w="812" w:type="pct"/>
            <w:vAlign w:val="center"/>
          </w:tcPr>
          <w:p>
            <w:pPr>
              <w:jc w:val="center"/>
              <w:rPr>
                <w:rFonts w:eastAsiaTheme="minorEastAsia"/>
                <w:szCs w:val="21"/>
              </w:rPr>
            </w:pPr>
            <w:r>
              <w:rPr>
                <w:rFonts w:ascii="Times New Roman" w:hAnsi="Times New Roman" w:eastAsiaTheme="min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445" w:type="pct"/>
            <w:vAlign w:val="center"/>
          </w:tcPr>
          <w:p>
            <w:pPr>
              <w:widowControl w:val="0"/>
              <w:numPr>
                <w:ilvl w:val="0"/>
                <w:numId w:val="89"/>
              </w:numPr>
              <w:autoSpaceDE w:val="0"/>
              <w:autoSpaceDN w:val="0"/>
              <w:adjustRightInd w:val="0"/>
              <w:spacing w:line="360" w:lineRule="auto"/>
              <w:jc w:val="both"/>
              <w:rPr>
                <w:rFonts w:eastAsiaTheme="minorEastAsia"/>
                <w:szCs w:val="21"/>
              </w:rPr>
            </w:pPr>
          </w:p>
        </w:tc>
        <w:tc>
          <w:tcPr>
            <w:tcW w:w="422" w:type="pct"/>
            <w:vAlign w:val="center"/>
          </w:tcPr>
          <w:p>
            <w:pPr>
              <w:jc w:val="center"/>
              <w:rPr>
                <w:rFonts w:eastAsiaTheme="minorEastAsia"/>
                <w:szCs w:val="21"/>
              </w:rPr>
            </w:pPr>
          </w:p>
        </w:tc>
        <w:tc>
          <w:tcPr>
            <w:tcW w:w="584" w:type="pct"/>
            <w:vAlign w:val="center"/>
          </w:tcPr>
          <w:p>
            <w:pPr>
              <w:jc w:val="center"/>
              <w:rPr>
                <w:rFonts w:eastAsiaTheme="minorEastAsia"/>
                <w:szCs w:val="21"/>
              </w:rPr>
            </w:pPr>
            <w:r>
              <w:rPr>
                <w:rFonts w:eastAsiaTheme="minorEastAsia"/>
                <w:szCs w:val="21"/>
              </w:rPr>
              <w:t>华为高通芯片</w:t>
            </w:r>
          </w:p>
        </w:tc>
        <w:tc>
          <w:tcPr>
            <w:tcW w:w="2737" w:type="pct"/>
            <w:vAlign w:val="center"/>
          </w:tcPr>
          <w:p>
            <w:pPr>
              <w:rPr>
                <w:rFonts w:eastAsiaTheme="minorEastAsia"/>
                <w:szCs w:val="21"/>
              </w:rPr>
            </w:pPr>
            <w:r>
              <w:rPr>
                <w:rFonts w:eastAsiaTheme="minorEastAsia"/>
                <w:szCs w:val="21"/>
              </w:rPr>
              <w:t>支持华为品牌的无加密且搭载高通芯片的机型禁用屏锁密码</w:t>
            </w:r>
            <w:r>
              <w:rPr>
                <w:rFonts w:hint="eastAsia" w:eastAsiaTheme="minorEastAsia"/>
                <w:szCs w:val="21"/>
              </w:rPr>
              <w:t>，支持不少于2种型号手机</w:t>
            </w:r>
          </w:p>
        </w:tc>
        <w:tc>
          <w:tcPr>
            <w:tcW w:w="812" w:type="pct"/>
            <w:vAlign w:val="center"/>
          </w:tcPr>
          <w:p>
            <w:pPr>
              <w:jc w:val="center"/>
              <w:rPr>
                <w:rFonts w:eastAsiaTheme="minorEastAsia"/>
                <w:szCs w:val="21"/>
              </w:rPr>
            </w:pPr>
            <w:r>
              <w:rPr>
                <w:rFonts w:ascii="Times New Roman" w:hAnsi="Times New Roman" w:eastAsiaTheme="min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445" w:type="pct"/>
            <w:vAlign w:val="center"/>
          </w:tcPr>
          <w:p>
            <w:pPr>
              <w:widowControl w:val="0"/>
              <w:numPr>
                <w:ilvl w:val="0"/>
                <w:numId w:val="89"/>
              </w:numPr>
              <w:autoSpaceDE w:val="0"/>
              <w:autoSpaceDN w:val="0"/>
              <w:adjustRightInd w:val="0"/>
              <w:spacing w:line="360" w:lineRule="auto"/>
              <w:jc w:val="both"/>
              <w:rPr>
                <w:rFonts w:eastAsiaTheme="minorEastAsia"/>
                <w:szCs w:val="21"/>
              </w:rPr>
            </w:pPr>
          </w:p>
        </w:tc>
        <w:tc>
          <w:tcPr>
            <w:tcW w:w="422" w:type="pct"/>
            <w:vAlign w:val="center"/>
          </w:tcPr>
          <w:p>
            <w:pPr>
              <w:jc w:val="center"/>
              <w:rPr>
                <w:rFonts w:eastAsiaTheme="minorEastAsia"/>
                <w:szCs w:val="21"/>
              </w:rPr>
            </w:pPr>
            <w:r>
              <w:rPr>
                <w:rFonts w:hint="eastAsia" w:eastAsiaTheme="minorEastAsia"/>
                <w:szCs w:val="21"/>
              </w:rPr>
              <w:t>▲</w:t>
            </w:r>
          </w:p>
        </w:tc>
        <w:tc>
          <w:tcPr>
            <w:tcW w:w="584" w:type="pct"/>
            <w:vAlign w:val="center"/>
          </w:tcPr>
          <w:p>
            <w:pPr>
              <w:jc w:val="center"/>
              <w:rPr>
                <w:rFonts w:eastAsiaTheme="minorEastAsia"/>
                <w:szCs w:val="21"/>
              </w:rPr>
            </w:pPr>
            <w:r>
              <w:rPr>
                <w:rFonts w:hint="eastAsia" w:eastAsiaTheme="minorEastAsia"/>
                <w:szCs w:val="21"/>
              </w:rPr>
              <w:t>8848各型号root权限、解锁、备份能力</w:t>
            </w:r>
          </w:p>
        </w:tc>
        <w:tc>
          <w:tcPr>
            <w:tcW w:w="2737" w:type="pct"/>
            <w:vAlign w:val="center"/>
          </w:tcPr>
          <w:p>
            <w:pPr>
              <w:rPr>
                <w:rFonts w:eastAsiaTheme="minorEastAsia"/>
                <w:szCs w:val="21"/>
              </w:rPr>
            </w:pPr>
            <w:r>
              <w:rPr>
                <w:rFonts w:eastAsiaTheme="minorEastAsia"/>
                <w:szCs w:val="21"/>
              </w:rPr>
              <w:t>支持8848系列手机的ROOT、解除屏幕锁、备份镜像</w:t>
            </w:r>
            <w:r>
              <w:rPr>
                <w:rFonts w:hint="eastAsia" w:eastAsiaTheme="minorEastAsia"/>
                <w:szCs w:val="21"/>
              </w:rPr>
              <w:t>，支持不少于3种型号，包括</w:t>
            </w:r>
            <w:r>
              <w:rPr>
                <w:rFonts w:eastAsiaTheme="minorEastAsia"/>
                <w:szCs w:val="21"/>
              </w:rPr>
              <w:t>M2、M3、M4</w:t>
            </w:r>
          </w:p>
        </w:tc>
        <w:tc>
          <w:tcPr>
            <w:tcW w:w="812" w:type="pct"/>
            <w:vAlign w:val="center"/>
          </w:tcPr>
          <w:p>
            <w:pPr>
              <w:jc w:val="center"/>
              <w:rPr>
                <w:rFonts w:eastAsiaTheme="minorEastAsia"/>
                <w:szCs w:val="21"/>
              </w:rPr>
            </w:pPr>
            <w:r>
              <w:rPr>
                <w:rFonts w:eastAsiaTheme="minorEastAsia"/>
                <w:szCs w:val="21"/>
              </w:rPr>
              <w:t>软件功能截图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445" w:type="pct"/>
            <w:vAlign w:val="center"/>
          </w:tcPr>
          <w:p>
            <w:pPr>
              <w:widowControl w:val="0"/>
              <w:numPr>
                <w:ilvl w:val="0"/>
                <w:numId w:val="89"/>
              </w:numPr>
              <w:autoSpaceDE w:val="0"/>
              <w:autoSpaceDN w:val="0"/>
              <w:adjustRightInd w:val="0"/>
              <w:spacing w:line="360" w:lineRule="auto"/>
              <w:jc w:val="both"/>
              <w:rPr>
                <w:rFonts w:eastAsiaTheme="minorEastAsia"/>
                <w:szCs w:val="21"/>
              </w:rPr>
            </w:pPr>
          </w:p>
        </w:tc>
        <w:tc>
          <w:tcPr>
            <w:tcW w:w="422" w:type="pct"/>
            <w:vAlign w:val="center"/>
          </w:tcPr>
          <w:p>
            <w:pPr>
              <w:jc w:val="center"/>
              <w:rPr>
                <w:rFonts w:eastAsiaTheme="minorEastAsia"/>
                <w:szCs w:val="21"/>
              </w:rPr>
            </w:pPr>
            <w:r>
              <w:rPr>
                <w:rFonts w:hint="eastAsia" w:eastAsiaTheme="minorEastAsia"/>
                <w:szCs w:val="21"/>
              </w:rPr>
              <w:t>▲</w:t>
            </w:r>
          </w:p>
        </w:tc>
        <w:tc>
          <w:tcPr>
            <w:tcW w:w="584" w:type="pct"/>
            <w:vAlign w:val="center"/>
          </w:tcPr>
          <w:p>
            <w:pPr>
              <w:jc w:val="center"/>
              <w:rPr>
                <w:rFonts w:eastAsiaTheme="minorEastAsia"/>
                <w:szCs w:val="21"/>
              </w:rPr>
            </w:pPr>
            <w:r>
              <w:rPr>
                <w:rFonts w:hint="eastAsia" w:eastAsiaTheme="minorEastAsia"/>
                <w:szCs w:val="21"/>
              </w:rPr>
              <w:t>ROOT权限能力</w:t>
            </w:r>
          </w:p>
        </w:tc>
        <w:tc>
          <w:tcPr>
            <w:tcW w:w="2737" w:type="pct"/>
            <w:vAlign w:val="center"/>
          </w:tcPr>
          <w:p>
            <w:pPr>
              <w:rPr>
                <w:rFonts w:eastAsiaTheme="minorEastAsia"/>
                <w:szCs w:val="21"/>
              </w:rPr>
            </w:pPr>
            <w:r>
              <w:rPr>
                <w:rFonts w:eastAsiaTheme="minorEastAsia"/>
                <w:szCs w:val="21"/>
              </w:rPr>
              <w:t>支持荣耀</w:t>
            </w:r>
            <w:r>
              <w:rPr>
                <w:rFonts w:hint="eastAsia" w:eastAsiaTheme="minorEastAsia"/>
                <w:szCs w:val="21"/>
              </w:rPr>
              <w:t>、</w:t>
            </w:r>
            <w:r>
              <w:rPr>
                <w:rFonts w:eastAsiaTheme="minorEastAsia"/>
                <w:szCs w:val="21"/>
              </w:rPr>
              <w:t>红米</w:t>
            </w:r>
            <w:r>
              <w:rPr>
                <w:rFonts w:hint="eastAsia" w:eastAsiaTheme="minorEastAsia"/>
                <w:szCs w:val="21"/>
              </w:rPr>
              <w:t>、</w:t>
            </w:r>
            <w:r>
              <w:rPr>
                <w:rFonts w:eastAsiaTheme="minorEastAsia"/>
                <w:szCs w:val="21"/>
              </w:rPr>
              <w:t>华为麦芒</w:t>
            </w:r>
            <w:r>
              <w:rPr>
                <w:rFonts w:hint="eastAsia" w:eastAsiaTheme="minorEastAsia"/>
                <w:szCs w:val="21"/>
              </w:rPr>
              <w:t>系列手机获取ROOT权限，支持不少于3种机型，包括但不限于</w:t>
            </w:r>
            <w:r>
              <w:rPr>
                <w:rFonts w:eastAsiaTheme="minorEastAsia"/>
                <w:szCs w:val="21"/>
              </w:rPr>
              <w:t>畅享20pro（HarmonyOS2.x系统）</w:t>
            </w:r>
            <w:r>
              <w:rPr>
                <w:rFonts w:hint="eastAsia" w:eastAsiaTheme="minorEastAsia"/>
                <w:szCs w:val="21"/>
              </w:rPr>
              <w:t>、</w:t>
            </w:r>
            <w:r>
              <w:rPr>
                <w:rFonts w:eastAsiaTheme="minorEastAsia"/>
                <w:szCs w:val="21"/>
              </w:rPr>
              <w:t>红米Note11（Android 12.x系统）、华为麦芒11（Android 11.x系统）</w:t>
            </w:r>
          </w:p>
        </w:tc>
        <w:tc>
          <w:tcPr>
            <w:tcW w:w="812" w:type="pct"/>
            <w:vAlign w:val="center"/>
          </w:tcPr>
          <w:p>
            <w:pPr>
              <w:jc w:val="center"/>
              <w:rPr>
                <w:rFonts w:eastAsiaTheme="minorEastAsia"/>
                <w:szCs w:val="21"/>
              </w:rPr>
            </w:pPr>
            <w:r>
              <w:rPr>
                <w:rFonts w:eastAsiaTheme="minorEastAsia"/>
                <w:szCs w:val="21"/>
              </w:rPr>
              <w:t>软件功能截图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445" w:type="pct"/>
            <w:vAlign w:val="center"/>
          </w:tcPr>
          <w:p>
            <w:pPr>
              <w:widowControl w:val="0"/>
              <w:numPr>
                <w:ilvl w:val="0"/>
                <w:numId w:val="89"/>
              </w:numPr>
              <w:autoSpaceDE w:val="0"/>
              <w:autoSpaceDN w:val="0"/>
              <w:adjustRightInd w:val="0"/>
              <w:spacing w:line="360" w:lineRule="auto"/>
              <w:jc w:val="both"/>
              <w:rPr>
                <w:rFonts w:eastAsiaTheme="minorEastAsia"/>
                <w:szCs w:val="21"/>
              </w:rPr>
            </w:pPr>
          </w:p>
        </w:tc>
        <w:tc>
          <w:tcPr>
            <w:tcW w:w="422" w:type="pct"/>
            <w:vAlign w:val="center"/>
          </w:tcPr>
          <w:p>
            <w:pPr>
              <w:jc w:val="center"/>
              <w:rPr>
                <w:rFonts w:eastAsiaTheme="minorEastAsia"/>
                <w:szCs w:val="21"/>
              </w:rPr>
            </w:pPr>
            <w:r>
              <w:rPr>
                <w:rFonts w:hint="eastAsia" w:eastAsiaTheme="minorEastAsia"/>
                <w:szCs w:val="21"/>
              </w:rPr>
              <w:t>▲</w:t>
            </w:r>
          </w:p>
        </w:tc>
        <w:tc>
          <w:tcPr>
            <w:tcW w:w="584" w:type="pct"/>
            <w:vAlign w:val="center"/>
          </w:tcPr>
          <w:p>
            <w:pPr>
              <w:jc w:val="center"/>
              <w:rPr>
                <w:rFonts w:eastAsiaTheme="minorEastAsia"/>
                <w:szCs w:val="21"/>
              </w:rPr>
            </w:pPr>
            <w:r>
              <w:rPr>
                <w:rFonts w:eastAsiaTheme="minorEastAsia"/>
                <w:szCs w:val="21"/>
              </w:rPr>
              <w:t>红米</w:t>
            </w:r>
            <w:r>
              <w:rPr>
                <w:rFonts w:hint="eastAsia" w:eastAsiaTheme="minorEastAsia"/>
                <w:szCs w:val="21"/>
              </w:rPr>
              <w:t>解锁能力</w:t>
            </w:r>
          </w:p>
        </w:tc>
        <w:tc>
          <w:tcPr>
            <w:tcW w:w="2737" w:type="pct"/>
            <w:vAlign w:val="center"/>
          </w:tcPr>
          <w:p>
            <w:pPr>
              <w:rPr>
                <w:rFonts w:eastAsiaTheme="minorEastAsia"/>
                <w:szCs w:val="21"/>
              </w:rPr>
            </w:pPr>
            <w:r>
              <w:rPr>
                <w:rFonts w:eastAsiaTheme="minorEastAsia"/>
                <w:szCs w:val="21"/>
              </w:rPr>
              <w:t>支持红米</w:t>
            </w:r>
            <w:r>
              <w:rPr>
                <w:rFonts w:hint="eastAsia" w:eastAsiaTheme="minorEastAsia"/>
                <w:szCs w:val="21"/>
              </w:rPr>
              <w:t>系列手机密码</w:t>
            </w:r>
            <w:r>
              <w:rPr>
                <w:rFonts w:eastAsiaTheme="minorEastAsia"/>
                <w:szCs w:val="21"/>
              </w:rPr>
              <w:t>暴破</w:t>
            </w:r>
            <w:r>
              <w:rPr>
                <w:rFonts w:hint="eastAsia" w:eastAsiaTheme="minorEastAsia"/>
                <w:szCs w:val="21"/>
              </w:rPr>
              <w:t>，不少于3种机型，包括但不限于</w:t>
            </w:r>
            <w:r>
              <w:rPr>
                <w:rFonts w:eastAsiaTheme="minorEastAsia"/>
                <w:szCs w:val="21"/>
              </w:rPr>
              <w:t>Note9 5G（Android 11.x系统）</w:t>
            </w:r>
            <w:r>
              <w:rPr>
                <w:rFonts w:hint="eastAsia" w:eastAsiaTheme="minorEastAsia"/>
                <w:szCs w:val="21"/>
              </w:rPr>
              <w:t>、</w:t>
            </w:r>
            <w:r>
              <w:rPr>
                <w:rFonts w:eastAsiaTheme="minorEastAsia"/>
                <w:szCs w:val="21"/>
              </w:rPr>
              <w:t>Note</w:t>
            </w:r>
            <w:r>
              <w:rPr>
                <w:rFonts w:hint="eastAsia" w:eastAsiaTheme="minorEastAsia"/>
                <w:szCs w:val="21"/>
              </w:rPr>
              <w:t>11 5G</w:t>
            </w:r>
            <w:r>
              <w:rPr>
                <w:rFonts w:eastAsiaTheme="minorEastAsia"/>
                <w:szCs w:val="21"/>
              </w:rPr>
              <w:t>（Android 11.x系统）</w:t>
            </w:r>
            <w:r>
              <w:rPr>
                <w:rFonts w:hint="eastAsia" w:eastAsiaTheme="minorEastAsia"/>
                <w:szCs w:val="21"/>
              </w:rPr>
              <w:t>、</w:t>
            </w:r>
            <w:r>
              <w:rPr>
                <w:rFonts w:eastAsiaTheme="minorEastAsia"/>
                <w:szCs w:val="21"/>
              </w:rPr>
              <w:t>Note</w:t>
            </w:r>
            <w:r>
              <w:rPr>
                <w:rFonts w:hint="eastAsia" w:eastAsiaTheme="minorEastAsia"/>
                <w:szCs w:val="21"/>
              </w:rPr>
              <w:t>11 SE</w:t>
            </w:r>
            <w:r>
              <w:rPr>
                <w:rFonts w:eastAsiaTheme="minorEastAsia"/>
                <w:szCs w:val="21"/>
              </w:rPr>
              <w:t>（Android 11.x系统）</w:t>
            </w:r>
          </w:p>
        </w:tc>
        <w:tc>
          <w:tcPr>
            <w:tcW w:w="812" w:type="pct"/>
            <w:vAlign w:val="center"/>
          </w:tcPr>
          <w:p>
            <w:pPr>
              <w:jc w:val="center"/>
              <w:rPr>
                <w:rFonts w:eastAsiaTheme="minorEastAsia"/>
                <w:szCs w:val="21"/>
              </w:rPr>
            </w:pPr>
            <w:r>
              <w:rPr>
                <w:rFonts w:eastAsiaTheme="minorEastAsia"/>
                <w:szCs w:val="21"/>
              </w:rPr>
              <w:t>软件功能截图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445" w:type="pct"/>
            <w:vAlign w:val="center"/>
          </w:tcPr>
          <w:p>
            <w:pPr>
              <w:widowControl w:val="0"/>
              <w:numPr>
                <w:ilvl w:val="0"/>
                <w:numId w:val="89"/>
              </w:numPr>
              <w:autoSpaceDE w:val="0"/>
              <w:autoSpaceDN w:val="0"/>
              <w:adjustRightInd w:val="0"/>
              <w:spacing w:line="360" w:lineRule="auto"/>
              <w:jc w:val="both"/>
              <w:rPr>
                <w:rFonts w:eastAsiaTheme="minorEastAsia"/>
                <w:szCs w:val="21"/>
              </w:rPr>
            </w:pPr>
          </w:p>
        </w:tc>
        <w:tc>
          <w:tcPr>
            <w:tcW w:w="422" w:type="pct"/>
            <w:vAlign w:val="center"/>
          </w:tcPr>
          <w:p>
            <w:pPr>
              <w:jc w:val="center"/>
              <w:rPr>
                <w:rFonts w:eastAsiaTheme="minorEastAsia"/>
                <w:szCs w:val="21"/>
              </w:rPr>
            </w:pPr>
            <w:r>
              <w:rPr>
                <w:rFonts w:hint="eastAsia" w:eastAsiaTheme="minorEastAsia"/>
                <w:szCs w:val="21"/>
              </w:rPr>
              <w:t>▲</w:t>
            </w:r>
          </w:p>
        </w:tc>
        <w:tc>
          <w:tcPr>
            <w:tcW w:w="584" w:type="pct"/>
            <w:vAlign w:val="center"/>
          </w:tcPr>
          <w:p>
            <w:pPr>
              <w:jc w:val="center"/>
              <w:rPr>
                <w:rFonts w:eastAsiaTheme="minorEastAsia"/>
                <w:szCs w:val="21"/>
              </w:rPr>
            </w:pPr>
            <w:r>
              <w:rPr>
                <w:rFonts w:hint="eastAsia" w:eastAsiaTheme="minorEastAsia"/>
                <w:szCs w:val="21"/>
              </w:rPr>
              <w:t xml:space="preserve"> 绕密码提数据能力</w:t>
            </w:r>
          </w:p>
        </w:tc>
        <w:tc>
          <w:tcPr>
            <w:tcW w:w="2737" w:type="pct"/>
            <w:vAlign w:val="center"/>
          </w:tcPr>
          <w:p>
            <w:pPr>
              <w:rPr>
                <w:rFonts w:eastAsiaTheme="minorEastAsia"/>
                <w:szCs w:val="21"/>
              </w:rPr>
            </w:pPr>
            <w:r>
              <w:rPr>
                <w:rFonts w:eastAsiaTheme="minorEastAsia"/>
                <w:szCs w:val="21"/>
              </w:rPr>
              <w:t>支持OPPO</w:t>
            </w:r>
            <w:r>
              <w:rPr>
                <w:rFonts w:hint="eastAsia" w:eastAsiaTheme="minorEastAsia"/>
                <w:szCs w:val="21"/>
              </w:rPr>
              <w:t>系列手机绕密码提数据，不少于3种机型，包括但不限于</w:t>
            </w:r>
            <w:r>
              <w:rPr>
                <w:rFonts w:eastAsiaTheme="minorEastAsia"/>
                <w:szCs w:val="21"/>
              </w:rPr>
              <w:t>A9（Android 11.x系统）</w:t>
            </w:r>
            <w:r>
              <w:rPr>
                <w:rFonts w:hint="eastAsia" w:eastAsiaTheme="minorEastAsia"/>
                <w:szCs w:val="21"/>
              </w:rPr>
              <w:t>、</w:t>
            </w:r>
            <w:r>
              <w:rPr>
                <w:rFonts w:eastAsiaTheme="minorEastAsia"/>
                <w:szCs w:val="21"/>
              </w:rPr>
              <w:t>A</w:t>
            </w:r>
            <w:r>
              <w:rPr>
                <w:rFonts w:hint="eastAsia" w:eastAsiaTheme="minorEastAsia"/>
                <w:szCs w:val="21"/>
              </w:rPr>
              <w:t>8</w:t>
            </w:r>
            <w:r>
              <w:rPr>
                <w:rFonts w:eastAsiaTheme="minorEastAsia"/>
                <w:szCs w:val="21"/>
              </w:rPr>
              <w:t>（Android 11.x系统）</w:t>
            </w:r>
            <w:r>
              <w:rPr>
                <w:rFonts w:hint="eastAsia" w:eastAsiaTheme="minorEastAsia"/>
                <w:szCs w:val="21"/>
              </w:rPr>
              <w:t>、</w:t>
            </w:r>
            <w:r>
              <w:rPr>
                <w:rFonts w:eastAsiaTheme="minorEastAsia"/>
                <w:szCs w:val="21"/>
              </w:rPr>
              <w:t>A9</w:t>
            </w:r>
            <w:r>
              <w:rPr>
                <w:rFonts w:hint="eastAsia" w:eastAsiaTheme="minorEastAsia"/>
                <w:szCs w:val="21"/>
              </w:rPr>
              <w:t>1</w:t>
            </w:r>
            <w:r>
              <w:rPr>
                <w:rFonts w:eastAsiaTheme="minorEastAsia"/>
                <w:szCs w:val="21"/>
              </w:rPr>
              <w:t>（Android 11.x系统）</w:t>
            </w:r>
          </w:p>
        </w:tc>
        <w:tc>
          <w:tcPr>
            <w:tcW w:w="812" w:type="pct"/>
            <w:vAlign w:val="center"/>
          </w:tcPr>
          <w:p>
            <w:pPr>
              <w:jc w:val="center"/>
              <w:rPr>
                <w:rFonts w:eastAsiaTheme="minorEastAsia"/>
                <w:szCs w:val="21"/>
              </w:rPr>
            </w:pPr>
            <w:r>
              <w:rPr>
                <w:rFonts w:eastAsiaTheme="minorEastAsia"/>
                <w:szCs w:val="21"/>
              </w:rPr>
              <w:t>软件功能截图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445" w:type="pct"/>
            <w:vAlign w:val="center"/>
          </w:tcPr>
          <w:p>
            <w:pPr>
              <w:widowControl w:val="0"/>
              <w:numPr>
                <w:ilvl w:val="0"/>
                <w:numId w:val="89"/>
              </w:numPr>
              <w:autoSpaceDE w:val="0"/>
              <w:autoSpaceDN w:val="0"/>
              <w:adjustRightInd w:val="0"/>
              <w:spacing w:line="360" w:lineRule="auto"/>
              <w:jc w:val="both"/>
              <w:rPr>
                <w:rFonts w:eastAsiaTheme="minorEastAsia"/>
                <w:szCs w:val="21"/>
              </w:rPr>
            </w:pPr>
          </w:p>
        </w:tc>
        <w:tc>
          <w:tcPr>
            <w:tcW w:w="422" w:type="pct"/>
            <w:vAlign w:val="center"/>
          </w:tcPr>
          <w:p>
            <w:pPr>
              <w:jc w:val="center"/>
              <w:rPr>
                <w:rFonts w:eastAsiaTheme="minorEastAsia"/>
                <w:szCs w:val="21"/>
              </w:rPr>
            </w:pPr>
            <w:r>
              <w:rPr>
                <w:rFonts w:hint="eastAsia" w:ascii="宋体" w:hAnsi="宋体" w:eastAsiaTheme="minorEastAsia"/>
                <w:szCs w:val="21"/>
              </w:rPr>
              <w:t>★</w:t>
            </w:r>
          </w:p>
        </w:tc>
        <w:tc>
          <w:tcPr>
            <w:tcW w:w="584" w:type="pct"/>
            <w:vAlign w:val="center"/>
          </w:tcPr>
          <w:p>
            <w:pPr>
              <w:jc w:val="center"/>
              <w:rPr>
                <w:rFonts w:eastAsiaTheme="minorEastAsia"/>
                <w:szCs w:val="21"/>
              </w:rPr>
            </w:pPr>
            <w:r>
              <w:rPr>
                <w:rFonts w:hint="eastAsia" w:eastAsiaTheme="minorEastAsia"/>
                <w:szCs w:val="21"/>
              </w:rPr>
              <w:t>Vivo安卓解锁能力</w:t>
            </w:r>
          </w:p>
        </w:tc>
        <w:tc>
          <w:tcPr>
            <w:tcW w:w="2737" w:type="pct"/>
            <w:vAlign w:val="center"/>
          </w:tcPr>
          <w:p>
            <w:pPr>
              <w:rPr>
                <w:rFonts w:eastAsiaTheme="minorEastAsia"/>
                <w:szCs w:val="21"/>
              </w:rPr>
            </w:pPr>
            <w:r>
              <w:rPr>
                <w:rFonts w:eastAsiaTheme="minorEastAsia"/>
                <w:szCs w:val="21"/>
              </w:rPr>
              <w:t>支持</w:t>
            </w:r>
            <w:r>
              <w:rPr>
                <w:rFonts w:hint="eastAsia" w:eastAsiaTheme="minorEastAsia"/>
                <w:szCs w:val="21"/>
              </w:rPr>
              <w:t>VIVO安卓8.0手机在关闭USB调试的情况下，短接TP点使手机进入9008模式，可解除屏幕锁。</w:t>
            </w:r>
            <w:r>
              <w:rPr>
                <w:rFonts w:eastAsiaTheme="minorEastAsia"/>
                <w:szCs w:val="21"/>
              </w:rPr>
              <w:t>支持</w:t>
            </w:r>
            <w:r>
              <w:rPr>
                <w:rFonts w:hint="eastAsia" w:eastAsiaTheme="minorEastAsia"/>
                <w:szCs w:val="21"/>
              </w:rPr>
              <w:t>VIVO安卓7.1手机解除屏幕锁。支持不少于2种型号手机</w:t>
            </w:r>
          </w:p>
        </w:tc>
        <w:tc>
          <w:tcPr>
            <w:tcW w:w="812" w:type="pct"/>
            <w:vAlign w:val="center"/>
          </w:tcPr>
          <w:p>
            <w:pPr>
              <w:jc w:val="center"/>
              <w:rPr>
                <w:rFonts w:eastAsiaTheme="minorEastAsia"/>
                <w:szCs w:val="21"/>
              </w:rPr>
            </w:pPr>
            <w:r>
              <w:rPr>
                <w:rFonts w:hint="eastAsia" w:ascii="Times New Roman" w:hAnsi="Times New Roman" w:eastAsiaTheme="minorEastAsia"/>
                <w:szCs w:val="21"/>
              </w:rPr>
              <w:t>提供</w:t>
            </w:r>
            <w:r>
              <w:rPr>
                <w:rFonts w:eastAsiaTheme="minorEastAsia"/>
                <w:szCs w:val="21"/>
              </w:rPr>
              <w:t>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445" w:type="pct"/>
            <w:vAlign w:val="center"/>
          </w:tcPr>
          <w:p>
            <w:pPr>
              <w:widowControl w:val="0"/>
              <w:numPr>
                <w:ilvl w:val="0"/>
                <w:numId w:val="89"/>
              </w:numPr>
              <w:autoSpaceDE w:val="0"/>
              <w:autoSpaceDN w:val="0"/>
              <w:adjustRightInd w:val="0"/>
              <w:spacing w:line="360" w:lineRule="auto"/>
              <w:jc w:val="both"/>
              <w:rPr>
                <w:rFonts w:eastAsiaTheme="minorEastAsia"/>
                <w:szCs w:val="21"/>
              </w:rPr>
            </w:pPr>
          </w:p>
        </w:tc>
        <w:tc>
          <w:tcPr>
            <w:tcW w:w="422" w:type="pct"/>
            <w:vAlign w:val="center"/>
          </w:tcPr>
          <w:p>
            <w:pPr>
              <w:jc w:val="center"/>
              <w:rPr>
                <w:rFonts w:eastAsiaTheme="minorEastAsia"/>
                <w:szCs w:val="21"/>
              </w:rPr>
            </w:pPr>
            <w:r>
              <w:rPr>
                <w:rFonts w:hint="eastAsia" w:ascii="宋体" w:hAnsi="宋体" w:eastAsiaTheme="minorEastAsia"/>
                <w:szCs w:val="21"/>
              </w:rPr>
              <w:t>★</w:t>
            </w:r>
          </w:p>
        </w:tc>
        <w:tc>
          <w:tcPr>
            <w:tcW w:w="584" w:type="pct"/>
            <w:vAlign w:val="center"/>
          </w:tcPr>
          <w:p>
            <w:pPr>
              <w:jc w:val="center"/>
              <w:rPr>
                <w:rFonts w:eastAsiaTheme="minorEastAsia"/>
                <w:szCs w:val="21"/>
              </w:rPr>
            </w:pPr>
            <w:r>
              <w:rPr>
                <w:rFonts w:hint="eastAsia" w:eastAsiaTheme="minorEastAsia"/>
                <w:szCs w:val="21"/>
              </w:rPr>
              <w:t>安卓8.0解锁能力</w:t>
            </w:r>
          </w:p>
        </w:tc>
        <w:tc>
          <w:tcPr>
            <w:tcW w:w="2737" w:type="pct"/>
            <w:vAlign w:val="center"/>
          </w:tcPr>
          <w:p>
            <w:pPr>
              <w:rPr>
                <w:rFonts w:eastAsiaTheme="minorEastAsia"/>
                <w:szCs w:val="21"/>
              </w:rPr>
            </w:pPr>
            <w:r>
              <w:rPr>
                <w:rFonts w:eastAsiaTheme="minorEastAsia"/>
                <w:szCs w:val="21"/>
              </w:rPr>
              <w:t>支持</w:t>
            </w:r>
            <w:r>
              <w:rPr>
                <w:rFonts w:hint="eastAsia" w:eastAsiaTheme="minorEastAsia"/>
                <w:szCs w:val="21"/>
              </w:rPr>
              <w:t>三星安卓8.0、小米安卓8.0系统可在关闭USB调试、手机有Bootloader锁的情况下解除屏幕锁，支持不少于2种型号手机</w:t>
            </w:r>
          </w:p>
        </w:tc>
        <w:tc>
          <w:tcPr>
            <w:tcW w:w="812" w:type="pct"/>
            <w:vAlign w:val="center"/>
          </w:tcPr>
          <w:p>
            <w:pPr>
              <w:jc w:val="center"/>
              <w:rPr>
                <w:rFonts w:eastAsiaTheme="minorEastAsia"/>
                <w:szCs w:val="21"/>
              </w:rPr>
            </w:pPr>
            <w:r>
              <w:rPr>
                <w:rFonts w:hint="eastAsia" w:ascii="Times New Roman" w:hAnsi="Times New Roman" w:eastAsiaTheme="minorEastAsia"/>
                <w:szCs w:val="21"/>
              </w:rPr>
              <w:t>提供</w:t>
            </w:r>
            <w:r>
              <w:rPr>
                <w:rFonts w:eastAsiaTheme="minorEastAsia"/>
                <w:szCs w:val="21"/>
              </w:rPr>
              <w:t>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445" w:type="pct"/>
            <w:vAlign w:val="center"/>
          </w:tcPr>
          <w:p>
            <w:pPr>
              <w:widowControl w:val="0"/>
              <w:numPr>
                <w:ilvl w:val="0"/>
                <w:numId w:val="89"/>
              </w:numPr>
              <w:autoSpaceDE w:val="0"/>
              <w:autoSpaceDN w:val="0"/>
              <w:adjustRightInd w:val="0"/>
              <w:spacing w:line="360" w:lineRule="auto"/>
              <w:jc w:val="both"/>
              <w:rPr>
                <w:rFonts w:eastAsiaTheme="minorEastAsia"/>
                <w:szCs w:val="21"/>
              </w:rPr>
            </w:pPr>
          </w:p>
        </w:tc>
        <w:tc>
          <w:tcPr>
            <w:tcW w:w="422" w:type="pct"/>
            <w:vAlign w:val="center"/>
          </w:tcPr>
          <w:p>
            <w:pPr>
              <w:jc w:val="center"/>
              <w:rPr>
                <w:rFonts w:eastAsiaTheme="minorEastAsia"/>
                <w:szCs w:val="21"/>
              </w:rPr>
            </w:pPr>
            <w:r>
              <w:rPr>
                <w:rFonts w:hint="eastAsia" w:ascii="宋体" w:hAnsi="宋体" w:eastAsiaTheme="minorEastAsia"/>
                <w:szCs w:val="21"/>
              </w:rPr>
              <w:t>★</w:t>
            </w:r>
          </w:p>
        </w:tc>
        <w:tc>
          <w:tcPr>
            <w:tcW w:w="584" w:type="pct"/>
            <w:vAlign w:val="center"/>
          </w:tcPr>
          <w:p>
            <w:pPr>
              <w:jc w:val="center"/>
              <w:rPr>
                <w:rFonts w:eastAsiaTheme="minorEastAsia"/>
                <w:szCs w:val="21"/>
              </w:rPr>
            </w:pPr>
            <w:r>
              <w:rPr>
                <w:rFonts w:hint="eastAsia" w:eastAsiaTheme="minorEastAsia"/>
                <w:szCs w:val="21"/>
              </w:rPr>
              <w:t>安卓7.0解锁能力</w:t>
            </w:r>
          </w:p>
        </w:tc>
        <w:tc>
          <w:tcPr>
            <w:tcW w:w="2737" w:type="pct"/>
            <w:vAlign w:val="center"/>
          </w:tcPr>
          <w:p>
            <w:pPr>
              <w:rPr>
                <w:rFonts w:eastAsiaTheme="minorEastAsia"/>
                <w:szCs w:val="21"/>
              </w:rPr>
            </w:pPr>
            <w:r>
              <w:rPr>
                <w:rFonts w:hint="eastAsia" w:eastAsiaTheme="minorEastAsia"/>
                <w:szCs w:val="21"/>
              </w:rPr>
              <w:t>支持三星安卓7.0、华为安卓7.0系统可在关闭USB调试、手机有Bootloader锁的情况下，对手机进行ROOT并解除屏幕锁，提取镜像，支持不少于2种型号手机</w:t>
            </w:r>
          </w:p>
        </w:tc>
        <w:tc>
          <w:tcPr>
            <w:tcW w:w="812" w:type="pct"/>
            <w:vAlign w:val="center"/>
          </w:tcPr>
          <w:p>
            <w:pPr>
              <w:jc w:val="center"/>
              <w:rPr>
                <w:rFonts w:eastAsiaTheme="minorEastAsia"/>
                <w:szCs w:val="21"/>
              </w:rPr>
            </w:pPr>
            <w:r>
              <w:rPr>
                <w:rFonts w:hint="eastAsia" w:ascii="Times New Roman" w:hAnsi="Times New Roman" w:eastAsiaTheme="minorEastAsia"/>
                <w:szCs w:val="21"/>
              </w:rPr>
              <w:t>提供</w:t>
            </w:r>
            <w:r>
              <w:rPr>
                <w:rFonts w:eastAsiaTheme="minorEastAsia"/>
                <w:szCs w:val="21"/>
              </w:rPr>
              <w:t>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445" w:type="pct"/>
            <w:vAlign w:val="center"/>
          </w:tcPr>
          <w:p>
            <w:pPr>
              <w:widowControl w:val="0"/>
              <w:numPr>
                <w:ilvl w:val="0"/>
                <w:numId w:val="89"/>
              </w:numPr>
              <w:autoSpaceDE w:val="0"/>
              <w:autoSpaceDN w:val="0"/>
              <w:adjustRightInd w:val="0"/>
              <w:spacing w:line="360" w:lineRule="auto"/>
              <w:jc w:val="both"/>
              <w:rPr>
                <w:rFonts w:eastAsiaTheme="minorEastAsia"/>
                <w:szCs w:val="21"/>
              </w:rPr>
            </w:pPr>
          </w:p>
        </w:tc>
        <w:tc>
          <w:tcPr>
            <w:tcW w:w="422" w:type="pct"/>
            <w:vAlign w:val="center"/>
          </w:tcPr>
          <w:p>
            <w:pPr>
              <w:jc w:val="center"/>
              <w:rPr>
                <w:rFonts w:eastAsiaTheme="minorEastAsia"/>
                <w:szCs w:val="21"/>
              </w:rPr>
            </w:pPr>
            <w:r>
              <w:rPr>
                <w:rFonts w:hint="eastAsia" w:ascii="宋体" w:hAnsi="宋体" w:eastAsiaTheme="minorEastAsia"/>
                <w:szCs w:val="21"/>
              </w:rPr>
              <w:t>★</w:t>
            </w:r>
          </w:p>
        </w:tc>
        <w:tc>
          <w:tcPr>
            <w:tcW w:w="584" w:type="pct"/>
            <w:vAlign w:val="center"/>
          </w:tcPr>
          <w:p>
            <w:pPr>
              <w:jc w:val="center"/>
              <w:rPr>
                <w:rFonts w:eastAsiaTheme="minorEastAsia"/>
                <w:szCs w:val="21"/>
              </w:rPr>
            </w:pPr>
            <w:r>
              <w:rPr>
                <w:rFonts w:hint="eastAsia" w:eastAsiaTheme="minorEastAsia"/>
                <w:szCs w:val="21"/>
              </w:rPr>
              <w:t>安卓7.1解锁能力</w:t>
            </w:r>
          </w:p>
        </w:tc>
        <w:tc>
          <w:tcPr>
            <w:tcW w:w="2737" w:type="pct"/>
            <w:vAlign w:val="center"/>
          </w:tcPr>
          <w:p>
            <w:pPr>
              <w:rPr>
                <w:rFonts w:eastAsiaTheme="minorEastAsia"/>
                <w:szCs w:val="21"/>
              </w:rPr>
            </w:pPr>
            <w:r>
              <w:rPr>
                <w:rFonts w:hint="eastAsia" w:eastAsiaTheme="minorEastAsia"/>
                <w:szCs w:val="21"/>
              </w:rPr>
              <w:t>支持OPPO安卓7.1、金立安卓7.1系统可在关闭USB调试的情况下ROOT并解除屏幕锁、提取镜像(userdata分区)，支持不少于2种型号手机</w:t>
            </w:r>
          </w:p>
        </w:tc>
        <w:tc>
          <w:tcPr>
            <w:tcW w:w="812" w:type="pct"/>
            <w:vAlign w:val="center"/>
          </w:tcPr>
          <w:p>
            <w:pPr>
              <w:jc w:val="center"/>
              <w:rPr>
                <w:rFonts w:eastAsiaTheme="minorEastAsia"/>
                <w:szCs w:val="21"/>
              </w:rPr>
            </w:pPr>
            <w:r>
              <w:rPr>
                <w:rFonts w:hint="eastAsia" w:ascii="Times New Roman" w:hAnsi="Times New Roman" w:eastAsiaTheme="minorEastAsia"/>
                <w:szCs w:val="21"/>
              </w:rPr>
              <w:t>提供</w:t>
            </w:r>
            <w:r>
              <w:rPr>
                <w:rFonts w:eastAsiaTheme="minorEastAsia"/>
                <w:szCs w:val="21"/>
              </w:rPr>
              <w:t>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445" w:type="pct"/>
            <w:vAlign w:val="center"/>
          </w:tcPr>
          <w:p>
            <w:pPr>
              <w:widowControl w:val="0"/>
              <w:numPr>
                <w:ilvl w:val="0"/>
                <w:numId w:val="89"/>
              </w:numPr>
              <w:autoSpaceDE w:val="0"/>
              <w:autoSpaceDN w:val="0"/>
              <w:adjustRightInd w:val="0"/>
              <w:spacing w:line="360" w:lineRule="auto"/>
              <w:jc w:val="both"/>
              <w:rPr>
                <w:rFonts w:eastAsiaTheme="minorEastAsia"/>
                <w:szCs w:val="21"/>
              </w:rPr>
            </w:pPr>
          </w:p>
        </w:tc>
        <w:tc>
          <w:tcPr>
            <w:tcW w:w="422" w:type="pct"/>
            <w:vAlign w:val="center"/>
          </w:tcPr>
          <w:p>
            <w:pPr>
              <w:jc w:val="center"/>
              <w:rPr>
                <w:rFonts w:eastAsiaTheme="minorEastAsia"/>
                <w:szCs w:val="21"/>
              </w:rPr>
            </w:pPr>
          </w:p>
        </w:tc>
        <w:tc>
          <w:tcPr>
            <w:tcW w:w="584" w:type="pct"/>
            <w:vAlign w:val="center"/>
          </w:tcPr>
          <w:p>
            <w:pPr>
              <w:jc w:val="center"/>
              <w:rPr>
                <w:rFonts w:eastAsiaTheme="minorEastAsia"/>
                <w:szCs w:val="21"/>
              </w:rPr>
            </w:pPr>
            <w:r>
              <w:rPr>
                <w:rFonts w:eastAsiaTheme="minorEastAsia"/>
                <w:szCs w:val="21"/>
              </w:rPr>
              <w:t>文件解析能力</w:t>
            </w:r>
          </w:p>
        </w:tc>
        <w:tc>
          <w:tcPr>
            <w:tcW w:w="2737" w:type="pct"/>
            <w:vAlign w:val="center"/>
          </w:tcPr>
          <w:p>
            <w:pPr>
              <w:rPr>
                <w:rFonts w:eastAsiaTheme="minorEastAsia"/>
                <w:szCs w:val="21"/>
              </w:rPr>
            </w:pPr>
            <w:r>
              <w:rPr>
                <w:rFonts w:eastAsiaTheme="minorEastAsia"/>
                <w:szCs w:val="21"/>
              </w:rPr>
              <w:t>支持</w:t>
            </w:r>
            <w:r>
              <w:rPr>
                <w:rFonts w:hint="eastAsia" w:eastAsiaTheme="minorEastAsia"/>
                <w:szCs w:val="21"/>
              </w:rPr>
              <w:t>不少于10种</w:t>
            </w:r>
            <w:r>
              <w:rPr>
                <w:rFonts w:eastAsiaTheme="minorEastAsia"/>
                <w:szCs w:val="21"/>
              </w:rPr>
              <w:t>常见检材格式的解析，包括</w:t>
            </w:r>
            <w:r>
              <w:rPr>
                <w:rFonts w:hint="eastAsia" w:eastAsiaTheme="minorEastAsia"/>
                <w:szCs w:val="21"/>
              </w:rPr>
              <w:t>但不限于</w:t>
            </w:r>
            <w:r>
              <w:rPr>
                <w:rFonts w:eastAsiaTheme="minorEastAsia"/>
                <w:szCs w:val="21"/>
              </w:rPr>
              <w:t>iTunes备份目录、苹果文件夹、苹果逻辑镜像（.tar）、安卓文件夹、安卓adb备份（.ab）、安卓物理镜像（dd）、安卓逻辑镜像（.tar,.zip）、华为自备份、小米自备份、VIVO互传备份、OPPO自备份、魅族自备份（目录）、魅族自备份（.zip）、YunOS备份等多种检材解析</w:t>
            </w:r>
          </w:p>
        </w:tc>
        <w:tc>
          <w:tcPr>
            <w:tcW w:w="812" w:type="pct"/>
            <w:vAlign w:val="center"/>
          </w:tcPr>
          <w:p>
            <w:pPr>
              <w:jc w:val="center"/>
              <w:rPr>
                <w:rFonts w:eastAsiaTheme="minorEastAsia"/>
                <w:szCs w:val="21"/>
              </w:rPr>
            </w:pPr>
            <w:r>
              <w:rPr>
                <w:rFonts w:ascii="Times New Roman" w:hAnsi="Times New Roman" w:eastAsiaTheme="min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445" w:type="pct"/>
            <w:vAlign w:val="center"/>
          </w:tcPr>
          <w:p>
            <w:pPr>
              <w:widowControl w:val="0"/>
              <w:numPr>
                <w:ilvl w:val="0"/>
                <w:numId w:val="89"/>
              </w:numPr>
              <w:autoSpaceDE w:val="0"/>
              <w:autoSpaceDN w:val="0"/>
              <w:adjustRightInd w:val="0"/>
              <w:spacing w:line="360" w:lineRule="auto"/>
              <w:jc w:val="both"/>
              <w:rPr>
                <w:rFonts w:eastAsiaTheme="minorEastAsia"/>
                <w:szCs w:val="21"/>
              </w:rPr>
            </w:pPr>
          </w:p>
        </w:tc>
        <w:tc>
          <w:tcPr>
            <w:tcW w:w="422" w:type="pct"/>
            <w:vAlign w:val="center"/>
          </w:tcPr>
          <w:p>
            <w:pPr>
              <w:jc w:val="center"/>
              <w:rPr>
                <w:rFonts w:eastAsiaTheme="minorEastAsia"/>
                <w:szCs w:val="21"/>
              </w:rPr>
            </w:pPr>
          </w:p>
        </w:tc>
        <w:tc>
          <w:tcPr>
            <w:tcW w:w="584" w:type="pct"/>
            <w:vAlign w:val="center"/>
          </w:tcPr>
          <w:p>
            <w:pPr>
              <w:jc w:val="center"/>
              <w:rPr>
                <w:rFonts w:eastAsiaTheme="minorEastAsia"/>
                <w:szCs w:val="21"/>
              </w:rPr>
            </w:pPr>
            <w:r>
              <w:rPr>
                <w:rFonts w:eastAsiaTheme="minorEastAsia"/>
                <w:szCs w:val="21"/>
              </w:rPr>
              <w:t>镜像提取能力</w:t>
            </w:r>
          </w:p>
        </w:tc>
        <w:tc>
          <w:tcPr>
            <w:tcW w:w="2737" w:type="pct"/>
            <w:vAlign w:val="center"/>
          </w:tcPr>
          <w:p>
            <w:pPr>
              <w:rPr>
                <w:rFonts w:eastAsiaTheme="minorEastAsia"/>
                <w:szCs w:val="21"/>
              </w:rPr>
            </w:pPr>
            <w:r>
              <w:rPr>
                <w:rFonts w:eastAsiaTheme="minorEastAsia"/>
                <w:szCs w:val="21"/>
              </w:rPr>
              <w:t>支持</w:t>
            </w:r>
            <w:r>
              <w:rPr>
                <w:rFonts w:hint="eastAsia" w:eastAsiaTheme="minorEastAsia"/>
                <w:szCs w:val="21"/>
              </w:rPr>
              <w:t>不少于5种</w:t>
            </w:r>
            <w:r>
              <w:rPr>
                <w:rFonts w:eastAsiaTheme="minorEastAsia"/>
                <w:szCs w:val="21"/>
              </w:rPr>
              <w:t>未加密安卓手机直接提取镜像</w:t>
            </w:r>
            <w:r>
              <w:rPr>
                <w:rFonts w:hint="eastAsia" w:eastAsiaTheme="minorEastAsia"/>
                <w:szCs w:val="21"/>
              </w:rPr>
              <w:t>，包括但不限于</w:t>
            </w:r>
            <w:r>
              <w:rPr>
                <w:rFonts w:eastAsiaTheme="minorEastAsia"/>
                <w:szCs w:val="21"/>
              </w:rPr>
              <w:t>高通9006镜像、9008镜像、RE镜像、MTK联发科镜像、ISP镜像、eMMC/UFS芯片镜像</w:t>
            </w:r>
          </w:p>
        </w:tc>
        <w:tc>
          <w:tcPr>
            <w:tcW w:w="812" w:type="pct"/>
            <w:vAlign w:val="center"/>
          </w:tcPr>
          <w:p>
            <w:pPr>
              <w:jc w:val="center"/>
              <w:rPr>
                <w:rFonts w:eastAsiaTheme="minorEastAsia"/>
                <w:szCs w:val="21"/>
              </w:rPr>
            </w:pPr>
            <w:r>
              <w:rPr>
                <w:rFonts w:ascii="Times New Roman" w:hAnsi="Times New Roman" w:eastAsiaTheme="min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445" w:type="pct"/>
            <w:vAlign w:val="center"/>
          </w:tcPr>
          <w:p>
            <w:pPr>
              <w:widowControl w:val="0"/>
              <w:numPr>
                <w:ilvl w:val="0"/>
                <w:numId w:val="89"/>
              </w:numPr>
              <w:autoSpaceDE w:val="0"/>
              <w:autoSpaceDN w:val="0"/>
              <w:adjustRightInd w:val="0"/>
              <w:spacing w:line="360" w:lineRule="auto"/>
              <w:jc w:val="both"/>
              <w:rPr>
                <w:rFonts w:eastAsiaTheme="minorEastAsia"/>
                <w:szCs w:val="21"/>
              </w:rPr>
            </w:pPr>
          </w:p>
        </w:tc>
        <w:tc>
          <w:tcPr>
            <w:tcW w:w="422" w:type="pct"/>
            <w:vAlign w:val="center"/>
          </w:tcPr>
          <w:p>
            <w:pPr>
              <w:jc w:val="center"/>
              <w:rPr>
                <w:rFonts w:eastAsiaTheme="minorEastAsia"/>
                <w:szCs w:val="21"/>
              </w:rPr>
            </w:pPr>
          </w:p>
        </w:tc>
        <w:tc>
          <w:tcPr>
            <w:tcW w:w="584" w:type="pct"/>
            <w:vAlign w:val="center"/>
          </w:tcPr>
          <w:p>
            <w:pPr>
              <w:jc w:val="center"/>
              <w:rPr>
                <w:rFonts w:eastAsiaTheme="minorEastAsia"/>
                <w:szCs w:val="21"/>
              </w:rPr>
            </w:pPr>
            <w:r>
              <w:rPr>
                <w:rFonts w:eastAsiaTheme="minorEastAsia"/>
                <w:szCs w:val="21"/>
              </w:rPr>
              <w:t>手机数据提取和恢复能力</w:t>
            </w:r>
          </w:p>
        </w:tc>
        <w:tc>
          <w:tcPr>
            <w:tcW w:w="2737" w:type="pct"/>
            <w:vAlign w:val="center"/>
          </w:tcPr>
          <w:p>
            <w:pPr>
              <w:rPr>
                <w:rFonts w:eastAsiaTheme="minorEastAsia"/>
                <w:szCs w:val="21"/>
              </w:rPr>
            </w:pPr>
            <w:r>
              <w:rPr>
                <w:rFonts w:eastAsiaTheme="minorEastAsia"/>
                <w:szCs w:val="21"/>
              </w:rPr>
              <w:t>支持</w:t>
            </w:r>
            <w:r>
              <w:rPr>
                <w:rFonts w:hint="eastAsia" w:eastAsiaTheme="minorEastAsia"/>
                <w:szCs w:val="21"/>
              </w:rPr>
              <w:t>不少于2种</w:t>
            </w:r>
            <w:r>
              <w:rPr>
                <w:rFonts w:eastAsiaTheme="minorEastAsia"/>
                <w:szCs w:val="21"/>
              </w:rPr>
              <w:t>手机</w:t>
            </w:r>
            <w:r>
              <w:rPr>
                <w:rFonts w:hint="eastAsia" w:eastAsiaTheme="minorEastAsia"/>
                <w:szCs w:val="21"/>
              </w:rPr>
              <w:t>品牌，</w:t>
            </w:r>
            <w:r>
              <w:rPr>
                <w:rFonts w:eastAsiaTheme="minorEastAsia"/>
                <w:szCs w:val="21"/>
              </w:rPr>
              <w:t>已删除数据的恢复</w:t>
            </w:r>
            <w:r>
              <w:rPr>
                <w:rFonts w:hint="eastAsia" w:eastAsiaTheme="minorEastAsia"/>
                <w:szCs w:val="21"/>
              </w:rPr>
              <w:t>，</w:t>
            </w:r>
            <w:r>
              <w:rPr>
                <w:rFonts w:eastAsiaTheme="minorEastAsia"/>
                <w:szCs w:val="21"/>
              </w:rPr>
              <w:t>手机内存镜像的获取和解析，包括</w:t>
            </w:r>
            <w:r>
              <w:rPr>
                <w:rFonts w:hint="eastAsia" w:eastAsiaTheme="minorEastAsia"/>
                <w:szCs w:val="21"/>
              </w:rPr>
              <w:t>但不限于</w:t>
            </w:r>
            <w:r>
              <w:rPr>
                <w:rFonts w:eastAsiaTheme="minorEastAsia"/>
                <w:szCs w:val="21"/>
              </w:rPr>
              <w:t>：iPhone手机、Android手机</w:t>
            </w:r>
          </w:p>
        </w:tc>
        <w:tc>
          <w:tcPr>
            <w:tcW w:w="812" w:type="pct"/>
            <w:vAlign w:val="center"/>
          </w:tcPr>
          <w:p>
            <w:pPr>
              <w:jc w:val="center"/>
              <w:rPr>
                <w:rFonts w:eastAsiaTheme="minorEastAsia"/>
                <w:szCs w:val="21"/>
              </w:rPr>
            </w:pPr>
            <w:r>
              <w:rPr>
                <w:rFonts w:ascii="Times New Roman" w:hAnsi="Times New Roman" w:eastAsiaTheme="min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445" w:type="pct"/>
            <w:vAlign w:val="center"/>
          </w:tcPr>
          <w:p>
            <w:pPr>
              <w:widowControl w:val="0"/>
              <w:numPr>
                <w:ilvl w:val="0"/>
                <w:numId w:val="89"/>
              </w:numPr>
              <w:autoSpaceDE w:val="0"/>
              <w:autoSpaceDN w:val="0"/>
              <w:adjustRightInd w:val="0"/>
              <w:spacing w:line="360" w:lineRule="auto"/>
              <w:jc w:val="both"/>
              <w:rPr>
                <w:rFonts w:eastAsiaTheme="minorEastAsia"/>
                <w:szCs w:val="21"/>
              </w:rPr>
            </w:pPr>
          </w:p>
        </w:tc>
        <w:tc>
          <w:tcPr>
            <w:tcW w:w="422" w:type="pct"/>
            <w:vAlign w:val="center"/>
          </w:tcPr>
          <w:p>
            <w:pPr>
              <w:jc w:val="center"/>
              <w:rPr>
                <w:rFonts w:eastAsiaTheme="minorEastAsia"/>
                <w:szCs w:val="21"/>
              </w:rPr>
            </w:pPr>
          </w:p>
        </w:tc>
        <w:tc>
          <w:tcPr>
            <w:tcW w:w="584" w:type="pct"/>
            <w:vAlign w:val="center"/>
          </w:tcPr>
          <w:p>
            <w:pPr>
              <w:jc w:val="center"/>
              <w:rPr>
                <w:rFonts w:eastAsiaTheme="minorEastAsia"/>
                <w:szCs w:val="21"/>
              </w:rPr>
            </w:pPr>
            <w:r>
              <w:rPr>
                <w:rFonts w:eastAsiaTheme="minorEastAsia"/>
                <w:szCs w:val="21"/>
              </w:rPr>
              <w:t>Android手机数据恢复</w:t>
            </w:r>
          </w:p>
        </w:tc>
        <w:tc>
          <w:tcPr>
            <w:tcW w:w="2737" w:type="pct"/>
            <w:vAlign w:val="center"/>
          </w:tcPr>
          <w:p>
            <w:pPr>
              <w:rPr>
                <w:rFonts w:eastAsiaTheme="minorEastAsia"/>
                <w:szCs w:val="21"/>
              </w:rPr>
            </w:pPr>
            <w:r>
              <w:rPr>
                <w:rFonts w:eastAsiaTheme="minorEastAsia"/>
                <w:szCs w:val="21"/>
              </w:rPr>
              <w:t>支持Android手机基于镜像的深度数据恢复，可深度恢复</w:t>
            </w:r>
            <w:r>
              <w:rPr>
                <w:rFonts w:hint="eastAsia" w:eastAsiaTheme="minorEastAsia"/>
                <w:szCs w:val="21"/>
              </w:rPr>
              <w:t>不少于2种APP，包括</w:t>
            </w:r>
            <w:r>
              <w:rPr>
                <w:rFonts w:eastAsiaTheme="minorEastAsia"/>
                <w:szCs w:val="21"/>
              </w:rPr>
              <w:t>微信、短信</w:t>
            </w:r>
          </w:p>
        </w:tc>
        <w:tc>
          <w:tcPr>
            <w:tcW w:w="812" w:type="pct"/>
            <w:vAlign w:val="center"/>
          </w:tcPr>
          <w:p>
            <w:pPr>
              <w:jc w:val="center"/>
              <w:rPr>
                <w:rFonts w:eastAsiaTheme="minorEastAsia"/>
                <w:szCs w:val="21"/>
              </w:rPr>
            </w:pPr>
            <w:r>
              <w:rPr>
                <w:rFonts w:ascii="Times New Roman" w:hAnsi="Times New Roman" w:eastAsiaTheme="min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445" w:type="pct"/>
            <w:vAlign w:val="center"/>
          </w:tcPr>
          <w:p>
            <w:pPr>
              <w:widowControl w:val="0"/>
              <w:numPr>
                <w:ilvl w:val="0"/>
                <w:numId w:val="89"/>
              </w:numPr>
              <w:autoSpaceDE w:val="0"/>
              <w:autoSpaceDN w:val="0"/>
              <w:adjustRightInd w:val="0"/>
              <w:spacing w:line="360" w:lineRule="auto"/>
              <w:jc w:val="both"/>
              <w:rPr>
                <w:rFonts w:eastAsiaTheme="minorEastAsia"/>
                <w:szCs w:val="21"/>
              </w:rPr>
            </w:pPr>
          </w:p>
        </w:tc>
        <w:tc>
          <w:tcPr>
            <w:tcW w:w="422" w:type="pct"/>
            <w:vAlign w:val="center"/>
          </w:tcPr>
          <w:p>
            <w:pPr>
              <w:jc w:val="center"/>
              <w:rPr>
                <w:rFonts w:eastAsiaTheme="minorEastAsia"/>
                <w:szCs w:val="21"/>
              </w:rPr>
            </w:pPr>
          </w:p>
        </w:tc>
        <w:tc>
          <w:tcPr>
            <w:tcW w:w="584" w:type="pct"/>
            <w:vAlign w:val="center"/>
          </w:tcPr>
          <w:p>
            <w:pPr>
              <w:jc w:val="center"/>
              <w:rPr>
                <w:rFonts w:eastAsiaTheme="minorEastAsia"/>
                <w:szCs w:val="21"/>
              </w:rPr>
            </w:pPr>
            <w:r>
              <w:rPr>
                <w:rFonts w:hint="eastAsia" w:eastAsiaTheme="minorEastAsia"/>
                <w:szCs w:val="21"/>
              </w:rPr>
              <w:t>工具箱</w:t>
            </w:r>
          </w:p>
        </w:tc>
        <w:tc>
          <w:tcPr>
            <w:tcW w:w="2737" w:type="pct"/>
            <w:vAlign w:val="center"/>
          </w:tcPr>
          <w:p>
            <w:pPr>
              <w:rPr>
                <w:rFonts w:eastAsiaTheme="minorEastAsia"/>
                <w:szCs w:val="21"/>
              </w:rPr>
            </w:pPr>
            <w:r>
              <w:rPr>
                <w:rFonts w:eastAsiaTheme="minorEastAsia"/>
                <w:szCs w:val="21"/>
              </w:rPr>
              <w:t>支</w:t>
            </w:r>
            <w:r>
              <w:rPr>
                <w:rFonts w:hint="eastAsia" w:eastAsiaTheme="minorEastAsia"/>
                <w:szCs w:val="21"/>
              </w:rPr>
              <w:t>持不少于8种辅助小工具功能，包括：安卓图片挖掘、三星逻辑提取、VIVO逻辑提取、OPPO逻辑提取、华为逻辑提取、小米逻辑提取，哈希值计算；安卓媒体文件提取</w:t>
            </w:r>
          </w:p>
        </w:tc>
        <w:tc>
          <w:tcPr>
            <w:tcW w:w="812" w:type="pct"/>
            <w:vAlign w:val="center"/>
          </w:tcPr>
          <w:p>
            <w:pPr>
              <w:jc w:val="center"/>
              <w:rPr>
                <w:rFonts w:eastAsiaTheme="minorEastAsia"/>
                <w:szCs w:val="21"/>
              </w:rPr>
            </w:pPr>
            <w:r>
              <w:rPr>
                <w:rFonts w:ascii="Times New Roman" w:hAnsi="Times New Roman" w:eastAsiaTheme="min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445" w:type="pct"/>
            <w:vAlign w:val="center"/>
          </w:tcPr>
          <w:p>
            <w:pPr>
              <w:widowControl w:val="0"/>
              <w:numPr>
                <w:ilvl w:val="0"/>
                <w:numId w:val="89"/>
              </w:numPr>
              <w:autoSpaceDE w:val="0"/>
              <w:autoSpaceDN w:val="0"/>
              <w:adjustRightInd w:val="0"/>
              <w:spacing w:line="360" w:lineRule="auto"/>
              <w:jc w:val="both"/>
              <w:rPr>
                <w:rFonts w:eastAsiaTheme="minorEastAsia"/>
                <w:szCs w:val="21"/>
              </w:rPr>
            </w:pPr>
          </w:p>
        </w:tc>
        <w:tc>
          <w:tcPr>
            <w:tcW w:w="422" w:type="pct"/>
            <w:vAlign w:val="center"/>
          </w:tcPr>
          <w:p>
            <w:pPr>
              <w:jc w:val="center"/>
              <w:rPr>
                <w:rFonts w:eastAsiaTheme="minorEastAsia"/>
                <w:szCs w:val="21"/>
              </w:rPr>
            </w:pPr>
          </w:p>
        </w:tc>
        <w:tc>
          <w:tcPr>
            <w:tcW w:w="584" w:type="pct"/>
            <w:vAlign w:val="center"/>
          </w:tcPr>
          <w:p>
            <w:pPr>
              <w:jc w:val="center"/>
              <w:rPr>
                <w:rFonts w:eastAsiaTheme="minorEastAsia"/>
                <w:szCs w:val="21"/>
              </w:rPr>
            </w:pPr>
            <w:r>
              <w:rPr>
                <w:rFonts w:hint="eastAsia" w:eastAsiaTheme="minorEastAsia"/>
                <w:szCs w:val="21"/>
              </w:rPr>
              <w:t>提取方式</w:t>
            </w:r>
          </w:p>
        </w:tc>
        <w:tc>
          <w:tcPr>
            <w:tcW w:w="2737" w:type="pct"/>
            <w:vAlign w:val="center"/>
          </w:tcPr>
          <w:p>
            <w:pPr>
              <w:rPr>
                <w:rFonts w:eastAsiaTheme="minorEastAsia"/>
                <w:szCs w:val="21"/>
              </w:rPr>
            </w:pPr>
            <w:r>
              <w:rPr>
                <w:rFonts w:hint="eastAsia" w:eastAsiaTheme="minorEastAsia"/>
                <w:szCs w:val="21"/>
              </w:rPr>
              <w:t>支持不少4种手机数据提取方式，包括数据线连接方式提取、TF卡备份提取、OTG备份提取、WIFI方式提取</w:t>
            </w:r>
          </w:p>
        </w:tc>
        <w:tc>
          <w:tcPr>
            <w:tcW w:w="812" w:type="pct"/>
            <w:vAlign w:val="center"/>
          </w:tcPr>
          <w:p>
            <w:pPr>
              <w:jc w:val="center"/>
              <w:rPr>
                <w:rFonts w:ascii="Times New Roman" w:hAnsi="Times New Roman" w:eastAsiaTheme="minorEastAsia"/>
                <w:szCs w:val="21"/>
              </w:rPr>
            </w:pPr>
            <w:r>
              <w:rPr>
                <w:rFonts w:ascii="Times New Roman" w:hAnsi="Times New Roman" w:eastAsiaTheme="minorEastAsia"/>
                <w:szCs w:val="21"/>
              </w:rPr>
              <w:t>/</w:t>
            </w:r>
          </w:p>
        </w:tc>
      </w:tr>
    </w:tbl>
    <w:p>
      <w:pPr>
        <w:pStyle w:val="5"/>
        <w:spacing w:before="15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第6包可视化关联分析系统</w:t>
      </w:r>
      <w:r>
        <w:rPr>
          <w:rFonts w:hint="default" w:ascii="Times New Roman" w:hAnsi="Times New Roman" w:cs="Times New Roman" w:eastAsiaTheme="minorEastAsia"/>
          <w:szCs w:val="21"/>
        </w:rPr>
        <w:t>Ⅱ</w:t>
      </w:r>
    </w:p>
    <w:tbl>
      <w:tblPr>
        <w:tblStyle w:val="8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7"/>
        <w:gridCol w:w="908"/>
        <w:gridCol w:w="968"/>
        <w:gridCol w:w="5509"/>
        <w:gridCol w:w="11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291" w:type="pct"/>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Theme="minorEastAsia"/>
                <w:b/>
                <w:szCs w:val="21"/>
              </w:rPr>
            </w:pPr>
            <w:r>
              <w:rPr>
                <w:rFonts w:hint="eastAsia" w:ascii="宋体" w:hAnsi="宋体" w:cs="宋体" w:eastAsiaTheme="minorEastAsia"/>
                <w:b/>
                <w:szCs w:val="21"/>
                <w:lang w:bidi="ar"/>
              </w:rPr>
              <w:t>序号</w:t>
            </w:r>
          </w:p>
        </w:tc>
        <w:tc>
          <w:tcPr>
            <w:tcW w:w="501" w:type="pct"/>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Theme="minorEastAsia"/>
                <w:b/>
                <w:szCs w:val="21"/>
              </w:rPr>
            </w:pPr>
            <w:r>
              <w:rPr>
                <w:rFonts w:hint="eastAsia" w:ascii="宋体" w:hAnsi="宋体" w:cs="宋体" w:eastAsiaTheme="minorEastAsia"/>
                <w:b/>
                <w:szCs w:val="21"/>
                <w:lang w:bidi="ar"/>
              </w:rPr>
              <w:t>重要性</w:t>
            </w:r>
          </w:p>
        </w:tc>
        <w:tc>
          <w:tcPr>
            <w:tcW w:w="534" w:type="pct"/>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Theme="minorEastAsia"/>
                <w:b/>
                <w:szCs w:val="21"/>
              </w:rPr>
            </w:pPr>
            <w:r>
              <w:rPr>
                <w:rFonts w:hint="eastAsia" w:ascii="宋体" w:hAnsi="宋体" w:cs="宋体" w:eastAsiaTheme="minorEastAsia"/>
                <w:b/>
                <w:szCs w:val="21"/>
                <w:lang w:bidi="ar"/>
              </w:rPr>
              <w:t>指标项</w:t>
            </w:r>
          </w:p>
        </w:tc>
        <w:tc>
          <w:tcPr>
            <w:tcW w:w="3040" w:type="pct"/>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Theme="minorEastAsia"/>
                <w:b/>
                <w:szCs w:val="21"/>
              </w:rPr>
            </w:pPr>
            <w:r>
              <w:rPr>
                <w:rFonts w:hint="eastAsia" w:ascii="宋体" w:hAnsi="宋体" w:cs="宋体" w:eastAsiaTheme="minorEastAsia"/>
                <w:b/>
                <w:szCs w:val="21"/>
                <w:lang w:bidi="ar"/>
              </w:rPr>
              <w:t>技术要求</w:t>
            </w:r>
          </w:p>
        </w:tc>
        <w:tc>
          <w:tcPr>
            <w:tcW w:w="632" w:type="pct"/>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Theme="minorEastAsia"/>
                <w:b/>
                <w:szCs w:val="21"/>
              </w:rPr>
            </w:pPr>
            <w:r>
              <w:rPr>
                <w:rFonts w:hint="eastAsia" w:ascii="宋体" w:hAnsi="宋体" w:cs="宋体" w:eastAsiaTheme="minorEastAsia"/>
                <w:b/>
                <w:szCs w:val="21"/>
                <w:lang w:bidi="ar"/>
              </w:rPr>
              <w:t>证明材料要求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291" w:type="pct"/>
            <w:tcBorders>
              <w:top w:val="single" w:color="auto" w:sz="4" w:space="0"/>
              <w:left w:val="single" w:color="auto" w:sz="4" w:space="0"/>
              <w:bottom w:val="single" w:color="auto" w:sz="4" w:space="0"/>
              <w:right w:val="single" w:color="auto" w:sz="4" w:space="0"/>
              <w:tl2br w:val="nil"/>
              <w:tr2bl w:val="nil"/>
            </w:tcBorders>
            <w:vAlign w:val="center"/>
          </w:tcPr>
          <w:p>
            <w:pPr>
              <w:widowControl w:val="0"/>
              <w:numPr>
                <w:ilvl w:val="0"/>
                <w:numId w:val="89"/>
              </w:numPr>
              <w:autoSpaceDE w:val="0"/>
              <w:autoSpaceDN w:val="0"/>
              <w:adjustRightInd w:val="0"/>
              <w:spacing w:line="360" w:lineRule="auto"/>
              <w:jc w:val="both"/>
              <w:rPr>
                <w:rFonts w:eastAsiaTheme="minorEastAsia"/>
                <w:szCs w:val="21"/>
              </w:rPr>
            </w:pPr>
          </w:p>
        </w:tc>
        <w:tc>
          <w:tcPr>
            <w:tcW w:w="501" w:type="pct"/>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Theme="minorEastAsia"/>
                <w:szCs w:val="21"/>
              </w:rPr>
            </w:pPr>
          </w:p>
        </w:tc>
        <w:tc>
          <w:tcPr>
            <w:tcW w:w="534" w:type="pct"/>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Theme="minorEastAsia"/>
                <w:szCs w:val="21"/>
              </w:rPr>
            </w:pPr>
            <w:r>
              <w:rPr>
                <w:rFonts w:hint="eastAsia" w:ascii="微软雅黑" w:hAnsi="微软雅黑" w:cs="微软雅黑" w:eastAsiaTheme="minorEastAsia"/>
                <w:szCs w:val="21"/>
              </w:rPr>
              <w:t>电子数据统一管理功能</w:t>
            </w:r>
          </w:p>
        </w:tc>
        <w:tc>
          <w:tcPr>
            <w:tcW w:w="3040" w:type="pct"/>
            <w:tcBorders>
              <w:top w:val="single" w:color="auto" w:sz="4" w:space="0"/>
              <w:left w:val="single" w:color="auto" w:sz="4" w:space="0"/>
              <w:bottom w:val="single" w:color="auto" w:sz="4" w:space="0"/>
              <w:right w:val="single" w:color="auto" w:sz="4" w:space="0"/>
              <w:tl2br w:val="nil"/>
              <w:tr2bl w:val="nil"/>
            </w:tcBorders>
            <w:vAlign w:val="center"/>
          </w:tcPr>
          <w:p>
            <w:pPr>
              <w:rPr>
                <w:rFonts w:eastAsiaTheme="minorEastAsia"/>
                <w:szCs w:val="21"/>
              </w:rPr>
            </w:pPr>
            <w:r>
              <w:rPr>
                <w:rFonts w:hint="eastAsia" w:eastAsiaTheme="minorEastAsia"/>
                <w:szCs w:val="21"/>
              </w:rPr>
              <w:t>支持提供2种以上报告文件的快速、批量导入功能；支持将案件信息作为关键字查找案件</w:t>
            </w:r>
          </w:p>
        </w:tc>
        <w:tc>
          <w:tcPr>
            <w:tcW w:w="632" w:type="pct"/>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Theme="minorEastAsia"/>
                <w:szCs w:val="21"/>
              </w:rPr>
            </w:pPr>
            <w:r>
              <w:rPr>
                <w:rFonts w:hint="eastAsia" w:ascii="宋体" w:hAnsi="宋体" w:eastAsiaTheme="min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291" w:type="pct"/>
            <w:tcBorders>
              <w:top w:val="single" w:color="auto" w:sz="4" w:space="0"/>
              <w:left w:val="single" w:color="auto" w:sz="4" w:space="0"/>
              <w:bottom w:val="single" w:color="auto" w:sz="4" w:space="0"/>
              <w:right w:val="single" w:color="auto" w:sz="4" w:space="0"/>
              <w:tl2br w:val="nil"/>
              <w:tr2bl w:val="nil"/>
            </w:tcBorders>
            <w:vAlign w:val="center"/>
          </w:tcPr>
          <w:p>
            <w:pPr>
              <w:widowControl w:val="0"/>
              <w:numPr>
                <w:ilvl w:val="0"/>
                <w:numId w:val="89"/>
              </w:numPr>
              <w:autoSpaceDE w:val="0"/>
              <w:autoSpaceDN w:val="0"/>
              <w:adjustRightInd w:val="0"/>
              <w:spacing w:line="360" w:lineRule="auto"/>
              <w:jc w:val="both"/>
              <w:rPr>
                <w:rFonts w:eastAsiaTheme="minorEastAsia"/>
                <w:szCs w:val="21"/>
              </w:rPr>
            </w:pPr>
          </w:p>
        </w:tc>
        <w:tc>
          <w:tcPr>
            <w:tcW w:w="501" w:type="pct"/>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Theme="minorEastAsia"/>
                <w:szCs w:val="21"/>
              </w:rPr>
            </w:pPr>
          </w:p>
        </w:tc>
        <w:tc>
          <w:tcPr>
            <w:tcW w:w="534" w:type="pct"/>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Theme="minorEastAsia"/>
                <w:szCs w:val="21"/>
              </w:rPr>
            </w:pPr>
            <w:r>
              <w:rPr>
                <w:rFonts w:hint="eastAsia" w:eastAsiaTheme="minorEastAsia"/>
                <w:szCs w:val="21"/>
              </w:rPr>
              <w:t>用户管理功能</w:t>
            </w:r>
          </w:p>
        </w:tc>
        <w:tc>
          <w:tcPr>
            <w:tcW w:w="3040" w:type="pct"/>
            <w:tcBorders>
              <w:top w:val="single" w:color="auto" w:sz="4" w:space="0"/>
              <w:left w:val="single" w:color="auto" w:sz="4" w:space="0"/>
              <w:bottom w:val="single" w:color="auto" w:sz="4" w:space="0"/>
              <w:right w:val="single" w:color="auto" w:sz="4" w:space="0"/>
              <w:tl2br w:val="nil"/>
              <w:tr2bl w:val="nil"/>
            </w:tcBorders>
            <w:vAlign w:val="center"/>
          </w:tcPr>
          <w:p>
            <w:pPr>
              <w:rPr>
                <w:rFonts w:eastAsiaTheme="minorEastAsia"/>
                <w:szCs w:val="21"/>
              </w:rPr>
            </w:pPr>
            <w:r>
              <w:rPr>
                <w:rFonts w:hint="eastAsia" w:eastAsiaTheme="minorEastAsia"/>
                <w:szCs w:val="21"/>
              </w:rPr>
              <w:t>支持功能权限管理，可以调配不少于2种权限用户使用系统，包括分配案件用户、导入案件用户</w:t>
            </w:r>
          </w:p>
        </w:tc>
        <w:tc>
          <w:tcPr>
            <w:tcW w:w="632" w:type="pct"/>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Theme="minorEastAsia"/>
                <w:szCs w:val="21"/>
              </w:rPr>
            </w:pPr>
            <w:r>
              <w:rPr>
                <w:rFonts w:hint="eastAsia" w:ascii="宋体" w:hAnsi="宋体" w:eastAsiaTheme="min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291" w:type="pct"/>
            <w:tcBorders>
              <w:top w:val="single" w:color="auto" w:sz="4" w:space="0"/>
              <w:left w:val="single" w:color="auto" w:sz="4" w:space="0"/>
              <w:bottom w:val="single" w:color="auto" w:sz="4" w:space="0"/>
              <w:right w:val="single" w:color="auto" w:sz="4" w:space="0"/>
              <w:tl2br w:val="nil"/>
              <w:tr2bl w:val="nil"/>
            </w:tcBorders>
            <w:vAlign w:val="center"/>
          </w:tcPr>
          <w:p>
            <w:pPr>
              <w:widowControl w:val="0"/>
              <w:numPr>
                <w:ilvl w:val="0"/>
                <w:numId w:val="89"/>
              </w:numPr>
              <w:autoSpaceDE w:val="0"/>
              <w:autoSpaceDN w:val="0"/>
              <w:adjustRightInd w:val="0"/>
              <w:spacing w:line="360" w:lineRule="auto"/>
              <w:jc w:val="both"/>
              <w:rPr>
                <w:rFonts w:eastAsiaTheme="minorEastAsia"/>
                <w:szCs w:val="21"/>
              </w:rPr>
            </w:pPr>
          </w:p>
        </w:tc>
        <w:tc>
          <w:tcPr>
            <w:tcW w:w="501" w:type="pct"/>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Theme="minorEastAsia"/>
                <w:szCs w:val="21"/>
              </w:rPr>
            </w:pPr>
          </w:p>
        </w:tc>
        <w:tc>
          <w:tcPr>
            <w:tcW w:w="534" w:type="pct"/>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Theme="minorEastAsia"/>
                <w:szCs w:val="21"/>
              </w:rPr>
            </w:pPr>
            <w:r>
              <w:rPr>
                <w:rFonts w:hint="eastAsia" w:ascii="微软雅黑" w:hAnsi="微软雅黑" w:cs="微软雅黑" w:eastAsiaTheme="minorEastAsia"/>
                <w:szCs w:val="21"/>
              </w:rPr>
              <w:t>数据兼容</w:t>
            </w:r>
          </w:p>
        </w:tc>
        <w:tc>
          <w:tcPr>
            <w:tcW w:w="3040" w:type="pct"/>
            <w:tcBorders>
              <w:top w:val="single" w:color="auto" w:sz="4" w:space="0"/>
              <w:left w:val="single" w:color="auto" w:sz="4" w:space="0"/>
              <w:bottom w:val="single" w:color="auto" w:sz="4" w:space="0"/>
              <w:right w:val="single" w:color="auto" w:sz="4" w:space="0"/>
              <w:tl2br w:val="nil"/>
              <w:tr2bl w:val="nil"/>
            </w:tcBorders>
            <w:vAlign w:val="center"/>
          </w:tcPr>
          <w:p>
            <w:pPr>
              <w:rPr>
                <w:rFonts w:eastAsiaTheme="minorEastAsia"/>
                <w:szCs w:val="21"/>
              </w:rPr>
            </w:pPr>
            <w:r>
              <w:rPr>
                <w:rFonts w:hint="eastAsia" w:ascii="微软雅黑" w:hAnsi="微软雅黑" w:cs="微软雅黑" w:eastAsiaTheme="minorEastAsia"/>
                <w:szCs w:val="21"/>
              </w:rPr>
              <w:t>支持</w:t>
            </w:r>
            <w:r>
              <w:rPr>
                <w:rFonts w:hint="eastAsia" w:eastAsiaTheme="minorEastAsia"/>
                <w:szCs w:val="21"/>
              </w:rPr>
              <w:t>5家以上</w:t>
            </w:r>
            <w:r>
              <w:rPr>
                <w:rFonts w:hint="eastAsia" w:ascii="微软雅黑" w:hAnsi="微软雅黑" w:cs="微软雅黑" w:eastAsiaTheme="minorEastAsia"/>
                <w:szCs w:val="21"/>
              </w:rPr>
              <w:t>国内主流厂商格式的手机取证报告</w:t>
            </w:r>
          </w:p>
        </w:tc>
        <w:tc>
          <w:tcPr>
            <w:tcW w:w="632" w:type="pct"/>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Theme="minorEastAsia"/>
                <w:szCs w:val="21"/>
              </w:rPr>
            </w:pPr>
            <w:r>
              <w:rPr>
                <w:rFonts w:hint="eastAsia" w:ascii="宋体" w:hAnsi="宋体" w:eastAsiaTheme="min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291" w:type="pct"/>
            <w:tcBorders>
              <w:top w:val="single" w:color="auto" w:sz="4" w:space="0"/>
              <w:left w:val="single" w:color="auto" w:sz="4" w:space="0"/>
              <w:bottom w:val="single" w:color="auto" w:sz="4" w:space="0"/>
              <w:right w:val="single" w:color="auto" w:sz="4" w:space="0"/>
              <w:tl2br w:val="nil"/>
              <w:tr2bl w:val="nil"/>
            </w:tcBorders>
            <w:vAlign w:val="center"/>
          </w:tcPr>
          <w:p>
            <w:pPr>
              <w:widowControl w:val="0"/>
              <w:numPr>
                <w:ilvl w:val="0"/>
                <w:numId w:val="89"/>
              </w:numPr>
              <w:autoSpaceDE w:val="0"/>
              <w:autoSpaceDN w:val="0"/>
              <w:adjustRightInd w:val="0"/>
              <w:spacing w:line="360" w:lineRule="auto"/>
              <w:jc w:val="both"/>
              <w:rPr>
                <w:rFonts w:eastAsiaTheme="minorEastAsia"/>
                <w:szCs w:val="21"/>
              </w:rPr>
            </w:pPr>
          </w:p>
        </w:tc>
        <w:tc>
          <w:tcPr>
            <w:tcW w:w="501" w:type="pct"/>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Theme="minorEastAsia"/>
                <w:szCs w:val="21"/>
              </w:rPr>
            </w:pPr>
          </w:p>
        </w:tc>
        <w:tc>
          <w:tcPr>
            <w:tcW w:w="534" w:type="pct"/>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Theme="minorEastAsia"/>
                <w:szCs w:val="21"/>
              </w:rPr>
            </w:pPr>
            <w:r>
              <w:rPr>
                <w:rFonts w:hint="eastAsia" w:eastAsiaTheme="minorEastAsia"/>
                <w:szCs w:val="21"/>
              </w:rPr>
              <w:t>标准功能</w:t>
            </w:r>
          </w:p>
        </w:tc>
        <w:tc>
          <w:tcPr>
            <w:tcW w:w="3040" w:type="pct"/>
            <w:tcBorders>
              <w:top w:val="single" w:color="auto" w:sz="4" w:space="0"/>
              <w:left w:val="single" w:color="auto" w:sz="4" w:space="0"/>
              <w:bottom w:val="single" w:color="auto" w:sz="4" w:space="0"/>
              <w:right w:val="single" w:color="auto" w:sz="4" w:space="0"/>
              <w:tl2br w:val="nil"/>
              <w:tr2bl w:val="nil"/>
            </w:tcBorders>
            <w:vAlign w:val="center"/>
          </w:tcPr>
          <w:p>
            <w:pPr>
              <w:rPr>
                <w:rFonts w:eastAsiaTheme="minorEastAsia"/>
                <w:szCs w:val="21"/>
              </w:rPr>
            </w:pPr>
            <w:r>
              <w:rPr>
                <w:rFonts w:hint="eastAsia" w:ascii="微软雅黑" w:hAnsi="微软雅黑" w:cs="微软雅黑" w:eastAsiaTheme="minorEastAsia"/>
                <w:szCs w:val="21"/>
              </w:rPr>
              <w:t>支持</w:t>
            </w:r>
            <w:r>
              <w:rPr>
                <w:rFonts w:hint="eastAsia" w:eastAsiaTheme="minorEastAsia"/>
                <w:szCs w:val="21"/>
              </w:rPr>
              <w:t>4种以上取证数据，包括</w:t>
            </w:r>
            <w:r>
              <w:rPr>
                <w:rFonts w:hint="eastAsia" w:ascii="微软雅黑" w:hAnsi="微软雅黑" w:cs="微软雅黑" w:eastAsiaTheme="minorEastAsia"/>
                <w:szCs w:val="21"/>
              </w:rPr>
              <w:t>公安部网安</w:t>
            </w:r>
            <w:r>
              <w:rPr>
                <w:rFonts w:hint="eastAsia" w:eastAsiaTheme="minorEastAsia"/>
                <w:szCs w:val="21"/>
              </w:rPr>
              <w:t>BCP</w:t>
            </w:r>
            <w:r>
              <w:rPr>
                <w:rFonts w:hint="eastAsia" w:ascii="微软雅黑" w:hAnsi="微软雅黑" w:cs="微软雅黑" w:eastAsiaTheme="minorEastAsia"/>
                <w:szCs w:val="21"/>
              </w:rPr>
              <w:t>标准</w:t>
            </w:r>
            <w:r>
              <w:rPr>
                <w:rFonts w:hint="eastAsia" w:eastAsiaTheme="minorEastAsia"/>
                <w:szCs w:val="21"/>
              </w:rPr>
              <w:t>数据、美亚柏科、云帆赢通、平航科技</w:t>
            </w:r>
          </w:p>
        </w:tc>
        <w:tc>
          <w:tcPr>
            <w:tcW w:w="632" w:type="pct"/>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Theme="minorEastAsia"/>
                <w:szCs w:val="21"/>
              </w:rPr>
            </w:pPr>
            <w:r>
              <w:rPr>
                <w:rFonts w:hint="eastAsia" w:ascii="宋体" w:hAnsi="宋体" w:eastAsiaTheme="min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291" w:type="pct"/>
            <w:tcBorders>
              <w:top w:val="single" w:color="auto" w:sz="4" w:space="0"/>
              <w:left w:val="single" w:color="auto" w:sz="4" w:space="0"/>
              <w:bottom w:val="single" w:color="auto" w:sz="4" w:space="0"/>
              <w:right w:val="single" w:color="auto" w:sz="4" w:space="0"/>
              <w:tl2br w:val="nil"/>
              <w:tr2bl w:val="nil"/>
            </w:tcBorders>
            <w:vAlign w:val="center"/>
          </w:tcPr>
          <w:p>
            <w:pPr>
              <w:widowControl w:val="0"/>
              <w:numPr>
                <w:ilvl w:val="0"/>
                <w:numId w:val="89"/>
              </w:numPr>
              <w:autoSpaceDE w:val="0"/>
              <w:autoSpaceDN w:val="0"/>
              <w:adjustRightInd w:val="0"/>
              <w:spacing w:line="360" w:lineRule="auto"/>
              <w:jc w:val="both"/>
              <w:rPr>
                <w:rFonts w:eastAsiaTheme="minorEastAsia"/>
                <w:szCs w:val="21"/>
              </w:rPr>
            </w:pPr>
          </w:p>
        </w:tc>
        <w:tc>
          <w:tcPr>
            <w:tcW w:w="501" w:type="pct"/>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Theme="minorEastAsia"/>
                <w:szCs w:val="21"/>
              </w:rPr>
            </w:pPr>
          </w:p>
        </w:tc>
        <w:tc>
          <w:tcPr>
            <w:tcW w:w="534" w:type="pct"/>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Theme="minorEastAsia"/>
                <w:szCs w:val="21"/>
              </w:rPr>
            </w:pPr>
            <w:r>
              <w:rPr>
                <w:rFonts w:hint="eastAsia" w:ascii="微软雅黑" w:hAnsi="微软雅黑" w:cs="微软雅黑" w:eastAsiaTheme="minorEastAsia"/>
                <w:szCs w:val="21"/>
              </w:rPr>
              <w:t>报告导出</w:t>
            </w:r>
          </w:p>
        </w:tc>
        <w:tc>
          <w:tcPr>
            <w:tcW w:w="3040" w:type="pct"/>
            <w:tcBorders>
              <w:top w:val="single" w:color="auto" w:sz="4" w:space="0"/>
              <w:left w:val="single" w:color="auto" w:sz="4" w:space="0"/>
              <w:bottom w:val="single" w:color="auto" w:sz="4" w:space="0"/>
              <w:right w:val="single" w:color="auto" w:sz="4" w:space="0"/>
              <w:tl2br w:val="nil"/>
              <w:tr2bl w:val="nil"/>
            </w:tcBorders>
            <w:vAlign w:val="center"/>
          </w:tcPr>
          <w:p>
            <w:pPr>
              <w:rPr>
                <w:rFonts w:eastAsiaTheme="minorEastAsia"/>
                <w:szCs w:val="21"/>
              </w:rPr>
            </w:pPr>
            <w:r>
              <w:rPr>
                <w:rFonts w:hint="eastAsia" w:ascii="微软雅黑" w:hAnsi="微软雅黑" w:cs="微软雅黑" w:eastAsiaTheme="minorEastAsia"/>
                <w:szCs w:val="21"/>
              </w:rPr>
              <w:t>支持</w:t>
            </w:r>
            <w:r>
              <w:rPr>
                <w:rFonts w:hint="eastAsia" w:eastAsiaTheme="minorEastAsia"/>
                <w:szCs w:val="21"/>
              </w:rPr>
              <w:t>至少2种以上格式报告导出，包括PDF、HTML</w:t>
            </w:r>
          </w:p>
        </w:tc>
        <w:tc>
          <w:tcPr>
            <w:tcW w:w="632" w:type="pct"/>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Theme="minorEastAsia"/>
                <w:szCs w:val="21"/>
              </w:rPr>
            </w:pPr>
            <w:r>
              <w:rPr>
                <w:rFonts w:hint="eastAsia" w:ascii="宋体" w:hAnsi="宋体" w:eastAsiaTheme="min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291" w:type="pct"/>
            <w:tcBorders>
              <w:top w:val="single" w:color="auto" w:sz="4" w:space="0"/>
              <w:left w:val="single" w:color="auto" w:sz="4" w:space="0"/>
              <w:bottom w:val="single" w:color="auto" w:sz="4" w:space="0"/>
              <w:right w:val="single" w:color="auto" w:sz="4" w:space="0"/>
              <w:tl2br w:val="nil"/>
              <w:tr2bl w:val="nil"/>
            </w:tcBorders>
            <w:vAlign w:val="center"/>
          </w:tcPr>
          <w:p>
            <w:pPr>
              <w:widowControl w:val="0"/>
              <w:numPr>
                <w:ilvl w:val="0"/>
                <w:numId w:val="89"/>
              </w:numPr>
              <w:autoSpaceDE w:val="0"/>
              <w:autoSpaceDN w:val="0"/>
              <w:adjustRightInd w:val="0"/>
              <w:spacing w:line="360" w:lineRule="auto"/>
              <w:jc w:val="both"/>
              <w:rPr>
                <w:rFonts w:eastAsiaTheme="minorEastAsia"/>
                <w:szCs w:val="21"/>
              </w:rPr>
            </w:pPr>
          </w:p>
        </w:tc>
        <w:tc>
          <w:tcPr>
            <w:tcW w:w="501" w:type="pct"/>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Theme="minorEastAsia"/>
                <w:szCs w:val="21"/>
              </w:rPr>
            </w:pPr>
            <w:r>
              <w:rPr>
                <w:rFonts w:hint="eastAsia" w:ascii="宋体" w:hAnsi="宋体" w:eastAsiaTheme="minorEastAsia"/>
                <w:kern w:val="0"/>
                <w:szCs w:val="21"/>
              </w:rPr>
              <w:t>▲</w:t>
            </w:r>
          </w:p>
        </w:tc>
        <w:tc>
          <w:tcPr>
            <w:tcW w:w="534" w:type="pct"/>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Theme="minorEastAsia"/>
                <w:szCs w:val="21"/>
              </w:rPr>
            </w:pPr>
            <w:r>
              <w:rPr>
                <w:rFonts w:hint="eastAsia" w:ascii="微软雅黑" w:hAnsi="微软雅黑" w:cs="微软雅黑" w:eastAsiaTheme="minorEastAsia"/>
                <w:szCs w:val="21"/>
              </w:rPr>
              <w:t>全文检索</w:t>
            </w:r>
          </w:p>
        </w:tc>
        <w:tc>
          <w:tcPr>
            <w:tcW w:w="3040" w:type="pct"/>
            <w:tcBorders>
              <w:top w:val="single" w:color="auto" w:sz="4" w:space="0"/>
              <w:left w:val="single" w:color="auto" w:sz="4" w:space="0"/>
              <w:bottom w:val="single" w:color="auto" w:sz="4" w:space="0"/>
              <w:right w:val="single" w:color="auto" w:sz="4" w:space="0"/>
              <w:tl2br w:val="nil"/>
              <w:tr2bl w:val="nil"/>
            </w:tcBorders>
            <w:vAlign w:val="center"/>
          </w:tcPr>
          <w:p>
            <w:pPr>
              <w:rPr>
                <w:rFonts w:eastAsiaTheme="minorEastAsia"/>
                <w:szCs w:val="21"/>
              </w:rPr>
            </w:pPr>
            <w:r>
              <w:rPr>
                <w:rFonts w:hint="eastAsia" w:eastAsiaTheme="minorEastAsia"/>
                <w:szCs w:val="21"/>
              </w:rPr>
              <w:t>支持不少于3种形式的全文检索，包含单条数据全文检索、会话上下文全文检索、使用自定义词库进行全文检索、并案全文检索</w:t>
            </w:r>
          </w:p>
        </w:tc>
        <w:tc>
          <w:tcPr>
            <w:tcW w:w="632" w:type="pct"/>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Theme="minorEastAsia"/>
                <w:szCs w:val="21"/>
              </w:rPr>
            </w:pPr>
            <w:r>
              <w:rPr>
                <w:rFonts w:eastAsiaTheme="minorEastAsia"/>
                <w:szCs w:val="21"/>
              </w:rPr>
              <w:t>软件功能截图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1" w:type="pct"/>
            <w:tcBorders>
              <w:top w:val="single" w:color="auto" w:sz="4" w:space="0"/>
              <w:left w:val="single" w:color="auto" w:sz="4" w:space="0"/>
              <w:bottom w:val="single" w:color="auto" w:sz="4" w:space="0"/>
              <w:right w:val="single" w:color="auto" w:sz="4" w:space="0"/>
              <w:tl2br w:val="nil"/>
              <w:tr2bl w:val="nil"/>
            </w:tcBorders>
            <w:vAlign w:val="center"/>
          </w:tcPr>
          <w:p>
            <w:pPr>
              <w:widowControl w:val="0"/>
              <w:numPr>
                <w:ilvl w:val="0"/>
                <w:numId w:val="89"/>
              </w:numPr>
              <w:autoSpaceDE w:val="0"/>
              <w:autoSpaceDN w:val="0"/>
              <w:adjustRightInd w:val="0"/>
              <w:spacing w:line="360" w:lineRule="auto"/>
              <w:jc w:val="both"/>
              <w:rPr>
                <w:rFonts w:eastAsiaTheme="minorEastAsia"/>
                <w:szCs w:val="21"/>
              </w:rPr>
            </w:pPr>
          </w:p>
        </w:tc>
        <w:tc>
          <w:tcPr>
            <w:tcW w:w="501" w:type="pct"/>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Theme="minorEastAsia"/>
                <w:szCs w:val="21"/>
              </w:rPr>
            </w:pPr>
            <w:r>
              <w:rPr>
                <w:rFonts w:hint="eastAsia" w:ascii="宋体" w:hAnsi="宋体" w:eastAsiaTheme="minorEastAsia"/>
                <w:kern w:val="0"/>
                <w:szCs w:val="21"/>
              </w:rPr>
              <w:t>▲</w:t>
            </w:r>
          </w:p>
        </w:tc>
        <w:tc>
          <w:tcPr>
            <w:tcW w:w="534" w:type="pct"/>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Theme="minorEastAsia"/>
                <w:szCs w:val="21"/>
              </w:rPr>
            </w:pPr>
            <w:r>
              <w:rPr>
                <w:rFonts w:hint="eastAsia" w:ascii="微软雅黑" w:hAnsi="微软雅黑" w:cs="微软雅黑" w:eastAsiaTheme="minorEastAsia"/>
                <w:szCs w:val="21"/>
              </w:rPr>
              <w:t>时间轴线</w:t>
            </w:r>
          </w:p>
        </w:tc>
        <w:tc>
          <w:tcPr>
            <w:tcW w:w="3040" w:type="pct"/>
            <w:tcBorders>
              <w:top w:val="single" w:color="auto" w:sz="4" w:space="0"/>
              <w:left w:val="single" w:color="auto" w:sz="4" w:space="0"/>
              <w:bottom w:val="single" w:color="auto" w:sz="4" w:space="0"/>
              <w:right w:val="single" w:color="auto" w:sz="4" w:space="0"/>
              <w:tl2br w:val="nil"/>
              <w:tr2bl w:val="nil"/>
            </w:tcBorders>
            <w:vAlign w:val="center"/>
          </w:tcPr>
          <w:p>
            <w:pPr>
              <w:rPr>
                <w:rFonts w:eastAsiaTheme="minorEastAsia"/>
                <w:szCs w:val="21"/>
              </w:rPr>
            </w:pPr>
            <w:r>
              <w:rPr>
                <w:rFonts w:hint="eastAsia" w:eastAsiaTheme="minorEastAsia"/>
                <w:szCs w:val="21"/>
              </w:rPr>
              <w:t>支持对涉案电子数据按照时间线展示信息内容，不少于2种模式，包括根据日期排序展示、以账号为单位转账时间为基准展示</w:t>
            </w:r>
          </w:p>
        </w:tc>
        <w:tc>
          <w:tcPr>
            <w:tcW w:w="632" w:type="pct"/>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Theme="minorEastAsia"/>
                <w:szCs w:val="21"/>
              </w:rPr>
            </w:pPr>
            <w:r>
              <w:rPr>
                <w:rFonts w:eastAsiaTheme="minorEastAsia"/>
                <w:szCs w:val="21"/>
              </w:rPr>
              <w:t>软件功能截图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291" w:type="pct"/>
            <w:tcBorders>
              <w:top w:val="single" w:color="auto" w:sz="4" w:space="0"/>
              <w:left w:val="single" w:color="auto" w:sz="4" w:space="0"/>
              <w:bottom w:val="single" w:color="auto" w:sz="4" w:space="0"/>
              <w:right w:val="single" w:color="auto" w:sz="4" w:space="0"/>
              <w:tl2br w:val="nil"/>
              <w:tr2bl w:val="nil"/>
            </w:tcBorders>
            <w:vAlign w:val="center"/>
          </w:tcPr>
          <w:p>
            <w:pPr>
              <w:widowControl w:val="0"/>
              <w:numPr>
                <w:ilvl w:val="0"/>
                <w:numId w:val="89"/>
              </w:numPr>
              <w:autoSpaceDE w:val="0"/>
              <w:autoSpaceDN w:val="0"/>
              <w:adjustRightInd w:val="0"/>
              <w:spacing w:line="360" w:lineRule="auto"/>
              <w:jc w:val="both"/>
              <w:rPr>
                <w:rFonts w:eastAsiaTheme="minorEastAsia"/>
                <w:szCs w:val="21"/>
              </w:rPr>
            </w:pPr>
          </w:p>
        </w:tc>
        <w:tc>
          <w:tcPr>
            <w:tcW w:w="501" w:type="pct"/>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Theme="minorEastAsia"/>
                <w:szCs w:val="21"/>
              </w:rPr>
            </w:pPr>
          </w:p>
        </w:tc>
        <w:tc>
          <w:tcPr>
            <w:tcW w:w="534" w:type="pct"/>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Theme="minorEastAsia"/>
                <w:szCs w:val="21"/>
              </w:rPr>
            </w:pPr>
            <w:r>
              <w:rPr>
                <w:rFonts w:hint="eastAsia" w:ascii="微软雅黑" w:hAnsi="微软雅黑" w:cs="微软雅黑" w:eastAsiaTheme="minorEastAsia"/>
                <w:szCs w:val="21"/>
              </w:rPr>
              <w:t>人物分析</w:t>
            </w:r>
          </w:p>
        </w:tc>
        <w:tc>
          <w:tcPr>
            <w:tcW w:w="3040" w:type="pct"/>
            <w:tcBorders>
              <w:top w:val="single" w:color="auto" w:sz="4" w:space="0"/>
              <w:left w:val="single" w:color="auto" w:sz="4" w:space="0"/>
              <w:bottom w:val="single" w:color="auto" w:sz="4" w:space="0"/>
              <w:right w:val="single" w:color="auto" w:sz="4" w:space="0"/>
              <w:tl2br w:val="nil"/>
              <w:tr2bl w:val="nil"/>
            </w:tcBorders>
            <w:vAlign w:val="center"/>
          </w:tcPr>
          <w:p>
            <w:pPr>
              <w:rPr>
                <w:rFonts w:eastAsiaTheme="minorEastAsia"/>
                <w:szCs w:val="21"/>
              </w:rPr>
            </w:pPr>
            <w:r>
              <w:rPr>
                <w:rFonts w:hint="eastAsia" w:eastAsiaTheme="minorEastAsia"/>
                <w:szCs w:val="21"/>
              </w:rPr>
              <w:t>支持自动人物分析功能，不少于2种关系线索，包括通联关系、人物关系图谱</w:t>
            </w:r>
          </w:p>
        </w:tc>
        <w:tc>
          <w:tcPr>
            <w:tcW w:w="632" w:type="pct"/>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Theme="minorEastAsia"/>
                <w:szCs w:val="21"/>
              </w:rPr>
            </w:pPr>
            <w:r>
              <w:rPr>
                <w:rFonts w:hint="eastAsia" w:ascii="宋体" w:hAnsi="宋体" w:eastAsiaTheme="min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291" w:type="pct"/>
            <w:tcBorders>
              <w:top w:val="single" w:color="auto" w:sz="4" w:space="0"/>
              <w:left w:val="single" w:color="auto" w:sz="4" w:space="0"/>
              <w:bottom w:val="single" w:color="auto" w:sz="4" w:space="0"/>
              <w:right w:val="single" w:color="auto" w:sz="4" w:space="0"/>
              <w:tl2br w:val="nil"/>
              <w:tr2bl w:val="nil"/>
            </w:tcBorders>
            <w:vAlign w:val="center"/>
          </w:tcPr>
          <w:p>
            <w:pPr>
              <w:widowControl w:val="0"/>
              <w:numPr>
                <w:ilvl w:val="0"/>
                <w:numId w:val="89"/>
              </w:numPr>
              <w:autoSpaceDE w:val="0"/>
              <w:autoSpaceDN w:val="0"/>
              <w:adjustRightInd w:val="0"/>
              <w:spacing w:line="360" w:lineRule="auto"/>
              <w:jc w:val="both"/>
              <w:rPr>
                <w:rFonts w:eastAsiaTheme="minorEastAsia"/>
                <w:szCs w:val="21"/>
              </w:rPr>
            </w:pPr>
          </w:p>
        </w:tc>
        <w:tc>
          <w:tcPr>
            <w:tcW w:w="501" w:type="pct"/>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Theme="minorEastAsia"/>
                <w:szCs w:val="21"/>
              </w:rPr>
            </w:pPr>
          </w:p>
        </w:tc>
        <w:tc>
          <w:tcPr>
            <w:tcW w:w="534" w:type="pct"/>
            <w:tcBorders>
              <w:top w:val="single" w:color="auto" w:sz="4" w:space="0"/>
              <w:left w:val="single" w:color="auto" w:sz="4" w:space="0"/>
              <w:bottom w:val="single" w:color="auto" w:sz="4" w:space="0"/>
              <w:right w:val="single" w:color="auto" w:sz="4" w:space="0"/>
              <w:tl2br w:val="nil"/>
              <w:tr2bl w:val="nil"/>
            </w:tcBorders>
            <w:vAlign w:val="center"/>
          </w:tcPr>
          <w:p>
            <w:pPr>
              <w:tabs>
                <w:tab w:val="left" w:pos="289"/>
              </w:tabs>
              <w:rPr>
                <w:rFonts w:eastAsiaTheme="minorEastAsia"/>
                <w:szCs w:val="21"/>
              </w:rPr>
            </w:pPr>
            <w:r>
              <w:rPr>
                <w:rFonts w:hint="eastAsia" w:eastAsiaTheme="minorEastAsia"/>
                <w:szCs w:val="21"/>
              </w:rPr>
              <w:t>数据合并</w:t>
            </w:r>
          </w:p>
        </w:tc>
        <w:tc>
          <w:tcPr>
            <w:tcW w:w="3040" w:type="pct"/>
            <w:tcBorders>
              <w:top w:val="single" w:color="auto" w:sz="4" w:space="0"/>
              <w:left w:val="single" w:color="auto" w:sz="4" w:space="0"/>
              <w:bottom w:val="single" w:color="auto" w:sz="4" w:space="0"/>
              <w:right w:val="single" w:color="auto" w:sz="4" w:space="0"/>
              <w:tl2br w:val="nil"/>
              <w:tr2bl w:val="nil"/>
            </w:tcBorders>
            <w:vAlign w:val="center"/>
          </w:tcPr>
          <w:p>
            <w:pPr>
              <w:rPr>
                <w:rFonts w:eastAsiaTheme="minorEastAsia"/>
                <w:szCs w:val="21"/>
              </w:rPr>
            </w:pPr>
            <w:r>
              <w:rPr>
                <w:rFonts w:hint="eastAsia" w:eastAsiaTheme="minorEastAsia"/>
                <w:szCs w:val="21"/>
              </w:rPr>
              <w:t>支持实现不少于4家厂家取证工具对同一台检材提取的数据的同台合并展示</w:t>
            </w:r>
          </w:p>
        </w:tc>
        <w:tc>
          <w:tcPr>
            <w:tcW w:w="632" w:type="pct"/>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Theme="minorEastAsia"/>
                <w:szCs w:val="21"/>
              </w:rPr>
            </w:pPr>
            <w:r>
              <w:rPr>
                <w:rFonts w:hint="eastAsia" w:ascii="宋体" w:hAnsi="宋体" w:eastAsiaTheme="min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291" w:type="pct"/>
            <w:tcBorders>
              <w:top w:val="single" w:color="auto" w:sz="4" w:space="0"/>
              <w:left w:val="single" w:color="auto" w:sz="4" w:space="0"/>
              <w:bottom w:val="single" w:color="auto" w:sz="4" w:space="0"/>
              <w:right w:val="single" w:color="auto" w:sz="4" w:space="0"/>
              <w:tl2br w:val="nil"/>
              <w:tr2bl w:val="nil"/>
            </w:tcBorders>
            <w:vAlign w:val="center"/>
          </w:tcPr>
          <w:p>
            <w:pPr>
              <w:widowControl w:val="0"/>
              <w:numPr>
                <w:ilvl w:val="0"/>
                <w:numId w:val="89"/>
              </w:numPr>
              <w:autoSpaceDE w:val="0"/>
              <w:autoSpaceDN w:val="0"/>
              <w:adjustRightInd w:val="0"/>
              <w:spacing w:line="360" w:lineRule="auto"/>
              <w:jc w:val="both"/>
              <w:rPr>
                <w:rFonts w:eastAsiaTheme="minorEastAsia"/>
                <w:szCs w:val="21"/>
              </w:rPr>
            </w:pPr>
          </w:p>
        </w:tc>
        <w:tc>
          <w:tcPr>
            <w:tcW w:w="501" w:type="pct"/>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Theme="minorEastAsia"/>
                <w:szCs w:val="21"/>
              </w:rPr>
            </w:pPr>
          </w:p>
        </w:tc>
        <w:tc>
          <w:tcPr>
            <w:tcW w:w="534" w:type="pct"/>
            <w:tcBorders>
              <w:top w:val="single" w:color="auto" w:sz="4" w:space="0"/>
              <w:left w:val="single" w:color="auto" w:sz="4" w:space="0"/>
              <w:bottom w:val="single" w:color="auto" w:sz="4" w:space="0"/>
              <w:right w:val="single" w:color="auto" w:sz="4" w:space="0"/>
              <w:tl2br w:val="nil"/>
              <w:tr2bl w:val="nil"/>
            </w:tcBorders>
            <w:vAlign w:val="center"/>
          </w:tcPr>
          <w:p>
            <w:pPr>
              <w:tabs>
                <w:tab w:val="left" w:pos="289"/>
              </w:tabs>
              <w:rPr>
                <w:rFonts w:eastAsiaTheme="minorEastAsia"/>
                <w:szCs w:val="21"/>
              </w:rPr>
            </w:pPr>
            <w:r>
              <w:rPr>
                <w:rFonts w:hint="eastAsia" w:eastAsiaTheme="minorEastAsia"/>
                <w:szCs w:val="21"/>
              </w:rPr>
              <w:t>关注信息</w:t>
            </w:r>
          </w:p>
        </w:tc>
        <w:tc>
          <w:tcPr>
            <w:tcW w:w="3040" w:type="pct"/>
            <w:tcBorders>
              <w:top w:val="single" w:color="auto" w:sz="4" w:space="0"/>
              <w:left w:val="single" w:color="auto" w:sz="4" w:space="0"/>
              <w:bottom w:val="single" w:color="auto" w:sz="4" w:space="0"/>
              <w:right w:val="single" w:color="auto" w:sz="4" w:space="0"/>
              <w:tl2br w:val="nil"/>
              <w:tr2bl w:val="nil"/>
            </w:tcBorders>
            <w:vAlign w:val="center"/>
          </w:tcPr>
          <w:p>
            <w:pPr>
              <w:rPr>
                <w:rFonts w:eastAsiaTheme="minorEastAsia"/>
                <w:szCs w:val="21"/>
              </w:rPr>
            </w:pPr>
            <w:r>
              <w:rPr>
                <w:rFonts w:hint="eastAsia" w:eastAsiaTheme="minorEastAsia"/>
                <w:szCs w:val="21"/>
              </w:rPr>
              <w:t>支持办案人员对每个分析模块进行收藏加入“关注信息”，关注信息功能需提供不少于3种管理模式，包括可查询、修改、删除</w:t>
            </w:r>
          </w:p>
        </w:tc>
        <w:tc>
          <w:tcPr>
            <w:tcW w:w="632" w:type="pct"/>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Theme="minorEastAsia"/>
                <w:szCs w:val="21"/>
              </w:rPr>
            </w:pPr>
            <w:r>
              <w:rPr>
                <w:rFonts w:hint="eastAsia" w:ascii="宋体" w:hAnsi="宋体" w:eastAsiaTheme="min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291" w:type="pct"/>
            <w:tcBorders>
              <w:top w:val="single" w:color="auto" w:sz="4" w:space="0"/>
              <w:left w:val="single" w:color="auto" w:sz="4" w:space="0"/>
              <w:bottom w:val="single" w:color="auto" w:sz="4" w:space="0"/>
              <w:right w:val="single" w:color="auto" w:sz="4" w:space="0"/>
              <w:tl2br w:val="nil"/>
              <w:tr2bl w:val="nil"/>
            </w:tcBorders>
            <w:vAlign w:val="center"/>
          </w:tcPr>
          <w:p>
            <w:pPr>
              <w:widowControl w:val="0"/>
              <w:numPr>
                <w:ilvl w:val="0"/>
                <w:numId w:val="89"/>
              </w:numPr>
              <w:autoSpaceDE w:val="0"/>
              <w:autoSpaceDN w:val="0"/>
              <w:adjustRightInd w:val="0"/>
              <w:spacing w:line="360" w:lineRule="auto"/>
              <w:jc w:val="both"/>
              <w:rPr>
                <w:rFonts w:eastAsiaTheme="minorEastAsia"/>
                <w:szCs w:val="21"/>
              </w:rPr>
            </w:pPr>
          </w:p>
        </w:tc>
        <w:tc>
          <w:tcPr>
            <w:tcW w:w="501" w:type="pct"/>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Theme="minorEastAsia"/>
                <w:szCs w:val="21"/>
              </w:rPr>
            </w:pPr>
          </w:p>
        </w:tc>
        <w:tc>
          <w:tcPr>
            <w:tcW w:w="534" w:type="pct"/>
            <w:tcBorders>
              <w:top w:val="single" w:color="auto" w:sz="4" w:space="0"/>
              <w:left w:val="single" w:color="auto" w:sz="4" w:space="0"/>
              <w:bottom w:val="single" w:color="auto" w:sz="4" w:space="0"/>
              <w:right w:val="single" w:color="auto" w:sz="4" w:space="0"/>
              <w:tl2br w:val="nil"/>
              <w:tr2bl w:val="nil"/>
            </w:tcBorders>
            <w:vAlign w:val="center"/>
          </w:tcPr>
          <w:p>
            <w:pPr>
              <w:tabs>
                <w:tab w:val="left" w:pos="289"/>
              </w:tabs>
              <w:rPr>
                <w:rFonts w:eastAsiaTheme="minorEastAsia"/>
                <w:szCs w:val="21"/>
              </w:rPr>
            </w:pPr>
            <w:r>
              <w:rPr>
                <w:rFonts w:hint="eastAsia" w:eastAsiaTheme="minorEastAsia"/>
                <w:szCs w:val="21"/>
              </w:rPr>
              <w:t>账单流水综合分析</w:t>
            </w:r>
          </w:p>
        </w:tc>
        <w:tc>
          <w:tcPr>
            <w:tcW w:w="3040" w:type="pct"/>
            <w:tcBorders>
              <w:top w:val="single" w:color="auto" w:sz="4" w:space="0"/>
              <w:left w:val="single" w:color="auto" w:sz="4" w:space="0"/>
              <w:bottom w:val="single" w:color="auto" w:sz="4" w:space="0"/>
              <w:right w:val="single" w:color="auto" w:sz="4" w:space="0"/>
              <w:tl2br w:val="nil"/>
              <w:tr2bl w:val="nil"/>
            </w:tcBorders>
            <w:vAlign w:val="center"/>
          </w:tcPr>
          <w:p>
            <w:pPr>
              <w:rPr>
                <w:rFonts w:eastAsiaTheme="minorEastAsia"/>
                <w:szCs w:val="21"/>
              </w:rPr>
            </w:pPr>
            <w:r>
              <w:rPr>
                <w:rFonts w:hint="eastAsia" w:eastAsiaTheme="minorEastAsia"/>
                <w:szCs w:val="21"/>
              </w:rPr>
              <w:t>支持对涉案当事人账单数据不少于10种资金往来分析功能模块</w:t>
            </w:r>
          </w:p>
        </w:tc>
        <w:tc>
          <w:tcPr>
            <w:tcW w:w="632" w:type="pct"/>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Theme="minorEastAsia"/>
                <w:szCs w:val="21"/>
              </w:rPr>
            </w:pPr>
            <w:r>
              <w:rPr>
                <w:rFonts w:hint="eastAsia" w:ascii="宋体" w:hAnsi="宋体" w:eastAsiaTheme="min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291" w:type="pct"/>
            <w:tcBorders>
              <w:top w:val="single" w:color="auto" w:sz="4" w:space="0"/>
              <w:left w:val="single" w:color="auto" w:sz="4" w:space="0"/>
              <w:bottom w:val="single" w:color="auto" w:sz="4" w:space="0"/>
              <w:right w:val="single" w:color="auto" w:sz="4" w:space="0"/>
              <w:tl2br w:val="nil"/>
              <w:tr2bl w:val="nil"/>
            </w:tcBorders>
            <w:vAlign w:val="center"/>
          </w:tcPr>
          <w:p>
            <w:pPr>
              <w:widowControl w:val="0"/>
              <w:numPr>
                <w:ilvl w:val="0"/>
                <w:numId w:val="89"/>
              </w:numPr>
              <w:autoSpaceDE w:val="0"/>
              <w:autoSpaceDN w:val="0"/>
              <w:adjustRightInd w:val="0"/>
              <w:spacing w:line="360" w:lineRule="auto"/>
              <w:jc w:val="both"/>
              <w:rPr>
                <w:rFonts w:eastAsiaTheme="minorEastAsia"/>
                <w:szCs w:val="21"/>
              </w:rPr>
            </w:pPr>
          </w:p>
        </w:tc>
        <w:tc>
          <w:tcPr>
            <w:tcW w:w="501" w:type="pct"/>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Theme="minorEastAsia"/>
                <w:szCs w:val="21"/>
              </w:rPr>
            </w:pPr>
          </w:p>
        </w:tc>
        <w:tc>
          <w:tcPr>
            <w:tcW w:w="534" w:type="pct"/>
            <w:tcBorders>
              <w:top w:val="single" w:color="auto" w:sz="4" w:space="0"/>
              <w:left w:val="single" w:color="auto" w:sz="4" w:space="0"/>
              <w:bottom w:val="single" w:color="auto" w:sz="4" w:space="0"/>
              <w:right w:val="single" w:color="auto" w:sz="4" w:space="0"/>
              <w:tl2br w:val="nil"/>
              <w:tr2bl w:val="nil"/>
            </w:tcBorders>
            <w:vAlign w:val="center"/>
          </w:tcPr>
          <w:p>
            <w:pPr>
              <w:tabs>
                <w:tab w:val="left" w:pos="289"/>
              </w:tabs>
              <w:rPr>
                <w:rFonts w:eastAsiaTheme="minorEastAsia"/>
                <w:szCs w:val="21"/>
              </w:rPr>
            </w:pPr>
            <w:r>
              <w:rPr>
                <w:rFonts w:hint="eastAsia" w:eastAsiaTheme="minorEastAsia"/>
                <w:szCs w:val="21"/>
              </w:rPr>
              <w:t>话单综合分析</w:t>
            </w:r>
          </w:p>
        </w:tc>
        <w:tc>
          <w:tcPr>
            <w:tcW w:w="3040" w:type="pct"/>
            <w:tcBorders>
              <w:top w:val="single" w:color="auto" w:sz="4" w:space="0"/>
              <w:left w:val="single" w:color="auto" w:sz="4" w:space="0"/>
              <w:bottom w:val="single" w:color="auto" w:sz="4" w:space="0"/>
              <w:right w:val="single" w:color="auto" w:sz="4" w:space="0"/>
              <w:tl2br w:val="nil"/>
              <w:tr2bl w:val="nil"/>
            </w:tcBorders>
            <w:vAlign w:val="center"/>
          </w:tcPr>
          <w:p>
            <w:pPr>
              <w:rPr>
                <w:rFonts w:eastAsiaTheme="minorEastAsia"/>
                <w:szCs w:val="21"/>
              </w:rPr>
            </w:pPr>
            <w:r>
              <w:rPr>
                <w:rFonts w:hint="eastAsia" w:eastAsiaTheme="minorEastAsia"/>
                <w:szCs w:val="21"/>
              </w:rPr>
              <w:t>支持通讯话单分析，不少于6种分析展示，包括：呼入呼出分析、频次分析、亲密关系分析、碰面分析、人员轨迹分析、共通对象分析</w:t>
            </w:r>
          </w:p>
        </w:tc>
        <w:tc>
          <w:tcPr>
            <w:tcW w:w="632" w:type="pct"/>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Theme="minorEastAsia"/>
                <w:szCs w:val="21"/>
              </w:rPr>
            </w:pPr>
            <w:r>
              <w:rPr>
                <w:rFonts w:hint="eastAsia" w:ascii="宋体" w:hAnsi="宋体" w:eastAsiaTheme="min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291" w:type="pct"/>
            <w:tcBorders>
              <w:top w:val="single" w:color="auto" w:sz="4" w:space="0"/>
              <w:left w:val="single" w:color="auto" w:sz="4" w:space="0"/>
              <w:bottom w:val="single" w:color="auto" w:sz="4" w:space="0"/>
              <w:right w:val="single" w:color="auto" w:sz="4" w:space="0"/>
              <w:tl2br w:val="nil"/>
              <w:tr2bl w:val="nil"/>
            </w:tcBorders>
            <w:vAlign w:val="center"/>
          </w:tcPr>
          <w:p>
            <w:pPr>
              <w:widowControl w:val="0"/>
              <w:numPr>
                <w:ilvl w:val="0"/>
                <w:numId w:val="89"/>
              </w:numPr>
              <w:autoSpaceDE w:val="0"/>
              <w:autoSpaceDN w:val="0"/>
              <w:adjustRightInd w:val="0"/>
              <w:spacing w:line="360" w:lineRule="auto"/>
              <w:jc w:val="both"/>
              <w:rPr>
                <w:rFonts w:eastAsiaTheme="minorEastAsia"/>
                <w:szCs w:val="21"/>
              </w:rPr>
            </w:pPr>
          </w:p>
        </w:tc>
        <w:tc>
          <w:tcPr>
            <w:tcW w:w="501" w:type="pct"/>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Theme="minorEastAsia"/>
                <w:szCs w:val="21"/>
              </w:rPr>
            </w:pPr>
            <w:r>
              <w:rPr>
                <w:rFonts w:hint="eastAsia" w:ascii="宋体" w:hAnsi="宋体" w:eastAsiaTheme="minorEastAsia"/>
                <w:szCs w:val="21"/>
              </w:rPr>
              <w:t>★</w:t>
            </w:r>
          </w:p>
        </w:tc>
        <w:tc>
          <w:tcPr>
            <w:tcW w:w="534" w:type="pct"/>
            <w:tcBorders>
              <w:top w:val="single" w:color="auto" w:sz="4" w:space="0"/>
              <w:left w:val="single" w:color="auto" w:sz="4" w:space="0"/>
              <w:bottom w:val="single" w:color="auto" w:sz="4" w:space="0"/>
              <w:right w:val="single" w:color="auto" w:sz="4" w:space="0"/>
              <w:tl2br w:val="nil"/>
              <w:tr2bl w:val="nil"/>
            </w:tcBorders>
            <w:vAlign w:val="center"/>
          </w:tcPr>
          <w:p>
            <w:pPr>
              <w:tabs>
                <w:tab w:val="left" w:pos="289"/>
              </w:tabs>
              <w:rPr>
                <w:rFonts w:eastAsiaTheme="minorEastAsia"/>
                <w:szCs w:val="21"/>
              </w:rPr>
            </w:pPr>
            <w:r>
              <w:rPr>
                <w:rFonts w:hint="eastAsia" w:eastAsiaTheme="minorEastAsia"/>
                <w:szCs w:val="21"/>
              </w:rPr>
              <w:t>人脸分析</w:t>
            </w:r>
          </w:p>
        </w:tc>
        <w:tc>
          <w:tcPr>
            <w:tcW w:w="3040" w:type="pct"/>
            <w:tcBorders>
              <w:top w:val="single" w:color="auto" w:sz="4" w:space="0"/>
              <w:left w:val="single" w:color="auto" w:sz="4" w:space="0"/>
              <w:bottom w:val="single" w:color="auto" w:sz="4" w:space="0"/>
              <w:right w:val="single" w:color="auto" w:sz="4" w:space="0"/>
              <w:tl2br w:val="nil"/>
              <w:tr2bl w:val="nil"/>
            </w:tcBorders>
            <w:vAlign w:val="center"/>
          </w:tcPr>
          <w:p>
            <w:pPr>
              <w:rPr>
                <w:rFonts w:eastAsiaTheme="minorEastAsia"/>
                <w:szCs w:val="21"/>
              </w:rPr>
            </w:pPr>
            <w:r>
              <w:rPr>
                <w:rFonts w:hint="eastAsia" w:eastAsiaTheme="minorEastAsia"/>
                <w:szCs w:val="21"/>
              </w:rPr>
              <w:t>支持人脸分析挖掘线索，不少于4种分析展示，包括照片查询、人脸明细、人脸同人、人脸同像</w:t>
            </w:r>
          </w:p>
        </w:tc>
        <w:tc>
          <w:tcPr>
            <w:tcW w:w="632" w:type="pct"/>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Theme="minorEastAsia"/>
                <w:szCs w:val="21"/>
              </w:rPr>
            </w:pPr>
            <w:r>
              <w:rPr>
                <w:rFonts w:eastAsiaTheme="minorEastAsia"/>
                <w:szCs w:val="21"/>
              </w:rPr>
              <w:t>软件功能截图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291" w:type="pct"/>
            <w:tcBorders>
              <w:top w:val="single" w:color="auto" w:sz="4" w:space="0"/>
              <w:left w:val="single" w:color="auto" w:sz="4" w:space="0"/>
              <w:bottom w:val="single" w:color="auto" w:sz="4" w:space="0"/>
              <w:right w:val="single" w:color="auto" w:sz="4" w:space="0"/>
              <w:tl2br w:val="nil"/>
              <w:tr2bl w:val="nil"/>
            </w:tcBorders>
            <w:vAlign w:val="center"/>
          </w:tcPr>
          <w:p>
            <w:pPr>
              <w:widowControl w:val="0"/>
              <w:numPr>
                <w:ilvl w:val="0"/>
                <w:numId w:val="89"/>
              </w:numPr>
              <w:autoSpaceDE w:val="0"/>
              <w:autoSpaceDN w:val="0"/>
              <w:adjustRightInd w:val="0"/>
              <w:spacing w:line="360" w:lineRule="auto"/>
              <w:jc w:val="both"/>
              <w:rPr>
                <w:rFonts w:eastAsiaTheme="minorEastAsia"/>
                <w:szCs w:val="21"/>
              </w:rPr>
            </w:pPr>
          </w:p>
        </w:tc>
        <w:tc>
          <w:tcPr>
            <w:tcW w:w="501" w:type="pct"/>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Theme="minorEastAsia"/>
                <w:szCs w:val="21"/>
              </w:rPr>
            </w:pPr>
            <w:r>
              <w:rPr>
                <w:rFonts w:hint="eastAsia" w:ascii="宋体" w:hAnsi="宋体" w:eastAsiaTheme="minorEastAsia"/>
                <w:szCs w:val="21"/>
              </w:rPr>
              <w:t>★</w:t>
            </w:r>
          </w:p>
        </w:tc>
        <w:tc>
          <w:tcPr>
            <w:tcW w:w="534" w:type="pct"/>
            <w:tcBorders>
              <w:top w:val="single" w:color="auto" w:sz="4" w:space="0"/>
              <w:left w:val="single" w:color="auto" w:sz="4" w:space="0"/>
              <w:bottom w:val="single" w:color="auto" w:sz="4" w:space="0"/>
              <w:right w:val="single" w:color="auto" w:sz="4" w:space="0"/>
              <w:tl2br w:val="nil"/>
              <w:tr2bl w:val="nil"/>
            </w:tcBorders>
            <w:vAlign w:val="center"/>
          </w:tcPr>
          <w:p>
            <w:pPr>
              <w:rPr>
                <w:rFonts w:eastAsiaTheme="minorEastAsia"/>
                <w:szCs w:val="21"/>
              </w:rPr>
            </w:pPr>
            <w:r>
              <w:rPr>
                <w:rFonts w:hint="eastAsia" w:eastAsiaTheme="minorEastAsia"/>
                <w:szCs w:val="21"/>
              </w:rPr>
              <w:t>并案结果</w:t>
            </w:r>
          </w:p>
        </w:tc>
        <w:tc>
          <w:tcPr>
            <w:tcW w:w="3040" w:type="pct"/>
            <w:tcBorders>
              <w:top w:val="single" w:color="auto" w:sz="4" w:space="0"/>
              <w:left w:val="single" w:color="auto" w:sz="4" w:space="0"/>
              <w:bottom w:val="single" w:color="auto" w:sz="4" w:space="0"/>
              <w:right w:val="single" w:color="auto" w:sz="4" w:space="0"/>
              <w:tl2br w:val="nil"/>
              <w:tr2bl w:val="nil"/>
            </w:tcBorders>
            <w:vAlign w:val="center"/>
          </w:tcPr>
          <w:p>
            <w:pPr>
              <w:rPr>
                <w:rFonts w:eastAsiaTheme="minorEastAsia"/>
                <w:szCs w:val="21"/>
              </w:rPr>
            </w:pPr>
            <w:r>
              <w:rPr>
                <w:rFonts w:hint="eastAsia" w:eastAsiaTheme="minorEastAsia"/>
                <w:szCs w:val="21"/>
              </w:rPr>
              <w:t>支持分析案件之间的共同信息，挖掘不同案件之间存在的不少于4种筛选条件，包括</w:t>
            </w:r>
            <w:r>
              <w:rPr>
                <w:rFonts w:eastAsiaTheme="minorEastAsia"/>
                <w:szCs w:val="21"/>
              </w:rPr>
              <w:t xml:space="preserve">App </w:t>
            </w:r>
            <w:r>
              <w:rPr>
                <w:rFonts w:hint="eastAsia" w:eastAsiaTheme="minorEastAsia"/>
                <w:szCs w:val="21"/>
              </w:rPr>
              <w:t>账号、</w:t>
            </w:r>
            <w:r>
              <w:rPr>
                <w:rFonts w:eastAsiaTheme="minorEastAsia"/>
                <w:szCs w:val="21"/>
              </w:rPr>
              <w:t xml:space="preserve">APP </w:t>
            </w:r>
            <w:r>
              <w:rPr>
                <w:rFonts w:hint="eastAsia" w:eastAsiaTheme="minorEastAsia"/>
                <w:szCs w:val="21"/>
              </w:rPr>
              <w:t>联系人、身份证、电话号码</w:t>
            </w:r>
          </w:p>
        </w:tc>
        <w:tc>
          <w:tcPr>
            <w:tcW w:w="632" w:type="pct"/>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Theme="minorEastAsia"/>
                <w:szCs w:val="21"/>
              </w:rPr>
            </w:pPr>
            <w:r>
              <w:rPr>
                <w:rFonts w:eastAsiaTheme="minorEastAsia"/>
                <w:szCs w:val="21"/>
              </w:rPr>
              <w:t>软件功能截图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291" w:type="pct"/>
            <w:tcBorders>
              <w:top w:val="single" w:color="auto" w:sz="4" w:space="0"/>
              <w:left w:val="single" w:color="auto" w:sz="4" w:space="0"/>
              <w:bottom w:val="single" w:color="auto" w:sz="4" w:space="0"/>
              <w:right w:val="single" w:color="auto" w:sz="4" w:space="0"/>
              <w:tl2br w:val="nil"/>
              <w:tr2bl w:val="nil"/>
            </w:tcBorders>
            <w:vAlign w:val="center"/>
          </w:tcPr>
          <w:p>
            <w:pPr>
              <w:widowControl w:val="0"/>
              <w:numPr>
                <w:ilvl w:val="0"/>
                <w:numId w:val="89"/>
              </w:numPr>
              <w:autoSpaceDE w:val="0"/>
              <w:autoSpaceDN w:val="0"/>
              <w:adjustRightInd w:val="0"/>
              <w:spacing w:line="360" w:lineRule="auto"/>
              <w:jc w:val="both"/>
              <w:rPr>
                <w:rFonts w:eastAsiaTheme="minorEastAsia"/>
                <w:szCs w:val="21"/>
              </w:rPr>
            </w:pPr>
          </w:p>
        </w:tc>
        <w:tc>
          <w:tcPr>
            <w:tcW w:w="501" w:type="pct"/>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Theme="minorEastAsia"/>
                <w:szCs w:val="21"/>
              </w:rPr>
            </w:pPr>
            <w:r>
              <w:rPr>
                <w:rFonts w:hint="eastAsia" w:ascii="宋体" w:hAnsi="宋体" w:eastAsiaTheme="minorEastAsia"/>
                <w:szCs w:val="21"/>
              </w:rPr>
              <w:t>★</w:t>
            </w:r>
          </w:p>
        </w:tc>
        <w:tc>
          <w:tcPr>
            <w:tcW w:w="534" w:type="pct"/>
            <w:tcBorders>
              <w:top w:val="single" w:color="auto" w:sz="4" w:space="0"/>
              <w:left w:val="single" w:color="auto" w:sz="4" w:space="0"/>
              <w:bottom w:val="single" w:color="auto" w:sz="4" w:space="0"/>
              <w:right w:val="single" w:color="auto" w:sz="4" w:space="0"/>
              <w:tl2br w:val="nil"/>
              <w:tr2bl w:val="nil"/>
            </w:tcBorders>
            <w:vAlign w:val="center"/>
          </w:tcPr>
          <w:p>
            <w:pPr>
              <w:tabs>
                <w:tab w:val="left" w:pos="289"/>
              </w:tabs>
              <w:rPr>
                <w:rFonts w:eastAsiaTheme="minorEastAsia"/>
                <w:szCs w:val="21"/>
              </w:rPr>
            </w:pPr>
            <w:r>
              <w:rPr>
                <w:rFonts w:hint="eastAsia" w:eastAsiaTheme="minorEastAsia"/>
                <w:szCs w:val="21"/>
              </w:rPr>
              <w:t>黑名单挖掘</w:t>
            </w:r>
          </w:p>
        </w:tc>
        <w:tc>
          <w:tcPr>
            <w:tcW w:w="3040" w:type="pct"/>
            <w:tcBorders>
              <w:top w:val="single" w:color="auto" w:sz="4" w:space="0"/>
              <w:left w:val="single" w:color="auto" w:sz="4" w:space="0"/>
              <w:bottom w:val="single" w:color="auto" w:sz="4" w:space="0"/>
              <w:right w:val="single" w:color="auto" w:sz="4" w:space="0"/>
              <w:tl2br w:val="nil"/>
              <w:tr2bl w:val="nil"/>
            </w:tcBorders>
            <w:vAlign w:val="center"/>
          </w:tcPr>
          <w:p>
            <w:pPr>
              <w:rPr>
                <w:rFonts w:eastAsiaTheme="minorEastAsia"/>
                <w:szCs w:val="21"/>
              </w:rPr>
            </w:pPr>
            <w:r>
              <w:rPr>
                <w:rFonts w:hint="eastAsia" w:eastAsiaTheme="minorEastAsia"/>
                <w:szCs w:val="21"/>
              </w:rPr>
              <w:t>支持预设的黑名单信息（不少于5种）在海量电子数据中挖掘匹配信息</w:t>
            </w:r>
          </w:p>
        </w:tc>
        <w:tc>
          <w:tcPr>
            <w:tcW w:w="632" w:type="pct"/>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Theme="minorEastAsia"/>
                <w:szCs w:val="21"/>
              </w:rPr>
            </w:pPr>
            <w:r>
              <w:rPr>
                <w:rFonts w:eastAsiaTheme="minorEastAsia"/>
                <w:szCs w:val="21"/>
              </w:rPr>
              <w:t>软件功能截图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291" w:type="pct"/>
            <w:tcBorders>
              <w:top w:val="single" w:color="auto" w:sz="4" w:space="0"/>
              <w:left w:val="single" w:color="auto" w:sz="4" w:space="0"/>
              <w:bottom w:val="single" w:color="auto" w:sz="4" w:space="0"/>
              <w:right w:val="single" w:color="auto" w:sz="4" w:space="0"/>
              <w:tl2br w:val="nil"/>
              <w:tr2bl w:val="nil"/>
            </w:tcBorders>
            <w:vAlign w:val="center"/>
          </w:tcPr>
          <w:p>
            <w:pPr>
              <w:widowControl w:val="0"/>
              <w:numPr>
                <w:ilvl w:val="0"/>
                <w:numId w:val="89"/>
              </w:numPr>
              <w:autoSpaceDE w:val="0"/>
              <w:autoSpaceDN w:val="0"/>
              <w:adjustRightInd w:val="0"/>
              <w:spacing w:line="360" w:lineRule="auto"/>
              <w:jc w:val="both"/>
              <w:rPr>
                <w:rFonts w:eastAsiaTheme="minorEastAsia"/>
                <w:szCs w:val="21"/>
              </w:rPr>
            </w:pPr>
          </w:p>
        </w:tc>
        <w:tc>
          <w:tcPr>
            <w:tcW w:w="501" w:type="pct"/>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Theme="minorEastAsia"/>
                <w:szCs w:val="21"/>
              </w:rPr>
            </w:pPr>
          </w:p>
        </w:tc>
        <w:tc>
          <w:tcPr>
            <w:tcW w:w="534" w:type="pct"/>
            <w:tcBorders>
              <w:top w:val="single" w:color="auto" w:sz="4" w:space="0"/>
              <w:left w:val="single" w:color="auto" w:sz="4" w:space="0"/>
              <w:bottom w:val="single" w:color="auto" w:sz="4" w:space="0"/>
              <w:right w:val="single" w:color="auto" w:sz="4" w:space="0"/>
              <w:tl2br w:val="nil"/>
              <w:tr2bl w:val="nil"/>
            </w:tcBorders>
            <w:vAlign w:val="center"/>
          </w:tcPr>
          <w:p>
            <w:pPr>
              <w:tabs>
                <w:tab w:val="left" w:pos="289"/>
              </w:tabs>
              <w:rPr>
                <w:rFonts w:eastAsiaTheme="minorEastAsia"/>
                <w:szCs w:val="21"/>
              </w:rPr>
            </w:pPr>
            <w:r>
              <w:rPr>
                <w:rFonts w:hint="eastAsia" w:eastAsiaTheme="minorEastAsia"/>
                <w:szCs w:val="21"/>
              </w:rPr>
              <w:t>语音识别</w:t>
            </w:r>
          </w:p>
        </w:tc>
        <w:tc>
          <w:tcPr>
            <w:tcW w:w="3040" w:type="pct"/>
            <w:tcBorders>
              <w:top w:val="single" w:color="auto" w:sz="4" w:space="0"/>
              <w:left w:val="single" w:color="auto" w:sz="4" w:space="0"/>
              <w:bottom w:val="single" w:color="auto" w:sz="4" w:space="0"/>
              <w:right w:val="single" w:color="auto" w:sz="4" w:space="0"/>
              <w:tl2br w:val="nil"/>
              <w:tr2bl w:val="nil"/>
            </w:tcBorders>
            <w:vAlign w:val="center"/>
          </w:tcPr>
          <w:p>
            <w:pPr>
              <w:rPr>
                <w:rFonts w:eastAsiaTheme="minorEastAsia"/>
                <w:szCs w:val="21"/>
              </w:rPr>
            </w:pPr>
            <w:r>
              <w:rPr>
                <w:rFonts w:hint="eastAsia" w:eastAsiaTheme="minorEastAsia"/>
                <w:szCs w:val="21"/>
              </w:rPr>
              <w:t>支持利用AI技术将涉案数据中的语音信息（不少于2种语音）转换为文字信息，按照文字信息的方式进行全文索引</w:t>
            </w:r>
          </w:p>
        </w:tc>
        <w:tc>
          <w:tcPr>
            <w:tcW w:w="632" w:type="pct"/>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Theme="minorEastAsia"/>
                <w:szCs w:val="21"/>
              </w:rPr>
            </w:pPr>
            <w:r>
              <w:rPr>
                <w:rFonts w:hint="eastAsia" w:ascii="宋体" w:hAnsi="宋体" w:eastAsiaTheme="min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291" w:type="pct"/>
            <w:tcBorders>
              <w:top w:val="single" w:color="auto" w:sz="4" w:space="0"/>
              <w:left w:val="single" w:color="auto" w:sz="4" w:space="0"/>
              <w:bottom w:val="single" w:color="auto" w:sz="4" w:space="0"/>
              <w:right w:val="single" w:color="auto" w:sz="4" w:space="0"/>
              <w:tl2br w:val="nil"/>
              <w:tr2bl w:val="nil"/>
            </w:tcBorders>
            <w:vAlign w:val="center"/>
          </w:tcPr>
          <w:p>
            <w:pPr>
              <w:widowControl w:val="0"/>
              <w:numPr>
                <w:ilvl w:val="0"/>
                <w:numId w:val="89"/>
              </w:numPr>
              <w:autoSpaceDE w:val="0"/>
              <w:autoSpaceDN w:val="0"/>
              <w:adjustRightInd w:val="0"/>
              <w:spacing w:line="360" w:lineRule="auto"/>
              <w:jc w:val="both"/>
              <w:rPr>
                <w:rFonts w:eastAsiaTheme="minorEastAsia"/>
                <w:szCs w:val="21"/>
              </w:rPr>
            </w:pPr>
          </w:p>
        </w:tc>
        <w:tc>
          <w:tcPr>
            <w:tcW w:w="501" w:type="pct"/>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Theme="minorEastAsia"/>
                <w:szCs w:val="21"/>
              </w:rPr>
            </w:pPr>
          </w:p>
        </w:tc>
        <w:tc>
          <w:tcPr>
            <w:tcW w:w="534" w:type="pct"/>
            <w:tcBorders>
              <w:top w:val="single" w:color="auto" w:sz="4" w:space="0"/>
              <w:left w:val="single" w:color="auto" w:sz="4" w:space="0"/>
              <w:bottom w:val="single" w:color="auto" w:sz="4" w:space="0"/>
              <w:right w:val="single" w:color="auto" w:sz="4" w:space="0"/>
              <w:tl2br w:val="nil"/>
              <w:tr2bl w:val="nil"/>
            </w:tcBorders>
            <w:vAlign w:val="center"/>
          </w:tcPr>
          <w:p>
            <w:pPr>
              <w:tabs>
                <w:tab w:val="left" w:pos="289"/>
              </w:tabs>
              <w:rPr>
                <w:rFonts w:eastAsiaTheme="minorEastAsia"/>
                <w:szCs w:val="21"/>
              </w:rPr>
            </w:pPr>
            <w:r>
              <w:rPr>
                <w:rFonts w:hint="eastAsia" w:eastAsiaTheme="minorEastAsia"/>
                <w:szCs w:val="21"/>
              </w:rPr>
              <w:t>数据筛选规则管理</w:t>
            </w:r>
          </w:p>
        </w:tc>
        <w:tc>
          <w:tcPr>
            <w:tcW w:w="3040" w:type="pct"/>
            <w:tcBorders>
              <w:top w:val="single" w:color="auto" w:sz="4" w:space="0"/>
              <w:left w:val="single" w:color="auto" w:sz="4" w:space="0"/>
              <w:bottom w:val="single" w:color="auto" w:sz="4" w:space="0"/>
              <w:right w:val="single" w:color="auto" w:sz="4" w:space="0"/>
              <w:tl2br w:val="nil"/>
              <w:tr2bl w:val="nil"/>
            </w:tcBorders>
            <w:vAlign w:val="center"/>
          </w:tcPr>
          <w:p>
            <w:pPr>
              <w:rPr>
                <w:rFonts w:eastAsiaTheme="minorEastAsia"/>
                <w:szCs w:val="21"/>
              </w:rPr>
            </w:pPr>
            <w:r>
              <w:rPr>
                <w:rFonts w:hint="eastAsia" w:eastAsiaTheme="minorEastAsia"/>
                <w:szCs w:val="21"/>
              </w:rPr>
              <w:t>支持数据筛选分类（不少于3种筛选规则，包括系统定义、智能筛选、用户定义）</w:t>
            </w:r>
          </w:p>
        </w:tc>
        <w:tc>
          <w:tcPr>
            <w:tcW w:w="632" w:type="pct"/>
            <w:tcBorders>
              <w:top w:val="single" w:color="auto" w:sz="4" w:space="0"/>
              <w:left w:val="single" w:color="auto" w:sz="4" w:space="0"/>
              <w:bottom w:val="single" w:color="auto" w:sz="4" w:space="0"/>
              <w:right w:val="single" w:color="auto" w:sz="4" w:space="0"/>
              <w:tl2br w:val="nil"/>
              <w:tr2bl w:val="nil"/>
            </w:tcBorders>
            <w:vAlign w:val="center"/>
          </w:tcPr>
          <w:p>
            <w:pPr>
              <w:jc w:val="center"/>
              <w:rPr>
                <w:rFonts w:eastAsiaTheme="minorEastAsia"/>
                <w:szCs w:val="21"/>
              </w:rPr>
            </w:pPr>
            <w:r>
              <w:rPr>
                <w:rFonts w:hint="eastAsia" w:ascii="宋体" w:hAnsi="宋体" w:eastAsiaTheme="minorEastAsia"/>
                <w:szCs w:val="21"/>
              </w:rPr>
              <w:t>/</w:t>
            </w:r>
          </w:p>
        </w:tc>
      </w:tr>
    </w:tbl>
    <w:p>
      <w:pPr>
        <w:pStyle w:val="5"/>
        <w:spacing w:before="156"/>
        <w:rPr>
          <w:rFonts w:asciiTheme="minorEastAsia" w:hAnsiTheme="minorEastAsia" w:eastAsiaTheme="minorEastAsia" w:cstheme="minorEastAsia"/>
          <w:szCs w:val="21"/>
        </w:rPr>
      </w:pPr>
      <w:r>
        <w:rPr>
          <w:rFonts w:hint="eastAsia" w:eastAsiaTheme="minorEastAsia"/>
          <w:szCs w:val="21"/>
        </w:rPr>
        <w:br w:type="page"/>
      </w:r>
      <w:r>
        <w:rPr>
          <w:rFonts w:hint="eastAsia" w:asciiTheme="minorEastAsia" w:hAnsiTheme="minorEastAsia" w:eastAsiaTheme="minorEastAsia" w:cstheme="minorEastAsia"/>
          <w:szCs w:val="21"/>
        </w:rPr>
        <w:t>第7包手机密码破解设备</w:t>
      </w:r>
      <w:r>
        <w:rPr>
          <w:rFonts w:hint="default" w:ascii="Times New Roman" w:hAnsi="Times New Roman" w:cs="Times New Roman" w:eastAsiaTheme="minorEastAsia"/>
          <w:szCs w:val="21"/>
        </w:rPr>
        <w:t>Ⅲ</w:t>
      </w:r>
    </w:p>
    <w:tbl>
      <w:tblPr>
        <w:tblStyle w:val="81"/>
        <w:tblW w:w="8942" w:type="dxa"/>
        <w:tblInd w:w="-2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1169"/>
        <w:gridCol w:w="876"/>
        <w:gridCol w:w="3836"/>
        <w:gridCol w:w="23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750" w:type="dxa"/>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序号</w:t>
            </w:r>
          </w:p>
        </w:tc>
        <w:tc>
          <w:tcPr>
            <w:tcW w:w="1169" w:type="dxa"/>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重要性</w:t>
            </w:r>
          </w:p>
        </w:tc>
        <w:tc>
          <w:tcPr>
            <w:tcW w:w="876" w:type="dxa"/>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指标项</w:t>
            </w:r>
          </w:p>
        </w:tc>
        <w:tc>
          <w:tcPr>
            <w:tcW w:w="3836" w:type="dxa"/>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指标要求</w:t>
            </w:r>
          </w:p>
        </w:tc>
        <w:tc>
          <w:tcPr>
            <w:tcW w:w="2311" w:type="dxa"/>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证明材料要求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0" w:type="dxa"/>
            <w:vAlign w:val="center"/>
          </w:tcPr>
          <w:p>
            <w:pPr>
              <w:widowControl w:val="0"/>
              <w:numPr>
                <w:ilvl w:val="0"/>
                <w:numId w:val="90"/>
              </w:numPr>
              <w:jc w:val="center"/>
              <w:textAlignment w:val="center"/>
              <w:rPr>
                <w:rFonts w:asciiTheme="minorEastAsia" w:hAnsiTheme="minorEastAsia" w:eastAsiaTheme="minorEastAsia" w:cstheme="minorEastAsia"/>
                <w:bCs/>
                <w:color w:val="000000"/>
                <w:kern w:val="0"/>
                <w:szCs w:val="21"/>
                <w:lang w:bidi="ar"/>
              </w:rPr>
            </w:pPr>
          </w:p>
        </w:tc>
        <w:tc>
          <w:tcPr>
            <w:tcW w:w="1169" w:type="dxa"/>
            <w:noWrap/>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rPr>
              <w:t>▲</w:t>
            </w:r>
          </w:p>
        </w:tc>
        <w:tc>
          <w:tcPr>
            <w:tcW w:w="876" w:type="dxa"/>
            <w:vMerge w:val="restart"/>
            <w:vAlign w:val="center"/>
          </w:tcPr>
          <w:p>
            <w:pPr>
              <w:textAlignment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解密能力</w:t>
            </w:r>
          </w:p>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rPr>
              <w:t>解密能力</w:t>
            </w:r>
          </w:p>
        </w:tc>
        <w:tc>
          <w:tcPr>
            <w:tcW w:w="3836" w:type="dxa"/>
            <w:vAlign w:val="center"/>
          </w:tcPr>
          <w:p>
            <w:pPr>
              <w:rPr>
                <w:rFonts w:asciiTheme="minorEastAsia" w:hAnsiTheme="minorEastAsia" w:eastAsiaTheme="minorEastAsia" w:cstheme="minorEastAsia"/>
                <w:bCs/>
                <w:kern w:val="0"/>
                <w:szCs w:val="21"/>
                <w:lang w:bidi="ar"/>
              </w:rPr>
            </w:pPr>
            <w:r>
              <w:rPr>
                <w:rFonts w:hint="eastAsia" w:ascii="Times New Roman" w:hAnsi="Times New Roman" w:eastAsiaTheme="minorEastAsia"/>
                <w:kern w:val="0"/>
                <w:szCs w:val="21"/>
              </w:rPr>
              <w:t>支持通过PC端开通手机用户功能，设置姓名、账号、密码，可在移动终端指纹采集手机app中登录账户，采集数据提交，通过服务器实时回传到PC端本地数据库中，可同时实现不少于2种以上方式数据互读</w:t>
            </w:r>
          </w:p>
        </w:tc>
        <w:tc>
          <w:tcPr>
            <w:tcW w:w="2311" w:type="dxa"/>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szCs w:val="21"/>
              </w:rPr>
              <w:t>软件功能截图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0" w:type="dxa"/>
            <w:vAlign w:val="center"/>
          </w:tcPr>
          <w:p>
            <w:pPr>
              <w:widowControl w:val="0"/>
              <w:numPr>
                <w:ilvl w:val="0"/>
                <w:numId w:val="90"/>
              </w:numPr>
              <w:jc w:val="center"/>
              <w:textAlignment w:val="center"/>
              <w:rPr>
                <w:rFonts w:asciiTheme="minorEastAsia" w:hAnsiTheme="minorEastAsia" w:eastAsiaTheme="minorEastAsia" w:cstheme="minorEastAsia"/>
                <w:bCs/>
                <w:color w:val="000000"/>
                <w:kern w:val="0"/>
                <w:szCs w:val="21"/>
                <w:lang w:bidi="ar"/>
              </w:rPr>
            </w:pPr>
          </w:p>
        </w:tc>
        <w:tc>
          <w:tcPr>
            <w:tcW w:w="1169" w:type="dxa"/>
            <w:noWrap/>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rPr>
              <w:t>▲</w:t>
            </w:r>
          </w:p>
        </w:tc>
        <w:tc>
          <w:tcPr>
            <w:tcW w:w="876" w:type="dxa"/>
            <w:vMerge w:val="continue"/>
            <w:noWrap/>
            <w:vAlign w:val="center"/>
          </w:tcPr>
          <w:p>
            <w:pPr>
              <w:textAlignment w:val="center"/>
              <w:rPr>
                <w:rFonts w:asciiTheme="minorEastAsia" w:hAnsiTheme="minorEastAsia" w:eastAsiaTheme="minorEastAsia" w:cstheme="minorEastAsia"/>
                <w:bCs/>
                <w:color w:val="000000"/>
                <w:kern w:val="0"/>
                <w:szCs w:val="21"/>
                <w:lang w:bidi="ar"/>
              </w:rPr>
            </w:pPr>
          </w:p>
        </w:tc>
        <w:tc>
          <w:tcPr>
            <w:tcW w:w="3836" w:type="dxa"/>
            <w:vAlign w:val="center"/>
          </w:tcPr>
          <w:p>
            <w:pPr>
              <w:rPr>
                <w:rFonts w:asciiTheme="minorEastAsia" w:hAnsiTheme="minorEastAsia" w:eastAsiaTheme="minorEastAsia" w:cstheme="minorEastAsia"/>
                <w:bCs/>
                <w:color w:val="000000"/>
                <w:kern w:val="0"/>
                <w:szCs w:val="21"/>
                <w:lang w:bidi="ar"/>
              </w:rPr>
            </w:pPr>
            <w:r>
              <w:rPr>
                <w:rFonts w:hint="eastAsia" w:ascii="Times New Roman" w:hAnsi="Times New Roman" w:eastAsiaTheme="minorEastAsia"/>
                <w:kern w:val="0"/>
                <w:szCs w:val="21"/>
              </w:rPr>
              <w:t>支持本地数据库存储，将采集任务命名，并存储到本地sqlite数据库中，可调用不少于2张的采集指纹数据</w:t>
            </w:r>
          </w:p>
        </w:tc>
        <w:tc>
          <w:tcPr>
            <w:tcW w:w="2311" w:type="dxa"/>
            <w:vAlign w:val="center"/>
          </w:tcPr>
          <w:p>
            <w:pPr>
              <w:snapToGrid w:val="0"/>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szCs w:val="21"/>
              </w:rPr>
              <w:t>软件功能截图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0" w:type="dxa"/>
            <w:vAlign w:val="center"/>
          </w:tcPr>
          <w:p>
            <w:pPr>
              <w:widowControl w:val="0"/>
              <w:numPr>
                <w:ilvl w:val="0"/>
                <w:numId w:val="90"/>
              </w:numPr>
              <w:jc w:val="center"/>
              <w:textAlignment w:val="center"/>
              <w:rPr>
                <w:rFonts w:asciiTheme="minorEastAsia" w:hAnsiTheme="minorEastAsia" w:eastAsiaTheme="minorEastAsia" w:cstheme="minorEastAsia"/>
                <w:bCs/>
                <w:color w:val="000000"/>
                <w:kern w:val="0"/>
                <w:szCs w:val="21"/>
                <w:lang w:bidi="ar"/>
              </w:rPr>
            </w:pPr>
          </w:p>
        </w:tc>
        <w:tc>
          <w:tcPr>
            <w:tcW w:w="1169" w:type="dxa"/>
            <w:noWrap/>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w:t>
            </w:r>
          </w:p>
        </w:tc>
        <w:tc>
          <w:tcPr>
            <w:tcW w:w="876" w:type="dxa"/>
            <w:vMerge w:val="continue"/>
            <w:noWrap/>
            <w:vAlign w:val="center"/>
          </w:tcPr>
          <w:p>
            <w:pPr>
              <w:textAlignment w:val="center"/>
              <w:rPr>
                <w:rFonts w:asciiTheme="minorEastAsia" w:hAnsiTheme="minorEastAsia" w:eastAsiaTheme="minorEastAsia" w:cstheme="minorEastAsia"/>
                <w:bCs/>
                <w:color w:val="000000"/>
                <w:kern w:val="0"/>
                <w:szCs w:val="21"/>
                <w:lang w:bidi="ar"/>
              </w:rPr>
            </w:pPr>
          </w:p>
        </w:tc>
        <w:tc>
          <w:tcPr>
            <w:tcW w:w="3836" w:type="dxa"/>
            <w:vAlign w:val="center"/>
          </w:tcPr>
          <w:p>
            <w:pPr>
              <w:rPr>
                <w:rFonts w:ascii="Times New Roman" w:hAnsi="Times New Roman" w:eastAsiaTheme="minorEastAsia"/>
                <w:kern w:val="0"/>
                <w:szCs w:val="21"/>
              </w:rPr>
            </w:pPr>
            <w:r>
              <w:rPr>
                <w:rFonts w:hint="eastAsia" w:ascii="Times New Roman" w:hAnsi="Times New Roman" w:eastAsiaTheme="minorEastAsia"/>
                <w:kern w:val="0"/>
                <w:szCs w:val="21"/>
              </w:rPr>
              <w:t>PC端支持windows系统指纹采集界面</w:t>
            </w:r>
          </w:p>
          <w:p>
            <w:pPr>
              <w:rPr>
                <w:rFonts w:asciiTheme="minorEastAsia" w:hAnsiTheme="minorEastAsia" w:eastAsiaTheme="minorEastAsia" w:cstheme="minorEastAsia"/>
                <w:bCs/>
                <w:color w:val="000000"/>
                <w:kern w:val="0"/>
                <w:szCs w:val="21"/>
                <w:lang w:bidi="ar"/>
              </w:rPr>
            </w:pPr>
            <w:r>
              <w:rPr>
                <w:rFonts w:hint="eastAsia" w:ascii="Times New Roman" w:hAnsi="Times New Roman" w:eastAsiaTheme="minorEastAsia"/>
                <w:kern w:val="0"/>
                <w:szCs w:val="21"/>
              </w:rPr>
              <w:t>能同时采取不少于9张指纹图片进行比较，并人工选择图片进行最优化处理，生成仿生指纹膜</w:t>
            </w:r>
          </w:p>
        </w:tc>
        <w:tc>
          <w:tcPr>
            <w:tcW w:w="2311" w:type="dxa"/>
            <w:vAlign w:val="center"/>
          </w:tcPr>
          <w:p>
            <w:pPr>
              <w:textAlignment w:val="center"/>
              <w:rPr>
                <w:rFonts w:asciiTheme="minorEastAsia" w:hAnsiTheme="minorEastAsia" w:eastAsiaTheme="minorEastAsia" w:cstheme="minorEastAsia"/>
                <w:bCs/>
                <w:color w:val="000000"/>
                <w:kern w:val="0"/>
                <w:szCs w:val="21"/>
                <w:lang w:bidi="ar"/>
              </w:rPr>
            </w:pPr>
            <w:r>
              <w:rPr>
                <w:rFonts w:ascii="Times New Roman" w:hAnsi="Times New Roman" w:eastAsiaTheme="minorEastAsia"/>
                <w:bCs/>
                <w:szCs w:val="21"/>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trPr>
        <w:tc>
          <w:tcPr>
            <w:tcW w:w="750" w:type="dxa"/>
            <w:vAlign w:val="center"/>
          </w:tcPr>
          <w:p>
            <w:pPr>
              <w:widowControl w:val="0"/>
              <w:numPr>
                <w:ilvl w:val="0"/>
                <w:numId w:val="90"/>
              </w:numPr>
              <w:jc w:val="center"/>
              <w:textAlignment w:val="center"/>
              <w:rPr>
                <w:rFonts w:asciiTheme="minorEastAsia" w:hAnsiTheme="minorEastAsia" w:eastAsiaTheme="minorEastAsia" w:cstheme="minorEastAsia"/>
                <w:bCs/>
                <w:color w:val="000000"/>
                <w:kern w:val="0"/>
                <w:szCs w:val="21"/>
                <w:lang w:bidi="ar"/>
              </w:rPr>
            </w:pPr>
          </w:p>
        </w:tc>
        <w:tc>
          <w:tcPr>
            <w:tcW w:w="1169" w:type="dxa"/>
            <w:noWrap/>
            <w:vAlign w:val="center"/>
          </w:tcPr>
          <w:p>
            <w:pPr>
              <w:jc w:val="center"/>
              <w:textAlignment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color w:val="000000"/>
                <w:kern w:val="0"/>
                <w:szCs w:val="21"/>
                <w:lang w:bidi="ar"/>
              </w:rPr>
              <w:t>★</w:t>
            </w:r>
          </w:p>
        </w:tc>
        <w:tc>
          <w:tcPr>
            <w:tcW w:w="876" w:type="dxa"/>
            <w:vMerge w:val="continue"/>
            <w:noWrap/>
            <w:vAlign w:val="center"/>
          </w:tcPr>
          <w:p>
            <w:pPr>
              <w:textAlignment w:val="center"/>
              <w:rPr>
                <w:rFonts w:asciiTheme="minorEastAsia" w:hAnsiTheme="minorEastAsia" w:eastAsiaTheme="minorEastAsia" w:cstheme="minorEastAsia"/>
                <w:bCs/>
                <w:color w:val="000000"/>
                <w:kern w:val="0"/>
                <w:szCs w:val="21"/>
                <w:lang w:bidi="ar"/>
              </w:rPr>
            </w:pPr>
          </w:p>
        </w:tc>
        <w:tc>
          <w:tcPr>
            <w:tcW w:w="3836" w:type="dxa"/>
            <w:vAlign w:val="center"/>
          </w:tcPr>
          <w:p>
            <w:pPr>
              <w:rPr>
                <w:rFonts w:asciiTheme="minorEastAsia" w:hAnsiTheme="minorEastAsia" w:eastAsiaTheme="minorEastAsia" w:cstheme="minorEastAsia"/>
                <w:bCs/>
                <w:szCs w:val="21"/>
              </w:rPr>
            </w:pPr>
            <w:r>
              <w:rPr>
                <w:rFonts w:hint="eastAsia" w:ascii="Times New Roman" w:hAnsi="Times New Roman" w:eastAsiaTheme="minorEastAsia"/>
                <w:kern w:val="0"/>
                <w:szCs w:val="21"/>
              </w:rPr>
              <w:t>移动端指纹采集APP手机界面同时采取不少于9张指纹图片</w:t>
            </w:r>
          </w:p>
        </w:tc>
        <w:tc>
          <w:tcPr>
            <w:tcW w:w="2311" w:type="dxa"/>
            <w:vAlign w:val="center"/>
          </w:tcPr>
          <w:p>
            <w:pPr>
              <w:textAlignment w:val="center"/>
              <w:rPr>
                <w:rFonts w:asciiTheme="minorEastAsia" w:hAnsiTheme="minorEastAsia" w:eastAsiaTheme="minorEastAsia" w:cstheme="minorEastAsia"/>
                <w:bCs/>
                <w:color w:val="000000"/>
                <w:kern w:val="0"/>
                <w:szCs w:val="21"/>
                <w:lang w:bidi="ar"/>
              </w:rPr>
            </w:pPr>
            <w:r>
              <w:rPr>
                <w:rFonts w:ascii="Times New Roman" w:hAnsi="Times New Roman" w:eastAsiaTheme="minorEastAsia"/>
                <w:bCs/>
                <w:szCs w:val="21"/>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trPr>
        <w:tc>
          <w:tcPr>
            <w:tcW w:w="750" w:type="dxa"/>
            <w:vAlign w:val="center"/>
          </w:tcPr>
          <w:p>
            <w:pPr>
              <w:widowControl w:val="0"/>
              <w:numPr>
                <w:ilvl w:val="0"/>
                <w:numId w:val="90"/>
              </w:numPr>
              <w:jc w:val="center"/>
              <w:textAlignment w:val="center"/>
              <w:rPr>
                <w:rFonts w:asciiTheme="minorEastAsia" w:hAnsiTheme="minorEastAsia" w:eastAsiaTheme="minorEastAsia" w:cstheme="minorEastAsia"/>
                <w:bCs/>
                <w:color w:val="000000"/>
                <w:kern w:val="0"/>
                <w:szCs w:val="21"/>
                <w:lang w:bidi="ar"/>
              </w:rPr>
            </w:pPr>
          </w:p>
        </w:tc>
        <w:tc>
          <w:tcPr>
            <w:tcW w:w="1169" w:type="dxa"/>
            <w:noWrap/>
            <w:vAlign w:val="center"/>
          </w:tcPr>
          <w:p>
            <w:pPr>
              <w:jc w:val="center"/>
              <w:textAlignment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color w:val="000000"/>
                <w:kern w:val="0"/>
                <w:szCs w:val="21"/>
                <w:lang w:bidi="ar"/>
              </w:rPr>
              <w:t>★</w:t>
            </w:r>
          </w:p>
        </w:tc>
        <w:tc>
          <w:tcPr>
            <w:tcW w:w="876" w:type="dxa"/>
            <w:vMerge w:val="continue"/>
            <w:noWrap/>
            <w:vAlign w:val="center"/>
          </w:tcPr>
          <w:p>
            <w:pPr>
              <w:textAlignment w:val="center"/>
              <w:rPr>
                <w:rFonts w:asciiTheme="minorEastAsia" w:hAnsiTheme="minorEastAsia" w:eastAsiaTheme="minorEastAsia" w:cstheme="minorEastAsia"/>
                <w:bCs/>
                <w:color w:val="000000"/>
                <w:kern w:val="0"/>
                <w:szCs w:val="21"/>
                <w:lang w:bidi="ar"/>
              </w:rPr>
            </w:pPr>
          </w:p>
        </w:tc>
        <w:tc>
          <w:tcPr>
            <w:tcW w:w="3836" w:type="dxa"/>
            <w:vAlign w:val="center"/>
          </w:tcPr>
          <w:p>
            <w:pPr>
              <w:rPr>
                <w:rFonts w:asciiTheme="minorEastAsia" w:hAnsiTheme="minorEastAsia" w:eastAsiaTheme="minorEastAsia" w:cstheme="minorEastAsia"/>
                <w:bCs/>
                <w:szCs w:val="21"/>
              </w:rPr>
            </w:pPr>
            <w:r>
              <w:rPr>
                <w:rFonts w:hint="eastAsia" w:ascii="Times New Roman" w:hAnsi="Times New Roman" w:eastAsiaTheme="minorEastAsia"/>
                <w:kern w:val="0"/>
                <w:szCs w:val="21"/>
              </w:rPr>
              <w:t>支持OPPO手机（Android 5.x以上系统）不少于2种以上型号；在关闭USB调试状态下清除屏幕锁或破解开机密码</w:t>
            </w:r>
          </w:p>
        </w:tc>
        <w:tc>
          <w:tcPr>
            <w:tcW w:w="2311" w:type="dxa"/>
            <w:vAlign w:val="center"/>
          </w:tcPr>
          <w:p>
            <w:pPr>
              <w:textAlignment w:val="center"/>
              <w:rPr>
                <w:rFonts w:asciiTheme="minorEastAsia" w:hAnsiTheme="minorEastAsia" w:eastAsiaTheme="minorEastAsia" w:cstheme="minorEastAsia"/>
                <w:bCs/>
                <w:color w:val="000000"/>
                <w:kern w:val="0"/>
                <w:szCs w:val="21"/>
                <w:lang w:bidi="ar"/>
              </w:rPr>
            </w:pPr>
            <w:r>
              <w:rPr>
                <w:rFonts w:ascii="Times New Roman" w:hAnsi="Times New Roman" w:eastAsiaTheme="minorEastAsia"/>
                <w:bCs/>
                <w:szCs w:val="21"/>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trPr>
        <w:tc>
          <w:tcPr>
            <w:tcW w:w="750" w:type="dxa"/>
            <w:vAlign w:val="center"/>
          </w:tcPr>
          <w:p>
            <w:pPr>
              <w:widowControl w:val="0"/>
              <w:numPr>
                <w:ilvl w:val="0"/>
                <w:numId w:val="90"/>
              </w:numPr>
              <w:jc w:val="center"/>
              <w:textAlignment w:val="center"/>
              <w:rPr>
                <w:rFonts w:asciiTheme="minorEastAsia" w:hAnsiTheme="minorEastAsia" w:eastAsiaTheme="minorEastAsia" w:cstheme="minorEastAsia"/>
                <w:bCs/>
                <w:color w:val="000000"/>
                <w:kern w:val="0"/>
                <w:szCs w:val="21"/>
                <w:lang w:bidi="ar"/>
              </w:rPr>
            </w:pPr>
          </w:p>
        </w:tc>
        <w:tc>
          <w:tcPr>
            <w:tcW w:w="1169" w:type="dxa"/>
            <w:noWrap/>
            <w:vAlign w:val="center"/>
          </w:tcPr>
          <w:p>
            <w:pPr>
              <w:jc w:val="center"/>
              <w:textAlignment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color w:val="000000"/>
                <w:kern w:val="0"/>
                <w:szCs w:val="21"/>
                <w:lang w:bidi="ar"/>
              </w:rPr>
              <w:t>★</w:t>
            </w:r>
          </w:p>
        </w:tc>
        <w:tc>
          <w:tcPr>
            <w:tcW w:w="876" w:type="dxa"/>
            <w:vMerge w:val="continue"/>
            <w:noWrap/>
            <w:vAlign w:val="center"/>
          </w:tcPr>
          <w:p>
            <w:pPr>
              <w:textAlignment w:val="center"/>
              <w:rPr>
                <w:rFonts w:asciiTheme="minorEastAsia" w:hAnsiTheme="minorEastAsia" w:eastAsiaTheme="minorEastAsia" w:cstheme="minorEastAsia"/>
                <w:bCs/>
                <w:color w:val="000000"/>
                <w:kern w:val="0"/>
                <w:szCs w:val="21"/>
                <w:lang w:bidi="ar"/>
              </w:rPr>
            </w:pPr>
          </w:p>
        </w:tc>
        <w:tc>
          <w:tcPr>
            <w:tcW w:w="3836" w:type="dxa"/>
            <w:vAlign w:val="center"/>
          </w:tcPr>
          <w:p>
            <w:pPr>
              <w:rPr>
                <w:rFonts w:asciiTheme="minorEastAsia" w:hAnsiTheme="minorEastAsia" w:eastAsiaTheme="minorEastAsia" w:cstheme="minorEastAsia"/>
                <w:bCs/>
                <w:szCs w:val="21"/>
              </w:rPr>
            </w:pPr>
            <w:r>
              <w:rPr>
                <w:rFonts w:hint="eastAsia" w:ascii="Times New Roman" w:hAnsi="Times New Roman" w:eastAsiaTheme="minorEastAsia"/>
                <w:kern w:val="0"/>
                <w:szCs w:val="21"/>
              </w:rPr>
              <w:t>支持三星手机（Android 6.x以上系统）不少于2种以上型号；在关闭USB调试状态下，清除屏幕锁</w:t>
            </w:r>
          </w:p>
        </w:tc>
        <w:tc>
          <w:tcPr>
            <w:tcW w:w="2311" w:type="dxa"/>
            <w:vAlign w:val="center"/>
          </w:tcPr>
          <w:p>
            <w:pPr>
              <w:textAlignment w:val="center"/>
              <w:rPr>
                <w:rFonts w:asciiTheme="minorEastAsia" w:hAnsiTheme="minorEastAsia" w:eastAsiaTheme="minorEastAsia" w:cstheme="minorEastAsia"/>
                <w:bCs/>
                <w:color w:val="000000"/>
                <w:kern w:val="0"/>
                <w:szCs w:val="21"/>
                <w:lang w:bidi="ar"/>
              </w:rPr>
            </w:pPr>
            <w:r>
              <w:rPr>
                <w:rFonts w:ascii="Times New Roman" w:hAnsi="Times New Roman" w:eastAsiaTheme="minorEastAsia"/>
                <w:bCs/>
                <w:szCs w:val="21"/>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750" w:type="dxa"/>
            <w:vAlign w:val="center"/>
          </w:tcPr>
          <w:p>
            <w:pPr>
              <w:widowControl w:val="0"/>
              <w:numPr>
                <w:ilvl w:val="0"/>
                <w:numId w:val="90"/>
              </w:numPr>
              <w:jc w:val="center"/>
              <w:textAlignment w:val="center"/>
              <w:rPr>
                <w:rFonts w:asciiTheme="minorEastAsia" w:hAnsiTheme="minorEastAsia" w:eastAsiaTheme="minorEastAsia" w:cstheme="minorEastAsia"/>
                <w:bCs/>
                <w:color w:val="000000"/>
                <w:kern w:val="0"/>
                <w:szCs w:val="21"/>
                <w:lang w:bidi="ar"/>
              </w:rPr>
            </w:pPr>
          </w:p>
        </w:tc>
        <w:tc>
          <w:tcPr>
            <w:tcW w:w="1169" w:type="dxa"/>
            <w:noWrap/>
            <w:vAlign w:val="center"/>
          </w:tcPr>
          <w:p>
            <w:pPr>
              <w:jc w:val="center"/>
              <w:textAlignment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color w:val="000000"/>
                <w:kern w:val="0"/>
                <w:szCs w:val="21"/>
                <w:lang w:bidi="ar"/>
              </w:rPr>
              <w:t>★</w:t>
            </w:r>
          </w:p>
        </w:tc>
        <w:tc>
          <w:tcPr>
            <w:tcW w:w="876" w:type="dxa"/>
            <w:vMerge w:val="continue"/>
            <w:noWrap/>
            <w:vAlign w:val="center"/>
          </w:tcPr>
          <w:p>
            <w:pPr>
              <w:textAlignment w:val="center"/>
              <w:rPr>
                <w:rFonts w:asciiTheme="minorEastAsia" w:hAnsiTheme="minorEastAsia" w:eastAsiaTheme="minorEastAsia" w:cstheme="minorEastAsia"/>
                <w:bCs/>
                <w:color w:val="000000"/>
                <w:kern w:val="0"/>
                <w:szCs w:val="21"/>
                <w:lang w:bidi="ar"/>
              </w:rPr>
            </w:pPr>
          </w:p>
        </w:tc>
        <w:tc>
          <w:tcPr>
            <w:tcW w:w="3836" w:type="dxa"/>
            <w:vAlign w:val="center"/>
          </w:tcPr>
          <w:p>
            <w:pPr>
              <w:rPr>
                <w:rFonts w:ascii="Times New Roman" w:hAnsi="Times New Roman" w:eastAsiaTheme="minorEastAsia"/>
                <w:kern w:val="0"/>
                <w:szCs w:val="21"/>
              </w:rPr>
            </w:pPr>
            <w:r>
              <w:rPr>
                <w:rFonts w:hint="eastAsia" w:ascii="Times New Roman" w:hAnsi="Times New Roman" w:eastAsiaTheme="minorEastAsia"/>
                <w:kern w:val="0"/>
                <w:szCs w:val="21"/>
              </w:rPr>
              <w:t>支持不少于2种品牌手机有屏幕锁</w:t>
            </w:r>
          </w:p>
          <w:p>
            <w:pPr>
              <w:rPr>
                <w:rFonts w:asciiTheme="minorEastAsia" w:hAnsiTheme="minorEastAsia" w:eastAsiaTheme="minorEastAsia" w:cstheme="minorEastAsia"/>
                <w:bCs/>
                <w:szCs w:val="21"/>
              </w:rPr>
            </w:pPr>
            <w:r>
              <w:rPr>
                <w:rFonts w:hint="eastAsia" w:ascii="Times New Roman" w:hAnsi="Times New Roman" w:eastAsiaTheme="minorEastAsia"/>
                <w:kern w:val="0"/>
                <w:szCs w:val="21"/>
              </w:rPr>
              <w:t>并且安卓系统5.x以上；关闭USB调试状态下，清除手机屏幕锁</w:t>
            </w:r>
          </w:p>
        </w:tc>
        <w:tc>
          <w:tcPr>
            <w:tcW w:w="2311" w:type="dxa"/>
            <w:vAlign w:val="center"/>
          </w:tcPr>
          <w:p>
            <w:pPr>
              <w:textAlignment w:val="center"/>
              <w:rPr>
                <w:rFonts w:asciiTheme="minorEastAsia" w:hAnsiTheme="minorEastAsia" w:eastAsiaTheme="minorEastAsia" w:cstheme="minorEastAsia"/>
                <w:bCs/>
                <w:color w:val="000000"/>
                <w:kern w:val="0"/>
                <w:szCs w:val="21"/>
                <w:lang w:bidi="ar"/>
              </w:rPr>
            </w:pPr>
            <w:r>
              <w:rPr>
                <w:rFonts w:ascii="Times New Roman" w:hAnsi="Times New Roman" w:eastAsiaTheme="minorEastAsia"/>
                <w:bCs/>
                <w:szCs w:val="21"/>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50" w:type="dxa"/>
            <w:vAlign w:val="center"/>
          </w:tcPr>
          <w:p>
            <w:pPr>
              <w:widowControl w:val="0"/>
              <w:numPr>
                <w:ilvl w:val="0"/>
                <w:numId w:val="90"/>
              </w:numPr>
              <w:jc w:val="center"/>
              <w:textAlignment w:val="center"/>
              <w:rPr>
                <w:rFonts w:asciiTheme="minorEastAsia" w:hAnsiTheme="minorEastAsia" w:eastAsiaTheme="minorEastAsia" w:cstheme="minorEastAsia"/>
                <w:bCs/>
                <w:color w:val="000000"/>
                <w:kern w:val="0"/>
                <w:szCs w:val="21"/>
                <w:lang w:bidi="ar"/>
              </w:rPr>
            </w:pPr>
          </w:p>
        </w:tc>
        <w:tc>
          <w:tcPr>
            <w:tcW w:w="1169" w:type="dxa"/>
            <w:noWrap/>
            <w:vAlign w:val="center"/>
          </w:tcPr>
          <w:p>
            <w:pPr>
              <w:jc w:val="center"/>
              <w:textAlignment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color w:val="000000"/>
                <w:kern w:val="0"/>
                <w:szCs w:val="21"/>
                <w:lang w:bidi="ar"/>
              </w:rPr>
              <w:t>★</w:t>
            </w:r>
          </w:p>
        </w:tc>
        <w:tc>
          <w:tcPr>
            <w:tcW w:w="876" w:type="dxa"/>
            <w:vMerge w:val="continue"/>
            <w:noWrap/>
            <w:vAlign w:val="center"/>
          </w:tcPr>
          <w:p>
            <w:pPr>
              <w:textAlignment w:val="center"/>
              <w:rPr>
                <w:rFonts w:asciiTheme="minorEastAsia" w:hAnsiTheme="minorEastAsia" w:eastAsiaTheme="minorEastAsia" w:cstheme="minorEastAsia"/>
                <w:bCs/>
                <w:color w:val="000000"/>
                <w:kern w:val="0"/>
                <w:szCs w:val="21"/>
                <w:lang w:bidi="ar"/>
              </w:rPr>
            </w:pPr>
          </w:p>
        </w:tc>
        <w:tc>
          <w:tcPr>
            <w:tcW w:w="3836" w:type="dxa"/>
            <w:vAlign w:val="center"/>
          </w:tcPr>
          <w:p>
            <w:pPr>
              <w:rPr>
                <w:rFonts w:asciiTheme="minorEastAsia" w:hAnsiTheme="minorEastAsia" w:eastAsiaTheme="minorEastAsia" w:cstheme="minorEastAsia"/>
                <w:bCs/>
                <w:szCs w:val="21"/>
              </w:rPr>
            </w:pPr>
            <w:r>
              <w:rPr>
                <w:rFonts w:hint="eastAsia" w:ascii="Times New Roman" w:hAnsi="Times New Roman" w:eastAsiaTheme="minorEastAsia"/>
                <w:kern w:val="0"/>
                <w:szCs w:val="21"/>
              </w:rPr>
              <w:t>支持不少于4种品牌手机，未开启调试功能、无开机密码情况下制作仿生指纹膜进入手机系统</w:t>
            </w:r>
          </w:p>
        </w:tc>
        <w:tc>
          <w:tcPr>
            <w:tcW w:w="2311" w:type="dxa"/>
            <w:vAlign w:val="center"/>
          </w:tcPr>
          <w:p>
            <w:pPr>
              <w:textAlignment w:val="center"/>
              <w:rPr>
                <w:rFonts w:asciiTheme="minorEastAsia" w:hAnsiTheme="minorEastAsia" w:eastAsiaTheme="minorEastAsia" w:cstheme="minorEastAsia"/>
                <w:bCs/>
                <w:color w:val="000000"/>
                <w:kern w:val="0"/>
                <w:szCs w:val="21"/>
                <w:lang w:bidi="ar"/>
              </w:rPr>
            </w:pPr>
            <w:r>
              <w:rPr>
                <w:rFonts w:ascii="Times New Roman" w:hAnsi="Times New Roman" w:eastAsiaTheme="minorEastAsia"/>
                <w:bCs/>
                <w:szCs w:val="21"/>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50" w:type="dxa"/>
            <w:vAlign w:val="center"/>
          </w:tcPr>
          <w:p>
            <w:pPr>
              <w:widowControl w:val="0"/>
              <w:numPr>
                <w:ilvl w:val="0"/>
                <w:numId w:val="90"/>
              </w:numPr>
              <w:jc w:val="center"/>
              <w:textAlignment w:val="center"/>
              <w:rPr>
                <w:rFonts w:asciiTheme="minorEastAsia" w:hAnsiTheme="minorEastAsia" w:eastAsiaTheme="minorEastAsia" w:cstheme="minorEastAsia"/>
                <w:bCs/>
                <w:color w:val="000000"/>
                <w:kern w:val="0"/>
                <w:szCs w:val="21"/>
                <w:lang w:bidi="ar"/>
              </w:rPr>
            </w:pPr>
          </w:p>
        </w:tc>
        <w:tc>
          <w:tcPr>
            <w:tcW w:w="1169" w:type="dxa"/>
            <w:noWrap/>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w:t>
            </w:r>
          </w:p>
        </w:tc>
        <w:tc>
          <w:tcPr>
            <w:tcW w:w="876" w:type="dxa"/>
            <w:vMerge w:val="continue"/>
            <w:noWrap/>
            <w:vAlign w:val="center"/>
          </w:tcPr>
          <w:p>
            <w:pPr>
              <w:textAlignment w:val="center"/>
              <w:rPr>
                <w:rFonts w:asciiTheme="minorEastAsia" w:hAnsiTheme="minorEastAsia" w:eastAsiaTheme="minorEastAsia" w:cstheme="minorEastAsia"/>
                <w:bCs/>
                <w:color w:val="000000"/>
                <w:kern w:val="0"/>
                <w:szCs w:val="21"/>
                <w:lang w:bidi="ar"/>
              </w:rPr>
            </w:pPr>
          </w:p>
        </w:tc>
        <w:tc>
          <w:tcPr>
            <w:tcW w:w="3836" w:type="dxa"/>
            <w:vAlign w:val="center"/>
          </w:tcPr>
          <w:p>
            <w:pPr>
              <w:rPr>
                <w:rFonts w:ascii="Times New Roman" w:hAnsi="Times New Roman" w:eastAsiaTheme="minorEastAsia"/>
                <w:kern w:val="0"/>
                <w:szCs w:val="21"/>
              </w:rPr>
            </w:pPr>
            <w:r>
              <w:rPr>
                <w:rFonts w:hint="eastAsia" w:ascii="Times New Roman" w:hAnsi="Times New Roman" w:eastAsiaTheme="minorEastAsia"/>
                <w:kern w:val="0"/>
                <w:szCs w:val="21"/>
              </w:rPr>
              <w:t>支持三星手机不少于4种型号，未开启调试功能，无开机密码情况下制作仿生指纹膜进入手机系统</w:t>
            </w:r>
          </w:p>
        </w:tc>
        <w:tc>
          <w:tcPr>
            <w:tcW w:w="2311" w:type="dxa"/>
            <w:vAlign w:val="center"/>
          </w:tcPr>
          <w:p>
            <w:pPr>
              <w:textAlignment w:val="center"/>
              <w:rPr>
                <w:rFonts w:asciiTheme="minorEastAsia" w:hAnsiTheme="minorEastAsia" w:eastAsiaTheme="minorEastAsia" w:cstheme="minorEastAsia"/>
                <w:bCs/>
                <w:szCs w:val="21"/>
              </w:rPr>
            </w:pPr>
            <w:r>
              <w:rPr>
                <w:rFonts w:ascii="Times New Roman" w:hAnsi="Times New Roman" w:eastAsiaTheme="minorEastAsia"/>
                <w:bCs/>
                <w:szCs w:val="21"/>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750" w:type="dxa"/>
            <w:vAlign w:val="center"/>
          </w:tcPr>
          <w:p>
            <w:pPr>
              <w:widowControl w:val="0"/>
              <w:numPr>
                <w:ilvl w:val="0"/>
                <w:numId w:val="90"/>
              </w:numPr>
              <w:jc w:val="center"/>
              <w:textAlignment w:val="center"/>
              <w:rPr>
                <w:rFonts w:asciiTheme="minorEastAsia" w:hAnsiTheme="minorEastAsia" w:eastAsiaTheme="minorEastAsia" w:cstheme="minorEastAsia"/>
                <w:bCs/>
                <w:color w:val="000000"/>
                <w:kern w:val="0"/>
                <w:szCs w:val="21"/>
                <w:lang w:bidi="ar"/>
              </w:rPr>
            </w:pPr>
          </w:p>
        </w:tc>
        <w:tc>
          <w:tcPr>
            <w:tcW w:w="1169" w:type="dxa"/>
            <w:noWrap/>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w:t>
            </w:r>
          </w:p>
        </w:tc>
        <w:tc>
          <w:tcPr>
            <w:tcW w:w="876" w:type="dxa"/>
            <w:vMerge w:val="continue"/>
            <w:noWrap/>
            <w:vAlign w:val="center"/>
          </w:tcPr>
          <w:p>
            <w:pPr>
              <w:textAlignment w:val="center"/>
              <w:rPr>
                <w:rFonts w:asciiTheme="minorEastAsia" w:hAnsiTheme="minorEastAsia" w:eastAsiaTheme="minorEastAsia" w:cstheme="minorEastAsia"/>
                <w:bCs/>
                <w:color w:val="000000"/>
                <w:kern w:val="0"/>
                <w:szCs w:val="21"/>
                <w:lang w:bidi="ar"/>
              </w:rPr>
            </w:pPr>
          </w:p>
        </w:tc>
        <w:tc>
          <w:tcPr>
            <w:tcW w:w="3836" w:type="dxa"/>
            <w:vAlign w:val="center"/>
          </w:tcPr>
          <w:p>
            <w:pPr>
              <w:rPr>
                <w:rFonts w:ascii="Times New Roman" w:hAnsi="Times New Roman" w:eastAsiaTheme="minorEastAsia"/>
                <w:kern w:val="0"/>
                <w:szCs w:val="21"/>
              </w:rPr>
            </w:pPr>
            <w:r>
              <w:rPr>
                <w:rFonts w:hint="eastAsia" w:ascii="Times New Roman" w:hAnsi="Times New Roman" w:eastAsiaTheme="minorEastAsia"/>
                <w:kern w:val="0"/>
                <w:szCs w:val="21"/>
              </w:rPr>
              <w:t>支持小米手机不少于3种型号，未开启调试功能，无开机密码情况下制作仿生指纹膜进入手机系统</w:t>
            </w:r>
          </w:p>
        </w:tc>
        <w:tc>
          <w:tcPr>
            <w:tcW w:w="2311" w:type="dxa"/>
            <w:vAlign w:val="center"/>
          </w:tcPr>
          <w:p>
            <w:pPr>
              <w:textAlignment w:val="center"/>
              <w:rPr>
                <w:rFonts w:asciiTheme="minorEastAsia" w:hAnsiTheme="minorEastAsia" w:eastAsiaTheme="minorEastAsia" w:cstheme="minorEastAsia"/>
                <w:bCs/>
                <w:szCs w:val="21"/>
              </w:rPr>
            </w:pPr>
            <w:r>
              <w:rPr>
                <w:rFonts w:ascii="Times New Roman" w:hAnsi="Times New Roman" w:eastAsiaTheme="minorEastAsia"/>
                <w:bCs/>
                <w:szCs w:val="21"/>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50" w:type="dxa"/>
            <w:vAlign w:val="center"/>
          </w:tcPr>
          <w:p>
            <w:pPr>
              <w:widowControl w:val="0"/>
              <w:numPr>
                <w:ilvl w:val="0"/>
                <w:numId w:val="90"/>
              </w:numPr>
              <w:jc w:val="center"/>
              <w:textAlignment w:val="center"/>
              <w:rPr>
                <w:rFonts w:asciiTheme="minorEastAsia" w:hAnsiTheme="minorEastAsia" w:eastAsiaTheme="minorEastAsia" w:cstheme="minorEastAsia"/>
                <w:bCs/>
                <w:color w:val="000000"/>
                <w:kern w:val="0"/>
                <w:szCs w:val="21"/>
                <w:lang w:bidi="ar"/>
              </w:rPr>
            </w:pPr>
          </w:p>
        </w:tc>
        <w:tc>
          <w:tcPr>
            <w:tcW w:w="1169" w:type="dxa"/>
            <w:noWrap/>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w:t>
            </w:r>
          </w:p>
        </w:tc>
        <w:tc>
          <w:tcPr>
            <w:tcW w:w="876" w:type="dxa"/>
            <w:vMerge w:val="continue"/>
            <w:noWrap/>
            <w:vAlign w:val="center"/>
          </w:tcPr>
          <w:p>
            <w:pPr>
              <w:textAlignment w:val="center"/>
              <w:rPr>
                <w:rFonts w:asciiTheme="minorEastAsia" w:hAnsiTheme="minorEastAsia" w:eastAsiaTheme="minorEastAsia" w:cstheme="minorEastAsia"/>
                <w:bCs/>
                <w:color w:val="000000"/>
                <w:kern w:val="0"/>
                <w:szCs w:val="21"/>
                <w:lang w:bidi="ar"/>
              </w:rPr>
            </w:pPr>
          </w:p>
        </w:tc>
        <w:tc>
          <w:tcPr>
            <w:tcW w:w="3836" w:type="dxa"/>
            <w:vAlign w:val="center"/>
          </w:tcPr>
          <w:p>
            <w:pPr>
              <w:rPr>
                <w:rFonts w:ascii="Times New Roman" w:hAnsi="Times New Roman" w:eastAsiaTheme="minorEastAsia"/>
                <w:kern w:val="0"/>
                <w:szCs w:val="21"/>
              </w:rPr>
            </w:pPr>
            <w:r>
              <w:rPr>
                <w:rFonts w:hint="eastAsia" w:ascii="Times New Roman" w:hAnsi="Times New Roman" w:eastAsiaTheme="minorEastAsia"/>
                <w:kern w:val="0"/>
                <w:szCs w:val="21"/>
              </w:rPr>
              <w:t>支持苹果手机不少于3种型号，未开启调试功能，无开机密码情况下制作仿生指纹膜进入手机系统</w:t>
            </w:r>
          </w:p>
        </w:tc>
        <w:tc>
          <w:tcPr>
            <w:tcW w:w="2311" w:type="dxa"/>
            <w:vAlign w:val="center"/>
          </w:tcPr>
          <w:p>
            <w:pPr>
              <w:textAlignment w:val="center"/>
              <w:rPr>
                <w:rFonts w:ascii="Times New Roman" w:hAnsi="Times New Roman" w:eastAsiaTheme="minorEastAsia"/>
                <w:bCs/>
                <w:szCs w:val="21"/>
              </w:rPr>
            </w:pPr>
            <w:r>
              <w:rPr>
                <w:rFonts w:ascii="Times New Roman" w:hAnsi="Times New Roman" w:eastAsiaTheme="minorEastAsia"/>
                <w:bCs/>
                <w:szCs w:val="21"/>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50" w:type="dxa"/>
            <w:vAlign w:val="center"/>
          </w:tcPr>
          <w:p>
            <w:pPr>
              <w:widowControl w:val="0"/>
              <w:numPr>
                <w:ilvl w:val="0"/>
                <w:numId w:val="90"/>
              </w:numPr>
              <w:jc w:val="center"/>
              <w:textAlignment w:val="center"/>
              <w:rPr>
                <w:rFonts w:asciiTheme="minorEastAsia" w:hAnsiTheme="minorEastAsia" w:eastAsiaTheme="minorEastAsia" w:cstheme="minorEastAsia"/>
                <w:bCs/>
                <w:color w:val="000000"/>
                <w:kern w:val="0"/>
                <w:szCs w:val="21"/>
                <w:lang w:bidi="ar"/>
              </w:rPr>
            </w:pPr>
          </w:p>
        </w:tc>
        <w:tc>
          <w:tcPr>
            <w:tcW w:w="1169" w:type="dxa"/>
            <w:noWrap/>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w:t>
            </w:r>
          </w:p>
        </w:tc>
        <w:tc>
          <w:tcPr>
            <w:tcW w:w="876" w:type="dxa"/>
            <w:vMerge w:val="continue"/>
            <w:noWrap/>
            <w:vAlign w:val="center"/>
          </w:tcPr>
          <w:p>
            <w:pPr>
              <w:textAlignment w:val="center"/>
              <w:rPr>
                <w:rFonts w:asciiTheme="minorEastAsia" w:hAnsiTheme="minorEastAsia" w:eastAsiaTheme="minorEastAsia" w:cstheme="minorEastAsia"/>
                <w:bCs/>
                <w:color w:val="000000"/>
                <w:kern w:val="0"/>
                <w:szCs w:val="21"/>
                <w:lang w:bidi="ar"/>
              </w:rPr>
            </w:pPr>
          </w:p>
        </w:tc>
        <w:tc>
          <w:tcPr>
            <w:tcW w:w="3836" w:type="dxa"/>
            <w:vAlign w:val="center"/>
          </w:tcPr>
          <w:p>
            <w:pPr>
              <w:rPr>
                <w:rFonts w:ascii="Times New Roman" w:hAnsi="Times New Roman" w:eastAsiaTheme="minorEastAsia"/>
                <w:kern w:val="0"/>
                <w:szCs w:val="21"/>
              </w:rPr>
            </w:pPr>
            <w:r>
              <w:rPr>
                <w:rFonts w:hint="eastAsia" w:ascii="Times New Roman" w:hAnsi="Times New Roman" w:eastAsiaTheme="minorEastAsia"/>
                <w:kern w:val="0"/>
                <w:szCs w:val="21"/>
              </w:rPr>
              <w:t>支持华为手机不少于3种型号，未开启调试功能，无开机密码情况下制作仿生指纹膜进入手机系统</w:t>
            </w:r>
          </w:p>
        </w:tc>
        <w:tc>
          <w:tcPr>
            <w:tcW w:w="2311" w:type="dxa"/>
            <w:vAlign w:val="center"/>
          </w:tcPr>
          <w:p>
            <w:pPr>
              <w:textAlignment w:val="center"/>
              <w:rPr>
                <w:rFonts w:ascii="Times New Roman" w:hAnsi="Times New Roman" w:eastAsiaTheme="minorEastAsia"/>
                <w:bCs/>
                <w:szCs w:val="21"/>
              </w:rPr>
            </w:pPr>
            <w:r>
              <w:rPr>
                <w:rFonts w:ascii="Times New Roman" w:hAnsi="Times New Roman" w:eastAsiaTheme="minorEastAsia"/>
                <w:bCs/>
                <w:szCs w:val="21"/>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50" w:type="dxa"/>
            <w:vAlign w:val="center"/>
          </w:tcPr>
          <w:p>
            <w:pPr>
              <w:widowControl w:val="0"/>
              <w:numPr>
                <w:ilvl w:val="0"/>
                <w:numId w:val="90"/>
              </w:numPr>
              <w:jc w:val="center"/>
              <w:textAlignment w:val="center"/>
              <w:rPr>
                <w:rFonts w:asciiTheme="minorEastAsia" w:hAnsiTheme="minorEastAsia" w:eastAsiaTheme="minorEastAsia" w:cstheme="minorEastAsia"/>
                <w:bCs/>
                <w:color w:val="000000"/>
                <w:kern w:val="0"/>
                <w:szCs w:val="21"/>
                <w:lang w:bidi="ar"/>
              </w:rPr>
            </w:pPr>
          </w:p>
        </w:tc>
        <w:tc>
          <w:tcPr>
            <w:tcW w:w="1169" w:type="dxa"/>
            <w:noWrap/>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w:t>
            </w:r>
          </w:p>
        </w:tc>
        <w:tc>
          <w:tcPr>
            <w:tcW w:w="876" w:type="dxa"/>
            <w:vMerge w:val="continue"/>
            <w:noWrap/>
            <w:vAlign w:val="center"/>
          </w:tcPr>
          <w:p>
            <w:pPr>
              <w:textAlignment w:val="center"/>
              <w:rPr>
                <w:rFonts w:asciiTheme="minorEastAsia" w:hAnsiTheme="minorEastAsia" w:eastAsiaTheme="minorEastAsia" w:cstheme="minorEastAsia"/>
                <w:bCs/>
                <w:color w:val="000000"/>
                <w:kern w:val="0"/>
                <w:szCs w:val="21"/>
                <w:lang w:bidi="ar"/>
              </w:rPr>
            </w:pPr>
          </w:p>
        </w:tc>
        <w:tc>
          <w:tcPr>
            <w:tcW w:w="3836" w:type="dxa"/>
            <w:vAlign w:val="center"/>
          </w:tcPr>
          <w:p>
            <w:pPr>
              <w:rPr>
                <w:rFonts w:ascii="Times New Roman" w:hAnsi="Times New Roman" w:eastAsiaTheme="minorEastAsia"/>
                <w:kern w:val="0"/>
                <w:szCs w:val="21"/>
              </w:rPr>
            </w:pPr>
            <w:r>
              <w:rPr>
                <w:rFonts w:hint="eastAsia" w:ascii="Times New Roman" w:hAnsi="Times New Roman" w:eastAsiaTheme="minorEastAsia"/>
                <w:kern w:val="0"/>
                <w:szCs w:val="21"/>
              </w:rPr>
              <w:t>支持一个PC端用户可以开通不少于2个以上移动端用户</w:t>
            </w:r>
          </w:p>
        </w:tc>
        <w:tc>
          <w:tcPr>
            <w:tcW w:w="2311" w:type="dxa"/>
            <w:vAlign w:val="center"/>
          </w:tcPr>
          <w:p>
            <w:pPr>
              <w:textAlignment w:val="center"/>
              <w:rPr>
                <w:rFonts w:ascii="Times New Roman" w:hAnsi="Times New Roman" w:eastAsiaTheme="minorEastAsia"/>
                <w:bCs/>
                <w:szCs w:val="21"/>
              </w:rPr>
            </w:pPr>
            <w:r>
              <w:rPr>
                <w:rFonts w:ascii="Times New Roman" w:hAnsi="Times New Roman" w:eastAsiaTheme="minorEastAsia"/>
                <w:bCs/>
                <w:szCs w:val="21"/>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50" w:type="dxa"/>
            <w:vAlign w:val="center"/>
          </w:tcPr>
          <w:p>
            <w:pPr>
              <w:widowControl w:val="0"/>
              <w:numPr>
                <w:ilvl w:val="0"/>
                <w:numId w:val="90"/>
              </w:numPr>
              <w:jc w:val="center"/>
              <w:textAlignment w:val="center"/>
              <w:rPr>
                <w:rFonts w:asciiTheme="minorEastAsia" w:hAnsiTheme="minorEastAsia" w:eastAsiaTheme="minorEastAsia" w:cstheme="minorEastAsia"/>
                <w:bCs/>
                <w:color w:val="000000"/>
                <w:kern w:val="0"/>
                <w:szCs w:val="21"/>
                <w:lang w:bidi="ar"/>
              </w:rPr>
            </w:pPr>
          </w:p>
        </w:tc>
        <w:tc>
          <w:tcPr>
            <w:tcW w:w="1169" w:type="dxa"/>
            <w:noWrap/>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w:t>
            </w:r>
          </w:p>
        </w:tc>
        <w:tc>
          <w:tcPr>
            <w:tcW w:w="876" w:type="dxa"/>
            <w:vMerge w:val="continue"/>
            <w:noWrap/>
            <w:vAlign w:val="center"/>
          </w:tcPr>
          <w:p>
            <w:pPr>
              <w:textAlignment w:val="center"/>
              <w:rPr>
                <w:rFonts w:asciiTheme="minorEastAsia" w:hAnsiTheme="minorEastAsia" w:eastAsiaTheme="minorEastAsia" w:cstheme="minorEastAsia"/>
                <w:bCs/>
                <w:color w:val="000000"/>
                <w:kern w:val="0"/>
                <w:szCs w:val="21"/>
                <w:lang w:bidi="ar"/>
              </w:rPr>
            </w:pPr>
          </w:p>
        </w:tc>
        <w:tc>
          <w:tcPr>
            <w:tcW w:w="3836" w:type="dxa"/>
            <w:vAlign w:val="center"/>
          </w:tcPr>
          <w:p>
            <w:pPr>
              <w:rPr>
                <w:rFonts w:ascii="Times New Roman" w:hAnsi="Times New Roman" w:eastAsiaTheme="minorEastAsia"/>
                <w:kern w:val="0"/>
                <w:szCs w:val="21"/>
              </w:rPr>
            </w:pPr>
            <w:r>
              <w:rPr>
                <w:rFonts w:hint="eastAsia" w:ascii="Times New Roman" w:hAnsi="Times New Roman" w:eastAsiaTheme="minorEastAsia"/>
                <w:kern w:val="0"/>
                <w:szCs w:val="21"/>
              </w:rPr>
              <w:t>支持获取指纹不少于2种以上的采集方式</w:t>
            </w:r>
          </w:p>
        </w:tc>
        <w:tc>
          <w:tcPr>
            <w:tcW w:w="2311" w:type="dxa"/>
            <w:vAlign w:val="center"/>
          </w:tcPr>
          <w:p>
            <w:pPr>
              <w:textAlignment w:val="center"/>
              <w:rPr>
                <w:rFonts w:ascii="Times New Roman" w:hAnsi="Times New Roman" w:eastAsiaTheme="minorEastAsia"/>
                <w:bCs/>
                <w:szCs w:val="21"/>
              </w:rPr>
            </w:pPr>
            <w:r>
              <w:rPr>
                <w:rFonts w:ascii="Times New Roman" w:hAnsi="Times New Roman" w:eastAsiaTheme="minorEastAsia"/>
                <w:bCs/>
                <w:szCs w:val="21"/>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750" w:type="dxa"/>
            <w:vAlign w:val="center"/>
          </w:tcPr>
          <w:p>
            <w:pPr>
              <w:widowControl w:val="0"/>
              <w:numPr>
                <w:ilvl w:val="0"/>
                <w:numId w:val="90"/>
              </w:numPr>
              <w:jc w:val="center"/>
              <w:textAlignment w:val="center"/>
              <w:rPr>
                <w:rFonts w:asciiTheme="minorEastAsia" w:hAnsiTheme="minorEastAsia" w:eastAsiaTheme="minorEastAsia" w:cstheme="minorEastAsia"/>
                <w:bCs/>
                <w:color w:val="000000"/>
                <w:kern w:val="0"/>
                <w:szCs w:val="21"/>
                <w:lang w:bidi="ar"/>
              </w:rPr>
            </w:pPr>
          </w:p>
        </w:tc>
        <w:tc>
          <w:tcPr>
            <w:tcW w:w="1169" w:type="dxa"/>
            <w:noWrap/>
            <w:vAlign w:val="center"/>
          </w:tcPr>
          <w:p>
            <w:pPr>
              <w:jc w:val="cente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color w:val="000000"/>
                <w:kern w:val="0"/>
                <w:szCs w:val="21"/>
                <w:lang w:bidi="ar"/>
              </w:rPr>
              <w:t>★</w:t>
            </w:r>
          </w:p>
        </w:tc>
        <w:tc>
          <w:tcPr>
            <w:tcW w:w="876" w:type="dxa"/>
            <w:vMerge w:val="continue"/>
            <w:noWrap/>
            <w:vAlign w:val="center"/>
          </w:tcPr>
          <w:p>
            <w:pPr>
              <w:textAlignment w:val="center"/>
              <w:rPr>
                <w:rFonts w:asciiTheme="minorEastAsia" w:hAnsiTheme="minorEastAsia" w:eastAsiaTheme="minorEastAsia" w:cstheme="minorEastAsia"/>
                <w:bCs/>
                <w:color w:val="000000"/>
                <w:kern w:val="0"/>
                <w:szCs w:val="21"/>
                <w:lang w:bidi="ar"/>
              </w:rPr>
            </w:pPr>
          </w:p>
        </w:tc>
        <w:tc>
          <w:tcPr>
            <w:tcW w:w="3836" w:type="dxa"/>
            <w:vAlign w:val="center"/>
          </w:tcPr>
          <w:p>
            <w:pPr>
              <w:rPr>
                <w:rFonts w:asciiTheme="minorEastAsia" w:hAnsiTheme="minorEastAsia" w:eastAsiaTheme="minorEastAsia" w:cstheme="minorEastAsia"/>
                <w:bCs/>
                <w:kern w:val="0"/>
                <w:szCs w:val="21"/>
                <w:lang w:bidi="ar"/>
              </w:rPr>
            </w:pPr>
            <w:r>
              <w:rPr>
                <w:rFonts w:hint="eastAsia" w:ascii="Times New Roman" w:hAnsi="Times New Roman" w:eastAsiaTheme="minorEastAsia"/>
                <w:kern w:val="0"/>
                <w:szCs w:val="21"/>
              </w:rPr>
              <w:t>支持不少于2种</w:t>
            </w:r>
            <w:r>
              <w:rPr>
                <w:rFonts w:hint="eastAsia" w:ascii="Times New Roman" w:hAnsi="Times New Roman" w:eastAsiaTheme="minorEastAsia"/>
                <w:kern w:val="0"/>
                <w:szCs w:val="21"/>
                <w:lang w:val="en-US" w:eastAsia="zh-CN"/>
              </w:rPr>
              <w:t>手机品牌、不少于2种型号</w:t>
            </w:r>
            <w:r>
              <w:rPr>
                <w:rFonts w:hint="eastAsia" w:ascii="Times New Roman" w:hAnsi="Times New Roman" w:eastAsiaTheme="minorEastAsia"/>
                <w:kern w:val="0"/>
                <w:szCs w:val="21"/>
              </w:rPr>
              <w:t>联发科芯片在关闭USB调试状态下，清除屏幕锁</w:t>
            </w:r>
          </w:p>
        </w:tc>
        <w:tc>
          <w:tcPr>
            <w:tcW w:w="2311" w:type="dxa"/>
            <w:vAlign w:val="center"/>
          </w:tcPr>
          <w:p>
            <w:pPr>
              <w:textAlignment w:val="center"/>
              <w:rPr>
                <w:rFonts w:asciiTheme="minorEastAsia" w:hAnsiTheme="minorEastAsia" w:eastAsiaTheme="minorEastAsia" w:cstheme="minorEastAsia"/>
                <w:bCs/>
                <w:color w:val="000000"/>
                <w:kern w:val="0"/>
                <w:szCs w:val="21"/>
                <w:lang w:bidi="ar"/>
              </w:rPr>
            </w:pPr>
            <w:r>
              <w:rPr>
                <w:rFonts w:ascii="Times New Roman" w:hAnsi="Times New Roman" w:eastAsiaTheme="minorEastAsia"/>
                <w:bCs/>
                <w:szCs w:val="21"/>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750" w:type="dxa"/>
            <w:vAlign w:val="center"/>
          </w:tcPr>
          <w:p>
            <w:pPr>
              <w:widowControl w:val="0"/>
              <w:numPr>
                <w:ilvl w:val="0"/>
                <w:numId w:val="90"/>
              </w:numPr>
              <w:jc w:val="center"/>
              <w:textAlignment w:val="center"/>
              <w:rPr>
                <w:rFonts w:asciiTheme="minorEastAsia" w:hAnsiTheme="minorEastAsia" w:eastAsiaTheme="minorEastAsia" w:cstheme="minorEastAsia"/>
                <w:bCs/>
                <w:szCs w:val="21"/>
              </w:rPr>
            </w:pPr>
          </w:p>
        </w:tc>
        <w:tc>
          <w:tcPr>
            <w:tcW w:w="1169" w:type="dxa"/>
            <w:noWrap/>
            <w:vAlign w:val="center"/>
          </w:tcPr>
          <w:p>
            <w:pPr>
              <w:jc w:val="center"/>
              <w:textAlignment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w:t>
            </w:r>
          </w:p>
        </w:tc>
        <w:tc>
          <w:tcPr>
            <w:tcW w:w="876" w:type="dxa"/>
            <w:vMerge w:val="restart"/>
            <w:noWrap/>
            <w:vAlign w:val="center"/>
          </w:tcPr>
          <w:p>
            <w:pPr>
              <w:textAlignment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解密能力</w:t>
            </w:r>
          </w:p>
        </w:tc>
        <w:tc>
          <w:tcPr>
            <w:tcW w:w="3836" w:type="dxa"/>
            <w:vAlign w:val="center"/>
          </w:tcPr>
          <w:p>
            <w:pPr>
              <w:rPr>
                <w:rFonts w:ascii="Times New Roman" w:hAnsi="Times New Roman" w:eastAsiaTheme="minorEastAsia"/>
                <w:kern w:val="0"/>
                <w:szCs w:val="21"/>
              </w:rPr>
            </w:pPr>
            <w:r>
              <w:rPr>
                <w:rFonts w:hint="eastAsia" w:ascii="Times New Roman" w:hAnsi="Times New Roman" w:eastAsiaTheme="minorEastAsia"/>
                <w:kern w:val="0"/>
                <w:szCs w:val="21"/>
              </w:rPr>
              <w:t>支持搭载不少于2种品牌手机Android4.x-Android11.x的密码破解</w:t>
            </w:r>
          </w:p>
        </w:tc>
        <w:tc>
          <w:tcPr>
            <w:tcW w:w="2311" w:type="dxa"/>
            <w:vAlign w:val="center"/>
          </w:tcPr>
          <w:p>
            <w:pPr>
              <w:textAlignment w:val="center"/>
              <w:rPr>
                <w:rFonts w:asciiTheme="minorEastAsia" w:hAnsiTheme="minorEastAsia" w:eastAsiaTheme="minorEastAsia" w:cstheme="minorEastAsia"/>
                <w:bCs/>
                <w:kern w:val="0"/>
                <w:szCs w:val="21"/>
                <w:lang w:bidi="ar"/>
              </w:rPr>
            </w:pPr>
            <w:r>
              <w:rPr>
                <w:rFonts w:hint="eastAsia" w:asciiTheme="minorEastAsia" w:hAnsiTheme="minorEastAsia" w:eastAsiaTheme="minorEastAsia" w:cstheme="minorEastAsia"/>
                <w:bCs/>
                <w:color w:val="000000"/>
                <w:szCs w:val="21"/>
              </w:rPr>
              <w:t>软件功能截图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750" w:type="dxa"/>
            <w:vAlign w:val="center"/>
          </w:tcPr>
          <w:p>
            <w:pPr>
              <w:widowControl w:val="0"/>
              <w:numPr>
                <w:ilvl w:val="0"/>
                <w:numId w:val="90"/>
              </w:numPr>
              <w:jc w:val="center"/>
              <w:textAlignment w:val="center"/>
              <w:rPr>
                <w:rFonts w:asciiTheme="minorEastAsia" w:hAnsiTheme="minorEastAsia" w:eastAsiaTheme="minorEastAsia" w:cstheme="minorEastAsia"/>
                <w:bCs/>
                <w:kern w:val="0"/>
                <w:szCs w:val="21"/>
                <w:lang w:bidi="ar"/>
              </w:rPr>
            </w:pPr>
          </w:p>
        </w:tc>
        <w:tc>
          <w:tcPr>
            <w:tcW w:w="1169" w:type="dxa"/>
            <w:noWrap/>
            <w:vAlign w:val="center"/>
          </w:tcPr>
          <w:p>
            <w:pPr>
              <w:jc w:val="center"/>
              <w:textAlignment w:val="center"/>
              <w:rPr>
                <w:rFonts w:asciiTheme="minorEastAsia" w:hAnsiTheme="minorEastAsia" w:eastAsiaTheme="minorEastAsia" w:cstheme="minorEastAsia"/>
                <w:bCs/>
                <w:kern w:val="0"/>
                <w:szCs w:val="21"/>
                <w:lang w:bidi="ar"/>
              </w:rPr>
            </w:pPr>
            <w:r>
              <w:rPr>
                <w:rFonts w:hint="eastAsia" w:asciiTheme="minorEastAsia" w:hAnsiTheme="minorEastAsia" w:eastAsiaTheme="minorEastAsia" w:cstheme="minorEastAsia"/>
                <w:bCs/>
                <w:szCs w:val="21"/>
              </w:rPr>
              <w:t>▲</w:t>
            </w:r>
          </w:p>
        </w:tc>
        <w:tc>
          <w:tcPr>
            <w:tcW w:w="876" w:type="dxa"/>
            <w:vMerge w:val="continue"/>
            <w:noWrap/>
            <w:vAlign w:val="center"/>
          </w:tcPr>
          <w:p>
            <w:pPr>
              <w:textAlignment w:val="center"/>
              <w:rPr>
                <w:rFonts w:asciiTheme="minorEastAsia" w:hAnsiTheme="minorEastAsia" w:eastAsiaTheme="minorEastAsia" w:cstheme="minorEastAsia"/>
                <w:bCs/>
                <w:kern w:val="0"/>
                <w:szCs w:val="21"/>
                <w:lang w:bidi="ar"/>
              </w:rPr>
            </w:pPr>
          </w:p>
        </w:tc>
        <w:tc>
          <w:tcPr>
            <w:tcW w:w="3836" w:type="dxa"/>
            <w:vAlign w:val="center"/>
          </w:tcPr>
          <w:p>
            <w:pPr>
              <w:rPr>
                <w:rFonts w:ascii="Times New Roman" w:hAnsi="Times New Roman" w:eastAsiaTheme="minorEastAsia"/>
                <w:kern w:val="0"/>
                <w:szCs w:val="21"/>
              </w:rPr>
            </w:pPr>
            <w:r>
              <w:rPr>
                <w:rFonts w:hint="eastAsia" w:ascii="Times New Roman" w:hAnsi="Times New Roman" w:eastAsiaTheme="minorEastAsia"/>
                <w:kern w:val="0"/>
                <w:szCs w:val="21"/>
              </w:rPr>
              <w:t>支持华为海思不少于2种以上芯片6.0以上版本免拆芯片破解开机密码</w:t>
            </w:r>
          </w:p>
        </w:tc>
        <w:tc>
          <w:tcPr>
            <w:tcW w:w="2311" w:type="dxa"/>
            <w:vAlign w:val="center"/>
          </w:tcPr>
          <w:p>
            <w:pPr>
              <w:textAlignment w:val="center"/>
              <w:rPr>
                <w:rFonts w:asciiTheme="minorEastAsia" w:hAnsiTheme="minorEastAsia" w:eastAsiaTheme="minorEastAsia" w:cstheme="minorEastAsia"/>
                <w:bCs/>
                <w:kern w:val="0"/>
                <w:szCs w:val="21"/>
                <w:lang w:bidi="ar"/>
              </w:rPr>
            </w:pPr>
            <w:r>
              <w:rPr>
                <w:rFonts w:hint="eastAsia" w:asciiTheme="minorEastAsia" w:hAnsiTheme="minorEastAsia" w:eastAsiaTheme="minorEastAsia" w:cstheme="minorEastAsia"/>
                <w:bCs/>
                <w:color w:val="000000"/>
                <w:szCs w:val="21"/>
              </w:rPr>
              <w:t>软件功能截图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750" w:type="dxa"/>
            <w:vAlign w:val="center"/>
          </w:tcPr>
          <w:p>
            <w:pPr>
              <w:widowControl w:val="0"/>
              <w:numPr>
                <w:ilvl w:val="0"/>
                <w:numId w:val="90"/>
              </w:numPr>
              <w:jc w:val="center"/>
              <w:textAlignment w:val="center"/>
              <w:rPr>
                <w:rFonts w:asciiTheme="minorEastAsia" w:hAnsiTheme="minorEastAsia" w:eastAsiaTheme="minorEastAsia" w:cstheme="minorEastAsia"/>
                <w:bCs/>
                <w:kern w:val="0"/>
                <w:szCs w:val="21"/>
                <w:lang w:bidi="ar"/>
              </w:rPr>
            </w:pPr>
          </w:p>
        </w:tc>
        <w:tc>
          <w:tcPr>
            <w:tcW w:w="1169" w:type="dxa"/>
            <w:noWrap/>
            <w:vAlign w:val="center"/>
          </w:tcPr>
          <w:p>
            <w:pPr>
              <w:jc w:val="center"/>
              <w:textAlignment w:val="center"/>
              <w:rPr>
                <w:rFonts w:asciiTheme="minorEastAsia" w:hAnsiTheme="minorEastAsia" w:eastAsiaTheme="minorEastAsia" w:cstheme="minorEastAsia"/>
                <w:bCs/>
                <w:kern w:val="0"/>
                <w:szCs w:val="21"/>
                <w:lang w:bidi="ar"/>
              </w:rPr>
            </w:pPr>
            <w:r>
              <w:rPr>
                <w:rFonts w:hint="eastAsia" w:asciiTheme="minorEastAsia" w:hAnsiTheme="minorEastAsia" w:eastAsiaTheme="minorEastAsia" w:cstheme="minorEastAsia"/>
                <w:bCs/>
                <w:szCs w:val="21"/>
              </w:rPr>
              <w:t>▲</w:t>
            </w:r>
          </w:p>
        </w:tc>
        <w:tc>
          <w:tcPr>
            <w:tcW w:w="876" w:type="dxa"/>
            <w:vMerge w:val="continue"/>
            <w:noWrap/>
            <w:vAlign w:val="center"/>
          </w:tcPr>
          <w:p>
            <w:pPr>
              <w:textAlignment w:val="center"/>
              <w:rPr>
                <w:rFonts w:asciiTheme="minorEastAsia" w:hAnsiTheme="minorEastAsia" w:eastAsiaTheme="minorEastAsia" w:cstheme="minorEastAsia"/>
                <w:bCs/>
                <w:kern w:val="0"/>
                <w:szCs w:val="21"/>
                <w:lang w:bidi="ar"/>
              </w:rPr>
            </w:pPr>
          </w:p>
        </w:tc>
        <w:tc>
          <w:tcPr>
            <w:tcW w:w="3836" w:type="dxa"/>
            <w:vAlign w:val="center"/>
          </w:tcPr>
          <w:p>
            <w:pPr>
              <w:rPr>
                <w:rFonts w:ascii="Times New Roman" w:hAnsi="Times New Roman" w:eastAsiaTheme="minorEastAsia"/>
                <w:kern w:val="0"/>
                <w:szCs w:val="21"/>
              </w:rPr>
            </w:pPr>
            <w:r>
              <w:rPr>
                <w:rFonts w:hint="eastAsia" w:ascii="Times New Roman" w:hAnsi="Times New Roman" w:eastAsiaTheme="minorEastAsia"/>
                <w:kern w:val="0"/>
                <w:szCs w:val="21"/>
              </w:rPr>
              <w:t>支持搭载不少于2台华为手机搭载Android6.0以上系统破解开机密码</w:t>
            </w:r>
          </w:p>
        </w:tc>
        <w:tc>
          <w:tcPr>
            <w:tcW w:w="2311" w:type="dxa"/>
            <w:vAlign w:val="center"/>
          </w:tcPr>
          <w:p>
            <w:pPr>
              <w:textAlignment w:val="center"/>
              <w:rPr>
                <w:rFonts w:asciiTheme="minorEastAsia" w:hAnsiTheme="minorEastAsia" w:eastAsiaTheme="minorEastAsia" w:cstheme="minorEastAsia"/>
                <w:bCs/>
                <w:kern w:val="0"/>
                <w:szCs w:val="21"/>
                <w:lang w:bidi="ar"/>
              </w:rPr>
            </w:pPr>
            <w:r>
              <w:rPr>
                <w:rFonts w:hint="eastAsia" w:asciiTheme="minorEastAsia" w:hAnsiTheme="minorEastAsia" w:eastAsiaTheme="minorEastAsia" w:cstheme="minorEastAsia"/>
                <w:bCs/>
                <w:color w:val="000000"/>
                <w:szCs w:val="21"/>
              </w:rPr>
              <w:t>软件功能截图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750" w:type="dxa"/>
            <w:vAlign w:val="center"/>
          </w:tcPr>
          <w:p>
            <w:pPr>
              <w:widowControl w:val="0"/>
              <w:numPr>
                <w:ilvl w:val="0"/>
                <w:numId w:val="90"/>
              </w:numPr>
              <w:jc w:val="center"/>
              <w:textAlignment w:val="center"/>
              <w:rPr>
                <w:rFonts w:asciiTheme="minorEastAsia" w:hAnsiTheme="minorEastAsia" w:eastAsiaTheme="minorEastAsia" w:cstheme="minorEastAsia"/>
                <w:bCs/>
                <w:color w:val="000000"/>
                <w:kern w:val="0"/>
                <w:szCs w:val="21"/>
                <w:lang w:bidi="ar"/>
              </w:rPr>
            </w:pPr>
          </w:p>
        </w:tc>
        <w:tc>
          <w:tcPr>
            <w:tcW w:w="1169" w:type="dxa"/>
            <w:noWrap/>
            <w:vAlign w:val="center"/>
          </w:tcPr>
          <w:p>
            <w:pPr>
              <w:jc w:val="center"/>
              <w:textAlignment w:val="center"/>
              <w:rPr>
                <w:rFonts w:asciiTheme="minorEastAsia" w:hAnsiTheme="minorEastAsia" w:eastAsiaTheme="minorEastAsia" w:cstheme="minorEastAsia"/>
                <w:bCs/>
                <w:color w:val="000000"/>
                <w:kern w:val="0"/>
                <w:szCs w:val="21"/>
                <w:lang w:bidi="ar"/>
              </w:rPr>
            </w:pPr>
          </w:p>
        </w:tc>
        <w:tc>
          <w:tcPr>
            <w:tcW w:w="876" w:type="dxa"/>
            <w:noWrap/>
            <w:vAlign w:val="center"/>
          </w:tcPr>
          <w:p>
            <w:pPr>
              <w:jc w:val="center"/>
              <w:rPr>
                <w:rFonts w:ascii="Times New Roman" w:hAnsi="Times New Roman" w:eastAsiaTheme="minorEastAsia"/>
                <w:kern w:val="0"/>
                <w:szCs w:val="21"/>
              </w:rPr>
            </w:pPr>
            <w:r>
              <w:rPr>
                <w:rFonts w:hint="eastAsia" w:ascii="Times New Roman" w:hAnsi="Times New Roman" w:eastAsiaTheme="minorEastAsia"/>
                <w:kern w:val="0"/>
                <w:szCs w:val="21"/>
              </w:rPr>
              <w:t>文件解析能力</w:t>
            </w:r>
          </w:p>
          <w:p>
            <w:pPr>
              <w:rPr>
                <w:rFonts w:asciiTheme="minorEastAsia" w:hAnsiTheme="minorEastAsia" w:eastAsiaTheme="minorEastAsia" w:cstheme="minorEastAsia"/>
                <w:bCs/>
                <w:szCs w:val="21"/>
              </w:rPr>
            </w:pPr>
          </w:p>
        </w:tc>
        <w:tc>
          <w:tcPr>
            <w:tcW w:w="3836" w:type="dxa"/>
            <w:vAlign w:val="center"/>
          </w:tcPr>
          <w:p>
            <w:pPr>
              <w:rPr>
                <w:rFonts w:asciiTheme="minorEastAsia" w:hAnsiTheme="minorEastAsia" w:eastAsiaTheme="minorEastAsia" w:cstheme="minorEastAsia"/>
                <w:bCs/>
                <w:kern w:val="0"/>
                <w:szCs w:val="21"/>
                <w:lang w:bidi="ar"/>
              </w:rPr>
            </w:pPr>
            <w:r>
              <w:rPr>
                <w:rFonts w:hint="eastAsia" w:ascii="Times New Roman" w:hAnsi="Times New Roman" w:eastAsiaTheme="minorEastAsia"/>
                <w:kern w:val="0"/>
                <w:szCs w:val="21"/>
              </w:rPr>
              <w:t>支持不少于2种</w:t>
            </w:r>
            <w:r>
              <w:rPr>
                <w:rFonts w:hint="eastAsia" w:eastAsiaTheme="minorEastAsia"/>
                <w:szCs w:val="21"/>
              </w:rPr>
              <w:t>硬件处理方式</w:t>
            </w:r>
            <w:r>
              <w:rPr>
                <w:rFonts w:hint="eastAsia" w:ascii="Times New Roman" w:hAnsi="Times New Roman" w:eastAsiaTheme="minorEastAsia"/>
                <w:kern w:val="0"/>
                <w:szCs w:val="21"/>
              </w:rPr>
              <w:t>SPI-NOR\SPI-NAND\NAND\芯片物理镜像（硬件处理）；支持IOS设备（手机、平板，最高IOS16）数据提取解析、删除恢复</w:t>
            </w:r>
          </w:p>
        </w:tc>
        <w:tc>
          <w:tcPr>
            <w:tcW w:w="2311" w:type="dxa"/>
            <w:vAlign w:val="center"/>
          </w:tcPr>
          <w:p>
            <w:pPr>
              <w:textAlignment w:val="center"/>
              <w:rPr>
                <w:rFonts w:asciiTheme="minorEastAsia" w:hAnsiTheme="minorEastAsia" w:eastAsiaTheme="minorEastAsia" w:cstheme="minorEastAsia"/>
                <w:bCs/>
                <w:color w:val="000000"/>
                <w:kern w:val="0"/>
                <w:szCs w:val="21"/>
                <w:lang w:bidi="ar"/>
              </w:rPr>
            </w:pPr>
            <w:r>
              <w:rPr>
                <w:rFonts w:hint="eastAsia" w:asciiTheme="minorEastAsia" w:hAnsiTheme="minorEastAsia" w:eastAsiaTheme="minorEastAsia" w:cstheme="minorEastAsia"/>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750" w:type="dxa"/>
            <w:vAlign w:val="center"/>
          </w:tcPr>
          <w:p>
            <w:pPr>
              <w:widowControl w:val="0"/>
              <w:numPr>
                <w:ilvl w:val="0"/>
                <w:numId w:val="90"/>
              </w:numPr>
              <w:jc w:val="center"/>
              <w:textAlignment w:val="center"/>
              <w:rPr>
                <w:rFonts w:asciiTheme="minorEastAsia" w:hAnsiTheme="minorEastAsia" w:eastAsiaTheme="minorEastAsia" w:cstheme="minorEastAsia"/>
                <w:bCs/>
                <w:szCs w:val="21"/>
              </w:rPr>
            </w:pPr>
          </w:p>
        </w:tc>
        <w:tc>
          <w:tcPr>
            <w:tcW w:w="1169" w:type="dxa"/>
            <w:noWrap/>
            <w:vAlign w:val="center"/>
          </w:tcPr>
          <w:p>
            <w:pPr>
              <w:jc w:val="center"/>
              <w:textAlignment w:val="center"/>
              <w:rPr>
                <w:rFonts w:asciiTheme="minorEastAsia" w:hAnsiTheme="minorEastAsia" w:eastAsiaTheme="minorEastAsia" w:cstheme="minorEastAsia"/>
                <w:bCs/>
                <w:szCs w:val="21"/>
              </w:rPr>
            </w:pPr>
          </w:p>
        </w:tc>
        <w:tc>
          <w:tcPr>
            <w:tcW w:w="876" w:type="dxa"/>
            <w:noWrap/>
            <w:vAlign w:val="center"/>
          </w:tcPr>
          <w:p>
            <w:pPr>
              <w:textAlignment w:val="center"/>
              <w:rPr>
                <w:rFonts w:asciiTheme="minorEastAsia" w:hAnsiTheme="minorEastAsia" w:eastAsiaTheme="minorEastAsia" w:cstheme="minorEastAsia"/>
                <w:bCs/>
                <w:szCs w:val="21"/>
              </w:rPr>
            </w:pPr>
            <w:r>
              <w:rPr>
                <w:rFonts w:hint="eastAsia" w:ascii="Times New Roman" w:hAnsi="Times New Roman" w:eastAsiaTheme="minorEastAsia"/>
                <w:kern w:val="0"/>
                <w:szCs w:val="21"/>
              </w:rPr>
              <w:t>镜像提取能力</w:t>
            </w:r>
          </w:p>
        </w:tc>
        <w:tc>
          <w:tcPr>
            <w:tcW w:w="3836" w:type="dxa"/>
            <w:vAlign w:val="center"/>
          </w:tcPr>
          <w:p>
            <w:pPr>
              <w:rPr>
                <w:rFonts w:asciiTheme="minorEastAsia" w:hAnsiTheme="minorEastAsia" w:eastAsiaTheme="minorEastAsia" w:cstheme="minorEastAsia"/>
                <w:bCs/>
                <w:kern w:val="0"/>
                <w:szCs w:val="21"/>
                <w:lang w:bidi="ar"/>
              </w:rPr>
            </w:pPr>
            <w:r>
              <w:rPr>
                <w:rFonts w:hint="eastAsia" w:ascii="Times New Roman" w:hAnsi="Times New Roman" w:eastAsiaTheme="minorEastAsia"/>
                <w:kern w:val="0"/>
                <w:szCs w:val="21"/>
              </w:rPr>
              <w:t>支持提取镜像和应用数据以及破解开机密码，至少包含以下方式EMMC芯片 BGA136、BGA162、BGA169、BGA221、BGA254和UFS芯片BGA254、BGA153 chip-off方式或者ISP飞线方式</w:t>
            </w:r>
          </w:p>
        </w:tc>
        <w:tc>
          <w:tcPr>
            <w:tcW w:w="2311" w:type="dxa"/>
            <w:vAlign w:val="center"/>
          </w:tcPr>
          <w:p>
            <w:pPr>
              <w:textAlignment w:val="center"/>
              <w:rPr>
                <w:rFonts w:asciiTheme="minorEastAsia" w:hAnsiTheme="minorEastAsia" w:eastAsiaTheme="minorEastAsia" w:cstheme="minorEastAsia"/>
                <w:bCs/>
                <w:kern w:val="0"/>
                <w:szCs w:val="21"/>
                <w:lang w:bidi="ar"/>
              </w:rPr>
            </w:pPr>
            <w:r>
              <w:rPr>
                <w:rFonts w:hint="eastAsia" w:asciiTheme="minorEastAsia" w:hAnsiTheme="minorEastAsia" w:eastAsiaTheme="minorEastAsia" w:cstheme="minorEastAsia"/>
                <w:bCs/>
                <w:color w:val="000000"/>
                <w:kern w:val="0"/>
                <w:szCs w:val="21"/>
                <w:lang w:bidi="ar"/>
              </w:rPr>
              <w:t>/</w:t>
            </w:r>
          </w:p>
        </w:tc>
      </w:tr>
    </w:tbl>
    <w:p>
      <w:pPr>
        <w:pStyle w:val="31"/>
        <w:rPr>
          <w:rFonts w:eastAsiaTheme="minorEastAsia"/>
          <w:color w:val="000000" w:themeColor="text1"/>
          <w:sz w:val="21"/>
          <w:szCs w:val="21"/>
          <w14:textFill>
            <w14:solidFill>
              <w14:schemeClr w14:val="tx1"/>
            </w14:solidFill>
          </w14:textFill>
        </w:rPr>
      </w:pPr>
    </w:p>
    <w:p>
      <w:pPr>
        <w:pStyle w:val="5"/>
        <w:spacing w:before="15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第8包电子</w:t>
      </w:r>
      <w:r>
        <w:rPr>
          <w:rFonts w:asciiTheme="minorEastAsia" w:hAnsiTheme="minorEastAsia" w:eastAsiaTheme="minorEastAsia" w:cstheme="minorEastAsia"/>
          <w:szCs w:val="21"/>
        </w:rPr>
        <w:t>物证存储系统</w:t>
      </w:r>
    </w:p>
    <w:tbl>
      <w:tblPr>
        <w:tblStyle w:val="8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5"/>
        <w:gridCol w:w="1245"/>
        <w:gridCol w:w="1245"/>
        <w:gridCol w:w="4289"/>
        <w:gridCol w:w="1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5" w:type="pct"/>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heme="minorEastAsia" w:hAnsiTheme="minorEastAsia" w:eastAsiaTheme="minorEastAsia" w:cstheme="minorEastAsia"/>
                <w:bCs/>
                <w:color w:val="000000"/>
                <w:kern w:val="0"/>
                <w:szCs w:val="21"/>
              </w:rPr>
            </w:pPr>
            <w:r>
              <w:rPr>
                <w:rFonts w:asciiTheme="minorEastAsia" w:hAnsiTheme="minorEastAsia" w:eastAsiaTheme="minorEastAsia" w:cstheme="minorEastAsia"/>
                <w:bCs/>
                <w:color w:val="000000"/>
                <w:kern w:val="0"/>
                <w:szCs w:val="21"/>
              </w:rPr>
              <w:t>序号</w:t>
            </w:r>
          </w:p>
        </w:tc>
        <w:tc>
          <w:tcPr>
            <w:tcW w:w="687" w:type="pct"/>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heme="minorEastAsia" w:hAnsiTheme="minorEastAsia" w:eastAsiaTheme="minorEastAsia" w:cstheme="minorEastAsia"/>
                <w:bCs/>
                <w:color w:val="000000"/>
                <w:kern w:val="0"/>
                <w:szCs w:val="21"/>
              </w:rPr>
            </w:pPr>
            <w:r>
              <w:rPr>
                <w:rFonts w:hint="eastAsia" w:asciiTheme="minorEastAsia" w:hAnsiTheme="minorEastAsia" w:eastAsiaTheme="minorEastAsia" w:cstheme="minorEastAsia"/>
                <w:bCs/>
                <w:color w:val="000000"/>
                <w:kern w:val="0"/>
                <w:szCs w:val="21"/>
              </w:rPr>
              <w:t>重要性</w:t>
            </w:r>
          </w:p>
        </w:tc>
        <w:tc>
          <w:tcPr>
            <w:tcW w:w="687" w:type="pct"/>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heme="minorEastAsia" w:hAnsiTheme="minorEastAsia" w:eastAsiaTheme="minorEastAsia" w:cstheme="minorEastAsia"/>
                <w:bCs/>
                <w:color w:val="000000"/>
                <w:kern w:val="0"/>
                <w:szCs w:val="21"/>
              </w:rPr>
            </w:pPr>
            <w:r>
              <w:rPr>
                <w:rFonts w:asciiTheme="minorEastAsia" w:hAnsiTheme="minorEastAsia" w:eastAsiaTheme="minorEastAsia" w:cstheme="minorEastAsia"/>
                <w:bCs/>
                <w:color w:val="000000"/>
                <w:kern w:val="0"/>
                <w:szCs w:val="21"/>
              </w:rPr>
              <w:t>指标项</w:t>
            </w:r>
          </w:p>
        </w:tc>
        <w:tc>
          <w:tcPr>
            <w:tcW w:w="2367" w:type="pct"/>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heme="minorEastAsia" w:hAnsiTheme="minorEastAsia" w:eastAsiaTheme="minorEastAsia" w:cstheme="minorEastAsia"/>
                <w:bCs/>
                <w:color w:val="000000"/>
                <w:kern w:val="0"/>
                <w:szCs w:val="21"/>
              </w:rPr>
            </w:pPr>
            <w:r>
              <w:rPr>
                <w:rFonts w:asciiTheme="minorEastAsia" w:hAnsiTheme="minorEastAsia" w:eastAsiaTheme="minorEastAsia" w:cstheme="minorEastAsia"/>
                <w:bCs/>
                <w:color w:val="000000"/>
                <w:kern w:val="0"/>
                <w:szCs w:val="21"/>
              </w:rPr>
              <w:t>指标要求</w:t>
            </w:r>
          </w:p>
        </w:tc>
        <w:tc>
          <w:tcPr>
            <w:tcW w:w="914" w:type="pct"/>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heme="minorEastAsia" w:hAnsiTheme="minorEastAsia" w:eastAsiaTheme="minorEastAsia" w:cstheme="minorEastAsia"/>
                <w:bCs/>
                <w:color w:val="000000"/>
                <w:kern w:val="0"/>
                <w:szCs w:val="21"/>
              </w:rPr>
            </w:pPr>
            <w:r>
              <w:rPr>
                <w:rFonts w:asciiTheme="minorEastAsia" w:hAnsiTheme="minorEastAsia" w:eastAsiaTheme="minorEastAsia" w:cstheme="minorEastAsia"/>
                <w:bCs/>
                <w:color w:val="000000"/>
                <w:kern w:val="0"/>
                <w:szCs w:val="21"/>
              </w:rPr>
              <w:t>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5"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
                <w:szCs w:val="21"/>
              </w:rPr>
            </w:pPr>
            <w:r>
              <w:rPr>
                <w:rFonts w:hint="eastAsia" w:ascii="Times New Roman" w:hAnsi="Times New Roman" w:eastAsiaTheme="minorEastAsia"/>
                <w:b/>
                <w:szCs w:val="21"/>
              </w:rPr>
              <w:t>1</w:t>
            </w:r>
          </w:p>
        </w:tc>
        <w:tc>
          <w:tcPr>
            <w:tcW w:w="687"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Theme="minorEastAsia"/>
                <w:color w:val="000000" w:themeColor="text1"/>
                <w:szCs w:val="21"/>
                <w14:textFill>
                  <w14:solidFill>
                    <w14:schemeClr w14:val="tx1"/>
                  </w14:solidFill>
                </w14:textFill>
              </w:rPr>
            </w:pPr>
            <w:r>
              <w:rPr>
                <w:rFonts w:hint="eastAsia" w:eastAsiaTheme="minorEastAsia"/>
                <w:color w:val="000000" w:themeColor="text1"/>
                <w:szCs w:val="21"/>
                <w14:textFill>
                  <w14:solidFill>
                    <w14:schemeClr w14:val="tx1"/>
                  </w14:solidFill>
                </w14:textFill>
              </w:rPr>
              <w:t>★</w:t>
            </w:r>
          </w:p>
        </w:tc>
        <w:tc>
          <w:tcPr>
            <w:tcW w:w="687" w:type="pct"/>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cs="宋体" w:eastAsiaTheme="minorEastAsia"/>
                <w:color w:val="000000" w:themeColor="text1"/>
                <w:szCs w:val="21"/>
                <w14:textFill>
                  <w14:solidFill>
                    <w14:schemeClr w14:val="tx1"/>
                  </w14:solidFill>
                </w14:textFill>
              </w:rPr>
            </w:pPr>
            <w:r>
              <w:rPr>
                <w:rFonts w:hint="eastAsia" w:ascii="宋体" w:hAnsi="宋体" w:cs="宋体" w:eastAsiaTheme="minorEastAsia"/>
                <w:color w:val="000000" w:themeColor="text1"/>
                <w:szCs w:val="21"/>
                <w14:textFill>
                  <w14:solidFill>
                    <w14:schemeClr w14:val="tx1"/>
                  </w14:solidFill>
                </w14:textFill>
              </w:rPr>
              <w:t>协议支持</w:t>
            </w:r>
          </w:p>
        </w:tc>
        <w:tc>
          <w:tcPr>
            <w:tcW w:w="2367" w:type="pct"/>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cs="宋体" w:eastAsiaTheme="minorEastAsia"/>
                <w:szCs w:val="21"/>
              </w:rPr>
            </w:pPr>
            <w:r>
              <w:rPr>
                <w:rFonts w:hint="eastAsia" w:ascii="宋体" w:hAnsi="宋体" w:cs="宋体" w:eastAsiaTheme="minorEastAsia"/>
                <w:szCs w:val="21"/>
              </w:rPr>
              <w:t>支持不少于NAS/CIFS/S3等协议、SMB服务</w:t>
            </w:r>
          </w:p>
        </w:tc>
        <w:tc>
          <w:tcPr>
            <w:tcW w:w="91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345"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
                <w:szCs w:val="21"/>
              </w:rPr>
            </w:pPr>
            <w:r>
              <w:rPr>
                <w:rFonts w:hint="eastAsia" w:ascii="Times New Roman" w:hAnsi="Times New Roman" w:eastAsiaTheme="minorEastAsia"/>
                <w:b/>
                <w:szCs w:val="21"/>
              </w:rPr>
              <w:t>2</w:t>
            </w:r>
          </w:p>
        </w:tc>
        <w:tc>
          <w:tcPr>
            <w:tcW w:w="687"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eastAsiaTheme="minorEastAsia"/>
                <w:color w:val="000000" w:themeColor="text1"/>
                <w:szCs w:val="21"/>
                <w14:textFill>
                  <w14:solidFill>
                    <w14:schemeClr w14:val="tx1"/>
                  </w14:solidFill>
                </w14:textFill>
              </w:rPr>
            </w:pPr>
            <w:r>
              <w:rPr>
                <w:rFonts w:hint="eastAsia" w:eastAsiaTheme="minorEastAsia"/>
                <w:color w:val="000000" w:themeColor="text1"/>
                <w:szCs w:val="21"/>
                <w14:textFill>
                  <w14:solidFill>
                    <w14:schemeClr w14:val="tx1"/>
                  </w14:solidFill>
                </w14:textFill>
              </w:rPr>
              <w:t>▲</w:t>
            </w:r>
          </w:p>
        </w:tc>
        <w:tc>
          <w:tcPr>
            <w:tcW w:w="687" w:type="pct"/>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cs="宋体" w:eastAsiaTheme="minorEastAsia"/>
                <w:szCs w:val="21"/>
              </w:rPr>
            </w:pPr>
            <w:r>
              <w:rPr>
                <w:rFonts w:hint="eastAsia" w:ascii="宋体" w:hAnsi="宋体" w:cs="宋体" w:eastAsiaTheme="minorEastAsia"/>
                <w:szCs w:val="21"/>
              </w:rPr>
              <w:t>分级存储</w:t>
            </w:r>
          </w:p>
        </w:tc>
        <w:tc>
          <w:tcPr>
            <w:tcW w:w="2367" w:type="pct"/>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cs="宋体" w:eastAsiaTheme="minorEastAsia"/>
                <w:szCs w:val="21"/>
              </w:rPr>
            </w:pPr>
            <w:r>
              <w:rPr>
                <w:rFonts w:hint="eastAsia" w:ascii="宋体" w:hAnsi="宋体" w:cs="宋体" w:eastAsiaTheme="minorEastAsia"/>
                <w:szCs w:val="21"/>
              </w:rPr>
              <w:t>至少支持配置分级存储间根据时间等策略的数据迁移</w:t>
            </w:r>
          </w:p>
        </w:tc>
        <w:tc>
          <w:tcPr>
            <w:tcW w:w="91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szCs w:val="21"/>
              </w:rPr>
            </w:pPr>
            <w:r>
              <w:rPr>
                <w:rFonts w:hint="eastAsia" w:ascii="Times New Roman" w:hAnsi="Times New Roman" w:eastAsiaTheme="minorEastAsia"/>
                <w:szCs w:val="21"/>
              </w:rPr>
              <w:t>软件功能截图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5"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
                <w:szCs w:val="21"/>
              </w:rPr>
            </w:pPr>
            <w:r>
              <w:rPr>
                <w:rFonts w:hint="eastAsia" w:ascii="Times New Roman" w:hAnsi="Times New Roman" w:eastAsiaTheme="minorEastAsia"/>
                <w:b/>
                <w:szCs w:val="21"/>
              </w:rPr>
              <w:t>3</w:t>
            </w:r>
          </w:p>
        </w:tc>
        <w:tc>
          <w:tcPr>
            <w:tcW w:w="687"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cs="宋体" w:eastAsiaTheme="minorEastAsia"/>
                <w:color w:val="000000"/>
                <w:szCs w:val="21"/>
              </w:rPr>
            </w:pPr>
            <w:r>
              <w:rPr>
                <w:rFonts w:hint="eastAsia" w:eastAsiaTheme="minorEastAsia"/>
                <w:color w:val="000000" w:themeColor="text1"/>
                <w:szCs w:val="21"/>
                <w14:textFill>
                  <w14:solidFill>
                    <w14:schemeClr w14:val="tx1"/>
                  </w14:solidFill>
                </w14:textFill>
              </w:rPr>
              <w:t>▲</w:t>
            </w:r>
          </w:p>
        </w:tc>
        <w:tc>
          <w:tcPr>
            <w:tcW w:w="687" w:type="pct"/>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cs="宋体" w:eastAsiaTheme="minorEastAsia"/>
                <w:color w:val="000000" w:themeColor="text1"/>
                <w:szCs w:val="21"/>
                <w14:textFill>
                  <w14:solidFill>
                    <w14:schemeClr w14:val="tx1"/>
                  </w14:solidFill>
                </w14:textFill>
              </w:rPr>
            </w:pPr>
            <w:r>
              <w:rPr>
                <w:rFonts w:hint="eastAsia" w:ascii="宋体" w:hAnsi="宋体" w:cs="宋体" w:eastAsiaTheme="minorEastAsia"/>
                <w:color w:val="000000" w:themeColor="text1"/>
                <w:szCs w:val="21"/>
                <w14:textFill>
                  <w14:solidFill>
                    <w14:schemeClr w14:val="tx1"/>
                  </w14:solidFill>
                </w14:textFill>
              </w:rPr>
              <w:t>数据修复</w:t>
            </w:r>
          </w:p>
        </w:tc>
        <w:tc>
          <w:tcPr>
            <w:tcW w:w="2367" w:type="pct"/>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cs="宋体" w:eastAsiaTheme="minorEastAsia"/>
                <w:szCs w:val="21"/>
              </w:rPr>
            </w:pPr>
            <w:r>
              <w:rPr>
                <w:rFonts w:hint="eastAsia" w:ascii="宋体" w:hAnsi="宋体" w:cs="宋体" w:eastAsiaTheme="minorEastAsia"/>
                <w:szCs w:val="21"/>
              </w:rPr>
              <w:t>分布式存储磁盘或节点故障后，可自动触发数据重建修复，数据重建1TB容量时间≤15分钟</w:t>
            </w:r>
          </w:p>
        </w:tc>
        <w:tc>
          <w:tcPr>
            <w:tcW w:w="91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5"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
                <w:szCs w:val="21"/>
              </w:rPr>
            </w:pPr>
            <w:r>
              <w:rPr>
                <w:rFonts w:hint="eastAsia" w:ascii="Times New Roman" w:hAnsi="Times New Roman" w:eastAsiaTheme="minorEastAsia"/>
                <w:b/>
                <w:szCs w:val="21"/>
              </w:rPr>
              <w:t>4</w:t>
            </w:r>
          </w:p>
        </w:tc>
        <w:tc>
          <w:tcPr>
            <w:tcW w:w="687" w:type="pct"/>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eastAsiaTheme="minorEastAsia"/>
                <w:szCs w:val="21"/>
              </w:rPr>
            </w:pPr>
            <w:r>
              <w:rPr>
                <w:rFonts w:hint="eastAsia" w:eastAsiaTheme="minorEastAsia"/>
                <w:color w:val="000000" w:themeColor="text1"/>
                <w:szCs w:val="21"/>
                <w14:textFill>
                  <w14:solidFill>
                    <w14:schemeClr w14:val="tx1"/>
                  </w14:solidFill>
                </w14:textFill>
              </w:rPr>
              <w:t>▲</w:t>
            </w:r>
          </w:p>
        </w:tc>
        <w:tc>
          <w:tcPr>
            <w:tcW w:w="687" w:type="pct"/>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cs="宋体" w:eastAsiaTheme="minorEastAsia"/>
                <w:szCs w:val="21"/>
              </w:rPr>
            </w:pPr>
            <w:r>
              <w:rPr>
                <w:rFonts w:hint="eastAsia" w:ascii="宋体" w:hAnsi="宋体" w:cs="宋体" w:eastAsiaTheme="minorEastAsia"/>
                <w:szCs w:val="21"/>
              </w:rPr>
              <w:t>数据冗余</w:t>
            </w:r>
          </w:p>
        </w:tc>
        <w:tc>
          <w:tcPr>
            <w:tcW w:w="2367" w:type="pct"/>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cs="宋体" w:eastAsiaTheme="minorEastAsia"/>
                <w:szCs w:val="21"/>
              </w:rPr>
            </w:pPr>
            <w:r>
              <w:rPr>
                <w:rFonts w:hint="eastAsia" w:ascii="宋体" w:hAnsi="宋体" w:cs="宋体" w:eastAsiaTheme="minorEastAsia"/>
                <w:szCs w:val="21"/>
              </w:rPr>
              <w:t>单节点支持不少于3块硬盘的冗余校验；至少支持双副本、三副本等数据保护策略；至少支持快照方式同步数据；至少支持大比例EC，最大可用容量磁盘空间利用率≥90%</w:t>
            </w:r>
          </w:p>
        </w:tc>
        <w:tc>
          <w:tcPr>
            <w:tcW w:w="91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szCs w:val="21"/>
              </w:rPr>
            </w:pPr>
            <w:r>
              <w:rPr>
                <w:rFonts w:hint="eastAsia" w:ascii="Times New Roman" w:hAnsi="Times New Roman" w:eastAsiaTheme="minorEastAsia"/>
                <w:color w:val="000000" w:themeColor="text1"/>
                <w:szCs w:val="21"/>
                <w14:textFill>
                  <w14:solidFill>
                    <w14:schemeClr w14:val="tx1"/>
                  </w14:solidFill>
                </w14:textFill>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45"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
                <w:szCs w:val="21"/>
              </w:rPr>
            </w:pPr>
            <w:r>
              <w:rPr>
                <w:rFonts w:hint="eastAsia" w:ascii="Times New Roman" w:hAnsi="Times New Roman" w:eastAsiaTheme="minorEastAsia"/>
                <w:b/>
                <w:szCs w:val="21"/>
              </w:rPr>
              <w:t>5</w:t>
            </w:r>
          </w:p>
        </w:tc>
        <w:tc>
          <w:tcPr>
            <w:tcW w:w="687"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b/>
                <w:szCs w:val="21"/>
              </w:rPr>
            </w:pPr>
            <w:r>
              <w:rPr>
                <w:rFonts w:hint="eastAsia" w:eastAsiaTheme="minorEastAsia"/>
                <w:color w:val="000000" w:themeColor="text1"/>
                <w:szCs w:val="21"/>
                <w14:textFill>
                  <w14:solidFill>
                    <w14:schemeClr w14:val="tx1"/>
                  </w14:solidFill>
                </w14:textFill>
              </w:rPr>
              <w:t>▲</w:t>
            </w:r>
          </w:p>
        </w:tc>
        <w:tc>
          <w:tcPr>
            <w:tcW w:w="687" w:type="pct"/>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cs="宋体" w:eastAsiaTheme="minorEastAsia"/>
                <w:color w:val="000000" w:themeColor="text1"/>
                <w:szCs w:val="21"/>
                <w14:textFill>
                  <w14:solidFill>
                    <w14:schemeClr w14:val="tx1"/>
                  </w14:solidFill>
                </w14:textFill>
              </w:rPr>
            </w:pPr>
            <w:r>
              <w:rPr>
                <w:rFonts w:hint="eastAsia" w:ascii="宋体" w:hAnsi="宋体" w:cs="宋体" w:eastAsiaTheme="minorEastAsia"/>
                <w:color w:val="000000" w:themeColor="text1"/>
                <w:szCs w:val="21"/>
                <w14:textFill>
                  <w14:solidFill>
                    <w14:schemeClr w14:val="tx1"/>
                  </w14:solidFill>
                </w14:textFill>
              </w:rPr>
              <w:t>远程复制</w:t>
            </w:r>
          </w:p>
        </w:tc>
        <w:tc>
          <w:tcPr>
            <w:tcW w:w="2367" w:type="pct"/>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cs="宋体" w:eastAsiaTheme="minorEastAsia"/>
                <w:szCs w:val="21"/>
              </w:rPr>
            </w:pPr>
            <w:r>
              <w:rPr>
                <w:rFonts w:hint="eastAsia" w:ascii="宋体" w:hAnsi="宋体" w:cs="宋体" w:eastAsiaTheme="minorEastAsia"/>
                <w:szCs w:val="21"/>
              </w:rPr>
              <w:t>至少支持同步复制、异步复制等多种复制模式</w:t>
            </w:r>
          </w:p>
        </w:tc>
        <w:tc>
          <w:tcPr>
            <w:tcW w:w="914"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Theme="minorEastAsia"/>
                <w:color w:val="000000" w:themeColor="text1"/>
                <w:szCs w:val="21"/>
                <w14:textFill>
                  <w14:solidFill>
                    <w14:schemeClr w14:val="tx1"/>
                  </w14:solidFill>
                </w14:textFill>
              </w:rPr>
            </w:pPr>
            <w:r>
              <w:rPr>
                <w:rFonts w:hint="eastAsia" w:ascii="Times New Roman" w:hAnsi="Times New Roman" w:eastAsiaTheme="minorEastAsia"/>
                <w:color w:val="000000" w:themeColor="text1"/>
                <w:szCs w:val="21"/>
                <w14:textFill>
                  <w14:solidFill>
                    <w14:schemeClr w14:val="tx1"/>
                  </w14:solidFill>
                </w14:textFill>
              </w:rPr>
              <w:t>检验报告</w:t>
            </w:r>
          </w:p>
        </w:tc>
      </w:tr>
    </w:tbl>
    <w:p>
      <w:pPr>
        <w:pStyle w:val="5"/>
        <w:spacing w:before="156"/>
        <w:rPr>
          <w:color w:val="000000"/>
          <w:kern w:val="0"/>
          <w:szCs w:val="21"/>
          <w:lang w:val="en-US" w:bidi="ar"/>
        </w:rPr>
      </w:pPr>
      <w:r>
        <w:rPr>
          <w:rFonts w:hint="eastAsia" w:asciiTheme="minorEastAsia" w:hAnsiTheme="minorEastAsia" w:eastAsiaTheme="minorEastAsia" w:cstheme="minorEastAsia"/>
          <w:szCs w:val="21"/>
        </w:rPr>
        <w:t>第</w:t>
      </w:r>
      <w:r>
        <w:rPr>
          <w:rFonts w:asciiTheme="minorEastAsia" w:hAnsiTheme="minorEastAsia" w:eastAsiaTheme="minorEastAsia" w:cstheme="minorEastAsia"/>
          <w:szCs w:val="21"/>
        </w:rPr>
        <w:t>9</w:t>
      </w:r>
      <w:r>
        <w:rPr>
          <w:rFonts w:hint="eastAsia" w:asciiTheme="minorEastAsia" w:hAnsiTheme="minorEastAsia" w:eastAsiaTheme="minorEastAsia" w:cstheme="minorEastAsia"/>
          <w:szCs w:val="21"/>
        </w:rPr>
        <w:t xml:space="preserve">包 </w:t>
      </w:r>
      <w:r>
        <w:rPr>
          <w:color w:val="000000"/>
          <w:kern w:val="0"/>
          <w:szCs w:val="21"/>
          <w:lang w:val="en-US" w:bidi="ar"/>
        </w:rPr>
        <w:t>声纹工作站Ⅰ</w:t>
      </w:r>
    </w:p>
    <w:tbl>
      <w:tblPr>
        <w:tblStyle w:val="81"/>
        <w:tblW w:w="9214" w:type="dxa"/>
        <w:jc w:val="center"/>
        <w:tblLayout w:type="autofit"/>
        <w:tblCellMar>
          <w:top w:w="0" w:type="dxa"/>
          <w:left w:w="108" w:type="dxa"/>
          <w:bottom w:w="0" w:type="dxa"/>
          <w:right w:w="108" w:type="dxa"/>
        </w:tblCellMar>
      </w:tblPr>
      <w:tblGrid>
        <w:gridCol w:w="567"/>
        <w:gridCol w:w="709"/>
        <w:gridCol w:w="1095"/>
        <w:gridCol w:w="5688"/>
        <w:gridCol w:w="1155"/>
      </w:tblGrid>
      <w:tr>
        <w:tblPrEx>
          <w:tblCellMar>
            <w:top w:w="0" w:type="dxa"/>
            <w:left w:w="108" w:type="dxa"/>
            <w:bottom w:w="0" w:type="dxa"/>
            <w:right w:w="108" w:type="dxa"/>
          </w:tblCellMar>
        </w:tblPrEx>
        <w:trPr>
          <w:trHeight w:val="525"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b/>
                <w:bCs/>
                <w:szCs w:val="21"/>
              </w:rPr>
            </w:pPr>
            <w:r>
              <w:rPr>
                <w:rFonts w:hint="eastAsia" w:ascii="Times New Roman" w:hAnsi="Times New Roman" w:eastAsia="宋体"/>
                <w:b/>
                <w:bCs/>
                <w:kern w:val="0"/>
                <w:szCs w:val="21"/>
                <w:lang w:bidi="ar"/>
              </w:rPr>
              <w:t>序号</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b/>
                <w:bCs/>
                <w:szCs w:val="21"/>
              </w:rPr>
            </w:pPr>
            <w:r>
              <w:rPr>
                <w:rFonts w:hint="eastAsia" w:ascii="Times New Roman" w:hAnsi="Times New Roman" w:eastAsia="宋体"/>
                <w:b/>
                <w:bCs/>
                <w:kern w:val="0"/>
                <w:szCs w:val="21"/>
                <w:lang w:bidi="ar"/>
              </w:rPr>
              <w:t>重要性</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b/>
                <w:bCs/>
                <w:szCs w:val="21"/>
              </w:rPr>
            </w:pPr>
            <w:r>
              <w:rPr>
                <w:rFonts w:hint="eastAsia" w:ascii="Times New Roman" w:hAnsi="Times New Roman" w:eastAsia="宋体"/>
                <w:b/>
                <w:bCs/>
                <w:kern w:val="0"/>
                <w:szCs w:val="21"/>
                <w:lang w:bidi="ar"/>
              </w:rPr>
              <w:t>指标项</w:t>
            </w: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b/>
                <w:bCs/>
                <w:szCs w:val="21"/>
              </w:rPr>
            </w:pPr>
            <w:r>
              <w:rPr>
                <w:rFonts w:hint="eastAsia" w:ascii="Times New Roman" w:hAnsi="Times New Roman" w:eastAsia="宋体"/>
                <w:b/>
                <w:bCs/>
                <w:kern w:val="0"/>
                <w:szCs w:val="21"/>
                <w:lang w:bidi="ar"/>
              </w:rPr>
              <w:t>技术要求</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b/>
                <w:bCs/>
                <w:szCs w:val="21"/>
              </w:rPr>
            </w:pPr>
            <w:r>
              <w:rPr>
                <w:rFonts w:hint="eastAsia" w:ascii="Times New Roman" w:hAnsi="Times New Roman" w:eastAsia="宋体"/>
                <w:b/>
                <w:bCs/>
                <w:kern w:val="0"/>
                <w:szCs w:val="21"/>
                <w:lang w:bidi="ar"/>
              </w:rPr>
              <w:t>证明材料要求</w:t>
            </w:r>
          </w:p>
        </w:tc>
      </w:tr>
      <w:tr>
        <w:tblPrEx>
          <w:tblCellMar>
            <w:top w:w="0" w:type="dxa"/>
            <w:left w:w="108" w:type="dxa"/>
            <w:bottom w:w="0" w:type="dxa"/>
            <w:right w:w="108" w:type="dxa"/>
          </w:tblCellMar>
        </w:tblPrEx>
        <w:trPr>
          <w:trHeight w:val="1050"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计算与存储单元</w:t>
            </w: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kern w:val="0"/>
                <w:szCs w:val="21"/>
                <w:lang w:bidi="ar"/>
              </w:rPr>
            </w:pPr>
            <w:r>
              <w:rPr>
                <w:rFonts w:hint="eastAsia" w:ascii="Times New Roman" w:hAnsi="Times New Roman" w:eastAsia="宋体"/>
                <w:kern w:val="0"/>
                <w:szCs w:val="21"/>
                <w:lang w:bidi="ar"/>
              </w:rPr>
              <w:t>CPU配置：不低于16核/24 线程</w:t>
            </w:r>
          </w:p>
          <w:p>
            <w:pPr>
              <w:textAlignment w:val="center"/>
              <w:rPr>
                <w:rFonts w:ascii="Times New Roman" w:hAnsi="Times New Roman" w:eastAsia="宋体"/>
                <w:kern w:val="0"/>
                <w:szCs w:val="21"/>
                <w:lang w:bidi="ar"/>
              </w:rPr>
            </w:pPr>
            <w:r>
              <w:rPr>
                <w:rFonts w:hint="eastAsia" w:ascii="Times New Roman" w:hAnsi="Times New Roman" w:eastAsia="宋体"/>
                <w:kern w:val="0"/>
                <w:szCs w:val="21"/>
                <w:lang w:bidi="ar"/>
              </w:rPr>
              <w:t>内存：不低于64GB DDDR5</w:t>
            </w:r>
          </w:p>
          <w:p>
            <w:pPr>
              <w:textAlignment w:val="center"/>
              <w:rPr>
                <w:rFonts w:ascii="Times New Roman" w:hAnsi="Times New Roman" w:eastAsia="宋体"/>
                <w:kern w:val="0"/>
                <w:szCs w:val="21"/>
                <w:lang w:bidi="ar"/>
              </w:rPr>
            </w:pPr>
            <w:r>
              <w:rPr>
                <w:rFonts w:hint="eastAsia" w:ascii="Times New Roman" w:hAnsi="Times New Roman" w:eastAsia="宋体"/>
                <w:kern w:val="0"/>
                <w:szCs w:val="21"/>
                <w:lang w:bidi="ar"/>
              </w:rPr>
              <w:t>存储：系统盘不低于2TB固态硬盘，本地存储不低于16TB</w:t>
            </w:r>
          </w:p>
          <w:p>
            <w:pPr>
              <w:textAlignment w:val="center"/>
              <w:rPr>
                <w:rFonts w:ascii="Times New Roman" w:hAnsi="Times New Roman" w:eastAsia="宋体"/>
                <w:kern w:val="0"/>
                <w:szCs w:val="21"/>
                <w:lang w:bidi="ar"/>
              </w:rPr>
            </w:pPr>
            <w:r>
              <w:rPr>
                <w:rFonts w:hint="eastAsia" w:ascii="Times New Roman" w:hAnsi="Times New Roman" w:eastAsia="宋体"/>
                <w:kern w:val="0"/>
                <w:szCs w:val="21"/>
                <w:lang w:bidi="ar"/>
              </w:rPr>
              <w:t>显卡：不低于24GB显存</w:t>
            </w:r>
          </w:p>
          <w:p>
            <w:pPr>
              <w:textAlignment w:val="center"/>
              <w:rPr>
                <w:rFonts w:ascii="Times New Roman" w:hAnsi="Times New Roman" w:eastAsia="宋体"/>
                <w:kern w:val="0"/>
                <w:szCs w:val="21"/>
                <w:lang w:bidi="ar"/>
              </w:rPr>
            </w:pPr>
            <w:r>
              <w:rPr>
                <w:rFonts w:hint="eastAsia" w:ascii="Times New Roman" w:hAnsi="Times New Roman" w:eastAsia="宋体"/>
                <w:kern w:val="0"/>
                <w:szCs w:val="21"/>
                <w:lang w:bidi="ar"/>
              </w:rPr>
              <w:t>FP16算力性能：不低于250TFLOPS</w:t>
            </w:r>
          </w:p>
          <w:p>
            <w:pPr>
              <w:textAlignment w:val="center"/>
              <w:rPr>
                <w:rFonts w:ascii="Times New Roman" w:hAnsi="Times New Roman" w:eastAsia="宋体"/>
                <w:szCs w:val="21"/>
              </w:rPr>
            </w:pPr>
            <w:r>
              <w:rPr>
                <w:rFonts w:hint="eastAsia" w:ascii="Times New Roman" w:hAnsi="Times New Roman" w:eastAsia="宋体"/>
                <w:kern w:val="0"/>
                <w:szCs w:val="21"/>
                <w:lang w:bidi="ar"/>
              </w:rPr>
              <w:t>电源：不低于1500W</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w:t>
            </w:r>
          </w:p>
        </w:tc>
      </w:tr>
      <w:tr>
        <w:tblPrEx>
          <w:tblCellMar>
            <w:top w:w="0" w:type="dxa"/>
            <w:left w:w="108" w:type="dxa"/>
            <w:bottom w:w="0" w:type="dxa"/>
            <w:right w:w="108" w:type="dxa"/>
          </w:tblCellMar>
        </w:tblPrEx>
        <w:trPr>
          <w:trHeight w:val="1050"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显示单元</w:t>
            </w: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Style w:val="403"/>
                <w:rFonts w:hint="eastAsia" w:ascii="Times New Roman" w:hAnsi="Times New Roman"/>
                <w:lang w:bidi="ar"/>
              </w:rPr>
              <w:t>34寸显示屏不低于2块或49寸显示屏不低于1块；分辨率不低于3440*1440，对比度</w:t>
            </w:r>
            <w:r>
              <w:rPr>
                <w:rStyle w:val="403"/>
                <w:rFonts w:hint="default" w:ascii="Times New Roman" w:hAnsi="Times New Roman"/>
                <w:lang w:bidi="ar"/>
              </w:rPr>
              <w:t>不低于4000:1，响应时间不大于1ms，屏幕刷新率不低于144Hz；配置360度旋转支架，支持显示屏自由旋转及固定</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w:t>
            </w:r>
          </w:p>
        </w:tc>
      </w:tr>
      <w:tr>
        <w:tblPrEx>
          <w:tblCellMar>
            <w:top w:w="0" w:type="dxa"/>
            <w:left w:w="108" w:type="dxa"/>
            <w:bottom w:w="0" w:type="dxa"/>
            <w:right w:w="108" w:type="dxa"/>
          </w:tblCellMar>
        </w:tblPrEx>
        <w:trPr>
          <w:trHeight w:val="788"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音频接口</w:t>
            </w:r>
            <w:r>
              <w:rPr>
                <w:rStyle w:val="403"/>
                <w:rFonts w:hint="default" w:ascii="Times New Roman" w:hAnsi="Times New Roman"/>
                <w:lang w:bidi="ar"/>
              </w:rPr>
              <w:t>单元</w:t>
            </w: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Style w:val="403"/>
                <w:rFonts w:hint="eastAsia" w:ascii="Times New Roman" w:hAnsi="Times New Roman"/>
                <w:lang w:bidi="ar"/>
              </w:rPr>
              <w:t>提供</w:t>
            </w:r>
            <w:r>
              <w:rPr>
                <w:rStyle w:val="403"/>
                <w:rFonts w:hint="default" w:ascii="Times New Roman" w:hAnsi="Times New Roman"/>
                <w:lang w:bidi="ar"/>
              </w:rPr>
              <w:t>不少于四通道话筒/线路的输入和播放，带有独立的耳机/音箱输出控制，内置不低于32bit/192kHz转换器</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w:t>
            </w:r>
          </w:p>
        </w:tc>
      </w:tr>
      <w:tr>
        <w:tblPrEx>
          <w:tblCellMar>
            <w:top w:w="0" w:type="dxa"/>
            <w:left w:w="108" w:type="dxa"/>
            <w:bottom w:w="0" w:type="dxa"/>
            <w:right w:w="108" w:type="dxa"/>
          </w:tblCellMar>
        </w:tblPrEx>
        <w:trPr>
          <w:trHeight w:val="525"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音箱</w:t>
            </w:r>
            <w:r>
              <w:rPr>
                <w:rStyle w:val="403"/>
                <w:rFonts w:hint="default" w:ascii="Times New Roman" w:hAnsi="Times New Roman"/>
                <w:lang w:bidi="ar"/>
              </w:rPr>
              <w:t>单元</w:t>
            </w: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kern w:val="0"/>
                <w:szCs w:val="21"/>
                <w:lang w:bidi="ar"/>
              </w:rPr>
            </w:pPr>
            <w:r>
              <w:rPr>
                <w:rFonts w:hint="eastAsia" w:ascii="Times New Roman" w:hAnsi="Times New Roman" w:eastAsia="宋体"/>
                <w:kern w:val="0"/>
                <w:szCs w:val="21"/>
                <w:lang w:bidi="ar"/>
              </w:rPr>
              <w:t>频响范围：47Hz-25kHz(-6dB)</w:t>
            </w:r>
          </w:p>
          <w:p>
            <w:pPr>
              <w:textAlignment w:val="center"/>
              <w:rPr>
                <w:rFonts w:ascii="Times New Roman" w:hAnsi="Times New Roman" w:eastAsia="宋体"/>
                <w:kern w:val="0"/>
                <w:szCs w:val="21"/>
                <w:lang w:bidi="ar"/>
              </w:rPr>
            </w:pPr>
            <w:r>
              <w:rPr>
                <w:rFonts w:hint="eastAsia" w:ascii="Times New Roman" w:hAnsi="Times New Roman" w:eastAsia="宋体"/>
                <w:kern w:val="0"/>
                <w:szCs w:val="21"/>
                <w:lang w:bidi="ar"/>
              </w:rPr>
              <w:t>功放功率：低音/50w，高音/50w</w:t>
            </w:r>
          </w:p>
          <w:p>
            <w:pPr>
              <w:textAlignment w:val="center"/>
              <w:rPr>
                <w:rFonts w:ascii="Times New Roman" w:hAnsi="Times New Roman" w:eastAsia="宋体"/>
                <w:kern w:val="0"/>
                <w:szCs w:val="21"/>
                <w:lang w:bidi="ar"/>
              </w:rPr>
            </w:pPr>
            <w:r>
              <w:rPr>
                <w:rFonts w:hint="eastAsia" w:ascii="Times New Roman" w:hAnsi="Times New Roman" w:eastAsia="宋体"/>
                <w:kern w:val="0"/>
                <w:szCs w:val="21"/>
                <w:lang w:bidi="ar"/>
              </w:rPr>
              <w:t>分频点：低音/高音3kHz</w:t>
            </w:r>
          </w:p>
          <w:p>
            <w:pPr>
              <w:textAlignment w:val="center"/>
              <w:rPr>
                <w:rFonts w:ascii="Times New Roman" w:hAnsi="Times New Roman" w:eastAsia="宋体"/>
                <w:szCs w:val="21"/>
              </w:rPr>
            </w:pPr>
            <w:r>
              <w:rPr>
                <w:rFonts w:hint="eastAsia" w:ascii="Times New Roman" w:hAnsi="Times New Roman" w:eastAsia="宋体"/>
                <w:kern w:val="0"/>
                <w:szCs w:val="21"/>
                <w:lang w:bidi="ar"/>
              </w:rPr>
              <w:t>接口：XLR型输入口</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w:t>
            </w:r>
          </w:p>
        </w:tc>
      </w:tr>
      <w:tr>
        <w:tblPrEx>
          <w:tblCellMar>
            <w:top w:w="0" w:type="dxa"/>
            <w:left w:w="108" w:type="dxa"/>
            <w:bottom w:w="0" w:type="dxa"/>
            <w:right w:w="108" w:type="dxa"/>
          </w:tblCellMar>
        </w:tblPrEx>
        <w:trPr>
          <w:trHeight w:val="525"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耳机</w:t>
            </w:r>
            <w:r>
              <w:rPr>
                <w:rStyle w:val="403"/>
                <w:rFonts w:hint="default" w:ascii="Times New Roman" w:hAnsi="Times New Roman"/>
                <w:lang w:bidi="ar"/>
              </w:rPr>
              <w:t>单元</w:t>
            </w: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频响范围：10Hz-39.8kHz；耳机灵敏度：≥105dB SPL/V；阻抗：≤62Ω；线缆可拆卸</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w:t>
            </w:r>
          </w:p>
        </w:tc>
      </w:tr>
      <w:tr>
        <w:tblPrEx>
          <w:tblCellMar>
            <w:top w:w="0" w:type="dxa"/>
            <w:left w:w="108" w:type="dxa"/>
            <w:bottom w:w="0" w:type="dxa"/>
            <w:right w:w="108" w:type="dxa"/>
          </w:tblCellMar>
        </w:tblPrEx>
        <w:trPr>
          <w:trHeight w:val="2363"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麦克风</w:t>
            </w:r>
            <w:r>
              <w:rPr>
                <w:rStyle w:val="403"/>
                <w:rFonts w:hint="default" w:ascii="Times New Roman" w:hAnsi="Times New Roman"/>
                <w:lang w:bidi="ar"/>
              </w:rPr>
              <w:t>单元</w:t>
            </w: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Style w:val="403"/>
                <w:rFonts w:hint="default" w:ascii="Times New Roman" w:hAnsi="Times New Roman"/>
                <w:lang w:bidi="ar"/>
              </w:rPr>
            </w:pPr>
            <w:r>
              <w:rPr>
                <w:rFonts w:hint="eastAsia" w:ascii="Times New Roman" w:hAnsi="Times New Roman" w:eastAsia="宋体"/>
                <w:kern w:val="0"/>
                <w:szCs w:val="21"/>
                <w:lang w:bidi="ar"/>
              </w:rPr>
              <w:t>1.电容式：指向模式为全向、心形、8字，</w:t>
            </w:r>
            <w:r>
              <w:rPr>
                <w:rStyle w:val="403"/>
                <w:rFonts w:hint="default" w:ascii="Times New Roman" w:hAnsi="Times New Roman"/>
                <w:lang w:bidi="ar"/>
              </w:rPr>
              <w:t>频率响应</w:t>
            </w:r>
            <w:r>
              <w:rPr>
                <w:rFonts w:hint="eastAsia" w:ascii="Times New Roman" w:hAnsi="Times New Roman" w:eastAsia="宋体"/>
                <w:kern w:val="0"/>
                <w:szCs w:val="21"/>
                <w:lang w:bidi="ar"/>
              </w:rPr>
              <w:t>为20Hz-20KHz，额定阻抗≤200Ω</w:t>
            </w:r>
            <w:r>
              <w:rPr>
                <w:rFonts w:hint="eastAsia" w:ascii="Times New Roman" w:hAnsi="Times New Roman" w:eastAsia="宋体"/>
                <w:kern w:val="0"/>
                <w:szCs w:val="21"/>
                <w:lang w:bidi="ar"/>
              </w:rPr>
              <w:br w:type="textWrapping"/>
            </w:r>
            <w:r>
              <w:rPr>
                <w:rStyle w:val="403"/>
                <w:rFonts w:hint="default" w:ascii="Times New Roman" w:hAnsi="Times New Roman"/>
                <w:lang w:bidi="ar"/>
              </w:rPr>
              <w:t>2.动圈式：指向性为超心型；频率响应为20Hz-20KHz；输出阻抗：250Ω±30%(at1KHz)；灵敏度：≥-53dB</w:t>
            </w:r>
          </w:p>
          <w:p>
            <w:pPr>
              <w:textAlignment w:val="center"/>
              <w:rPr>
                <w:rFonts w:ascii="Times New Roman" w:hAnsi="Times New Roman" w:eastAsia="宋体"/>
                <w:szCs w:val="21"/>
              </w:rPr>
            </w:pPr>
            <w:r>
              <w:rPr>
                <w:rStyle w:val="403"/>
                <w:rFonts w:hint="default" w:ascii="Times New Roman" w:hAnsi="Times New Roman"/>
                <w:lang w:bidi="ar"/>
              </w:rPr>
              <w:t>（0dB=1V/Pa at 1KHz）</w:t>
            </w:r>
            <w:r>
              <w:rPr>
                <w:rStyle w:val="403"/>
                <w:rFonts w:hint="default" w:ascii="Times New Roman" w:hAnsi="Times New Roman"/>
                <w:lang w:bidi="ar"/>
              </w:rPr>
              <w:br w:type="textWrapping"/>
            </w:r>
            <w:r>
              <w:rPr>
                <w:rStyle w:val="403"/>
                <w:rFonts w:hint="default" w:ascii="Times New Roman" w:hAnsi="Times New Roman"/>
                <w:lang w:bidi="ar"/>
              </w:rPr>
              <w:t>3.无线式：一拖四无线麦克风，频率响应：80Hz-18KHz；载波频率：580-630MHz；失真度1kHz：＜0.5%；信噪比＞50dB</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w:t>
            </w:r>
          </w:p>
        </w:tc>
      </w:tr>
      <w:tr>
        <w:tblPrEx>
          <w:tblCellMar>
            <w:top w:w="0" w:type="dxa"/>
            <w:left w:w="108" w:type="dxa"/>
            <w:bottom w:w="0" w:type="dxa"/>
            <w:right w:w="108" w:type="dxa"/>
          </w:tblCellMar>
        </w:tblPrEx>
        <w:trPr>
          <w:trHeight w:val="3675"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音频数据采集单元</w:t>
            </w: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1.数码录音：配置不低于3.5英寸触控彩屏；支持不低于192KHz/32bit的wav线性pcm录音；提供可拆卸的14.6mm大振膜电容话筒，支持A-B和X-Y拾音方向转换；至少支持microSD卡、microSDHC卡、microSDXC卡等3种存储介质</w:t>
            </w:r>
            <w:r>
              <w:rPr>
                <w:rFonts w:hint="eastAsia" w:ascii="Times New Roman" w:hAnsi="Times New Roman" w:eastAsia="宋体"/>
                <w:kern w:val="0"/>
                <w:szCs w:val="21"/>
                <w:lang w:bidi="ar"/>
              </w:rPr>
              <w:br w:type="textWrapping"/>
            </w:r>
            <w:r>
              <w:rPr>
                <w:rFonts w:hint="eastAsia" w:ascii="Times New Roman" w:hAnsi="Times New Roman" w:eastAsia="宋体"/>
                <w:kern w:val="0"/>
                <w:szCs w:val="21"/>
                <w:lang w:bidi="ar"/>
              </w:rPr>
              <w:t>2.样本采集：至少满足6项功能指标，包括：信噪比≥60dB；波形失真度≤0.2%；灵敏度≥50mV/Pa；频率响应：50-8kHz；支持16kHz 采样率；支持噪声抑制功能</w:t>
            </w:r>
            <w:r>
              <w:rPr>
                <w:rFonts w:hint="eastAsia" w:ascii="Times New Roman" w:hAnsi="Times New Roman" w:eastAsia="宋体"/>
                <w:kern w:val="0"/>
                <w:szCs w:val="21"/>
                <w:lang w:bidi="ar"/>
              </w:rPr>
              <w:br w:type="textWrapping"/>
            </w:r>
            <w:r>
              <w:rPr>
                <w:rFonts w:hint="eastAsia" w:ascii="Times New Roman" w:hAnsi="Times New Roman" w:eastAsia="宋体"/>
                <w:kern w:val="0"/>
                <w:szCs w:val="21"/>
                <w:lang w:bidi="ar"/>
              </w:rPr>
              <w:t>3.检材采集：支持3.5MM音频接口、USB Type-C接口、Apple lightning等接口；支持8KHz、16KHz等采样率；支持不低于16bit采样精度；内置电池模块，支持无线转录音频，支持转录时同步监听</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w:t>
            </w:r>
          </w:p>
        </w:tc>
      </w:tr>
      <w:tr>
        <w:tblPrEx>
          <w:tblCellMar>
            <w:top w:w="0" w:type="dxa"/>
            <w:left w:w="108" w:type="dxa"/>
            <w:bottom w:w="0" w:type="dxa"/>
            <w:right w:w="108" w:type="dxa"/>
          </w:tblCellMar>
        </w:tblPrEx>
        <w:trPr>
          <w:trHeight w:val="788"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图像数据采集</w:t>
            </w:r>
            <w:r>
              <w:rPr>
                <w:rStyle w:val="403"/>
                <w:rFonts w:hint="default" w:ascii="Times New Roman" w:hAnsi="Times New Roman"/>
                <w:lang w:bidi="ar"/>
              </w:rPr>
              <w:t>单元</w:t>
            </w: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扫描像素：1600万及以上，自然光+触控LED补光；扫描范围：A3及以下；智能自动纠偏裁切功能，色彩24位，扫描速度约1秒以内</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w:t>
            </w:r>
          </w:p>
        </w:tc>
      </w:tr>
      <w:tr>
        <w:tblPrEx>
          <w:tblCellMar>
            <w:top w:w="0" w:type="dxa"/>
            <w:left w:w="108" w:type="dxa"/>
            <w:bottom w:w="0" w:type="dxa"/>
            <w:right w:w="108" w:type="dxa"/>
          </w:tblCellMar>
        </w:tblPrEx>
        <w:trPr>
          <w:trHeight w:val="1313"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打印输出单元</w:t>
            </w: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涵盖功能打印/复印/扫描，最大支持A4幅面。打印分辨率不低于1200×1200dpi；复印分辨率不低于600×600dpi；扫描光学分辨率不低于600x600dpi；打印/复印速度不少于25页/min；扫描速度不少于30页/min；兼容国产操作系统</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r>
              <w:rPr>
                <w:rFonts w:hint="eastAsia" w:ascii="Times New Roman" w:hAnsi="Times New Roman" w:eastAsia="宋体"/>
                <w:szCs w:val="21"/>
              </w:rPr>
              <w:t>/</w:t>
            </w:r>
          </w:p>
        </w:tc>
      </w:tr>
      <w:tr>
        <w:tblPrEx>
          <w:tblCellMar>
            <w:top w:w="0" w:type="dxa"/>
            <w:left w:w="108" w:type="dxa"/>
            <w:bottom w:w="0" w:type="dxa"/>
            <w:right w:w="108" w:type="dxa"/>
          </w:tblCellMar>
        </w:tblPrEx>
        <w:trPr>
          <w:trHeight w:val="1050"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外设组件</w:t>
            </w: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提供不低于14寸交互触摸屏、万兆网口、只读读卡器接口、DVD蓝光刻录光驱、摄像头、手机无线充模块、不低于3个SATA硬盘读写仓、不低于4个USB接口和不低于4个5孔220V电源接口等组件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w:t>
            </w:r>
          </w:p>
        </w:tc>
      </w:tr>
      <w:tr>
        <w:tblPrEx>
          <w:tblCellMar>
            <w:top w:w="0" w:type="dxa"/>
            <w:left w:w="108" w:type="dxa"/>
            <w:bottom w:w="0" w:type="dxa"/>
            <w:right w:w="108" w:type="dxa"/>
          </w:tblCellMar>
        </w:tblPrEx>
        <w:trPr>
          <w:trHeight w:val="1050"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10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基本功能要求</w:t>
            </w: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支持查看音视频源文件信号属性信息至少包含13种信息：名称、时长、创建时间、修改时间、文件大小、声道、编码格式、采样率、采样精度、SHA1编码、SHA256编码、CRC32编码、MD5编码（16位、32位）信息</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软件功能截图</w:t>
            </w:r>
          </w:p>
        </w:tc>
      </w:tr>
      <w:tr>
        <w:tblPrEx>
          <w:tblCellMar>
            <w:top w:w="0" w:type="dxa"/>
            <w:left w:w="108" w:type="dxa"/>
            <w:bottom w:w="0" w:type="dxa"/>
            <w:right w:w="108" w:type="dxa"/>
          </w:tblCellMar>
        </w:tblPrEx>
        <w:trPr>
          <w:trHeight w:val="1050"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支持设定、修改源文件采样率、性别、信号源等参数。可选转换采样率不少于8K、16K等。支持MD5值和哈希值校验与保存。支持查找录音设备和声音编辑器的签名信息。支持已导出音频文件可原样导入复现标记;提供不少于2种声道分离功能指标，包括：支持自动声道分离、绘制分离声道音频语谱图等</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软件功能截图</w:t>
            </w:r>
          </w:p>
        </w:tc>
      </w:tr>
      <w:tr>
        <w:tblPrEx>
          <w:tblCellMar>
            <w:top w:w="0" w:type="dxa"/>
            <w:left w:w="108" w:type="dxa"/>
            <w:bottom w:w="0" w:type="dxa"/>
            <w:right w:w="108" w:type="dxa"/>
          </w:tblCellMar>
        </w:tblPrEx>
        <w:trPr>
          <w:trHeight w:val="525"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w:t>
            </w: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支持音频文件二进制内容显示，至少包括offset、16进制编码、ASCII码信息</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检验报告</w:t>
            </w:r>
          </w:p>
        </w:tc>
      </w:tr>
      <w:tr>
        <w:tblPrEx>
          <w:tblCellMar>
            <w:top w:w="0" w:type="dxa"/>
            <w:left w:w="108" w:type="dxa"/>
            <w:bottom w:w="0" w:type="dxa"/>
            <w:right w:w="108" w:type="dxa"/>
          </w:tblCellMar>
        </w:tblPrEx>
        <w:trPr>
          <w:trHeight w:val="1050"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支持音频全文、选区、循环、变速、暂停、停止播放等操作。变速最低不高于0.5倍速，最高不低于3.5倍速，音调周期可调，具备信号质量优先、速度精度优先播放功能</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软件功能截图</w:t>
            </w:r>
          </w:p>
        </w:tc>
      </w:tr>
      <w:tr>
        <w:tblPrEx>
          <w:tblCellMar>
            <w:top w:w="0" w:type="dxa"/>
            <w:left w:w="108" w:type="dxa"/>
            <w:bottom w:w="0" w:type="dxa"/>
            <w:right w:w="108" w:type="dxa"/>
          </w:tblCellMar>
        </w:tblPrEx>
        <w:trPr>
          <w:trHeight w:val="525"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至少支持音频信号的复制、粘贴、剪切、删除、撤销、恢复和移位、切片展示操作</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软件功能截图</w:t>
            </w:r>
          </w:p>
        </w:tc>
      </w:tr>
      <w:tr>
        <w:tblPrEx>
          <w:tblCellMar>
            <w:top w:w="0" w:type="dxa"/>
            <w:left w:w="108" w:type="dxa"/>
            <w:bottom w:w="0" w:type="dxa"/>
            <w:right w:w="108" w:type="dxa"/>
          </w:tblCellMar>
        </w:tblPrEx>
        <w:trPr>
          <w:trHeight w:val="525"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支持不少于3种语谱图选定和删除操作，包括：横选、竖选、框选等</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软件功能截图</w:t>
            </w:r>
          </w:p>
        </w:tc>
      </w:tr>
      <w:tr>
        <w:tblPrEx>
          <w:tblCellMar>
            <w:top w:w="0" w:type="dxa"/>
            <w:left w:w="108" w:type="dxa"/>
            <w:bottom w:w="0" w:type="dxa"/>
            <w:right w:w="108" w:type="dxa"/>
          </w:tblCellMar>
        </w:tblPrEx>
        <w:trPr>
          <w:trHeight w:val="525"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支持不少于2种录音方式，包括：麦克风和内录等，生成WAV等格式文件，可自定义输入设备、采样率等参数</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软件功能截图</w:t>
            </w:r>
          </w:p>
        </w:tc>
      </w:tr>
      <w:tr>
        <w:tblPrEx>
          <w:tblCellMar>
            <w:top w:w="0" w:type="dxa"/>
            <w:left w:w="108" w:type="dxa"/>
            <w:bottom w:w="0" w:type="dxa"/>
            <w:right w:w="108" w:type="dxa"/>
          </w:tblCellMar>
        </w:tblPrEx>
        <w:trPr>
          <w:trHeight w:val="525"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支持录音时，显示录音的语谱图并支持不少于2种播放方式展示，包括：滚动播放、同步播放等</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软件功能截图</w:t>
            </w:r>
          </w:p>
        </w:tc>
      </w:tr>
      <w:tr>
        <w:tblPrEx>
          <w:tblCellMar>
            <w:top w:w="0" w:type="dxa"/>
            <w:left w:w="108" w:type="dxa"/>
            <w:bottom w:w="0" w:type="dxa"/>
            <w:right w:w="108" w:type="dxa"/>
          </w:tblCellMar>
        </w:tblPrEx>
        <w:trPr>
          <w:trHeight w:val="525"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w:t>
            </w: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提供不少于3种信号处理功能，包括：信号归一化、更改采样位数和直流偏移抑制等</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检验报告</w:t>
            </w:r>
          </w:p>
        </w:tc>
      </w:tr>
      <w:tr>
        <w:tblPrEx>
          <w:tblCellMar>
            <w:top w:w="0" w:type="dxa"/>
            <w:left w:w="108" w:type="dxa"/>
            <w:bottom w:w="0" w:type="dxa"/>
            <w:right w:w="108" w:type="dxa"/>
          </w:tblCellMar>
        </w:tblPrEx>
        <w:trPr>
          <w:trHeight w:val="525"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支持不少于2种音频重采样选项，包括：整除、自定义采样率等</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软件功能截图</w:t>
            </w:r>
          </w:p>
        </w:tc>
      </w:tr>
      <w:tr>
        <w:tblPrEx>
          <w:tblCellMar>
            <w:top w:w="0" w:type="dxa"/>
            <w:left w:w="108" w:type="dxa"/>
            <w:bottom w:w="0" w:type="dxa"/>
            <w:right w:w="108" w:type="dxa"/>
          </w:tblCellMar>
        </w:tblPrEx>
        <w:trPr>
          <w:trHeight w:val="525"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支持从不少于3种维度进行变声调节，包括：音速、音高和音色等</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软件功能截图</w:t>
            </w:r>
          </w:p>
        </w:tc>
      </w:tr>
      <w:tr>
        <w:tblPrEx>
          <w:tblCellMar>
            <w:top w:w="0" w:type="dxa"/>
            <w:left w:w="108" w:type="dxa"/>
            <w:bottom w:w="0" w:type="dxa"/>
            <w:right w:w="108" w:type="dxa"/>
          </w:tblCellMar>
        </w:tblPrEx>
        <w:trPr>
          <w:trHeight w:val="525"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提供不少于6种截图工具，包括：矩形、圆形、箭头、画刷、马赛克和文本等，支持颜色自定义</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软件功能截图</w:t>
            </w:r>
          </w:p>
        </w:tc>
      </w:tr>
      <w:tr>
        <w:tblPrEx>
          <w:tblCellMar>
            <w:top w:w="0" w:type="dxa"/>
            <w:left w:w="108" w:type="dxa"/>
            <w:bottom w:w="0" w:type="dxa"/>
            <w:right w:w="108" w:type="dxa"/>
          </w:tblCellMar>
        </w:tblPrEx>
        <w:trPr>
          <w:trHeight w:val="525"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支持不少于6种格式的图片导入/导出，包括：jpg、png、tga、bmp、tiff、tif等</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软件功能截图</w:t>
            </w:r>
          </w:p>
        </w:tc>
      </w:tr>
      <w:tr>
        <w:tblPrEx>
          <w:tblCellMar>
            <w:top w:w="0" w:type="dxa"/>
            <w:left w:w="108" w:type="dxa"/>
            <w:bottom w:w="0" w:type="dxa"/>
            <w:right w:w="108" w:type="dxa"/>
          </w:tblCellMar>
        </w:tblPrEx>
        <w:trPr>
          <w:trHeight w:val="917"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支持截图关联语谱图功能，，提供不少于2种关联结果，包括：关联图片、片段所在位置等，对已关联语谱图的截图可还原为真实语谱图</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软件功能截图</w:t>
            </w:r>
          </w:p>
        </w:tc>
      </w:tr>
      <w:tr>
        <w:tblPrEx>
          <w:tblCellMar>
            <w:top w:w="0" w:type="dxa"/>
            <w:left w:w="108" w:type="dxa"/>
            <w:bottom w:w="0" w:type="dxa"/>
            <w:right w:w="108" w:type="dxa"/>
          </w:tblCellMar>
        </w:tblPrEx>
        <w:trPr>
          <w:trHeight w:val="525"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10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案件相关功能要求</w:t>
            </w: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支持不少于3种案件管理功能，包括：导出、导入、防误删等</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软件功能截图</w:t>
            </w:r>
          </w:p>
        </w:tc>
      </w:tr>
      <w:tr>
        <w:tblPrEx>
          <w:tblCellMar>
            <w:top w:w="0" w:type="dxa"/>
            <w:left w:w="108" w:type="dxa"/>
            <w:bottom w:w="0" w:type="dxa"/>
            <w:right w:w="108" w:type="dxa"/>
          </w:tblCellMar>
        </w:tblPrEx>
        <w:trPr>
          <w:trHeight w:val="788"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支持文件信息自动提取、登记功能，提取、登记的信息不少于7种，包含：文件名、时长、采样率、采样精度、MD5 编码（16位32位）、CRC32编码和SHA1编码等</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软件功能截图</w:t>
            </w:r>
          </w:p>
        </w:tc>
      </w:tr>
      <w:tr>
        <w:tblPrEx>
          <w:tblCellMar>
            <w:top w:w="0" w:type="dxa"/>
            <w:left w:w="108" w:type="dxa"/>
            <w:bottom w:w="0" w:type="dxa"/>
            <w:right w:w="108" w:type="dxa"/>
          </w:tblCellMar>
        </w:tblPrEx>
        <w:trPr>
          <w:trHeight w:val="525"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支持案件中新建文件夹，层级不少于5层，可导入音视频和图片等文件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检验报告</w:t>
            </w:r>
          </w:p>
        </w:tc>
      </w:tr>
      <w:tr>
        <w:tblPrEx>
          <w:tblCellMar>
            <w:top w:w="0" w:type="dxa"/>
            <w:left w:w="108" w:type="dxa"/>
            <w:bottom w:w="0" w:type="dxa"/>
            <w:right w:w="108" w:type="dxa"/>
          </w:tblCellMar>
        </w:tblPrEx>
        <w:trPr>
          <w:trHeight w:val="525"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支持在同一案件中不少于2种编辑方式包括：复制或移动已经分类的音频等</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软件功能截图</w:t>
            </w:r>
          </w:p>
        </w:tc>
      </w:tr>
      <w:tr>
        <w:tblPrEx>
          <w:tblCellMar>
            <w:top w:w="0" w:type="dxa"/>
            <w:left w:w="108" w:type="dxa"/>
            <w:bottom w:w="0" w:type="dxa"/>
            <w:right w:w="108" w:type="dxa"/>
          </w:tblCellMar>
        </w:tblPrEx>
        <w:trPr>
          <w:trHeight w:val="788"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支持不打开案件的情况下，在案件列表上显示不少于3种信息，包括：鉴定意见、案件注释、检材和样本信息等</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软件功能截图</w:t>
            </w:r>
          </w:p>
        </w:tc>
      </w:tr>
      <w:tr>
        <w:tblPrEx>
          <w:tblCellMar>
            <w:top w:w="0" w:type="dxa"/>
            <w:left w:w="108" w:type="dxa"/>
            <w:bottom w:w="0" w:type="dxa"/>
            <w:right w:w="108" w:type="dxa"/>
          </w:tblCellMar>
        </w:tblPrEx>
        <w:trPr>
          <w:trHeight w:val="90"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支持案件操作日志管理，可显示不少于3项操作日志内容，包括：案件名称、操作类型、操作时间等</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软件功能截图</w:t>
            </w:r>
          </w:p>
        </w:tc>
      </w:tr>
      <w:tr>
        <w:tblPrEx>
          <w:tblCellMar>
            <w:top w:w="0" w:type="dxa"/>
            <w:left w:w="108" w:type="dxa"/>
            <w:bottom w:w="0" w:type="dxa"/>
            <w:right w:w="108" w:type="dxa"/>
          </w:tblCellMar>
        </w:tblPrEx>
        <w:trPr>
          <w:trHeight w:val="525"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支持将不少于2种案件的操作步骤，包括导出为Excel文件、选择导出位置等</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软件功能截图</w:t>
            </w:r>
          </w:p>
        </w:tc>
      </w:tr>
      <w:tr>
        <w:tblPrEx>
          <w:tblCellMar>
            <w:top w:w="0" w:type="dxa"/>
            <w:left w:w="108" w:type="dxa"/>
            <w:bottom w:w="0" w:type="dxa"/>
            <w:right w:w="108" w:type="dxa"/>
          </w:tblCellMar>
        </w:tblPrEx>
        <w:trPr>
          <w:trHeight w:val="525"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w:t>
            </w: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支持不少于3种记录改变文件属性的操作，包括：删除、剪切和降噪等，并以列表的形式展示</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检验报告</w:t>
            </w:r>
          </w:p>
        </w:tc>
      </w:tr>
      <w:tr>
        <w:tblPrEx>
          <w:tblCellMar>
            <w:top w:w="0" w:type="dxa"/>
            <w:left w:w="108" w:type="dxa"/>
            <w:bottom w:w="0" w:type="dxa"/>
            <w:right w:w="108" w:type="dxa"/>
          </w:tblCellMar>
        </w:tblPrEx>
        <w:trPr>
          <w:trHeight w:val="1313"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10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标记相关功能要求</w:t>
            </w: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支持对音频文件进行标记，并以单独的标记窗口展示，不同标记窗口彼此不受影响。支持对信号片段、频率值，不同类型信号进行标记。支持单层、多层标记展示，可同时加载展示不少于4个文件的多层标记，每个文件窗口单独操作不受影响</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软件功能截图</w:t>
            </w:r>
          </w:p>
        </w:tc>
      </w:tr>
      <w:tr>
        <w:tblPrEx>
          <w:tblCellMar>
            <w:top w:w="0" w:type="dxa"/>
            <w:left w:w="108" w:type="dxa"/>
            <w:bottom w:w="0" w:type="dxa"/>
            <w:right w:w="108" w:type="dxa"/>
          </w:tblCellMar>
        </w:tblPrEx>
        <w:trPr>
          <w:trHeight w:val="525"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提供不少于5种类型的标记符号，包括：自定义标记、音素、音节、短语和句子等</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软件功能截图</w:t>
            </w:r>
          </w:p>
        </w:tc>
      </w:tr>
      <w:tr>
        <w:tblPrEx>
          <w:tblCellMar>
            <w:top w:w="0" w:type="dxa"/>
            <w:left w:w="108" w:type="dxa"/>
            <w:bottom w:w="0" w:type="dxa"/>
            <w:right w:w="108" w:type="dxa"/>
          </w:tblCellMar>
        </w:tblPrEx>
        <w:trPr>
          <w:trHeight w:val="525"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支持通过标记定位到对应语谱图，支持对语谱图进行不少于4种操作，包括：播放、放大查看、手动调整标记范围、自动保存等</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软件功能截图</w:t>
            </w:r>
          </w:p>
        </w:tc>
      </w:tr>
      <w:tr>
        <w:tblPrEx>
          <w:tblCellMar>
            <w:top w:w="0" w:type="dxa"/>
            <w:left w:w="108" w:type="dxa"/>
            <w:bottom w:w="0" w:type="dxa"/>
            <w:right w:w="108" w:type="dxa"/>
          </w:tblCellMar>
        </w:tblPrEx>
        <w:trPr>
          <w:trHeight w:val="525"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支持不少于4种标记操作，包括：隐藏、显示、修改、删除等。支持标记批量删除和防误删等</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软件功能截图</w:t>
            </w:r>
          </w:p>
        </w:tc>
      </w:tr>
      <w:tr>
        <w:tblPrEx>
          <w:tblCellMar>
            <w:top w:w="0" w:type="dxa"/>
            <w:left w:w="108" w:type="dxa"/>
            <w:bottom w:w="0" w:type="dxa"/>
            <w:right w:w="108" w:type="dxa"/>
          </w:tblCellMar>
        </w:tblPrEx>
        <w:trPr>
          <w:trHeight w:val="525"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支持标记列表不少于3种类型的升降序排序，包括开始时间、结束时间、名称等，支持对标记列表进行搜索</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软件功能截图</w:t>
            </w:r>
          </w:p>
        </w:tc>
      </w:tr>
      <w:tr>
        <w:tblPrEx>
          <w:tblCellMar>
            <w:top w:w="0" w:type="dxa"/>
            <w:left w:w="108" w:type="dxa"/>
            <w:bottom w:w="0" w:type="dxa"/>
            <w:right w:w="108" w:type="dxa"/>
          </w:tblCellMar>
        </w:tblPrEx>
        <w:trPr>
          <w:trHeight w:val="525"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支持不少于5种热键编辑标记方式，包括：快速标记、标记起始左移、标记起始右移、标记结束左移、标记结束右移，标记结果显示在标记列表中</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软件功能截图</w:t>
            </w:r>
          </w:p>
        </w:tc>
      </w:tr>
      <w:tr>
        <w:tblPrEx>
          <w:tblCellMar>
            <w:top w:w="0" w:type="dxa"/>
            <w:left w:w="108" w:type="dxa"/>
            <w:bottom w:w="0" w:type="dxa"/>
            <w:right w:w="108" w:type="dxa"/>
          </w:tblCellMar>
        </w:tblPrEx>
        <w:trPr>
          <w:trHeight w:val="1050"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支持已标记特征音段按顺序排列或对比排列，支持将选定的特征音段合并为一条音频。支持已标记音频导出不少于2种格式的文件，包括：Excel、TextGrid，导出结果应包含标记范围内的单个音频和标记内容</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软件功能截图</w:t>
            </w:r>
          </w:p>
        </w:tc>
      </w:tr>
      <w:tr>
        <w:tblPrEx>
          <w:tblCellMar>
            <w:top w:w="0" w:type="dxa"/>
            <w:left w:w="108" w:type="dxa"/>
            <w:bottom w:w="0" w:type="dxa"/>
            <w:right w:w="108" w:type="dxa"/>
          </w:tblCellMar>
        </w:tblPrEx>
        <w:trPr>
          <w:trHeight w:val="525"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支持标记统计功能，能够自动统计不少于4种类型的标记频次，包括：句子、短语、音节和音素，支持按名称查询标记频次</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软件功能截图</w:t>
            </w:r>
          </w:p>
        </w:tc>
      </w:tr>
      <w:tr>
        <w:tblPrEx>
          <w:tblCellMar>
            <w:top w:w="0" w:type="dxa"/>
            <w:left w:w="108" w:type="dxa"/>
            <w:bottom w:w="0" w:type="dxa"/>
            <w:right w:w="108" w:type="dxa"/>
          </w:tblCellMar>
        </w:tblPrEx>
        <w:trPr>
          <w:trHeight w:val="525"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窗口链接</w:t>
            </w: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支持窗口链接功能，在一个窗口信号上做的调整，能够提供不少于2种链接方式，包括：水平、垂直窗口，可同步显示</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软件功能截图</w:t>
            </w:r>
          </w:p>
        </w:tc>
      </w:tr>
      <w:tr>
        <w:tblPrEx>
          <w:tblCellMar>
            <w:top w:w="0" w:type="dxa"/>
            <w:left w:w="108" w:type="dxa"/>
            <w:bottom w:w="0" w:type="dxa"/>
            <w:right w:w="108" w:type="dxa"/>
          </w:tblCellMar>
        </w:tblPrEx>
        <w:trPr>
          <w:trHeight w:val="788"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10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图谱相关功能要求</w:t>
            </w: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支持不少于3种图谱参数设置，包括：带宽、亮度和对比度等。可通过二维坐标对语谱图的亮度、对比度进行设置，实时查看设置效果。支持将设置结果同步到链接窗口中</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软件功能截图</w:t>
            </w:r>
          </w:p>
        </w:tc>
      </w:tr>
      <w:tr>
        <w:tblPrEx>
          <w:tblCellMar>
            <w:top w:w="0" w:type="dxa"/>
            <w:left w:w="108" w:type="dxa"/>
            <w:bottom w:w="0" w:type="dxa"/>
            <w:right w:w="108" w:type="dxa"/>
          </w:tblCellMar>
        </w:tblPrEx>
        <w:trPr>
          <w:trHeight w:val="1050"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提供不少于10种颜色类型预设方案，包括：灰度图、hot、cool、rainbow、jet、hsv、spring、summer|、autumn和winter等。支持重置为默认设置</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软件功能截图</w:t>
            </w:r>
          </w:p>
        </w:tc>
      </w:tr>
      <w:tr>
        <w:tblPrEx>
          <w:tblCellMar>
            <w:top w:w="0" w:type="dxa"/>
            <w:left w:w="108" w:type="dxa"/>
            <w:bottom w:w="0" w:type="dxa"/>
            <w:right w:w="108" w:type="dxa"/>
          </w:tblCellMar>
        </w:tblPrEx>
        <w:trPr>
          <w:trHeight w:val="270"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w:t>
            </w: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支持将语图参数自定义设置保存为预设方案，提供不少于三套预设方案，包括：默认方案、深色方案、浅色方案等</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检验报告</w:t>
            </w:r>
          </w:p>
        </w:tc>
      </w:tr>
      <w:tr>
        <w:tblPrEx>
          <w:tblCellMar>
            <w:top w:w="0" w:type="dxa"/>
            <w:left w:w="108" w:type="dxa"/>
            <w:bottom w:w="0" w:type="dxa"/>
            <w:right w:w="108" w:type="dxa"/>
          </w:tblCellMar>
        </w:tblPrEx>
        <w:trPr>
          <w:trHeight w:val="525"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支持设置不少于3种参数随音频文件保存，包括：带宽、对比度、亮度等</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软件功能截图</w:t>
            </w:r>
          </w:p>
        </w:tc>
      </w:tr>
      <w:tr>
        <w:tblPrEx>
          <w:tblCellMar>
            <w:top w:w="0" w:type="dxa"/>
            <w:left w:w="108" w:type="dxa"/>
            <w:bottom w:w="0" w:type="dxa"/>
            <w:right w:w="108" w:type="dxa"/>
          </w:tblCellMar>
        </w:tblPrEx>
        <w:trPr>
          <w:trHeight w:val="525"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支持对检材和样本中的不少于3种共振峰特征进行定量检测，包括实时测定共振峰的：中心频率、带宽和强度等</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软件功能截图</w:t>
            </w:r>
          </w:p>
        </w:tc>
      </w:tr>
      <w:tr>
        <w:tblPrEx>
          <w:tblCellMar>
            <w:top w:w="0" w:type="dxa"/>
            <w:left w:w="108" w:type="dxa"/>
            <w:bottom w:w="0" w:type="dxa"/>
            <w:right w:w="108" w:type="dxa"/>
          </w:tblCellMar>
        </w:tblPrEx>
        <w:trPr>
          <w:trHeight w:val="525"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w:t>
            </w: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支持通过不少于6项参数设置，包括：共振峰颜色、线条样式、线条粗细、共振峰条数、能量门限、提取范围等，自动过滤假峰和无效的高频共振峰</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检验报告</w:t>
            </w:r>
          </w:p>
        </w:tc>
      </w:tr>
      <w:tr>
        <w:tblPrEx>
          <w:tblCellMar>
            <w:top w:w="0" w:type="dxa"/>
            <w:left w:w="108" w:type="dxa"/>
            <w:bottom w:w="0" w:type="dxa"/>
            <w:right w:w="108" w:type="dxa"/>
          </w:tblCellMar>
        </w:tblPrEx>
        <w:trPr>
          <w:trHeight w:val="525"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支持创建自相关图，提供不少于3种参数设置图谱，包括对比度、亮度、帧大小等</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软件功能截图</w:t>
            </w:r>
          </w:p>
        </w:tc>
      </w:tr>
      <w:tr>
        <w:tblPrEx>
          <w:tblCellMar>
            <w:top w:w="0" w:type="dxa"/>
            <w:left w:w="108" w:type="dxa"/>
            <w:bottom w:w="0" w:type="dxa"/>
            <w:right w:w="108" w:type="dxa"/>
          </w:tblCellMar>
        </w:tblPrEx>
        <w:trPr>
          <w:trHeight w:val="788"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支持直方图创建与直方图测量功能，可测量和计算不少于6项相关参数，包括：最大值、最小值、中值、重心、标准方差和不对称性等，支持统计基频分布测量</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软件功能截图</w:t>
            </w:r>
          </w:p>
        </w:tc>
      </w:tr>
      <w:tr>
        <w:tblPrEx>
          <w:tblCellMar>
            <w:top w:w="0" w:type="dxa"/>
            <w:left w:w="108" w:type="dxa"/>
            <w:bottom w:w="0" w:type="dxa"/>
            <w:right w:w="108" w:type="dxa"/>
          </w:tblCellMar>
        </w:tblPrEx>
        <w:trPr>
          <w:trHeight w:val="525"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支持自定义语图高级设置。支持不少于5种类型的参数设置包括：窗长、加窗类型、高频提升系数、最大可见频率和颜色类型等</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软件功能截图</w:t>
            </w:r>
          </w:p>
        </w:tc>
      </w:tr>
      <w:tr>
        <w:tblPrEx>
          <w:tblCellMar>
            <w:top w:w="0" w:type="dxa"/>
            <w:left w:w="108" w:type="dxa"/>
            <w:bottom w:w="0" w:type="dxa"/>
            <w:right w:w="108" w:type="dxa"/>
          </w:tblCellMar>
        </w:tblPrEx>
        <w:trPr>
          <w:trHeight w:val="788"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支持不少于3种指标对文件的谱图参数设置，包括：亮度、对比度和高频增强等。提供至少三种预设方案，支持保存当前方案为预设方案</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软件功能截图</w:t>
            </w:r>
          </w:p>
        </w:tc>
      </w:tr>
      <w:tr>
        <w:tblPrEx>
          <w:tblCellMar>
            <w:top w:w="0" w:type="dxa"/>
            <w:left w:w="108" w:type="dxa"/>
            <w:bottom w:w="0" w:type="dxa"/>
            <w:right w:w="108" w:type="dxa"/>
          </w:tblCellMar>
        </w:tblPrEx>
        <w:trPr>
          <w:trHeight w:val="525"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支持不少于5种加窗类型选择，包含：汉明窗、汉宁窗、巴特利特窗、布莱克曼窗和矩形窗等</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软件功能截图</w:t>
            </w:r>
          </w:p>
        </w:tc>
      </w:tr>
      <w:tr>
        <w:tblPrEx>
          <w:tblCellMar>
            <w:top w:w="0" w:type="dxa"/>
            <w:left w:w="108" w:type="dxa"/>
            <w:bottom w:w="0" w:type="dxa"/>
            <w:right w:w="108" w:type="dxa"/>
          </w:tblCellMar>
        </w:tblPrEx>
        <w:trPr>
          <w:trHeight w:val="525"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支持语谱图3D展示，支持光标停留展示，支持不少于3种展示方式包括：自由调整展示视角、放大或缩小展示区域等</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软件功能截图</w:t>
            </w:r>
          </w:p>
        </w:tc>
      </w:tr>
      <w:tr>
        <w:tblPrEx>
          <w:tblCellMar>
            <w:top w:w="0" w:type="dxa"/>
            <w:left w:w="108" w:type="dxa"/>
            <w:bottom w:w="0" w:type="dxa"/>
            <w:right w:w="108" w:type="dxa"/>
          </w:tblCellMar>
        </w:tblPrEx>
        <w:trPr>
          <w:trHeight w:val="525"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10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信号检测</w:t>
            </w: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支持对音频的不少于5项指标进行检测，包括：有效语音时长、混响时长、信噪比、截幅比和噪声时长等</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软件功能截图</w:t>
            </w:r>
          </w:p>
        </w:tc>
      </w:tr>
      <w:tr>
        <w:tblPrEx>
          <w:tblCellMar>
            <w:top w:w="0" w:type="dxa"/>
            <w:left w:w="108" w:type="dxa"/>
            <w:bottom w:w="0" w:type="dxa"/>
            <w:right w:w="108" w:type="dxa"/>
          </w:tblCellMar>
        </w:tblPrEx>
        <w:trPr>
          <w:trHeight w:val="525"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支持对音频的不少于6项指标进行检测，包括：平均能量、说话人个数、MOS值、P.563分值、丢帧数量和削波数量等</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软件功能截图</w:t>
            </w:r>
          </w:p>
        </w:tc>
      </w:tr>
      <w:tr>
        <w:tblPrEx>
          <w:tblCellMar>
            <w:top w:w="0" w:type="dxa"/>
            <w:left w:w="108" w:type="dxa"/>
            <w:bottom w:w="0" w:type="dxa"/>
            <w:right w:w="108" w:type="dxa"/>
          </w:tblCellMar>
        </w:tblPrEx>
        <w:trPr>
          <w:trHeight w:val="1050"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可鉴定性评估</w:t>
            </w: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支持通过不少于4项指标综合评估音频质量（低、中、高），包括：有效语音时长、混响、信噪比和截幅比等，支持检测有效音节数量和共振峰完整性分析，自动判断音频是否具备鉴定条件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软件功能截图</w:t>
            </w:r>
          </w:p>
        </w:tc>
      </w:tr>
      <w:tr>
        <w:tblPrEx>
          <w:tblCellMar>
            <w:top w:w="0" w:type="dxa"/>
            <w:left w:w="108" w:type="dxa"/>
            <w:bottom w:w="0" w:type="dxa"/>
            <w:right w:w="108" w:type="dxa"/>
          </w:tblCellMar>
        </w:tblPrEx>
        <w:trPr>
          <w:trHeight w:val="788"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语音检测</w:t>
            </w: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支持自动检测音频中不少于4种语音类型，包括：蜂鸣音、截幅片段、脉冲噪声和语音片段，并将噪声片段在语图上进行标注。支持在标记组中调整片段间距</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检验报告</w:t>
            </w:r>
          </w:p>
        </w:tc>
      </w:tr>
      <w:tr>
        <w:tblPrEx>
          <w:tblCellMar>
            <w:top w:w="0" w:type="dxa"/>
            <w:left w:w="108" w:type="dxa"/>
            <w:bottom w:w="0" w:type="dxa"/>
            <w:right w:w="108" w:type="dxa"/>
          </w:tblCellMar>
        </w:tblPrEx>
        <w:trPr>
          <w:trHeight w:val="788"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10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话者分离</w:t>
            </w: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支持不少于2种人数识别方式，包括：自动检测音频文件中说话人的数量，和人工设定说话人的数量。支持对不同说话人进行自动标记和分离，最大可分离不少于5人的说话人语音</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软件功能截图</w:t>
            </w:r>
          </w:p>
        </w:tc>
      </w:tr>
      <w:tr>
        <w:tblPrEx>
          <w:tblCellMar>
            <w:top w:w="0" w:type="dxa"/>
            <w:left w:w="108" w:type="dxa"/>
            <w:bottom w:w="0" w:type="dxa"/>
            <w:right w:w="108" w:type="dxa"/>
          </w:tblCellMar>
        </w:tblPrEx>
        <w:trPr>
          <w:trHeight w:val="525"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w:t>
            </w: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支持不少于2项导出功能指标，包括：自动导出以及将每个人的语音文件导出到对应的检材或样本列表中等</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检验报告</w:t>
            </w:r>
          </w:p>
        </w:tc>
      </w:tr>
      <w:tr>
        <w:tblPrEx>
          <w:tblCellMar>
            <w:top w:w="0" w:type="dxa"/>
            <w:left w:w="108" w:type="dxa"/>
            <w:bottom w:w="0" w:type="dxa"/>
            <w:right w:w="108" w:type="dxa"/>
          </w:tblCellMar>
        </w:tblPrEx>
        <w:trPr>
          <w:trHeight w:val="525"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拨号音识别</w:t>
            </w: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支持不少于2项拨号音识别功能指标，包括：将拨号内容转化为数字以及自动标记等</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软件功能截图</w:t>
            </w:r>
          </w:p>
        </w:tc>
      </w:tr>
      <w:tr>
        <w:tblPrEx>
          <w:tblCellMar>
            <w:top w:w="0" w:type="dxa"/>
            <w:left w:w="108" w:type="dxa"/>
            <w:bottom w:w="0" w:type="dxa"/>
            <w:right w:w="108" w:type="dxa"/>
          </w:tblCellMar>
        </w:tblPrEx>
        <w:trPr>
          <w:trHeight w:val="788"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语音转文字</w:t>
            </w: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支持自动语音转文本和音节标注。自动标注和对齐不少于4种类型的内容，包括：音素、音节、短语和句子等。支持将选定的音频区段内容自动转写为文本</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软件功能截图</w:t>
            </w:r>
          </w:p>
        </w:tc>
      </w:tr>
      <w:tr>
        <w:tblPrEx>
          <w:tblCellMar>
            <w:top w:w="0" w:type="dxa"/>
            <w:left w:w="108" w:type="dxa"/>
            <w:bottom w:w="0" w:type="dxa"/>
            <w:right w:w="108" w:type="dxa"/>
          </w:tblCellMar>
        </w:tblPrEx>
        <w:trPr>
          <w:trHeight w:val="525"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10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自动检索匹配</w:t>
            </w: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支持不少于5种检索方式，包括：相邻词检索、多个关键词并行搜索、同音字检索、口音检索和国际音标检索等</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软件功能截图</w:t>
            </w:r>
          </w:p>
        </w:tc>
      </w:tr>
      <w:tr>
        <w:tblPrEx>
          <w:tblCellMar>
            <w:top w:w="0" w:type="dxa"/>
            <w:left w:w="108" w:type="dxa"/>
            <w:bottom w:w="0" w:type="dxa"/>
            <w:right w:w="108" w:type="dxa"/>
          </w:tblCellMar>
        </w:tblPrEx>
        <w:trPr>
          <w:trHeight w:val="525"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支持按不少于4种类型的内容，包括：句子、短语、音节、音素，对样本和检材中的片段进行匹配，并按频次列表展示</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软件功能截图</w:t>
            </w:r>
          </w:p>
        </w:tc>
      </w:tr>
      <w:tr>
        <w:tblPrEx>
          <w:tblCellMar>
            <w:top w:w="0" w:type="dxa"/>
            <w:left w:w="108" w:type="dxa"/>
            <w:bottom w:w="0" w:type="dxa"/>
            <w:right w:w="108" w:type="dxa"/>
          </w:tblCellMar>
        </w:tblPrEx>
        <w:trPr>
          <w:trHeight w:val="525"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支持按不少于3种检索类型进行排序，包括开始时间、结束时间、名称等</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软件功能截图</w:t>
            </w:r>
          </w:p>
        </w:tc>
      </w:tr>
      <w:tr>
        <w:tblPrEx>
          <w:tblCellMar>
            <w:top w:w="0" w:type="dxa"/>
            <w:left w:w="108" w:type="dxa"/>
            <w:bottom w:w="0" w:type="dxa"/>
            <w:right w:w="108" w:type="dxa"/>
          </w:tblCellMar>
        </w:tblPrEx>
        <w:trPr>
          <w:trHeight w:val="788"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w:t>
            </w:r>
          </w:p>
        </w:tc>
        <w:tc>
          <w:tcPr>
            <w:tcW w:w="10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音素推荐</w:t>
            </w: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提供语音片段相似共振峰推荐列表功能，支持将检材和样本中不少于3种的相同片段，包括：短语、单字或韵母，排列在一行，按相似度自动排序</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检验报告</w:t>
            </w:r>
          </w:p>
        </w:tc>
      </w:tr>
      <w:tr>
        <w:tblPrEx>
          <w:tblCellMar>
            <w:top w:w="0" w:type="dxa"/>
            <w:left w:w="108" w:type="dxa"/>
            <w:bottom w:w="0" w:type="dxa"/>
            <w:right w:w="108" w:type="dxa"/>
          </w:tblCellMar>
        </w:tblPrEx>
        <w:trPr>
          <w:trHeight w:val="525"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支持不少于2种相似度阈值参数设置，包括设置范围不小于50%、设置范围不大于100%</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软件功能截图</w:t>
            </w:r>
          </w:p>
        </w:tc>
      </w:tr>
      <w:tr>
        <w:tblPrEx>
          <w:tblCellMar>
            <w:top w:w="0" w:type="dxa"/>
            <w:left w:w="108" w:type="dxa"/>
            <w:bottom w:w="0" w:type="dxa"/>
            <w:right w:w="108" w:type="dxa"/>
          </w:tblCellMar>
        </w:tblPrEx>
        <w:trPr>
          <w:trHeight w:val="525"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支持不少于2项搜索功能指标，包括：按图谱测量设定的共振峰偏差阈值搜索以及搜索结果列表展示等</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软件功能截图</w:t>
            </w:r>
          </w:p>
        </w:tc>
      </w:tr>
      <w:tr>
        <w:tblPrEx>
          <w:tblCellMar>
            <w:top w:w="0" w:type="dxa"/>
            <w:left w:w="108" w:type="dxa"/>
            <w:bottom w:w="0" w:type="dxa"/>
            <w:right w:w="108" w:type="dxa"/>
          </w:tblCellMar>
        </w:tblPrEx>
        <w:trPr>
          <w:trHeight w:val="525"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w:t>
            </w:r>
          </w:p>
        </w:tc>
        <w:tc>
          <w:tcPr>
            <w:tcW w:w="10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自动比对</w:t>
            </w: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支持不少于3种比对模式，包括：1:1/1:N/n:N声纹比对，至少提供3种不同的自动比对算法</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检验报告</w:t>
            </w:r>
          </w:p>
        </w:tc>
      </w:tr>
      <w:tr>
        <w:tblPrEx>
          <w:tblCellMar>
            <w:top w:w="0" w:type="dxa"/>
            <w:left w:w="108" w:type="dxa"/>
            <w:bottom w:w="0" w:type="dxa"/>
            <w:right w:w="108" w:type="dxa"/>
          </w:tblCellMar>
        </w:tblPrEx>
        <w:trPr>
          <w:trHeight w:val="525"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w:t>
            </w: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支持不少于2种片段选择方式，包括：对整个录音文件或从标记组中筛选语音片段进行自动比对</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检验报告</w:t>
            </w:r>
          </w:p>
        </w:tc>
      </w:tr>
      <w:tr>
        <w:tblPrEx>
          <w:tblCellMar>
            <w:top w:w="0" w:type="dxa"/>
            <w:left w:w="108" w:type="dxa"/>
            <w:bottom w:w="0" w:type="dxa"/>
            <w:right w:w="108" w:type="dxa"/>
          </w:tblCellMar>
        </w:tblPrEx>
        <w:trPr>
          <w:trHeight w:val="788"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w:t>
            </w: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支持对最短不超过2s的有效语音时长片段进行自动比对，给出不少于5项比对结果信息，包括错误接收率、错误拒绝率、相似度、似然率值和可能性等级判别结果等</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检验报告</w:t>
            </w:r>
          </w:p>
        </w:tc>
      </w:tr>
      <w:tr>
        <w:tblPrEx>
          <w:tblCellMar>
            <w:top w:w="0" w:type="dxa"/>
            <w:left w:w="108" w:type="dxa"/>
            <w:bottom w:w="0" w:type="dxa"/>
            <w:right w:w="108" w:type="dxa"/>
          </w:tblCellMar>
        </w:tblPrEx>
        <w:trPr>
          <w:trHeight w:val="525"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支持将比对结果保存到比对历史记录，比对历史记录支持按案件维度展示。提供不少于7项内容，包括：案件名称、音频名称、比对算法、匹配概率、似然率、操作时间、详情等</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软件功能截图</w:t>
            </w:r>
          </w:p>
        </w:tc>
      </w:tr>
      <w:tr>
        <w:tblPrEx>
          <w:tblCellMar>
            <w:top w:w="0" w:type="dxa"/>
            <w:left w:w="108" w:type="dxa"/>
            <w:bottom w:w="0" w:type="dxa"/>
            <w:right w:w="108" w:type="dxa"/>
          </w:tblCellMar>
        </w:tblPrEx>
        <w:trPr>
          <w:trHeight w:val="788"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本地比对</w:t>
            </w: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支持在不新建案件的情况下，以创建任务的方式选择不少于2种导入方式，包括文件或文件夹等，进行快速的本地比对，比对结果自动保存到本地比对历史记录</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软件功能截图</w:t>
            </w:r>
          </w:p>
        </w:tc>
      </w:tr>
      <w:tr>
        <w:tblPrEx>
          <w:tblCellMar>
            <w:top w:w="0" w:type="dxa"/>
            <w:left w:w="108" w:type="dxa"/>
            <w:bottom w:w="0" w:type="dxa"/>
            <w:right w:w="108" w:type="dxa"/>
          </w:tblCellMar>
        </w:tblPrEx>
        <w:trPr>
          <w:trHeight w:val="525"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相似音素</w:t>
            </w: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提供相似音素(以图搜图)功能，支持在指定窗口中搜索出相似片段，并用列表展示相似度不低于50%的片段，，输出结果不少于3项内容，包括：相似度、开始时间、结束时间等</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软件功能截图</w:t>
            </w:r>
          </w:p>
        </w:tc>
      </w:tr>
      <w:tr>
        <w:tblPrEx>
          <w:tblCellMar>
            <w:top w:w="0" w:type="dxa"/>
            <w:left w:w="108" w:type="dxa"/>
            <w:bottom w:w="0" w:type="dxa"/>
            <w:right w:w="108" w:type="dxa"/>
          </w:tblCellMar>
        </w:tblPrEx>
        <w:trPr>
          <w:trHeight w:val="1050"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10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声学画布相关功能要求</w:t>
            </w: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支持从不少于3种类型的列表导入，包括：标记列表、自动匹配列表和音素推荐列表等，挑选音节或音素片段添加到声学画布窗口集中显示。支持人工选区，将语谱图上的语音片段添加到声学画布。能够对检材和样本进行区分展示</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软件功能截图</w:t>
            </w:r>
          </w:p>
        </w:tc>
      </w:tr>
      <w:tr>
        <w:tblPrEx>
          <w:tblCellMar>
            <w:top w:w="0" w:type="dxa"/>
            <w:left w:w="108" w:type="dxa"/>
            <w:bottom w:w="0" w:type="dxa"/>
            <w:right w:w="108" w:type="dxa"/>
          </w:tblCellMar>
        </w:tblPrEx>
        <w:trPr>
          <w:trHeight w:val="525"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支持不少于2种添加方式，包括：单个、批量等，支持一键清空全部画布内容等操作</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软件功能截图</w:t>
            </w:r>
          </w:p>
        </w:tc>
      </w:tr>
      <w:tr>
        <w:tblPrEx>
          <w:tblCellMar>
            <w:top w:w="0" w:type="dxa"/>
            <w:left w:w="108" w:type="dxa"/>
            <w:bottom w:w="0" w:type="dxa"/>
            <w:right w:w="108" w:type="dxa"/>
          </w:tblCellMar>
        </w:tblPrEx>
        <w:trPr>
          <w:trHeight w:val="525"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支持对画布上的语音片段进行共振峰频率值测量，并显示不少于3种信息，包括：时间、频率和能量等</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软件功能截图</w:t>
            </w:r>
          </w:p>
        </w:tc>
      </w:tr>
      <w:tr>
        <w:tblPrEx>
          <w:tblCellMar>
            <w:top w:w="0" w:type="dxa"/>
            <w:left w:w="108" w:type="dxa"/>
            <w:bottom w:w="0" w:type="dxa"/>
            <w:right w:w="108" w:type="dxa"/>
          </w:tblCellMar>
        </w:tblPrEx>
        <w:trPr>
          <w:trHeight w:val="525"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w:t>
            </w: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支持不少于2项声学画布操作功能指标，包括：对画布上的全部语音片段窗口进行光标联动操作、点击画布上的音频片段可自动定位到对应的语谱图等</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检验报告</w:t>
            </w:r>
          </w:p>
        </w:tc>
      </w:tr>
      <w:tr>
        <w:tblPrEx>
          <w:tblCellMar>
            <w:top w:w="0" w:type="dxa"/>
            <w:left w:w="108" w:type="dxa"/>
            <w:bottom w:w="0" w:type="dxa"/>
            <w:right w:w="108" w:type="dxa"/>
          </w:tblCellMar>
        </w:tblPrEx>
        <w:trPr>
          <w:trHeight w:val="90"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w:t>
            </w: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支持在画布上展示片段图谱，每个片段均标识出起止时间点和时长，提供不少于3种尺寸选项，包括：大、中、小等</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检验报告</w:t>
            </w:r>
          </w:p>
        </w:tc>
      </w:tr>
      <w:tr>
        <w:tblPrEx>
          <w:tblCellMar>
            <w:top w:w="0" w:type="dxa"/>
            <w:left w:w="108" w:type="dxa"/>
            <w:bottom w:w="0" w:type="dxa"/>
            <w:right w:w="108" w:type="dxa"/>
          </w:tblCellMar>
        </w:tblPrEx>
        <w:trPr>
          <w:trHeight w:val="525"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w:t>
            </w: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支持不少于2项声学画布操作功能指标，包括：支持画布上片段的拖动调整排列位置、提供默认位置排列选项及辅助线显示/取消功能等</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检验报告</w:t>
            </w:r>
          </w:p>
        </w:tc>
      </w:tr>
      <w:tr>
        <w:tblPrEx>
          <w:tblCellMar>
            <w:top w:w="0" w:type="dxa"/>
            <w:left w:w="108" w:type="dxa"/>
            <w:bottom w:w="0" w:type="dxa"/>
            <w:right w:w="108" w:type="dxa"/>
          </w:tblCellMar>
        </w:tblPrEx>
        <w:trPr>
          <w:trHeight w:val="525"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支持对声学画布中的语图进行不少于3种操作方式，包括：缩放、左移动和右移动等</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软件功能截图</w:t>
            </w:r>
          </w:p>
        </w:tc>
      </w:tr>
      <w:tr>
        <w:tblPrEx>
          <w:tblCellMar>
            <w:top w:w="0" w:type="dxa"/>
            <w:left w:w="108" w:type="dxa"/>
            <w:bottom w:w="0" w:type="dxa"/>
            <w:right w:w="108" w:type="dxa"/>
          </w:tblCellMar>
        </w:tblPrEx>
        <w:trPr>
          <w:trHeight w:val="525"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w:t>
            </w: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支持对声学画布中的语图进行高频增强设置、并可在不少于3种采样率之间切换可视范围，包括：4k、6k、8k等</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检验报告</w:t>
            </w:r>
          </w:p>
        </w:tc>
      </w:tr>
      <w:tr>
        <w:tblPrEx>
          <w:tblCellMar>
            <w:top w:w="0" w:type="dxa"/>
            <w:left w:w="108" w:type="dxa"/>
            <w:bottom w:w="0" w:type="dxa"/>
            <w:right w:w="108" w:type="dxa"/>
          </w:tblCellMar>
        </w:tblPrEx>
        <w:trPr>
          <w:trHeight w:val="525"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支持对声学画布中的语图进行不少于3种设置操作，包括宽带、窄带和显示共振峰轨迹等</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软件功能截图</w:t>
            </w:r>
          </w:p>
        </w:tc>
      </w:tr>
      <w:tr>
        <w:tblPrEx>
          <w:tblCellMar>
            <w:top w:w="0" w:type="dxa"/>
            <w:left w:w="108" w:type="dxa"/>
            <w:bottom w:w="0" w:type="dxa"/>
            <w:right w:w="108" w:type="dxa"/>
          </w:tblCellMar>
        </w:tblPrEx>
        <w:trPr>
          <w:trHeight w:val="788"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10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共振峰频谱测量</w:t>
            </w: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支持对检验片段的共振峰语图和频谱曲线进行显示，并自动计算不少于4项共振峰参数，包括开始位置、频率、带宽和强度等值</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软件功能截图</w:t>
            </w:r>
          </w:p>
        </w:tc>
      </w:tr>
      <w:tr>
        <w:tblPrEx>
          <w:tblCellMar>
            <w:top w:w="0" w:type="dxa"/>
            <w:left w:w="108" w:type="dxa"/>
            <w:bottom w:w="0" w:type="dxa"/>
            <w:right w:w="108" w:type="dxa"/>
          </w:tblCellMar>
        </w:tblPrEx>
        <w:trPr>
          <w:trHeight w:val="525"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支持瞬时功率谱测量功能，提供不少于3项测量指标，包括：频率、带宽、强度等</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软件功能截图</w:t>
            </w:r>
          </w:p>
        </w:tc>
      </w:tr>
      <w:tr>
        <w:tblPrEx>
          <w:tblCellMar>
            <w:top w:w="0" w:type="dxa"/>
            <w:left w:w="108" w:type="dxa"/>
            <w:bottom w:w="0" w:type="dxa"/>
            <w:right w:w="108" w:type="dxa"/>
          </w:tblCellMar>
        </w:tblPrEx>
        <w:trPr>
          <w:trHeight w:val="525"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支持在图谱测量窗口，标记和显示不少于10项男/女典型元音共振峰频率参考值，包括：a、o、e、i、u、zi、zhi、ci、chi、v等</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软件功能截图</w:t>
            </w:r>
          </w:p>
        </w:tc>
      </w:tr>
      <w:tr>
        <w:tblPrEx>
          <w:tblCellMar>
            <w:top w:w="0" w:type="dxa"/>
            <w:left w:w="108" w:type="dxa"/>
            <w:bottom w:w="0" w:type="dxa"/>
            <w:right w:w="108" w:type="dxa"/>
          </w:tblCellMar>
        </w:tblPrEx>
        <w:trPr>
          <w:trHeight w:val="788"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10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共振峰量化比较</w:t>
            </w: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支持对特征音段进行不少于2种比对方式，包括：1:1或m:n比对等，比对结果生成量化特征表，包含比较音段的共振峰频谱特征参数（如：频率、带宽和强度等）以及参数的偏差值和偏差比例</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软件功能截图</w:t>
            </w:r>
          </w:p>
        </w:tc>
      </w:tr>
      <w:tr>
        <w:tblPrEx>
          <w:tblCellMar>
            <w:top w:w="0" w:type="dxa"/>
            <w:left w:w="108" w:type="dxa"/>
            <w:bottom w:w="0" w:type="dxa"/>
            <w:right w:w="108" w:type="dxa"/>
          </w:tblCellMar>
        </w:tblPrEx>
        <w:trPr>
          <w:trHeight w:val="525"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共振峰量化比较结果自动生成数据表格，支持不少于3种导出方式，包括数据可复制、截图或导出excel文件</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软件功能截图</w:t>
            </w:r>
          </w:p>
        </w:tc>
      </w:tr>
      <w:tr>
        <w:tblPrEx>
          <w:tblCellMar>
            <w:top w:w="0" w:type="dxa"/>
            <w:left w:w="108" w:type="dxa"/>
            <w:bottom w:w="0" w:type="dxa"/>
            <w:right w:w="108" w:type="dxa"/>
          </w:tblCellMar>
        </w:tblPrEx>
        <w:trPr>
          <w:trHeight w:val="788"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偏差统计</w:t>
            </w: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支持不少于2项偏差统计指标，包括：对选择的音素进行偏差统计并自动计算所选音素的偏差统计值、统计结果包括所选音素的每条共振峰的偏差比例等</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软件功能截图</w:t>
            </w:r>
          </w:p>
        </w:tc>
      </w:tr>
      <w:tr>
        <w:tblPrEx>
          <w:tblCellMar>
            <w:top w:w="0" w:type="dxa"/>
            <w:left w:w="108" w:type="dxa"/>
            <w:bottom w:w="0" w:type="dxa"/>
            <w:right w:w="108" w:type="dxa"/>
          </w:tblCellMar>
        </w:tblPrEx>
        <w:trPr>
          <w:trHeight w:val="525"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w:t>
            </w:r>
          </w:p>
        </w:tc>
        <w:tc>
          <w:tcPr>
            <w:tcW w:w="10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基频测量</w:t>
            </w: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支持对基频曲线不少于4项参数进行测量，包括：最小频率、中心频率、最大频率及能量等</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检验报告</w:t>
            </w:r>
          </w:p>
        </w:tc>
      </w:tr>
      <w:tr>
        <w:tblPrEx>
          <w:tblCellMar>
            <w:top w:w="0" w:type="dxa"/>
            <w:left w:w="108" w:type="dxa"/>
            <w:bottom w:w="0" w:type="dxa"/>
            <w:right w:w="108" w:type="dxa"/>
          </w:tblCellMar>
        </w:tblPrEx>
        <w:trPr>
          <w:trHeight w:val="525"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w:t>
            </w: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支持对不少于2种类型的语音片段的基频均值进行测量，包括：检材、样本等，计算发音区间的基频均值变化</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检验报告</w:t>
            </w:r>
          </w:p>
        </w:tc>
      </w:tr>
      <w:tr>
        <w:tblPrEx>
          <w:tblCellMar>
            <w:top w:w="0" w:type="dxa"/>
            <w:left w:w="108" w:type="dxa"/>
            <w:bottom w:w="0" w:type="dxa"/>
            <w:right w:w="108" w:type="dxa"/>
          </w:tblCellMar>
        </w:tblPrEx>
        <w:trPr>
          <w:trHeight w:val="788"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听觉量化比对</w:t>
            </w: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支持对发音特征的不少于7个向量特征和29个分析项特征进行人工打分，生成分析项雷达图或向量雷达图，打分结果生成《听觉量化分析表》并支持导出</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软件功能截图</w:t>
            </w:r>
          </w:p>
        </w:tc>
      </w:tr>
      <w:tr>
        <w:tblPrEx>
          <w:tblCellMar>
            <w:top w:w="0" w:type="dxa"/>
            <w:left w:w="108" w:type="dxa"/>
            <w:bottom w:w="0" w:type="dxa"/>
            <w:right w:w="108" w:type="dxa"/>
          </w:tblCellMar>
        </w:tblPrEx>
        <w:trPr>
          <w:trHeight w:val="525"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10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降噪模块</w:t>
            </w: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支持不少于8个降噪模块，包括：深度神经网络降噪、智能增益、能量调整、维纳滤波降噪、采样降噪、宽带降噪、音调干扰抑制、反向滤波降噪等</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软件功能截图</w:t>
            </w:r>
          </w:p>
        </w:tc>
      </w:tr>
      <w:tr>
        <w:tblPrEx>
          <w:tblCellMar>
            <w:top w:w="0" w:type="dxa"/>
            <w:left w:w="108" w:type="dxa"/>
            <w:bottom w:w="0" w:type="dxa"/>
            <w:right w:w="108" w:type="dxa"/>
          </w:tblCellMar>
        </w:tblPrEx>
        <w:trPr>
          <w:trHeight w:val="525"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深度神经网络降噪算法：支持一键神经网络降噪功能。提供不少于3种处理区间方式，包括：选定区域、窗口中可见或完整信号等</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软件功能截图</w:t>
            </w:r>
          </w:p>
        </w:tc>
      </w:tr>
      <w:tr>
        <w:tblPrEx>
          <w:tblCellMar>
            <w:top w:w="0" w:type="dxa"/>
            <w:left w:w="108" w:type="dxa"/>
            <w:bottom w:w="0" w:type="dxa"/>
            <w:right w:w="108" w:type="dxa"/>
          </w:tblCellMar>
        </w:tblPrEx>
        <w:trPr>
          <w:trHeight w:val="525"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智能增益：提供不少于3种处理区间方式，包括：选定区域、窗口中可见或完整信号等。支持0-100%范围可调</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软件功能截图</w:t>
            </w:r>
          </w:p>
        </w:tc>
      </w:tr>
      <w:tr>
        <w:tblPrEx>
          <w:tblCellMar>
            <w:top w:w="0" w:type="dxa"/>
            <w:left w:w="108" w:type="dxa"/>
            <w:bottom w:w="0" w:type="dxa"/>
            <w:right w:w="108" w:type="dxa"/>
          </w:tblCellMar>
        </w:tblPrEx>
        <w:trPr>
          <w:trHeight w:val="525"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w:t>
            </w: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能量调整：提供不少于3种处理区间方式，包括：选定区域、窗口中可见或完整信号等。支持-20至20dB范围内自定义调节增益参数</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检验报告</w:t>
            </w:r>
          </w:p>
        </w:tc>
      </w:tr>
      <w:tr>
        <w:tblPrEx>
          <w:tblCellMar>
            <w:top w:w="0" w:type="dxa"/>
            <w:left w:w="108" w:type="dxa"/>
            <w:bottom w:w="0" w:type="dxa"/>
            <w:right w:w="108" w:type="dxa"/>
          </w:tblCellMar>
        </w:tblPrEx>
        <w:trPr>
          <w:trHeight w:val="525"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维纳滤波降噪：提供不少于4个降噪等级可选项，包括：极强、强、中和弱等</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软件功能截图</w:t>
            </w:r>
          </w:p>
        </w:tc>
      </w:tr>
      <w:tr>
        <w:tblPrEx>
          <w:tblCellMar>
            <w:top w:w="0" w:type="dxa"/>
            <w:left w:w="108" w:type="dxa"/>
            <w:bottom w:w="0" w:type="dxa"/>
            <w:right w:w="108" w:type="dxa"/>
          </w:tblCellMar>
        </w:tblPrEx>
        <w:trPr>
          <w:trHeight w:val="525"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采样降噪：提供不少于3种处理区间方式，包括：选定区域、窗口中可见或完整信号等。支持对音频中的噪声进行标记，可根据标记内容对音频中的相同噪声进行谱减</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软件功能截图</w:t>
            </w:r>
          </w:p>
        </w:tc>
      </w:tr>
      <w:tr>
        <w:tblPrEx>
          <w:tblCellMar>
            <w:top w:w="0" w:type="dxa"/>
            <w:left w:w="108" w:type="dxa"/>
            <w:bottom w:w="0" w:type="dxa"/>
            <w:right w:w="108" w:type="dxa"/>
          </w:tblCellMar>
        </w:tblPrEx>
        <w:trPr>
          <w:trHeight w:val="525"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w:t>
            </w: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宽带降噪：提供不少于3种处理区间方式，包括：选定区域、窗口中可见或完整信号等。可自动抑制宽带和周期性噪声，抑制深度0~40dB范围可调，自适应时间在0.2s~2s范围可调</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检验报告</w:t>
            </w:r>
          </w:p>
        </w:tc>
      </w:tr>
      <w:tr>
        <w:tblPrEx>
          <w:tblCellMar>
            <w:top w:w="0" w:type="dxa"/>
            <w:left w:w="108" w:type="dxa"/>
            <w:bottom w:w="0" w:type="dxa"/>
            <w:right w:w="108" w:type="dxa"/>
          </w:tblCellMar>
        </w:tblPrEx>
        <w:trPr>
          <w:trHeight w:val="525"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w:t>
            </w: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音调干扰抑制：提供不少于3种处理区间方式，包括：选定区域、窗口中可见或完整信号等。可自动处理窄带干扰和音调脉冲，帧大小256~2048范围可调</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检验报告</w:t>
            </w:r>
          </w:p>
        </w:tc>
      </w:tr>
      <w:tr>
        <w:tblPrEx>
          <w:tblCellMar>
            <w:top w:w="0" w:type="dxa"/>
            <w:left w:w="108" w:type="dxa"/>
            <w:bottom w:w="0" w:type="dxa"/>
            <w:right w:w="108" w:type="dxa"/>
          </w:tblCellMar>
        </w:tblPrEx>
        <w:trPr>
          <w:trHeight w:val="788"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w:t>
            </w: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反向滤波降噪：提供不少于3种处理区间方式，包括：选定区域、窗口中可见或完整信号等。抑制谱调节1dB~40dB范围可调，放大谱调节0dB~50dB范围可调，支持设置不同帧值进行频谱校正调节</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检验报告</w:t>
            </w:r>
          </w:p>
        </w:tc>
      </w:tr>
      <w:tr>
        <w:tblPrEx>
          <w:tblCellMar>
            <w:top w:w="0" w:type="dxa"/>
            <w:left w:w="108" w:type="dxa"/>
            <w:bottom w:w="0" w:type="dxa"/>
            <w:right w:w="108" w:type="dxa"/>
          </w:tblCellMar>
        </w:tblPrEx>
        <w:trPr>
          <w:trHeight w:val="525"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10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录音真实性检验模块</w:t>
            </w: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频域折痕检测：支持对录音信号进行不少于2种数字处理检测，包括：重采样、异源音频插入等，给出检测结果</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软件功能截图</w:t>
            </w:r>
          </w:p>
        </w:tc>
      </w:tr>
      <w:tr>
        <w:tblPrEx>
          <w:tblCellMar>
            <w:top w:w="0" w:type="dxa"/>
            <w:left w:w="108" w:type="dxa"/>
            <w:bottom w:w="0" w:type="dxa"/>
            <w:right w:w="108" w:type="dxa"/>
          </w:tblCellMar>
        </w:tblPrEx>
        <w:trPr>
          <w:trHeight w:val="1313"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背景音一致性检测：支持不少于2种背景音检测，包括设备本底噪声和背景噪声自动扫描功能，检测录音信号背景音是否突然变化，判断录音信号是否被篡改；支持对选区进行背景环境噪音分析，判断语音是否存在频域的能量突变点，并对拼接点或编辑点进行标记和显示</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软件功能截图</w:t>
            </w:r>
          </w:p>
        </w:tc>
      </w:tr>
      <w:tr>
        <w:tblPrEx>
          <w:tblCellMar>
            <w:top w:w="0" w:type="dxa"/>
            <w:left w:w="108" w:type="dxa"/>
            <w:bottom w:w="0" w:type="dxa"/>
            <w:right w:w="108" w:type="dxa"/>
          </w:tblCellMar>
        </w:tblPrEx>
        <w:trPr>
          <w:trHeight w:val="788"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重复片段检测：支持对片段进行不少于2种设置，包括：相似度阈值和检索片段时长等。支持音节级片段复制插入篡改检测，将疑似复制片段以列表形式输出并在声谱图上标记</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软件功能截图</w:t>
            </w:r>
          </w:p>
        </w:tc>
      </w:tr>
      <w:tr>
        <w:tblPrEx>
          <w:tblCellMar>
            <w:top w:w="0" w:type="dxa"/>
            <w:left w:w="108" w:type="dxa"/>
            <w:bottom w:w="0" w:type="dxa"/>
            <w:right w:w="108" w:type="dxa"/>
          </w:tblCellMar>
        </w:tblPrEx>
        <w:trPr>
          <w:trHeight w:val="1050"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异常静音段检测：支持对不少于3种参数进行设置，包括：符合范围最小数、采样范围和处理区间等，检测录音文件中的异常静音片段，并将疑似异常静音片段标记在语谱图上，输出可疑点结果列表</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软件功能截图</w:t>
            </w:r>
          </w:p>
        </w:tc>
      </w:tr>
      <w:tr>
        <w:tblPrEx>
          <w:tblCellMar>
            <w:top w:w="0" w:type="dxa"/>
            <w:left w:w="108" w:type="dxa"/>
            <w:bottom w:w="0" w:type="dxa"/>
            <w:right w:w="108" w:type="dxa"/>
          </w:tblCellMar>
        </w:tblPrEx>
        <w:trPr>
          <w:trHeight w:val="1050"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语音人身分析模块</w:t>
            </w: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支持对导入音频进行不少于3类信息进行自动显示，包括：语种、性别和年龄段（至少包括：少年、中年、老年和未知）等；支持通过听辨填写语音人身不少于9种内容：包括：国籍、民族、籍贯、文化程度、职业、方言、身高、体态和情绪等</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软件功能截图</w:t>
            </w:r>
          </w:p>
        </w:tc>
      </w:tr>
      <w:tr>
        <w:tblPrEx>
          <w:tblCellMar>
            <w:top w:w="0" w:type="dxa"/>
            <w:left w:w="108" w:type="dxa"/>
            <w:bottom w:w="0" w:type="dxa"/>
            <w:right w:w="108" w:type="dxa"/>
          </w:tblCellMar>
        </w:tblPrEx>
        <w:trPr>
          <w:trHeight w:val="1050" w:hRule="atLeast"/>
          <w:jc w:val="center"/>
        </w:trPr>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76"/>
              <w:numPr>
                <w:ilvl w:val="0"/>
                <w:numId w:val="91"/>
              </w:numPr>
              <w:contextualSpacing w:val="0"/>
              <w:jc w:val="center"/>
              <w:textAlignment w:val="center"/>
              <w:rPr>
                <w:rFonts w:ascii="Times New Roman" w:hAnsi="Times New Roman" w:eastAsia="宋体"/>
                <w:szCs w:val="21"/>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宋体"/>
                <w:szCs w:val="21"/>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Times New Roman" w:hAnsi="Times New Roman" w:eastAsia="宋体"/>
                <w:szCs w:val="21"/>
              </w:rPr>
            </w:pPr>
            <w:r>
              <w:rPr>
                <w:rFonts w:hint="eastAsia" w:ascii="Times New Roman" w:hAnsi="Times New Roman" w:eastAsia="宋体"/>
                <w:kern w:val="0"/>
                <w:szCs w:val="21"/>
                <w:lang w:bidi="ar"/>
              </w:rPr>
              <w:t>兼容性</w:t>
            </w:r>
          </w:p>
        </w:tc>
        <w:tc>
          <w:tcPr>
            <w:tcW w:w="568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支持至少2种国产信创组件，包括：麒麟操作系统、海光处理器等</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Times New Roman" w:hAnsi="Times New Roman" w:eastAsia="宋体"/>
                <w:szCs w:val="21"/>
              </w:rPr>
            </w:pPr>
            <w:r>
              <w:rPr>
                <w:rFonts w:hint="eastAsia" w:ascii="Times New Roman" w:hAnsi="Times New Roman" w:eastAsia="宋体"/>
                <w:kern w:val="0"/>
                <w:szCs w:val="21"/>
                <w:lang w:bidi="ar"/>
              </w:rPr>
              <w:t>与国产信创产品兼容性互认证材料</w:t>
            </w:r>
          </w:p>
        </w:tc>
      </w:tr>
    </w:tbl>
    <w:p>
      <w:pPr>
        <w:pStyle w:val="5"/>
        <w:spacing w:before="15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第1</w:t>
      </w:r>
      <w:r>
        <w:rPr>
          <w:rFonts w:asciiTheme="minorEastAsia" w:hAnsiTheme="minorEastAsia" w:eastAsiaTheme="minorEastAsia" w:cstheme="minorEastAsia"/>
          <w:szCs w:val="21"/>
        </w:rPr>
        <w:t>0</w:t>
      </w:r>
      <w:r>
        <w:rPr>
          <w:rFonts w:hint="eastAsia" w:asciiTheme="minorEastAsia" w:hAnsiTheme="minorEastAsia" w:eastAsiaTheme="minorEastAsia" w:cstheme="minorEastAsia"/>
          <w:szCs w:val="21"/>
        </w:rPr>
        <w:t>包 声纹工作站</w:t>
      </w:r>
      <w:r>
        <w:rPr>
          <w:color w:val="000000"/>
          <w:kern w:val="0"/>
          <w:szCs w:val="21"/>
          <w:lang w:val="en-US" w:bidi="ar"/>
        </w:rPr>
        <w:t>Ⅱ</w:t>
      </w:r>
    </w:p>
    <w:tbl>
      <w:tblPr>
        <w:tblStyle w:val="8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
        <w:gridCol w:w="522"/>
        <w:gridCol w:w="968"/>
        <w:gridCol w:w="6336"/>
        <w:gridCol w:w="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0" w:type="auto"/>
            <w:vAlign w:val="center"/>
          </w:tcPr>
          <w:p>
            <w:pPr>
              <w:jc w:val="center"/>
              <w:rPr>
                <w:rFonts w:ascii="Times New Roman" w:hAnsi="Times New Roman" w:eastAsia="宋体"/>
                <w:b/>
                <w:szCs w:val="21"/>
              </w:rPr>
            </w:pPr>
            <w:r>
              <w:rPr>
                <w:rFonts w:ascii="Times New Roman" w:hAnsi="Times New Roman" w:eastAsia="宋体"/>
                <w:b/>
                <w:szCs w:val="21"/>
              </w:rPr>
              <w:t>序号</w:t>
            </w:r>
          </w:p>
        </w:tc>
        <w:tc>
          <w:tcPr>
            <w:tcW w:w="0" w:type="auto"/>
            <w:vAlign w:val="center"/>
          </w:tcPr>
          <w:p>
            <w:pPr>
              <w:jc w:val="center"/>
              <w:rPr>
                <w:rFonts w:ascii="Times New Roman" w:hAnsi="Times New Roman" w:eastAsia="宋体"/>
                <w:b/>
                <w:szCs w:val="21"/>
              </w:rPr>
            </w:pPr>
            <w:r>
              <w:rPr>
                <w:rFonts w:ascii="Times New Roman" w:hAnsi="Times New Roman" w:eastAsia="宋体"/>
                <w:b/>
                <w:szCs w:val="21"/>
              </w:rPr>
              <w:t>重要性</w:t>
            </w:r>
          </w:p>
        </w:tc>
        <w:tc>
          <w:tcPr>
            <w:tcW w:w="0" w:type="auto"/>
            <w:vAlign w:val="center"/>
          </w:tcPr>
          <w:p>
            <w:pPr>
              <w:jc w:val="center"/>
              <w:rPr>
                <w:rFonts w:ascii="Times New Roman" w:hAnsi="Times New Roman" w:eastAsia="宋体"/>
                <w:b/>
                <w:szCs w:val="21"/>
              </w:rPr>
            </w:pPr>
            <w:r>
              <w:rPr>
                <w:rFonts w:ascii="Times New Roman" w:hAnsi="Times New Roman" w:eastAsia="宋体"/>
                <w:b/>
                <w:szCs w:val="21"/>
              </w:rPr>
              <w:t>指标项</w:t>
            </w:r>
          </w:p>
        </w:tc>
        <w:tc>
          <w:tcPr>
            <w:tcW w:w="0" w:type="auto"/>
            <w:vAlign w:val="center"/>
          </w:tcPr>
          <w:p>
            <w:pPr>
              <w:jc w:val="center"/>
              <w:rPr>
                <w:rFonts w:ascii="Times New Roman" w:hAnsi="Times New Roman" w:eastAsia="宋体"/>
                <w:b/>
                <w:szCs w:val="21"/>
              </w:rPr>
            </w:pPr>
            <w:r>
              <w:rPr>
                <w:rFonts w:hint="eastAsia" w:ascii="Times New Roman" w:hAnsi="Times New Roman" w:eastAsia="宋体"/>
                <w:b/>
                <w:szCs w:val="21"/>
              </w:rPr>
              <w:t>指标</w:t>
            </w:r>
            <w:r>
              <w:rPr>
                <w:rFonts w:ascii="Times New Roman" w:hAnsi="Times New Roman" w:eastAsia="宋体"/>
                <w:b/>
                <w:szCs w:val="21"/>
              </w:rPr>
              <w:t>要求</w:t>
            </w:r>
          </w:p>
        </w:tc>
        <w:tc>
          <w:tcPr>
            <w:tcW w:w="0" w:type="auto"/>
            <w:vAlign w:val="center"/>
          </w:tcPr>
          <w:p>
            <w:pPr>
              <w:jc w:val="center"/>
              <w:rPr>
                <w:rFonts w:ascii="Times New Roman" w:hAnsi="Times New Roman" w:eastAsia="宋体"/>
                <w:b/>
                <w:szCs w:val="21"/>
              </w:rPr>
            </w:pPr>
            <w:r>
              <w:rPr>
                <w:rFonts w:ascii="Times New Roman" w:hAnsi="Times New Roman" w:eastAsia="宋体"/>
                <w:b/>
                <w:szCs w:val="21"/>
              </w:rPr>
              <w:t>证明材料</w:t>
            </w:r>
            <w:r>
              <w:rPr>
                <w:rFonts w:hint="eastAsia" w:ascii="Times New Roman" w:hAnsi="Times New Roman" w:eastAsia="宋体"/>
                <w:b/>
                <w:szCs w:val="21"/>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center"/>
          </w:tcPr>
          <w:p>
            <w:pPr>
              <w:numPr>
                <w:ilvl w:val="0"/>
                <w:numId w:val="92"/>
              </w:numPr>
              <w:jc w:val="center"/>
              <w:rPr>
                <w:rFonts w:ascii="Times New Roman" w:hAnsi="Times New Roman" w:eastAsia="宋体" w:cs="Segoe UI Symbol"/>
                <w:bCs/>
                <w:szCs w:val="21"/>
                <w:lang w:val="en-US"/>
              </w:rPr>
            </w:pPr>
          </w:p>
        </w:tc>
        <w:tc>
          <w:tcPr>
            <w:tcW w:w="0" w:type="auto"/>
            <w:vAlign w:val="center"/>
          </w:tcPr>
          <w:p>
            <w:pPr>
              <w:jc w:val="center"/>
              <w:rPr>
                <w:rFonts w:ascii="Times New Roman" w:hAnsi="Times New Roman" w:eastAsia="宋体" w:cs="Segoe UI Symbol"/>
                <w:bCs/>
                <w:szCs w:val="21"/>
                <w:lang w:val="en-US"/>
              </w:rPr>
            </w:pPr>
            <w:r>
              <w:rPr>
                <w:rFonts w:hint="eastAsia" w:ascii="宋体" w:hAnsi="宋体" w:eastAsia="宋体"/>
                <w:kern w:val="0"/>
                <w:lang w:val="en-US"/>
              </w:rPr>
              <w:t>▲</w:t>
            </w:r>
          </w:p>
        </w:tc>
        <w:tc>
          <w:tcPr>
            <w:tcW w:w="0" w:type="auto"/>
            <w:vAlign w:val="center"/>
          </w:tcPr>
          <w:p>
            <w:pPr>
              <w:jc w:val="center"/>
              <w:rPr>
                <w:rFonts w:ascii="Times New Roman" w:hAnsi="Times New Roman" w:eastAsia="宋体"/>
                <w:lang w:val="en-US"/>
              </w:rPr>
            </w:pPr>
            <w:r>
              <w:rPr>
                <w:rFonts w:hint="eastAsia" w:ascii="Times New Roman" w:hAnsi="Times New Roman" w:eastAsia="宋体"/>
                <w:lang w:val="en-US"/>
              </w:rPr>
              <w:t>案件管理</w:t>
            </w:r>
          </w:p>
        </w:tc>
        <w:tc>
          <w:tcPr>
            <w:tcW w:w="0" w:type="auto"/>
            <w:vAlign w:val="center"/>
          </w:tcPr>
          <w:p>
            <w:pPr>
              <w:jc w:val="both"/>
              <w:rPr>
                <w:rFonts w:ascii="Times New Roman" w:hAnsi="Times New Roman" w:eastAsia="宋体"/>
                <w:lang w:val="en-US"/>
              </w:rPr>
            </w:pPr>
            <w:r>
              <w:rPr>
                <w:rFonts w:hint="eastAsia" w:ascii="Times New Roman" w:hAnsi="Times New Roman" w:eastAsia="宋体"/>
                <w:lang w:val="en-US"/>
              </w:rPr>
              <w:t>支持文件夹管理功能，可在案件文件同级或下级任意创建文件夹，层级和数量不受限；可通过系统软件对相关案件进行归档处理，归档包括处理中、已结案、挂起等多种状态，支持不低于3种案件状态。</w:t>
            </w:r>
          </w:p>
        </w:tc>
        <w:tc>
          <w:tcPr>
            <w:tcW w:w="0" w:type="auto"/>
            <w:vAlign w:val="center"/>
          </w:tcPr>
          <w:p>
            <w:pPr>
              <w:rPr>
                <w:rFonts w:ascii="Times New Roman" w:hAnsi="Times New Roman" w:eastAsia="宋体"/>
                <w:bCs/>
              </w:rPr>
            </w:pPr>
            <w:r>
              <w:rPr>
                <w:rFonts w:hint="eastAsia" w:ascii="宋体" w:hAnsi="宋体" w:eastAsia="宋体" w:cs="宋体"/>
                <w:kern w:val="0"/>
                <w:szCs w:val="21"/>
                <w:lang w:val="en-US"/>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center"/>
          </w:tcPr>
          <w:p>
            <w:pPr>
              <w:numPr>
                <w:ilvl w:val="0"/>
                <w:numId w:val="92"/>
              </w:numPr>
              <w:jc w:val="center"/>
              <w:rPr>
                <w:rFonts w:ascii="Times New Roman" w:hAnsi="Times New Roman" w:eastAsia="宋体" w:cs="Segoe UI Symbol"/>
                <w:bCs/>
                <w:szCs w:val="21"/>
                <w:lang w:val="en-US"/>
              </w:rPr>
            </w:pPr>
          </w:p>
        </w:tc>
        <w:tc>
          <w:tcPr>
            <w:tcW w:w="0" w:type="auto"/>
            <w:vAlign w:val="center"/>
          </w:tcPr>
          <w:p>
            <w:pPr>
              <w:jc w:val="center"/>
              <w:rPr>
                <w:rFonts w:ascii="Times New Roman" w:hAnsi="Times New Roman" w:eastAsia="宋体" w:cs="Segoe UI Symbol"/>
                <w:bCs/>
                <w:szCs w:val="21"/>
                <w:lang w:val="en-US"/>
              </w:rPr>
            </w:pPr>
          </w:p>
        </w:tc>
        <w:tc>
          <w:tcPr>
            <w:tcW w:w="0" w:type="auto"/>
            <w:vAlign w:val="center"/>
          </w:tcPr>
          <w:p>
            <w:pPr>
              <w:jc w:val="center"/>
              <w:rPr>
                <w:rFonts w:ascii="Times New Roman" w:hAnsi="Times New Roman" w:eastAsia="宋体"/>
                <w:lang w:val="en-US"/>
              </w:rPr>
            </w:pPr>
            <w:r>
              <w:rPr>
                <w:rFonts w:hint="eastAsia" w:ascii="Times New Roman" w:hAnsi="Times New Roman" w:eastAsia="宋体"/>
                <w:lang w:val="en-US"/>
              </w:rPr>
              <w:t>创建录音</w:t>
            </w:r>
          </w:p>
        </w:tc>
        <w:tc>
          <w:tcPr>
            <w:tcW w:w="0" w:type="auto"/>
            <w:vAlign w:val="center"/>
          </w:tcPr>
          <w:p>
            <w:pPr>
              <w:jc w:val="both"/>
              <w:rPr>
                <w:rFonts w:ascii="Times New Roman" w:hAnsi="Times New Roman" w:eastAsia="宋体"/>
                <w:lang w:val="en-US"/>
              </w:rPr>
            </w:pPr>
            <w:r>
              <w:rPr>
                <w:rFonts w:hint="eastAsia" w:ascii="Times New Roman" w:hAnsi="Times New Roman" w:eastAsia="宋体"/>
                <w:lang w:val="en-US"/>
              </w:rPr>
              <w:t>支持新建空白音轨，可将音频片段直接拉入音轨，支持8000hz、11025hz、16000hz、22050hz、24000hz、32000hz、44100hz、48000hz、88200hz等不少于9种以上不同采样率</w:t>
            </w:r>
          </w:p>
        </w:tc>
        <w:tc>
          <w:tcPr>
            <w:tcW w:w="0" w:type="auto"/>
            <w:vAlign w:val="center"/>
          </w:tcPr>
          <w:p>
            <w:pPr>
              <w:rPr>
                <w:rFonts w:ascii="Times New Roman" w:hAnsi="Times New Roman" w:eastAsia="宋体"/>
                <w:bCs/>
                <w:lang w:val="en-US"/>
              </w:rPr>
            </w:pPr>
            <w:r>
              <w:rPr>
                <w:rFonts w:hint="eastAsia" w:ascii="Times New Roman" w:hAnsi="Times New Roman" w:eastAsia="宋体"/>
                <w:bCs/>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center"/>
          </w:tcPr>
          <w:p>
            <w:pPr>
              <w:numPr>
                <w:ilvl w:val="0"/>
                <w:numId w:val="92"/>
              </w:numPr>
              <w:jc w:val="center"/>
              <w:rPr>
                <w:rFonts w:ascii="Times New Roman" w:hAnsi="Times New Roman" w:eastAsia="宋体" w:cs="Segoe UI Symbol"/>
                <w:bCs/>
                <w:szCs w:val="21"/>
                <w:lang w:val="en-US"/>
              </w:rPr>
            </w:pPr>
          </w:p>
        </w:tc>
        <w:tc>
          <w:tcPr>
            <w:tcW w:w="0" w:type="auto"/>
            <w:vAlign w:val="center"/>
          </w:tcPr>
          <w:p>
            <w:pPr>
              <w:jc w:val="center"/>
              <w:rPr>
                <w:rFonts w:ascii="Times New Roman" w:hAnsi="Times New Roman" w:eastAsia="宋体"/>
              </w:rPr>
            </w:pPr>
          </w:p>
        </w:tc>
        <w:tc>
          <w:tcPr>
            <w:tcW w:w="0" w:type="auto"/>
            <w:vAlign w:val="center"/>
          </w:tcPr>
          <w:p>
            <w:pPr>
              <w:jc w:val="center"/>
              <w:rPr>
                <w:rFonts w:ascii="Times New Roman" w:hAnsi="Times New Roman" w:eastAsia="宋体"/>
                <w:lang w:val="en-US"/>
              </w:rPr>
            </w:pPr>
            <w:r>
              <w:rPr>
                <w:rFonts w:hint="eastAsia" w:ascii="Times New Roman" w:hAnsi="Times New Roman" w:eastAsia="宋体"/>
                <w:lang w:val="en-US"/>
              </w:rPr>
              <w:t>批量导入</w:t>
            </w:r>
          </w:p>
        </w:tc>
        <w:tc>
          <w:tcPr>
            <w:tcW w:w="0" w:type="auto"/>
            <w:vAlign w:val="center"/>
          </w:tcPr>
          <w:p>
            <w:pPr>
              <w:jc w:val="both"/>
              <w:rPr>
                <w:rFonts w:ascii="Times New Roman" w:hAnsi="Times New Roman" w:eastAsia="宋体"/>
                <w:lang w:val="en-US"/>
              </w:rPr>
            </w:pPr>
            <w:r>
              <w:rPr>
                <w:rFonts w:hint="eastAsia" w:ascii="Times New Roman" w:hAnsi="Times New Roman" w:eastAsia="宋体"/>
                <w:lang w:val="en-US"/>
              </w:rPr>
              <w:t>支持批量导入音视频文件，可同时导入至少5种不同格式的音视频文件</w:t>
            </w:r>
          </w:p>
        </w:tc>
        <w:tc>
          <w:tcPr>
            <w:tcW w:w="0" w:type="auto"/>
            <w:vAlign w:val="center"/>
          </w:tcPr>
          <w:p>
            <w:pPr>
              <w:rPr>
                <w:rFonts w:ascii="Times New Roman" w:hAnsi="Times New Roman" w:eastAsia="宋体"/>
                <w:bCs/>
                <w:lang w:val="en-US"/>
              </w:rPr>
            </w:pPr>
            <w:r>
              <w:rPr>
                <w:rFonts w:hint="eastAsia" w:ascii="Times New Roman" w:hAnsi="Times New Roman" w:eastAsia="宋体"/>
                <w:bCs/>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center"/>
          </w:tcPr>
          <w:p>
            <w:pPr>
              <w:numPr>
                <w:ilvl w:val="0"/>
                <w:numId w:val="92"/>
              </w:numPr>
              <w:jc w:val="center"/>
              <w:rPr>
                <w:rFonts w:ascii="Times New Roman" w:hAnsi="Times New Roman" w:eastAsia="宋体"/>
                <w:bCs/>
                <w:szCs w:val="21"/>
                <w:lang w:val="en-US"/>
              </w:rPr>
            </w:pPr>
          </w:p>
        </w:tc>
        <w:tc>
          <w:tcPr>
            <w:tcW w:w="0" w:type="auto"/>
            <w:vAlign w:val="center"/>
          </w:tcPr>
          <w:p>
            <w:pPr>
              <w:jc w:val="center"/>
              <w:rPr>
                <w:rFonts w:ascii="Times New Roman" w:hAnsi="Times New Roman" w:eastAsia="宋体"/>
                <w:bCs/>
                <w:szCs w:val="21"/>
              </w:rPr>
            </w:pPr>
          </w:p>
        </w:tc>
        <w:tc>
          <w:tcPr>
            <w:tcW w:w="0" w:type="auto"/>
            <w:vAlign w:val="center"/>
          </w:tcPr>
          <w:p>
            <w:pPr>
              <w:jc w:val="center"/>
              <w:rPr>
                <w:rFonts w:ascii="Times New Roman" w:hAnsi="Times New Roman" w:eastAsia="宋体"/>
                <w:lang w:val="en-US"/>
              </w:rPr>
            </w:pPr>
            <w:r>
              <w:rPr>
                <w:rFonts w:hint="eastAsia" w:ascii="Times New Roman" w:hAnsi="Times New Roman" w:eastAsia="宋体"/>
                <w:lang w:val="en-US"/>
              </w:rPr>
              <w:t>降噪模块</w:t>
            </w:r>
          </w:p>
        </w:tc>
        <w:tc>
          <w:tcPr>
            <w:tcW w:w="0" w:type="auto"/>
            <w:vAlign w:val="center"/>
          </w:tcPr>
          <w:p>
            <w:pPr>
              <w:jc w:val="both"/>
              <w:rPr>
                <w:rFonts w:ascii="Times New Roman" w:hAnsi="Times New Roman" w:eastAsia="宋体"/>
                <w:lang w:val="en-US"/>
              </w:rPr>
            </w:pPr>
            <w:r>
              <w:rPr>
                <w:rFonts w:hint="eastAsia" w:ascii="Times New Roman" w:hAnsi="Times New Roman" w:eastAsia="宋体"/>
                <w:lang w:val="en-US"/>
              </w:rPr>
              <w:t>支持对选定区域、窗口可见区域和完整信号进行降噪操作；智能增益：支持0-100%范围可调，支持不少于3种以上降噪模块</w:t>
            </w:r>
          </w:p>
        </w:tc>
        <w:tc>
          <w:tcPr>
            <w:tcW w:w="0" w:type="auto"/>
            <w:vAlign w:val="center"/>
          </w:tcPr>
          <w:p>
            <w:pPr>
              <w:rPr>
                <w:rFonts w:ascii="Times New Roman" w:hAnsi="Times New Roman" w:eastAsia="宋体"/>
                <w:bCs/>
                <w:lang w:val="en-US"/>
              </w:rPr>
            </w:pPr>
            <w:r>
              <w:rPr>
                <w:rFonts w:hint="eastAsia" w:ascii="Times New Roman" w:hAnsi="Times New Roman" w:eastAsia="宋体"/>
                <w:bCs/>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center"/>
          </w:tcPr>
          <w:p>
            <w:pPr>
              <w:numPr>
                <w:ilvl w:val="0"/>
                <w:numId w:val="92"/>
              </w:numPr>
              <w:jc w:val="center"/>
              <w:rPr>
                <w:rFonts w:ascii="Times New Roman" w:hAnsi="Times New Roman" w:eastAsia="宋体"/>
                <w:bCs/>
                <w:szCs w:val="21"/>
                <w:lang w:val="en-US"/>
              </w:rPr>
            </w:pPr>
          </w:p>
        </w:tc>
        <w:tc>
          <w:tcPr>
            <w:tcW w:w="0" w:type="auto"/>
            <w:vAlign w:val="center"/>
          </w:tcPr>
          <w:p>
            <w:pPr>
              <w:jc w:val="center"/>
              <w:rPr>
                <w:rFonts w:ascii="Times New Roman" w:hAnsi="Times New Roman" w:eastAsia="宋体"/>
                <w:bCs/>
                <w:szCs w:val="21"/>
              </w:rPr>
            </w:pPr>
          </w:p>
        </w:tc>
        <w:tc>
          <w:tcPr>
            <w:tcW w:w="0" w:type="auto"/>
            <w:vAlign w:val="center"/>
          </w:tcPr>
          <w:p>
            <w:pPr>
              <w:jc w:val="center"/>
              <w:rPr>
                <w:rFonts w:ascii="Times New Roman" w:hAnsi="Times New Roman" w:eastAsia="宋体"/>
                <w:lang w:val="en-US"/>
              </w:rPr>
            </w:pPr>
            <w:r>
              <w:rPr>
                <w:rFonts w:hint="eastAsia" w:ascii="Times New Roman" w:hAnsi="Times New Roman" w:eastAsia="宋体"/>
                <w:lang w:val="en-US"/>
              </w:rPr>
              <w:t>倍速播放</w:t>
            </w:r>
          </w:p>
        </w:tc>
        <w:tc>
          <w:tcPr>
            <w:tcW w:w="0" w:type="auto"/>
            <w:vAlign w:val="center"/>
          </w:tcPr>
          <w:p>
            <w:pPr>
              <w:jc w:val="both"/>
              <w:rPr>
                <w:rFonts w:ascii="Times New Roman" w:hAnsi="Times New Roman" w:eastAsia="宋体"/>
                <w:lang w:val="en-US"/>
              </w:rPr>
            </w:pPr>
            <w:r>
              <w:rPr>
                <w:rFonts w:hint="eastAsia" w:ascii="Times New Roman" w:hAnsi="Times New Roman" w:eastAsia="宋体"/>
                <w:lang w:val="en-US"/>
              </w:rPr>
              <w:t>支持不少于5种倍速播放</w:t>
            </w:r>
          </w:p>
        </w:tc>
        <w:tc>
          <w:tcPr>
            <w:tcW w:w="0" w:type="auto"/>
            <w:vAlign w:val="center"/>
          </w:tcPr>
          <w:p>
            <w:pPr>
              <w:rPr>
                <w:rFonts w:ascii="Times New Roman" w:hAnsi="Times New Roman" w:eastAsia="宋体"/>
                <w:bCs/>
                <w:lang w:val="en-US"/>
              </w:rPr>
            </w:pPr>
            <w:r>
              <w:rPr>
                <w:rFonts w:hint="eastAsia" w:ascii="Times New Roman" w:hAnsi="Times New Roman" w:eastAsia="宋体"/>
                <w:bCs/>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center"/>
          </w:tcPr>
          <w:p>
            <w:pPr>
              <w:numPr>
                <w:ilvl w:val="0"/>
                <w:numId w:val="92"/>
              </w:numPr>
              <w:jc w:val="center"/>
              <w:rPr>
                <w:rFonts w:ascii="Times New Roman" w:hAnsi="Times New Roman" w:eastAsia="宋体"/>
                <w:bCs/>
                <w:szCs w:val="21"/>
                <w:lang w:val="en-US"/>
              </w:rPr>
            </w:pPr>
          </w:p>
        </w:tc>
        <w:tc>
          <w:tcPr>
            <w:tcW w:w="0" w:type="auto"/>
            <w:vAlign w:val="center"/>
          </w:tcPr>
          <w:p>
            <w:pPr>
              <w:jc w:val="center"/>
              <w:rPr>
                <w:rFonts w:ascii="Times New Roman" w:hAnsi="Times New Roman" w:eastAsia="宋体"/>
              </w:rPr>
            </w:pPr>
          </w:p>
        </w:tc>
        <w:tc>
          <w:tcPr>
            <w:tcW w:w="0" w:type="auto"/>
            <w:vAlign w:val="center"/>
          </w:tcPr>
          <w:p>
            <w:pPr>
              <w:jc w:val="center"/>
              <w:rPr>
                <w:rFonts w:ascii="Times New Roman" w:hAnsi="Times New Roman" w:eastAsia="宋体"/>
                <w:color w:val="000000"/>
                <w:lang w:val="en-US"/>
              </w:rPr>
            </w:pPr>
            <w:r>
              <w:rPr>
                <w:rFonts w:hint="eastAsia" w:ascii="Times New Roman" w:hAnsi="Times New Roman" w:eastAsia="宋体"/>
                <w:lang w:val="en-US"/>
              </w:rPr>
              <w:t>对齐方式</w:t>
            </w:r>
          </w:p>
        </w:tc>
        <w:tc>
          <w:tcPr>
            <w:tcW w:w="0" w:type="auto"/>
            <w:vAlign w:val="center"/>
          </w:tcPr>
          <w:p>
            <w:pPr>
              <w:jc w:val="both"/>
              <w:rPr>
                <w:rFonts w:ascii="Times New Roman" w:hAnsi="Times New Roman" w:eastAsia="宋体"/>
                <w:color w:val="000000"/>
                <w:lang w:val="en-US"/>
              </w:rPr>
            </w:pPr>
            <w:r>
              <w:rPr>
                <w:rFonts w:hint="eastAsia" w:ascii="Times New Roman" w:hAnsi="Times New Roman" w:eastAsia="宋体"/>
                <w:lang w:val="en-US"/>
              </w:rPr>
              <w:t>支持对语谱图窗口中选中片段进行不少于3种方式对齐</w:t>
            </w:r>
          </w:p>
        </w:tc>
        <w:tc>
          <w:tcPr>
            <w:tcW w:w="0" w:type="auto"/>
            <w:vAlign w:val="center"/>
          </w:tcPr>
          <w:p>
            <w:pPr>
              <w:rPr>
                <w:rFonts w:ascii="Times New Roman" w:hAnsi="Times New Roman" w:eastAsia="宋体"/>
                <w:bCs/>
                <w:lang w:val="en-US"/>
              </w:rPr>
            </w:pPr>
            <w:r>
              <w:rPr>
                <w:rFonts w:hint="eastAsia" w:ascii="Times New Roman" w:hAnsi="Times New Roman" w:eastAsia="宋体"/>
                <w:bCs/>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center"/>
          </w:tcPr>
          <w:p>
            <w:pPr>
              <w:numPr>
                <w:ilvl w:val="0"/>
                <w:numId w:val="92"/>
              </w:numPr>
              <w:jc w:val="center"/>
              <w:rPr>
                <w:rFonts w:ascii="Times New Roman" w:hAnsi="Times New Roman" w:eastAsia="宋体"/>
                <w:bCs/>
                <w:szCs w:val="21"/>
                <w:lang w:val="en-US"/>
              </w:rPr>
            </w:pPr>
          </w:p>
        </w:tc>
        <w:tc>
          <w:tcPr>
            <w:tcW w:w="0" w:type="auto"/>
            <w:vAlign w:val="center"/>
          </w:tcPr>
          <w:p>
            <w:pPr>
              <w:jc w:val="center"/>
              <w:rPr>
                <w:rFonts w:ascii="Times New Roman" w:hAnsi="Times New Roman" w:eastAsia="宋体"/>
              </w:rPr>
            </w:pPr>
            <w:r>
              <w:rPr>
                <w:rFonts w:hint="eastAsia" w:ascii="宋体" w:hAnsi="宋体" w:eastAsia="宋体" w:cs="宋体"/>
                <w:szCs w:val="21"/>
              </w:rPr>
              <w:t>★</w:t>
            </w:r>
          </w:p>
        </w:tc>
        <w:tc>
          <w:tcPr>
            <w:tcW w:w="0" w:type="auto"/>
            <w:vAlign w:val="center"/>
          </w:tcPr>
          <w:p>
            <w:pPr>
              <w:jc w:val="center"/>
              <w:rPr>
                <w:rFonts w:ascii="Times New Roman" w:hAnsi="Times New Roman" w:eastAsia="宋体"/>
                <w:color w:val="000000"/>
                <w:lang w:val="en-US"/>
              </w:rPr>
            </w:pPr>
            <w:r>
              <w:rPr>
                <w:rFonts w:hint="eastAsia" w:ascii="Times New Roman" w:hAnsi="Times New Roman" w:eastAsia="宋体"/>
                <w:lang w:val="en-US"/>
              </w:rPr>
              <w:t>双屏协同鉴定</w:t>
            </w:r>
          </w:p>
        </w:tc>
        <w:tc>
          <w:tcPr>
            <w:tcW w:w="0" w:type="auto"/>
            <w:vAlign w:val="center"/>
          </w:tcPr>
          <w:p>
            <w:pPr>
              <w:jc w:val="both"/>
              <w:rPr>
                <w:rFonts w:ascii="Times New Roman" w:hAnsi="Times New Roman" w:eastAsia="宋体"/>
                <w:color w:val="000000"/>
                <w:lang w:val="en-US"/>
              </w:rPr>
            </w:pPr>
            <w:r>
              <w:rPr>
                <w:rFonts w:hint="eastAsia" w:ascii="Times New Roman" w:hAnsi="Times New Roman" w:eastAsia="宋体"/>
                <w:lang w:val="en-US"/>
              </w:rPr>
              <w:t>支持把常用功能模块独立到第二屏中显示并进行协同工作，同时支持生成的双屏功能模块恢复固定位置显示及操作，支持同屏展示不低于6条音频</w:t>
            </w:r>
          </w:p>
        </w:tc>
        <w:tc>
          <w:tcPr>
            <w:tcW w:w="0" w:type="auto"/>
            <w:vAlign w:val="center"/>
          </w:tcPr>
          <w:p>
            <w:pPr>
              <w:rPr>
                <w:rFonts w:ascii="Times New Roman" w:hAnsi="Times New Roman" w:eastAsia="宋体"/>
                <w:bCs/>
              </w:rPr>
            </w:pPr>
            <w:r>
              <w:rPr>
                <w:rFonts w:hint="eastAsia" w:ascii="宋体" w:hAnsi="宋体" w:eastAsia="宋体" w:cs="宋体"/>
                <w:kern w:val="0"/>
                <w:szCs w:val="21"/>
                <w:lang w:val="en-US"/>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center"/>
          </w:tcPr>
          <w:p>
            <w:pPr>
              <w:numPr>
                <w:ilvl w:val="0"/>
                <w:numId w:val="92"/>
              </w:numPr>
              <w:jc w:val="center"/>
              <w:rPr>
                <w:rFonts w:ascii="Times New Roman" w:hAnsi="Times New Roman" w:eastAsia="宋体"/>
                <w:bCs/>
                <w:szCs w:val="21"/>
                <w:lang w:val="en-US"/>
              </w:rPr>
            </w:pPr>
          </w:p>
        </w:tc>
        <w:tc>
          <w:tcPr>
            <w:tcW w:w="0" w:type="auto"/>
            <w:vAlign w:val="center"/>
          </w:tcPr>
          <w:p>
            <w:pPr>
              <w:jc w:val="center"/>
              <w:rPr>
                <w:rFonts w:ascii="Times New Roman" w:hAnsi="Times New Roman" w:eastAsia="宋体"/>
                <w:bCs/>
                <w:szCs w:val="21"/>
                <w:lang w:val="en-US"/>
              </w:rPr>
            </w:pPr>
          </w:p>
        </w:tc>
        <w:tc>
          <w:tcPr>
            <w:tcW w:w="0" w:type="auto"/>
            <w:vAlign w:val="center"/>
          </w:tcPr>
          <w:p>
            <w:pPr>
              <w:jc w:val="center"/>
              <w:rPr>
                <w:rFonts w:ascii="Times New Roman" w:hAnsi="Times New Roman" w:eastAsia="宋体"/>
                <w:lang w:val="en-US"/>
              </w:rPr>
            </w:pPr>
            <w:r>
              <w:rPr>
                <w:rFonts w:hint="eastAsia" w:ascii="Times New Roman" w:hAnsi="Times New Roman" w:eastAsia="宋体"/>
                <w:lang w:val="en-US"/>
              </w:rPr>
              <w:t>标记功能</w:t>
            </w:r>
          </w:p>
        </w:tc>
        <w:tc>
          <w:tcPr>
            <w:tcW w:w="0" w:type="auto"/>
            <w:vAlign w:val="center"/>
          </w:tcPr>
          <w:p>
            <w:pPr>
              <w:jc w:val="both"/>
              <w:rPr>
                <w:rFonts w:ascii="Times New Roman" w:hAnsi="Times New Roman" w:eastAsia="宋体"/>
                <w:lang w:val="en-US"/>
              </w:rPr>
            </w:pPr>
            <w:r>
              <w:rPr>
                <w:rFonts w:hint="eastAsia" w:ascii="Times New Roman" w:hAnsi="Times New Roman" w:eastAsia="宋体"/>
                <w:lang w:val="en-US"/>
              </w:rPr>
              <w:t>系统支持一次性展示所有语音检索的结果，可以调节文字大小和文字颜色，支持不低于10个文本标记</w:t>
            </w:r>
          </w:p>
        </w:tc>
        <w:tc>
          <w:tcPr>
            <w:tcW w:w="0" w:type="auto"/>
            <w:vAlign w:val="center"/>
          </w:tcPr>
          <w:p>
            <w:pPr>
              <w:rPr>
                <w:rFonts w:ascii="Times New Roman" w:hAnsi="Times New Roman" w:eastAsia="宋体"/>
                <w:bCs/>
                <w:lang w:val="en-US"/>
              </w:rPr>
            </w:pPr>
            <w:r>
              <w:rPr>
                <w:rFonts w:hint="eastAsia" w:ascii="Times New Roman" w:hAnsi="Times New Roman" w:eastAsia="宋体"/>
                <w:bCs/>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center"/>
          </w:tcPr>
          <w:p>
            <w:pPr>
              <w:numPr>
                <w:ilvl w:val="0"/>
                <w:numId w:val="92"/>
              </w:numPr>
              <w:jc w:val="center"/>
              <w:rPr>
                <w:rFonts w:ascii="Times New Roman" w:hAnsi="Times New Roman" w:eastAsia="宋体"/>
                <w:bCs/>
                <w:szCs w:val="21"/>
                <w:lang w:val="en-US"/>
              </w:rPr>
            </w:pPr>
          </w:p>
        </w:tc>
        <w:tc>
          <w:tcPr>
            <w:tcW w:w="0" w:type="auto"/>
            <w:vAlign w:val="center"/>
          </w:tcPr>
          <w:p>
            <w:pPr>
              <w:jc w:val="center"/>
              <w:rPr>
                <w:rFonts w:ascii="Times New Roman" w:hAnsi="Times New Roman" w:eastAsia="宋体"/>
              </w:rPr>
            </w:pPr>
          </w:p>
        </w:tc>
        <w:tc>
          <w:tcPr>
            <w:tcW w:w="0" w:type="auto"/>
            <w:vAlign w:val="center"/>
          </w:tcPr>
          <w:p>
            <w:pPr>
              <w:jc w:val="center"/>
              <w:rPr>
                <w:rFonts w:ascii="Times New Roman" w:hAnsi="Times New Roman" w:eastAsia="宋体"/>
                <w:lang w:val="en-US"/>
              </w:rPr>
            </w:pPr>
            <w:r>
              <w:rPr>
                <w:rFonts w:hint="eastAsia" w:ascii="Times New Roman" w:hAnsi="Times New Roman" w:eastAsia="宋体"/>
                <w:lang w:val="en-US"/>
              </w:rPr>
              <w:t>截图功能</w:t>
            </w:r>
          </w:p>
        </w:tc>
        <w:tc>
          <w:tcPr>
            <w:tcW w:w="0" w:type="auto"/>
            <w:vAlign w:val="center"/>
          </w:tcPr>
          <w:p>
            <w:pPr>
              <w:jc w:val="both"/>
              <w:rPr>
                <w:rFonts w:ascii="Times New Roman" w:hAnsi="Times New Roman" w:eastAsia="宋体"/>
                <w:lang w:val="en-US"/>
              </w:rPr>
            </w:pPr>
            <w:r>
              <w:rPr>
                <w:rFonts w:hint="eastAsia" w:ascii="Times New Roman" w:hAnsi="Times New Roman" w:eastAsia="宋体"/>
                <w:lang w:val="en-US"/>
              </w:rPr>
              <w:t>截图结果保存在处理案件的报告文件夹中，其中自由截图可自由截取需要保存的区域，对于截图，支持框、圈、箭头、马赛克等操作，支持不低于3种截图方式</w:t>
            </w:r>
          </w:p>
        </w:tc>
        <w:tc>
          <w:tcPr>
            <w:tcW w:w="0" w:type="auto"/>
            <w:vAlign w:val="center"/>
          </w:tcPr>
          <w:p>
            <w:pPr>
              <w:rPr>
                <w:rFonts w:ascii="Times New Roman" w:hAnsi="Times New Roman" w:eastAsia="宋体"/>
                <w:bCs/>
                <w:lang w:val="en-US"/>
              </w:rPr>
            </w:pPr>
            <w:r>
              <w:rPr>
                <w:rFonts w:hint="eastAsia" w:ascii="Times New Roman" w:hAnsi="Times New Roman" w:eastAsia="宋体"/>
                <w:bCs/>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center"/>
          </w:tcPr>
          <w:p>
            <w:pPr>
              <w:numPr>
                <w:ilvl w:val="0"/>
                <w:numId w:val="92"/>
              </w:numPr>
              <w:jc w:val="center"/>
              <w:rPr>
                <w:rFonts w:ascii="Times New Roman" w:hAnsi="Times New Roman" w:eastAsia="宋体"/>
                <w:bCs/>
                <w:szCs w:val="21"/>
                <w:lang w:val="en-US"/>
              </w:rPr>
            </w:pPr>
          </w:p>
        </w:tc>
        <w:tc>
          <w:tcPr>
            <w:tcW w:w="0" w:type="auto"/>
            <w:vAlign w:val="center"/>
          </w:tcPr>
          <w:p>
            <w:pPr>
              <w:jc w:val="center"/>
              <w:rPr>
                <w:rFonts w:ascii="Times New Roman" w:hAnsi="Times New Roman" w:eastAsia="宋体"/>
              </w:rPr>
            </w:pPr>
          </w:p>
        </w:tc>
        <w:tc>
          <w:tcPr>
            <w:tcW w:w="0" w:type="auto"/>
            <w:vAlign w:val="center"/>
          </w:tcPr>
          <w:p>
            <w:pPr>
              <w:jc w:val="center"/>
              <w:rPr>
                <w:rFonts w:ascii="Times New Roman" w:hAnsi="Times New Roman" w:eastAsia="宋体"/>
                <w:lang w:val="en-US"/>
              </w:rPr>
            </w:pPr>
            <w:r>
              <w:rPr>
                <w:rFonts w:hint="eastAsia" w:ascii="Times New Roman" w:hAnsi="Times New Roman" w:eastAsia="宋体"/>
                <w:lang w:val="en-US"/>
              </w:rPr>
              <w:t>截图防误删</w:t>
            </w:r>
          </w:p>
        </w:tc>
        <w:tc>
          <w:tcPr>
            <w:tcW w:w="0" w:type="auto"/>
            <w:vAlign w:val="center"/>
          </w:tcPr>
          <w:p>
            <w:pPr>
              <w:jc w:val="both"/>
              <w:rPr>
                <w:rFonts w:ascii="Times New Roman" w:hAnsi="Times New Roman" w:eastAsia="宋体"/>
                <w:lang w:val="en-US"/>
              </w:rPr>
            </w:pPr>
            <w:r>
              <w:rPr>
                <w:rFonts w:hint="eastAsia" w:ascii="Times New Roman" w:hAnsi="Times New Roman" w:eastAsia="宋体"/>
                <w:lang w:val="en-US"/>
              </w:rPr>
              <w:t>支持截图防误删功能，删除的图片会保留在回收站中，可在回收站中还原或彻底删除，支持保留不低于10张截图</w:t>
            </w:r>
          </w:p>
        </w:tc>
        <w:tc>
          <w:tcPr>
            <w:tcW w:w="0" w:type="auto"/>
            <w:vAlign w:val="center"/>
          </w:tcPr>
          <w:p>
            <w:pPr>
              <w:rPr>
                <w:rFonts w:ascii="Times New Roman" w:hAnsi="Times New Roman" w:eastAsia="宋体"/>
                <w:bCs/>
                <w:lang w:val="en-US"/>
              </w:rPr>
            </w:pPr>
            <w:r>
              <w:rPr>
                <w:rFonts w:hint="eastAsia" w:ascii="Times New Roman" w:hAnsi="Times New Roman" w:eastAsia="宋体"/>
                <w:bCs/>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center"/>
          </w:tcPr>
          <w:p>
            <w:pPr>
              <w:numPr>
                <w:ilvl w:val="0"/>
                <w:numId w:val="92"/>
              </w:numPr>
              <w:jc w:val="center"/>
              <w:rPr>
                <w:rFonts w:ascii="Times New Roman" w:hAnsi="Times New Roman" w:eastAsia="宋体"/>
                <w:bCs/>
                <w:szCs w:val="21"/>
                <w:lang w:val="en-US"/>
              </w:rPr>
            </w:pPr>
          </w:p>
        </w:tc>
        <w:tc>
          <w:tcPr>
            <w:tcW w:w="0" w:type="auto"/>
            <w:vAlign w:val="center"/>
          </w:tcPr>
          <w:p>
            <w:pPr>
              <w:jc w:val="center"/>
              <w:rPr>
                <w:rFonts w:ascii="Times New Roman" w:hAnsi="Times New Roman" w:eastAsia="宋体"/>
              </w:rPr>
            </w:pPr>
          </w:p>
        </w:tc>
        <w:tc>
          <w:tcPr>
            <w:tcW w:w="0" w:type="auto"/>
            <w:vAlign w:val="center"/>
          </w:tcPr>
          <w:p>
            <w:pPr>
              <w:jc w:val="center"/>
              <w:rPr>
                <w:rFonts w:ascii="Times New Roman" w:hAnsi="Times New Roman" w:eastAsia="宋体"/>
                <w:lang w:val="en-US"/>
              </w:rPr>
            </w:pPr>
            <w:r>
              <w:rPr>
                <w:rFonts w:hint="eastAsia" w:ascii="Times New Roman" w:hAnsi="Times New Roman" w:eastAsia="宋体"/>
                <w:lang w:val="en-US"/>
              </w:rPr>
              <w:t>多人声语音分离</w:t>
            </w:r>
          </w:p>
        </w:tc>
        <w:tc>
          <w:tcPr>
            <w:tcW w:w="0" w:type="auto"/>
            <w:vAlign w:val="center"/>
          </w:tcPr>
          <w:p>
            <w:pPr>
              <w:jc w:val="both"/>
              <w:rPr>
                <w:rFonts w:ascii="Times New Roman" w:hAnsi="Times New Roman" w:eastAsia="宋体"/>
                <w:lang w:val="en-US"/>
              </w:rPr>
            </w:pPr>
            <w:r>
              <w:rPr>
                <w:rFonts w:hint="eastAsia" w:ascii="Times New Roman" w:hAnsi="Times New Roman" w:eastAsia="宋体"/>
                <w:lang w:val="en-US"/>
              </w:rPr>
              <w:t>系统支持语音分离功能，对检材/样本中出现的多人对话语音，提取音频中各个说话人的声纹特征，支持3人及以上对话语音分离，并单独生成音频片段</w:t>
            </w:r>
          </w:p>
        </w:tc>
        <w:tc>
          <w:tcPr>
            <w:tcW w:w="0" w:type="auto"/>
            <w:vAlign w:val="center"/>
          </w:tcPr>
          <w:p>
            <w:pPr>
              <w:rPr>
                <w:rFonts w:ascii="Times New Roman" w:hAnsi="Times New Roman" w:eastAsia="宋体"/>
                <w:bCs/>
                <w:lang w:val="en-US"/>
              </w:rPr>
            </w:pPr>
            <w:r>
              <w:rPr>
                <w:rFonts w:hint="eastAsia" w:ascii="Times New Roman" w:hAnsi="Times New Roman" w:eastAsia="宋体"/>
                <w:bCs/>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center"/>
          </w:tcPr>
          <w:p>
            <w:pPr>
              <w:numPr>
                <w:ilvl w:val="0"/>
                <w:numId w:val="92"/>
              </w:numPr>
              <w:jc w:val="center"/>
              <w:rPr>
                <w:rFonts w:ascii="Times New Roman" w:hAnsi="Times New Roman" w:eastAsia="宋体"/>
                <w:bCs/>
                <w:szCs w:val="21"/>
                <w:lang w:val="en-US"/>
              </w:rPr>
            </w:pPr>
          </w:p>
        </w:tc>
        <w:tc>
          <w:tcPr>
            <w:tcW w:w="0" w:type="auto"/>
            <w:vAlign w:val="center"/>
          </w:tcPr>
          <w:p>
            <w:pPr>
              <w:jc w:val="center"/>
              <w:rPr>
                <w:rFonts w:ascii="Times New Roman" w:hAnsi="Times New Roman" w:eastAsia="宋体"/>
              </w:rPr>
            </w:pPr>
            <w:r>
              <w:rPr>
                <w:rFonts w:hint="eastAsia" w:ascii="宋体" w:hAnsi="宋体" w:eastAsia="宋体"/>
                <w:kern w:val="0"/>
                <w:lang w:val="en-US"/>
              </w:rPr>
              <w:t>▲</w:t>
            </w:r>
          </w:p>
        </w:tc>
        <w:tc>
          <w:tcPr>
            <w:tcW w:w="0" w:type="auto"/>
            <w:vAlign w:val="center"/>
          </w:tcPr>
          <w:p>
            <w:pPr>
              <w:jc w:val="center"/>
              <w:rPr>
                <w:rFonts w:ascii="Times New Roman" w:hAnsi="Times New Roman" w:eastAsia="宋体"/>
                <w:lang w:val="en-US"/>
              </w:rPr>
            </w:pPr>
            <w:r>
              <w:rPr>
                <w:rFonts w:hint="eastAsia" w:ascii="Times New Roman" w:hAnsi="Times New Roman" w:eastAsia="宋体"/>
                <w:lang w:val="en-US"/>
              </w:rPr>
              <w:t>测量对比功能</w:t>
            </w:r>
          </w:p>
        </w:tc>
        <w:tc>
          <w:tcPr>
            <w:tcW w:w="0" w:type="auto"/>
            <w:vAlign w:val="center"/>
          </w:tcPr>
          <w:p>
            <w:pPr>
              <w:jc w:val="both"/>
              <w:rPr>
                <w:rFonts w:ascii="Times New Roman" w:hAnsi="Times New Roman" w:eastAsia="宋体"/>
                <w:lang w:val="en-US"/>
              </w:rPr>
            </w:pPr>
            <w:r>
              <w:rPr>
                <w:rFonts w:hint="eastAsia" w:ascii="Times New Roman" w:hAnsi="Times New Roman" w:eastAsia="宋体"/>
                <w:lang w:val="en-US"/>
              </w:rPr>
              <w:t>支持实时测量和固定测量至少2种测量比对方式，在测量比对列表中能进行 1:1、1:N、n:N至少3种比对</w:t>
            </w:r>
          </w:p>
        </w:tc>
        <w:tc>
          <w:tcPr>
            <w:tcW w:w="0" w:type="auto"/>
            <w:vAlign w:val="center"/>
          </w:tcPr>
          <w:p>
            <w:pPr>
              <w:rPr>
                <w:rFonts w:ascii="Times New Roman" w:hAnsi="Times New Roman" w:eastAsia="宋体"/>
                <w:bCs/>
              </w:rPr>
            </w:pPr>
            <w:r>
              <w:rPr>
                <w:rFonts w:hint="eastAsia" w:ascii="宋体" w:hAnsi="宋体" w:eastAsia="宋体" w:cs="宋体"/>
                <w:kern w:val="0"/>
                <w:szCs w:val="21"/>
                <w:lang w:val="en-US"/>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0" w:type="auto"/>
            <w:vAlign w:val="center"/>
          </w:tcPr>
          <w:p>
            <w:pPr>
              <w:numPr>
                <w:ilvl w:val="0"/>
                <w:numId w:val="92"/>
              </w:numPr>
              <w:jc w:val="center"/>
              <w:rPr>
                <w:rFonts w:ascii="Times New Roman" w:hAnsi="Times New Roman" w:eastAsia="宋体"/>
                <w:bCs/>
                <w:szCs w:val="21"/>
                <w:lang w:val="en-US"/>
              </w:rPr>
            </w:pPr>
          </w:p>
        </w:tc>
        <w:tc>
          <w:tcPr>
            <w:tcW w:w="0" w:type="auto"/>
            <w:vAlign w:val="center"/>
          </w:tcPr>
          <w:p>
            <w:pPr>
              <w:jc w:val="center"/>
              <w:rPr>
                <w:rFonts w:ascii="Times New Roman" w:hAnsi="Times New Roman" w:eastAsia="宋体"/>
              </w:rPr>
            </w:pPr>
            <w:r>
              <w:rPr>
                <w:rFonts w:hint="eastAsia" w:ascii="宋体" w:hAnsi="宋体" w:eastAsia="宋体" w:cs="宋体"/>
                <w:szCs w:val="21"/>
              </w:rPr>
              <w:t>★</w:t>
            </w:r>
          </w:p>
        </w:tc>
        <w:tc>
          <w:tcPr>
            <w:tcW w:w="0" w:type="auto"/>
            <w:vAlign w:val="center"/>
          </w:tcPr>
          <w:p>
            <w:pPr>
              <w:jc w:val="center"/>
              <w:rPr>
                <w:rFonts w:ascii="Times New Roman" w:hAnsi="Times New Roman" w:eastAsia="宋体"/>
                <w:lang w:val="en-US"/>
              </w:rPr>
            </w:pPr>
            <w:r>
              <w:rPr>
                <w:rFonts w:hint="eastAsia" w:ascii="Times New Roman" w:hAnsi="Times New Roman" w:eastAsia="宋体"/>
                <w:lang w:val="en-US"/>
              </w:rPr>
              <w:t>声纹自动比对</w:t>
            </w:r>
          </w:p>
        </w:tc>
        <w:tc>
          <w:tcPr>
            <w:tcW w:w="0" w:type="auto"/>
            <w:vAlign w:val="center"/>
          </w:tcPr>
          <w:p>
            <w:pPr>
              <w:jc w:val="both"/>
              <w:rPr>
                <w:rFonts w:ascii="Times New Roman" w:hAnsi="Times New Roman" w:eastAsia="宋体"/>
                <w:lang w:val="en-US"/>
              </w:rPr>
            </w:pPr>
            <w:r>
              <w:rPr>
                <w:rFonts w:hint="eastAsia" w:ascii="Times New Roman" w:hAnsi="Times New Roman" w:eastAsia="宋体"/>
                <w:lang w:val="en-US"/>
              </w:rPr>
              <w:t>支持音频声纹比对功能；支持1:1、1:N、n:N多种比对方式。比对结果显示本次比对的错误接收率（FAR）、错误拒绝率（FRR）、算法相似度、似然率值（LR），声纹自动比对查全率不低于99%、查准率不低于99%，虚警率不大于1%，漏警率不大于1%</w:t>
            </w:r>
          </w:p>
        </w:tc>
        <w:tc>
          <w:tcPr>
            <w:tcW w:w="0" w:type="auto"/>
            <w:vAlign w:val="center"/>
          </w:tcPr>
          <w:p>
            <w:pPr>
              <w:rPr>
                <w:rFonts w:ascii="Times New Roman" w:hAnsi="Times New Roman" w:eastAsia="宋体"/>
                <w:bCs/>
              </w:rPr>
            </w:pPr>
            <w:r>
              <w:rPr>
                <w:rFonts w:hint="eastAsia" w:ascii="宋体" w:hAnsi="宋体" w:eastAsia="宋体" w:cs="宋体"/>
                <w:kern w:val="0"/>
                <w:szCs w:val="21"/>
                <w:lang w:val="en-US"/>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center"/>
          </w:tcPr>
          <w:p>
            <w:pPr>
              <w:numPr>
                <w:ilvl w:val="0"/>
                <w:numId w:val="92"/>
              </w:numPr>
              <w:jc w:val="center"/>
              <w:rPr>
                <w:rFonts w:ascii="Times New Roman" w:hAnsi="Times New Roman" w:eastAsia="宋体"/>
                <w:bCs/>
                <w:szCs w:val="21"/>
                <w:lang w:val="en-US"/>
              </w:rPr>
            </w:pPr>
          </w:p>
        </w:tc>
        <w:tc>
          <w:tcPr>
            <w:tcW w:w="0" w:type="auto"/>
            <w:vAlign w:val="center"/>
          </w:tcPr>
          <w:p>
            <w:pPr>
              <w:jc w:val="center"/>
              <w:rPr>
                <w:rFonts w:ascii="Times New Roman" w:hAnsi="Times New Roman" w:eastAsia="宋体"/>
              </w:rPr>
            </w:pPr>
          </w:p>
        </w:tc>
        <w:tc>
          <w:tcPr>
            <w:tcW w:w="0" w:type="auto"/>
            <w:vAlign w:val="center"/>
          </w:tcPr>
          <w:p>
            <w:pPr>
              <w:jc w:val="center"/>
              <w:rPr>
                <w:rFonts w:ascii="Times New Roman" w:hAnsi="Times New Roman" w:eastAsia="宋体"/>
                <w:lang w:val="en-US"/>
              </w:rPr>
            </w:pPr>
            <w:r>
              <w:rPr>
                <w:rFonts w:hint="eastAsia" w:ascii="Times New Roman" w:hAnsi="Times New Roman" w:eastAsia="宋体"/>
                <w:lang w:val="en-US"/>
              </w:rPr>
              <w:t>协查鉴定功能</w:t>
            </w:r>
          </w:p>
        </w:tc>
        <w:tc>
          <w:tcPr>
            <w:tcW w:w="0" w:type="auto"/>
            <w:vAlign w:val="center"/>
          </w:tcPr>
          <w:p>
            <w:pPr>
              <w:jc w:val="both"/>
              <w:rPr>
                <w:rFonts w:ascii="Times New Roman" w:hAnsi="Times New Roman" w:eastAsia="宋体"/>
                <w:lang w:val="en-US"/>
              </w:rPr>
            </w:pPr>
            <w:r>
              <w:rPr>
                <w:rFonts w:hint="eastAsia" w:ascii="Times New Roman" w:hAnsi="Times New Roman" w:eastAsia="宋体"/>
                <w:lang w:val="en-US"/>
              </w:rPr>
              <w:t>可与声纹库进行不少于100条数据信息交换，联网状态下，可通过声纹库平台软件将待鉴定的案件下发至工作站接收鉴定，工作站鉴定完成后可通过客户端软件将鉴定结果反馈至声纹库平台软件接收</w:t>
            </w:r>
          </w:p>
        </w:tc>
        <w:tc>
          <w:tcPr>
            <w:tcW w:w="0" w:type="auto"/>
            <w:vAlign w:val="center"/>
          </w:tcPr>
          <w:p>
            <w:pPr>
              <w:rPr>
                <w:rFonts w:ascii="Times New Roman" w:hAnsi="Times New Roman" w:eastAsia="宋体"/>
                <w:bCs/>
                <w:lang w:val="en-US"/>
              </w:rPr>
            </w:pPr>
            <w:r>
              <w:rPr>
                <w:rFonts w:hint="eastAsia" w:ascii="Times New Roman" w:hAnsi="Times New Roman" w:eastAsia="宋体"/>
                <w:bCs/>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center"/>
          </w:tcPr>
          <w:p>
            <w:pPr>
              <w:numPr>
                <w:ilvl w:val="0"/>
                <w:numId w:val="92"/>
              </w:numPr>
              <w:jc w:val="center"/>
              <w:rPr>
                <w:rFonts w:ascii="Times New Roman" w:hAnsi="Times New Roman" w:eastAsia="宋体"/>
                <w:bCs/>
                <w:szCs w:val="21"/>
                <w:lang w:val="en-US"/>
              </w:rPr>
            </w:pPr>
          </w:p>
        </w:tc>
        <w:tc>
          <w:tcPr>
            <w:tcW w:w="0" w:type="auto"/>
            <w:vAlign w:val="center"/>
          </w:tcPr>
          <w:p>
            <w:pPr>
              <w:jc w:val="center"/>
              <w:rPr>
                <w:rFonts w:ascii="Times New Roman" w:hAnsi="Times New Roman" w:eastAsia="宋体"/>
              </w:rPr>
            </w:pPr>
          </w:p>
        </w:tc>
        <w:tc>
          <w:tcPr>
            <w:tcW w:w="0" w:type="auto"/>
            <w:vAlign w:val="center"/>
          </w:tcPr>
          <w:p>
            <w:pPr>
              <w:jc w:val="center"/>
              <w:rPr>
                <w:rFonts w:ascii="Times New Roman" w:hAnsi="Times New Roman" w:eastAsia="宋体"/>
                <w:lang w:val="en-US"/>
              </w:rPr>
            </w:pPr>
            <w:r>
              <w:rPr>
                <w:rFonts w:hint="eastAsia" w:ascii="Times New Roman" w:hAnsi="Times New Roman" w:eastAsia="宋体"/>
                <w:lang w:val="en-US"/>
              </w:rPr>
              <w:t>图谱显示功能</w:t>
            </w:r>
          </w:p>
        </w:tc>
        <w:tc>
          <w:tcPr>
            <w:tcW w:w="0" w:type="auto"/>
            <w:vAlign w:val="center"/>
          </w:tcPr>
          <w:p>
            <w:pPr>
              <w:jc w:val="both"/>
              <w:rPr>
                <w:rFonts w:ascii="Times New Roman" w:hAnsi="Times New Roman" w:eastAsia="宋体"/>
                <w:lang w:val="en-US"/>
              </w:rPr>
            </w:pPr>
            <w:r>
              <w:rPr>
                <w:rFonts w:hint="eastAsia" w:ascii="Times New Roman" w:hAnsi="Times New Roman" w:eastAsia="宋体"/>
                <w:lang w:val="en-US"/>
              </w:rPr>
              <w:t>系统软件支持以4KHz、6KHz、8KHz不少于3种带宽显示语谱图</w:t>
            </w:r>
          </w:p>
        </w:tc>
        <w:tc>
          <w:tcPr>
            <w:tcW w:w="0" w:type="auto"/>
            <w:vAlign w:val="center"/>
          </w:tcPr>
          <w:p>
            <w:pPr>
              <w:rPr>
                <w:rFonts w:ascii="Times New Roman" w:hAnsi="Times New Roman" w:eastAsia="宋体"/>
                <w:bCs/>
              </w:rPr>
            </w:pPr>
            <w:r>
              <w:rPr>
                <w:rFonts w:hint="eastAsia" w:ascii="宋体" w:hAnsi="宋体" w:eastAsia="宋体" w:cs="宋体"/>
                <w:kern w:val="0"/>
                <w:szCs w:val="21"/>
                <w:lang w:val="en-US"/>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center"/>
          </w:tcPr>
          <w:p>
            <w:pPr>
              <w:numPr>
                <w:ilvl w:val="0"/>
                <w:numId w:val="92"/>
              </w:numPr>
              <w:jc w:val="center"/>
              <w:rPr>
                <w:rFonts w:ascii="Times New Roman" w:hAnsi="Times New Roman" w:eastAsia="宋体"/>
                <w:bCs/>
                <w:szCs w:val="21"/>
                <w:lang w:val="en-US"/>
              </w:rPr>
            </w:pPr>
          </w:p>
        </w:tc>
        <w:tc>
          <w:tcPr>
            <w:tcW w:w="0" w:type="auto"/>
            <w:vAlign w:val="center"/>
          </w:tcPr>
          <w:p>
            <w:pPr>
              <w:jc w:val="center"/>
              <w:rPr>
                <w:rFonts w:ascii="Times New Roman" w:hAnsi="Times New Roman" w:eastAsia="宋体"/>
              </w:rPr>
            </w:pPr>
            <w:r>
              <w:rPr>
                <w:rFonts w:hint="eastAsia" w:ascii="宋体" w:hAnsi="宋体" w:eastAsia="宋体"/>
                <w:kern w:val="0"/>
                <w:lang w:val="en-US"/>
              </w:rPr>
              <w:t>▲</w:t>
            </w:r>
          </w:p>
        </w:tc>
        <w:tc>
          <w:tcPr>
            <w:tcW w:w="0" w:type="auto"/>
            <w:vAlign w:val="center"/>
          </w:tcPr>
          <w:p>
            <w:pPr>
              <w:jc w:val="center"/>
              <w:rPr>
                <w:rFonts w:ascii="Times New Roman" w:hAnsi="Times New Roman" w:eastAsia="宋体"/>
                <w:lang w:val="en-US"/>
              </w:rPr>
            </w:pPr>
            <w:r>
              <w:rPr>
                <w:rFonts w:hint="eastAsia" w:ascii="Times New Roman" w:hAnsi="Times New Roman" w:eastAsia="宋体"/>
                <w:lang w:val="en-US"/>
              </w:rPr>
              <w:t>图谱预设方案功能</w:t>
            </w:r>
          </w:p>
        </w:tc>
        <w:tc>
          <w:tcPr>
            <w:tcW w:w="0" w:type="auto"/>
            <w:vAlign w:val="center"/>
          </w:tcPr>
          <w:p>
            <w:pPr>
              <w:jc w:val="both"/>
              <w:rPr>
                <w:rFonts w:ascii="Times New Roman" w:hAnsi="Times New Roman" w:eastAsia="宋体"/>
                <w:color w:val="000000"/>
                <w:lang w:val="en-US"/>
              </w:rPr>
            </w:pPr>
            <w:r>
              <w:rPr>
                <w:rFonts w:hint="eastAsia" w:ascii="Times New Roman" w:hAnsi="Times New Roman" w:eastAsia="宋体"/>
                <w:lang w:val="en-US"/>
              </w:rPr>
              <w:t>支持不低于2套图谱预设方案</w:t>
            </w:r>
          </w:p>
        </w:tc>
        <w:tc>
          <w:tcPr>
            <w:tcW w:w="0" w:type="auto"/>
            <w:vAlign w:val="center"/>
          </w:tcPr>
          <w:p>
            <w:pPr>
              <w:rPr>
                <w:rFonts w:ascii="Times New Roman" w:hAnsi="Times New Roman" w:eastAsia="宋体"/>
                <w:bCs/>
              </w:rPr>
            </w:pPr>
            <w:r>
              <w:rPr>
                <w:rFonts w:hint="eastAsia" w:ascii="宋体" w:hAnsi="宋体" w:eastAsia="宋体" w:cs="宋体"/>
                <w:kern w:val="0"/>
                <w:szCs w:val="21"/>
                <w:lang w:val="en-US"/>
              </w:rPr>
              <w:t>提供软件功能截图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center"/>
          </w:tcPr>
          <w:p>
            <w:pPr>
              <w:numPr>
                <w:ilvl w:val="0"/>
                <w:numId w:val="92"/>
              </w:numPr>
              <w:jc w:val="center"/>
              <w:rPr>
                <w:rFonts w:ascii="Times New Roman" w:hAnsi="Times New Roman" w:eastAsia="宋体"/>
                <w:bCs/>
                <w:szCs w:val="21"/>
                <w:lang w:val="en-US"/>
              </w:rPr>
            </w:pPr>
          </w:p>
        </w:tc>
        <w:tc>
          <w:tcPr>
            <w:tcW w:w="0" w:type="auto"/>
            <w:vAlign w:val="center"/>
          </w:tcPr>
          <w:p>
            <w:pPr>
              <w:jc w:val="center"/>
              <w:rPr>
                <w:rFonts w:ascii="Times New Roman" w:hAnsi="Times New Roman" w:eastAsia="宋体"/>
              </w:rPr>
            </w:pPr>
            <w:r>
              <w:rPr>
                <w:rFonts w:hint="eastAsia" w:ascii="宋体" w:hAnsi="宋体" w:eastAsia="宋体"/>
                <w:kern w:val="0"/>
                <w:lang w:val="en-US"/>
              </w:rPr>
              <w:t>▲</w:t>
            </w:r>
          </w:p>
        </w:tc>
        <w:tc>
          <w:tcPr>
            <w:tcW w:w="0" w:type="auto"/>
            <w:vAlign w:val="center"/>
          </w:tcPr>
          <w:p>
            <w:pPr>
              <w:jc w:val="center"/>
              <w:rPr>
                <w:rFonts w:ascii="Times New Roman" w:hAnsi="Times New Roman" w:eastAsia="宋体"/>
                <w:lang w:val="en-US"/>
              </w:rPr>
            </w:pPr>
            <w:r>
              <w:rPr>
                <w:rFonts w:hint="eastAsia" w:ascii="Times New Roman" w:hAnsi="Times New Roman" w:eastAsia="宋体"/>
                <w:lang w:val="en-US"/>
              </w:rPr>
              <w:t>语音识别功能</w:t>
            </w:r>
          </w:p>
        </w:tc>
        <w:tc>
          <w:tcPr>
            <w:tcW w:w="0" w:type="auto"/>
            <w:vAlign w:val="center"/>
          </w:tcPr>
          <w:p>
            <w:pPr>
              <w:jc w:val="both"/>
              <w:rPr>
                <w:rFonts w:ascii="Times New Roman" w:hAnsi="Times New Roman" w:eastAsia="宋体"/>
                <w:lang w:val="en-US"/>
              </w:rPr>
            </w:pPr>
            <w:r>
              <w:rPr>
                <w:rFonts w:hint="eastAsia" w:ascii="Times New Roman" w:hAnsi="Times New Roman" w:eastAsia="宋体"/>
                <w:lang w:val="en-US"/>
              </w:rPr>
              <w:t>系统支持语音转文字功能，对导入的中文普通话音频一键转写成文字，语音转文字准确率应不低于99%</w:t>
            </w:r>
          </w:p>
        </w:tc>
        <w:tc>
          <w:tcPr>
            <w:tcW w:w="0" w:type="auto"/>
            <w:vAlign w:val="center"/>
          </w:tcPr>
          <w:p>
            <w:pPr>
              <w:rPr>
                <w:rFonts w:ascii="Times New Roman" w:hAnsi="Times New Roman" w:eastAsia="宋体"/>
                <w:bCs/>
              </w:rPr>
            </w:pPr>
            <w:r>
              <w:rPr>
                <w:rFonts w:hint="eastAsia" w:ascii="宋体" w:hAnsi="宋体" w:eastAsia="宋体" w:cs="宋体"/>
                <w:kern w:val="0"/>
                <w:szCs w:val="21"/>
                <w:lang w:val="en-US"/>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center"/>
          </w:tcPr>
          <w:p>
            <w:pPr>
              <w:numPr>
                <w:ilvl w:val="0"/>
                <w:numId w:val="92"/>
              </w:numPr>
              <w:jc w:val="center"/>
              <w:rPr>
                <w:rFonts w:ascii="Times New Roman" w:hAnsi="Times New Roman" w:eastAsia="宋体"/>
                <w:bCs/>
                <w:szCs w:val="21"/>
                <w:lang w:val="en-US"/>
              </w:rPr>
            </w:pPr>
          </w:p>
        </w:tc>
        <w:tc>
          <w:tcPr>
            <w:tcW w:w="0" w:type="auto"/>
            <w:vAlign w:val="center"/>
          </w:tcPr>
          <w:p>
            <w:pPr>
              <w:jc w:val="center"/>
              <w:rPr>
                <w:rFonts w:ascii="Times New Roman" w:hAnsi="Times New Roman" w:eastAsia="宋体"/>
              </w:rPr>
            </w:pPr>
          </w:p>
        </w:tc>
        <w:tc>
          <w:tcPr>
            <w:tcW w:w="0" w:type="auto"/>
            <w:vAlign w:val="center"/>
          </w:tcPr>
          <w:p>
            <w:pPr>
              <w:jc w:val="center"/>
              <w:rPr>
                <w:rFonts w:ascii="Times New Roman" w:hAnsi="Times New Roman" w:eastAsia="宋体"/>
                <w:lang w:val="en-US"/>
              </w:rPr>
            </w:pPr>
            <w:r>
              <w:rPr>
                <w:rFonts w:hint="eastAsia" w:ascii="Times New Roman" w:hAnsi="Times New Roman" w:eastAsia="宋体"/>
                <w:lang w:val="en-US"/>
              </w:rPr>
              <w:t>比对推荐</w:t>
            </w:r>
          </w:p>
        </w:tc>
        <w:tc>
          <w:tcPr>
            <w:tcW w:w="0" w:type="auto"/>
            <w:vAlign w:val="center"/>
          </w:tcPr>
          <w:p>
            <w:pPr>
              <w:jc w:val="both"/>
              <w:rPr>
                <w:rFonts w:ascii="Times New Roman" w:hAnsi="Times New Roman" w:eastAsia="宋体"/>
                <w:lang w:val="en-US"/>
              </w:rPr>
            </w:pPr>
            <w:r>
              <w:rPr>
                <w:rFonts w:hint="eastAsia" w:ascii="Times New Roman" w:hAnsi="Times New Roman" w:eastAsia="宋体"/>
                <w:lang w:val="en-US"/>
              </w:rPr>
              <w:t>系统支持特征音段比对推荐，可对样本和检材中相同特征音段进行比对处理，相同短语、单字、韵母的两两比对查看，同时还提供频次、相似度、共振峰条数按所选条件进行筛选，算法根据相似度自动排序</w:t>
            </w:r>
          </w:p>
        </w:tc>
        <w:tc>
          <w:tcPr>
            <w:tcW w:w="0" w:type="auto"/>
            <w:vAlign w:val="center"/>
          </w:tcPr>
          <w:p>
            <w:pPr>
              <w:rPr>
                <w:rFonts w:ascii="Times New Roman" w:hAnsi="Times New Roman" w:eastAsia="宋体"/>
                <w:bCs/>
              </w:rPr>
            </w:pPr>
            <w:r>
              <w:rPr>
                <w:rFonts w:hint="eastAsia" w:ascii="宋体" w:hAnsi="宋体" w:eastAsia="宋体" w:cs="宋体"/>
                <w:kern w:val="0"/>
                <w:szCs w:val="21"/>
                <w:lang w:val="en-US"/>
              </w:rPr>
              <w:t>提供软件功能截图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center"/>
          </w:tcPr>
          <w:p>
            <w:pPr>
              <w:numPr>
                <w:ilvl w:val="0"/>
                <w:numId w:val="92"/>
              </w:numPr>
              <w:jc w:val="center"/>
              <w:rPr>
                <w:rFonts w:ascii="Times New Roman" w:hAnsi="Times New Roman" w:eastAsia="宋体"/>
                <w:bCs/>
                <w:szCs w:val="21"/>
                <w:lang w:val="en-US"/>
              </w:rPr>
            </w:pPr>
          </w:p>
        </w:tc>
        <w:tc>
          <w:tcPr>
            <w:tcW w:w="0" w:type="auto"/>
            <w:vAlign w:val="center"/>
          </w:tcPr>
          <w:p>
            <w:pPr>
              <w:jc w:val="center"/>
              <w:rPr>
                <w:rFonts w:ascii="Times New Roman" w:hAnsi="Times New Roman" w:eastAsia="宋体"/>
              </w:rPr>
            </w:pPr>
            <w:r>
              <w:rPr>
                <w:rFonts w:hint="eastAsia" w:ascii="宋体" w:hAnsi="宋体" w:eastAsia="宋体" w:cs="宋体"/>
                <w:szCs w:val="21"/>
              </w:rPr>
              <w:t>★</w:t>
            </w:r>
          </w:p>
        </w:tc>
        <w:tc>
          <w:tcPr>
            <w:tcW w:w="0" w:type="auto"/>
            <w:vAlign w:val="center"/>
          </w:tcPr>
          <w:p>
            <w:pPr>
              <w:jc w:val="center"/>
              <w:rPr>
                <w:rFonts w:ascii="Times New Roman" w:hAnsi="Times New Roman" w:eastAsia="宋体"/>
                <w:lang w:val="en-US"/>
              </w:rPr>
            </w:pPr>
            <w:r>
              <w:rPr>
                <w:rFonts w:hint="eastAsia" w:ascii="Times New Roman" w:hAnsi="Times New Roman" w:eastAsia="宋体"/>
                <w:lang w:val="en-US"/>
              </w:rPr>
              <w:t>多个声谱画布同屏</w:t>
            </w:r>
          </w:p>
        </w:tc>
        <w:tc>
          <w:tcPr>
            <w:tcW w:w="0" w:type="auto"/>
            <w:vAlign w:val="center"/>
          </w:tcPr>
          <w:p>
            <w:pPr>
              <w:jc w:val="both"/>
              <w:rPr>
                <w:rFonts w:ascii="Times New Roman" w:hAnsi="Times New Roman" w:eastAsia="宋体"/>
                <w:lang w:val="en-US"/>
              </w:rPr>
            </w:pPr>
            <w:r>
              <w:rPr>
                <w:rFonts w:hint="eastAsia" w:ascii="Times New Roman" w:hAnsi="Times New Roman" w:eastAsia="宋体"/>
                <w:lang w:val="en-US"/>
              </w:rPr>
              <w:t>支持不少于20个画布新建，可对每个画布进行重命名和删除；支持宽带、窄带、共振峰轨迹片段图谱展示，共振峰可叠加显示在语谱图上；支持小图、中图、大图、超大图的片段大小展示</w:t>
            </w:r>
          </w:p>
        </w:tc>
        <w:tc>
          <w:tcPr>
            <w:tcW w:w="0" w:type="auto"/>
            <w:vAlign w:val="center"/>
          </w:tcPr>
          <w:p>
            <w:pPr>
              <w:rPr>
                <w:rFonts w:ascii="Times New Roman" w:hAnsi="Times New Roman" w:eastAsia="宋体"/>
                <w:bCs/>
              </w:rPr>
            </w:pPr>
            <w:r>
              <w:rPr>
                <w:rFonts w:hint="eastAsia" w:ascii="宋体" w:hAnsi="宋体" w:eastAsia="宋体" w:cs="宋体"/>
                <w:kern w:val="0"/>
                <w:szCs w:val="21"/>
                <w:lang w:val="en-US"/>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center"/>
          </w:tcPr>
          <w:p>
            <w:pPr>
              <w:numPr>
                <w:ilvl w:val="0"/>
                <w:numId w:val="92"/>
              </w:numPr>
              <w:jc w:val="center"/>
              <w:rPr>
                <w:rFonts w:ascii="Times New Roman" w:hAnsi="Times New Roman" w:eastAsia="宋体"/>
                <w:bCs/>
                <w:szCs w:val="21"/>
                <w:lang w:val="en-US"/>
              </w:rPr>
            </w:pPr>
          </w:p>
        </w:tc>
        <w:tc>
          <w:tcPr>
            <w:tcW w:w="0" w:type="auto"/>
            <w:vAlign w:val="center"/>
          </w:tcPr>
          <w:p>
            <w:pPr>
              <w:jc w:val="center"/>
              <w:rPr>
                <w:rFonts w:ascii="Times New Roman" w:hAnsi="Times New Roman" w:eastAsia="宋体"/>
              </w:rPr>
            </w:pPr>
          </w:p>
        </w:tc>
        <w:tc>
          <w:tcPr>
            <w:tcW w:w="0" w:type="auto"/>
            <w:vAlign w:val="center"/>
          </w:tcPr>
          <w:p>
            <w:pPr>
              <w:jc w:val="center"/>
              <w:rPr>
                <w:rFonts w:ascii="Times New Roman" w:hAnsi="Times New Roman" w:eastAsia="宋体"/>
                <w:lang w:val="en-US"/>
              </w:rPr>
            </w:pPr>
            <w:r>
              <w:rPr>
                <w:rFonts w:hint="eastAsia" w:ascii="Times New Roman" w:hAnsi="Times New Roman" w:eastAsia="宋体"/>
                <w:lang w:val="en-US"/>
              </w:rPr>
              <w:t>听觉分析</w:t>
            </w:r>
          </w:p>
        </w:tc>
        <w:tc>
          <w:tcPr>
            <w:tcW w:w="0" w:type="auto"/>
            <w:vAlign w:val="center"/>
          </w:tcPr>
          <w:p>
            <w:pPr>
              <w:jc w:val="both"/>
              <w:rPr>
                <w:rFonts w:ascii="Times New Roman" w:hAnsi="Times New Roman" w:eastAsia="宋体"/>
                <w:lang w:val="en-US"/>
              </w:rPr>
            </w:pPr>
            <w:r>
              <w:rPr>
                <w:rFonts w:hint="eastAsia" w:ascii="Times New Roman" w:hAnsi="Times New Roman" w:eastAsia="宋体"/>
                <w:lang w:val="en-US"/>
              </w:rPr>
              <w:t>系统支持听觉分析功能，包括:语速、音调高低、情绪、音量、嗓音纯度、清晰度、流畅度、共鸣方式、言语缺陷、舌位前后、方言、儿化音等，支持不低于19项听觉特征标注</w:t>
            </w:r>
          </w:p>
        </w:tc>
        <w:tc>
          <w:tcPr>
            <w:tcW w:w="0" w:type="auto"/>
            <w:vAlign w:val="center"/>
          </w:tcPr>
          <w:p>
            <w:pPr>
              <w:rPr>
                <w:rFonts w:ascii="Times New Roman" w:hAnsi="Times New Roman" w:eastAsia="宋体"/>
                <w:bCs/>
                <w:lang w:val="en-US"/>
              </w:rPr>
            </w:pPr>
            <w:r>
              <w:rPr>
                <w:rFonts w:hint="eastAsia" w:ascii="Times New Roman" w:hAnsi="Times New Roman" w:eastAsia="宋体"/>
                <w:bCs/>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center"/>
          </w:tcPr>
          <w:p>
            <w:pPr>
              <w:numPr>
                <w:ilvl w:val="0"/>
                <w:numId w:val="92"/>
              </w:numPr>
              <w:jc w:val="center"/>
              <w:rPr>
                <w:rFonts w:ascii="Times New Roman" w:hAnsi="Times New Roman" w:eastAsia="宋体"/>
                <w:bCs/>
                <w:szCs w:val="21"/>
                <w:lang w:val="en-US"/>
              </w:rPr>
            </w:pPr>
          </w:p>
        </w:tc>
        <w:tc>
          <w:tcPr>
            <w:tcW w:w="0" w:type="auto"/>
            <w:vAlign w:val="center"/>
          </w:tcPr>
          <w:p>
            <w:pPr>
              <w:jc w:val="center"/>
              <w:rPr>
                <w:rFonts w:ascii="Times New Roman" w:hAnsi="Times New Roman" w:eastAsia="宋体"/>
              </w:rPr>
            </w:pPr>
            <w:r>
              <w:rPr>
                <w:rFonts w:hint="eastAsia" w:ascii="宋体" w:hAnsi="宋体" w:eastAsia="宋体" w:cs="宋体"/>
                <w:szCs w:val="21"/>
              </w:rPr>
              <w:t>★</w:t>
            </w:r>
          </w:p>
        </w:tc>
        <w:tc>
          <w:tcPr>
            <w:tcW w:w="0" w:type="auto"/>
            <w:vAlign w:val="center"/>
          </w:tcPr>
          <w:p>
            <w:pPr>
              <w:jc w:val="center"/>
              <w:rPr>
                <w:rFonts w:ascii="Times New Roman" w:hAnsi="Times New Roman" w:eastAsia="宋体"/>
                <w:lang w:val="en-US"/>
              </w:rPr>
            </w:pPr>
            <w:r>
              <w:rPr>
                <w:rFonts w:hint="eastAsia" w:ascii="Times New Roman" w:hAnsi="Times New Roman" w:eastAsia="宋体"/>
                <w:lang w:val="en-US"/>
              </w:rPr>
              <w:t>语音画像</w:t>
            </w:r>
          </w:p>
        </w:tc>
        <w:tc>
          <w:tcPr>
            <w:tcW w:w="0" w:type="auto"/>
            <w:vAlign w:val="center"/>
          </w:tcPr>
          <w:p>
            <w:pPr>
              <w:jc w:val="both"/>
              <w:rPr>
                <w:rFonts w:ascii="Times New Roman" w:hAnsi="Times New Roman" w:eastAsia="宋体"/>
                <w:lang w:val="en-US"/>
              </w:rPr>
            </w:pPr>
            <w:r>
              <w:rPr>
                <w:rFonts w:hint="eastAsia" w:ascii="Times New Roman" w:hAnsi="Times New Roman" w:eastAsia="宋体"/>
                <w:lang w:val="en-US"/>
              </w:rPr>
              <w:t>系统支持语音画像功能，导入音频可自动显示:语种、性别、年龄，可人工填写：民族、籍贯、文化程度、情绪等，支持不低于4类画像特征</w:t>
            </w:r>
          </w:p>
        </w:tc>
        <w:tc>
          <w:tcPr>
            <w:tcW w:w="0" w:type="auto"/>
            <w:vAlign w:val="center"/>
          </w:tcPr>
          <w:p>
            <w:pPr>
              <w:rPr>
                <w:rFonts w:ascii="Times New Roman" w:hAnsi="Times New Roman" w:eastAsia="宋体"/>
                <w:bCs/>
              </w:rPr>
            </w:pPr>
            <w:r>
              <w:rPr>
                <w:rFonts w:hint="eastAsia" w:ascii="宋体" w:hAnsi="宋体" w:eastAsia="宋体" w:cs="宋体"/>
                <w:kern w:val="0"/>
                <w:szCs w:val="21"/>
                <w:lang w:val="en-US"/>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center"/>
          </w:tcPr>
          <w:p>
            <w:pPr>
              <w:numPr>
                <w:ilvl w:val="0"/>
                <w:numId w:val="92"/>
              </w:numPr>
              <w:jc w:val="center"/>
              <w:rPr>
                <w:rFonts w:ascii="Times New Roman" w:hAnsi="Times New Roman" w:eastAsia="宋体"/>
                <w:bCs/>
                <w:szCs w:val="21"/>
                <w:lang w:val="en-US"/>
              </w:rPr>
            </w:pPr>
          </w:p>
        </w:tc>
        <w:tc>
          <w:tcPr>
            <w:tcW w:w="0" w:type="auto"/>
            <w:vAlign w:val="center"/>
          </w:tcPr>
          <w:p>
            <w:pPr>
              <w:jc w:val="center"/>
              <w:rPr>
                <w:rFonts w:ascii="宋体" w:hAnsi="宋体" w:eastAsia="宋体" w:cs="宋体"/>
                <w:szCs w:val="21"/>
              </w:rPr>
            </w:pPr>
          </w:p>
        </w:tc>
        <w:tc>
          <w:tcPr>
            <w:tcW w:w="0" w:type="auto"/>
            <w:vAlign w:val="center"/>
          </w:tcPr>
          <w:p>
            <w:pPr>
              <w:jc w:val="center"/>
              <w:rPr>
                <w:rFonts w:ascii="Times New Roman" w:hAnsi="Times New Roman" w:eastAsia="宋体"/>
                <w:lang w:val="en-US"/>
              </w:rPr>
            </w:pPr>
            <w:r>
              <w:rPr>
                <w:rFonts w:hint="eastAsia" w:ascii="Times New Roman" w:hAnsi="Times New Roman" w:eastAsia="宋体"/>
                <w:lang w:val="en-US"/>
              </w:rPr>
              <w:t>波形叠加</w:t>
            </w:r>
          </w:p>
        </w:tc>
        <w:tc>
          <w:tcPr>
            <w:tcW w:w="0" w:type="auto"/>
            <w:vAlign w:val="center"/>
          </w:tcPr>
          <w:p>
            <w:pPr>
              <w:jc w:val="both"/>
              <w:rPr>
                <w:rFonts w:ascii="Times New Roman" w:hAnsi="Times New Roman" w:eastAsia="宋体"/>
                <w:color w:val="000000"/>
                <w:lang w:val="en-US"/>
              </w:rPr>
            </w:pPr>
            <w:r>
              <w:rPr>
                <w:rFonts w:hint="eastAsia" w:ascii="Times New Roman" w:hAnsi="Times New Roman" w:eastAsia="宋体"/>
                <w:lang w:val="en-US"/>
              </w:rPr>
              <w:t>系统支持波形比对，对检材和样本中的两个语音文件频谱图的波形从时间和频率等至少2个维度进行比对，并支持叠加分析</w:t>
            </w:r>
          </w:p>
        </w:tc>
        <w:tc>
          <w:tcPr>
            <w:tcW w:w="0" w:type="auto"/>
            <w:vAlign w:val="center"/>
          </w:tcPr>
          <w:p>
            <w:pPr>
              <w:rPr>
                <w:rFonts w:ascii="Times New Roman" w:hAnsi="Times New Roman" w:eastAsia="宋体"/>
                <w:bCs/>
                <w:color w:val="000000"/>
                <w:szCs w:val="21"/>
                <w:lang w:val="en-US"/>
              </w:rPr>
            </w:pPr>
            <w:r>
              <w:rPr>
                <w:rFonts w:hint="eastAsia" w:ascii="Times New Roman" w:hAnsi="Times New Roman" w:eastAsia="宋体"/>
                <w:bCs/>
                <w:color w:val="000000"/>
                <w:szCs w:val="21"/>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center"/>
          </w:tcPr>
          <w:p>
            <w:pPr>
              <w:numPr>
                <w:ilvl w:val="0"/>
                <w:numId w:val="92"/>
              </w:numPr>
              <w:jc w:val="center"/>
              <w:rPr>
                <w:rFonts w:ascii="Times New Roman" w:hAnsi="Times New Roman" w:eastAsia="宋体"/>
                <w:bCs/>
                <w:szCs w:val="21"/>
                <w:lang w:val="en-US"/>
              </w:rPr>
            </w:pPr>
          </w:p>
        </w:tc>
        <w:tc>
          <w:tcPr>
            <w:tcW w:w="0" w:type="auto"/>
            <w:vAlign w:val="center"/>
          </w:tcPr>
          <w:p>
            <w:pPr>
              <w:jc w:val="center"/>
              <w:rPr>
                <w:rFonts w:ascii="宋体" w:hAnsi="宋体" w:eastAsia="宋体" w:cs="宋体"/>
                <w:szCs w:val="21"/>
              </w:rPr>
            </w:pPr>
            <w:r>
              <w:rPr>
                <w:rFonts w:hint="eastAsia" w:ascii="宋体" w:hAnsi="宋体" w:eastAsia="宋体" w:cs="宋体"/>
                <w:szCs w:val="21"/>
              </w:rPr>
              <w:t>★</w:t>
            </w:r>
          </w:p>
        </w:tc>
        <w:tc>
          <w:tcPr>
            <w:tcW w:w="0" w:type="auto"/>
            <w:vAlign w:val="center"/>
          </w:tcPr>
          <w:p>
            <w:pPr>
              <w:jc w:val="center"/>
              <w:rPr>
                <w:rFonts w:ascii="Times New Roman" w:hAnsi="Times New Roman" w:eastAsia="宋体"/>
                <w:lang w:val="en-US"/>
              </w:rPr>
            </w:pPr>
            <w:r>
              <w:rPr>
                <w:rFonts w:hint="eastAsia" w:ascii="Times New Roman" w:hAnsi="Times New Roman" w:eastAsia="宋体"/>
                <w:lang w:val="en-US"/>
              </w:rPr>
              <w:t>偏差统计</w:t>
            </w:r>
          </w:p>
        </w:tc>
        <w:tc>
          <w:tcPr>
            <w:tcW w:w="0" w:type="auto"/>
            <w:vAlign w:val="center"/>
          </w:tcPr>
          <w:p>
            <w:pPr>
              <w:jc w:val="both"/>
              <w:rPr>
                <w:rFonts w:ascii="Times New Roman" w:hAnsi="Times New Roman" w:eastAsia="宋体"/>
                <w:lang w:val="en-US"/>
              </w:rPr>
            </w:pPr>
            <w:r>
              <w:rPr>
                <w:rFonts w:hint="eastAsia" w:ascii="Times New Roman" w:hAnsi="Times New Roman" w:eastAsia="宋体"/>
                <w:lang w:val="en-US"/>
              </w:rPr>
              <w:t>系统具有偏差分析功能，能对一个人至少2个相同的音素进行共振峰偏差的统计。支持从不同文件的音素窗口或标记窗口拖动相似的音素作为分析对象进行分析，计算出每个音素不同共振峰的偏差比例以及全部分析对象的最大偏差统计值</w:t>
            </w:r>
          </w:p>
        </w:tc>
        <w:tc>
          <w:tcPr>
            <w:tcW w:w="0" w:type="auto"/>
            <w:vAlign w:val="center"/>
          </w:tcPr>
          <w:p>
            <w:pPr>
              <w:rPr>
                <w:rFonts w:ascii="Times New Roman" w:hAnsi="Times New Roman" w:eastAsia="宋体"/>
                <w:bCs/>
                <w:color w:val="000000"/>
                <w:szCs w:val="21"/>
                <w:lang w:val="en-US"/>
              </w:rPr>
            </w:pPr>
            <w:r>
              <w:rPr>
                <w:rFonts w:hint="eastAsia" w:ascii="宋体" w:hAnsi="宋体" w:eastAsia="宋体" w:cs="宋体"/>
                <w:kern w:val="0"/>
                <w:szCs w:val="21"/>
                <w:lang w:val="en-US"/>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center"/>
          </w:tcPr>
          <w:p>
            <w:pPr>
              <w:numPr>
                <w:ilvl w:val="0"/>
                <w:numId w:val="92"/>
              </w:numPr>
              <w:jc w:val="center"/>
              <w:rPr>
                <w:rFonts w:ascii="Times New Roman" w:hAnsi="Times New Roman" w:eastAsia="宋体"/>
                <w:bCs/>
                <w:szCs w:val="21"/>
                <w:lang w:val="en-US"/>
              </w:rPr>
            </w:pPr>
          </w:p>
        </w:tc>
        <w:tc>
          <w:tcPr>
            <w:tcW w:w="0" w:type="auto"/>
            <w:vAlign w:val="center"/>
          </w:tcPr>
          <w:p>
            <w:pPr>
              <w:jc w:val="center"/>
              <w:rPr>
                <w:rFonts w:ascii="宋体" w:hAnsi="宋体" w:eastAsia="宋体" w:cs="宋体"/>
                <w:szCs w:val="21"/>
              </w:rPr>
            </w:pPr>
            <w:r>
              <w:rPr>
                <w:rFonts w:hint="eastAsia" w:ascii="宋体" w:hAnsi="宋体" w:eastAsia="宋体" w:cs="宋体"/>
                <w:szCs w:val="21"/>
              </w:rPr>
              <w:t>★</w:t>
            </w:r>
          </w:p>
        </w:tc>
        <w:tc>
          <w:tcPr>
            <w:tcW w:w="0" w:type="auto"/>
            <w:vAlign w:val="center"/>
          </w:tcPr>
          <w:p>
            <w:pPr>
              <w:jc w:val="center"/>
              <w:rPr>
                <w:rFonts w:ascii="Times New Roman" w:hAnsi="Times New Roman" w:eastAsia="宋体"/>
                <w:lang w:val="en-US"/>
              </w:rPr>
            </w:pPr>
            <w:r>
              <w:rPr>
                <w:rFonts w:hint="eastAsia" w:ascii="Times New Roman" w:hAnsi="Times New Roman" w:eastAsia="宋体"/>
                <w:lang w:val="en-US"/>
              </w:rPr>
              <w:t>以图搜图、算法优化</w:t>
            </w:r>
          </w:p>
        </w:tc>
        <w:tc>
          <w:tcPr>
            <w:tcW w:w="0" w:type="auto"/>
            <w:vAlign w:val="center"/>
          </w:tcPr>
          <w:p>
            <w:pPr>
              <w:jc w:val="both"/>
              <w:rPr>
                <w:rFonts w:ascii="Times New Roman" w:hAnsi="Times New Roman" w:eastAsia="宋体"/>
                <w:lang w:val="en-US"/>
              </w:rPr>
            </w:pPr>
            <w:r>
              <w:rPr>
                <w:rFonts w:hint="eastAsia" w:ascii="Times New Roman" w:hAnsi="Times New Roman" w:eastAsia="宋体"/>
                <w:lang w:val="en-US"/>
              </w:rPr>
              <w:t>系统支持以图搜图功能，对选定语谱图，可在至少2种文件中搜索具有相似语谱图的选区；鉴定客户端支持打开显卡加速功能，使内置算法能通过GPU硬件加速提升算力，减少计算时间</w:t>
            </w:r>
          </w:p>
        </w:tc>
        <w:tc>
          <w:tcPr>
            <w:tcW w:w="0" w:type="auto"/>
            <w:vAlign w:val="center"/>
          </w:tcPr>
          <w:p>
            <w:pPr>
              <w:rPr>
                <w:rFonts w:ascii="Times New Roman" w:hAnsi="Times New Roman" w:eastAsia="宋体"/>
                <w:bCs/>
                <w:color w:val="000000"/>
                <w:szCs w:val="21"/>
                <w:lang w:val="en-US"/>
              </w:rPr>
            </w:pPr>
            <w:r>
              <w:rPr>
                <w:rFonts w:hint="eastAsia" w:ascii="Times New Roman" w:hAnsi="Times New Roman" w:eastAsia="宋体"/>
                <w:bCs/>
                <w:color w:val="000000"/>
                <w:szCs w:val="21"/>
                <w:lang w:val="en-US"/>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center"/>
          </w:tcPr>
          <w:p>
            <w:pPr>
              <w:numPr>
                <w:ilvl w:val="0"/>
                <w:numId w:val="92"/>
              </w:numPr>
              <w:jc w:val="center"/>
              <w:rPr>
                <w:rFonts w:ascii="Times New Roman" w:hAnsi="Times New Roman" w:eastAsia="宋体"/>
                <w:bCs/>
                <w:szCs w:val="21"/>
                <w:lang w:val="en-US"/>
              </w:rPr>
            </w:pPr>
          </w:p>
        </w:tc>
        <w:tc>
          <w:tcPr>
            <w:tcW w:w="0" w:type="auto"/>
            <w:vAlign w:val="center"/>
          </w:tcPr>
          <w:p>
            <w:pPr>
              <w:jc w:val="center"/>
              <w:rPr>
                <w:rFonts w:ascii="宋体" w:hAnsi="宋体" w:eastAsia="宋体" w:cs="宋体"/>
                <w:szCs w:val="21"/>
              </w:rPr>
            </w:pPr>
          </w:p>
        </w:tc>
        <w:tc>
          <w:tcPr>
            <w:tcW w:w="0" w:type="auto"/>
            <w:vAlign w:val="center"/>
          </w:tcPr>
          <w:p>
            <w:pPr>
              <w:jc w:val="center"/>
              <w:rPr>
                <w:rFonts w:ascii="Times New Roman" w:hAnsi="Times New Roman" w:eastAsia="宋体"/>
                <w:lang w:val="en-US"/>
              </w:rPr>
            </w:pPr>
            <w:r>
              <w:rPr>
                <w:rFonts w:hint="eastAsia" w:ascii="Times New Roman" w:hAnsi="Times New Roman" w:eastAsia="宋体"/>
                <w:lang w:val="en-US"/>
              </w:rPr>
              <w:t>国产化支持</w:t>
            </w:r>
          </w:p>
        </w:tc>
        <w:tc>
          <w:tcPr>
            <w:tcW w:w="0" w:type="auto"/>
            <w:vAlign w:val="center"/>
          </w:tcPr>
          <w:p>
            <w:pPr>
              <w:jc w:val="both"/>
              <w:rPr>
                <w:rFonts w:ascii="Times New Roman" w:hAnsi="Times New Roman" w:eastAsia="宋体"/>
                <w:lang w:val="en-US"/>
              </w:rPr>
            </w:pPr>
            <w:r>
              <w:rPr>
                <w:rFonts w:hint="eastAsia" w:ascii="Times New Roman" w:hAnsi="Times New Roman" w:eastAsia="宋体"/>
                <w:lang w:val="en-US"/>
              </w:rPr>
              <w:t>鉴定客户端软件支持国产芯片硬件，如海光处理器，鲲鹏处理器等至少2种适配。可在国产操作系统完整运行，如银河麒麟，统信uos进行检验鉴定</w:t>
            </w:r>
          </w:p>
        </w:tc>
        <w:tc>
          <w:tcPr>
            <w:tcW w:w="0" w:type="auto"/>
            <w:vAlign w:val="center"/>
          </w:tcPr>
          <w:p>
            <w:pPr>
              <w:rPr>
                <w:rFonts w:ascii="Times New Roman" w:hAnsi="Times New Roman" w:eastAsia="宋体"/>
                <w:bCs/>
                <w:color w:val="0000FF"/>
                <w:szCs w:val="21"/>
                <w:lang w:val="en-US"/>
              </w:rPr>
            </w:pPr>
            <w:r>
              <w:rPr>
                <w:rFonts w:hint="eastAsia" w:ascii="Times New Roman" w:hAnsi="Times New Roman" w:eastAsia="宋体"/>
                <w:bCs/>
                <w:color w:val="0000FF"/>
                <w:szCs w:val="21"/>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center"/>
          </w:tcPr>
          <w:p>
            <w:pPr>
              <w:numPr>
                <w:ilvl w:val="0"/>
                <w:numId w:val="92"/>
              </w:numPr>
              <w:jc w:val="center"/>
              <w:rPr>
                <w:rFonts w:ascii="Times New Roman" w:hAnsi="Times New Roman" w:eastAsia="宋体"/>
                <w:bCs/>
                <w:szCs w:val="21"/>
                <w:lang w:val="en-US"/>
              </w:rPr>
            </w:pPr>
          </w:p>
        </w:tc>
        <w:tc>
          <w:tcPr>
            <w:tcW w:w="0" w:type="auto"/>
            <w:vAlign w:val="center"/>
          </w:tcPr>
          <w:p>
            <w:pPr>
              <w:jc w:val="center"/>
              <w:rPr>
                <w:rFonts w:ascii="宋体" w:hAnsi="宋体" w:eastAsia="宋体" w:cs="宋体"/>
                <w:szCs w:val="21"/>
              </w:rPr>
            </w:pPr>
            <w:r>
              <w:rPr>
                <w:rFonts w:hint="eastAsia" w:ascii="宋体" w:hAnsi="宋体" w:eastAsia="宋体" w:cs="宋体"/>
                <w:szCs w:val="21"/>
              </w:rPr>
              <w:t>★</w:t>
            </w:r>
          </w:p>
        </w:tc>
        <w:tc>
          <w:tcPr>
            <w:tcW w:w="0" w:type="auto"/>
            <w:vAlign w:val="center"/>
          </w:tcPr>
          <w:p>
            <w:pPr>
              <w:jc w:val="center"/>
              <w:rPr>
                <w:rFonts w:ascii="Times New Roman" w:hAnsi="Times New Roman" w:eastAsia="宋体"/>
                <w:lang w:val="en-US"/>
              </w:rPr>
            </w:pPr>
            <w:r>
              <w:rPr>
                <w:rFonts w:hint="eastAsia" w:ascii="Times New Roman" w:hAnsi="Times New Roman" w:eastAsia="宋体"/>
                <w:lang w:val="en-US"/>
              </w:rPr>
              <w:t>语音真实性检测功能</w:t>
            </w:r>
          </w:p>
        </w:tc>
        <w:tc>
          <w:tcPr>
            <w:tcW w:w="0" w:type="auto"/>
            <w:vAlign w:val="center"/>
          </w:tcPr>
          <w:p>
            <w:pPr>
              <w:jc w:val="both"/>
              <w:rPr>
                <w:rFonts w:ascii="Times New Roman" w:hAnsi="Times New Roman" w:eastAsia="宋体"/>
                <w:lang w:val="en-US"/>
              </w:rPr>
            </w:pPr>
            <w:r>
              <w:rPr>
                <w:rFonts w:hint="eastAsia" w:ascii="Times New Roman" w:hAnsi="Times New Roman" w:eastAsia="宋体"/>
                <w:lang w:val="en-US"/>
              </w:rPr>
              <w:t>可通过系统软件分析语音文件是否含电网噪声、手机TDMA等2种或以上单噪声，可判断语音是否经过修改、拼接及编辑</w:t>
            </w:r>
          </w:p>
        </w:tc>
        <w:tc>
          <w:tcPr>
            <w:tcW w:w="0" w:type="auto"/>
            <w:vAlign w:val="center"/>
          </w:tcPr>
          <w:p>
            <w:pPr>
              <w:rPr>
                <w:rFonts w:ascii="Times New Roman" w:hAnsi="Times New Roman" w:eastAsia="宋体"/>
                <w:bCs/>
                <w:color w:val="000000"/>
                <w:szCs w:val="21"/>
                <w:lang w:val="en-US"/>
              </w:rPr>
            </w:pPr>
            <w:r>
              <w:rPr>
                <w:rFonts w:hint="eastAsia" w:ascii="宋体" w:hAnsi="宋体" w:eastAsia="宋体" w:cs="宋体"/>
                <w:kern w:val="0"/>
                <w:szCs w:val="21"/>
                <w:lang w:val="en-US"/>
              </w:rPr>
              <w:t>检验报告</w:t>
            </w:r>
          </w:p>
        </w:tc>
      </w:tr>
    </w:tbl>
    <w:p>
      <w:pPr>
        <w:rPr>
          <w:rFonts w:asciiTheme="minorEastAsia" w:hAnsiTheme="minorEastAsia" w:eastAsiaTheme="minorEastAsia" w:cstheme="minorEastAsia"/>
          <w:bCs/>
          <w:sz w:val="24"/>
          <w:szCs w:val="21"/>
        </w:rPr>
      </w:pPr>
    </w:p>
    <w:p>
      <w:pPr>
        <w:pStyle w:val="5"/>
        <w:spacing w:before="156"/>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第1</w:t>
      </w:r>
      <w:r>
        <w:rPr>
          <w:rFonts w:asciiTheme="minorEastAsia" w:hAnsiTheme="minorEastAsia" w:eastAsiaTheme="minorEastAsia" w:cstheme="minorEastAsia"/>
          <w:szCs w:val="21"/>
        </w:rPr>
        <w:t>1</w:t>
      </w:r>
      <w:r>
        <w:rPr>
          <w:rFonts w:hint="eastAsia" w:asciiTheme="minorEastAsia" w:hAnsiTheme="minorEastAsia" w:eastAsiaTheme="minorEastAsia" w:cstheme="minorEastAsia"/>
          <w:szCs w:val="21"/>
        </w:rPr>
        <w:t>包 声纹工作站</w:t>
      </w:r>
      <w:r>
        <w:rPr>
          <w:color w:val="000000"/>
          <w:kern w:val="0"/>
          <w:szCs w:val="21"/>
          <w:lang w:val="en-US" w:bidi="ar"/>
        </w:rPr>
        <w:t>Ⅲ</w:t>
      </w:r>
    </w:p>
    <w:tbl>
      <w:tblPr>
        <w:tblStyle w:val="8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709"/>
        <w:gridCol w:w="1287"/>
        <w:gridCol w:w="3983"/>
        <w:gridCol w:w="14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4" w:type="dxa"/>
            <w:tcBorders>
              <w:tl2br w:val="nil"/>
              <w:tr2bl w:val="nil"/>
            </w:tcBorders>
            <w:shd w:val="clear" w:color="auto" w:fill="auto"/>
            <w:vAlign w:val="center"/>
          </w:tcPr>
          <w:p>
            <w:pPr>
              <w:jc w:val="center"/>
              <w:rPr>
                <w:rFonts w:ascii="Times New Roman" w:hAnsi="Times New Roman" w:eastAsia="宋体"/>
                <w:b/>
                <w:bCs/>
                <w:kern w:val="0"/>
                <w:szCs w:val="21"/>
                <w:lang w:val="en-US"/>
              </w:rPr>
            </w:pPr>
            <w:r>
              <w:rPr>
                <w:rFonts w:hint="eastAsia" w:ascii="Times New Roman" w:hAnsi="Times New Roman" w:eastAsia="宋体"/>
                <w:b/>
                <w:bCs/>
                <w:kern w:val="0"/>
                <w:szCs w:val="21"/>
                <w:lang w:val="en-US"/>
              </w:rPr>
              <w:t>序号</w:t>
            </w:r>
          </w:p>
        </w:tc>
        <w:tc>
          <w:tcPr>
            <w:tcW w:w="709" w:type="dxa"/>
            <w:tcBorders>
              <w:tl2br w:val="nil"/>
              <w:tr2bl w:val="nil"/>
            </w:tcBorders>
            <w:shd w:val="clear" w:color="auto" w:fill="auto"/>
            <w:vAlign w:val="center"/>
          </w:tcPr>
          <w:p>
            <w:pPr>
              <w:jc w:val="center"/>
              <w:rPr>
                <w:rFonts w:ascii="Times New Roman" w:hAnsi="Times New Roman" w:eastAsia="宋体"/>
                <w:b/>
                <w:bCs/>
                <w:kern w:val="0"/>
                <w:szCs w:val="21"/>
                <w:lang w:val="en-US"/>
              </w:rPr>
            </w:pPr>
            <w:r>
              <w:rPr>
                <w:rFonts w:hint="eastAsia" w:ascii="Times New Roman" w:hAnsi="Times New Roman" w:eastAsia="宋体"/>
                <w:b/>
                <w:bCs/>
                <w:kern w:val="0"/>
                <w:szCs w:val="21"/>
                <w:lang w:val="en-US"/>
              </w:rPr>
              <w:t>重要性</w:t>
            </w:r>
          </w:p>
        </w:tc>
        <w:tc>
          <w:tcPr>
            <w:tcW w:w="1287" w:type="dxa"/>
            <w:tcBorders>
              <w:tl2br w:val="nil"/>
              <w:tr2bl w:val="nil"/>
            </w:tcBorders>
            <w:shd w:val="clear" w:color="auto" w:fill="auto"/>
            <w:vAlign w:val="center"/>
          </w:tcPr>
          <w:p>
            <w:pPr>
              <w:jc w:val="center"/>
              <w:rPr>
                <w:rFonts w:ascii="Times New Roman" w:hAnsi="Times New Roman" w:eastAsia="宋体"/>
                <w:b/>
                <w:bCs/>
                <w:kern w:val="0"/>
                <w:szCs w:val="21"/>
                <w:lang w:val="en-US"/>
              </w:rPr>
            </w:pPr>
            <w:r>
              <w:rPr>
                <w:rFonts w:hint="eastAsia" w:ascii="Times New Roman" w:hAnsi="Times New Roman" w:eastAsia="宋体"/>
                <w:b/>
                <w:bCs/>
                <w:kern w:val="0"/>
                <w:szCs w:val="21"/>
                <w:lang w:val="en-US"/>
              </w:rPr>
              <w:t>指标项</w:t>
            </w:r>
          </w:p>
        </w:tc>
        <w:tc>
          <w:tcPr>
            <w:tcW w:w="3983" w:type="dxa"/>
            <w:tcBorders>
              <w:tl2br w:val="nil"/>
              <w:tr2bl w:val="nil"/>
            </w:tcBorders>
            <w:shd w:val="clear" w:color="auto" w:fill="auto"/>
            <w:vAlign w:val="center"/>
          </w:tcPr>
          <w:p>
            <w:pPr>
              <w:jc w:val="center"/>
              <w:rPr>
                <w:rFonts w:ascii="Times New Roman" w:hAnsi="Times New Roman" w:eastAsia="宋体"/>
                <w:b/>
                <w:bCs/>
                <w:kern w:val="0"/>
                <w:szCs w:val="21"/>
                <w:lang w:val="en-US"/>
              </w:rPr>
            </w:pPr>
            <w:r>
              <w:rPr>
                <w:rFonts w:hint="eastAsia" w:ascii="Times New Roman" w:hAnsi="Times New Roman" w:eastAsia="宋体"/>
                <w:b/>
                <w:bCs/>
                <w:kern w:val="0"/>
                <w:szCs w:val="21"/>
                <w:lang w:val="en-US"/>
              </w:rPr>
              <w:t>技术要求</w:t>
            </w:r>
          </w:p>
        </w:tc>
        <w:tc>
          <w:tcPr>
            <w:tcW w:w="1443" w:type="dxa"/>
            <w:tcBorders>
              <w:tl2br w:val="nil"/>
              <w:tr2bl w:val="nil"/>
            </w:tcBorders>
            <w:shd w:val="clear" w:color="auto" w:fill="auto"/>
            <w:vAlign w:val="center"/>
          </w:tcPr>
          <w:p>
            <w:pPr>
              <w:jc w:val="center"/>
              <w:rPr>
                <w:rFonts w:ascii="Times New Roman" w:hAnsi="Times New Roman" w:eastAsia="宋体"/>
                <w:b/>
                <w:bCs/>
                <w:kern w:val="0"/>
                <w:szCs w:val="21"/>
                <w:lang w:val="en-US"/>
              </w:rPr>
            </w:pPr>
            <w:r>
              <w:rPr>
                <w:rFonts w:hint="eastAsia" w:ascii="Times New Roman" w:hAnsi="Times New Roman" w:eastAsia="宋体"/>
                <w:b/>
                <w:bCs/>
                <w:kern w:val="0"/>
                <w:szCs w:val="21"/>
                <w:lang w:val="en-US"/>
              </w:rPr>
              <w:t>证明材料要求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704" w:type="dxa"/>
            <w:tcBorders>
              <w:tl2br w:val="nil"/>
              <w:tr2bl w:val="nil"/>
            </w:tcBorders>
            <w:shd w:val="clear" w:color="auto" w:fill="auto"/>
            <w:noWrap/>
            <w:vAlign w:val="center"/>
          </w:tcPr>
          <w:p>
            <w:pPr>
              <w:numPr>
                <w:ilvl w:val="0"/>
                <w:numId w:val="93"/>
              </w:numPr>
              <w:jc w:val="center"/>
              <w:rPr>
                <w:rFonts w:ascii="Times New Roman" w:hAnsi="Times New Roman" w:eastAsia="宋体"/>
                <w:kern w:val="0"/>
                <w:szCs w:val="21"/>
                <w:lang w:val="en-US"/>
              </w:rPr>
            </w:pPr>
          </w:p>
        </w:tc>
        <w:tc>
          <w:tcPr>
            <w:tcW w:w="709" w:type="dxa"/>
            <w:tcBorders>
              <w:tl2br w:val="nil"/>
              <w:tr2bl w:val="nil"/>
            </w:tcBorders>
            <w:shd w:val="clear" w:color="auto" w:fill="auto"/>
            <w:noWrap/>
            <w:vAlign w:val="center"/>
          </w:tcPr>
          <w:p>
            <w:pPr>
              <w:jc w:val="center"/>
              <w:rPr>
                <w:rFonts w:ascii="Times New Roman" w:hAnsi="Times New Roman" w:eastAsia="宋体"/>
                <w:kern w:val="0"/>
                <w:szCs w:val="21"/>
                <w:lang w:val="en-US"/>
              </w:rPr>
            </w:pPr>
            <w:r>
              <w:rPr>
                <w:rFonts w:ascii="Segoe UI Symbol" w:hAnsi="Segoe UI Symbol" w:eastAsia="宋体" w:cs="Segoe UI Symbol"/>
                <w:szCs w:val="21"/>
              </w:rPr>
              <w:t>★</w:t>
            </w:r>
          </w:p>
        </w:tc>
        <w:tc>
          <w:tcPr>
            <w:tcW w:w="1287" w:type="dxa"/>
            <w:tcBorders>
              <w:tl2br w:val="nil"/>
              <w:tr2bl w:val="nil"/>
            </w:tcBorders>
            <w:shd w:val="clear" w:color="auto" w:fill="auto"/>
            <w:vAlign w:val="center"/>
          </w:tcPr>
          <w:p>
            <w:pPr>
              <w:jc w:val="center"/>
              <w:rPr>
                <w:rFonts w:ascii="Times New Roman" w:hAnsi="Times New Roman" w:eastAsia="宋体"/>
                <w:kern w:val="0"/>
                <w:szCs w:val="21"/>
                <w:lang w:val="en-US"/>
              </w:rPr>
            </w:pPr>
            <w:r>
              <w:rPr>
                <w:rFonts w:hint="eastAsia" w:ascii="Times New Roman" w:hAnsi="Times New Roman" w:eastAsia="宋体"/>
                <w:kern w:val="0"/>
                <w:szCs w:val="21"/>
                <w:lang w:val="en-US"/>
              </w:rPr>
              <w:t>录音</w:t>
            </w:r>
          </w:p>
        </w:tc>
        <w:tc>
          <w:tcPr>
            <w:tcW w:w="3983" w:type="dxa"/>
            <w:tcBorders>
              <w:tl2br w:val="nil"/>
              <w:tr2bl w:val="nil"/>
            </w:tcBorders>
            <w:shd w:val="clear" w:color="auto" w:fill="auto"/>
            <w:noWrap/>
            <w:vAlign w:val="center"/>
          </w:tcPr>
          <w:p>
            <w:pPr>
              <w:jc w:val="both"/>
              <w:rPr>
                <w:rFonts w:ascii="Times New Roman" w:hAnsi="Times New Roman" w:eastAsia="宋体"/>
                <w:kern w:val="0"/>
                <w:szCs w:val="21"/>
                <w:lang w:val="en-US"/>
              </w:rPr>
            </w:pPr>
            <w:r>
              <w:rPr>
                <w:rFonts w:hint="eastAsia" w:ascii="Times New Roman" w:hAnsi="Times New Roman" w:eastAsia="宋体"/>
                <w:kern w:val="0"/>
                <w:szCs w:val="21"/>
                <w:lang w:val="en-US"/>
              </w:rPr>
              <w:t>支持不少于</w:t>
            </w:r>
            <w:r>
              <w:rPr>
                <w:rFonts w:ascii="Times New Roman" w:hAnsi="Times New Roman" w:eastAsia="宋体"/>
                <w:kern w:val="0"/>
                <w:szCs w:val="21"/>
                <w:lang w:val="en-US"/>
              </w:rPr>
              <w:t>2</w:t>
            </w:r>
            <w:r>
              <w:rPr>
                <w:rFonts w:hint="eastAsia" w:ascii="Times New Roman" w:hAnsi="Times New Roman" w:eastAsia="宋体"/>
                <w:kern w:val="0"/>
                <w:szCs w:val="21"/>
                <w:lang w:val="en-US"/>
              </w:rPr>
              <w:t>种录音方式，至少支持麦克风录音和系统内录音两种方式，录音后生成标准的</w:t>
            </w:r>
            <w:r>
              <w:rPr>
                <w:rFonts w:ascii="Times New Roman" w:hAnsi="Times New Roman" w:eastAsia="宋体"/>
                <w:kern w:val="0"/>
                <w:szCs w:val="21"/>
                <w:lang w:val="en-US"/>
              </w:rPr>
              <w:t>WAV</w:t>
            </w:r>
            <w:r>
              <w:rPr>
                <w:rFonts w:hint="eastAsia" w:ascii="Times New Roman" w:hAnsi="Times New Roman" w:eastAsia="宋体"/>
                <w:kern w:val="0"/>
                <w:szCs w:val="21"/>
                <w:lang w:val="en-US"/>
              </w:rPr>
              <w:t>格式文件</w:t>
            </w:r>
          </w:p>
        </w:tc>
        <w:tc>
          <w:tcPr>
            <w:tcW w:w="1443" w:type="dxa"/>
            <w:tcBorders>
              <w:tl2br w:val="nil"/>
              <w:tr2bl w:val="nil"/>
            </w:tcBorders>
            <w:shd w:val="clear" w:color="auto" w:fill="auto"/>
            <w:vAlign w:val="center"/>
          </w:tcPr>
          <w:p>
            <w:pPr>
              <w:jc w:val="center"/>
              <w:rPr>
                <w:rFonts w:ascii="Times New Roman" w:hAnsi="Times New Roman" w:eastAsia="宋体"/>
                <w:kern w:val="0"/>
                <w:szCs w:val="21"/>
                <w:lang w:val="en-US"/>
              </w:rPr>
            </w:pPr>
            <w:r>
              <w:rPr>
                <w:rFonts w:hint="eastAsia" w:ascii="Times New Roman" w:hAnsi="Times New Roman" w:eastAsia="宋体"/>
                <w:kern w:val="0"/>
                <w:szCs w:val="21"/>
                <w:lang w:val="en-US"/>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704" w:type="dxa"/>
            <w:tcBorders>
              <w:tl2br w:val="nil"/>
              <w:tr2bl w:val="nil"/>
            </w:tcBorders>
            <w:shd w:val="clear" w:color="auto" w:fill="auto"/>
            <w:noWrap/>
            <w:vAlign w:val="center"/>
          </w:tcPr>
          <w:p>
            <w:pPr>
              <w:numPr>
                <w:ilvl w:val="0"/>
                <w:numId w:val="93"/>
              </w:numPr>
              <w:jc w:val="center"/>
              <w:rPr>
                <w:rFonts w:ascii="Times New Roman" w:hAnsi="Times New Roman" w:eastAsia="宋体"/>
                <w:kern w:val="0"/>
                <w:szCs w:val="21"/>
                <w:lang w:val="en-US"/>
              </w:rPr>
            </w:pPr>
          </w:p>
        </w:tc>
        <w:tc>
          <w:tcPr>
            <w:tcW w:w="709" w:type="dxa"/>
            <w:tcBorders>
              <w:tl2br w:val="nil"/>
              <w:tr2bl w:val="nil"/>
            </w:tcBorders>
            <w:shd w:val="clear" w:color="auto" w:fill="auto"/>
            <w:noWrap/>
            <w:vAlign w:val="center"/>
          </w:tcPr>
          <w:p>
            <w:pPr>
              <w:jc w:val="center"/>
              <w:rPr>
                <w:rFonts w:ascii="Times New Roman" w:hAnsi="Times New Roman" w:eastAsia="宋体"/>
                <w:kern w:val="0"/>
                <w:szCs w:val="21"/>
                <w:lang w:val="en-US"/>
              </w:rPr>
            </w:pPr>
            <w:r>
              <w:rPr>
                <w:rFonts w:ascii="Segoe UI Symbol" w:hAnsi="Segoe UI Symbol" w:eastAsia="宋体" w:cs="Segoe UI Symbol"/>
                <w:szCs w:val="21"/>
              </w:rPr>
              <w:t>★</w:t>
            </w:r>
          </w:p>
        </w:tc>
        <w:tc>
          <w:tcPr>
            <w:tcW w:w="1287" w:type="dxa"/>
            <w:tcBorders>
              <w:tl2br w:val="nil"/>
              <w:tr2bl w:val="nil"/>
            </w:tcBorders>
            <w:shd w:val="clear" w:color="auto" w:fill="auto"/>
            <w:vAlign w:val="center"/>
          </w:tcPr>
          <w:p>
            <w:pPr>
              <w:jc w:val="center"/>
              <w:rPr>
                <w:rFonts w:ascii="Times New Roman" w:hAnsi="Times New Roman" w:eastAsia="宋体"/>
                <w:kern w:val="0"/>
                <w:szCs w:val="21"/>
                <w:lang w:val="en-US"/>
              </w:rPr>
            </w:pPr>
            <w:r>
              <w:rPr>
                <w:rFonts w:hint="eastAsia" w:ascii="Times New Roman" w:hAnsi="Times New Roman" w:eastAsia="宋体"/>
                <w:kern w:val="0"/>
                <w:szCs w:val="21"/>
                <w:lang w:val="en-US"/>
              </w:rPr>
              <w:t>倍速播放</w:t>
            </w:r>
          </w:p>
        </w:tc>
        <w:tc>
          <w:tcPr>
            <w:tcW w:w="3983" w:type="dxa"/>
            <w:tcBorders>
              <w:tl2br w:val="nil"/>
              <w:tr2bl w:val="nil"/>
            </w:tcBorders>
            <w:shd w:val="clear" w:color="auto" w:fill="auto"/>
            <w:noWrap/>
            <w:vAlign w:val="center"/>
          </w:tcPr>
          <w:p>
            <w:pPr>
              <w:jc w:val="both"/>
              <w:rPr>
                <w:rFonts w:ascii="Times New Roman" w:hAnsi="Times New Roman" w:eastAsia="宋体"/>
                <w:kern w:val="0"/>
                <w:szCs w:val="21"/>
                <w:lang w:val="en-US"/>
              </w:rPr>
            </w:pPr>
            <w:r>
              <w:rPr>
                <w:rFonts w:hint="eastAsia" w:ascii="Times New Roman" w:hAnsi="Times New Roman" w:eastAsia="宋体"/>
                <w:kern w:val="0"/>
                <w:szCs w:val="21"/>
                <w:lang w:val="en-US"/>
              </w:rPr>
              <w:t>支持不少于</w:t>
            </w:r>
            <w:r>
              <w:rPr>
                <w:rFonts w:ascii="Times New Roman" w:hAnsi="Times New Roman" w:eastAsia="宋体"/>
                <w:kern w:val="0"/>
                <w:szCs w:val="21"/>
                <w:lang w:val="en-US"/>
              </w:rPr>
              <w:t>5</w:t>
            </w:r>
            <w:r>
              <w:rPr>
                <w:rFonts w:hint="eastAsia" w:ascii="Times New Roman" w:hAnsi="Times New Roman" w:eastAsia="宋体"/>
                <w:kern w:val="0"/>
                <w:szCs w:val="21"/>
                <w:lang w:val="en-US"/>
              </w:rPr>
              <w:t>种倍速播放，支持</w:t>
            </w:r>
            <w:r>
              <w:rPr>
                <w:rFonts w:ascii="Times New Roman" w:hAnsi="Times New Roman" w:eastAsia="宋体"/>
                <w:kern w:val="0"/>
                <w:szCs w:val="21"/>
                <w:lang w:val="en-US"/>
              </w:rPr>
              <w:t>0.5</w:t>
            </w:r>
            <w:r>
              <w:rPr>
                <w:rFonts w:hint="eastAsia" w:ascii="Times New Roman" w:hAnsi="Times New Roman" w:eastAsia="宋体"/>
                <w:kern w:val="0"/>
                <w:szCs w:val="21"/>
                <w:lang w:val="en-US"/>
              </w:rPr>
              <w:t>倍、</w:t>
            </w:r>
            <w:r>
              <w:rPr>
                <w:rFonts w:ascii="Times New Roman" w:hAnsi="Times New Roman" w:eastAsia="宋体"/>
                <w:kern w:val="0"/>
                <w:szCs w:val="21"/>
                <w:lang w:val="en-US"/>
              </w:rPr>
              <w:t>0.75</w:t>
            </w:r>
            <w:r>
              <w:rPr>
                <w:rFonts w:hint="eastAsia" w:ascii="Times New Roman" w:hAnsi="Times New Roman" w:eastAsia="宋体"/>
                <w:kern w:val="0"/>
                <w:szCs w:val="21"/>
                <w:lang w:val="en-US"/>
              </w:rPr>
              <w:t>倍、</w:t>
            </w:r>
            <w:r>
              <w:rPr>
                <w:rFonts w:ascii="Times New Roman" w:hAnsi="Times New Roman" w:eastAsia="宋体"/>
                <w:kern w:val="0"/>
                <w:szCs w:val="21"/>
                <w:lang w:val="en-US"/>
              </w:rPr>
              <w:t>1</w:t>
            </w:r>
            <w:r>
              <w:rPr>
                <w:rFonts w:hint="eastAsia" w:ascii="Times New Roman" w:hAnsi="Times New Roman" w:eastAsia="宋体"/>
                <w:kern w:val="0"/>
                <w:szCs w:val="21"/>
                <w:lang w:val="en-US"/>
              </w:rPr>
              <w:t>倍、</w:t>
            </w:r>
            <w:r>
              <w:rPr>
                <w:rFonts w:ascii="Times New Roman" w:hAnsi="Times New Roman" w:eastAsia="宋体"/>
                <w:kern w:val="0"/>
                <w:szCs w:val="21"/>
                <w:lang w:val="en-US"/>
              </w:rPr>
              <w:t>1.5</w:t>
            </w:r>
            <w:r>
              <w:rPr>
                <w:rFonts w:hint="eastAsia" w:ascii="Times New Roman" w:hAnsi="Times New Roman" w:eastAsia="宋体"/>
                <w:kern w:val="0"/>
                <w:szCs w:val="21"/>
                <w:lang w:val="en-US"/>
              </w:rPr>
              <w:t>倍、</w:t>
            </w:r>
            <w:r>
              <w:rPr>
                <w:rFonts w:ascii="Times New Roman" w:hAnsi="Times New Roman" w:eastAsia="宋体"/>
                <w:kern w:val="0"/>
                <w:szCs w:val="21"/>
                <w:lang w:val="en-US"/>
              </w:rPr>
              <w:t>2</w:t>
            </w:r>
            <w:r>
              <w:rPr>
                <w:rFonts w:hint="eastAsia" w:ascii="Times New Roman" w:hAnsi="Times New Roman" w:eastAsia="宋体"/>
                <w:kern w:val="0"/>
                <w:szCs w:val="21"/>
                <w:lang w:val="en-US"/>
              </w:rPr>
              <w:t>倍播放</w:t>
            </w:r>
          </w:p>
        </w:tc>
        <w:tc>
          <w:tcPr>
            <w:tcW w:w="1443" w:type="dxa"/>
            <w:tcBorders>
              <w:tl2br w:val="nil"/>
              <w:tr2bl w:val="nil"/>
            </w:tcBorders>
            <w:shd w:val="clear" w:color="auto" w:fill="auto"/>
            <w:vAlign w:val="center"/>
          </w:tcPr>
          <w:p>
            <w:pPr>
              <w:jc w:val="center"/>
              <w:rPr>
                <w:rFonts w:ascii="Times New Roman" w:hAnsi="Times New Roman" w:eastAsia="宋体"/>
                <w:kern w:val="0"/>
                <w:szCs w:val="21"/>
                <w:lang w:val="en-US"/>
              </w:rPr>
            </w:pPr>
            <w:r>
              <w:rPr>
                <w:rFonts w:hint="eastAsia" w:ascii="Times New Roman" w:hAnsi="Times New Roman" w:eastAsia="宋体"/>
                <w:kern w:val="0"/>
                <w:szCs w:val="21"/>
                <w:lang w:val="en-US"/>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704" w:type="dxa"/>
            <w:tcBorders>
              <w:tl2br w:val="nil"/>
              <w:tr2bl w:val="nil"/>
            </w:tcBorders>
            <w:shd w:val="clear" w:color="auto" w:fill="auto"/>
            <w:noWrap/>
            <w:vAlign w:val="center"/>
          </w:tcPr>
          <w:p>
            <w:pPr>
              <w:numPr>
                <w:ilvl w:val="0"/>
                <w:numId w:val="93"/>
              </w:numPr>
              <w:jc w:val="center"/>
              <w:rPr>
                <w:rFonts w:ascii="Times New Roman" w:hAnsi="Times New Roman" w:eastAsia="宋体"/>
                <w:kern w:val="0"/>
                <w:szCs w:val="21"/>
                <w:lang w:val="en-US"/>
              </w:rPr>
            </w:pPr>
          </w:p>
        </w:tc>
        <w:tc>
          <w:tcPr>
            <w:tcW w:w="709" w:type="dxa"/>
            <w:tcBorders>
              <w:tl2br w:val="nil"/>
              <w:tr2bl w:val="nil"/>
            </w:tcBorders>
            <w:shd w:val="clear" w:color="auto" w:fill="auto"/>
            <w:noWrap/>
            <w:vAlign w:val="center"/>
          </w:tcPr>
          <w:p>
            <w:pPr>
              <w:jc w:val="center"/>
              <w:rPr>
                <w:rFonts w:ascii="Times New Roman" w:hAnsi="Times New Roman" w:eastAsia="宋体"/>
                <w:kern w:val="0"/>
                <w:szCs w:val="21"/>
                <w:lang w:val="en-US"/>
              </w:rPr>
            </w:pPr>
            <w:r>
              <w:rPr>
                <w:rFonts w:ascii="Segoe UI Symbol" w:hAnsi="Segoe UI Symbol" w:eastAsia="宋体" w:cs="Segoe UI Symbol"/>
                <w:szCs w:val="21"/>
              </w:rPr>
              <w:t>★</w:t>
            </w:r>
          </w:p>
        </w:tc>
        <w:tc>
          <w:tcPr>
            <w:tcW w:w="1287" w:type="dxa"/>
            <w:tcBorders>
              <w:tl2br w:val="nil"/>
              <w:tr2bl w:val="nil"/>
            </w:tcBorders>
            <w:shd w:val="clear" w:color="auto" w:fill="auto"/>
            <w:vAlign w:val="center"/>
          </w:tcPr>
          <w:p>
            <w:pPr>
              <w:jc w:val="center"/>
              <w:rPr>
                <w:rFonts w:ascii="Times New Roman" w:hAnsi="Times New Roman" w:eastAsia="宋体"/>
                <w:kern w:val="0"/>
                <w:szCs w:val="21"/>
                <w:lang w:val="en-US"/>
              </w:rPr>
            </w:pPr>
            <w:r>
              <w:rPr>
                <w:rFonts w:hint="eastAsia" w:ascii="Times New Roman" w:hAnsi="Times New Roman" w:eastAsia="宋体"/>
                <w:kern w:val="0"/>
                <w:szCs w:val="21"/>
                <w:lang w:val="en-US"/>
              </w:rPr>
              <w:t>对齐方式</w:t>
            </w:r>
          </w:p>
        </w:tc>
        <w:tc>
          <w:tcPr>
            <w:tcW w:w="3983" w:type="dxa"/>
            <w:tcBorders>
              <w:tl2br w:val="nil"/>
              <w:tr2bl w:val="nil"/>
            </w:tcBorders>
            <w:shd w:val="clear" w:color="auto" w:fill="auto"/>
            <w:noWrap/>
            <w:vAlign w:val="center"/>
          </w:tcPr>
          <w:p>
            <w:pPr>
              <w:jc w:val="both"/>
              <w:rPr>
                <w:rFonts w:ascii="Times New Roman" w:hAnsi="Times New Roman" w:eastAsia="宋体"/>
                <w:kern w:val="0"/>
                <w:szCs w:val="21"/>
                <w:lang w:val="en-US"/>
              </w:rPr>
            </w:pPr>
            <w:r>
              <w:rPr>
                <w:rFonts w:hint="eastAsia" w:ascii="Times New Roman" w:hAnsi="Times New Roman" w:eastAsia="宋体"/>
                <w:kern w:val="0"/>
                <w:szCs w:val="21"/>
                <w:lang w:val="en-US"/>
              </w:rPr>
              <w:t>支持对语谱图窗口中选中片段进行不少于4种方式对齐，支持时间点对齐、左对齐、右对齐、居中对齐等操作</w:t>
            </w:r>
          </w:p>
        </w:tc>
        <w:tc>
          <w:tcPr>
            <w:tcW w:w="1443" w:type="dxa"/>
            <w:tcBorders>
              <w:tl2br w:val="nil"/>
              <w:tr2bl w:val="nil"/>
            </w:tcBorders>
            <w:shd w:val="clear" w:color="auto" w:fill="auto"/>
            <w:vAlign w:val="center"/>
          </w:tcPr>
          <w:p>
            <w:pPr>
              <w:jc w:val="center"/>
              <w:rPr>
                <w:rFonts w:ascii="Times New Roman" w:hAnsi="Times New Roman" w:eastAsia="宋体"/>
                <w:kern w:val="0"/>
                <w:szCs w:val="21"/>
                <w:lang w:val="en-US"/>
              </w:rPr>
            </w:pPr>
            <w:r>
              <w:rPr>
                <w:rFonts w:hint="eastAsia" w:ascii="Times New Roman" w:hAnsi="Times New Roman" w:eastAsia="宋体"/>
                <w:kern w:val="0"/>
                <w:szCs w:val="21"/>
                <w:lang w:val="en-US"/>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704" w:type="dxa"/>
            <w:tcBorders>
              <w:tl2br w:val="nil"/>
              <w:tr2bl w:val="nil"/>
            </w:tcBorders>
            <w:shd w:val="clear" w:color="auto" w:fill="auto"/>
            <w:noWrap/>
            <w:vAlign w:val="center"/>
          </w:tcPr>
          <w:p>
            <w:pPr>
              <w:numPr>
                <w:ilvl w:val="0"/>
                <w:numId w:val="93"/>
              </w:numPr>
              <w:jc w:val="center"/>
              <w:rPr>
                <w:rFonts w:ascii="Times New Roman" w:hAnsi="Times New Roman" w:eastAsia="宋体"/>
                <w:kern w:val="0"/>
                <w:szCs w:val="21"/>
                <w:lang w:val="en-US"/>
              </w:rPr>
            </w:pPr>
          </w:p>
        </w:tc>
        <w:tc>
          <w:tcPr>
            <w:tcW w:w="709" w:type="dxa"/>
            <w:tcBorders>
              <w:tl2br w:val="nil"/>
              <w:tr2bl w:val="nil"/>
            </w:tcBorders>
            <w:shd w:val="clear" w:color="auto" w:fill="auto"/>
            <w:noWrap/>
            <w:vAlign w:val="center"/>
          </w:tcPr>
          <w:p>
            <w:pPr>
              <w:jc w:val="center"/>
              <w:rPr>
                <w:rFonts w:ascii="Times New Roman" w:hAnsi="Times New Roman" w:eastAsia="宋体"/>
                <w:kern w:val="0"/>
                <w:szCs w:val="21"/>
                <w:lang w:val="en-US"/>
              </w:rPr>
            </w:pPr>
            <w:r>
              <w:rPr>
                <w:rFonts w:ascii="Segoe UI Symbol" w:hAnsi="Segoe UI Symbol" w:eastAsia="宋体" w:cs="Segoe UI Symbol"/>
                <w:szCs w:val="21"/>
              </w:rPr>
              <w:t>★</w:t>
            </w:r>
          </w:p>
        </w:tc>
        <w:tc>
          <w:tcPr>
            <w:tcW w:w="1287" w:type="dxa"/>
            <w:tcBorders>
              <w:tl2br w:val="nil"/>
              <w:tr2bl w:val="nil"/>
            </w:tcBorders>
            <w:shd w:val="clear" w:color="auto" w:fill="auto"/>
            <w:vAlign w:val="center"/>
          </w:tcPr>
          <w:p>
            <w:pPr>
              <w:jc w:val="center"/>
              <w:rPr>
                <w:rFonts w:ascii="Times New Roman" w:hAnsi="Times New Roman" w:eastAsia="宋体"/>
                <w:kern w:val="0"/>
                <w:szCs w:val="21"/>
                <w:lang w:val="en-US"/>
              </w:rPr>
            </w:pPr>
            <w:r>
              <w:rPr>
                <w:rFonts w:hint="eastAsia" w:ascii="Times New Roman" w:hAnsi="Times New Roman" w:eastAsia="宋体"/>
                <w:kern w:val="0"/>
                <w:szCs w:val="21"/>
                <w:lang w:val="en-US"/>
              </w:rPr>
              <w:t>快捷编辑</w:t>
            </w:r>
          </w:p>
        </w:tc>
        <w:tc>
          <w:tcPr>
            <w:tcW w:w="3983" w:type="dxa"/>
            <w:tcBorders>
              <w:tl2br w:val="nil"/>
              <w:tr2bl w:val="nil"/>
            </w:tcBorders>
            <w:shd w:val="clear" w:color="auto" w:fill="auto"/>
            <w:noWrap/>
            <w:vAlign w:val="center"/>
          </w:tcPr>
          <w:p>
            <w:pPr>
              <w:jc w:val="both"/>
              <w:rPr>
                <w:rFonts w:ascii="Times New Roman" w:hAnsi="Times New Roman" w:eastAsia="宋体"/>
                <w:kern w:val="0"/>
                <w:szCs w:val="21"/>
                <w:lang w:val="en-US"/>
              </w:rPr>
            </w:pPr>
            <w:r>
              <w:rPr>
                <w:rFonts w:hint="eastAsia" w:ascii="Times New Roman" w:hAnsi="Times New Roman" w:eastAsia="宋体"/>
                <w:kern w:val="0"/>
                <w:szCs w:val="21"/>
                <w:lang w:val="en-US"/>
              </w:rPr>
              <w:t>支持不少于4种快捷键操作功能，至少支持使用快捷键对语谱图文件进行移动、添加标记、截图、播放等操作</w:t>
            </w:r>
          </w:p>
        </w:tc>
        <w:tc>
          <w:tcPr>
            <w:tcW w:w="1443" w:type="dxa"/>
            <w:tcBorders>
              <w:tl2br w:val="nil"/>
              <w:tr2bl w:val="nil"/>
            </w:tcBorders>
            <w:shd w:val="clear" w:color="auto" w:fill="auto"/>
            <w:vAlign w:val="center"/>
          </w:tcPr>
          <w:p>
            <w:pPr>
              <w:jc w:val="center"/>
              <w:rPr>
                <w:rFonts w:ascii="Times New Roman" w:hAnsi="Times New Roman" w:eastAsia="宋体"/>
                <w:kern w:val="0"/>
                <w:szCs w:val="21"/>
                <w:lang w:val="en-US"/>
              </w:rPr>
            </w:pPr>
            <w:r>
              <w:rPr>
                <w:rFonts w:hint="eastAsia" w:ascii="Times New Roman" w:hAnsi="Times New Roman" w:eastAsia="宋体"/>
                <w:kern w:val="0"/>
                <w:szCs w:val="21"/>
                <w:lang w:val="en-US"/>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704" w:type="dxa"/>
            <w:tcBorders>
              <w:tl2br w:val="nil"/>
              <w:tr2bl w:val="nil"/>
            </w:tcBorders>
            <w:shd w:val="clear" w:color="auto" w:fill="auto"/>
            <w:noWrap/>
            <w:vAlign w:val="center"/>
          </w:tcPr>
          <w:p>
            <w:pPr>
              <w:numPr>
                <w:ilvl w:val="0"/>
                <w:numId w:val="93"/>
              </w:numPr>
              <w:jc w:val="center"/>
              <w:rPr>
                <w:rFonts w:ascii="Times New Roman" w:hAnsi="Times New Roman" w:eastAsia="宋体"/>
                <w:kern w:val="0"/>
                <w:szCs w:val="21"/>
                <w:lang w:val="en-US"/>
              </w:rPr>
            </w:pPr>
          </w:p>
        </w:tc>
        <w:tc>
          <w:tcPr>
            <w:tcW w:w="709" w:type="dxa"/>
            <w:tcBorders>
              <w:tl2br w:val="nil"/>
              <w:tr2bl w:val="nil"/>
            </w:tcBorders>
            <w:shd w:val="clear" w:color="auto" w:fill="auto"/>
            <w:noWrap/>
            <w:vAlign w:val="center"/>
          </w:tcPr>
          <w:p>
            <w:pPr>
              <w:jc w:val="center"/>
              <w:rPr>
                <w:rFonts w:ascii="Times New Roman" w:hAnsi="Times New Roman" w:eastAsia="宋体"/>
                <w:kern w:val="0"/>
                <w:szCs w:val="21"/>
                <w:lang w:val="en-US"/>
              </w:rPr>
            </w:pPr>
            <w:r>
              <w:rPr>
                <w:rFonts w:ascii="Segoe UI Symbol" w:hAnsi="Segoe UI Symbol" w:eastAsia="宋体" w:cs="Segoe UI Symbol"/>
                <w:szCs w:val="21"/>
              </w:rPr>
              <w:t>★</w:t>
            </w:r>
          </w:p>
        </w:tc>
        <w:tc>
          <w:tcPr>
            <w:tcW w:w="1287" w:type="dxa"/>
            <w:tcBorders>
              <w:tl2br w:val="nil"/>
              <w:tr2bl w:val="nil"/>
            </w:tcBorders>
            <w:shd w:val="clear" w:color="auto" w:fill="auto"/>
            <w:vAlign w:val="center"/>
          </w:tcPr>
          <w:p>
            <w:pPr>
              <w:jc w:val="center"/>
              <w:rPr>
                <w:rFonts w:ascii="Times New Roman" w:hAnsi="Times New Roman" w:eastAsia="宋体"/>
                <w:kern w:val="0"/>
                <w:szCs w:val="21"/>
                <w:lang w:val="en-US"/>
              </w:rPr>
            </w:pPr>
            <w:r>
              <w:rPr>
                <w:rFonts w:hint="eastAsia" w:ascii="Times New Roman" w:hAnsi="Times New Roman" w:eastAsia="宋体"/>
                <w:kern w:val="0"/>
                <w:szCs w:val="21"/>
                <w:lang w:val="en-US"/>
              </w:rPr>
              <w:t>最近案件文件夹</w:t>
            </w:r>
          </w:p>
        </w:tc>
        <w:tc>
          <w:tcPr>
            <w:tcW w:w="3983" w:type="dxa"/>
            <w:tcBorders>
              <w:tl2br w:val="nil"/>
              <w:tr2bl w:val="nil"/>
            </w:tcBorders>
            <w:shd w:val="clear" w:color="auto" w:fill="auto"/>
            <w:noWrap/>
            <w:vAlign w:val="center"/>
          </w:tcPr>
          <w:p>
            <w:pPr>
              <w:jc w:val="both"/>
              <w:rPr>
                <w:rFonts w:ascii="Times New Roman" w:hAnsi="Times New Roman" w:eastAsia="宋体"/>
                <w:kern w:val="0"/>
                <w:szCs w:val="21"/>
                <w:lang w:val="en-US"/>
              </w:rPr>
            </w:pPr>
            <w:r>
              <w:rPr>
                <w:rFonts w:hint="eastAsia" w:ascii="Times New Roman" w:hAnsi="Times New Roman" w:eastAsia="宋体"/>
                <w:kern w:val="0"/>
                <w:szCs w:val="21"/>
                <w:lang w:val="en-US"/>
              </w:rPr>
              <w:t>支持展示最近打开的不少于</w:t>
            </w:r>
            <w:r>
              <w:rPr>
                <w:rFonts w:ascii="Times New Roman" w:hAnsi="Times New Roman" w:eastAsia="宋体"/>
                <w:kern w:val="0"/>
                <w:szCs w:val="21"/>
                <w:lang w:val="en-US"/>
              </w:rPr>
              <w:t>10</w:t>
            </w:r>
            <w:r>
              <w:rPr>
                <w:rFonts w:hint="eastAsia" w:ascii="Times New Roman" w:hAnsi="Times New Roman" w:eastAsia="宋体"/>
                <w:kern w:val="0"/>
                <w:szCs w:val="21"/>
                <w:lang w:val="en-US"/>
              </w:rPr>
              <w:t>个案件文件夹，方便用户快速打开、切换某个案件文件夹；支持清除最近案件文件夹的记录</w:t>
            </w:r>
          </w:p>
        </w:tc>
        <w:tc>
          <w:tcPr>
            <w:tcW w:w="1443" w:type="dxa"/>
            <w:tcBorders>
              <w:tl2br w:val="nil"/>
              <w:tr2bl w:val="nil"/>
            </w:tcBorders>
            <w:shd w:val="clear" w:color="auto" w:fill="auto"/>
            <w:vAlign w:val="center"/>
          </w:tcPr>
          <w:p>
            <w:pPr>
              <w:jc w:val="center"/>
              <w:rPr>
                <w:rFonts w:ascii="Times New Roman" w:hAnsi="Times New Roman" w:eastAsia="宋体"/>
                <w:kern w:val="0"/>
                <w:szCs w:val="21"/>
                <w:lang w:val="en-US"/>
              </w:rPr>
            </w:pPr>
            <w:r>
              <w:rPr>
                <w:rFonts w:hint="eastAsia" w:ascii="Times New Roman" w:hAnsi="Times New Roman" w:eastAsia="宋体"/>
                <w:kern w:val="0"/>
                <w:szCs w:val="21"/>
                <w:lang w:val="en-US"/>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4" w:type="dxa"/>
            <w:tcBorders>
              <w:tl2br w:val="nil"/>
              <w:tr2bl w:val="nil"/>
            </w:tcBorders>
            <w:shd w:val="clear" w:color="auto" w:fill="auto"/>
            <w:noWrap/>
            <w:vAlign w:val="center"/>
          </w:tcPr>
          <w:p>
            <w:pPr>
              <w:numPr>
                <w:ilvl w:val="0"/>
                <w:numId w:val="93"/>
              </w:numPr>
              <w:jc w:val="center"/>
              <w:rPr>
                <w:rFonts w:ascii="Times New Roman" w:hAnsi="Times New Roman" w:eastAsia="宋体"/>
                <w:kern w:val="0"/>
                <w:szCs w:val="21"/>
                <w:lang w:val="en-US"/>
              </w:rPr>
            </w:pPr>
          </w:p>
        </w:tc>
        <w:tc>
          <w:tcPr>
            <w:tcW w:w="709" w:type="dxa"/>
            <w:tcBorders>
              <w:tl2br w:val="nil"/>
              <w:tr2bl w:val="nil"/>
            </w:tcBorders>
            <w:shd w:val="clear" w:color="auto" w:fill="auto"/>
            <w:noWrap/>
            <w:vAlign w:val="center"/>
          </w:tcPr>
          <w:p>
            <w:pPr>
              <w:jc w:val="center"/>
              <w:rPr>
                <w:rFonts w:ascii="Times New Roman" w:hAnsi="Times New Roman" w:eastAsia="宋体"/>
                <w:kern w:val="0"/>
                <w:szCs w:val="21"/>
                <w:lang w:val="en-US"/>
              </w:rPr>
            </w:pPr>
            <w:r>
              <w:rPr>
                <w:rFonts w:hint="eastAsia" w:ascii="Times New Roman" w:hAnsi="Times New Roman" w:eastAsia="宋体"/>
                <w:kern w:val="0"/>
                <w:szCs w:val="21"/>
                <w:lang w:val="en-US"/>
              </w:rPr>
              <w:t>▲</w:t>
            </w:r>
          </w:p>
        </w:tc>
        <w:tc>
          <w:tcPr>
            <w:tcW w:w="1287" w:type="dxa"/>
            <w:tcBorders>
              <w:tl2br w:val="nil"/>
              <w:tr2bl w:val="nil"/>
            </w:tcBorders>
            <w:shd w:val="clear" w:color="auto" w:fill="auto"/>
            <w:vAlign w:val="center"/>
          </w:tcPr>
          <w:p>
            <w:pPr>
              <w:jc w:val="center"/>
              <w:rPr>
                <w:rFonts w:ascii="Times New Roman" w:hAnsi="Times New Roman" w:eastAsia="宋体"/>
                <w:kern w:val="0"/>
                <w:szCs w:val="21"/>
                <w:lang w:val="en-US"/>
              </w:rPr>
            </w:pPr>
            <w:r>
              <w:rPr>
                <w:rFonts w:hint="eastAsia" w:ascii="Times New Roman" w:hAnsi="Times New Roman" w:eastAsia="宋体"/>
                <w:kern w:val="0"/>
                <w:szCs w:val="21"/>
                <w:lang w:val="en-US"/>
              </w:rPr>
              <w:t>新建文件</w:t>
            </w:r>
          </w:p>
        </w:tc>
        <w:tc>
          <w:tcPr>
            <w:tcW w:w="3983" w:type="dxa"/>
            <w:tcBorders>
              <w:tl2br w:val="nil"/>
              <w:tr2bl w:val="nil"/>
            </w:tcBorders>
            <w:shd w:val="clear" w:color="auto" w:fill="auto"/>
            <w:noWrap/>
            <w:vAlign w:val="center"/>
          </w:tcPr>
          <w:p>
            <w:pPr>
              <w:jc w:val="both"/>
              <w:rPr>
                <w:rFonts w:ascii="Times New Roman" w:hAnsi="Times New Roman" w:eastAsia="宋体"/>
                <w:kern w:val="0"/>
                <w:szCs w:val="21"/>
                <w:lang w:val="en-US"/>
              </w:rPr>
            </w:pPr>
            <w:r>
              <w:rPr>
                <w:rFonts w:hint="eastAsia" w:ascii="Times New Roman" w:hAnsi="Times New Roman" w:eastAsia="宋体"/>
                <w:kern w:val="0"/>
                <w:szCs w:val="21"/>
                <w:lang w:val="en-US"/>
              </w:rPr>
              <w:t>支持新建不少于4种采样率的空白文件，至少支持新建</w:t>
            </w:r>
            <w:r>
              <w:rPr>
                <w:rFonts w:ascii="Times New Roman" w:hAnsi="Times New Roman" w:eastAsia="宋体"/>
                <w:kern w:val="0"/>
                <w:szCs w:val="21"/>
                <w:lang w:val="en-US"/>
              </w:rPr>
              <w:t>8K</w:t>
            </w:r>
            <w:r>
              <w:rPr>
                <w:rFonts w:hint="eastAsia" w:ascii="Times New Roman" w:hAnsi="Times New Roman" w:eastAsia="宋体"/>
                <w:kern w:val="0"/>
                <w:szCs w:val="21"/>
                <w:lang w:val="en-US"/>
              </w:rPr>
              <w:t>、</w:t>
            </w:r>
            <w:r>
              <w:rPr>
                <w:rFonts w:ascii="Times New Roman" w:hAnsi="Times New Roman" w:eastAsia="宋体"/>
                <w:kern w:val="0"/>
                <w:szCs w:val="21"/>
                <w:lang w:val="en-US"/>
              </w:rPr>
              <w:t>11K</w:t>
            </w:r>
            <w:r>
              <w:rPr>
                <w:rFonts w:hint="eastAsia" w:ascii="Times New Roman" w:hAnsi="Times New Roman" w:eastAsia="宋体"/>
                <w:kern w:val="0"/>
                <w:szCs w:val="21"/>
                <w:lang w:val="en-US"/>
              </w:rPr>
              <w:t>、</w:t>
            </w:r>
            <w:r>
              <w:rPr>
                <w:rFonts w:ascii="Times New Roman" w:hAnsi="Times New Roman" w:eastAsia="宋体"/>
                <w:kern w:val="0"/>
                <w:szCs w:val="21"/>
                <w:lang w:val="en-US"/>
              </w:rPr>
              <w:t>16K</w:t>
            </w:r>
            <w:r>
              <w:rPr>
                <w:rFonts w:hint="eastAsia" w:ascii="Times New Roman" w:hAnsi="Times New Roman" w:eastAsia="宋体"/>
                <w:kern w:val="0"/>
                <w:szCs w:val="21"/>
                <w:lang w:val="en-US"/>
              </w:rPr>
              <w:t>、</w:t>
            </w:r>
            <w:r>
              <w:rPr>
                <w:rFonts w:ascii="Times New Roman" w:hAnsi="Times New Roman" w:eastAsia="宋体"/>
                <w:kern w:val="0"/>
                <w:szCs w:val="21"/>
                <w:lang w:val="en-US"/>
              </w:rPr>
              <w:t>32K</w:t>
            </w:r>
            <w:r>
              <w:rPr>
                <w:rFonts w:hint="eastAsia" w:ascii="Times New Roman" w:hAnsi="Times New Roman" w:eastAsia="宋体"/>
                <w:kern w:val="0"/>
                <w:szCs w:val="21"/>
                <w:lang w:val="en-US"/>
              </w:rPr>
              <w:t>等采样率的空白文件，可将语音片段复制粘贴在空白文件中进行横向比对</w:t>
            </w:r>
          </w:p>
        </w:tc>
        <w:tc>
          <w:tcPr>
            <w:tcW w:w="1443" w:type="dxa"/>
            <w:tcBorders>
              <w:tl2br w:val="nil"/>
              <w:tr2bl w:val="nil"/>
            </w:tcBorders>
            <w:shd w:val="clear" w:color="auto" w:fill="auto"/>
            <w:vAlign w:val="center"/>
          </w:tcPr>
          <w:p>
            <w:pPr>
              <w:jc w:val="center"/>
              <w:rPr>
                <w:rFonts w:ascii="Times New Roman" w:hAnsi="Times New Roman" w:eastAsia="宋体"/>
                <w:kern w:val="0"/>
                <w:szCs w:val="21"/>
                <w:lang w:val="en-US"/>
              </w:rPr>
            </w:pPr>
            <w:r>
              <w:rPr>
                <w:rFonts w:hint="eastAsia" w:ascii="Times New Roman" w:hAnsi="Times New Roman" w:eastAsia="宋体"/>
                <w:kern w:val="0"/>
                <w:szCs w:val="21"/>
                <w:lang w:val="en-US"/>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704" w:type="dxa"/>
            <w:tcBorders>
              <w:tl2br w:val="nil"/>
              <w:tr2bl w:val="nil"/>
            </w:tcBorders>
            <w:shd w:val="clear" w:color="auto" w:fill="auto"/>
            <w:noWrap/>
            <w:vAlign w:val="center"/>
          </w:tcPr>
          <w:p>
            <w:pPr>
              <w:numPr>
                <w:ilvl w:val="0"/>
                <w:numId w:val="93"/>
              </w:numPr>
              <w:jc w:val="center"/>
              <w:rPr>
                <w:rFonts w:ascii="Times New Roman" w:hAnsi="Times New Roman" w:eastAsia="宋体"/>
                <w:kern w:val="0"/>
                <w:szCs w:val="21"/>
                <w:lang w:val="en-US"/>
              </w:rPr>
            </w:pPr>
          </w:p>
        </w:tc>
        <w:tc>
          <w:tcPr>
            <w:tcW w:w="709" w:type="dxa"/>
            <w:tcBorders>
              <w:tl2br w:val="nil"/>
              <w:tr2bl w:val="nil"/>
            </w:tcBorders>
            <w:shd w:val="clear" w:color="auto" w:fill="auto"/>
            <w:noWrap/>
            <w:vAlign w:val="center"/>
          </w:tcPr>
          <w:p>
            <w:pPr>
              <w:jc w:val="center"/>
              <w:rPr>
                <w:rFonts w:ascii="Times New Roman" w:hAnsi="Times New Roman" w:eastAsia="宋体"/>
                <w:kern w:val="0"/>
                <w:szCs w:val="21"/>
                <w:lang w:val="en-US"/>
              </w:rPr>
            </w:pPr>
            <w:r>
              <w:rPr>
                <w:rFonts w:hint="eastAsia" w:ascii="Times New Roman" w:hAnsi="Times New Roman" w:eastAsia="宋体"/>
                <w:kern w:val="0"/>
                <w:szCs w:val="21"/>
                <w:lang w:val="en-US"/>
              </w:rPr>
              <w:t>▲</w:t>
            </w:r>
          </w:p>
        </w:tc>
        <w:tc>
          <w:tcPr>
            <w:tcW w:w="1287" w:type="dxa"/>
            <w:tcBorders>
              <w:tl2br w:val="nil"/>
              <w:tr2bl w:val="nil"/>
            </w:tcBorders>
            <w:shd w:val="clear" w:color="auto" w:fill="auto"/>
            <w:vAlign w:val="center"/>
          </w:tcPr>
          <w:p>
            <w:pPr>
              <w:jc w:val="center"/>
              <w:rPr>
                <w:rFonts w:ascii="Times New Roman" w:hAnsi="Times New Roman" w:eastAsia="宋体"/>
                <w:kern w:val="0"/>
                <w:szCs w:val="21"/>
                <w:lang w:val="en-US"/>
              </w:rPr>
            </w:pPr>
            <w:r>
              <w:rPr>
                <w:rFonts w:hint="eastAsia" w:ascii="Times New Roman" w:hAnsi="Times New Roman" w:eastAsia="宋体"/>
                <w:kern w:val="0"/>
                <w:szCs w:val="21"/>
                <w:lang w:val="en-US"/>
              </w:rPr>
              <w:t>多窗口展示</w:t>
            </w:r>
          </w:p>
        </w:tc>
        <w:tc>
          <w:tcPr>
            <w:tcW w:w="3983" w:type="dxa"/>
            <w:tcBorders>
              <w:tl2br w:val="nil"/>
              <w:tr2bl w:val="nil"/>
            </w:tcBorders>
            <w:shd w:val="clear" w:color="auto" w:fill="auto"/>
            <w:noWrap/>
            <w:vAlign w:val="center"/>
          </w:tcPr>
          <w:p>
            <w:pPr>
              <w:jc w:val="both"/>
              <w:rPr>
                <w:rFonts w:ascii="Times New Roman" w:hAnsi="Times New Roman" w:eastAsia="宋体"/>
                <w:kern w:val="0"/>
                <w:szCs w:val="21"/>
                <w:lang w:val="en-US"/>
              </w:rPr>
            </w:pPr>
            <w:r>
              <w:rPr>
                <w:rFonts w:hint="eastAsia" w:ascii="Times New Roman" w:hAnsi="Times New Roman" w:eastAsia="宋体"/>
                <w:kern w:val="0"/>
                <w:szCs w:val="21"/>
                <w:lang w:val="en-US"/>
              </w:rPr>
              <w:t>支持不少于4个语谱图窗口展示，每个窗口单独展示互不影响。窗口支持收起/展开操作，支持一个窗口同时展示宽带语谱图和波形图</w:t>
            </w:r>
          </w:p>
        </w:tc>
        <w:tc>
          <w:tcPr>
            <w:tcW w:w="1443" w:type="dxa"/>
            <w:tcBorders>
              <w:tl2br w:val="nil"/>
              <w:tr2bl w:val="nil"/>
            </w:tcBorders>
            <w:shd w:val="clear" w:color="auto" w:fill="auto"/>
            <w:vAlign w:val="center"/>
          </w:tcPr>
          <w:p>
            <w:pPr>
              <w:jc w:val="center"/>
              <w:rPr>
                <w:rFonts w:ascii="Times New Roman" w:hAnsi="Times New Roman" w:eastAsia="宋体"/>
                <w:kern w:val="0"/>
                <w:szCs w:val="21"/>
                <w:lang w:val="en-US"/>
              </w:rPr>
            </w:pPr>
            <w:r>
              <w:rPr>
                <w:rFonts w:hint="eastAsia" w:ascii="Times New Roman" w:hAnsi="Times New Roman" w:eastAsia="宋体"/>
                <w:kern w:val="0"/>
                <w:szCs w:val="21"/>
                <w:lang w:val="en-US"/>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704" w:type="dxa"/>
            <w:tcBorders>
              <w:tl2br w:val="nil"/>
              <w:tr2bl w:val="nil"/>
            </w:tcBorders>
            <w:shd w:val="clear" w:color="auto" w:fill="auto"/>
            <w:noWrap/>
            <w:vAlign w:val="center"/>
          </w:tcPr>
          <w:p>
            <w:pPr>
              <w:numPr>
                <w:ilvl w:val="0"/>
                <w:numId w:val="93"/>
              </w:numPr>
              <w:jc w:val="center"/>
              <w:rPr>
                <w:rFonts w:ascii="Times New Roman" w:hAnsi="Times New Roman" w:eastAsia="宋体"/>
                <w:kern w:val="0"/>
                <w:szCs w:val="21"/>
                <w:lang w:val="en-US"/>
              </w:rPr>
            </w:pPr>
          </w:p>
        </w:tc>
        <w:tc>
          <w:tcPr>
            <w:tcW w:w="709" w:type="dxa"/>
            <w:tcBorders>
              <w:tl2br w:val="nil"/>
              <w:tr2bl w:val="nil"/>
            </w:tcBorders>
            <w:shd w:val="clear" w:color="auto" w:fill="auto"/>
            <w:noWrap/>
            <w:vAlign w:val="center"/>
          </w:tcPr>
          <w:p>
            <w:pPr>
              <w:jc w:val="center"/>
              <w:rPr>
                <w:rFonts w:ascii="Times New Roman" w:hAnsi="Times New Roman" w:eastAsia="宋体"/>
                <w:kern w:val="0"/>
                <w:szCs w:val="21"/>
                <w:lang w:val="en-US"/>
              </w:rPr>
            </w:pPr>
            <w:r>
              <w:rPr>
                <w:rFonts w:hint="eastAsia" w:ascii="Times New Roman" w:hAnsi="Times New Roman" w:eastAsia="宋体"/>
                <w:kern w:val="0"/>
                <w:szCs w:val="21"/>
                <w:lang w:val="en-US"/>
              </w:rPr>
              <w:t>▲</w:t>
            </w:r>
          </w:p>
        </w:tc>
        <w:tc>
          <w:tcPr>
            <w:tcW w:w="1287" w:type="dxa"/>
            <w:tcBorders>
              <w:tl2br w:val="nil"/>
              <w:tr2bl w:val="nil"/>
            </w:tcBorders>
            <w:shd w:val="clear" w:color="auto" w:fill="auto"/>
            <w:vAlign w:val="center"/>
          </w:tcPr>
          <w:p>
            <w:pPr>
              <w:jc w:val="center"/>
              <w:rPr>
                <w:rFonts w:ascii="Times New Roman" w:hAnsi="Times New Roman" w:eastAsia="宋体"/>
                <w:kern w:val="0"/>
                <w:szCs w:val="21"/>
                <w:lang w:val="en-US"/>
              </w:rPr>
            </w:pPr>
            <w:r>
              <w:rPr>
                <w:rFonts w:hint="eastAsia" w:ascii="Times New Roman" w:hAnsi="Times New Roman" w:eastAsia="宋体"/>
                <w:kern w:val="0"/>
                <w:szCs w:val="21"/>
                <w:lang w:val="en-US"/>
              </w:rPr>
              <w:t>语谱图展示</w:t>
            </w:r>
          </w:p>
        </w:tc>
        <w:tc>
          <w:tcPr>
            <w:tcW w:w="3983" w:type="dxa"/>
            <w:tcBorders>
              <w:tl2br w:val="nil"/>
              <w:tr2bl w:val="nil"/>
            </w:tcBorders>
            <w:shd w:val="clear" w:color="auto" w:fill="auto"/>
            <w:noWrap/>
            <w:vAlign w:val="center"/>
          </w:tcPr>
          <w:p>
            <w:pPr>
              <w:jc w:val="both"/>
              <w:rPr>
                <w:rFonts w:ascii="Times New Roman" w:hAnsi="Times New Roman" w:eastAsia="宋体"/>
                <w:kern w:val="0"/>
                <w:szCs w:val="21"/>
                <w:lang w:val="en-US"/>
              </w:rPr>
            </w:pPr>
            <w:r>
              <w:rPr>
                <w:rFonts w:hint="eastAsia" w:ascii="Times New Roman" w:hAnsi="Times New Roman" w:eastAsia="宋体"/>
                <w:kern w:val="0"/>
                <w:szCs w:val="21"/>
                <w:lang w:val="en-US"/>
              </w:rPr>
              <w:t>支持对音频文件进行不少于</w:t>
            </w:r>
            <w:r>
              <w:rPr>
                <w:rFonts w:ascii="Times New Roman" w:hAnsi="Times New Roman" w:eastAsia="宋体"/>
                <w:kern w:val="0"/>
                <w:szCs w:val="21"/>
                <w:lang w:val="en-US"/>
              </w:rPr>
              <w:t>7</w:t>
            </w:r>
            <w:r>
              <w:rPr>
                <w:rFonts w:hint="eastAsia" w:ascii="Times New Roman" w:hAnsi="Times New Roman" w:eastAsia="宋体"/>
                <w:kern w:val="0"/>
                <w:szCs w:val="21"/>
                <w:lang w:val="en-US"/>
              </w:rPr>
              <w:t>种语谱图的展示，包括宽带语谱图、窄带语谱图、共振峰语谱图、基频语谱图、能量语谱图、过零率语谱图、波形语谱图</w:t>
            </w:r>
          </w:p>
        </w:tc>
        <w:tc>
          <w:tcPr>
            <w:tcW w:w="1443" w:type="dxa"/>
            <w:tcBorders>
              <w:tl2br w:val="nil"/>
              <w:tr2bl w:val="nil"/>
            </w:tcBorders>
            <w:shd w:val="clear" w:color="auto" w:fill="auto"/>
            <w:vAlign w:val="center"/>
          </w:tcPr>
          <w:p>
            <w:pPr>
              <w:jc w:val="center"/>
              <w:rPr>
                <w:rFonts w:ascii="Times New Roman" w:hAnsi="Times New Roman" w:eastAsia="宋体"/>
                <w:kern w:val="0"/>
                <w:szCs w:val="21"/>
                <w:lang w:val="en-US"/>
              </w:rPr>
            </w:pPr>
            <w:r>
              <w:rPr>
                <w:rFonts w:hint="eastAsia" w:ascii="Times New Roman" w:hAnsi="Times New Roman" w:eastAsia="宋体"/>
                <w:kern w:val="0"/>
                <w:szCs w:val="21"/>
                <w:lang w:val="en-US"/>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704" w:type="dxa"/>
            <w:tcBorders>
              <w:tl2br w:val="nil"/>
              <w:tr2bl w:val="nil"/>
            </w:tcBorders>
            <w:shd w:val="clear" w:color="auto" w:fill="auto"/>
            <w:noWrap/>
            <w:vAlign w:val="center"/>
          </w:tcPr>
          <w:p>
            <w:pPr>
              <w:numPr>
                <w:ilvl w:val="0"/>
                <w:numId w:val="93"/>
              </w:numPr>
              <w:jc w:val="center"/>
              <w:rPr>
                <w:rFonts w:ascii="Times New Roman" w:hAnsi="Times New Roman" w:eastAsia="宋体"/>
                <w:kern w:val="0"/>
                <w:szCs w:val="21"/>
                <w:lang w:val="en-US"/>
              </w:rPr>
            </w:pPr>
          </w:p>
        </w:tc>
        <w:tc>
          <w:tcPr>
            <w:tcW w:w="709" w:type="dxa"/>
            <w:tcBorders>
              <w:tl2br w:val="nil"/>
              <w:tr2bl w:val="nil"/>
            </w:tcBorders>
            <w:shd w:val="clear" w:color="auto" w:fill="auto"/>
            <w:noWrap/>
            <w:vAlign w:val="center"/>
          </w:tcPr>
          <w:p>
            <w:pPr>
              <w:jc w:val="center"/>
              <w:rPr>
                <w:rFonts w:ascii="Times New Roman" w:hAnsi="Times New Roman" w:eastAsia="宋体"/>
                <w:kern w:val="0"/>
                <w:szCs w:val="21"/>
                <w:lang w:val="en-US"/>
              </w:rPr>
            </w:pPr>
            <w:r>
              <w:rPr>
                <w:rFonts w:hint="eastAsia" w:ascii="Times New Roman" w:hAnsi="Times New Roman" w:eastAsia="宋体"/>
                <w:kern w:val="0"/>
                <w:szCs w:val="21"/>
                <w:lang w:val="en-US"/>
              </w:rPr>
              <w:t>▲</w:t>
            </w:r>
          </w:p>
        </w:tc>
        <w:tc>
          <w:tcPr>
            <w:tcW w:w="1287" w:type="dxa"/>
            <w:tcBorders>
              <w:tl2br w:val="nil"/>
              <w:tr2bl w:val="nil"/>
            </w:tcBorders>
            <w:shd w:val="clear" w:color="auto" w:fill="auto"/>
            <w:vAlign w:val="center"/>
          </w:tcPr>
          <w:p>
            <w:pPr>
              <w:jc w:val="center"/>
              <w:rPr>
                <w:rFonts w:ascii="Times New Roman" w:hAnsi="Times New Roman" w:eastAsia="宋体"/>
                <w:kern w:val="0"/>
                <w:szCs w:val="21"/>
                <w:lang w:val="en-US"/>
              </w:rPr>
            </w:pPr>
            <w:r>
              <w:rPr>
                <w:rFonts w:hint="eastAsia" w:ascii="Times New Roman" w:hAnsi="Times New Roman" w:eastAsia="宋体"/>
                <w:kern w:val="0"/>
                <w:szCs w:val="21"/>
                <w:lang w:val="en-US"/>
              </w:rPr>
              <w:t>听觉量化分析</w:t>
            </w:r>
          </w:p>
        </w:tc>
        <w:tc>
          <w:tcPr>
            <w:tcW w:w="3983" w:type="dxa"/>
            <w:tcBorders>
              <w:tl2br w:val="nil"/>
              <w:tr2bl w:val="nil"/>
            </w:tcBorders>
            <w:shd w:val="clear" w:color="auto" w:fill="auto"/>
            <w:noWrap/>
            <w:vAlign w:val="center"/>
          </w:tcPr>
          <w:p>
            <w:pPr>
              <w:jc w:val="both"/>
              <w:rPr>
                <w:rFonts w:ascii="Times New Roman" w:hAnsi="Times New Roman" w:eastAsia="宋体"/>
                <w:kern w:val="0"/>
                <w:szCs w:val="21"/>
                <w:lang w:val="en-US"/>
              </w:rPr>
            </w:pPr>
            <w:r>
              <w:rPr>
                <w:rFonts w:hint="eastAsia" w:ascii="Times New Roman" w:hAnsi="Times New Roman" w:eastAsia="宋体"/>
                <w:kern w:val="0"/>
                <w:szCs w:val="21"/>
                <w:lang w:val="en-US"/>
              </w:rPr>
              <w:t>支持对检材和样本说话人的发音特征进行听觉量化分析，对发音特征不少于7个维度20个分析项进行人工打分，打分结果实时生成雷达图展示，支持导出《听觉量化分析表》</w:t>
            </w:r>
          </w:p>
        </w:tc>
        <w:tc>
          <w:tcPr>
            <w:tcW w:w="1443" w:type="dxa"/>
            <w:tcBorders>
              <w:tl2br w:val="nil"/>
              <w:tr2bl w:val="nil"/>
            </w:tcBorders>
            <w:shd w:val="clear" w:color="auto" w:fill="auto"/>
            <w:vAlign w:val="center"/>
          </w:tcPr>
          <w:p>
            <w:pPr>
              <w:jc w:val="center"/>
              <w:rPr>
                <w:rFonts w:ascii="Times New Roman" w:hAnsi="Times New Roman" w:eastAsia="宋体"/>
                <w:kern w:val="0"/>
                <w:szCs w:val="21"/>
                <w:lang w:val="en-US"/>
              </w:rPr>
            </w:pPr>
            <w:r>
              <w:rPr>
                <w:rFonts w:hint="eastAsia" w:ascii="Times New Roman" w:hAnsi="Times New Roman" w:eastAsia="宋体"/>
                <w:kern w:val="0"/>
                <w:szCs w:val="21"/>
                <w:lang w:val="en-US"/>
              </w:rPr>
              <w:t>检验报告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704" w:type="dxa"/>
            <w:tcBorders>
              <w:tl2br w:val="nil"/>
              <w:tr2bl w:val="nil"/>
            </w:tcBorders>
            <w:shd w:val="clear" w:color="auto" w:fill="auto"/>
            <w:noWrap/>
            <w:vAlign w:val="center"/>
          </w:tcPr>
          <w:p>
            <w:pPr>
              <w:numPr>
                <w:ilvl w:val="0"/>
                <w:numId w:val="93"/>
              </w:numPr>
              <w:jc w:val="center"/>
              <w:rPr>
                <w:rFonts w:ascii="Times New Roman" w:hAnsi="Times New Roman" w:eastAsia="宋体"/>
                <w:kern w:val="0"/>
                <w:szCs w:val="21"/>
                <w:lang w:val="en-US"/>
              </w:rPr>
            </w:pPr>
          </w:p>
        </w:tc>
        <w:tc>
          <w:tcPr>
            <w:tcW w:w="709" w:type="dxa"/>
            <w:tcBorders>
              <w:tl2br w:val="nil"/>
              <w:tr2bl w:val="nil"/>
            </w:tcBorders>
            <w:shd w:val="clear" w:color="auto" w:fill="auto"/>
            <w:noWrap/>
            <w:vAlign w:val="center"/>
          </w:tcPr>
          <w:p>
            <w:pPr>
              <w:rPr>
                <w:rFonts w:ascii="Times New Roman" w:hAnsi="Times New Roman" w:eastAsia="宋体"/>
                <w:kern w:val="0"/>
                <w:szCs w:val="21"/>
                <w:lang w:val="en-US"/>
              </w:rPr>
            </w:pPr>
            <w:r>
              <w:rPr>
                <w:rFonts w:hint="eastAsia" w:ascii="Times New Roman" w:hAnsi="Times New Roman" w:eastAsia="宋体"/>
                <w:kern w:val="0"/>
                <w:szCs w:val="21"/>
                <w:lang w:val="en-US"/>
              </w:rPr>
              <w:t>　</w:t>
            </w:r>
          </w:p>
        </w:tc>
        <w:tc>
          <w:tcPr>
            <w:tcW w:w="1287" w:type="dxa"/>
            <w:tcBorders>
              <w:tl2br w:val="nil"/>
              <w:tr2bl w:val="nil"/>
            </w:tcBorders>
            <w:shd w:val="clear" w:color="auto" w:fill="auto"/>
            <w:vAlign w:val="center"/>
          </w:tcPr>
          <w:p>
            <w:pPr>
              <w:jc w:val="center"/>
              <w:rPr>
                <w:rFonts w:ascii="Times New Roman" w:hAnsi="Times New Roman" w:eastAsia="宋体"/>
                <w:kern w:val="0"/>
                <w:szCs w:val="21"/>
                <w:lang w:val="en-US"/>
              </w:rPr>
            </w:pPr>
            <w:r>
              <w:rPr>
                <w:rFonts w:hint="eastAsia" w:ascii="Times New Roman" w:hAnsi="Times New Roman" w:eastAsia="宋体"/>
                <w:kern w:val="0"/>
                <w:szCs w:val="21"/>
                <w:lang w:val="en-US"/>
              </w:rPr>
              <w:t>特殊标记</w:t>
            </w:r>
          </w:p>
        </w:tc>
        <w:tc>
          <w:tcPr>
            <w:tcW w:w="3983" w:type="dxa"/>
            <w:tcBorders>
              <w:tl2br w:val="nil"/>
              <w:tr2bl w:val="nil"/>
            </w:tcBorders>
            <w:shd w:val="clear" w:color="auto" w:fill="auto"/>
            <w:noWrap/>
            <w:vAlign w:val="center"/>
          </w:tcPr>
          <w:p>
            <w:pPr>
              <w:jc w:val="both"/>
              <w:rPr>
                <w:rFonts w:ascii="Times New Roman" w:hAnsi="Times New Roman" w:eastAsia="宋体"/>
                <w:kern w:val="0"/>
                <w:szCs w:val="21"/>
                <w:lang w:val="en-US"/>
              </w:rPr>
            </w:pPr>
            <w:r>
              <w:rPr>
                <w:rFonts w:hint="eastAsia" w:ascii="Times New Roman" w:hAnsi="Times New Roman" w:eastAsia="宋体"/>
                <w:kern w:val="0"/>
                <w:szCs w:val="21"/>
                <w:lang w:val="en-US"/>
              </w:rPr>
              <w:t>预设特殊标记类型不少于</w:t>
            </w:r>
            <w:r>
              <w:rPr>
                <w:rFonts w:ascii="Times New Roman" w:hAnsi="Times New Roman" w:eastAsia="宋体"/>
                <w:kern w:val="0"/>
                <w:szCs w:val="21"/>
                <w:lang w:val="en-US"/>
              </w:rPr>
              <w:t>1</w:t>
            </w:r>
            <w:r>
              <w:rPr>
                <w:rFonts w:hint="eastAsia" w:ascii="Times New Roman" w:hAnsi="Times New Roman" w:eastAsia="宋体"/>
                <w:kern w:val="0"/>
                <w:szCs w:val="21"/>
                <w:lang w:val="en-US"/>
              </w:rPr>
              <w:t>0种。支持对发音异常的语音片段进行单独标记，可以通过预先设定好的特殊标记类型，快速选择标记类型，添加到特殊标记列表；支持自定义添加、删除、修改特殊标记类型</w:t>
            </w:r>
          </w:p>
        </w:tc>
        <w:tc>
          <w:tcPr>
            <w:tcW w:w="1443" w:type="dxa"/>
            <w:tcBorders>
              <w:tl2br w:val="nil"/>
              <w:tr2bl w:val="nil"/>
            </w:tcBorders>
            <w:shd w:val="clear" w:color="auto" w:fill="auto"/>
            <w:vAlign w:val="center"/>
          </w:tcPr>
          <w:p>
            <w:pPr>
              <w:jc w:val="center"/>
              <w:rPr>
                <w:rFonts w:ascii="Times New Roman" w:hAnsi="Times New Roman" w:eastAsia="宋体"/>
                <w:kern w:val="0"/>
                <w:szCs w:val="21"/>
                <w:lang w:val="en-US"/>
              </w:rPr>
            </w:pPr>
            <w:r>
              <w:rPr>
                <w:rFonts w:hint="eastAsia" w:ascii="Times New Roman" w:hAnsi="Times New Roman" w:eastAsia="宋体"/>
                <w:kern w:val="0"/>
                <w:szCs w:val="21"/>
                <w:lang w:val="en-US"/>
              </w:rPr>
              <w:t>原厂证明材料或承诺函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704" w:type="dxa"/>
            <w:tcBorders>
              <w:tl2br w:val="nil"/>
              <w:tr2bl w:val="nil"/>
            </w:tcBorders>
            <w:shd w:val="clear" w:color="auto" w:fill="auto"/>
            <w:noWrap/>
            <w:vAlign w:val="center"/>
          </w:tcPr>
          <w:p>
            <w:pPr>
              <w:numPr>
                <w:ilvl w:val="0"/>
                <w:numId w:val="93"/>
              </w:numPr>
              <w:jc w:val="center"/>
              <w:rPr>
                <w:rFonts w:ascii="Times New Roman" w:hAnsi="Times New Roman" w:eastAsia="宋体"/>
                <w:kern w:val="0"/>
                <w:szCs w:val="21"/>
                <w:lang w:val="en-US"/>
              </w:rPr>
            </w:pPr>
          </w:p>
        </w:tc>
        <w:tc>
          <w:tcPr>
            <w:tcW w:w="709" w:type="dxa"/>
            <w:tcBorders>
              <w:tl2br w:val="nil"/>
              <w:tr2bl w:val="nil"/>
            </w:tcBorders>
            <w:shd w:val="clear" w:color="auto" w:fill="auto"/>
            <w:noWrap/>
            <w:vAlign w:val="center"/>
          </w:tcPr>
          <w:p>
            <w:pPr>
              <w:rPr>
                <w:rFonts w:ascii="Times New Roman" w:hAnsi="Times New Roman" w:eastAsia="宋体"/>
                <w:kern w:val="0"/>
                <w:szCs w:val="21"/>
                <w:lang w:val="en-US"/>
              </w:rPr>
            </w:pPr>
            <w:r>
              <w:rPr>
                <w:rFonts w:hint="eastAsia" w:ascii="Times New Roman" w:hAnsi="Times New Roman" w:eastAsia="宋体"/>
                <w:kern w:val="0"/>
                <w:szCs w:val="21"/>
                <w:lang w:val="en-US"/>
              </w:rPr>
              <w:t>　</w:t>
            </w:r>
          </w:p>
        </w:tc>
        <w:tc>
          <w:tcPr>
            <w:tcW w:w="1287" w:type="dxa"/>
            <w:tcBorders>
              <w:tl2br w:val="nil"/>
              <w:tr2bl w:val="nil"/>
            </w:tcBorders>
            <w:shd w:val="clear" w:color="auto" w:fill="auto"/>
            <w:vAlign w:val="center"/>
          </w:tcPr>
          <w:p>
            <w:pPr>
              <w:jc w:val="center"/>
              <w:rPr>
                <w:rFonts w:ascii="Times New Roman" w:hAnsi="Times New Roman" w:eastAsia="宋体"/>
                <w:kern w:val="0"/>
                <w:szCs w:val="21"/>
                <w:lang w:val="en-US"/>
              </w:rPr>
            </w:pPr>
            <w:r>
              <w:rPr>
                <w:rFonts w:hint="eastAsia" w:ascii="Times New Roman" w:hAnsi="Times New Roman" w:eastAsia="宋体"/>
                <w:kern w:val="0"/>
                <w:szCs w:val="21"/>
                <w:lang w:val="en-US"/>
              </w:rPr>
              <w:t>相同内容筛选</w:t>
            </w:r>
          </w:p>
        </w:tc>
        <w:tc>
          <w:tcPr>
            <w:tcW w:w="3983" w:type="dxa"/>
            <w:tcBorders>
              <w:tl2br w:val="nil"/>
              <w:tr2bl w:val="nil"/>
            </w:tcBorders>
            <w:shd w:val="clear" w:color="auto" w:fill="auto"/>
            <w:noWrap/>
            <w:vAlign w:val="center"/>
          </w:tcPr>
          <w:p>
            <w:pPr>
              <w:jc w:val="both"/>
              <w:rPr>
                <w:rFonts w:ascii="Times New Roman" w:hAnsi="Times New Roman" w:eastAsia="宋体"/>
                <w:kern w:val="0"/>
                <w:szCs w:val="21"/>
                <w:lang w:val="en-US"/>
              </w:rPr>
            </w:pPr>
            <w:r>
              <w:rPr>
                <w:rFonts w:hint="eastAsia" w:ascii="Times New Roman" w:hAnsi="Times New Roman" w:eastAsia="宋体"/>
                <w:kern w:val="0"/>
                <w:szCs w:val="21"/>
                <w:lang w:val="en-US"/>
              </w:rPr>
              <w:t>对</w:t>
            </w:r>
            <w:r>
              <w:rPr>
                <w:rFonts w:ascii="Times New Roman" w:hAnsi="Times New Roman" w:eastAsia="宋体"/>
                <w:kern w:val="0"/>
                <w:szCs w:val="21"/>
                <w:lang w:val="en-US"/>
              </w:rPr>
              <w:t>2</w:t>
            </w:r>
            <w:r>
              <w:rPr>
                <w:rFonts w:hint="eastAsia" w:ascii="Times New Roman" w:hAnsi="Times New Roman" w:eastAsia="宋体"/>
                <w:kern w:val="0"/>
                <w:szCs w:val="21"/>
                <w:lang w:val="en-US"/>
              </w:rPr>
              <w:t>个或多个音频语音识别后，支持对不同音频之间不少于</w:t>
            </w:r>
            <w:r>
              <w:rPr>
                <w:rFonts w:ascii="Times New Roman" w:hAnsi="Times New Roman" w:eastAsia="宋体"/>
                <w:kern w:val="0"/>
                <w:szCs w:val="21"/>
                <w:lang w:val="en-US"/>
              </w:rPr>
              <w:t>2</w:t>
            </w:r>
            <w:r>
              <w:rPr>
                <w:rFonts w:hint="eastAsia" w:ascii="Times New Roman" w:hAnsi="Times New Roman" w:eastAsia="宋体"/>
                <w:kern w:val="0"/>
                <w:szCs w:val="21"/>
                <w:lang w:val="en-US"/>
              </w:rPr>
              <w:t>种相同内容筛选方式，至少支持筛选出相同字和相同词</w:t>
            </w:r>
          </w:p>
        </w:tc>
        <w:tc>
          <w:tcPr>
            <w:tcW w:w="1443" w:type="dxa"/>
            <w:tcBorders>
              <w:tl2br w:val="nil"/>
              <w:tr2bl w:val="nil"/>
            </w:tcBorders>
            <w:shd w:val="clear" w:color="auto" w:fill="auto"/>
            <w:vAlign w:val="center"/>
          </w:tcPr>
          <w:p>
            <w:pPr>
              <w:jc w:val="center"/>
              <w:rPr>
                <w:rFonts w:ascii="Times New Roman" w:hAnsi="Times New Roman" w:eastAsia="宋体"/>
                <w:kern w:val="0"/>
                <w:szCs w:val="21"/>
                <w:lang w:val="en-US"/>
              </w:rPr>
            </w:pPr>
            <w:r>
              <w:rPr>
                <w:rFonts w:hint="eastAsia" w:ascii="Times New Roman" w:hAnsi="Times New Roman" w:eastAsia="宋体"/>
                <w:kern w:val="0"/>
                <w:szCs w:val="21"/>
                <w:lang w:val="en-US"/>
              </w:rPr>
              <w:t>原厂证明材料或承诺函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704" w:type="dxa"/>
            <w:tcBorders>
              <w:tl2br w:val="nil"/>
              <w:tr2bl w:val="nil"/>
            </w:tcBorders>
            <w:shd w:val="clear" w:color="auto" w:fill="auto"/>
            <w:noWrap/>
            <w:vAlign w:val="center"/>
          </w:tcPr>
          <w:p>
            <w:pPr>
              <w:numPr>
                <w:ilvl w:val="0"/>
                <w:numId w:val="93"/>
              </w:numPr>
              <w:jc w:val="center"/>
              <w:rPr>
                <w:rFonts w:ascii="Times New Roman" w:hAnsi="Times New Roman" w:eastAsia="宋体"/>
                <w:kern w:val="0"/>
                <w:szCs w:val="21"/>
                <w:lang w:val="en-US"/>
              </w:rPr>
            </w:pPr>
          </w:p>
        </w:tc>
        <w:tc>
          <w:tcPr>
            <w:tcW w:w="709" w:type="dxa"/>
            <w:tcBorders>
              <w:tl2br w:val="nil"/>
              <w:tr2bl w:val="nil"/>
            </w:tcBorders>
            <w:shd w:val="clear" w:color="auto" w:fill="auto"/>
            <w:noWrap/>
            <w:vAlign w:val="center"/>
          </w:tcPr>
          <w:p>
            <w:pPr>
              <w:rPr>
                <w:rFonts w:ascii="Times New Roman" w:hAnsi="Times New Roman" w:eastAsia="宋体"/>
                <w:kern w:val="0"/>
                <w:szCs w:val="21"/>
                <w:lang w:val="en-US"/>
              </w:rPr>
            </w:pPr>
            <w:r>
              <w:rPr>
                <w:rFonts w:hint="eastAsia" w:ascii="Times New Roman" w:hAnsi="Times New Roman" w:eastAsia="宋体"/>
                <w:kern w:val="0"/>
                <w:szCs w:val="21"/>
                <w:lang w:val="en-US"/>
              </w:rPr>
              <w:t>　</w:t>
            </w:r>
          </w:p>
        </w:tc>
        <w:tc>
          <w:tcPr>
            <w:tcW w:w="1287" w:type="dxa"/>
            <w:tcBorders>
              <w:tl2br w:val="nil"/>
              <w:tr2bl w:val="nil"/>
            </w:tcBorders>
            <w:shd w:val="clear" w:color="auto" w:fill="auto"/>
            <w:vAlign w:val="center"/>
          </w:tcPr>
          <w:p>
            <w:pPr>
              <w:jc w:val="center"/>
              <w:rPr>
                <w:rFonts w:ascii="Times New Roman" w:hAnsi="Times New Roman" w:eastAsia="宋体"/>
                <w:kern w:val="0"/>
                <w:szCs w:val="21"/>
                <w:lang w:val="en-US"/>
              </w:rPr>
            </w:pPr>
            <w:r>
              <w:rPr>
                <w:rFonts w:hint="eastAsia" w:ascii="Times New Roman" w:hAnsi="Times New Roman" w:eastAsia="宋体"/>
                <w:kern w:val="0"/>
                <w:szCs w:val="21"/>
                <w:lang w:val="en-US"/>
              </w:rPr>
              <w:t>语音识别结果展示</w:t>
            </w:r>
          </w:p>
        </w:tc>
        <w:tc>
          <w:tcPr>
            <w:tcW w:w="3983" w:type="dxa"/>
            <w:tcBorders>
              <w:tl2br w:val="nil"/>
              <w:tr2bl w:val="nil"/>
            </w:tcBorders>
            <w:shd w:val="clear" w:color="auto" w:fill="auto"/>
            <w:noWrap/>
            <w:vAlign w:val="center"/>
          </w:tcPr>
          <w:p>
            <w:pPr>
              <w:jc w:val="both"/>
              <w:rPr>
                <w:rFonts w:ascii="Times New Roman" w:hAnsi="Times New Roman" w:eastAsia="宋体"/>
                <w:kern w:val="0"/>
                <w:szCs w:val="21"/>
                <w:lang w:val="en-US"/>
              </w:rPr>
            </w:pPr>
            <w:r>
              <w:rPr>
                <w:rFonts w:hint="eastAsia" w:ascii="Times New Roman" w:hAnsi="Times New Roman" w:eastAsia="宋体"/>
                <w:kern w:val="0"/>
                <w:szCs w:val="21"/>
                <w:lang w:val="en-US"/>
              </w:rPr>
              <w:t>语音识别结果支持不少于</w:t>
            </w:r>
            <w:r>
              <w:rPr>
                <w:rFonts w:ascii="Times New Roman" w:hAnsi="Times New Roman" w:eastAsia="宋体"/>
                <w:kern w:val="0"/>
                <w:szCs w:val="21"/>
                <w:lang w:val="en-US"/>
              </w:rPr>
              <w:t>2</w:t>
            </w:r>
            <w:r>
              <w:rPr>
                <w:rFonts w:hint="eastAsia" w:ascii="Times New Roman" w:hAnsi="Times New Roman" w:eastAsia="宋体"/>
                <w:kern w:val="0"/>
                <w:szCs w:val="21"/>
                <w:lang w:val="en-US"/>
              </w:rPr>
              <w:t>种展示方式，至少支持对语音识别结果切换为词组或单字展示</w:t>
            </w:r>
          </w:p>
        </w:tc>
        <w:tc>
          <w:tcPr>
            <w:tcW w:w="1443" w:type="dxa"/>
            <w:tcBorders>
              <w:tl2br w:val="nil"/>
              <w:tr2bl w:val="nil"/>
            </w:tcBorders>
            <w:shd w:val="clear" w:color="auto" w:fill="auto"/>
            <w:vAlign w:val="center"/>
          </w:tcPr>
          <w:p>
            <w:pPr>
              <w:jc w:val="center"/>
              <w:rPr>
                <w:rFonts w:ascii="Times New Roman" w:hAnsi="Times New Roman" w:eastAsia="宋体"/>
                <w:kern w:val="0"/>
                <w:szCs w:val="21"/>
                <w:lang w:val="en-US"/>
              </w:rPr>
            </w:pPr>
            <w:r>
              <w:rPr>
                <w:rFonts w:hint="eastAsia" w:ascii="Times New Roman" w:hAnsi="Times New Roman" w:eastAsia="宋体"/>
                <w:kern w:val="0"/>
                <w:szCs w:val="21"/>
                <w:lang w:val="en-US"/>
              </w:rPr>
              <w:t>原厂证明材料或承诺函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704" w:type="dxa"/>
            <w:tcBorders>
              <w:tl2br w:val="nil"/>
              <w:tr2bl w:val="nil"/>
            </w:tcBorders>
            <w:shd w:val="clear" w:color="auto" w:fill="auto"/>
            <w:noWrap/>
            <w:vAlign w:val="center"/>
          </w:tcPr>
          <w:p>
            <w:pPr>
              <w:numPr>
                <w:ilvl w:val="0"/>
                <w:numId w:val="93"/>
              </w:numPr>
              <w:jc w:val="center"/>
              <w:rPr>
                <w:rFonts w:ascii="Times New Roman" w:hAnsi="Times New Roman" w:eastAsia="宋体"/>
                <w:kern w:val="0"/>
                <w:szCs w:val="21"/>
                <w:lang w:val="en-US"/>
              </w:rPr>
            </w:pPr>
          </w:p>
        </w:tc>
        <w:tc>
          <w:tcPr>
            <w:tcW w:w="709" w:type="dxa"/>
            <w:tcBorders>
              <w:tl2br w:val="nil"/>
              <w:tr2bl w:val="nil"/>
            </w:tcBorders>
            <w:shd w:val="clear" w:color="auto" w:fill="auto"/>
            <w:noWrap/>
            <w:vAlign w:val="center"/>
          </w:tcPr>
          <w:p>
            <w:pPr>
              <w:rPr>
                <w:rFonts w:ascii="Times New Roman" w:hAnsi="Times New Roman" w:eastAsia="宋体"/>
                <w:kern w:val="0"/>
                <w:szCs w:val="21"/>
                <w:lang w:val="en-US"/>
              </w:rPr>
            </w:pPr>
            <w:r>
              <w:rPr>
                <w:rFonts w:hint="eastAsia" w:ascii="Times New Roman" w:hAnsi="Times New Roman" w:eastAsia="宋体"/>
                <w:kern w:val="0"/>
                <w:szCs w:val="21"/>
                <w:lang w:val="en-US"/>
              </w:rPr>
              <w:t>　</w:t>
            </w:r>
          </w:p>
        </w:tc>
        <w:tc>
          <w:tcPr>
            <w:tcW w:w="1287" w:type="dxa"/>
            <w:tcBorders>
              <w:tl2br w:val="nil"/>
              <w:tr2bl w:val="nil"/>
            </w:tcBorders>
            <w:shd w:val="clear" w:color="auto" w:fill="auto"/>
            <w:vAlign w:val="center"/>
          </w:tcPr>
          <w:p>
            <w:pPr>
              <w:jc w:val="center"/>
              <w:rPr>
                <w:rFonts w:ascii="Times New Roman" w:hAnsi="Times New Roman" w:eastAsia="宋体"/>
                <w:kern w:val="0"/>
                <w:szCs w:val="21"/>
                <w:lang w:val="en-US"/>
              </w:rPr>
            </w:pPr>
            <w:r>
              <w:rPr>
                <w:rFonts w:hint="eastAsia" w:ascii="Times New Roman" w:hAnsi="Times New Roman" w:eastAsia="宋体"/>
                <w:kern w:val="0"/>
                <w:szCs w:val="21"/>
                <w:lang w:val="en-US"/>
              </w:rPr>
              <w:t>口音识别</w:t>
            </w:r>
          </w:p>
        </w:tc>
        <w:tc>
          <w:tcPr>
            <w:tcW w:w="3983" w:type="dxa"/>
            <w:tcBorders>
              <w:tl2br w:val="nil"/>
              <w:tr2bl w:val="nil"/>
            </w:tcBorders>
            <w:shd w:val="clear" w:color="auto" w:fill="auto"/>
            <w:noWrap/>
            <w:vAlign w:val="center"/>
          </w:tcPr>
          <w:p>
            <w:pPr>
              <w:jc w:val="both"/>
              <w:rPr>
                <w:rFonts w:ascii="Times New Roman" w:hAnsi="Times New Roman" w:eastAsia="宋体"/>
                <w:kern w:val="0"/>
                <w:szCs w:val="21"/>
                <w:lang w:val="en-US"/>
              </w:rPr>
            </w:pPr>
            <w:r>
              <w:rPr>
                <w:rFonts w:hint="eastAsia" w:ascii="Times New Roman" w:hAnsi="Times New Roman" w:eastAsia="宋体"/>
                <w:kern w:val="0"/>
                <w:szCs w:val="21"/>
                <w:lang w:val="en-US"/>
              </w:rPr>
              <w:t>支持口音识别，地域范围不少于5个。根据说话人的口音，给出该说话人籍贯属于哪个地域范围，同时给出可信度供参考</w:t>
            </w:r>
          </w:p>
        </w:tc>
        <w:tc>
          <w:tcPr>
            <w:tcW w:w="1443" w:type="dxa"/>
            <w:tcBorders>
              <w:tl2br w:val="nil"/>
              <w:tr2bl w:val="nil"/>
            </w:tcBorders>
            <w:shd w:val="clear" w:color="auto" w:fill="auto"/>
            <w:vAlign w:val="center"/>
          </w:tcPr>
          <w:p>
            <w:pPr>
              <w:jc w:val="center"/>
              <w:rPr>
                <w:rFonts w:ascii="Times New Roman" w:hAnsi="Times New Roman" w:eastAsia="宋体"/>
                <w:kern w:val="0"/>
                <w:szCs w:val="21"/>
                <w:lang w:val="en-US"/>
              </w:rPr>
            </w:pPr>
            <w:r>
              <w:rPr>
                <w:rFonts w:hint="eastAsia" w:ascii="Times New Roman" w:hAnsi="Times New Roman" w:eastAsia="宋体"/>
                <w:kern w:val="0"/>
                <w:szCs w:val="21"/>
                <w:lang w:val="en-US"/>
              </w:rPr>
              <w:t>原厂证明材料或承诺函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704" w:type="dxa"/>
            <w:tcBorders>
              <w:tl2br w:val="nil"/>
              <w:tr2bl w:val="nil"/>
            </w:tcBorders>
            <w:shd w:val="clear" w:color="auto" w:fill="auto"/>
            <w:noWrap/>
            <w:vAlign w:val="center"/>
          </w:tcPr>
          <w:p>
            <w:pPr>
              <w:numPr>
                <w:ilvl w:val="0"/>
                <w:numId w:val="93"/>
              </w:numPr>
              <w:jc w:val="center"/>
              <w:rPr>
                <w:rFonts w:ascii="Times New Roman" w:hAnsi="Times New Roman" w:eastAsia="宋体"/>
                <w:kern w:val="0"/>
                <w:szCs w:val="21"/>
                <w:lang w:val="en-US"/>
              </w:rPr>
            </w:pPr>
          </w:p>
        </w:tc>
        <w:tc>
          <w:tcPr>
            <w:tcW w:w="709" w:type="dxa"/>
            <w:tcBorders>
              <w:tl2br w:val="nil"/>
              <w:tr2bl w:val="nil"/>
            </w:tcBorders>
            <w:shd w:val="clear" w:color="auto" w:fill="auto"/>
            <w:noWrap/>
            <w:vAlign w:val="center"/>
          </w:tcPr>
          <w:p>
            <w:pPr>
              <w:rPr>
                <w:rFonts w:ascii="Times New Roman" w:hAnsi="Times New Roman" w:eastAsia="宋体"/>
                <w:kern w:val="0"/>
                <w:szCs w:val="21"/>
                <w:lang w:val="en-US"/>
              </w:rPr>
            </w:pPr>
            <w:r>
              <w:rPr>
                <w:rFonts w:hint="eastAsia" w:ascii="Times New Roman" w:hAnsi="Times New Roman" w:eastAsia="宋体"/>
                <w:kern w:val="0"/>
                <w:szCs w:val="21"/>
                <w:lang w:val="en-US"/>
              </w:rPr>
              <w:t>　</w:t>
            </w:r>
          </w:p>
        </w:tc>
        <w:tc>
          <w:tcPr>
            <w:tcW w:w="1287" w:type="dxa"/>
            <w:tcBorders>
              <w:tl2br w:val="nil"/>
              <w:tr2bl w:val="nil"/>
            </w:tcBorders>
            <w:shd w:val="clear" w:color="auto" w:fill="auto"/>
            <w:vAlign w:val="center"/>
          </w:tcPr>
          <w:p>
            <w:pPr>
              <w:jc w:val="center"/>
              <w:rPr>
                <w:rFonts w:ascii="Times New Roman" w:hAnsi="Times New Roman" w:eastAsia="宋体"/>
                <w:kern w:val="0"/>
                <w:szCs w:val="21"/>
                <w:lang w:val="en-US"/>
              </w:rPr>
            </w:pPr>
            <w:r>
              <w:rPr>
                <w:rFonts w:hint="eastAsia" w:ascii="Times New Roman" w:hAnsi="Times New Roman" w:eastAsia="宋体"/>
                <w:kern w:val="0"/>
                <w:szCs w:val="21"/>
                <w:lang w:val="en-US"/>
              </w:rPr>
              <w:t>自定义工具栏布局</w:t>
            </w:r>
          </w:p>
        </w:tc>
        <w:tc>
          <w:tcPr>
            <w:tcW w:w="3983" w:type="dxa"/>
            <w:tcBorders>
              <w:tl2br w:val="nil"/>
              <w:tr2bl w:val="nil"/>
            </w:tcBorders>
            <w:shd w:val="clear" w:color="auto" w:fill="auto"/>
            <w:noWrap/>
            <w:vAlign w:val="center"/>
          </w:tcPr>
          <w:p>
            <w:pPr>
              <w:rPr>
                <w:rFonts w:ascii="Times New Roman" w:hAnsi="Times New Roman" w:eastAsia="宋体"/>
                <w:kern w:val="0"/>
                <w:szCs w:val="21"/>
                <w:lang w:val="en-US"/>
              </w:rPr>
            </w:pPr>
            <w:r>
              <w:rPr>
                <w:rFonts w:hint="eastAsia" w:ascii="Times New Roman" w:hAnsi="Times New Roman" w:eastAsia="宋体"/>
                <w:kern w:val="0"/>
                <w:szCs w:val="21"/>
                <w:lang w:val="en-US"/>
              </w:rPr>
              <w:t>支持不少于</w:t>
            </w:r>
            <w:r>
              <w:rPr>
                <w:rFonts w:ascii="Times New Roman" w:hAnsi="Times New Roman" w:eastAsia="宋体"/>
                <w:kern w:val="0"/>
                <w:szCs w:val="21"/>
                <w:lang w:val="en-US"/>
              </w:rPr>
              <w:t>2</w:t>
            </w:r>
            <w:r>
              <w:rPr>
                <w:rFonts w:hint="eastAsia" w:ascii="Times New Roman" w:hAnsi="Times New Roman" w:eastAsia="宋体"/>
                <w:kern w:val="0"/>
                <w:szCs w:val="21"/>
                <w:lang w:val="en-US"/>
              </w:rPr>
              <w:t>种不同的工具栏布局设置，可设置工具栏放置在顶部或侧边</w:t>
            </w:r>
          </w:p>
        </w:tc>
        <w:tc>
          <w:tcPr>
            <w:tcW w:w="1443" w:type="dxa"/>
            <w:tcBorders>
              <w:tl2br w:val="nil"/>
              <w:tr2bl w:val="nil"/>
            </w:tcBorders>
            <w:shd w:val="clear" w:color="auto" w:fill="auto"/>
            <w:vAlign w:val="center"/>
          </w:tcPr>
          <w:p>
            <w:pPr>
              <w:jc w:val="center"/>
              <w:rPr>
                <w:rFonts w:ascii="Times New Roman" w:hAnsi="Times New Roman" w:eastAsia="宋体"/>
                <w:kern w:val="0"/>
                <w:szCs w:val="21"/>
                <w:lang w:val="en-US"/>
              </w:rPr>
            </w:pPr>
            <w:r>
              <w:rPr>
                <w:rFonts w:hint="eastAsia" w:ascii="Times New Roman" w:hAnsi="Times New Roman" w:eastAsia="宋体"/>
                <w:kern w:val="0"/>
                <w:szCs w:val="21"/>
                <w:lang w:val="en-US"/>
              </w:rPr>
              <w:t>原厂证明材料或承诺函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4" w:type="dxa"/>
            <w:tcBorders>
              <w:tl2br w:val="nil"/>
              <w:tr2bl w:val="nil"/>
            </w:tcBorders>
            <w:shd w:val="clear" w:color="auto" w:fill="auto"/>
            <w:noWrap/>
            <w:vAlign w:val="center"/>
          </w:tcPr>
          <w:p>
            <w:pPr>
              <w:numPr>
                <w:ilvl w:val="0"/>
                <w:numId w:val="93"/>
              </w:numPr>
              <w:jc w:val="center"/>
              <w:rPr>
                <w:rFonts w:ascii="Times New Roman" w:hAnsi="Times New Roman" w:eastAsia="宋体"/>
                <w:kern w:val="0"/>
                <w:szCs w:val="21"/>
                <w:lang w:val="en-US"/>
              </w:rPr>
            </w:pPr>
          </w:p>
        </w:tc>
        <w:tc>
          <w:tcPr>
            <w:tcW w:w="709" w:type="dxa"/>
            <w:tcBorders>
              <w:tl2br w:val="nil"/>
              <w:tr2bl w:val="nil"/>
            </w:tcBorders>
            <w:shd w:val="clear" w:color="auto" w:fill="auto"/>
            <w:noWrap/>
            <w:vAlign w:val="center"/>
          </w:tcPr>
          <w:p>
            <w:pPr>
              <w:rPr>
                <w:rFonts w:ascii="Times New Roman" w:hAnsi="Times New Roman" w:eastAsia="宋体"/>
                <w:kern w:val="0"/>
                <w:szCs w:val="21"/>
                <w:lang w:val="en-US"/>
              </w:rPr>
            </w:pPr>
            <w:r>
              <w:rPr>
                <w:rFonts w:hint="eastAsia" w:ascii="Times New Roman" w:hAnsi="Times New Roman" w:eastAsia="宋体"/>
                <w:kern w:val="0"/>
                <w:szCs w:val="21"/>
                <w:lang w:val="en-US"/>
              </w:rPr>
              <w:t>　</w:t>
            </w:r>
          </w:p>
        </w:tc>
        <w:tc>
          <w:tcPr>
            <w:tcW w:w="1287" w:type="dxa"/>
            <w:tcBorders>
              <w:tl2br w:val="nil"/>
              <w:tr2bl w:val="nil"/>
            </w:tcBorders>
            <w:shd w:val="clear" w:color="auto" w:fill="auto"/>
            <w:vAlign w:val="center"/>
          </w:tcPr>
          <w:p>
            <w:pPr>
              <w:jc w:val="center"/>
              <w:rPr>
                <w:rFonts w:ascii="Times New Roman" w:hAnsi="Times New Roman" w:eastAsia="宋体"/>
                <w:kern w:val="0"/>
                <w:szCs w:val="21"/>
                <w:lang w:val="en-US"/>
              </w:rPr>
            </w:pPr>
            <w:r>
              <w:rPr>
                <w:rFonts w:hint="eastAsia" w:ascii="Times New Roman" w:hAnsi="Times New Roman" w:eastAsia="宋体"/>
                <w:kern w:val="0"/>
                <w:szCs w:val="21"/>
                <w:lang w:val="en-US"/>
              </w:rPr>
              <w:t>合并音频快速溯源</w:t>
            </w:r>
          </w:p>
        </w:tc>
        <w:tc>
          <w:tcPr>
            <w:tcW w:w="3983" w:type="dxa"/>
            <w:tcBorders>
              <w:tl2br w:val="nil"/>
              <w:tr2bl w:val="nil"/>
            </w:tcBorders>
            <w:shd w:val="clear" w:color="auto" w:fill="auto"/>
            <w:noWrap/>
            <w:vAlign w:val="center"/>
          </w:tcPr>
          <w:p>
            <w:pPr>
              <w:jc w:val="both"/>
              <w:rPr>
                <w:rFonts w:ascii="Times New Roman" w:hAnsi="Times New Roman" w:eastAsia="宋体"/>
                <w:kern w:val="0"/>
                <w:szCs w:val="21"/>
                <w:lang w:val="en-US"/>
              </w:rPr>
            </w:pPr>
            <w:r>
              <w:rPr>
                <w:rFonts w:hint="eastAsia" w:ascii="Times New Roman" w:hAnsi="Times New Roman" w:eastAsia="宋体"/>
                <w:kern w:val="0"/>
                <w:szCs w:val="21"/>
                <w:lang w:val="en-US"/>
              </w:rPr>
              <w:t>支持一次性可合并音频不少于20条。在对合并音频进行鉴定分析时，支持展示该合并音频具体由哪些音频合并组成，可显示每段音频对应在合并音频的时间范围</w:t>
            </w:r>
          </w:p>
        </w:tc>
        <w:tc>
          <w:tcPr>
            <w:tcW w:w="1443" w:type="dxa"/>
            <w:tcBorders>
              <w:tl2br w:val="nil"/>
              <w:tr2bl w:val="nil"/>
            </w:tcBorders>
            <w:shd w:val="clear" w:color="auto" w:fill="auto"/>
            <w:vAlign w:val="center"/>
          </w:tcPr>
          <w:p>
            <w:pPr>
              <w:jc w:val="center"/>
              <w:rPr>
                <w:rFonts w:ascii="Times New Roman" w:hAnsi="Times New Roman" w:eastAsia="宋体"/>
                <w:kern w:val="0"/>
                <w:szCs w:val="21"/>
                <w:lang w:val="en-US"/>
              </w:rPr>
            </w:pPr>
            <w:r>
              <w:rPr>
                <w:rFonts w:hint="eastAsia" w:ascii="Times New Roman" w:hAnsi="Times New Roman" w:eastAsia="宋体"/>
                <w:kern w:val="0"/>
                <w:szCs w:val="21"/>
                <w:lang w:val="en-US"/>
              </w:rPr>
              <w:t>原厂证明材料或承诺函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704" w:type="dxa"/>
            <w:tcBorders>
              <w:tl2br w:val="nil"/>
              <w:tr2bl w:val="nil"/>
            </w:tcBorders>
            <w:shd w:val="clear" w:color="auto" w:fill="auto"/>
            <w:noWrap/>
            <w:vAlign w:val="center"/>
          </w:tcPr>
          <w:p>
            <w:pPr>
              <w:numPr>
                <w:ilvl w:val="0"/>
                <w:numId w:val="93"/>
              </w:numPr>
              <w:jc w:val="center"/>
              <w:rPr>
                <w:rFonts w:ascii="Times New Roman" w:hAnsi="Times New Roman" w:eastAsia="宋体"/>
                <w:kern w:val="0"/>
                <w:szCs w:val="21"/>
                <w:lang w:val="en-US"/>
              </w:rPr>
            </w:pPr>
          </w:p>
        </w:tc>
        <w:tc>
          <w:tcPr>
            <w:tcW w:w="709" w:type="dxa"/>
            <w:tcBorders>
              <w:tl2br w:val="nil"/>
              <w:tr2bl w:val="nil"/>
            </w:tcBorders>
            <w:shd w:val="clear" w:color="auto" w:fill="auto"/>
            <w:noWrap/>
            <w:vAlign w:val="center"/>
          </w:tcPr>
          <w:p>
            <w:pPr>
              <w:rPr>
                <w:rFonts w:ascii="Times New Roman" w:hAnsi="Times New Roman" w:eastAsia="宋体"/>
                <w:kern w:val="0"/>
                <w:szCs w:val="21"/>
                <w:lang w:val="en-US"/>
              </w:rPr>
            </w:pPr>
          </w:p>
        </w:tc>
        <w:tc>
          <w:tcPr>
            <w:tcW w:w="1287" w:type="dxa"/>
            <w:tcBorders>
              <w:tl2br w:val="nil"/>
              <w:tr2bl w:val="nil"/>
            </w:tcBorders>
            <w:shd w:val="clear" w:color="auto" w:fill="auto"/>
            <w:vAlign w:val="center"/>
          </w:tcPr>
          <w:p>
            <w:pPr>
              <w:jc w:val="center"/>
              <w:rPr>
                <w:rFonts w:ascii="Times New Roman" w:hAnsi="Times New Roman" w:eastAsia="宋体"/>
                <w:kern w:val="0"/>
                <w:szCs w:val="21"/>
                <w:lang w:val="en-US"/>
              </w:rPr>
            </w:pPr>
            <w:r>
              <w:rPr>
                <w:rFonts w:hint="eastAsia" w:ascii="Times New Roman" w:hAnsi="Times New Roman" w:eastAsia="宋体"/>
                <w:kern w:val="0"/>
                <w:szCs w:val="21"/>
                <w:lang w:val="en-US"/>
              </w:rPr>
              <w:t>智能问答</w:t>
            </w:r>
          </w:p>
        </w:tc>
        <w:tc>
          <w:tcPr>
            <w:tcW w:w="3983" w:type="dxa"/>
            <w:tcBorders>
              <w:tl2br w:val="nil"/>
              <w:tr2bl w:val="nil"/>
            </w:tcBorders>
            <w:shd w:val="clear" w:color="auto" w:fill="auto"/>
            <w:noWrap/>
            <w:vAlign w:val="center"/>
          </w:tcPr>
          <w:p>
            <w:pPr>
              <w:jc w:val="both"/>
              <w:rPr>
                <w:rFonts w:ascii="Times New Roman" w:hAnsi="Times New Roman" w:eastAsia="宋体"/>
                <w:kern w:val="0"/>
                <w:szCs w:val="21"/>
                <w:lang w:val="en-US"/>
              </w:rPr>
            </w:pPr>
            <w:r>
              <w:rPr>
                <w:rFonts w:hint="eastAsia" w:ascii="Times New Roman" w:hAnsi="Times New Roman" w:eastAsia="宋体"/>
                <w:kern w:val="0"/>
                <w:szCs w:val="21"/>
                <w:lang w:val="en-US"/>
              </w:rPr>
              <w:t>集成人工智能大语言模型，支持高达128K的上下文长度，单次最多可生成8K内容，交互响应时间TTFT（首次生成token时间）不超过3秒，TPS（每秒生成token数）不少于5token/s。专项模型拥有强大的多语言能力，支持不少于20 种语言，基于最新的大规模数据集，具备自然语言理解和生成能力，可以在声纹检验鉴定过程中提供准确解答</w:t>
            </w:r>
          </w:p>
        </w:tc>
        <w:tc>
          <w:tcPr>
            <w:tcW w:w="1443" w:type="dxa"/>
            <w:tcBorders>
              <w:tl2br w:val="nil"/>
              <w:tr2bl w:val="nil"/>
            </w:tcBorders>
            <w:shd w:val="clear" w:color="auto" w:fill="auto"/>
            <w:vAlign w:val="center"/>
          </w:tcPr>
          <w:p>
            <w:pPr>
              <w:tabs>
                <w:tab w:val="left" w:pos="245"/>
              </w:tabs>
              <w:jc w:val="center"/>
              <w:rPr>
                <w:rFonts w:ascii="Times New Roman" w:hAnsi="Times New Roman" w:eastAsia="宋体"/>
                <w:kern w:val="0"/>
                <w:szCs w:val="21"/>
                <w:lang w:val="en-US"/>
              </w:rPr>
            </w:pPr>
            <w:r>
              <w:rPr>
                <w:rFonts w:hint="eastAsia" w:ascii="Times New Roman" w:hAnsi="Times New Roman" w:eastAsia="宋体"/>
                <w:kern w:val="0"/>
                <w:szCs w:val="21"/>
                <w:lang w:val="en-US"/>
              </w:rPr>
              <w:t>原厂证明材料或承诺函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4" w:type="dxa"/>
            <w:tcBorders>
              <w:tl2br w:val="nil"/>
              <w:tr2bl w:val="nil"/>
            </w:tcBorders>
            <w:shd w:val="clear" w:color="auto" w:fill="auto"/>
            <w:noWrap/>
            <w:vAlign w:val="center"/>
          </w:tcPr>
          <w:p>
            <w:pPr>
              <w:numPr>
                <w:ilvl w:val="0"/>
                <w:numId w:val="93"/>
              </w:numPr>
              <w:jc w:val="center"/>
              <w:rPr>
                <w:rFonts w:ascii="Times New Roman" w:hAnsi="Times New Roman" w:eastAsia="宋体"/>
                <w:kern w:val="0"/>
                <w:szCs w:val="21"/>
                <w:lang w:val="en-US"/>
              </w:rPr>
            </w:pPr>
          </w:p>
        </w:tc>
        <w:tc>
          <w:tcPr>
            <w:tcW w:w="709" w:type="dxa"/>
            <w:tcBorders>
              <w:tl2br w:val="nil"/>
              <w:tr2bl w:val="nil"/>
            </w:tcBorders>
            <w:shd w:val="clear" w:color="auto" w:fill="auto"/>
            <w:noWrap/>
            <w:vAlign w:val="center"/>
          </w:tcPr>
          <w:p>
            <w:pPr>
              <w:rPr>
                <w:rFonts w:ascii="Times New Roman" w:hAnsi="Times New Roman" w:eastAsia="宋体"/>
                <w:kern w:val="0"/>
                <w:szCs w:val="21"/>
                <w:lang w:val="en-US"/>
              </w:rPr>
            </w:pPr>
            <w:r>
              <w:rPr>
                <w:rFonts w:hint="eastAsia" w:ascii="Times New Roman" w:hAnsi="Times New Roman" w:eastAsia="宋体"/>
                <w:kern w:val="0"/>
                <w:szCs w:val="21"/>
                <w:lang w:val="en-US"/>
              </w:rPr>
              <w:t>　</w:t>
            </w:r>
          </w:p>
          <w:p>
            <w:pPr>
              <w:rPr>
                <w:rFonts w:ascii="Times New Roman" w:hAnsi="Times New Roman" w:eastAsia="宋体"/>
                <w:kern w:val="0"/>
                <w:szCs w:val="21"/>
                <w:lang w:val="en-US"/>
              </w:rPr>
            </w:pPr>
            <w:r>
              <w:rPr>
                <w:rFonts w:hint="eastAsia" w:ascii="Times New Roman" w:hAnsi="Times New Roman" w:eastAsia="宋体"/>
                <w:kern w:val="0"/>
                <w:szCs w:val="21"/>
                <w:lang w:val="en-US"/>
              </w:rPr>
              <w:t>　</w:t>
            </w:r>
          </w:p>
          <w:p>
            <w:pPr>
              <w:rPr>
                <w:rFonts w:ascii="Times New Roman" w:hAnsi="Times New Roman" w:eastAsia="宋体"/>
                <w:kern w:val="0"/>
                <w:szCs w:val="21"/>
                <w:lang w:val="en-US"/>
              </w:rPr>
            </w:pPr>
            <w:r>
              <w:rPr>
                <w:rFonts w:hint="eastAsia" w:ascii="Times New Roman" w:hAnsi="Times New Roman" w:eastAsia="宋体"/>
                <w:kern w:val="0"/>
                <w:szCs w:val="21"/>
                <w:lang w:val="en-US"/>
              </w:rPr>
              <w:t>　</w:t>
            </w:r>
          </w:p>
          <w:p>
            <w:pPr>
              <w:rPr>
                <w:rFonts w:ascii="Times New Roman" w:hAnsi="Times New Roman" w:eastAsia="宋体"/>
                <w:kern w:val="0"/>
                <w:szCs w:val="21"/>
                <w:lang w:val="en-US"/>
              </w:rPr>
            </w:pPr>
            <w:r>
              <w:rPr>
                <w:rFonts w:hint="eastAsia" w:ascii="Times New Roman" w:hAnsi="Times New Roman" w:eastAsia="宋体"/>
                <w:kern w:val="0"/>
                <w:szCs w:val="21"/>
                <w:lang w:val="en-US"/>
              </w:rPr>
              <w:t>　</w:t>
            </w:r>
          </w:p>
          <w:p>
            <w:pPr>
              <w:rPr>
                <w:rFonts w:ascii="Times New Roman" w:hAnsi="Times New Roman" w:eastAsia="宋体"/>
                <w:kern w:val="0"/>
                <w:szCs w:val="21"/>
                <w:lang w:val="en-US"/>
              </w:rPr>
            </w:pPr>
            <w:r>
              <w:rPr>
                <w:rFonts w:hint="eastAsia" w:ascii="Times New Roman" w:hAnsi="Times New Roman" w:eastAsia="宋体"/>
                <w:kern w:val="0"/>
                <w:szCs w:val="21"/>
                <w:lang w:val="en-US"/>
              </w:rPr>
              <w:t>　</w:t>
            </w:r>
          </w:p>
          <w:p>
            <w:pPr>
              <w:rPr>
                <w:rFonts w:ascii="Times New Roman" w:hAnsi="Times New Roman" w:eastAsia="宋体"/>
                <w:kern w:val="0"/>
                <w:szCs w:val="21"/>
                <w:lang w:val="en-US"/>
              </w:rPr>
            </w:pPr>
            <w:r>
              <w:rPr>
                <w:rFonts w:hint="eastAsia" w:ascii="Times New Roman" w:hAnsi="Times New Roman" w:eastAsia="宋体"/>
                <w:kern w:val="0"/>
                <w:szCs w:val="21"/>
                <w:lang w:val="en-US"/>
              </w:rPr>
              <w:t>　</w:t>
            </w:r>
          </w:p>
        </w:tc>
        <w:tc>
          <w:tcPr>
            <w:tcW w:w="1287" w:type="dxa"/>
            <w:tcBorders>
              <w:tl2br w:val="nil"/>
              <w:tr2bl w:val="nil"/>
            </w:tcBorders>
            <w:shd w:val="clear" w:color="auto" w:fill="auto"/>
            <w:vAlign w:val="center"/>
          </w:tcPr>
          <w:p>
            <w:pPr>
              <w:jc w:val="center"/>
              <w:rPr>
                <w:rFonts w:ascii="Times New Roman" w:hAnsi="Times New Roman" w:eastAsia="宋体"/>
                <w:kern w:val="0"/>
                <w:szCs w:val="21"/>
                <w:lang w:val="en-US"/>
              </w:rPr>
            </w:pPr>
            <w:r>
              <w:rPr>
                <w:rFonts w:hint="eastAsia" w:ascii="Times New Roman" w:hAnsi="Times New Roman" w:eastAsia="宋体"/>
                <w:kern w:val="0"/>
                <w:szCs w:val="21"/>
                <w:lang w:val="en-US"/>
              </w:rPr>
              <w:t>电子取证数据处理</w:t>
            </w:r>
          </w:p>
        </w:tc>
        <w:tc>
          <w:tcPr>
            <w:tcW w:w="3983" w:type="dxa"/>
            <w:tcBorders>
              <w:tl2br w:val="nil"/>
              <w:tr2bl w:val="nil"/>
            </w:tcBorders>
            <w:shd w:val="clear" w:color="auto" w:fill="auto"/>
            <w:noWrap/>
            <w:vAlign w:val="center"/>
          </w:tcPr>
          <w:p>
            <w:pPr>
              <w:jc w:val="both"/>
              <w:rPr>
                <w:rFonts w:ascii="Times New Roman" w:hAnsi="Times New Roman" w:eastAsia="宋体"/>
                <w:kern w:val="0"/>
                <w:szCs w:val="21"/>
                <w:lang w:val="en-US"/>
              </w:rPr>
            </w:pPr>
            <w:r>
              <w:rPr>
                <w:rFonts w:hint="eastAsia" w:ascii="Times New Roman" w:hAnsi="Times New Roman" w:eastAsia="宋体"/>
                <w:kern w:val="0"/>
                <w:szCs w:val="21"/>
                <w:lang w:val="en-US"/>
              </w:rPr>
              <w:t>1）支持不少于</w:t>
            </w:r>
            <w:r>
              <w:rPr>
                <w:rFonts w:ascii="Times New Roman" w:hAnsi="Times New Roman" w:eastAsia="宋体"/>
                <w:kern w:val="0"/>
                <w:szCs w:val="21"/>
                <w:lang w:val="en-US"/>
              </w:rPr>
              <w:t>2</w:t>
            </w:r>
            <w:r>
              <w:rPr>
                <w:rFonts w:hint="eastAsia" w:ascii="Times New Roman" w:hAnsi="Times New Roman" w:eastAsia="宋体"/>
                <w:kern w:val="0"/>
                <w:szCs w:val="21"/>
                <w:lang w:val="en-US"/>
              </w:rPr>
              <w:t>种语言转写，至少应包含支持普通话、粤语转写。对电子取证提取的数据包中的社交</w:t>
            </w:r>
            <w:r>
              <w:rPr>
                <w:rFonts w:ascii="Times New Roman" w:hAnsi="Times New Roman" w:eastAsia="宋体"/>
                <w:kern w:val="0"/>
                <w:szCs w:val="21"/>
                <w:lang w:val="en-US"/>
              </w:rPr>
              <w:t>APP</w:t>
            </w:r>
            <w:r>
              <w:rPr>
                <w:rFonts w:hint="eastAsia" w:ascii="Times New Roman" w:hAnsi="Times New Roman" w:eastAsia="宋体"/>
                <w:kern w:val="0"/>
                <w:szCs w:val="21"/>
                <w:lang w:val="en-US"/>
              </w:rPr>
              <w:t>语音内容自动识别并转写为文字</w:t>
            </w:r>
          </w:p>
          <w:p>
            <w:pPr>
              <w:jc w:val="both"/>
              <w:rPr>
                <w:rFonts w:ascii="Times New Roman" w:hAnsi="Times New Roman" w:eastAsia="宋体"/>
                <w:kern w:val="0"/>
                <w:szCs w:val="21"/>
                <w:lang w:val="en-US"/>
              </w:rPr>
            </w:pPr>
            <w:r>
              <w:rPr>
                <w:rFonts w:hint="eastAsia" w:ascii="Times New Roman" w:hAnsi="Times New Roman" w:eastAsia="宋体"/>
                <w:kern w:val="0"/>
                <w:szCs w:val="21"/>
                <w:lang w:val="en-US"/>
              </w:rPr>
              <w:t>2）至少支持一键导入通过电子取证提取的数据包进行处理</w:t>
            </w:r>
          </w:p>
          <w:p>
            <w:pPr>
              <w:jc w:val="both"/>
              <w:rPr>
                <w:rFonts w:ascii="Times New Roman" w:hAnsi="Times New Roman" w:eastAsia="宋体"/>
                <w:kern w:val="0"/>
                <w:szCs w:val="21"/>
                <w:lang w:val="en-US"/>
              </w:rPr>
            </w:pPr>
            <w:r>
              <w:rPr>
                <w:rFonts w:hint="eastAsia" w:ascii="Times New Roman" w:hAnsi="Times New Roman" w:eastAsia="宋体"/>
                <w:kern w:val="0"/>
                <w:szCs w:val="21"/>
                <w:lang w:val="en-US"/>
              </w:rPr>
              <w:t>3）至少支持转写出的文字能与原音频形成对应关系，根据社交</w:t>
            </w:r>
            <w:r>
              <w:rPr>
                <w:rFonts w:ascii="Times New Roman" w:hAnsi="Times New Roman" w:eastAsia="宋体"/>
                <w:kern w:val="0"/>
                <w:szCs w:val="21"/>
                <w:lang w:val="en-US"/>
              </w:rPr>
              <w:t>APP</w:t>
            </w:r>
            <w:r>
              <w:rPr>
                <w:rFonts w:hint="eastAsia" w:ascii="Times New Roman" w:hAnsi="Times New Roman" w:eastAsia="宋体"/>
                <w:kern w:val="0"/>
                <w:szCs w:val="21"/>
                <w:lang w:val="en-US"/>
              </w:rPr>
              <w:t>账号名称、音频时间信息把转写内容对应显示在原数据包</w:t>
            </w:r>
            <w:r>
              <w:rPr>
                <w:rFonts w:ascii="Times New Roman" w:hAnsi="Times New Roman" w:eastAsia="宋体"/>
                <w:kern w:val="0"/>
                <w:szCs w:val="21"/>
                <w:lang w:val="en-US"/>
              </w:rPr>
              <w:t>html</w:t>
            </w:r>
            <w:r>
              <w:rPr>
                <w:rFonts w:hint="eastAsia" w:ascii="Times New Roman" w:hAnsi="Times New Roman" w:eastAsia="宋体"/>
                <w:kern w:val="0"/>
                <w:szCs w:val="21"/>
                <w:lang w:val="en-US"/>
              </w:rPr>
              <w:t>文件的每条音频的下方</w:t>
            </w:r>
          </w:p>
          <w:p>
            <w:pPr>
              <w:jc w:val="both"/>
              <w:rPr>
                <w:rFonts w:ascii="Times New Roman" w:hAnsi="Times New Roman" w:eastAsia="宋体"/>
                <w:kern w:val="0"/>
                <w:szCs w:val="21"/>
                <w:lang w:val="en-US"/>
              </w:rPr>
            </w:pPr>
            <w:r>
              <w:rPr>
                <w:rFonts w:hint="eastAsia" w:ascii="Times New Roman" w:hAnsi="Times New Roman" w:eastAsia="宋体"/>
                <w:kern w:val="0"/>
                <w:szCs w:val="21"/>
                <w:lang w:val="en-US"/>
              </w:rPr>
              <w:t>4）至少支持对转写后的文字进行编辑、修改</w:t>
            </w:r>
          </w:p>
          <w:p>
            <w:pPr>
              <w:jc w:val="both"/>
              <w:rPr>
                <w:rFonts w:ascii="Times New Roman" w:hAnsi="Times New Roman" w:eastAsia="宋体"/>
                <w:kern w:val="0"/>
                <w:szCs w:val="21"/>
                <w:lang w:val="en-US"/>
              </w:rPr>
            </w:pPr>
            <w:r>
              <w:rPr>
                <w:rFonts w:hint="eastAsia" w:ascii="Times New Roman" w:hAnsi="Times New Roman" w:eastAsia="宋体"/>
                <w:kern w:val="0"/>
                <w:szCs w:val="21"/>
                <w:lang w:val="en-US"/>
              </w:rPr>
              <w:t>5）至少支持通过搜索的方式查找转写内容</w:t>
            </w:r>
          </w:p>
          <w:p>
            <w:pPr>
              <w:jc w:val="both"/>
              <w:rPr>
                <w:rFonts w:ascii="Times New Roman" w:hAnsi="Times New Roman" w:eastAsia="宋体"/>
                <w:kern w:val="0"/>
                <w:szCs w:val="21"/>
                <w:lang w:val="en-US"/>
              </w:rPr>
            </w:pPr>
            <w:r>
              <w:rPr>
                <w:rFonts w:hint="eastAsia" w:ascii="Times New Roman" w:hAnsi="Times New Roman" w:eastAsia="宋体"/>
                <w:kern w:val="0"/>
                <w:szCs w:val="21"/>
                <w:lang w:val="en-US"/>
              </w:rPr>
              <w:t>6）至少支持对转写内容进行导出、打印</w:t>
            </w:r>
          </w:p>
        </w:tc>
        <w:tc>
          <w:tcPr>
            <w:tcW w:w="1443" w:type="dxa"/>
            <w:tcBorders>
              <w:tl2br w:val="nil"/>
              <w:tr2bl w:val="nil"/>
            </w:tcBorders>
            <w:shd w:val="clear" w:color="auto" w:fill="auto"/>
            <w:vAlign w:val="center"/>
          </w:tcPr>
          <w:p>
            <w:pPr>
              <w:jc w:val="center"/>
              <w:rPr>
                <w:rFonts w:ascii="Times New Roman" w:hAnsi="Times New Roman" w:eastAsia="宋体"/>
                <w:kern w:val="0"/>
                <w:szCs w:val="21"/>
                <w:lang w:val="en-US"/>
              </w:rPr>
            </w:pPr>
            <w:r>
              <w:rPr>
                <w:rFonts w:hint="eastAsia" w:ascii="Times New Roman" w:hAnsi="Times New Roman" w:eastAsia="宋体"/>
                <w:kern w:val="0"/>
                <w:szCs w:val="21"/>
                <w:lang w:val="en-US"/>
              </w:rPr>
              <w:t>原厂证明材料或承诺函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04" w:type="dxa"/>
            <w:tcBorders>
              <w:tl2br w:val="nil"/>
              <w:tr2bl w:val="nil"/>
            </w:tcBorders>
            <w:shd w:val="clear" w:color="auto" w:fill="auto"/>
            <w:noWrap/>
            <w:vAlign w:val="center"/>
          </w:tcPr>
          <w:p>
            <w:pPr>
              <w:numPr>
                <w:ilvl w:val="0"/>
                <w:numId w:val="93"/>
              </w:numPr>
              <w:jc w:val="center"/>
              <w:rPr>
                <w:rFonts w:ascii="Times New Roman" w:hAnsi="Times New Roman" w:eastAsia="宋体"/>
                <w:kern w:val="0"/>
                <w:szCs w:val="21"/>
                <w:lang w:val="en-US"/>
              </w:rPr>
            </w:pPr>
          </w:p>
        </w:tc>
        <w:tc>
          <w:tcPr>
            <w:tcW w:w="709" w:type="dxa"/>
            <w:tcBorders>
              <w:tl2br w:val="nil"/>
              <w:tr2bl w:val="nil"/>
            </w:tcBorders>
            <w:shd w:val="clear" w:color="auto" w:fill="auto"/>
            <w:noWrap/>
            <w:vAlign w:val="center"/>
          </w:tcPr>
          <w:p>
            <w:pPr>
              <w:rPr>
                <w:rFonts w:ascii="Times New Roman" w:hAnsi="Times New Roman" w:eastAsia="宋体"/>
                <w:kern w:val="0"/>
                <w:szCs w:val="21"/>
                <w:lang w:val="en-US"/>
              </w:rPr>
            </w:pPr>
            <w:r>
              <w:rPr>
                <w:rFonts w:hint="eastAsia" w:ascii="Times New Roman" w:hAnsi="Times New Roman" w:eastAsia="宋体"/>
                <w:kern w:val="0"/>
                <w:szCs w:val="21"/>
                <w:lang w:val="en-US"/>
              </w:rPr>
              <w:t>　</w:t>
            </w:r>
          </w:p>
          <w:p>
            <w:pPr>
              <w:rPr>
                <w:rFonts w:ascii="Times New Roman" w:hAnsi="Times New Roman" w:eastAsia="宋体"/>
                <w:kern w:val="0"/>
                <w:szCs w:val="21"/>
                <w:lang w:val="en-US"/>
              </w:rPr>
            </w:pPr>
            <w:r>
              <w:rPr>
                <w:rFonts w:hint="eastAsia" w:ascii="Times New Roman" w:hAnsi="Times New Roman" w:eastAsia="宋体"/>
                <w:kern w:val="0"/>
                <w:szCs w:val="21"/>
                <w:lang w:val="en-US"/>
              </w:rPr>
              <w:t>　</w:t>
            </w:r>
          </w:p>
          <w:p>
            <w:pPr>
              <w:rPr>
                <w:rFonts w:ascii="Times New Roman" w:hAnsi="Times New Roman" w:eastAsia="宋体"/>
                <w:kern w:val="0"/>
                <w:szCs w:val="21"/>
                <w:lang w:val="en-US"/>
              </w:rPr>
            </w:pPr>
            <w:r>
              <w:rPr>
                <w:rFonts w:hint="eastAsia" w:ascii="Times New Roman" w:hAnsi="Times New Roman" w:eastAsia="宋体"/>
                <w:kern w:val="0"/>
                <w:szCs w:val="21"/>
                <w:lang w:val="en-US"/>
              </w:rPr>
              <w:t>　</w:t>
            </w:r>
          </w:p>
          <w:p>
            <w:pPr>
              <w:rPr>
                <w:rFonts w:ascii="Times New Roman" w:hAnsi="Times New Roman" w:eastAsia="宋体"/>
                <w:kern w:val="0"/>
                <w:szCs w:val="21"/>
                <w:lang w:val="en-US"/>
              </w:rPr>
            </w:pPr>
            <w:r>
              <w:rPr>
                <w:rFonts w:hint="eastAsia" w:ascii="Times New Roman" w:hAnsi="Times New Roman" w:eastAsia="宋体"/>
                <w:kern w:val="0"/>
                <w:szCs w:val="21"/>
                <w:lang w:val="en-US"/>
              </w:rPr>
              <w:t>　</w:t>
            </w:r>
          </w:p>
          <w:p>
            <w:pPr>
              <w:rPr>
                <w:rFonts w:ascii="Times New Roman" w:hAnsi="Times New Roman" w:eastAsia="宋体"/>
                <w:kern w:val="0"/>
                <w:szCs w:val="21"/>
                <w:lang w:val="en-US"/>
              </w:rPr>
            </w:pPr>
            <w:r>
              <w:rPr>
                <w:rFonts w:hint="eastAsia" w:ascii="Times New Roman" w:hAnsi="Times New Roman" w:eastAsia="宋体"/>
                <w:kern w:val="0"/>
                <w:szCs w:val="21"/>
                <w:lang w:val="en-US"/>
              </w:rPr>
              <w:t>　</w:t>
            </w:r>
          </w:p>
          <w:p>
            <w:pPr>
              <w:rPr>
                <w:rFonts w:ascii="Times New Roman" w:hAnsi="Times New Roman" w:eastAsia="宋体"/>
                <w:kern w:val="0"/>
                <w:szCs w:val="21"/>
                <w:lang w:val="en-US"/>
              </w:rPr>
            </w:pPr>
            <w:r>
              <w:rPr>
                <w:rFonts w:hint="eastAsia" w:ascii="Times New Roman" w:hAnsi="Times New Roman" w:eastAsia="宋体"/>
                <w:kern w:val="0"/>
                <w:szCs w:val="21"/>
                <w:lang w:val="en-US"/>
              </w:rPr>
              <w:t>　</w:t>
            </w:r>
          </w:p>
          <w:p>
            <w:pPr>
              <w:rPr>
                <w:rFonts w:ascii="Times New Roman" w:hAnsi="Times New Roman" w:eastAsia="宋体"/>
                <w:kern w:val="0"/>
                <w:szCs w:val="21"/>
                <w:lang w:val="en-US"/>
              </w:rPr>
            </w:pPr>
            <w:r>
              <w:rPr>
                <w:rFonts w:hint="eastAsia" w:ascii="Times New Roman" w:hAnsi="Times New Roman" w:eastAsia="宋体"/>
                <w:kern w:val="0"/>
                <w:szCs w:val="21"/>
                <w:lang w:val="en-US"/>
              </w:rPr>
              <w:t>　</w:t>
            </w:r>
          </w:p>
          <w:p>
            <w:pPr>
              <w:rPr>
                <w:rFonts w:ascii="Times New Roman" w:hAnsi="Times New Roman" w:eastAsia="宋体"/>
                <w:kern w:val="0"/>
                <w:szCs w:val="21"/>
                <w:lang w:val="en-US"/>
              </w:rPr>
            </w:pPr>
            <w:r>
              <w:rPr>
                <w:rFonts w:hint="eastAsia" w:ascii="Times New Roman" w:hAnsi="Times New Roman" w:eastAsia="宋体"/>
                <w:kern w:val="0"/>
                <w:szCs w:val="21"/>
                <w:lang w:val="en-US"/>
              </w:rPr>
              <w:t>　</w:t>
            </w:r>
          </w:p>
          <w:p>
            <w:pPr>
              <w:rPr>
                <w:rFonts w:ascii="Times New Roman" w:hAnsi="Times New Roman" w:eastAsia="宋体"/>
                <w:kern w:val="0"/>
                <w:szCs w:val="21"/>
                <w:lang w:val="en-US"/>
              </w:rPr>
            </w:pPr>
            <w:r>
              <w:rPr>
                <w:rFonts w:hint="eastAsia" w:ascii="Times New Roman" w:hAnsi="Times New Roman" w:eastAsia="宋体"/>
                <w:kern w:val="0"/>
                <w:szCs w:val="21"/>
                <w:lang w:val="en-US"/>
              </w:rPr>
              <w:t>　</w:t>
            </w:r>
          </w:p>
        </w:tc>
        <w:tc>
          <w:tcPr>
            <w:tcW w:w="1287" w:type="dxa"/>
            <w:tcBorders>
              <w:tl2br w:val="nil"/>
              <w:tr2bl w:val="nil"/>
            </w:tcBorders>
            <w:shd w:val="clear" w:color="auto" w:fill="auto"/>
            <w:noWrap/>
            <w:vAlign w:val="center"/>
          </w:tcPr>
          <w:p>
            <w:pPr>
              <w:jc w:val="center"/>
              <w:rPr>
                <w:rFonts w:ascii="Times New Roman" w:hAnsi="Times New Roman" w:eastAsia="宋体"/>
                <w:kern w:val="0"/>
                <w:szCs w:val="21"/>
                <w:lang w:val="en-US"/>
              </w:rPr>
            </w:pPr>
            <w:r>
              <w:rPr>
                <w:rFonts w:hint="eastAsia" w:ascii="Times New Roman" w:hAnsi="Times New Roman" w:eastAsia="宋体"/>
                <w:kern w:val="0"/>
                <w:szCs w:val="21"/>
                <w:lang w:val="en-US"/>
              </w:rPr>
              <w:t>工作站</w:t>
            </w:r>
          </w:p>
        </w:tc>
        <w:tc>
          <w:tcPr>
            <w:tcW w:w="3983" w:type="dxa"/>
            <w:tcBorders>
              <w:tl2br w:val="nil"/>
              <w:tr2bl w:val="nil"/>
            </w:tcBorders>
            <w:shd w:val="clear" w:color="auto" w:fill="auto"/>
            <w:noWrap/>
            <w:vAlign w:val="center"/>
          </w:tcPr>
          <w:p>
            <w:pPr>
              <w:jc w:val="both"/>
              <w:rPr>
                <w:rFonts w:ascii="Times New Roman" w:hAnsi="Times New Roman" w:eastAsia="宋体"/>
                <w:kern w:val="0"/>
                <w:szCs w:val="21"/>
                <w:lang w:val="en-US"/>
              </w:rPr>
            </w:pPr>
            <w:r>
              <w:rPr>
                <w:rFonts w:hint="eastAsia" w:ascii="Times New Roman" w:hAnsi="Times New Roman" w:eastAsia="宋体"/>
                <w:kern w:val="0"/>
                <w:szCs w:val="21"/>
                <w:lang w:val="en-US"/>
              </w:rPr>
              <w:t>1）处理器：不低于20核28线程。</w:t>
            </w:r>
          </w:p>
          <w:p>
            <w:pPr>
              <w:jc w:val="both"/>
              <w:rPr>
                <w:rFonts w:ascii="Times New Roman" w:hAnsi="Times New Roman" w:eastAsia="宋体"/>
                <w:kern w:val="0"/>
                <w:szCs w:val="21"/>
                <w:lang w:val="en-US"/>
              </w:rPr>
            </w:pPr>
            <w:r>
              <w:rPr>
                <w:rFonts w:hint="eastAsia" w:ascii="Times New Roman" w:hAnsi="Times New Roman" w:eastAsia="宋体"/>
                <w:kern w:val="0"/>
                <w:szCs w:val="21"/>
                <w:lang w:val="en-US"/>
              </w:rPr>
              <w:t>2）内存：不低于128GB DDR5。</w:t>
            </w:r>
          </w:p>
          <w:p>
            <w:pPr>
              <w:jc w:val="both"/>
              <w:rPr>
                <w:rFonts w:ascii="Times New Roman" w:hAnsi="Times New Roman" w:eastAsia="宋体"/>
                <w:kern w:val="0"/>
                <w:szCs w:val="21"/>
                <w:lang w:val="en-US"/>
              </w:rPr>
            </w:pPr>
            <w:r>
              <w:rPr>
                <w:rFonts w:hint="eastAsia" w:ascii="Times New Roman" w:hAnsi="Times New Roman" w:eastAsia="宋体"/>
                <w:kern w:val="0"/>
                <w:szCs w:val="21"/>
                <w:lang w:val="en-US"/>
              </w:rPr>
              <w:t>3）硬盘：不少于2个存储硬盘，包含：①NVME.M2固态硬盘，容量不少于4TB，读写率不少于7400MB/S；②机械硬盘，容量不少于20TB，企业级读写，CMR垂直磁记录，工作负载不少于550TB/年，转速机械盘不少于7200转/秒。</w:t>
            </w:r>
          </w:p>
          <w:p>
            <w:pPr>
              <w:jc w:val="both"/>
              <w:rPr>
                <w:rFonts w:ascii="Times New Roman" w:hAnsi="Times New Roman" w:eastAsia="宋体"/>
                <w:kern w:val="0"/>
                <w:szCs w:val="21"/>
                <w:lang w:val="en-US"/>
              </w:rPr>
            </w:pPr>
            <w:r>
              <w:rPr>
                <w:rFonts w:hint="eastAsia" w:ascii="Times New Roman" w:hAnsi="Times New Roman" w:eastAsia="宋体"/>
                <w:kern w:val="0"/>
                <w:szCs w:val="21"/>
                <w:lang w:val="en-US"/>
              </w:rPr>
              <w:t>4）独立显卡：显存不低于24GB。</w:t>
            </w:r>
          </w:p>
          <w:p>
            <w:pPr>
              <w:jc w:val="both"/>
              <w:rPr>
                <w:rFonts w:ascii="Times New Roman" w:hAnsi="Times New Roman" w:eastAsia="宋体"/>
                <w:kern w:val="0"/>
                <w:szCs w:val="21"/>
                <w:lang w:val="en-US"/>
              </w:rPr>
            </w:pPr>
            <w:r>
              <w:rPr>
                <w:rFonts w:hint="eastAsia" w:ascii="Times New Roman" w:hAnsi="Times New Roman" w:eastAsia="宋体"/>
                <w:kern w:val="0"/>
                <w:szCs w:val="21"/>
                <w:lang w:val="en-US"/>
              </w:rPr>
              <w:t>5）屏幕尺寸：不低于31英寸，刷新率不低于144HZ。</w:t>
            </w:r>
          </w:p>
          <w:p>
            <w:pPr>
              <w:jc w:val="both"/>
              <w:rPr>
                <w:rFonts w:ascii="Times New Roman" w:hAnsi="Times New Roman" w:eastAsia="宋体"/>
                <w:kern w:val="0"/>
                <w:szCs w:val="21"/>
                <w:lang w:val="en-US"/>
              </w:rPr>
            </w:pPr>
            <w:r>
              <w:rPr>
                <w:rFonts w:hint="eastAsia" w:ascii="Times New Roman" w:hAnsi="Times New Roman" w:eastAsia="宋体"/>
                <w:kern w:val="0"/>
                <w:szCs w:val="21"/>
                <w:lang w:val="en-US"/>
              </w:rPr>
              <w:t>6）至少集成2路双功放有源音箱、音频接口、耳机、电容式麦克风等</w:t>
            </w:r>
          </w:p>
        </w:tc>
        <w:tc>
          <w:tcPr>
            <w:tcW w:w="1443" w:type="dxa"/>
            <w:tcBorders>
              <w:tl2br w:val="nil"/>
              <w:tr2bl w:val="nil"/>
            </w:tcBorders>
            <w:shd w:val="clear" w:color="auto" w:fill="auto"/>
            <w:vAlign w:val="center"/>
          </w:tcPr>
          <w:p>
            <w:pPr>
              <w:jc w:val="center"/>
              <w:rPr>
                <w:rFonts w:ascii="Times New Roman" w:hAnsi="Times New Roman" w:eastAsia="宋体"/>
                <w:kern w:val="0"/>
                <w:szCs w:val="21"/>
                <w:lang w:val="en-US"/>
              </w:rPr>
            </w:pPr>
            <w:r>
              <w:rPr>
                <w:rFonts w:hint="eastAsia" w:ascii="Times New Roman" w:hAnsi="Times New Roman" w:eastAsia="宋体"/>
                <w:kern w:val="0"/>
                <w:szCs w:val="21"/>
                <w:lang w:val="en-US"/>
              </w:rPr>
              <w:t>原厂证明材料或承诺函</w:t>
            </w:r>
          </w:p>
        </w:tc>
      </w:tr>
    </w:tbl>
    <w:p>
      <w:pPr>
        <w:rPr>
          <w:rFonts w:eastAsiaTheme="minorEastAsia"/>
          <w:szCs w:val="21"/>
          <w:lang w:val="en-US"/>
        </w:rPr>
      </w:pPr>
    </w:p>
    <w:p>
      <w:pPr>
        <w:pStyle w:val="3"/>
        <w:spacing w:before="120"/>
        <w:rPr>
          <w:color w:val="auto"/>
        </w:rPr>
      </w:pPr>
      <w:bookmarkStart w:id="125" w:name="_Toc11279"/>
      <w:r>
        <w:rPr>
          <w:rFonts w:hint="eastAsia"/>
          <w:color w:val="auto"/>
        </w:rPr>
        <w:t>服务</w:t>
      </w:r>
      <w:r>
        <w:rPr>
          <w:color w:val="auto"/>
        </w:rPr>
        <w:t>要求</w:t>
      </w:r>
      <w:bookmarkEnd w:id="94"/>
      <w:bookmarkEnd w:id="113"/>
      <w:bookmarkEnd w:id="114"/>
      <w:bookmarkEnd w:id="115"/>
      <w:bookmarkEnd w:id="116"/>
      <w:bookmarkEnd w:id="117"/>
      <w:bookmarkEnd w:id="118"/>
      <w:bookmarkEnd w:id="125"/>
    </w:p>
    <w:p>
      <w:pPr>
        <w:pStyle w:val="4"/>
        <w:keepNext w:val="0"/>
        <w:keepLines w:val="0"/>
        <w:rPr>
          <w:rFonts w:eastAsia="宋体"/>
          <w:color w:val="auto"/>
          <w:sz w:val="21"/>
          <w:szCs w:val="22"/>
        </w:rPr>
      </w:pPr>
      <w:r>
        <w:rPr>
          <w:rFonts w:eastAsia="宋体"/>
          <w:color w:val="auto"/>
          <w:sz w:val="21"/>
          <w:szCs w:val="22"/>
        </w:rPr>
        <w:t>售后服务</w:t>
      </w:r>
    </w:p>
    <w:p>
      <w:pPr>
        <w:ind w:firstLine="420" w:firstLineChars="200"/>
        <w:rPr>
          <w:rFonts w:ascii="Times New Roman" w:hAnsi="Times New Roman" w:eastAsia="宋体"/>
          <w:szCs w:val="22"/>
        </w:rPr>
      </w:pPr>
      <w:r>
        <w:rPr>
          <w:rFonts w:ascii="Times New Roman" w:hAnsi="Times New Roman" w:eastAsia="宋体"/>
          <w:szCs w:val="22"/>
        </w:rPr>
        <w:t>1、质量保证期（简称“质保期”）为</w:t>
      </w:r>
      <w:r>
        <w:rPr>
          <w:rFonts w:hint="eastAsia" w:ascii="Times New Roman" w:hAnsi="Times New Roman" w:eastAsia="宋体"/>
          <w:szCs w:val="22"/>
        </w:rPr>
        <w:t>5年</w:t>
      </w:r>
      <w:r>
        <w:rPr>
          <w:rFonts w:ascii="Times New Roman" w:hAnsi="Times New Roman" w:eastAsia="宋体"/>
          <w:szCs w:val="22"/>
        </w:rPr>
        <w:t>, 质保期内，出现故障，须派出技术工程师到达现场处理故障，并承担一切费用。</w:t>
      </w:r>
    </w:p>
    <w:p>
      <w:pPr>
        <w:ind w:firstLine="420" w:firstLineChars="200"/>
        <w:rPr>
          <w:rFonts w:ascii="Times New Roman" w:hAnsi="Times New Roman" w:eastAsia="宋体"/>
          <w:szCs w:val="22"/>
        </w:rPr>
      </w:pPr>
      <w:r>
        <w:rPr>
          <w:rFonts w:ascii="Times New Roman" w:hAnsi="Times New Roman" w:eastAsia="宋体"/>
          <w:szCs w:val="22"/>
        </w:rPr>
        <w:t>2、供应商需明确本项目的联系人，保证联系人手机、邮箱24小时畅通，以接收采购人的服务请求。</w:t>
      </w:r>
    </w:p>
    <w:p>
      <w:pPr>
        <w:ind w:firstLine="420" w:firstLineChars="200"/>
        <w:rPr>
          <w:rFonts w:ascii="Times New Roman" w:hAnsi="Times New Roman" w:eastAsia="宋体"/>
          <w:szCs w:val="22"/>
        </w:rPr>
      </w:pPr>
      <w:r>
        <w:rPr>
          <w:rFonts w:ascii="Times New Roman" w:hAnsi="Times New Roman" w:eastAsia="宋体"/>
          <w:szCs w:val="22"/>
        </w:rPr>
        <w:t>3、在质保期内，如</w:t>
      </w:r>
      <w:r>
        <w:rPr>
          <w:rFonts w:hint="eastAsia" w:ascii="Times New Roman" w:hAnsi="Times New Roman" w:eastAsia="宋体"/>
          <w:szCs w:val="22"/>
        </w:rPr>
        <w:t>设备</w:t>
      </w:r>
      <w:r>
        <w:rPr>
          <w:rFonts w:ascii="Times New Roman" w:hAnsi="Times New Roman" w:eastAsia="宋体"/>
          <w:szCs w:val="22"/>
        </w:rPr>
        <w:t>出现使用故障，</w:t>
      </w:r>
      <w:r>
        <w:rPr>
          <w:rFonts w:hint="eastAsia" w:ascii="Times New Roman" w:hAnsi="Times New Roman" w:eastAsia="宋体"/>
          <w:szCs w:val="22"/>
        </w:rPr>
        <w:t>中标供应商</w:t>
      </w:r>
      <w:r>
        <w:rPr>
          <w:rFonts w:ascii="Times New Roman" w:hAnsi="Times New Roman" w:eastAsia="宋体"/>
          <w:szCs w:val="22"/>
        </w:rPr>
        <w:t>工程师</w:t>
      </w:r>
      <w:r>
        <w:rPr>
          <w:rFonts w:hint="eastAsia" w:ascii="Times New Roman" w:hAnsi="Times New Roman" w:eastAsia="宋体"/>
          <w:szCs w:val="22"/>
        </w:rPr>
        <w:t>须</w:t>
      </w:r>
      <w:r>
        <w:rPr>
          <w:rFonts w:ascii="Times New Roman" w:hAnsi="Times New Roman" w:eastAsia="宋体"/>
          <w:szCs w:val="22"/>
        </w:rPr>
        <w:t>在15分钟内电话响应，如能够通过远程方式的，工程师应在最短时间通过远程解决。如无法远程解决的</w:t>
      </w:r>
      <w:r>
        <w:rPr>
          <w:rFonts w:hint="eastAsia" w:ascii="Times New Roman" w:hAnsi="Times New Roman" w:eastAsia="宋体"/>
          <w:szCs w:val="22"/>
        </w:rPr>
        <w:t>，应</w:t>
      </w:r>
      <w:r>
        <w:rPr>
          <w:rFonts w:ascii="Times New Roman" w:hAnsi="Times New Roman" w:eastAsia="宋体"/>
          <w:szCs w:val="22"/>
        </w:rPr>
        <w:t>立即启动现场服务模式。如果需要现场服务，中标供应商工程师将在接到用户电话后48</w:t>
      </w:r>
      <w:r>
        <w:rPr>
          <w:rFonts w:hint="eastAsia" w:ascii="Times New Roman" w:hAnsi="Times New Roman" w:eastAsia="宋体"/>
          <w:szCs w:val="22"/>
        </w:rPr>
        <w:t>小时</w:t>
      </w:r>
      <w:r>
        <w:rPr>
          <w:rFonts w:ascii="Times New Roman" w:hAnsi="Times New Roman" w:eastAsia="宋体"/>
          <w:szCs w:val="22"/>
        </w:rPr>
        <w:t>内到达现场进行维护。</w:t>
      </w:r>
    </w:p>
    <w:p>
      <w:pPr>
        <w:ind w:firstLine="420" w:firstLineChars="200"/>
        <w:rPr>
          <w:rFonts w:ascii="Times New Roman" w:hAnsi="Times New Roman" w:eastAsia="宋体"/>
          <w:szCs w:val="22"/>
        </w:rPr>
      </w:pPr>
      <w:r>
        <w:rPr>
          <w:rFonts w:ascii="Times New Roman" w:hAnsi="Times New Roman" w:eastAsia="宋体"/>
          <w:szCs w:val="22"/>
        </w:rPr>
        <w:t>4、中标供应商每年须提供不低于5次的现场技术支持服务，需提供承诺函加盖</w:t>
      </w:r>
      <w:r>
        <w:rPr>
          <w:rFonts w:hint="eastAsia" w:ascii="Times New Roman" w:hAnsi="Times New Roman" w:eastAsia="宋体"/>
          <w:szCs w:val="22"/>
        </w:rPr>
        <w:t>投标</w:t>
      </w:r>
      <w:r>
        <w:rPr>
          <w:rFonts w:ascii="Times New Roman" w:hAnsi="Times New Roman" w:eastAsia="宋体"/>
          <w:szCs w:val="22"/>
        </w:rPr>
        <w:t>人公章。</w:t>
      </w:r>
    </w:p>
    <w:p>
      <w:pPr>
        <w:ind w:firstLine="420" w:firstLineChars="200"/>
        <w:rPr>
          <w:rFonts w:ascii="Times New Roman" w:hAnsi="Times New Roman" w:eastAsia="宋体"/>
          <w:szCs w:val="22"/>
        </w:rPr>
      </w:pPr>
      <w:r>
        <w:rPr>
          <w:rFonts w:ascii="Times New Roman" w:hAnsi="Times New Roman" w:eastAsia="宋体"/>
          <w:szCs w:val="22"/>
        </w:rPr>
        <w:t>5、质保期满后，中标供应商应以优惠价格提供长期的维保服务。</w:t>
      </w:r>
    </w:p>
    <w:p>
      <w:pPr>
        <w:pStyle w:val="4"/>
        <w:keepNext w:val="0"/>
        <w:keepLines w:val="0"/>
        <w:rPr>
          <w:rFonts w:eastAsia="宋体"/>
          <w:color w:val="auto"/>
          <w:sz w:val="21"/>
          <w:szCs w:val="22"/>
        </w:rPr>
      </w:pPr>
      <w:r>
        <w:rPr>
          <w:rFonts w:eastAsia="宋体"/>
          <w:color w:val="auto"/>
          <w:sz w:val="21"/>
          <w:szCs w:val="22"/>
        </w:rPr>
        <w:t>培训方案</w:t>
      </w:r>
    </w:p>
    <w:p>
      <w:pPr>
        <w:ind w:firstLine="420" w:firstLineChars="200"/>
        <w:rPr>
          <w:rFonts w:ascii="Times New Roman" w:hAnsi="Times New Roman" w:eastAsia="宋体"/>
          <w:szCs w:val="22"/>
        </w:rPr>
      </w:pPr>
      <w:r>
        <w:rPr>
          <w:rFonts w:ascii="Times New Roman" w:hAnsi="Times New Roman" w:eastAsia="宋体"/>
          <w:szCs w:val="22"/>
        </w:rPr>
        <w:t>1、投标人需要提供满足本项目要求的培训服务，提供集中培训及驻地跟班培训服务。</w:t>
      </w:r>
    </w:p>
    <w:p>
      <w:pPr>
        <w:ind w:firstLine="420" w:firstLineChars="200"/>
        <w:rPr>
          <w:rFonts w:ascii="Times New Roman" w:hAnsi="Times New Roman" w:eastAsia="宋体"/>
          <w:szCs w:val="22"/>
        </w:rPr>
      </w:pPr>
      <w:r>
        <w:rPr>
          <w:rFonts w:ascii="Times New Roman" w:hAnsi="Times New Roman" w:eastAsia="宋体"/>
          <w:szCs w:val="22"/>
        </w:rPr>
        <w:t>2、投标人需要为所有被培训人员提供培训用文字资料和讲义等相关用品。所有资料需要中文书写。</w:t>
      </w:r>
    </w:p>
    <w:p>
      <w:pPr>
        <w:ind w:firstLine="420" w:firstLineChars="200"/>
        <w:rPr>
          <w:rFonts w:ascii="Times New Roman" w:hAnsi="Times New Roman" w:eastAsia="宋体"/>
          <w:szCs w:val="22"/>
        </w:rPr>
      </w:pPr>
      <w:r>
        <w:rPr>
          <w:rFonts w:ascii="Times New Roman" w:hAnsi="Times New Roman" w:eastAsia="宋体"/>
          <w:szCs w:val="22"/>
        </w:rPr>
        <w:t>3、培训内容包括:本项目软件的使用、故障处理、操作培训以及相关的知识等，用户经过培训后，可熟练的使用、维护、故障判断、应急处置。</w:t>
      </w:r>
    </w:p>
    <w:p>
      <w:pPr>
        <w:ind w:firstLine="420" w:firstLineChars="200"/>
        <w:rPr>
          <w:rFonts w:ascii="Times New Roman" w:hAnsi="Times New Roman" w:eastAsia="宋体"/>
          <w:szCs w:val="22"/>
        </w:rPr>
      </w:pPr>
      <w:r>
        <w:rPr>
          <w:rFonts w:ascii="Times New Roman" w:hAnsi="Times New Roman" w:eastAsia="宋体"/>
          <w:szCs w:val="22"/>
        </w:rPr>
        <w:t>4、投标人均应详细制定人员培训方案，培训方案应包括培训目的、培训时间安排、人数、教材编写、培训课程、培训方式等。</w:t>
      </w:r>
    </w:p>
    <w:p>
      <w:pPr>
        <w:pStyle w:val="4"/>
        <w:keepNext w:val="0"/>
        <w:keepLines w:val="0"/>
        <w:rPr>
          <w:rFonts w:eastAsia="宋体"/>
          <w:color w:val="auto"/>
          <w:sz w:val="21"/>
          <w:szCs w:val="22"/>
        </w:rPr>
      </w:pPr>
      <w:r>
        <w:rPr>
          <w:rFonts w:eastAsia="宋体"/>
          <w:b/>
          <w:bCs w:val="0"/>
        </w:rPr>
        <w:t>*</w:t>
      </w:r>
      <w:r>
        <w:rPr>
          <w:rFonts w:eastAsia="宋体"/>
          <w:color w:val="auto"/>
          <w:sz w:val="21"/>
          <w:szCs w:val="22"/>
        </w:rPr>
        <w:t>验收要求</w:t>
      </w:r>
      <w:r>
        <w:rPr>
          <w:rFonts w:eastAsia="宋体"/>
          <w:sz w:val="22"/>
        </w:rPr>
        <w:t>（实质性要求）</w:t>
      </w:r>
    </w:p>
    <w:p>
      <w:pPr>
        <w:adjustRightInd w:val="0"/>
        <w:snapToGrid w:val="0"/>
        <w:ind w:firstLine="420" w:firstLineChars="200"/>
        <w:rPr>
          <w:rFonts w:ascii="Times New Roman" w:hAnsi="Times New Roman" w:eastAsia="宋体"/>
          <w:szCs w:val="22"/>
        </w:rPr>
      </w:pPr>
      <w:r>
        <w:rPr>
          <w:rFonts w:hint="eastAsia" w:ascii="Times New Roman" w:hAnsi="Times New Roman" w:eastAsia="宋体"/>
          <w:szCs w:val="22"/>
        </w:rPr>
        <w:t>按照政府采购有关规定，采购人相关部门人员组织统一验收。中标供应商所投产品经采购人验收合格后，方可签署验收报告，具体事项如下：</w:t>
      </w:r>
    </w:p>
    <w:p>
      <w:pPr>
        <w:adjustRightInd w:val="0"/>
        <w:snapToGrid w:val="0"/>
        <w:ind w:firstLine="420" w:firstLineChars="200"/>
        <w:rPr>
          <w:rFonts w:ascii="Times New Roman" w:hAnsi="Times New Roman" w:eastAsia="宋体"/>
          <w:szCs w:val="22"/>
        </w:rPr>
      </w:pPr>
      <w:r>
        <w:rPr>
          <w:rFonts w:hint="eastAsia" w:ascii="Times New Roman" w:hAnsi="Times New Roman" w:eastAsia="宋体"/>
          <w:szCs w:val="22"/>
        </w:rPr>
        <w:t>（1）中标供应商须与采购人共同完成货物验收工作，采购人有权核查产品检验报告原件或委托具有相应检验能力、检验资质的第三方检验机构对产品进行检验；中标供应商须承诺中标公告发布后至合同签订前2个工作日内向采购人提供投标文件中响应“技术要求”的所有检验报告原件。</w:t>
      </w:r>
    </w:p>
    <w:p>
      <w:pPr>
        <w:adjustRightInd w:val="0"/>
        <w:snapToGrid w:val="0"/>
        <w:ind w:firstLine="420" w:firstLineChars="200"/>
        <w:rPr>
          <w:rFonts w:ascii="Times New Roman" w:hAnsi="Times New Roman" w:eastAsia="宋体"/>
          <w:szCs w:val="22"/>
        </w:rPr>
      </w:pPr>
      <w:r>
        <w:rPr>
          <w:rFonts w:hint="eastAsia" w:ascii="Times New Roman" w:hAnsi="Times New Roman" w:eastAsia="宋体"/>
          <w:szCs w:val="22"/>
        </w:rPr>
        <w:t>（2）检验须以中标供应商对技术要求的实际响应为准；</w:t>
      </w:r>
    </w:p>
    <w:p>
      <w:pPr>
        <w:adjustRightInd w:val="0"/>
        <w:snapToGrid w:val="0"/>
        <w:ind w:firstLine="420" w:firstLineChars="200"/>
        <w:rPr>
          <w:rFonts w:ascii="Times New Roman" w:hAnsi="Times New Roman" w:eastAsia="宋体"/>
          <w:szCs w:val="22"/>
        </w:rPr>
      </w:pPr>
      <w:r>
        <w:rPr>
          <w:rFonts w:hint="eastAsia" w:ascii="Times New Roman" w:hAnsi="Times New Roman" w:eastAsia="宋体"/>
          <w:szCs w:val="22"/>
        </w:rPr>
        <w:t>（3）检验样品数量、抽检方法、技术指标选定范围及数量由采购人确定；</w:t>
      </w:r>
    </w:p>
    <w:p>
      <w:pPr>
        <w:adjustRightInd w:val="0"/>
        <w:snapToGrid w:val="0"/>
        <w:ind w:firstLine="420" w:firstLineChars="200"/>
        <w:rPr>
          <w:rFonts w:ascii="Times New Roman" w:hAnsi="Times New Roman" w:eastAsia="宋体"/>
          <w:szCs w:val="22"/>
        </w:rPr>
      </w:pPr>
      <w:r>
        <w:rPr>
          <w:rFonts w:hint="eastAsia" w:ascii="Times New Roman" w:hAnsi="Times New Roman" w:eastAsia="宋体"/>
          <w:szCs w:val="22"/>
        </w:rPr>
        <w:t>（4）检验所需的样品和产生的相关费用均由中标供应商承担（抽检样品数量不包含在采购数量内，由中标供应商另外提供）；</w:t>
      </w:r>
    </w:p>
    <w:p>
      <w:pPr>
        <w:adjustRightInd w:val="0"/>
        <w:snapToGrid w:val="0"/>
        <w:ind w:firstLine="420" w:firstLineChars="200"/>
        <w:rPr>
          <w:rFonts w:ascii="Times New Roman" w:hAnsi="Times New Roman" w:eastAsia="宋体"/>
          <w:szCs w:val="22"/>
        </w:rPr>
      </w:pPr>
      <w:r>
        <w:rPr>
          <w:rFonts w:hint="eastAsia" w:ascii="Times New Roman" w:hAnsi="Times New Roman" w:eastAsia="宋体"/>
          <w:szCs w:val="22"/>
        </w:rPr>
        <w:t>（5）若中标供应商交付的产品与招标时实际响应不符，采购人有权追究中标供应商因提供虚假材料等造成的一切损失。</w:t>
      </w:r>
    </w:p>
    <w:p>
      <w:pPr>
        <w:adjustRightInd w:val="0"/>
        <w:snapToGrid w:val="0"/>
        <w:ind w:firstLine="420" w:firstLineChars="200"/>
        <w:sectPr>
          <w:headerReference r:id="rId13" w:type="default"/>
          <w:type w:val="continuous"/>
          <w:pgSz w:w="11907" w:h="16839"/>
          <w:pgMar w:top="1928" w:right="1531" w:bottom="1871" w:left="1531" w:header="1145" w:footer="709" w:gutter="0"/>
          <w:cols w:space="720" w:num="1"/>
          <w:docGrid w:linePitch="360" w:charSpace="0"/>
        </w:sectPr>
      </w:pPr>
      <w:r>
        <w:rPr>
          <w:rFonts w:hint="eastAsia" w:ascii="Times New Roman" w:hAnsi="Times New Roman" w:eastAsia="宋体"/>
          <w:szCs w:val="22"/>
        </w:rPr>
        <w:t>投标人应承诺中标后配合采购人做好上述验收相关工作。</w:t>
      </w:r>
      <w:r>
        <w:rPr>
          <w:rFonts w:hint="eastAsia" w:ascii="宋体" w:hAnsi="宋体" w:eastAsia="宋体" w:cs="宋体"/>
          <w:bCs/>
          <w:szCs w:val="21"/>
        </w:rPr>
        <w:t xml:space="preserve"> </w:t>
      </w:r>
      <w:r>
        <w:rPr>
          <w:rFonts w:ascii="宋体" w:hAnsi="宋体" w:eastAsia="宋体" w:cs="宋体"/>
          <w:bCs/>
          <w:szCs w:val="21"/>
        </w:rPr>
        <w:t xml:space="preserve"> </w:t>
      </w:r>
      <w:bookmarkEnd w:id="119"/>
      <w:bookmarkStart w:id="126" w:name="_Toc16050"/>
    </w:p>
    <w:p>
      <w:pPr>
        <w:pStyle w:val="2"/>
        <w:rPr>
          <w:color w:val="auto"/>
        </w:rPr>
      </w:pPr>
      <w:bookmarkStart w:id="127" w:name="_Toc19219"/>
      <w:r>
        <w:rPr>
          <w:color w:val="auto"/>
        </w:rPr>
        <w:t>合同（参考文本）</w:t>
      </w:r>
      <w:bookmarkEnd w:id="95"/>
      <w:bookmarkEnd w:id="96"/>
      <w:bookmarkEnd w:id="97"/>
      <w:bookmarkEnd w:id="98"/>
      <w:bookmarkEnd w:id="99"/>
      <w:bookmarkEnd w:id="126"/>
      <w:bookmarkEnd w:id="127"/>
    </w:p>
    <w:p>
      <w:pPr>
        <w:spacing w:line="560" w:lineRule="exact"/>
        <w:ind w:firstLine="420" w:firstLineChars="200"/>
        <w:rPr>
          <w:rFonts w:ascii="Times New Roman" w:hAnsi="Times New Roman" w:eastAsia="宋体"/>
          <w:szCs w:val="21"/>
        </w:rPr>
      </w:pPr>
      <w:r>
        <w:rPr>
          <w:rFonts w:ascii="Times New Roman" w:hAnsi="Times New Roman" w:eastAsia="宋体"/>
          <w:szCs w:val="21"/>
        </w:rPr>
        <w:t>合同编号：</w:t>
      </w:r>
    </w:p>
    <w:p>
      <w:pPr>
        <w:jc w:val="center"/>
        <w:rPr>
          <w:rFonts w:ascii="Times New Roman" w:hAnsi="Times New Roman" w:eastAsia="宋体"/>
          <w:kern w:val="0"/>
          <w:sz w:val="32"/>
          <w:szCs w:val="32"/>
        </w:rPr>
      </w:pPr>
      <w:r>
        <w:rPr>
          <w:rFonts w:ascii="Times New Roman" w:hAnsi="Times New Roman" w:eastAsia="宋体"/>
          <w:kern w:val="0"/>
          <w:sz w:val="32"/>
          <w:szCs w:val="32"/>
        </w:rPr>
        <w:t>合    同</w:t>
      </w:r>
    </w:p>
    <w:p>
      <w:pPr>
        <w:jc w:val="center"/>
        <w:rPr>
          <w:rFonts w:ascii="Times New Roman" w:hAnsi="Times New Roman" w:eastAsia="宋体"/>
          <w:kern w:val="0"/>
          <w:szCs w:val="21"/>
        </w:rPr>
      </w:pPr>
    </w:p>
    <w:p>
      <w:pPr>
        <w:spacing w:line="560" w:lineRule="exact"/>
        <w:ind w:firstLine="420" w:firstLineChars="200"/>
        <w:rPr>
          <w:rFonts w:ascii="Times New Roman" w:hAnsi="Times New Roman" w:eastAsia="宋体"/>
          <w:szCs w:val="21"/>
          <w:u w:val="single"/>
          <w:lang w:val="en-US"/>
        </w:rPr>
      </w:pPr>
      <w:r>
        <w:rPr>
          <w:rFonts w:ascii="Times New Roman" w:hAnsi="Times New Roman" w:eastAsia="宋体"/>
          <w:szCs w:val="21"/>
        </w:rPr>
        <w:t>甲方：</w:t>
      </w:r>
      <w:r>
        <w:rPr>
          <w:rFonts w:ascii="Times New Roman" w:hAnsi="Times New Roman" w:eastAsia="宋体"/>
          <w:szCs w:val="21"/>
          <w:u w:val="single"/>
        </w:rPr>
        <w:t xml:space="preserve">                         </w:t>
      </w:r>
      <w:r>
        <w:rPr>
          <w:rFonts w:ascii="Times New Roman" w:hAnsi="Times New Roman" w:eastAsia="宋体"/>
          <w:szCs w:val="21"/>
          <w:lang w:val="en-US"/>
        </w:rPr>
        <w:t xml:space="preserve">  </w:t>
      </w:r>
    </w:p>
    <w:p>
      <w:pPr>
        <w:spacing w:line="560" w:lineRule="exact"/>
        <w:ind w:firstLine="420" w:firstLineChars="200"/>
        <w:rPr>
          <w:rFonts w:ascii="Times New Roman" w:hAnsi="Times New Roman" w:eastAsia="宋体"/>
          <w:szCs w:val="21"/>
          <w:u w:val="single"/>
        </w:rPr>
      </w:pPr>
      <w:r>
        <w:rPr>
          <w:rFonts w:ascii="Times New Roman" w:hAnsi="Times New Roman" w:eastAsia="宋体"/>
          <w:szCs w:val="21"/>
        </w:rPr>
        <w:t>地址：</w:t>
      </w:r>
      <w:r>
        <w:rPr>
          <w:rFonts w:ascii="Times New Roman" w:hAnsi="Times New Roman" w:eastAsia="宋体"/>
          <w:szCs w:val="21"/>
          <w:u w:val="single"/>
        </w:rPr>
        <w:t xml:space="preserve">                         </w:t>
      </w:r>
      <w:r>
        <w:rPr>
          <w:rFonts w:ascii="Times New Roman" w:hAnsi="Times New Roman" w:eastAsia="宋体"/>
          <w:szCs w:val="21"/>
        </w:rPr>
        <w:t xml:space="preserve">          邮编：</w:t>
      </w:r>
      <w:r>
        <w:rPr>
          <w:rFonts w:ascii="Times New Roman" w:hAnsi="Times New Roman" w:eastAsia="宋体"/>
          <w:szCs w:val="21"/>
          <w:u w:val="single"/>
        </w:rPr>
        <w:t xml:space="preserve">         </w:t>
      </w:r>
    </w:p>
    <w:p>
      <w:pPr>
        <w:spacing w:line="560" w:lineRule="exact"/>
        <w:ind w:firstLine="420" w:firstLineChars="200"/>
        <w:rPr>
          <w:rFonts w:ascii="Times New Roman" w:hAnsi="Times New Roman" w:eastAsia="宋体"/>
          <w:szCs w:val="21"/>
          <w:u w:val="single"/>
        </w:rPr>
      </w:pPr>
      <w:r>
        <w:rPr>
          <w:rFonts w:ascii="Times New Roman" w:hAnsi="Times New Roman" w:eastAsia="宋体"/>
          <w:szCs w:val="21"/>
        </w:rPr>
        <w:t>法定代表人：</w:t>
      </w:r>
      <w:r>
        <w:rPr>
          <w:rFonts w:ascii="Times New Roman" w:hAnsi="Times New Roman" w:eastAsia="宋体"/>
          <w:szCs w:val="21"/>
          <w:u w:val="single"/>
        </w:rPr>
        <w:t xml:space="preserve">       </w:t>
      </w:r>
      <w:r>
        <w:rPr>
          <w:rFonts w:ascii="Times New Roman" w:hAnsi="Times New Roman" w:eastAsia="宋体"/>
          <w:szCs w:val="21"/>
        </w:rPr>
        <w:t xml:space="preserve">                      电话：</w:t>
      </w:r>
      <w:r>
        <w:rPr>
          <w:rFonts w:ascii="Times New Roman" w:hAnsi="Times New Roman" w:eastAsia="宋体"/>
          <w:szCs w:val="21"/>
          <w:u w:val="single"/>
        </w:rPr>
        <w:t xml:space="preserve">         </w:t>
      </w:r>
    </w:p>
    <w:p>
      <w:pPr>
        <w:spacing w:line="560" w:lineRule="exact"/>
        <w:ind w:firstLine="420" w:firstLineChars="200"/>
        <w:rPr>
          <w:rFonts w:ascii="Times New Roman" w:hAnsi="Times New Roman" w:eastAsia="宋体"/>
          <w:szCs w:val="21"/>
        </w:rPr>
      </w:pPr>
      <w:r>
        <w:rPr>
          <w:rFonts w:ascii="Times New Roman" w:hAnsi="Times New Roman" w:eastAsia="宋体"/>
          <w:szCs w:val="21"/>
        </w:rPr>
        <w:t>委托代理人：</w:t>
      </w:r>
      <w:r>
        <w:rPr>
          <w:rFonts w:ascii="Times New Roman" w:hAnsi="Times New Roman" w:eastAsia="宋体"/>
          <w:szCs w:val="21"/>
          <w:u w:val="single"/>
        </w:rPr>
        <w:t xml:space="preserve">       </w:t>
      </w:r>
      <w:r>
        <w:rPr>
          <w:rFonts w:ascii="Times New Roman" w:hAnsi="Times New Roman" w:eastAsia="宋体"/>
          <w:szCs w:val="21"/>
        </w:rPr>
        <w:t xml:space="preserve">                      电话：</w:t>
      </w:r>
      <w:r>
        <w:rPr>
          <w:rFonts w:ascii="Times New Roman" w:hAnsi="Times New Roman" w:eastAsia="宋体"/>
          <w:szCs w:val="21"/>
          <w:u w:val="single"/>
        </w:rPr>
        <w:t xml:space="preserve">         </w:t>
      </w:r>
    </w:p>
    <w:p>
      <w:pPr>
        <w:spacing w:line="560" w:lineRule="exact"/>
        <w:ind w:firstLine="420" w:firstLineChars="200"/>
        <w:rPr>
          <w:rFonts w:ascii="Times New Roman" w:hAnsi="Times New Roman" w:eastAsia="宋体"/>
          <w:szCs w:val="21"/>
        </w:rPr>
      </w:pPr>
    </w:p>
    <w:p>
      <w:pPr>
        <w:spacing w:line="560" w:lineRule="exact"/>
        <w:ind w:firstLine="420" w:firstLineChars="200"/>
        <w:rPr>
          <w:rFonts w:ascii="Times New Roman" w:hAnsi="Times New Roman" w:eastAsia="宋体"/>
          <w:szCs w:val="21"/>
          <w:u w:val="single"/>
        </w:rPr>
      </w:pPr>
      <w:r>
        <w:rPr>
          <w:rFonts w:ascii="Times New Roman" w:hAnsi="Times New Roman" w:eastAsia="宋体"/>
          <w:szCs w:val="21"/>
        </w:rPr>
        <w:t>乙方：</w:t>
      </w:r>
      <w:r>
        <w:rPr>
          <w:rFonts w:ascii="Times New Roman" w:hAnsi="Times New Roman" w:eastAsia="宋体"/>
          <w:szCs w:val="21"/>
          <w:u w:val="single"/>
        </w:rPr>
        <w:t xml:space="preserve">                         </w:t>
      </w:r>
      <w:r>
        <w:rPr>
          <w:rFonts w:ascii="Times New Roman" w:hAnsi="Times New Roman" w:eastAsia="宋体"/>
          <w:szCs w:val="21"/>
        </w:rPr>
        <w:t xml:space="preserve">                             </w:t>
      </w:r>
    </w:p>
    <w:p>
      <w:pPr>
        <w:spacing w:line="560" w:lineRule="exact"/>
        <w:ind w:firstLine="420" w:firstLineChars="200"/>
        <w:rPr>
          <w:rFonts w:ascii="Times New Roman" w:hAnsi="Times New Roman" w:eastAsia="宋体"/>
          <w:szCs w:val="21"/>
          <w:lang w:val="en-US"/>
        </w:rPr>
      </w:pPr>
      <w:r>
        <w:rPr>
          <w:rFonts w:ascii="Times New Roman" w:hAnsi="Times New Roman" w:eastAsia="宋体"/>
          <w:szCs w:val="21"/>
        </w:rPr>
        <w:t>地址：</w:t>
      </w:r>
      <w:r>
        <w:rPr>
          <w:rFonts w:ascii="Times New Roman" w:hAnsi="Times New Roman" w:eastAsia="宋体"/>
          <w:szCs w:val="21"/>
          <w:u w:val="single"/>
        </w:rPr>
        <w:t xml:space="preserve">                        </w:t>
      </w:r>
      <w:r>
        <w:rPr>
          <w:rFonts w:ascii="Times New Roman" w:hAnsi="Times New Roman" w:eastAsia="宋体"/>
          <w:szCs w:val="21"/>
          <w:u w:val="single"/>
          <w:lang w:val="en-US"/>
        </w:rPr>
        <w:t xml:space="preserve"> </w:t>
      </w:r>
      <w:r>
        <w:rPr>
          <w:rFonts w:ascii="Times New Roman" w:hAnsi="Times New Roman" w:eastAsia="宋体"/>
          <w:szCs w:val="21"/>
        </w:rPr>
        <w:t xml:space="preserve">          邮编：</w:t>
      </w:r>
      <w:r>
        <w:rPr>
          <w:rFonts w:ascii="Times New Roman" w:hAnsi="Times New Roman" w:eastAsia="宋体"/>
          <w:szCs w:val="21"/>
          <w:u w:val="single"/>
        </w:rPr>
        <w:t xml:space="preserve">       </w:t>
      </w:r>
      <w:r>
        <w:rPr>
          <w:rFonts w:ascii="Times New Roman" w:hAnsi="Times New Roman" w:eastAsia="宋体"/>
          <w:szCs w:val="21"/>
          <w:u w:val="single"/>
          <w:lang w:val="en-US"/>
        </w:rPr>
        <w:t xml:space="preserve">  </w:t>
      </w:r>
    </w:p>
    <w:p>
      <w:pPr>
        <w:spacing w:line="560" w:lineRule="exact"/>
        <w:ind w:firstLine="420" w:firstLineChars="200"/>
        <w:rPr>
          <w:rFonts w:ascii="Times New Roman" w:hAnsi="Times New Roman" w:eastAsia="宋体"/>
          <w:szCs w:val="21"/>
          <w:u w:val="single"/>
        </w:rPr>
      </w:pPr>
      <w:r>
        <w:rPr>
          <w:rFonts w:ascii="Times New Roman" w:hAnsi="Times New Roman" w:eastAsia="宋体"/>
          <w:szCs w:val="21"/>
        </w:rPr>
        <w:t>法定代表人：</w:t>
      </w:r>
      <w:r>
        <w:rPr>
          <w:rFonts w:ascii="Times New Roman" w:hAnsi="Times New Roman" w:eastAsia="宋体"/>
          <w:szCs w:val="21"/>
          <w:u w:val="single"/>
        </w:rPr>
        <w:t xml:space="preserve">        </w:t>
      </w:r>
      <w:r>
        <w:rPr>
          <w:rFonts w:ascii="Times New Roman" w:hAnsi="Times New Roman" w:eastAsia="宋体"/>
          <w:szCs w:val="21"/>
        </w:rPr>
        <w:t xml:space="preserve">                     电话：</w:t>
      </w:r>
      <w:r>
        <w:rPr>
          <w:rFonts w:ascii="Times New Roman" w:hAnsi="Times New Roman" w:eastAsia="宋体"/>
          <w:szCs w:val="21"/>
          <w:u w:val="single"/>
        </w:rPr>
        <w:t xml:space="preserve">      </w:t>
      </w:r>
      <w:r>
        <w:rPr>
          <w:rFonts w:ascii="Times New Roman" w:hAnsi="Times New Roman" w:eastAsia="宋体"/>
          <w:szCs w:val="21"/>
          <w:u w:val="single"/>
          <w:lang w:val="en-US"/>
        </w:rPr>
        <w:t xml:space="preserve">  </w:t>
      </w:r>
      <w:r>
        <w:rPr>
          <w:rFonts w:ascii="Times New Roman" w:hAnsi="Times New Roman" w:eastAsia="宋体"/>
          <w:szCs w:val="21"/>
          <w:u w:val="single"/>
        </w:rPr>
        <w:t xml:space="preserve"> </w:t>
      </w:r>
    </w:p>
    <w:p>
      <w:pPr>
        <w:spacing w:line="560" w:lineRule="exact"/>
        <w:ind w:firstLine="420" w:firstLineChars="200"/>
        <w:rPr>
          <w:rFonts w:ascii="Times New Roman" w:hAnsi="Times New Roman" w:eastAsia="宋体"/>
          <w:szCs w:val="21"/>
        </w:rPr>
      </w:pPr>
      <w:r>
        <w:rPr>
          <w:rFonts w:ascii="Times New Roman" w:hAnsi="Times New Roman" w:eastAsia="宋体"/>
          <w:szCs w:val="21"/>
        </w:rPr>
        <w:t>委托代理人：</w:t>
      </w:r>
      <w:r>
        <w:rPr>
          <w:rFonts w:ascii="Times New Roman" w:hAnsi="Times New Roman" w:eastAsia="宋体"/>
          <w:szCs w:val="21"/>
          <w:u w:val="single"/>
        </w:rPr>
        <w:t xml:space="preserve">        </w:t>
      </w:r>
      <w:r>
        <w:rPr>
          <w:rFonts w:ascii="Times New Roman" w:hAnsi="Times New Roman" w:eastAsia="宋体"/>
          <w:szCs w:val="21"/>
        </w:rPr>
        <w:t xml:space="preserve">                  </w:t>
      </w:r>
      <w:r>
        <w:rPr>
          <w:rFonts w:ascii="Times New Roman" w:hAnsi="Times New Roman" w:eastAsia="宋体"/>
          <w:szCs w:val="21"/>
          <w:lang w:val="en-US"/>
        </w:rPr>
        <w:t xml:space="preserve">   </w:t>
      </w:r>
      <w:r>
        <w:rPr>
          <w:rFonts w:ascii="Times New Roman" w:hAnsi="Times New Roman" w:eastAsia="宋体"/>
          <w:szCs w:val="21"/>
        </w:rPr>
        <w:t>电话：</w:t>
      </w:r>
      <w:r>
        <w:rPr>
          <w:rFonts w:ascii="Times New Roman" w:hAnsi="Times New Roman" w:eastAsia="宋体"/>
          <w:szCs w:val="21"/>
          <w:u w:val="single"/>
        </w:rPr>
        <w:t xml:space="preserve">      </w:t>
      </w:r>
      <w:r>
        <w:rPr>
          <w:rFonts w:ascii="Times New Roman" w:hAnsi="Times New Roman" w:eastAsia="宋体"/>
          <w:szCs w:val="21"/>
          <w:u w:val="single"/>
          <w:lang w:val="en-US"/>
        </w:rPr>
        <w:t xml:space="preserve">  </w:t>
      </w:r>
      <w:r>
        <w:rPr>
          <w:rFonts w:ascii="Times New Roman" w:hAnsi="Times New Roman" w:eastAsia="宋体"/>
          <w:szCs w:val="21"/>
          <w:u w:val="single"/>
        </w:rPr>
        <w:t xml:space="preserve"> </w:t>
      </w:r>
      <w:r>
        <w:rPr>
          <w:rFonts w:ascii="Times New Roman" w:hAnsi="Times New Roman" w:eastAsia="宋体"/>
          <w:szCs w:val="21"/>
        </w:rPr>
        <w:t xml:space="preserve"> </w:t>
      </w:r>
    </w:p>
    <w:p>
      <w:pPr>
        <w:spacing w:line="560" w:lineRule="exact"/>
        <w:ind w:firstLine="420" w:firstLineChars="200"/>
        <w:rPr>
          <w:rFonts w:ascii="Times New Roman" w:hAnsi="Times New Roman" w:eastAsia="宋体"/>
          <w:szCs w:val="21"/>
        </w:rPr>
      </w:pPr>
    </w:p>
    <w:p>
      <w:pPr>
        <w:rPr>
          <w:rFonts w:ascii="Times New Roman" w:hAnsi="Times New Roman" w:eastAsia="宋体"/>
          <w:szCs w:val="21"/>
        </w:rPr>
      </w:pPr>
      <w:r>
        <w:rPr>
          <w:rFonts w:ascii="Times New Roman" w:hAnsi="Times New Roman" w:eastAsia="宋体"/>
          <w:szCs w:val="21"/>
        </w:rPr>
        <w:br w:type="page"/>
      </w:r>
    </w:p>
    <w:p>
      <w:pPr>
        <w:pStyle w:val="3"/>
        <w:spacing w:before="120"/>
        <w:rPr>
          <w:color w:val="auto"/>
        </w:rPr>
      </w:pPr>
      <w:bookmarkStart w:id="128" w:name="_Toc16531390"/>
      <w:bookmarkStart w:id="129" w:name="_Toc30490659"/>
      <w:bookmarkStart w:id="130" w:name="_Toc25422480"/>
      <w:bookmarkStart w:id="131" w:name="_Toc20548"/>
      <w:bookmarkStart w:id="132" w:name="_Toc27743"/>
      <w:bookmarkStart w:id="133" w:name="_Toc19573"/>
      <w:bookmarkStart w:id="134" w:name="_Toc16531164"/>
      <w:r>
        <w:rPr>
          <w:color w:val="auto"/>
        </w:rPr>
        <w:t>合同标的</w:t>
      </w:r>
      <w:bookmarkEnd w:id="128"/>
      <w:bookmarkEnd w:id="129"/>
      <w:bookmarkEnd w:id="130"/>
      <w:bookmarkEnd w:id="131"/>
      <w:bookmarkEnd w:id="132"/>
      <w:bookmarkEnd w:id="133"/>
      <w:bookmarkEnd w:id="134"/>
    </w:p>
    <w:p>
      <w:pPr>
        <w:jc w:val="center"/>
        <w:rPr>
          <w:rFonts w:ascii="Times New Roman" w:hAnsi="Times New Roman" w:eastAsia="宋体"/>
          <w:bCs/>
          <w:sz w:val="24"/>
          <w:szCs w:val="24"/>
        </w:rPr>
      </w:pPr>
      <w:r>
        <w:rPr>
          <w:rFonts w:ascii="Times New Roman" w:hAnsi="Times New Roman" w:eastAsia="宋体"/>
          <w:sz w:val="24"/>
          <w:szCs w:val="24"/>
        </w:rPr>
        <w:t>供货一览表</w:t>
      </w:r>
    </w:p>
    <w:tbl>
      <w:tblPr>
        <w:tblStyle w:val="81"/>
        <w:tblW w:w="94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457"/>
        <w:gridCol w:w="1519"/>
        <w:gridCol w:w="1276"/>
        <w:gridCol w:w="851"/>
        <w:gridCol w:w="850"/>
        <w:gridCol w:w="1418"/>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9" w:type="dxa"/>
            <w:vAlign w:val="center"/>
          </w:tcPr>
          <w:p>
            <w:pPr>
              <w:jc w:val="center"/>
              <w:rPr>
                <w:rFonts w:ascii="Times New Roman" w:hAnsi="Times New Roman" w:eastAsia="黑体"/>
                <w:szCs w:val="21"/>
                <w:lang w:val="en-US"/>
              </w:rPr>
            </w:pPr>
            <w:r>
              <w:rPr>
                <w:rFonts w:ascii="Times New Roman" w:hAnsi="Times New Roman" w:eastAsia="黑体"/>
                <w:szCs w:val="21"/>
                <w:lang w:val="en-US"/>
              </w:rPr>
              <w:t>序号</w:t>
            </w:r>
          </w:p>
        </w:tc>
        <w:tc>
          <w:tcPr>
            <w:tcW w:w="1457" w:type="dxa"/>
            <w:vAlign w:val="center"/>
          </w:tcPr>
          <w:p>
            <w:pPr>
              <w:jc w:val="center"/>
              <w:rPr>
                <w:rFonts w:ascii="Times New Roman" w:hAnsi="Times New Roman" w:eastAsia="黑体"/>
                <w:szCs w:val="21"/>
                <w:lang w:val="en-US"/>
              </w:rPr>
            </w:pPr>
            <w:r>
              <w:rPr>
                <w:rFonts w:ascii="Times New Roman" w:hAnsi="Times New Roman" w:eastAsia="黑体"/>
                <w:szCs w:val="21"/>
                <w:lang w:val="en-US"/>
              </w:rPr>
              <w:t>产品名称</w:t>
            </w:r>
          </w:p>
        </w:tc>
        <w:tc>
          <w:tcPr>
            <w:tcW w:w="1519" w:type="dxa"/>
            <w:vAlign w:val="center"/>
          </w:tcPr>
          <w:p>
            <w:pPr>
              <w:jc w:val="center"/>
              <w:rPr>
                <w:rFonts w:ascii="Times New Roman" w:hAnsi="Times New Roman" w:eastAsia="黑体"/>
                <w:szCs w:val="21"/>
                <w:lang w:val="en-US"/>
              </w:rPr>
            </w:pPr>
            <w:r>
              <w:rPr>
                <w:rFonts w:ascii="Times New Roman" w:hAnsi="Times New Roman" w:eastAsia="黑体"/>
                <w:szCs w:val="21"/>
                <w:lang w:val="en-US"/>
              </w:rPr>
              <w:t>商标品牌</w:t>
            </w:r>
          </w:p>
        </w:tc>
        <w:tc>
          <w:tcPr>
            <w:tcW w:w="1276" w:type="dxa"/>
            <w:vAlign w:val="center"/>
          </w:tcPr>
          <w:p>
            <w:pPr>
              <w:jc w:val="center"/>
              <w:rPr>
                <w:rFonts w:ascii="Times New Roman" w:hAnsi="Times New Roman" w:eastAsia="黑体"/>
                <w:szCs w:val="21"/>
                <w:lang w:val="en-US"/>
              </w:rPr>
            </w:pPr>
            <w:r>
              <w:rPr>
                <w:rFonts w:ascii="Times New Roman" w:hAnsi="Times New Roman" w:eastAsia="黑体"/>
                <w:szCs w:val="21"/>
                <w:lang w:val="en-US"/>
              </w:rPr>
              <w:t>生产厂家</w:t>
            </w:r>
          </w:p>
        </w:tc>
        <w:tc>
          <w:tcPr>
            <w:tcW w:w="851" w:type="dxa"/>
            <w:vAlign w:val="center"/>
          </w:tcPr>
          <w:p>
            <w:pPr>
              <w:jc w:val="center"/>
              <w:rPr>
                <w:rFonts w:ascii="Times New Roman" w:hAnsi="Times New Roman" w:eastAsia="黑体"/>
                <w:szCs w:val="21"/>
                <w:lang w:val="en-US"/>
              </w:rPr>
            </w:pPr>
            <w:r>
              <w:rPr>
                <w:rFonts w:ascii="Times New Roman" w:hAnsi="Times New Roman" w:eastAsia="黑体"/>
                <w:szCs w:val="21"/>
                <w:lang w:val="en-US"/>
              </w:rPr>
              <w:t>数量</w:t>
            </w:r>
          </w:p>
        </w:tc>
        <w:tc>
          <w:tcPr>
            <w:tcW w:w="850" w:type="dxa"/>
            <w:vAlign w:val="center"/>
          </w:tcPr>
          <w:p>
            <w:pPr>
              <w:jc w:val="center"/>
              <w:rPr>
                <w:rFonts w:ascii="Times New Roman" w:hAnsi="Times New Roman" w:eastAsia="黑体"/>
                <w:szCs w:val="21"/>
                <w:lang w:val="en-US"/>
              </w:rPr>
            </w:pPr>
            <w:r>
              <w:rPr>
                <w:rFonts w:ascii="Times New Roman" w:hAnsi="Times New Roman" w:eastAsia="黑体"/>
                <w:szCs w:val="21"/>
                <w:lang w:val="en-US"/>
              </w:rPr>
              <w:t>单位</w:t>
            </w:r>
          </w:p>
        </w:tc>
        <w:tc>
          <w:tcPr>
            <w:tcW w:w="1418" w:type="dxa"/>
            <w:vAlign w:val="center"/>
          </w:tcPr>
          <w:p>
            <w:pPr>
              <w:jc w:val="center"/>
              <w:rPr>
                <w:rFonts w:ascii="Times New Roman" w:hAnsi="Times New Roman" w:eastAsia="黑体"/>
                <w:szCs w:val="21"/>
                <w:lang w:val="en-US"/>
              </w:rPr>
            </w:pPr>
            <w:r>
              <w:rPr>
                <w:rFonts w:ascii="Times New Roman" w:hAnsi="Times New Roman" w:eastAsia="黑体"/>
                <w:szCs w:val="21"/>
                <w:lang w:val="en-US"/>
              </w:rPr>
              <w:t>单价（元）</w:t>
            </w:r>
          </w:p>
        </w:tc>
        <w:tc>
          <w:tcPr>
            <w:tcW w:w="1341" w:type="dxa"/>
            <w:vAlign w:val="center"/>
          </w:tcPr>
          <w:p>
            <w:pPr>
              <w:jc w:val="center"/>
              <w:rPr>
                <w:rFonts w:ascii="Times New Roman" w:hAnsi="Times New Roman" w:eastAsia="黑体"/>
                <w:szCs w:val="21"/>
                <w:lang w:val="en-US"/>
              </w:rPr>
            </w:pPr>
            <w:r>
              <w:rPr>
                <w:rFonts w:ascii="Times New Roman" w:hAnsi="Times New Roman" w:eastAsia="黑体"/>
                <w:szCs w:val="21"/>
                <w:lang w:val="en-US"/>
              </w:rPr>
              <w:t>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9" w:type="dxa"/>
            <w:vAlign w:val="center"/>
          </w:tcPr>
          <w:p>
            <w:pPr>
              <w:jc w:val="center"/>
              <w:rPr>
                <w:rFonts w:ascii="Times New Roman" w:hAnsi="Times New Roman" w:eastAsia="宋体"/>
                <w:szCs w:val="21"/>
                <w:lang w:val="en-US"/>
              </w:rPr>
            </w:pPr>
            <w:r>
              <w:rPr>
                <w:rFonts w:ascii="Times New Roman" w:hAnsi="Times New Roman" w:eastAsia="Times New Roman"/>
                <w:szCs w:val="21"/>
                <w:lang w:val="en-US"/>
              </w:rPr>
              <w:t>1</w:t>
            </w:r>
          </w:p>
        </w:tc>
        <w:tc>
          <w:tcPr>
            <w:tcW w:w="1457" w:type="dxa"/>
            <w:vAlign w:val="center"/>
          </w:tcPr>
          <w:p>
            <w:pPr>
              <w:jc w:val="center"/>
              <w:rPr>
                <w:rFonts w:ascii="Times New Roman" w:hAnsi="Times New Roman" w:eastAsia="宋体"/>
                <w:szCs w:val="21"/>
                <w:lang w:val="en-US"/>
              </w:rPr>
            </w:pPr>
          </w:p>
        </w:tc>
        <w:tc>
          <w:tcPr>
            <w:tcW w:w="1519" w:type="dxa"/>
            <w:vAlign w:val="center"/>
          </w:tcPr>
          <w:p>
            <w:pPr>
              <w:jc w:val="center"/>
              <w:rPr>
                <w:rFonts w:ascii="Times New Roman" w:hAnsi="Times New Roman" w:eastAsia="宋体"/>
                <w:szCs w:val="21"/>
                <w:lang w:val="en-US"/>
              </w:rPr>
            </w:pPr>
          </w:p>
        </w:tc>
        <w:tc>
          <w:tcPr>
            <w:tcW w:w="1276" w:type="dxa"/>
            <w:vAlign w:val="center"/>
          </w:tcPr>
          <w:p>
            <w:pPr>
              <w:jc w:val="center"/>
              <w:rPr>
                <w:rFonts w:ascii="Times New Roman" w:hAnsi="Times New Roman" w:eastAsia="宋体"/>
                <w:szCs w:val="21"/>
                <w:lang w:val="en-US"/>
              </w:rPr>
            </w:pPr>
          </w:p>
        </w:tc>
        <w:tc>
          <w:tcPr>
            <w:tcW w:w="851" w:type="dxa"/>
            <w:vAlign w:val="center"/>
          </w:tcPr>
          <w:p>
            <w:pPr>
              <w:jc w:val="center"/>
              <w:rPr>
                <w:rFonts w:ascii="Times New Roman" w:hAnsi="Times New Roman" w:eastAsia="宋体"/>
                <w:szCs w:val="21"/>
                <w:lang w:val="en-US"/>
              </w:rPr>
            </w:pPr>
          </w:p>
        </w:tc>
        <w:tc>
          <w:tcPr>
            <w:tcW w:w="850" w:type="dxa"/>
            <w:vAlign w:val="center"/>
          </w:tcPr>
          <w:p>
            <w:pPr>
              <w:jc w:val="center"/>
              <w:rPr>
                <w:rFonts w:ascii="Times New Roman" w:hAnsi="Times New Roman" w:eastAsia="宋体"/>
                <w:szCs w:val="21"/>
                <w:lang w:val="en-US"/>
              </w:rPr>
            </w:pPr>
          </w:p>
        </w:tc>
        <w:tc>
          <w:tcPr>
            <w:tcW w:w="1418" w:type="dxa"/>
            <w:vAlign w:val="center"/>
          </w:tcPr>
          <w:p>
            <w:pPr>
              <w:jc w:val="center"/>
              <w:rPr>
                <w:rFonts w:ascii="Times New Roman" w:hAnsi="Times New Roman" w:eastAsia="宋体"/>
                <w:szCs w:val="21"/>
                <w:lang w:val="en-US"/>
              </w:rPr>
            </w:pPr>
          </w:p>
        </w:tc>
        <w:tc>
          <w:tcPr>
            <w:tcW w:w="1341" w:type="dxa"/>
            <w:vAlign w:val="center"/>
          </w:tcPr>
          <w:p>
            <w:pPr>
              <w:jc w:val="center"/>
              <w:rPr>
                <w:rFonts w:ascii="Times New Roman" w:hAnsi="Times New Roman" w:eastAsia="宋体"/>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9" w:type="dxa"/>
            <w:vAlign w:val="center"/>
          </w:tcPr>
          <w:p>
            <w:pPr>
              <w:jc w:val="center"/>
              <w:rPr>
                <w:rFonts w:ascii="Times New Roman" w:hAnsi="Times New Roman" w:eastAsia="宋体"/>
                <w:szCs w:val="21"/>
                <w:lang w:val="en-US"/>
              </w:rPr>
            </w:pPr>
            <w:r>
              <w:rPr>
                <w:rFonts w:ascii="Times New Roman" w:hAnsi="Times New Roman" w:eastAsia="Times New Roman"/>
                <w:szCs w:val="21"/>
                <w:lang w:val="en-US"/>
              </w:rPr>
              <w:t>2</w:t>
            </w:r>
          </w:p>
        </w:tc>
        <w:tc>
          <w:tcPr>
            <w:tcW w:w="1457" w:type="dxa"/>
            <w:vAlign w:val="center"/>
          </w:tcPr>
          <w:p>
            <w:pPr>
              <w:jc w:val="center"/>
              <w:rPr>
                <w:rFonts w:ascii="Times New Roman" w:hAnsi="Times New Roman" w:eastAsia="宋体"/>
                <w:szCs w:val="21"/>
                <w:lang w:val="en-US"/>
              </w:rPr>
            </w:pPr>
          </w:p>
        </w:tc>
        <w:tc>
          <w:tcPr>
            <w:tcW w:w="1519" w:type="dxa"/>
            <w:vAlign w:val="center"/>
          </w:tcPr>
          <w:p>
            <w:pPr>
              <w:jc w:val="center"/>
              <w:rPr>
                <w:rFonts w:ascii="Times New Roman" w:hAnsi="Times New Roman" w:eastAsia="宋体"/>
                <w:szCs w:val="21"/>
                <w:lang w:val="en-US"/>
              </w:rPr>
            </w:pPr>
          </w:p>
        </w:tc>
        <w:tc>
          <w:tcPr>
            <w:tcW w:w="1276" w:type="dxa"/>
            <w:vAlign w:val="center"/>
          </w:tcPr>
          <w:p>
            <w:pPr>
              <w:jc w:val="center"/>
              <w:rPr>
                <w:rFonts w:ascii="Times New Roman" w:hAnsi="Times New Roman" w:eastAsia="宋体"/>
                <w:szCs w:val="21"/>
                <w:lang w:val="en-US"/>
              </w:rPr>
            </w:pPr>
          </w:p>
        </w:tc>
        <w:tc>
          <w:tcPr>
            <w:tcW w:w="851" w:type="dxa"/>
            <w:vAlign w:val="center"/>
          </w:tcPr>
          <w:p>
            <w:pPr>
              <w:jc w:val="center"/>
              <w:rPr>
                <w:rFonts w:ascii="Times New Roman" w:hAnsi="Times New Roman" w:eastAsia="宋体"/>
                <w:szCs w:val="21"/>
                <w:lang w:val="en-US"/>
              </w:rPr>
            </w:pPr>
          </w:p>
        </w:tc>
        <w:tc>
          <w:tcPr>
            <w:tcW w:w="850" w:type="dxa"/>
            <w:vAlign w:val="center"/>
          </w:tcPr>
          <w:p>
            <w:pPr>
              <w:jc w:val="center"/>
              <w:rPr>
                <w:rFonts w:ascii="Times New Roman" w:hAnsi="Times New Roman" w:eastAsia="宋体"/>
                <w:szCs w:val="21"/>
                <w:lang w:val="en-US"/>
              </w:rPr>
            </w:pPr>
          </w:p>
        </w:tc>
        <w:tc>
          <w:tcPr>
            <w:tcW w:w="1418" w:type="dxa"/>
            <w:vAlign w:val="center"/>
          </w:tcPr>
          <w:p>
            <w:pPr>
              <w:jc w:val="center"/>
              <w:rPr>
                <w:rFonts w:ascii="Times New Roman" w:hAnsi="Times New Roman" w:eastAsia="宋体"/>
                <w:szCs w:val="21"/>
                <w:lang w:val="en-US"/>
              </w:rPr>
            </w:pPr>
          </w:p>
        </w:tc>
        <w:tc>
          <w:tcPr>
            <w:tcW w:w="1341" w:type="dxa"/>
            <w:vAlign w:val="center"/>
          </w:tcPr>
          <w:p>
            <w:pPr>
              <w:jc w:val="center"/>
              <w:rPr>
                <w:rFonts w:ascii="Times New Roman" w:hAnsi="Times New Roman" w:eastAsia="宋体"/>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9" w:type="dxa"/>
            <w:vAlign w:val="center"/>
          </w:tcPr>
          <w:p>
            <w:pPr>
              <w:jc w:val="center"/>
              <w:rPr>
                <w:rFonts w:ascii="Times New Roman" w:hAnsi="Times New Roman" w:eastAsia="宋体"/>
                <w:szCs w:val="21"/>
                <w:lang w:val="en-US"/>
              </w:rPr>
            </w:pPr>
            <w:r>
              <w:rPr>
                <w:rFonts w:ascii="Times New Roman" w:hAnsi="Times New Roman" w:eastAsia="Times New Roman"/>
                <w:szCs w:val="21"/>
                <w:lang w:val="en-US"/>
              </w:rPr>
              <w:t>3</w:t>
            </w:r>
          </w:p>
        </w:tc>
        <w:tc>
          <w:tcPr>
            <w:tcW w:w="1457" w:type="dxa"/>
            <w:vAlign w:val="center"/>
          </w:tcPr>
          <w:p>
            <w:pPr>
              <w:jc w:val="center"/>
              <w:rPr>
                <w:rFonts w:ascii="Times New Roman" w:hAnsi="Times New Roman" w:eastAsia="宋体"/>
                <w:szCs w:val="21"/>
                <w:lang w:val="en-US"/>
              </w:rPr>
            </w:pPr>
          </w:p>
        </w:tc>
        <w:tc>
          <w:tcPr>
            <w:tcW w:w="1519" w:type="dxa"/>
            <w:vAlign w:val="center"/>
          </w:tcPr>
          <w:p>
            <w:pPr>
              <w:jc w:val="center"/>
              <w:rPr>
                <w:rFonts w:ascii="Times New Roman" w:hAnsi="Times New Roman" w:eastAsia="宋体"/>
                <w:szCs w:val="21"/>
                <w:lang w:val="en-US"/>
              </w:rPr>
            </w:pPr>
          </w:p>
        </w:tc>
        <w:tc>
          <w:tcPr>
            <w:tcW w:w="1276" w:type="dxa"/>
            <w:vAlign w:val="center"/>
          </w:tcPr>
          <w:p>
            <w:pPr>
              <w:jc w:val="center"/>
              <w:rPr>
                <w:rFonts w:ascii="Times New Roman" w:hAnsi="Times New Roman" w:eastAsia="宋体"/>
                <w:szCs w:val="21"/>
                <w:lang w:val="en-US"/>
              </w:rPr>
            </w:pPr>
          </w:p>
        </w:tc>
        <w:tc>
          <w:tcPr>
            <w:tcW w:w="851" w:type="dxa"/>
            <w:vAlign w:val="center"/>
          </w:tcPr>
          <w:p>
            <w:pPr>
              <w:jc w:val="center"/>
              <w:rPr>
                <w:rFonts w:ascii="Times New Roman" w:hAnsi="Times New Roman" w:eastAsia="宋体"/>
                <w:szCs w:val="21"/>
                <w:lang w:val="en-US"/>
              </w:rPr>
            </w:pPr>
          </w:p>
        </w:tc>
        <w:tc>
          <w:tcPr>
            <w:tcW w:w="850" w:type="dxa"/>
            <w:vAlign w:val="center"/>
          </w:tcPr>
          <w:p>
            <w:pPr>
              <w:jc w:val="center"/>
              <w:rPr>
                <w:rFonts w:ascii="Times New Roman" w:hAnsi="Times New Roman" w:eastAsia="宋体"/>
                <w:szCs w:val="21"/>
                <w:lang w:val="en-US"/>
              </w:rPr>
            </w:pPr>
          </w:p>
        </w:tc>
        <w:tc>
          <w:tcPr>
            <w:tcW w:w="1418" w:type="dxa"/>
            <w:vAlign w:val="center"/>
          </w:tcPr>
          <w:p>
            <w:pPr>
              <w:jc w:val="center"/>
              <w:rPr>
                <w:rFonts w:ascii="Times New Roman" w:hAnsi="Times New Roman" w:eastAsia="宋体"/>
                <w:szCs w:val="21"/>
                <w:lang w:val="en-US"/>
              </w:rPr>
            </w:pPr>
          </w:p>
        </w:tc>
        <w:tc>
          <w:tcPr>
            <w:tcW w:w="1341" w:type="dxa"/>
            <w:vAlign w:val="center"/>
          </w:tcPr>
          <w:p>
            <w:pPr>
              <w:jc w:val="center"/>
              <w:rPr>
                <w:rFonts w:ascii="Times New Roman" w:hAnsi="Times New Roman" w:eastAsia="宋体"/>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431" w:type="dxa"/>
            <w:gridSpan w:val="8"/>
            <w:vAlign w:val="center"/>
          </w:tcPr>
          <w:p>
            <w:pPr>
              <w:jc w:val="center"/>
              <w:rPr>
                <w:rFonts w:ascii="Times New Roman" w:hAnsi="Times New Roman" w:eastAsia="宋体"/>
                <w:szCs w:val="21"/>
                <w:lang w:val="en-US"/>
              </w:rPr>
            </w:pPr>
            <w:r>
              <w:rPr>
                <w:rFonts w:ascii="Times New Roman" w:hAnsi="Times New Roman" w:eastAsia="宋体"/>
                <w:szCs w:val="21"/>
                <w:lang w:val="en-US"/>
              </w:rPr>
              <w:t>人民币合计金额（大写）                                  （小写）</w:t>
            </w:r>
          </w:p>
        </w:tc>
      </w:tr>
    </w:tbl>
    <w:p>
      <w:pPr>
        <w:ind w:firstLine="420" w:firstLineChars="200"/>
        <w:rPr>
          <w:rFonts w:ascii="Times New Roman" w:hAnsi="Times New Roman" w:eastAsia="宋体"/>
          <w:szCs w:val="21"/>
        </w:rPr>
      </w:pPr>
      <w:r>
        <w:rPr>
          <w:rFonts w:ascii="Times New Roman" w:hAnsi="Times New Roman" w:eastAsia="宋体"/>
          <w:szCs w:val="21"/>
        </w:rPr>
        <w:t>合同合计金额为货物及其配套服务费用（包括但不限于调换维修、供货配发、包装费、检测费、运输费、运输保险费、仓储保险费、仓储费、增值税发票税费及其他可能发生的有关的费用）</w:t>
      </w:r>
      <w:r>
        <w:rPr>
          <w:rFonts w:ascii="宋体" w:hAnsi="宋体" w:eastAsia="宋体"/>
          <w:szCs w:val="21"/>
        </w:rPr>
        <w:t>，</w:t>
      </w:r>
      <w:r>
        <w:rPr>
          <w:rFonts w:ascii="Times New Roman" w:hAnsi="Times New Roman" w:eastAsia="宋体"/>
          <w:szCs w:val="21"/>
        </w:rPr>
        <w:t>甲方除此之外不再支付任何其它费用。</w:t>
      </w:r>
    </w:p>
    <w:p>
      <w:pPr>
        <w:ind w:firstLine="420" w:firstLineChars="200"/>
        <w:rPr>
          <w:rFonts w:ascii="Times New Roman" w:hAnsi="Times New Roman" w:eastAsia="宋体"/>
          <w:szCs w:val="21"/>
        </w:rPr>
      </w:pPr>
      <w:r>
        <w:rPr>
          <w:rFonts w:ascii="Times New Roman" w:hAnsi="Times New Roman" w:eastAsia="宋体"/>
          <w:szCs w:val="21"/>
        </w:rPr>
        <w:t>为保证物品安全、及时送达</w:t>
      </w:r>
      <w:r>
        <w:rPr>
          <w:rFonts w:ascii="宋体" w:hAnsi="宋体" w:eastAsia="宋体"/>
          <w:szCs w:val="21"/>
        </w:rPr>
        <w:t>，</w:t>
      </w:r>
      <w:r>
        <w:rPr>
          <w:rFonts w:ascii="Times New Roman" w:hAnsi="Times New Roman" w:eastAsia="宋体"/>
          <w:szCs w:val="21"/>
        </w:rPr>
        <w:t>投标人必须使用采购人指定的物流快递企业进行配送</w:t>
      </w:r>
      <w:r>
        <w:rPr>
          <w:rFonts w:ascii="宋体" w:hAnsi="宋体" w:eastAsia="宋体"/>
          <w:szCs w:val="21"/>
        </w:rPr>
        <w:t>，</w:t>
      </w:r>
      <w:r>
        <w:rPr>
          <w:rFonts w:ascii="Times New Roman" w:hAnsi="Times New Roman" w:eastAsia="宋体"/>
          <w:szCs w:val="21"/>
        </w:rPr>
        <w:t>并按采购人要求配送到指定地点</w:t>
      </w:r>
      <w:r>
        <w:rPr>
          <w:rFonts w:ascii="宋体" w:hAnsi="宋体" w:eastAsia="宋体"/>
          <w:szCs w:val="21"/>
        </w:rPr>
        <w:t>，</w:t>
      </w:r>
      <w:r>
        <w:rPr>
          <w:rFonts w:ascii="Times New Roman" w:hAnsi="Times New Roman" w:eastAsia="宋体"/>
          <w:szCs w:val="21"/>
        </w:rPr>
        <w:t>投标人承担相应的物流快递费用（不高于市场主流快递行业平均价）。物流快递费用可能会增加投标人相应的成本费用</w:t>
      </w:r>
      <w:r>
        <w:rPr>
          <w:rFonts w:ascii="宋体" w:hAnsi="宋体" w:eastAsia="宋体"/>
          <w:szCs w:val="21"/>
        </w:rPr>
        <w:t>，</w:t>
      </w:r>
      <w:r>
        <w:rPr>
          <w:rFonts w:ascii="Times New Roman" w:hAnsi="Times New Roman" w:eastAsia="宋体"/>
          <w:szCs w:val="21"/>
        </w:rPr>
        <w:t>投标人需在投标报价时充分考虑相关因素。</w:t>
      </w:r>
    </w:p>
    <w:p>
      <w:pPr>
        <w:ind w:firstLine="420" w:firstLineChars="200"/>
        <w:rPr>
          <w:rFonts w:ascii="Times New Roman" w:hAnsi="Times New Roman" w:eastAsia="宋体"/>
          <w:szCs w:val="21"/>
        </w:rPr>
      </w:pPr>
      <w:r>
        <w:rPr>
          <w:rFonts w:ascii="Times New Roman" w:hAnsi="Times New Roman" w:eastAsia="宋体"/>
          <w:szCs w:val="21"/>
        </w:rPr>
        <w:t>当采购数量与实际使用数量不一致时</w:t>
      </w:r>
      <w:r>
        <w:rPr>
          <w:rFonts w:ascii="宋体" w:hAnsi="宋体" w:eastAsia="宋体"/>
          <w:szCs w:val="21"/>
        </w:rPr>
        <w:t>，</w:t>
      </w:r>
      <w:r>
        <w:rPr>
          <w:rFonts w:ascii="Times New Roman" w:hAnsi="Times New Roman" w:eastAsia="宋体"/>
          <w:szCs w:val="21"/>
        </w:rPr>
        <w:t>乙方应根据实际使用量供货</w:t>
      </w:r>
      <w:r>
        <w:rPr>
          <w:rFonts w:ascii="宋体" w:hAnsi="宋体" w:eastAsia="宋体"/>
          <w:szCs w:val="21"/>
        </w:rPr>
        <w:t>，</w:t>
      </w:r>
      <w:r>
        <w:rPr>
          <w:rFonts w:ascii="Times New Roman" w:hAnsi="Times New Roman" w:eastAsia="宋体"/>
          <w:szCs w:val="21"/>
        </w:rPr>
        <w:t>合同的最终结算金额按实际使用量乘以成交单价进行计算。</w:t>
      </w:r>
    </w:p>
    <w:p>
      <w:pPr>
        <w:pStyle w:val="3"/>
        <w:spacing w:before="120"/>
        <w:rPr>
          <w:color w:val="auto"/>
        </w:rPr>
      </w:pPr>
      <w:bookmarkStart w:id="135" w:name="_Toc16531391"/>
      <w:bookmarkStart w:id="136" w:name="_Toc16531165"/>
      <w:bookmarkStart w:id="137" w:name="_Toc30490660"/>
      <w:bookmarkStart w:id="138" w:name="_Toc18014"/>
      <w:bookmarkStart w:id="139" w:name="_Toc25422481"/>
      <w:bookmarkStart w:id="140" w:name="_Toc15488"/>
      <w:bookmarkStart w:id="141" w:name="_Toc28107"/>
      <w:r>
        <w:rPr>
          <w:color w:val="auto"/>
        </w:rPr>
        <w:t>交付时间及地点</w:t>
      </w:r>
      <w:bookmarkEnd w:id="135"/>
      <w:bookmarkEnd w:id="136"/>
      <w:bookmarkEnd w:id="137"/>
      <w:bookmarkEnd w:id="138"/>
      <w:bookmarkEnd w:id="139"/>
      <w:bookmarkEnd w:id="140"/>
      <w:bookmarkEnd w:id="141"/>
    </w:p>
    <w:p>
      <w:pPr>
        <w:ind w:firstLine="420" w:firstLineChars="200"/>
        <w:rPr>
          <w:rFonts w:ascii="Times New Roman" w:hAnsi="Times New Roman" w:eastAsia="宋体"/>
          <w:szCs w:val="21"/>
        </w:rPr>
      </w:pPr>
      <w:r>
        <w:rPr>
          <w:rFonts w:ascii="Times New Roman" w:hAnsi="Times New Roman" w:eastAsia="宋体"/>
          <w:szCs w:val="21"/>
        </w:rPr>
        <w:t>交付地点：</w:t>
      </w:r>
      <w:r>
        <w:rPr>
          <w:rFonts w:hint="eastAsia" w:ascii="Times New Roman" w:hAnsi="Times New Roman" w:eastAsia="Times New Roman"/>
          <w:szCs w:val="21"/>
        </w:rPr>
        <w:t>XXXX</w:t>
      </w:r>
      <w:r>
        <w:rPr>
          <w:rFonts w:ascii="Times New Roman" w:hAnsi="Times New Roman" w:eastAsia="宋体"/>
          <w:szCs w:val="21"/>
        </w:rPr>
        <w:t>。</w:t>
      </w:r>
    </w:p>
    <w:p>
      <w:pPr>
        <w:ind w:firstLine="420" w:firstLineChars="200"/>
        <w:rPr>
          <w:rFonts w:ascii="Times New Roman" w:hAnsi="Times New Roman" w:eastAsia="宋体"/>
          <w:szCs w:val="21"/>
        </w:rPr>
      </w:pPr>
      <w:r>
        <w:rPr>
          <w:rFonts w:ascii="Times New Roman" w:hAnsi="Times New Roman" w:eastAsia="宋体"/>
          <w:szCs w:val="21"/>
        </w:rPr>
        <w:t>交货时间：</w:t>
      </w:r>
      <w:r>
        <w:rPr>
          <w:rFonts w:hint="eastAsia" w:ascii="Times New Roman" w:hAnsi="Times New Roman" w:eastAsia="Times New Roman"/>
          <w:szCs w:val="21"/>
        </w:rPr>
        <w:t>X</w:t>
      </w:r>
      <w:r>
        <w:rPr>
          <w:rFonts w:ascii="Times New Roman" w:hAnsi="Times New Roman" w:eastAsia="Times New Roman"/>
          <w:szCs w:val="21"/>
        </w:rPr>
        <w:t>XXX</w:t>
      </w:r>
      <w:r>
        <w:rPr>
          <w:rFonts w:ascii="Times New Roman" w:hAnsi="Times New Roman" w:eastAsia="宋体"/>
          <w:szCs w:val="21"/>
        </w:rPr>
        <w:t>。</w:t>
      </w:r>
    </w:p>
    <w:p>
      <w:pPr>
        <w:pStyle w:val="3"/>
        <w:spacing w:before="120"/>
        <w:rPr>
          <w:color w:val="auto"/>
        </w:rPr>
      </w:pPr>
      <w:bookmarkStart w:id="142" w:name="_Toc30490661"/>
      <w:bookmarkStart w:id="143" w:name="_Toc5095"/>
      <w:bookmarkStart w:id="144" w:name="_Toc18375"/>
      <w:bookmarkStart w:id="145" w:name="_Toc16531166"/>
      <w:bookmarkStart w:id="146" w:name="_Toc25422482"/>
      <w:bookmarkStart w:id="147" w:name="_Toc29157"/>
      <w:bookmarkStart w:id="148" w:name="_Toc16531392"/>
      <w:r>
        <w:rPr>
          <w:color w:val="auto"/>
        </w:rPr>
        <w:t>付（退）款方式</w:t>
      </w:r>
      <w:bookmarkEnd w:id="142"/>
      <w:bookmarkEnd w:id="143"/>
      <w:bookmarkEnd w:id="144"/>
      <w:bookmarkEnd w:id="145"/>
      <w:bookmarkEnd w:id="146"/>
      <w:bookmarkEnd w:id="147"/>
      <w:bookmarkEnd w:id="148"/>
    </w:p>
    <w:p>
      <w:pPr>
        <w:ind w:firstLine="420" w:firstLineChars="200"/>
        <w:rPr>
          <w:rFonts w:ascii="Times New Roman" w:hAnsi="Times New Roman" w:eastAsia="宋体"/>
          <w:szCs w:val="21"/>
        </w:rPr>
      </w:pPr>
      <w:r>
        <w:rPr>
          <w:rFonts w:hint="eastAsia" w:ascii="Times New Roman" w:hAnsi="Times New Roman" w:eastAsia="Times New Roman"/>
          <w:szCs w:val="21"/>
          <w:lang w:val="en-US"/>
        </w:rPr>
        <w:t>X</w:t>
      </w:r>
      <w:r>
        <w:rPr>
          <w:rFonts w:ascii="Times New Roman" w:hAnsi="Times New Roman" w:eastAsia="Times New Roman"/>
          <w:szCs w:val="21"/>
          <w:lang w:val="en-US"/>
        </w:rPr>
        <w:t>XX</w:t>
      </w:r>
    </w:p>
    <w:p>
      <w:pPr>
        <w:spacing w:before="240" w:beforeLines="100"/>
        <w:ind w:firstLine="422" w:firstLineChars="200"/>
        <w:rPr>
          <w:rFonts w:ascii="Times New Roman" w:hAnsi="Times New Roman" w:eastAsia="宋体"/>
          <w:b/>
          <w:szCs w:val="21"/>
        </w:rPr>
      </w:pPr>
      <w:r>
        <w:rPr>
          <w:rFonts w:ascii="Times New Roman" w:hAnsi="Times New Roman" w:eastAsia="宋体"/>
          <w:b/>
          <w:szCs w:val="21"/>
        </w:rPr>
        <w:t>乙方账户</w:t>
      </w:r>
    </w:p>
    <w:p>
      <w:pPr>
        <w:ind w:firstLine="420" w:firstLineChars="200"/>
        <w:rPr>
          <w:rFonts w:ascii="Times New Roman" w:hAnsi="Times New Roman" w:eastAsia="宋体"/>
          <w:szCs w:val="21"/>
        </w:rPr>
      </w:pPr>
      <w:r>
        <w:rPr>
          <w:rFonts w:ascii="Times New Roman" w:hAnsi="Times New Roman" w:eastAsia="宋体"/>
          <w:szCs w:val="21"/>
        </w:rPr>
        <w:t xml:space="preserve">乙方开户名称：                             </w:t>
      </w:r>
    </w:p>
    <w:p>
      <w:pPr>
        <w:ind w:firstLine="420" w:firstLineChars="200"/>
        <w:rPr>
          <w:rFonts w:ascii="Times New Roman" w:hAnsi="Times New Roman" w:eastAsia="宋体"/>
          <w:szCs w:val="21"/>
        </w:rPr>
      </w:pPr>
      <w:r>
        <w:rPr>
          <w:rFonts w:ascii="Times New Roman" w:hAnsi="Times New Roman" w:eastAsia="宋体"/>
          <w:szCs w:val="21"/>
        </w:rPr>
        <w:t xml:space="preserve">账号：                                     </w:t>
      </w:r>
    </w:p>
    <w:p>
      <w:pPr>
        <w:ind w:firstLine="420" w:firstLineChars="200"/>
        <w:rPr>
          <w:rFonts w:ascii="Times New Roman" w:hAnsi="Times New Roman" w:eastAsia="宋体"/>
          <w:szCs w:val="21"/>
        </w:rPr>
      </w:pPr>
      <w:r>
        <w:rPr>
          <w:rFonts w:ascii="Times New Roman" w:hAnsi="Times New Roman" w:eastAsia="宋体"/>
          <w:szCs w:val="21"/>
        </w:rPr>
        <w:t xml:space="preserve">开户行：                                   </w:t>
      </w:r>
    </w:p>
    <w:p>
      <w:pPr>
        <w:spacing w:before="240" w:beforeLines="100"/>
        <w:ind w:firstLine="422" w:firstLineChars="200"/>
        <w:rPr>
          <w:rFonts w:ascii="Times New Roman" w:hAnsi="Times New Roman" w:eastAsia="宋体"/>
          <w:b/>
          <w:szCs w:val="21"/>
        </w:rPr>
      </w:pPr>
      <w:r>
        <w:rPr>
          <w:rFonts w:ascii="Times New Roman" w:hAnsi="Times New Roman" w:eastAsia="宋体"/>
          <w:b/>
          <w:szCs w:val="21"/>
        </w:rPr>
        <w:t>甲方账户</w:t>
      </w:r>
    </w:p>
    <w:p>
      <w:pPr>
        <w:ind w:firstLine="420" w:firstLineChars="200"/>
        <w:rPr>
          <w:rFonts w:ascii="Times New Roman" w:hAnsi="Times New Roman" w:eastAsia="宋体"/>
          <w:szCs w:val="21"/>
        </w:rPr>
      </w:pPr>
      <w:r>
        <w:rPr>
          <w:rFonts w:ascii="Times New Roman" w:hAnsi="Times New Roman" w:eastAsia="宋体"/>
          <w:szCs w:val="21"/>
        </w:rPr>
        <w:t xml:space="preserve">甲方开户名称：                             </w:t>
      </w:r>
    </w:p>
    <w:p>
      <w:pPr>
        <w:ind w:firstLine="420" w:firstLineChars="200"/>
        <w:rPr>
          <w:rFonts w:ascii="Times New Roman" w:hAnsi="Times New Roman" w:eastAsia="宋体"/>
          <w:szCs w:val="21"/>
        </w:rPr>
      </w:pPr>
      <w:r>
        <w:rPr>
          <w:rFonts w:ascii="Times New Roman" w:hAnsi="Times New Roman" w:eastAsia="宋体"/>
          <w:szCs w:val="21"/>
        </w:rPr>
        <w:t xml:space="preserve">账号：                                     </w:t>
      </w:r>
    </w:p>
    <w:p>
      <w:pPr>
        <w:spacing w:after="240" w:afterLines="100"/>
        <w:ind w:firstLine="420" w:firstLineChars="200"/>
        <w:rPr>
          <w:rFonts w:ascii="Times New Roman" w:hAnsi="Times New Roman" w:eastAsia="宋体"/>
          <w:szCs w:val="21"/>
        </w:rPr>
      </w:pPr>
      <w:r>
        <w:rPr>
          <w:rFonts w:ascii="Times New Roman" w:hAnsi="Times New Roman" w:eastAsia="宋体"/>
          <w:szCs w:val="21"/>
        </w:rPr>
        <w:t xml:space="preserve">开户行：                                   </w:t>
      </w:r>
    </w:p>
    <w:p>
      <w:pPr>
        <w:spacing w:before="120" w:beforeLines="50" w:line="360" w:lineRule="auto"/>
        <w:ind w:firstLine="422" w:firstLineChars="200"/>
        <w:rPr>
          <w:rFonts w:ascii="Times New Roman" w:hAnsi="Times New Roman" w:eastAsia="宋体"/>
          <w:b/>
          <w:szCs w:val="21"/>
        </w:rPr>
      </w:pPr>
      <w:r>
        <w:rPr>
          <w:rFonts w:ascii="Times New Roman" w:hAnsi="Times New Roman" w:eastAsia="宋体"/>
          <w:b/>
          <w:szCs w:val="21"/>
        </w:rPr>
        <w:t>乙方按照甲方提供的最终用户名称开具增值税专用发票</w:t>
      </w:r>
    </w:p>
    <w:p>
      <w:pPr>
        <w:pStyle w:val="3"/>
        <w:spacing w:before="120"/>
        <w:rPr>
          <w:color w:val="auto"/>
        </w:rPr>
      </w:pPr>
      <w:bookmarkStart w:id="149" w:name="_Toc30490662"/>
      <w:bookmarkStart w:id="150" w:name="_Toc3227"/>
      <w:bookmarkStart w:id="151" w:name="_Toc25422483"/>
      <w:bookmarkStart w:id="152" w:name="_Toc16531167"/>
      <w:bookmarkStart w:id="153" w:name="_Toc16531393"/>
      <w:bookmarkStart w:id="154" w:name="_Toc6446"/>
      <w:bookmarkStart w:id="155" w:name="_Toc15249"/>
      <w:r>
        <w:rPr>
          <w:color w:val="auto"/>
        </w:rPr>
        <w:t>合同条款</w:t>
      </w:r>
      <w:bookmarkEnd w:id="149"/>
      <w:bookmarkEnd w:id="150"/>
      <w:bookmarkEnd w:id="151"/>
      <w:bookmarkEnd w:id="152"/>
      <w:bookmarkEnd w:id="153"/>
      <w:bookmarkEnd w:id="154"/>
      <w:bookmarkEnd w:id="155"/>
    </w:p>
    <w:p>
      <w:pPr>
        <w:pStyle w:val="4"/>
        <w:rPr>
          <w:color w:val="auto"/>
        </w:rPr>
      </w:pPr>
      <w:bookmarkStart w:id="156" w:name="_Toc16531168"/>
      <w:bookmarkStart w:id="157" w:name="_Toc16531394"/>
      <w:bookmarkStart w:id="158" w:name="_Toc30490663"/>
      <w:bookmarkStart w:id="159" w:name="_Toc25422484"/>
      <w:r>
        <w:rPr>
          <w:color w:val="auto"/>
        </w:rPr>
        <w:t>质量标准和要求</w:t>
      </w:r>
      <w:bookmarkEnd w:id="156"/>
      <w:bookmarkEnd w:id="157"/>
      <w:bookmarkEnd w:id="158"/>
      <w:bookmarkEnd w:id="159"/>
    </w:p>
    <w:p>
      <w:pPr>
        <w:ind w:firstLine="420" w:firstLineChars="200"/>
        <w:rPr>
          <w:rFonts w:ascii="Times New Roman" w:hAnsi="Times New Roman" w:eastAsia="宋体"/>
          <w:lang w:val="en-US"/>
        </w:rPr>
      </w:pPr>
      <w:r>
        <w:rPr>
          <w:rFonts w:ascii="Times New Roman" w:hAnsi="Times New Roman" w:eastAsia="宋体"/>
          <w:lang w:val="en-US"/>
        </w:rPr>
        <w:t>乙方应当按照招标文件规定的货物性能、技术要求、质量标准向甲方提供未经使用的全新产品。质量要求不明确的</w:t>
      </w:r>
      <w:r>
        <w:rPr>
          <w:rFonts w:ascii="宋体" w:hAnsi="宋体" w:eastAsia="宋体"/>
          <w:lang w:val="en-US"/>
        </w:rPr>
        <w:t>，</w:t>
      </w:r>
      <w:r>
        <w:rPr>
          <w:rFonts w:ascii="Times New Roman" w:hAnsi="Times New Roman" w:eastAsia="宋体"/>
          <w:lang w:val="en-US"/>
        </w:rPr>
        <w:t>按照国家标准、行业标准履行；没有国家标准、行业标准的</w:t>
      </w:r>
      <w:r>
        <w:rPr>
          <w:rFonts w:ascii="宋体" w:hAnsi="宋体" w:eastAsia="宋体"/>
          <w:lang w:val="en-US"/>
        </w:rPr>
        <w:t>，</w:t>
      </w:r>
      <w:r>
        <w:rPr>
          <w:rFonts w:ascii="Times New Roman" w:hAnsi="Times New Roman" w:eastAsia="宋体"/>
          <w:lang w:val="en-US"/>
        </w:rPr>
        <w:t>按照通常标准或者符合合同目的的标准履行。</w:t>
      </w:r>
    </w:p>
    <w:p>
      <w:pPr>
        <w:ind w:firstLine="420" w:firstLineChars="200"/>
        <w:rPr>
          <w:rFonts w:ascii="Times New Roman" w:hAnsi="Times New Roman" w:eastAsia="宋体"/>
          <w:lang w:val="en-US"/>
        </w:rPr>
      </w:pPr>
      <w:r>
        <w:rPr>
          <w:rFonts w:ascii="Times New Roman" w:hAnsi="Times New Roman" w:eastAsia="宋体"/>
          <w:lang w:val="en-US"/>
        </w:rPr>
        <w:t>如果双方质量标准不统一的</w:t>
      </w:r>
      <w:r>
        <w:rPr>
          <w:rFonts w:ascii="宋体" w:hAnsi="宋体" w:eastAsia="宋体"/>
          <w:lang w:val="en-US"/>
        </w:rPr>
        <w:t>，</w:t>
      </w:r>
      <w:r>
        <w:rPr>
          <w:rFonts w:ascii="Times New Roman" w:hAnsi="Times New Roman" w:eastAsia="宋体"/>
          <w:lang w:val="en-US"/>
        </w:rPr>
        <w:t>应以甲方所选择的质量标准为依据。</w:t>
      </w:r>
    </w:p>
    <w:p>
      <w:pPr>
        <w:pStyle w:val="4"/>
        <w:rPr>
          <w:color w:val="auto"/>
        </w:rPr>
      </w:pPr>
      <w:bookmarkStart w:id="160" w:name="_Toc16531395"/>
      <w:bookmarkStart w:id="161" w:name="_Toc16531169"/>
      <w:bookmarkStart w:id="162" w:name="_Toc30490664"/>
      <w:bookmarkStart w:id="163" w:name="_Toc25422485"/>
      <w:r>
        <w:rPr>
          <w:color w:val="auto"/>
        </w:rPr>
        <w:t>权利瑕疵担保</w:t>
      </w:r>
      <w:bookmarkEnd w:id="160"/>
      <w:bookmarkEnd w:id="161"/>
      <w:bookmarkEnd w:id="162"/>
      <w:bookmarkEnd w:id="163"/>
    </w:p>
    <w:p>
      <w:pPr>
        <w:ind w:firstLine="420" w:firstLineChars="200"/>
        <w:rPr>
          <w:rFonts w:ascii="Times New Roman" w:hAnsi="Times New Roman" w:eastAsia="宋体"/>
          <w:lang w:val="en-US"/>
        </w:rPr>
      </w:pPr>
      <w:r>
        <w:rPr>
          <w:rFonts w:ascii="Times New Roman" w:hAnsi="Times New Roman" w:eastAsia="宋体"/>
          <w:lang w:val="en-US"/>
        </w:rPr>
        <w:t>乙方保证对其出售的标的物享有合法的权利。</w:t>
      </w:r>
    </w:p>
    <w:p>
      <w:pPr>
        <w:ind w:firstLine="420" w:firstLineChars="200"/>
        <w:rPr>
          <w:rFonts w:ascii="Times New Roman" w:hAnsi="Times New Roman" w:eastAsia="宋体"/>
          <w:lang w:val="en-US"/>
        </w:rPr>
      </w:pPr>
      <w:r>
        <w:rPr>
          <w:rFonts w:ascii="Times New Roman" w:hAnsi="Times New Roman" w:eastAsia="宋体"/>
          <w:lang w:val="en-US"/>
        </w:rPr>
        <w:t>乙方应保证在其出售的标的物上不存在任何未曾向甲方透露的担保物权</w:t>
      </w:r>
      <w:r>
        <w:rPr>
          <w:rFonts w:ascii="宋体" w:hAnsi="宋体" w:eastAsia="宋体"/>
          <w:lang w:val="en-US"/>
        </w:rPr>
        <w:t>，</w:t>
      </w:r>
      <w:r>
        <w:rPr>
          <w:rFonts w:ascii="Times New Roman" w:hAnsi="Times New Roman" w:eastAsia="宋体"/>
          <w:lang w:val="en-US"/>
        </w:rPr>
        <w:t>如抵押权、质押权、留置权等。</w:t>
      </w:r>
    </w:p>
    <w:p>
      <w:pPr>
        <w:ind w:firstLine="420" w:firstLineChars="200"/>
        <w:rPr>
          <w:rFonts w:ascii="Times New Roman" w:hAnsi="Times New Roman" w:eastAsia="宋体"/>
          <w:lang w:val="en-US"/>
        </w:rPr>
      </w:pPr>
      <w:r>
        <w:rPr>
          <w:rFonts w:ascii="Times New Roman" w:hAnsi="Times New Roman" w:eastAsia="宋体"/>
          <w:lang w:val="en-US"/>
        </w:rPr>
        <w:t>乙方应保证其所出售的标的物没有侵犯任何第三人的知识产权和商业秘密等权利。</w:t>
      </w:r>
    </w:p>
    <w:p>
      <w:pPr>
        <w:ind w:firstLine="420" w:firstLineChars="200"/>
        <w:rPr>
          <w:rFonts w:ascii="Times New Roman" w:hAnsi="Times New Roman" w:eastAsia="宋体"/>
          <w:lang w:val="en-US"/>
        </w:rPr>
      </w:pPr>
      <w:r>
        <w:rPr>
          <w:rFonts w:ascii="Times New Roman" w:hAnsi="Times New Roman" w:eastAsia="宋体"/>
          <w:lang w:val="en-US"/>
        </w:rPr>
        <w:t>如甲方使用该标的物构成上述侵权的</w:t>
      </w:r>
      <w:r>
        <w:rPr>
          <w:rFonts w:ascii="宋体" w:hAnsi="宋体" w:eastAsia="宋体"/>
          <w:lang w:val="en-US"/>
        </w:rPr>
        <w:t>，</w:t>
      </w:r>
      <w:r>
        <w:rPr>
          <w:rFonts w:ascii="Times New Roman" w:hAnsi="Times New Roman" w:eastAsia="宋体"/>
          <w:lang w:val="en-US"/>
        </w:rPr>
        <w:t>则由乙方承担全部责任。</w:t>
      </w:r>
    </w:p>
    <w:p>
      <w:pPr>
        <w:pStyle w:val="4"/>
        <w:rPr>
          <w:color w:val="auto"/>
        </w:rPr>
      </w:pPr>
      <w:bookmarkStart w:id="164" w:name="_Toc30490665"/>
      <w:bookmarkStart w:id="165" w:name="_Toc16531170"/>
      <w:bookmarkStart w:id="166" w:name="_Toc25422486"/>
      <w:bookmarkStart w:id="167" w:name="_Toc16531396"/>
      <w:r>
        <w:rPr>
          <w:color w:val="auto"/>
        </w:rPr>
        <w:t>包装要求</w:t>
      </w:r>
      <w:bookmarkEnd w:id="164"/>
      <w:bookmarkEnd w:id="165"/>
      <w:bookmarkEnd w:id="166"/>
      <w:bookmarkEnd w:id="167"/>
    </w:p>
    <w:p>
      <w:pPr>
        <w:ind w:firstLine="420" w:firstLineChars="200"/>
        <w:rPr>
          <w:rFonts w:ascii="Times New Roman" w:hAnsi="Times New Roman" w:eastAsia="宋体"/>
          <w:lang w:val="en-US"/>
        </w:rPr>
      </w:pPr>
      <w:r>
        <w:rPr>
          <w:rFonts w:ascii="Times New Roman" w:hAnsi="Times New Roman" w:eastAsia="宋体"/>
          <w:lang w:val="en-US"/>
        </w:rPr>
        <w:t>乙方所出售的全部货物均应按标准保护措施进行包装</w:t>
      </w:r>
      <w:r>
        <w:rPr>
          <w:rFonts w:ascii="宋体" w:hAnsi="宋体" w:eastAsia="宋体"/>
          <w:lang w:val="en-US"/>
        </w:rPr>
        <w:t>，</w:t>
      </w:r>
      <w:r>
        <w:rPr>
          <w:rFonts w:ascii="Times New Roman" w:hAnsi="Times New Roman" w:eastAsia="宋体"/>
          <w:lang w:val="en-US"/>
        </w:rPr>
        <w:t>这类包装应适应于远距离运输、防潮、防震、防锈和防野蛮装卸等要求</w:t>
      </w:r>
      <w:r>
        <w:rPr>
          <w:rFonts w:ascii="宋体" w:hAnsi="宋体" w:eastAsia="宋体"/>
          <w:lang w:val="en-US"/>
        </w:rPr>
        <w:t>，</w:t>
      </w:r>
      <w:r>
        <w:rPr>
          <w:rFonts w:ascii="Times New Roman" w:hAnsi="Times New Roman" w:eastAsia="宋体"/>
          <w:lang w:val="en-US"/>
        </w:rPr>
        <w:t>以确保货物安全无损地运抵指定地点。</w:t>
      </w:r>
    </w:p>
    <w:p>
      <w:pPr>
        <w:ind w:firstLine="420" w:firstLineChars="200"/>
        <w:rPr>
          <w:rFonts w:ascii="Times New Roman" w:hAnsi="Times New Roman" w:eastAsia="宋体"/>
          <w:lang w:val="en-US"/>
        </w:rPr>
      </w:pPr>
      <w:r>
        <w:rPr>
          <w:rFonts w:ascii="Times New Roman" w:hAnsi="Times New Roman" w:eastAsia="宋体"/>
          <w:lang w:val="en-US"/>
        </w:rPr>
        <w:t>每一个包装箱内应附一份详细装箱单。</w:t>
      </w:r>
    </w:p>
    <w:p>
      <w:pPr>
        <w:ind w:firstLine="420" w:firstLineChars="200"/>
        <w:rPr>
          <w:rFonts w:ascii="Times New Roman" w:hAnsi="Times New Roman" w:eastAsia="宋体"/>
          <w:lang w:val="en-US"/>
        </w:rPr>
      </w:pPr>
      <w:r>
        <w:rPr>
          <w:rFonts w:ascii="Times New Roman" w:hAnsi="Times New Roman" w:eastAsia="宋体"/>
          <w:lang w:val="en-US"/>
        </w:rPr>
        <w:t>每一个包装箱外都应按甲方的要求在对应的位置粘贴标签。</w:t>
      </w:r>
    </w:p>
    <w:p>
      <w:pPr>
        <w:pStyle w:val="4"/>
        <w:rPr>
          <w:color w:val="auto"/>
        </w:rPr>
      </w:pPr>
      <w:bookmarkStart w:id="168" w:name="_Toc16531171"/>
      <w:bookmarkStart w:id="169" w:name="_Toc30490666"/>
      <w:bookmarkStart w:id="170" w:name="_Toc16531397"/>
      <w:bookmarkStart w:id="171" w:name="_Toc25422487"/>
      <w:r>
        <w:rPr>
          <w:color w:val="auto"/>
        </w:rPr>
        <w:t>验收</w:t>
      </w:r>
      <w:bookmarkEnd w:id="168"/>
      <w:bookmarkEnd w:id="169"/>
      <w:bookmarkEnd w:id="170"/>
      <w:bookmarkEnd w:id="171"/>
    </w:p>
    <w:p>
      <w:pPr>
        <w:ind w:firstLine="420" w:firstLineChars="200"/>
        <w:rPr>
          <w:rFonts w:ascii="Times New Roman" w:hAnsi="Times New Roman" w:eastAsia="宋体"/>
          <w:lang w:val="en-US"/>
        </w:rPr>
      </w:pPr>
      <w:r>
        <w:rPr>
          <w:rFonts w:ascii="Times New Roman" w:hAnsi="Times New Roman" w:eastAsia="宋体"/>
          <w:lang w:val="en-US"/>
        </w:rPr>
        <w:t>乙方保证提供给甲方的货物是货物生产厂商原造的</w:t>
      </w:r>
      <w:r>
        <w:rPr>
          <w:rFonts w:ascii="宋体" w:hAnsi="宋体" w:eastAsia="宋体"/>
          <w:lang w:val="en-US"/>
        </w:rPr>
        <w:t>，</w:t>
      </w:r>
      <w:r>
        <w:rPr>
          <w:rFonts w:ascii="Times New Roman" w:hAnsi="Times New Roman" w:eastAsia="宋体"/>
          <w:lang w:val="en-US"/>
        </w:rPr>
        <w:t>全新的</w:t>
      </w:r>
      <w:r>
        <w:rPr>
          <w:rFonts w:ascii="宋体" w:hAnsi="宋体" w:eastAsia="宋体"/>
          <w:lang w:val="en-US"/>
        </w:rPr>
        <w:t>，</w:t>
      </w:r>
      <w:r>
        <w:rPr>
          <w:rFonts w:ascii="Times New Roman" w:hAnsi="Times New Roman" w:eastAsia="宋体"/>
          <w:lang w:val="en-US"/>
        </w:rPr>
        <w:t>并完全符合甲方的各项使用目的或在采购时提出的各项需要。</w:t>
      </w:r>
    </w:p>
    <w:p>
      <w:pPr>
        <w:ind w:firstLine="420" w:firstLineChars="200"/>
        <w:rPr>
          <w:rFonts w:ascii="Times New Roman" w:hAnsi="Times New Roman" w:eastAsia="宋体"/>
          <w:lang w:val="en-US"/>
        </w:rPr>
      </w:pPr>
      <w:r>
        <w:rPr>
          <w:rFonts w:ascii="Times New Roman" w:hAnsi="Times New Roman" w:eastAsia="宋体"/>
          <w:lang w:val="en-US"/>
        </w:rPr>
        <w:t>甲方应在乙方交付时</w:t>
      </w:r>
      <w:r>
        <w:rPr>
          <w:rFonts w:ascii="宋体" w:hAnsi="宋体" w:eastAsia="宋体"/>
          <w:lang w:val="en-US"/>
        </w:rPr>
        <w:t>，</w:t>
      </w:r>
      <w:r>
        <w:rPr>
          <w:rFonts w:ascii="Times New Roman" w:hAnsi="Times New Roman" w:eastAsia="宋体"/>
          <w:lang w:val="en-US"/>
        </w:rPr>
        <w:t>根据货物的技术规格要求和质量标准</w:t>
      </w:r>
      <w:r>
        <w:rPr>
          <w:rFonts w:ascii="宋体" w:hAnsi="宋体" w:eastAsia="宋体"/>
          <w:lang w:val="en-US"/>
        </w:rPr>
        <w:t>，</w:t>
      </w:r>
      <w:r>
        <w:rPr>
          <w:rFonts w:ascii="Times New Roman" w:hAnsi="Times New Roman" w:eastAsia="宋体"/>
          <w:lang w:val="en-US"/>
        </w:rPr>
        <w:t>对货物进行检查验收</w:t>
      </w:r>
      <w:r>
        <w:rPr>
          <w:rFonts w:ascii="宋体" w:hAnsi="宋体" w:eastAsia="宋体"/>
          <w:lang w:val="en-US"/>
        </w:rPr>
        <w:t>，</w:t>
      </w:r>
      <w:r>
        <w:rPr>
          <w:rFonts w:ascii="Times New Roman" w:hAnsi="Times New Roman" w:eastAsia="宋体"/>
          <w:lang w:val="en-US"/>
        </w:rPr>
        <w:t>对货物有异议</w:t>
      </w:r>
      <w:r>
        <w:rPr>
          <w:rFonts w:ascii="宋体" w:hAnsi="宋体" w:eastAsia="宋体"/>
          <w:lang w:val="en-US"/>
        </w:rPr>
        <w:t>，</w:t>
      </w:r>
      <w:r>
        <w:rPr>
          <w:rFonts w:ascii="Times New Roman" w:hAnsi="Times New Roman" w:eastAsia="宋体"/>
          <w:lang w:val="en-US"/>
        </w:rPr>
        <w:t>甲方有权当场拒收。如果发现数量不足或有质量、技术等问题</w:t>
      </w:r>
      <w:r>
        <w:rPr>
          <w:rFonts w:ascii="宋体" w:hAnsi="宋体" w:eastAsia="宋体"/>
          <w:lang w:val="en-US"/>
        </w:rPr>
        <w:t>，</w:t>
      </w:r>
      <w:r>
        <w:rPr>
          <w:rFonts w:ascii="Times New Roman" w:hAnsi="Times New Roman" w:eastAsia="宋体"/>
          <w:lang w:val="en-US"/>
        </w:rPr>
        <w:t>乙方应负责按照甲方的要求采取补足、更换或退货等处理措施</w:t>
      </w:r>
      <w:r>
        <w:rPr>
          <w:rFonts w:ascii="宋体" w:hAnsi="宋体" w:eastAsia="宋体"/>
          <w:lang w:val="en-US"/>
        </w:rPr>
        <w:t>，</w:t>
      </w:r>
      <w:r>
        <w:rPr>
          <w:rFonts w:ascii="Times New Roman" w:hAnsi="Times New Roman" w:eastAsia="宋体"/>
          <w:lang w:val="en-US"/>
        </w:rPr>
        <w:t>并承担由此发生的一切损失和费用。对于大型或者复杂的采购项目</w:t>
      </w:r>
      <w:r>
        <w:rPr>
          <w:rFonts w:ascii="宋体" w:hAnsi="宋体" w:eastAsia="宋体"/>
          <w:lang w:val="en-US"/>
        </w:rPr>
        <w:t>，</w:t>
      </w:r>
      <w:r>
        <w:rPr>
          <w:rFonts w:ascii="Times New Roman" w:hAnsi="Times New Roman" w:eastAsia="宋体"/>
          <w:lang w:val="en-US"/>
        </w:rPr>
        <w:t>甲方有权邀请法定的质量检测机构参加验收</w:t>
      </w:r>
      <w:r>
        <w:rPr>
          <w:rFonts w:ascii="宋体" w:hAnsi="宋体" w:eastAsia="宋体"/>
          <w:lang w:val="en-US"/>
        </w:rPr>
        <w:t>，</w:t>
      </w:r>
      <w:r>
        <w:rPr>
          <w:rFonts w:ascii="Times New Roman" w:hAnsi="Times New Roman" w:eastAsia="宋体"/>
          <w:lang w:val="en-US"/>
        </w:rPr>
        <w:t>由其出具验收报告</w:t>
      </w:r>
      <w:r>
        <w:rPr>
          <w:rFonts w:ascii="宋体" w:hAnsi="宋体" w:eastAsia="宋体"/>
          <w:lang w:val="en-US"/>
        </w:rPr>
        <w:t>，</w:t>
      </w:r>
      <w:r>
        <w:rPr>
          <w:rFonts w:ascii="Times New Roman" w:hAnsi="Times New Roman" w:eastAsia="宋体"/>
          <w:lang w:val="en-US"/>
        </w:rPr>
        <w:t>参加验收的成员应当在验收书上签字</w:t>
      </w:r>
      <w:r>
        <w:rPr>
          <w:rFonts w:ascii="宋体" w:hAnsi="宋体" w:eastAsia="宋体"/>
          <w:lang w:val="en-US"/>
        </w:rPr>
        <w:t>，</w:t>
      </w:r>
      <w:r>
        <w:rPr>
          <w:rFonts w:ascii="Times New Roman" w:hAnsi="Times New Roman" w:eastAsia="宋体"/>
          <w:lang w:val="en-US"/>
        </w:rPr>
        <w:t>并承担相应的法律责任</w:t>
      </w:r>
      <w:r>
        <w:rPr>
          <w:rFonts w:ascii="宋体" w:hAnsi="宋体" w:eastAsia="宋体"/>
          <w:lang w:val="en-US"/>
        </w:rPr>
        <w:t>，</w:t>
      </w:r>
      <w:r>
        <w:rPr>
          <w:rFonts w:ascii="Times New Roman" w:hAnsi="Times New Roman" w:eastAsia="宋体"/>
          <w:lang w:val="en-US"/>
        </w:rPr>
        <w:t>检测费用由乙方承担。甲方在货物送达后无正当理由而拖延验收</w:t>
      </w:r>
      <w:r>
        <w:rPr>
          <w:rFonts w:ascii="宋体" w:hAnsi="宋体" w:eastAsia="宋体"/>
          <w:lang w:val="en-US"/>
        </w:rPr>
        <w:t>，</w:t>
      </w:r>
      <w:r>
        <w:rPr>
          <w:rFonts w:ascii="Times New Roman" w:hAnsi="Times New Roman" w:eastAsia="宋体"/>
          <w:lang w:val="en-US"/>
        </w:rPr>
        <w:t>则视为其已验收通过（甲乙双方另有约定除外）。甲方也可以在收到货物后</w:t>
      </w:r>
      <w:r>
        <w:rPr>
          <w:rFonts w:ascii="Times New Roman" w:hAnsi="Times New Roman" w:eastAsia="Times New Roman"/>
          <w:lang w:val="en-US"/>
        </w:rPr>
        <w:t>15</w:t>
      </w:r>
      <w:r>
        <w:rPr>
          <w:rFonts w:ascii="Times New Roman" w:hAnsi="Times New Roman" w:eastAsia="宋体"/>
          <w:lang w:val="en-US"/>
        </w:rPr>
        <w:t>日内向乙方提出书面异议</w:t>
      </w:r>
      <w:r>
        <w:rPr>
          <w:rFonts w:ascii="宋体" w:hAnsi="宋体" w:eastAsia="宋体"/>
          <w:lang w:val="en-US"/>
        </w:rPr>
        <w:t>，</w:t>
      </w:r>
      <w:r>
        <w:rPr>
          <w:rFonts w:ascii="Times New Roman" w:hAnsi="Times New Roman" w:eastAsia="宋体"/>
          <w:lang w:val="en-US"/>
        </w:rPr>
        <w:t>经双方核实确属乙方责任的</w:t>
      </w:r>
      <w:r>
        <w:rPr>
          <w:rFonts w:ascii="宋体" w:hAnsi="宋体" w:eastAsia="宋体"/>
          <w:lang w:val="en-US"/>
        </w:rPr>
        <w:t>，</w:t>
      </w:r>
      <w:r>
        <w:rPr>
          <w:rFonts w:ascii="Times New Roman" w:hAnsi="Times New Roman" w:eastAsia="宋体"/>
          <w:lang w:val="en-US"/>
        </w:rPr>
        <w:t>甲方有权退货。</w:t>
      </w:r>
    </w:p>
    <w:p>
      <w:pPr>
        <w:ind w:firstLine="420" w:firstLineChars="200"/>
        <w:rPr>
          <w:rFonts w:ascii="Times New Roman" w:hAnsi="Times New Roman" w:eastAsia="宋体"/>
          <w:lang w:val="en-US"/>
        </w:rPr>
      </w:pPr>
      <w:r>
        <w:rPr>
          <w:rFonts w:ascii="Times New Roman" w:hAnsi="Times New Roman" w:eastAsia="宋体"/>
          <w:lang w:val="en-US"/>
        </w:rPr>
        <w:t>乙方应当出具货物的合格证书、出厂</w:t>
      </w:r>
      <w:r>
        <w:rPr>
          <w:rFonts w:hint="eastAsia" w:ascii="Times New Roman" w:hAnsi="Times New Roman" w:eastAsia="宋体"/>
          <w:lang w:val="en-US"/>
        </w:rPr>
        <w:t>检验报告</w:t>
      </w:r>
      <w:r>
        <w:rPr>
          <w:rFonts w:ascii="Times New Roman" w:hAnsi="Times New Roman" w:eastAsia="宋体"/>
          <w:lang w:val="en-US"/>
        </w:rPr>
        <w:t>等相关质量证明文件（加盖乙方公章）</w:t>
      </w:r>
      <w:r>
        <w:rPr>
          <w:rFonts w:ascii="宋体" w:hAnsi="宋体" w:eastAsia="宋体"/>
          <w:lang w:val="en-US"/>
        </w:rPr>
        <w:t>，</w:t>
      </w:r>
      <w:r>
        <w:rPr>
          <w:rFonts w:ascii="Times New Roman" w:hAnsi="Times New Roman" w:eastAsia="宋体"/>
          <w:lang w:val="en-US"/>
        </w:rPr>
        <w:t>乙方未能提供上述资料的</w:t>
      </w:r>
      <w:r>
        <w:rPr>
          <w:rFonts w:ascii="宋体" w:hAnsi="宋体" w:eastAsia="宋体"/>
          <w:lang w:val="en-US"/>
        </w:rPr>
        <w:t>，</w:t>
      </w:r>
      <w:r>
        <w:rPr>
          <w:rFonts w:ascii="Times New Roman" w:hAnsi="Times New Roman" w:eastAsia="宋体"/>
          <w:lang w:val="en-US"/>
        </w:rPr>
        <w:t>甲方有权拒收。</w:t>
      </w:r>
    </w:p>
    <w:p>
      <w:pPr>
        <w:ind w:firstLine="420" w:firstLineChars="200"/>
        <w:rPr>
          <w:rFonts w:ascii="Times New Roman" w:hAnsi="Times New Roman" w:eastAsia="宋体"/>
          <w:lang w:val="en-US"/>
        </w:rPr>
      </w:pPr>
      <w:r>
        <w:rPr>
          <w:rFonts w:ascii="Times New Roman" w:hAnsi="Times New Roman" w:eastAsia="宋体"/>
          <w:lang w:val="en-US"/>
        </w:rPr>
        <w:t>甲方有权在验货时对货物进行抽样并送交权威检测机构按相关标准进行检测。验货及抽样检测相关费用均由乙方承担。</w:t>
      </w:r>
    </w:p>
    <w:p>
      <w:pPr>
        <w:ind w:firstLine="420" w:firstLineChars="200"/>
        <w:rPr>
          <w:rFonts w:ascii="Times New Roman" w:hAnsi="Times New Roman" w:eastAsia="宋体"/>
          <w:szCs w:val="22"/>
          <w:lang w:val="en-US"/>
        </w:rPr>
      </w:pPr>
      <w:r>
        <w:rPr>
          <w:rFonts w:ascii="Times New Roman" w:hAnsi="Times New Roman" w:eastAsia="宋体"/>
          <w:szCs w:val="22"/>
          <w:lang w:val="en-US"/>
        </w:rPr>
        <w:t>验收出现以下情形的：</w:t>
      </w:r>
      <w:r>
        <w:rPr>
          <w:rFonts w:hint="eastAsia" w:ascii="Times New Roman" w:hAnsi="Times New Roman" w:eastAsia="Times New Roman"/>
          <w:szCs w:val="22"/>
          <w:u w:val="single"/>
          <w:lang w:val="en-US"/>
        </w:rPr>
        <w:t>XXXXX</w:t>
      </w:r>
      <w:r>
        <w:rPr>
          <w:rFonts w:ascii="Times New Roman" w:hAnsi="Times New Roman" w:eastAsia="宋体"/>
          <w:szCs w:val="22"/>
          <w:lang w:val="en-US"/>
        </w:rPr>
        <w:t>。甲方有权提出退货并扣除质保金</w:t>
      </w:r>
      <w:r>
        <w:rPr>
          <w:rFonts w:ascii="宋体" w:hAnsi="宋体" w:eastAsia="宋体"/>
          <w:szCs w:val="22"/>
          <w:lang w:val="en-US"/>
        </w:rPr>
        <w:t>，</w:t>
      </w:r>
      <w:r>
        <w:rPr>
          <w:rFonts w:ascii="Times New Roman" w:hAnsi="Times New Roman" w:eastAsia="宋体"/>
          <w:szCs w:val="22"/>
          <w:lang w:val="en-US"/>
        </w:rPr>
        <w:t>或要求乙方重新提供一批新的货物。如重新供货后</w:t>
      </w:r>
      <w:r>
        <w:rPr>
          <w:rFonts w:ascii="宋体" w:hAnsi="宋体" w:eastAsia="宋体"/>
          <w:szCs w:val="22"/>
          <w:lang w:val="en-US"/>
        </w:rPr>
        <w:t>，</w:t>
      </w:r>
      <w:r>
        <w:rPr>
          <w:rFonts w:ascii="Times New Roman" w:hAnsi="Times New Roman" w:eastAsia="宋体"/>
          <w:szCs w:val="22"/>
          <w:lang w:val="en-US"/>
        </w:rPr>
        <w:t>仍验收不合格的</w:t>
      </w:r>
      <w:r>
        <w:rPr>
          <w:rFonts w:ascii="宋体" w:hAnsi="宋体" w:eastAsia="宋体"/>
          <w:szCs w:val="22"/>
          <w:lang w:val="en-US"/>
        </w:rPr>
        <w:t>，</w:t>
      </w:r>
      <w:r>
        <w:rPr>
          <w:rFonts w:ascii="Times New Roman" w:hAnsi="Times New Roman" w:eastAsia="宋体"/>
          <w:szCs w:val="22"/>
          <w:lang w:val="en-US"/>
        </w:rPr>
        <w:t>甲方有权终止合同</w:t>
      </w:r>
      <w:r>
        <w:rPr>
          <w:rFonts w:ascii="宋体" w:hAnsi="宋体" w:eastAsia="宋体"/>
          <w:szCs w:val="22"/>
          <w:lang w:val="en-US"/>
        </w:rPr>
        <w:t>，</w:t>
      </w:r>
      <w:r>
        <w:rPr>
          <w:rFonts w:ascii="Times New Roman" w:hAnsi="Times New Roman" w:eastAsia="宋体"/>
          <w:szCs w:val="22"/>
          <w:lang w:val="en-US"/>
        </w:rPr>
        <w:t>乙方应向甲方支付全部货款</w:t>
      </w:r>
      <w:r>
        <w:rPr>
          <w:rFonts w:ascii="Times New Roman" w:hAnsi="Times New Roman" w:eastAsia="Times New Roman"/>
          <w:szCs w:val="22"/>
          <w:lang w:val="en-US"/>
        </w:rPr>
        <w:t>5</w:t>
      </w:r>
      <w:r>
        <w:rPr>
          <w:rFonts w:ascii="Times New Roman" w:hAnsi="Times New Roman" w:eastAsia="宋体"/>
          <w:szCs w:val="22"/>
          <w:lang w:val="en-US"/>
        </w:rPr>
        <w:t>%的违约金并返还甲方已支付价款。</w:t>
      </w:r>
    </w:p>
    <w:p>
      <w:pPr>
        <w:ind w:firstLine="420" w:firstLineChars="200"/>
        <w:rPr>
          <w:rFonts w:ascii="Times New Roman" w:hAnsi="Times New Roman" w:eastAsia="宋体"/>
          <w:lang w:val="en-US"/>
        </w:rPr>
      </w:pPr>
      <w:r>
        <w:rPr>
          <w:rFonts w:ascii="Times New Roman" w:hAnsi="Times New Roman" w:eastAsia="宋体"/>
          <w:lang w:val="en-US"/>
        </w:rPr>
        <w:t>交货时</w:t>
      </w:r>
      <w:r>
        <w:rPr>
          <w:rFonts w:ascii="宋体" w:hAnsi="宋体" w:eastAsia="宋体"/>
          <w:lang w:val="en-US"/>
        </w:rPr>
        <w:t>，</w:t>
      </w:r>
      <w:r>
        <w:rPr>
          <w:rFonts w:ascii="Times New Roman" w:hAnsi="Times New Roman" w:eastAsia="宋体"/>
          <w:lang w:val="en-US"/>
        </w:rPr>
        <w:t>乙方应将货物、产品合格证等质量证明文件、使用说明及保修文件、其他配套物品和资料等全部交付给甲方</w:t>
      </w:r>
      <w:r>
        <w:rPr>
          <w:rFonts w:ascii="宋体" w:hAnsi="宋体" w:eastAsia="宋体"/>
          <w:lang w:val="en-US"/>
        </w:rPr>
        <w:t>，</w:t>
      </w:r>
      <w:r>
        <w:rPr>
          <w:rFonts w:ascii="Times New Roman" w:hAnsi="Times New Roman" w:eastAsia="宋体"/>
          <w:lang w:val="en-US"/>
        </w:rPr>
        <w:t>由乙方送货人员与甲方收货负责人共同签字确认</w:t>
      </w:r>
      <w:r>
        <w:rPr>
          <w:rFonts w:ascii="宋体" w:hAnsi="宋体" w:eastAsia="宋体"/>
          <w:lang w:val="en-US"/>
        </w:rPr>
        <w:t>，</w:t>
      </w:r>
      <w:r>
        <w:rPr>
          <w:rFonts w:ascii="Times New Roman" w:hAnsi="Times New Roman" w:eastAsia="宋体"/>
          <w:lang w:val="en-US"/>
        </w:rPr>
        <w:t>双方签字确认之日即为该批货物交付之日。验收不合格</w:t>
      </w:r>
      <w:r>
        <w:rPr>
          <w:rFonts w:ascii="宋体" w:hAnsi="宋体" w:eastAsia="宋体"/>
          <w:lang w:val="en-US"/>
        </w:rPr>
        <w:t>，</w:t>
      </w:r>
      <w:r>
        <w:rPr>
          <w:rFonts w:ascii="Times New Roman" w:hAnsi="Times New Roman" w:eastAsia="宋体"/>
          <w:lang w:val="en-US"/>
        </w:rPr>
        <w:t>甲方拒收或退货的</w:t>
      </w:r>
      <w:r>
        <w:rPr>
          <w:rFonts w:ascii="宋体" w:hAnsi="宋体" w:eastAsia="宋体"/>
          <w:lang w:val="en-US"/>
        </w:rPr>
        <w:t>，</w:t>
      </w:r>
      <w:r>
        <w:rPr>
          <w:rFonts w:ascii="Times New Roman" w:hAnsi="Times New Roman" w:eastAsia="宋体"/>
          <w:lang w:val="en-US"/>
        </w:rPr>
        <w:t>乙方负责退换货并承担增加的费用和给甲方造成的损失。</w:t>
      </w:r>
    </w:p>
    <w:p>
      <w:pPr>
        <w:ind w:firstLine="420" w:firstLineChars="200"/>
        <w:rPr>
          <w:rFonts w:ascii="Times New Roman" w:hAnsi="Times New Roman" w:eastAsia="宋体"/>
          <w:lang w:val="en-US"/>
        </w:rPr>
      </w:pPr>
      <w:r>
        <w:rPr>
          <w:rFonts w:ascii="Times New Roman" w:hAnsi="Times New Roman" w:eastAsia="宋体"/>
          <w:lang w:val="en-US"/>
        </w:rPr>
        <w:t>货物验收合格后</w:t>
      </w:r>
      <w:r>
        <w:rPr>
          <w:rFonts w:ascii="宋体" w:hAnsi="宋体" w:eastAsia="宋体"/>
          <w:lang w:val="en-US"/>
        </w:rPr>
        <w:t>，</w:t>
      </w:r>
      <w:r>
        <w:rPr>
          <w:rFonts w:ascii="Times New Roman" w:hAnsi="Times New Roman" w:eastAsia="宋体"/>
          <w:lang w:val="en-US"/>
        </w:rPr>
        <w:t>填写《验收单》</w:t>
      </w:r>
      <w:r>
        <w:rPr>
          <w:rFonts w:ascii="宋体" w:hAnsi="宋体" w:eastAsia="宋体"/>
          <w:lang w:val="en-US"/>
        </w:rPr>
        <w:t>，</w:t>
      </w:r>
      <w:r>
        <w:rPr>
          <w:rFonts w:ascii="Times New Roman" w:hAnsi="Times New Roman" w:eastAsia="宋体"/>
          <w:lang w:val="en-US"/>
        </w:rPr>
        <w:t>并由甲乙双方共同盖章后方可生效。</w:t>
      </w:r>
    </w:p>
    <w:p>
      <w:pPr>
        <w:ind w:firstLine="420" w:firstLineChars="200"/>
        <w:rPr>
          <w:rFonts w:ascii="Times New Roman" w:hAnsi="Times New Roman" w:eastAsia="宋体"/>
          <w:lang w:val="en-US"/>
        </w:rPr>
      </w:pPr>
      <w:r>
        <w:rPr>
          <w:rFonts w:ascii="Times New Roman" w:hAnsi="Times New Roman" w:eastAsia="宋体"/>
          <w:lang w:val="en-US"/>
        </w:rPr>
        <w:t>本合同下的货物及追加、更换、补充的货物(含零件、部件、配件)的风险自货物交付甲方且由甲方确认验收合格时转移。乙方应承担货物在交付甲方且由甲方确认验收合格前的一切风险</w:t>
      </w:r>
      <w:r>
        <w:rPr>
          <w:rFonts w:ascii="宋体" w:hAnsi="宋体" w:eastAsia="宋体"/>
          <w:lang w:val="en-US"/>
        </w:rPr>
        <w:t>，</w:t>
      </w:r>
      <w:r>
        <w:rPr>
          <w:rFonts w:ascii="Times New Roman" w:hAnsi="Times New Roman" w:eastAsia="宋体"/>
          <w:lang w:val="en-US"/>
        </w:rPr>
        <w:t>除非货损是由于甲方明显不当的作为所直接引起的</w:t>
      </w:r>
      <w:r>
        <w:rPr>
          <w:rFonts w:ascii="宋体" w:hAnsi="宋体" w:eastAsia="宋体"/>
          <w:lang w:val="en-US"/>
        </w:rPr>
        <w:t>，</w:t>
      </w:r>
      <w:r>
        <w:rPr>
          <w:rFonts w:ascii="Times New Roman" w:hAnsi="Times New Roman" w:eastAsia="宋体"/>
          <w:lang w:val="en-US"/>
        </w:rPr>
        <w:t>但该作为不包括验收的行为。</w:t>
      </w:r>
    </w:p>
    <w:p>
      <w:pPr>
        <w:ind w:firstLine="420" w:firstLineChars="200"/>
        <w:rPr>
          <w:rFonts w:ascii="Times New Roman" w:hAnsi="Times New Roman" w:eastAsia="宋体"/>
          <w:lang w:val="en-US"/>
        </w:rPr>
      </w:pPr>
      <w:r>
        <w:rPr>
          <w:rFonts w:ascii="Times New Roman" w:hAnsi="Times New Roman" w:eastAsia="宋体"/>
          <w:lang w:val="en-US"/>
        </w:rPr>
        <w:t>乙方应保证所供货物是全新的、未使用过的</w:t>
      </w:r>
      <w:r>
        <w:rPr>
          <w:rFonts w:ascii="宋体" w:hAnsi="宋体" w:eastAsia="宋体"/>
          <w:lang w:val="en-US"/>
        </w:rPr>
        <w:t>，</w:t>
      </w:r>
      <w:r>
        <w:rPr>
          <w:rFonts w:ascii="Times New Roman" w:hAnsi="Times New Roman" w:eastAsia="宋体"/>
          <w:lang w:val="en-US"/>
        </w:rPr>
        <w:t>并完全符合合同规定的质量、规格和性能的要求。乙方应保证其货物在正确安装、正常使用和保养条件下</w:t>
      </w:r>
      <w:r>
        <w:rPr>
          <w:rFonts w:ascii="宋体" w:hAnsi="宋体" w:eastAsia="宋体"/>
          <w:lang w:val="en-US"/>
        </w:rPr>
        <w:t>，</w:t>
      </w:r>
      <w:r>
        <w:rPr>
          <w:rFonts w:ascii="Times New Roman" w:hAnsi="Times New Roman" w:eastAsia="宋体"/>
          <w:lang w:val="en-US"/>
        </w:rPr>
        <w:t>在其使用寿命期内应具有满意的性能。在货物最终交付验收后不少于合同规定的质量保证期（以下简称“质保期”）内</w:t>
      </w:r>
      <w:r>
        <w:rPr>
          <w:rFonts w:ascii="宋体" w:hAnsi="宋体" w:eastAsia="宋体"/>
          <w:lang w:val="en-US"/>
        </w:rPr>
        <w:t>，</w:t>
      </w:r>
      <w:r>
        <w:rPr>
          <w:rFonts w:ascii="Times New Roman" w:hAnsi="Times New Roman" w:eastAsia="宋体"/>
          <w:lang w:val="en-US"/>
        </w:rPr>
        <w:t>乙方应对由于设计、工艺或材料的缺陷而产生的故障负责。</w:t>
      </w:r>
    </w:p>
    <w:p>
      <w:pPr>
        <w:ind w:firstLine="420" w:firstLineChars="200"/>
        <w:rPr>
          <w:rFonts w:ascii="Times New Roman" w:hAnsi="Times New Roman" w:eastAsia="宋体"/>
          <w:lang w:val="en-US"/>
        </w:rPr>
      </w:pPr>
      <w:r>
        <w:rPr>
          <w:rFonts w:ascii="Times New Roman" w:hAnsi="Times New Roman" w:eastAsia="宋体"/>
          <w:lang w:val="en-US"/>
        </w:rPr>
        <w:t>乙方货物的质保期为</w:t>
      </w:r>
      <w:r>
        <w:rPr>
          <w:rFonts w:ascii="Times New Roman" w:hAnsi="Times New Roman" w:eastAsia="宋体"/>
          <w:u w:val="single"/>
          <w:lang w:val="en-US"/>
        </w:rPr>
        <w:t xml:space="preserve">  </w:t>
      </w:r>
      <w:r>
        <w:rPr>
          <w:rFonts w:ascii="Times New Roman" w:hAnsi="Times New Roman" w:eastAsia="Times New Roman"/>
          <w:u w:val="single"/>
          <w:lang w:val="en-US"/>
        </w:rPr>
        <w:t>X</w:t>
      </w:r>
      <w:r>
        <w:rPr>
          <w:rFonts w:ascii="Times New Roman" w:hAnsi="Times New Roman" w:eastAsia="宋体"/>
          <w:u w:val="single"/>
          <w:lang w:val="en-US"/>
        </w:rPr>
        <w:t xml:space="preserve"> </w:t>
      </w:r>
      <w:r>
        <w:rPr>
          <w:rFonts w:ascii="Times New Roman" w:hAnsi="Times New Roman" w:eastAsia="宋体"/>
          <w:lang w:val="en-US"/>
        </w:rPr>
        <w:t>年，自货物交付并验收合格之日起计算。售后服务电话为：</w:t>
      </w:r>
      <w:r>
        <w:rPr>
          <w:rFonts w:ascii="Times New Roman" w:hAnsi="Times New Roman" w:eastAsia="宋体"/>
          <w:u w:val="single"/>
          <w:lang w:val="en-US"/>
        </w:rPr>
        <w:t xml:space="preserve">             </w:t>
      </w:r>
      <w:r>
        <w:rPr>
          <w:rFonts w:ascii="Times New Roman" w:hAnsi="Times New Roman" w:eastAsia="宋体"/>
          <w:lang w:val="en-US"/>
        </w:rPr>
        <w:t xml:space="preserve"> 。乙方货物在质保期内出现质量问题的</w:t>
      </w:r>
      <w:r>
        <w:rPr>
          <w:rFonts w:ascii="宋体" w:hAnsi="宋体" w:eastAsia="宋体"/>
          <w:lang w:val="en-US"/>
        </w:rPr>
        <w:t>，</w:t>
      </w:r>
      <w:r>
        <w:rPr>
          <w:rFonts w:ascii="Times New Roman" w:hAnsi="Times New Roman" w:eastAsia="宋体"/>
          <w:lang w:val="en-US"/>
        </w:rPr>
        <w:t>乙方须在接到甲方通知后</w:t>
      </w:r>
      <w:r>
        <w:rPr>
          <w:rFonts w:ascii="Times New Roman" w:hAnsi="Times New Roman" w:eastAsia="宋体"/>
          <w:u w:val="single"/>
          <w:lang w:val="en-US"/>
        </w:rPr>
        <w:t xml:space="preserve"> </w:t>
      </w:r>
      <w:r>
        <w:rPr>
          <w:rFonts w:ascii="Times New Roman" w:hAnsi="Times New Roman" w:eastAsia="Times New Roman"/>
          <w:u w:val="single"/>
          <w:lang w:val="en-US"/>
        </w:rPr>
        <w:t>X</w:t>
      </w:r>
      <w:r>
        <w:rPr>
          <w:rFonts w:ascii="Times New Roman" w:hAnsi="Times New Roman" w:eastAsia="宋体"/>
          <w:u w:val="single"/>
          <w:lang w:val="en-US"/>
        </w:rPr>
        <w:t xml:space="preserve"> </w:t>
      </w:r>
      <w:r>
        <w:rPr>
          <w:rFonts w:ascii="Times New Roman" w:hAnsi="Times New Roman" w:eastAsia="宋体"/>
          <w:lang w:val="en-US"/>
        </w:rPr>
        <w:t>日内派员到现场进行维修或更换。</w:t>
      </w:r>
    </w:p>
    <w:p>
      <w:pPr>
        <w:ind w:firstLine="420" w:firstLineChars="200"/>
        <w:rPr>
          <w:rFonts w:ascii="Times New Roman" w:hAnsi="Times New Roman" w:eastAsia="宋体"/>
          <w:lang w:val="en-US"/>
        </w:rPr>
      </w:pPr>
      <w:r>
        <w:rPr>
          <w:rFonts w:ascii="Times New Roman" w:hAnsi="Times New Roman" w:eastAsia="宋体"/>
          <w:lang w:val="en-US"/>
        </w:rPr>
        <w:t>本合同签署</w:t>
      </w:r>
      <w:r>
        <w:rPr>
          <w:rFonts w:ascii="Times New Roman" w:hAnsi="Times New Roman" w:eastAsia="宋体"/>
          <w:u w:val="single"/>
          <w:lang w:val="en-US"/>
        </w:rPr>
        <w:t xml:space="preserve"> </w:t>
      </w:r>
      <w:r>
        <w:rPr>
          <w:rFonts w:ascii="Times New Roman" w:hAnsi="Times New Roman" w:eastAsia="Times New Roman"/>
          <w:u w:val="single"/>
          <w:lang w:val="en-US"/>
        </w:rPr>
        <w:t>X</w:t>
      </w:r>
      <w:r>
        <w:rPr>
          <w:rFonts w:ascii="Times New Roman" w:hAnsi="Times New Roman" w:eastAsia="宋体"/>
          <w:u w:val="single"/>
          <w:lang w:val="en-US"/>
        </w:rPr>
        <w:t>天</w:t>
      </w:r>
      <w:r>
        <w:rPr>
          <w:rFonts w:ascii="Times New Roman" w:hAnsi="Times New Roman" w:eastAsia="宋体"/>
          <w:lang w:val="en-US"/>
        </w:rPr>
        <w:t>内，乙方应向甲方提交一笔合同规定的履约保证金：金额</w:t>
      </w:r>
      <w:r>
        <w:rPr>
          <w:rFonts w:ascii="Times New Roman" w:hAnsi="Times New Roman" w:eastAsia="宋体"/>
          <w:u w:val="single"/>
          <w:lang w:val="en-US"/>
        </w:rPr>
        <w:t xml:space="preserve">  </w:t>
      </w:r>
      <w:r>
        <w:rPr>
          <w:rFonts w:ascii="Times New Roman" w:hAnsi="Times New Roman" w:eastAsia="宋体"/>
          <w:u w:val="single"/>
          <w:lang w:val="en-US"/>
        </w:rPr>
        <w:softHyphen/>
      </w:r>
      <w:r>
        <w:rPr>
          <w:rFonts w:ascii="Times New Roman" w:hAnsi="Times New Roman" w:eastAsia="宋体"/>
          <w:u w:val="single"/>
          <w:lang w:val="en-US"/>
        </w:rPr>
        <w:t xml:space="preserve">    </w:t>
      </w:r>
      <w:r>
        <w:rPr>
          <w:rFonts w:ascii="Times New Roman" w:hAnsi="Times New Roman" w:eastAsia="宋体"/>
          <w:lang w:val="en-US"/>
        </w:rPr>
        <w:t>元（金额为合同总金额的</w:t>
      </w:r>
      <w:r>
        <w:rPr>
          <w:rFonts w:ascii="Times New Roman" w:hAnsi="Times New Roman" w:eastAsia="宋体"/>
          <w:u w:val="single"/>
          <w:lang w:val="en-US"/>
        </w:rPr>
        <w:t xml:space="preserve">  </w:t>
      </w:r>
      <w:r>
        <w:rPr>
          <w:rFonts w:ascii="Times New Roman" w:hAnsi="Times New Roman" w:eastAsia="Times New Roman"/>
          <w:u w:val="single"/>
          <w:lang w:val="en-US"/>
        </w:rPr>
        <w:t>X</w:t>
      </w:r>
      <w:r>
        <w:rPr>
          <w:rFonts w:ascii="Times New Roman" w:hAnsi="Times New Roman" w:eastAsia="宋体"/>
          <w:u w:val="single"/>
          <w:lang w:val="en-US"/>
        </w:rPr>
        <w:t xml:space="preserve">   </w:t>
      </w:r>
      <w:r>
        <w:rPr>
          <w:rFonts w:ascii="Times New Roman" w:hAnsi="Times New Roman" w:eastAsia="宋体"/>
          <w:lang w:val="en-US"/>
        </w:rPr>
        <w:t>%）</w:t>
      </w:r>
      <w:r>
        <w:rPr>
          <w:rFonts w:ascii="宋体" w:hAnsi="宋体" w:eastAsia="宋体"/>
          <w:lang w:val="en-US"/>
        </w:rPr>
        <w:t>，</w:t>
      </w:r>
      <w:r>
        <w:rPr>
          <w:rFonts w:ascii="Times New Roman" w:hAnsi="Times New Roman" w:eastAsia="宋体"/>
          <w:lang w:val="en-US"/>
        </w:rPr>
        <w:t>乙方提交履约保证金所需的有关费用均由其自行负担。</w:t>
      </w:r>
    </w:p>
    <w:p>
      <w:pPr>
        <w:ind w:firstLine="420" w:firstLineChars="200"/>
        <w:rPr>
          <w:rFonts w:ascii="Times New Roman" w:hAnsi="Times New Roman" w:eastAsia="宋体"/>
          <w:lang w:val="en-US"/>
        </w:rPr>
      </w:pPr>
      <w:r>
        <w:rPr>
          <w:rFonts w:ascii="Times New Roman" w:hAnsi="Times New Roman" w:eastAsia="宋体"/>
          <w:lang w:val="en-US"/>
        </w:rPr>
        <w:t>在质保期内</w:t>
      </w:r>
      <w:r>
        <w:rPr>
          <w:rFonts w:ascii="宋体" w:hAnsi="宋体" w:eastAsia="宋体"/>
          <w:lang w:val="en-US"/>
        </w:rPr>
        <w:t>，</w:t>
      </w:r>
      <w:r>
        <w:rPr>
          <w:rFonts w:ascii="Times New Roman" w:hAnsi="Times New Roman" w:eastAsia="宋体"/>
          <w:lang w:val="en-US"/>
        </w:rPr>
        <w:t>如果货物的质量或规格与合同不符</w:t>
      </w:r>
      <w:r>
        <w:rPr>
          <w:rFonts w:ascii="宋体" w:hAnsi="宋体" w:eastAsia="宋体"/>
          <w:lang w:val="en-US"/>
        </w:rPr>
        <w:t>，</w:t>
      </w:r>
      <w:r>
        <w:rPr>
          <w:rFonts w:ascii="Times New Roman" w:hAnsi="Times New Roman" w:eastAsia="宋体"/>
          <w:lang w:val="en-US"/>
        </w:rPr>
        <w:t>或证实货物是有缺陷的</w:t>
      </w:r>
      <w:r>
        <w:rPr>
          <w:rFonts w:ascii="宋体" w:hAnsi="宋体" w:eastAsia="宋体"/>
          <w:lang w:val="en-US"/>
        </w:rPr>
        <w:t>，</w:t>
      </w:r>
      <w:r>
        <w:rPr>
          <w:rFonts w:ascii="Times New Roman" w:hAnsi="Times New Roman" w:eastAsia="宋体"/>
          <w:lang w:val="en-US"/>
        </w:rPr>
        <w:t>包括潜在的缺陷或使用不符合要求的材料等</w:t>
      </w:r>
      <w:r>
        <w:rPr>
          <w:rFonts w:ascii="宋体" w:hAnsi="宋体" w:eastAsia="宋体"/>
          <w:lang w:val="en-US"/>
        </w:rPr>
        <w:t>，</w:t>
      </w:r>
      <w:r>
        <w:rPr>
          <w:rFonts w:ascii="Times New Roman" w:hAnsi="Times New Roman" w:eastAsia="宋体"/>
          <w:lang w:val="en-US"/>
        </w:rPr>
        <w:t>甲方根据本合同规定以书面形式向乙方提出补救措施或索赔（详见“补救措施和索赔”）。</w:t>
      </w:r>
    </w:p>
    <w:p>
      <w:pPr>
        <w:ind w:firstLine="420" w:firstLineChars="200"/>
        <w:rPr>
          <w:rFonts w:ascii="Times New Roman" w:hAnsi="Times New Roman" w:eastAsia="宋体"/>
          <w:lang w:val="en-US"/>
        </w:rPr>
      </w:pPr>
      <w:r>
        <w:rPr>
          <w:rFonts w:ascii="Times New Roman" w:hAnsi="Times New Roman" w:eastAsia="宋体"/>
          <w:lang w:val="en-US"/>
        </w:rPr>
        <w:t>乙方在约定的时间内未能弥补缺陷</w:t>
      </w:r>
      <w:r>
        <w:rPr>
          <w:rFonts w:ascii="宋体" w:hAnsi="宋体" w:eastAsia="宋体"/>
          <w:lang w:val="en-US"/>
        </w:rPr>
        <w:t>，</w:t>
      </w:r>
      <w:r>
        <w:rPr>
          <w:rFonts w:ascii="Times New Roman" w:hAnsi="Times New Roman" w:eastAsia="宋体"/>
          <w:lang w:val="en-US"/>
        </w:rPr>
        <w:t>甲方可采取必要的补救措施</w:t>
      </w:r>
      <w:r>
        <w:rPr>
          <w:rFonts w:ascii="宋体" w:hAnsi="宋体" w:eastAsia="宋体"/>
          <w:lang w:val="en-US"/>
        </w:rPr>
        <w:t>，</w:t>
      </w:r>
      <w:r>
        <w:rPr>
          <w:rFonts w:ascii="Times New Roman" w:hAnsi="Times New Roman" w:eastAsia="宋体"/>
          <w:lang w:val="en-US"/>
        </w:rPr>
        <w:t>但其风险和费用将由乙方承担</w:t>
      </w:r>
      <w:r>
        <w:rPr>
          <w:rFonts w:ascii="宋体" w:hAnsi="宋体" w:eastAsia="宋体"/>
          <w:lang w:val="en-US"/>
        </w:rPr>
        <w:t>，</w:t>
      </w:r>
      <w:r>
        <w:rPr>
          <w:rFonts w:ascii="Times New Roman" w:hAnsi="Times New Roman" w:eastAsia="宋体"/>
          <w:lang w:val="en-US"/>
        </w:rPr>
        <w:t>甲方根据合同规定对乙方行使的其他权利不受影响。</w:t>
      </w:r>
    </w:p>
    <w:p>
      <w:pPr>
        <w:pStyle w:val="4"/>
        <w:rPr>
          <w:color w:val="auto"/>
        </w:rPr>
      </w:pPr>
      <w:bookmarkStart w:id="172" w:name="_Toc30490667"/>
      <w:bookmarkStart w:id="173" w:name="_Toc25422488"/>
      <w:bookmarkStart w:id="174" w:name="_Toc16531172"/>
      <w:bookmarkStart w:id="175" w:name="_Toc16531398"/>
      <w:r>
        <w:rPr>
          <w:color w:val="auto"/>
        </w:rPr>
        <w:t>补救措施和索赔</w:t>
      </w:r>
      <w:bookmarkEnd w:id="172"/>
      <w:bookmarkEnd w:id="173"/>
      <w:bookmarkEnd w:id="174"/>
      <w:bookmarkEnd w:id="175"/>
    </w:p>
    <w:p>
      <w:pPr>
        <w:ind w:firstLine="420" w:firstLineChars="200"/>
        <w:rPr>
          <w:rFonts w:ascii="Times New Roman" w:hAnsi="Times New Roman" w:eastAsia="宋体"/>
          <w:lang w:val="en-US"/>
        </w:rPr>
      </w:pPr>
      <w:r>
        <w:rPr>
          <w:rFonts w:ascii="Times New Roman" w:hAnsi="Times New Roman" w:eastAsia="宋体"/>
          <w:lang w:val="en-US"/>
        </w:rPr>
        <w:t>甲方有权根据质量检测部门出具的检验证书向乙方提出索赔。</w:t>
      </w:r>
    </w:p>
    <w:p>
      <w:pPr>
        <w:ind w:firstLine="420" w:firstLineChars="200"/>
        <w:rPr>
          <w:rFonts w:ascii="Times New Roman" w:hAnsi="Times New Roman" w:eastAsia="宋体"/>
          <w:lang w:val="en-US"/>
        </w:rPr>
      </w:pPr>
      <w:r>
        <w:rPr>
          <w:rFonts w:ascii="Times New Roman" w:hAnsi="Times New Roman" w:eastAsia="宋体"/>
          <w:lang w:val="en-US"/>
        </w:rPr>
        <w:t>在检验期和质保期内</w:t>
      </w:r>
      <w:r>
        <w:rPr>
          <w:rFonts w:ascii="宋体" w:hAnsi="宋体" w:eastAsia="宋体"/>
          <w:lang w:val="en-US"/>
        </w:rPr>
        <w:t>，</w:t>
      </w:r>
      <w:r>
        <w:rPr>
          <w:rFonts w:ascii="Times New Roman" w:hAnsi="Times New Roman" w:eastAsia="宋体"/>
          <w:lang w:val="en-US"/>
        </w:rPr>
        <w:t>如果乙方对缺陷产品负有责任而甲方提出索赔</w:t>
      </w:r>
      <w:r>
        <w:rPr>
          <w:rFonts w:ascii="宋体" w:hAnsi="宋体" w:eastAsia="宋体"/>
          <w:lang w:val="en-US"/>
        </w:rPr>
        <w:t>，</w:t>
      </w:r>
      <w:r>
        <w:rPr>
          <w:rFonts w:ascii="Times New Roman" w:hAnsi="Times New Roman" w:eastAsia="宋体"/>
          <w:lang w:val="en-US"/>
        </w:rPr>
        <w:t>乙方应按照甲方同意的下列一种或多种方式解决索赔事宜：</w:t>
      </w:r>
    </w:p>
    <w:p>
      <w:pPr>
        <w:ind w:firstLine="420" w:firstLineChars="200"/>
        <w:rPr>
          <w:rFonts w:ascii="Times New Roman" w:hAnsi="Times New Roman" w:eastAsia="宋体"/>
          <w:lang w:val="en-US"/>
        </w:rPr>
      </w:pPr>
      <w:r>
        <w:rPr>
          <w:rFonts w:ascii="Times New Roman" w:hAnsi="Times New Roman" w:eastAsia="宋体"/>
          <w:lang w:val="en-US"/>
        </w:rPr>
        <w:t>乙方同意对货物进行免费更换</w:t>
      </w:r>
      <w:r>
        <w:rPr>
          <w:rFonts w:ascii="宋体" w:hAnsi="宋体" w:eastAsia="宋体"/>
          <w:lang w:val="en-US"/>
        </w:rPr>
        <w:t>，</w:t>
      </w:r>
      <w:r>
        <w:rPr>
          <w:rFonts w:ascii="Times New Roman" w:hAnsi="Times New Roman" w:eastAsia="宋体"/>
          <w:lang w:val="en-US"/>
        </w:rPr>
        <w:t>由此发生的一切费用和损失由乙方承担</w:t>
      </w:r>
      <w:r>
        <w:rPr>
          <w:rFonts w:ascii="宋体" w:hAnsi="宋体" w:eastAsia="宋体"/>
          <w:lang w:val="en-US"/>
        </w:rPr>
        <w:t>，</w:t>
      </w:r>
      <w:r>
        <w:rPr>
          <w:rFonts w:ascii="Times New Roman" w:hAnsi="Times New Roman" w:eastAsia="宋体"/>
          <w:lang w:val="en-US"/>
        </w:rPr>
        <w:t>并向甲方支付延迟供货违约金；</w:t>
      </w:r>
    </w:p>
    <w:p>
      <w:pPr>
        <w:ind w:firstLine="420" w:firstLineChars="200"/>
        <w:rPr>
          <w:rFonts w:ascii="Times New Roman" w:hAnsi="Times New Roman" w:eastAsia="宋体"/>
          <w:lang w:val="en-US"/>
        </w:rPr>
      </w:pPr>
      <w:r>
        <w:rPr>
          <w:rFonts w:ascii="Times New Roman" w:hAnsi="Times New Roman" w:eastAsia="宋体"/>
          <w:lang w:val="en-US"/>
        </w:rPr>
        <w:t>乙方同意退货并将货款退还给甲方</w:t>
      </w:r>
      <w:r>
        <w:rPr>
          <w:rFonts w:ascii="宋体" w:hAnsi="宋体" w:eastAsia="宋体"/>
          <w:lang w:val="en-US"/>
        </w:rPr>
        <w:t>，</w:t>
      </w:r>
      <w:r>
        <w:rPr>
          <w:rFonts w:ascii="Times New Roman" w:hAnsi="Times New Roman" w:eastAsia="宋体"/>
          <w:lang w:val="en-US"/>
        </w:rPr>
        <w:t>由此发生的一切费用和损失由乙方承担</w:t>
      </w:r>
      <w:r>
        <w:rPr>
          <w:rFonts w:ascii="宋体" w:hAnsi="宋体" w:eastAsia="宋体"/>
          <w:lang w:val="en-US"/>
        </w:rPr>
        <w:t>，</w:t>
      </w:r>
      <w:r>
        <w:rPr>
          <w:rFonts w:ascii="Times New Roman" w:hAnsi="Times New Roman" w:eastAsia="宋体"/>
          <w:lang w:val="en-US"/>
        </w:rPr>
        <w:t>并向甲方支付退货货物价款</w:t>
      </w:r>
      <w:r>
        <w:rPr>
          <w:rFonts w:ascii="Times New Roman" w:hAnsi="Times New Roman" w:eastAsia="Times New Roman"/>
          <w:lang w:val="en-US"/>
        </w:rPr>
        <w:t>5</w:t>
      </w:r>
      <w:r>
        <w:rPr>
          <w:rFonts w:ascii="Times New Roman" w:hAnsi="Times New Roman" w:eastAsia="宋体"/>
          <w:lang w:val="en-US"/>
        </w:rPr>
        <w:t>%的违约金；</w:t>
      </w:r>
    </w:p>
    <w:p>
      <w:pPr>
        <w:ind w:firstLine="420" w:firstLineChars="200"/>
        <w:rPr>
          <w:rFonts w:ascii="Times New Roman" w:hAnsi="Times New Roman" w:eastAsia="宋体"/>
          <w:lang w:val="en-US"/>
        </w:rPr>
      </w:pPr>
      <w:r>
        <w:rPr>
          <w:rFonts w:ascii="Times New Roman" w:hAnsi="Times New Roman" w:eastAsia="宋体"/>
          <w:lang w:val="en-US"/>
        </w:rPr>
        <w:t>根据货物的质量状况以及甲方所遭受的损失</w:t>
      </w:r>
      <w:r>
        <w:rPr>
          <w:rFonts w:ascii="宋体" w:hAnsi="宋体" w:eastAsia="宋体"/>
          <w:lang w:val="en-US"/>
        </w:rPr>
        <w:t>，</w:t>
      </w:r>
      <w:r>
        <w:rPr>
          <w:rFonts w:ascii="Times New Roman" w:hAnsi="Times New Roman" w:eastAsia="宋体"/>
          <w:lang w:val="en-US"/>
        </w:rPr>
        <w:t>经过甲乙双方商定降低货物的价格；</w:t>
      </w:r>
    </w:p>
    <w:p>
      <w:pPr>
        <w:ind w:firstLine="420" w:firstLineChars="200"/>
        <w:rPr>
          <w:rFonts w:ascii="Times New Roman" w:hAnsi="Times New Roman" w:eastAsia="宋体"/>
          <w:lang w:val="en-US"/>
        </w:rPr>
      </w:pPr>
      <w:r>
        <w:rPr>
          <w:rFonts w:ascii="Times New Roman" w:hAnsi="Times New Roman" w:eastAsia="宋体"/>
          <w:lang w:val="en-US"/>
        </w:rPr>
        <w:t>乙方应在接到甲方通知后七天内负责采用符合合同规定的规格、质量和性能要求的新零件、部件和设备来更换有缺陷的部分或修补缺陷部分</w:t>
      </w:r>
      <w:r>
        <w:rPr>
          <w:rFonts w:ascii="宋体" w:hAnsi="宋体" w:eastAsia="宋体"/>
          <w:lang w:val="en-US"/>
        </w:rPr>
        <w:t>，</w:t>
      </w:r>
      <w:r>
        <w:rPr>
          <w:rFonts w:ascii="Times New Roman" w:hAnsi="Times New Roman" w:eastAsia="宋体"/>
          <w:lang w:val="en-US"/>
        </w:rPr>
        <w:t>其费用由乙方负担。同时</w:t>
      </w:r>
      <w:r>
        <w:rPr>
          <w:rFonts w:ascii="宋体" w:hAnsi="宋体" w:eastAsia="宋体"/>
          <w:lang w:val="en-US"/>
        </w:rPr>
        <w:t>，</w:t>
      </w:r>
      <w:r>
        <w:rPr>
          <w:rFonts w:ascii="Times New Roman" w:hAnsi="Times New Roman" w:eastAsia="宋体"/>
          <w:lang w:val="en-US"/>
        </w:rPr>
        <w:t>乙方应在约定的质保期基础上相应延长修补和/或更换件的质保期。</w:t>
      </w:r>
    </w:p>
    <w:p>
      <w:pPr>
        <w:ind w:firstLine="420" w:firstLineChars="200"/>
        <w:rPr>
          <w:rFonts w:ascii="Times New Roman" w:hAnsi="Times New Roman" w:eastAsia="宋体"/>
          <w:lang w:val="en-US"/>
        </w:rPr>
      </w:pPr>
      <w:r>
        <w:rPr>
          <w:rFonts w:ascii="Times New Roman" w:hAnsi="Times New Roman" w:eastAsia="宋体"/>
          <w:lang w:val="en-US"/>
        </w:rPr>
        <w:t>如果在甲方发出索赔通知后十天内乙方未作答复</w:t>
      </w:r>
      <w:r>
        <w:rPr>
          <w:rFonts w:ascii="宋体" w:hAnsi="宋体" w:eastAsia="宋体"/>
          <w:lang w:val="en-US"/>
        </w:rPr>
        <w:t>，</w:t>
      </w:r>
      <w:r>
        <w:rPr>
          <w:rFonts w:ascii="Times New Roman" w:hAnsi="Times New Roman" w:eastAsia="宋体"/>
          <w:lang w:val="en-US"/>
        </w:rPr>
        <w:t>上述索赔应视为已被乙方接受。如果乙方未能在甲方索赔通知后十天内或甲方同意延长的期限内</w:t>
      </w:r>
      <w:r>
        <w:rPr>
          <w:rFonts w:ascii="宋体" w:hAnsi="宋体" w:eastAsia="宋体"/>
          <w:lang w:val="en-US"/>
        </w:rPr>
        <w:t>，</w:t>
      </w:r>
      <w:r>
        <w:rPr>
          <w:rFonts w:ascii="Times New Roman" w:hAnsi="Times New Roman" w:eastAsia="宋体"/>
          <w:lang w:val="en-US"/>
        </w:rPr>
        <w:t>按照上述规定的任何一种方法采取补救措施</w:t>
      </w:r>
      <w:r>
        <w:rPr>
          <w:rFonts w:ascii="宋体" w:hAnsi="宋体" w:eastAsia="宋体"/>
          <w:lang w:val="en-US"/>
        </w:rPr>
        <w:t>，</w:t>
      </w:r>
      <w:r>
        <w:rPr>
          <w:rFonts w:ascii="Times New Roman" w:hAnsi="Times New Roman" w:eastAsia="宋体"/>
          <w:lang w:val="en-US"/>
        </w:rPr>
        <w:t>甲方有权从应付货款中扣除索赔金额或没收履约保证金</w:t>
      </w:r>
      <w:r>
        <w:rPr>
          <w:rFonts w:ascii="宋体" w:hAnsi="宋体" w:eastAsia="宋体"/>
          <w:lang w:val="en-US"/>
        </w:rPr>
        <w:t>，</w:t>
      </w:r>
      <w:r>
        <w:rPr>
          <w:rFonts w:ascii="Times New Roman" w:hAnsi="Times New Roman" w:eastAsia="宋体"/>
          <w:lang w:val="en-US"/>
        </w:rPr>
        <w:t>如不足以弥补甲方损失的</w:t>
      </w:r>
      <w:r>
        <w:rPr>
          <w:rFonts w:ascii="宋体" w:hAnsi="宋体" w:eastAsia="宋体"/>
          <w:lang w:val="en-US"/>
        </w:rPr>
        <w:t>，</w:t>
      </w:r>
      <w:r>
        <w:rPr>
          <w:rFonts w:ascii="Times New Roman" w:hAnsi="Times New Roman" w:eastAsia="宋体"/>
          <w:lang w:val="en-US"/>
        </w:rPr>
        <w:t>甲方有权向乙方提出赔偿损失的要求。</w:t>
      </w:r>
    </w:p>
    <w:p>
      <w:pPr>
        <w:pStyle w:val="4"/>
        <w:rPr>
          <w:color w:val="auto"/>
        </w:rPr>
      </w:pPr>
      <w:bookmarkStart w:id="176" w:name="_Toc16531399"/>
      <w:bookmarkStart w:id="177" w:name="_Toc16531173"/>
      <w:bookmarkStart w:id="178" w:name="_Toc25422489"/>
      <w:bookmarkStart w:id="179" w:name="_Toc30490668"/>
      <w:r>
        <w:rPr>
          <w:color w:val="auto"/>
        </w:rPr>
        <w:t>违约责任</w:t>
      </w:r>
      <w:bookmarkEnd w:id="176"/>
      <w:bookmarkEnd w:id="177"/>
      <w:bookmarkEnd w:id="178"/>
      <w:bookmarkEnd w:id="179"/>
      <w:r>
        <w:rPr>
          <w:color w:val="auto"/>
        </w:rPr>
        <w:t xml:space="preserve"> </w:t>
      </w:r>
    </w:p>
    <w:p>
      <w:pPr>
        <w:ind w:firstLine="420" w:firstLineChars="200"/>
        <w:rPr>
          <w:rFonts w:ascii="Times New Roman" w:hAnsi="Times New Roman" w:eastAsia="宋体"/>
          <w:lang w:val="en-US"/>
        </w:rPr>
      </w:pPr>
      <w:r>
        <w:rPr>
          <w:rFonts w:ascii="Times New Roman" w:hAnsi="Times New Roman" w:eastAsia="宋体"/>
          <w:lang w:val="en-US"/>
        </w:rPr>
        <w:t>乙方应按照合同规定的时间、地点交货和提供服务</w:t>
      </w:r>
      <w:r>
        <w:rPr>
          <w:rFonts w:ascii="宋体" w:hAnsi="宋体" w:eastAsia="宋体"/>
          <w:lang w:val="en-US"/>
        </w:rPr>
        <w:t>，</w:t>
      </w:r>
      <w:r>
        <w:rPr>
          <w:rFonts w:ascii="Times New Roman" w:hAnsi="Times New Roman" w:eastAsia="宋体"/>
          <w:lang w:val="en-US"/>
        </w:rPr>
        <w:t>如果乙方可能遇到妨碍按时交货和提供服务的情况时</w:t>
      </w:r>
      <w:r>
        <w:rPr>
          <w:rFonts w:ascii="宋体" w:hAnsi="宋体" w:eastAsia="宋体"/>
          <w:lang w:val="en-US"/>
        </w:rPr>
        <w:t>，</w:t>
      </w:r>
      <w:r>
        <w:rPr>
          <w:rFonts w:ascii="Times New Roman" w:hAnsi="Times New Roman" w:eastAsia="宋体"/>
          <w:lang w:val="en-US"/>
        </w:rPr>
        <w:t>应于</w:t>
      </w:r>
      <w:r>
        <w:rPr>
          <w:rFonts w:ascii="Times New Roman" w:hAnsi="Times New Roman" w:eastAsia="Times New Roman"/>
          <w:lang w:val="en-US"/>
        </w:rPr>
        <w:t>1</w:t>
      </w:r>
      <w:r>
        <w:rPr>
          <w:rFonts w:ascii="Times New Roman" w:hAnsi="Times New Roman" w:eastAsia="宋体"/>
          <w:lang w:val="en-US"/>
        </w:rPr>
        <w:t>个工作日内以书面形式将拖延的事实</w:t>
      </w:r>
      <w:r>
        <w:rPr>
          <w:rFonts w:ascii="宋体" w:hAnsi="宋体" w:eastAsia="宋体"/>
          <w:lang w:val="en-US"/>
        </w:rPr>
        <w:t>，</w:t>
      </w:r>
      <w:r>
        <w:rPr>
          <w:rFonts w:ascii="Times New Roman" w:hAnsi="Times New Roman" w:eastAsia="宋体"/>
          <w:lang w:val="en-US"/>
        </w:rPr>
        <w:t>可能拖延的期限和理由通知甲方。甲方在收到乙方通知后</w:t>
      </w:r>
      <w:r>
        <w:rPr>
          <w:rFonts w:ascii="宋体" w:hAnsi="宋体" w:eastAsia="宋体"/>
          <w:lang w:val="en-US"/>
        </w:rPr>
        <w:t>，</w:t>
      </w:r>
      <w:r>
        <w:rPr>
          <w:rFonts w:ascii="Times New Roman" w:hAnsi="Times New Roman" w:eastAsia="宋体"/>
          <w:lang w:val="en-US"/>
        </w:rPr>
        <w:t>应尽快对情况进行评价</w:t>
      </w:r>
      <w:r>
        <w:rPr>
          <w:rFonts w:ascii="宋体" w:hAnsi="宋体" w:eastAsia="宋体"/>
          <w:lang w:val="en-US"/>
        </w:rPr>
        <w:t>，</w:t>
      </w:r>
      <w:r>
        <w:rPr>
          <w:rFonts w:ascii="Times New Roman" w:hAnsi="Times New Roman" w:eastAsia="宋体"/>
          <w:lang w:val="en-US"/>
        </w:rPr>
        <w:t>并确定是否同意延长交货时间或延期提供服务。</w:t>
      </w:r>
    </w:p>
    <w:p>
      <w:pPr>
        <w:ind w:firstLine="420" w:firstLineChars="200"/>
        <w:rPr>
          <w:rFonts w:ascii="Times New Roman" w:hAnsi="Times New Roman" w:eastAsia="宋体"/>
          <w:lang w:val="en-US"/>
        </w:rPr>
      </w:pPr>
      <w:r>
        <w:rPr>
          <w:rFonts w:ascii="Times New Roman" w:hAnsi="Times New Roman" w:eastAsia="宋体"/>
          <w:lang w:val="en-US"/>
        </w:rPr>
        <w:t>除甲方同意外</w:t>
      </w:r>
      <w:r>
        <w:rPr>
          <w:rFonts w:ascii="宋体" w:hAnsi="宋体" w:eastAsia="宋体"/>
          <w:lang w:val="en-US"/>
        </w:rPr>
        <w:t>，</w:t>
      </w:r>
      <w:r>
        <w:rPr>
          <w:rFonts w:ascii="Times New Roman" w:hAnsi="Times New Roman" w:eastAsia="宋体"/>
          <w:lang w:val="en-US"/>
        </w:rPr>
        <w:t>如果乙方没有按照合同规定的时间交货和提供服务</w:t>
      </w:r>
      <w:r>
        <w:rPr>
          <w:rFonts w:ascii="宋体" w:hAnsi="宋体" w:eastAsia="宋体"/>
          <w:lang w:val="en-US"/>
        </w:rPr>
        <w:t>，</w:t>
      </w:r>
      <w:r>
        <w:rPr>
          <w:rFonts w:ascii="Times New Roman" w:hAnsi="Times New Roman" w:eastAsia="宋体"/>
          <w:lang w:val="en-US"/>
        </w:rPr>
        <w:t>甲方应从货款中扣除误期赔偿费而不影响合同项下的其他补救方法</w:t>
      </w:r>
      <w:r>
        <w:rPr>
          <w:rFonts w:ascii="宋体" w:hAnsi="宋体" w:eastAsia="宋体"/>
          <w:lang w:val="en-US"/>
        </w:rPr>
        <w:t>，</w:t>
      </w:r>
      <w:r>
        <w:rPr>
          <w:rFonts w:ascii="Times New Roman" w:hAnsi="Times New Roman" w:eastAsia="宋体"/>
          <w:lang w:val="en-US"/>
        </w:rPr>
        <w:t>赔偿费按每天赔偿迟交货物的交货价或延期服务的服务费用的</w:t>
      </w:r>
      <w:r>
        <w:rPr>
          <w:rFonts w:ascii="Times New Roman" w:hAnsi="Times New Roman" w:eastAsia="Times New Roman"/>
          <w:lang w:val="en-US"/>
        </w:rPr>
        <w:t>3</w:t>
      </w:r>
      <w:r>
        <w:rPr>
          <w:rFonts w:ascii="Times New Roman" w:hAnsi="Times New Roman" w:eastAsia="宋体"/>
          <w:lang w:val="en-US"/>
        </w:rPr>
        <w:t>‰计收，直至交货或提供服务为止。但误期赔偿费的最高限额不超过合同价的</w:t>
      </w:r>
      <w:r>
        <w:rPr>
          <w:rFonts w:ascii="Times New Roman" w:hAnsi="Times New Roman" w:eastAsia="Times New Roman"/>
          <w:lang w:val="en-US"/>
        </w:rPr>
        <w:t>5</w:t>
      </w:r>
      <w:r>
        <w:rPr>
          <w:rFonts w:ascii="Times New Roman" w:hAnsi="Times New Roman" w:eastAsia="宋体"/>
          <w:lang w:val="en-US"/>
        </w:rPr>
        <w:t>%。一旦达到误期赔偿的最高限额</w:t>
      </w:r>
      <w:r>
        <w:rPr>
          <w:rFonts w:ascii="宋体" w:hAnsi="宋体" w:eastAsia="宋体"/>
          <w:lang w:val="en-US"/>
        </w:rPr>
        <w:t>，</w:t>
      </w:r>
      <w:r>
        <w:rPr>
          <w:rFonts w:ascii="Times New Roman" w:hAnsi="Times New Roman" w:eastAsia="宋体"/>
          <w:lang w:val="en-US"/>
        </w:rPr>
        <w:t>甲方可考虑终止合同</w:t>
      </w:r>
      <w:r>
        <w:rPr>
          <w:rFonts w:ascii="宋体" w:hAnsi="宋体" w:eastAsia="宋体"/>
          <w:lang w:val="en-US"/>
        </w:rPr>
        <w:t>，</w:t>
      </w:r>
      <w:r>
        <w:rPr>
          <w:rFonts w:ascii="Times New Roman" w:hAnsi="Times New Roman" w:eastAsia="宋体"/>
          <w:lang w:val="en-US"/>
        </w:rPr>
        <w:t>乙方应向甲方支付全部货款</w:t>
      </w:r>
      <w:r>
        <w:rPr>
          <w:rFonts w:ascii="Times New Roman" w:hAnsi="Times New Roman" w:eastAsia="Times New Roman"/>
          <w:lang w:val="en-US"/>
        </w:rPr>
        <w:t>5</w:t>
      </w:r>
      <w:r>
        <w:rPr>
          <w:rFonts w:ascii="Times New Roman" w:hAnsi="Times New Roman" w:eastAsia="宋体"/>
          <w:lang w:val="en-US"/>
        </w:rPr>
        <w:t>%的违约金并返还甲方已支付价款。</w:t>
      </w:r>
    </w:p>
    <w:p>
      <w:pPr>
        <w:ind w:firstLine="420" w:firstLineChars="200"/>
        <w:rPr>
          <w:rFonts w:ascii="Times New Roman" w:hAnsi="Times New Roman" w:eastAsia="宋体"/>
          <w:lang w:val="en-US"/>
        </w:rPr>
      </w:pPr>
      <w:r>
        <w:rPr>
          <w:rFonts w:ascii="Times New Roman" w:hAnsi="Times New Roman" w:eastAsia="宋体"/>
          <w:lang w:val="en-US"/>
        </w:rPr>
        <w:t>其他违约责任由甲乙双方协商确认</w:t>
      </w:r>
      <w:r>
        <w:rPr>
          <w:rFonts w:ascii="宋体" w:hAnsi="宋体" w:eastAsia="宋体"/>
          <w:lang w:val="en-US"/>
        </w:rPr>
        <w:t>，</w:t>
      </w:r>
      <w:r>
        <w:rPr>
          <w:rFonts w:ascii="Times New Roman" w:hAnsi="Times New Roman" w:eastAsia="宋体"/>
          <w:lang w:val="en-US"/>
        </w:rPr>
        <w:t>以合同补充文件形式</w:t>
      </w:r>
      <w:r>
        <w:rPr>
          <w:rFonts w:hint="eastAsia" w:ascii="Times New Roman" w:hAnsi="Times New Roman" w:eastAsia="宋体"/>
          <w:lang w:val="en-US"/>
        </w:rPr>
        <w:t>。</w:t>
      </w:r>
    </w:p>
    <w:p>
      <w:pPr>
        <w:pStyle w:val="4"/>
        <w:rPr>
          <w:color w:val="auto"/>
        </w:rPr>
      </w:pPr>
      <w:bookmarkStart w:id="180" w:name="_Toc16531400"/>
      <w:bookmarkStart w:id="181" w:name="_Toc30490669"/>
      <w:bookmarkStart w:id="182" w:name="_Toc25422490"/>
      <w:bookmarkStart w:id="183" w:name="_Toc16531174"/>
      <w:r>
        <w:rPr>
          <w:color w:val="auto"/>
        </w:rPr>
        <w:t>不可抗力</w:t>
      </w:r>
      <w:bookmarkEnd w:id="180"/>
      <w:bookmarkEnd w:id="181"/>
      <w:bookmarkEnd w:id="182"/>
      <w:bookmarkEnd w:id="183"/>
    </w:p>
    <w:p>
      <w:pPr>
        <w:ind w:firstLine="420" w:firstLineChars="200"/>
        <w:rPr>
          <w:rFonts w:ascii="Times New Roman" w:hAnsi="Times New Roman" w:eastAsia="宋体"/>
          <w:lang w:val="en-US"/>
        </w:rPr>
      </w:pPr>
      <w:r>
        <w:rPr>
          <w:rFonts w:ascii="Times New Roman" w:hAnsi="Times New Roman" w:eastAsia="宋体"/>
          <w:lang w:val="en-US"/>
        </w:rPr>
        <w:t>如果合同各方因不可抗力而导致合同实施延误或不能履行合同义务的话</w:t>
      </w:r>
      <w:r>
        <w:rPr>
          <w:rFonts w:ascii="宋体" w:hAnsi="宋体" w:eastAsia="宋体"/>
          <w:lang w:val="en-US"/>
        </w:rPr>
        <w:t>，</w:t>
      </w:r>
      <w:r>
        <w:rPr>
          <w:rFonts w:ascii="Times New Roman" w:hAnsi="Times New Roman" w:eastAsia="宋体"/>
          <w:lang w:val="en-US"/>
        </w:rPr>
        <w:t>不应该承担误期赔偿或不能履行合同义务的责任。</w:t>
      </w:r>
    </w:p>
    <w:p>
      <w:pPr>
        <w:ind w:firstLine="420" w:firstLineChars="200"/>
        <w:rPr>
          <w:rFonts w:ascii="Times New Roman" w:hAnsi="Times New Roman" w:eastAsia="宋体"/>
          <w:lang w:val="en-US"/>
        </w:rPr>
      </w:pPr>
      <w:r>
        <w:rPr>
          <w:rFonts w:ascii="Times New Roman" w:hAnsi="Times New Roman" w:eastAsia="宋体"/>
          <w:lang w:val="en-US"/>
        </w:rPr>
        <w:t>本条所述的“不可抗力”系指那些双方不可预见、不可避免、不可克服的事件</w:t>
      </w:r>
      <w:r>
        <w:rPr>
          <w:rFonts w:ascii="宋体" w:hAnsi="宋体" w:eastAsia="宋体"/>
          <w:lang w:val="en-US"/>
        </w:rPr>
        <w:t>，</w:t>
      </w:r>
      <w:r>
        <w:rPr>
          <w:rFonts w:ascii="Times New Roman" w:hAnsi="Times New Roman" w:eastAsia="宋体"/>
          <w:lang w:val="en-US"/>
        </w:rPr>
        <w:t>但不包括双方的违约或疏忽。这些事件包括但不限于：战争、严重火灾、洪水、台风、地震、国家政策的重大变化</w:t>
      </w:r>
      <w:r>
        <w:rPr>
          <w:rFonts w:ascii="宋体" w:hAnsi="宋体" w:eastAsia="宋体"/>
          <w:lang w:val="en-US"/>
        </w:rPr>
        <w:t>，</w:t>
      </w:r>
      <w:r>
        <w:rPr>
          <w:rFonts w:ascii="Times New Roman" w:hAnsi="Times New Roman" w:eastAsia="宋体"/>
          <w:lang w:val="en-US"/>
        </w:rPr>
        <w:t>以及其它双方商定的其他事件。</w:t>
      </w:r>
    </w:p>
    <w:p>
      <w:pPr>
        <w:ind w:firstLine="420" w:firstLineChars="200"/>
        <w:rPr>
          <w:rFonts w:ascii="Times New Roman" w:hAnsi="Times New Roman" w:eastAsia="宋体"/>
          <w:lang w:val="en-US"/>
        </w:rPr>
      </w:pPr>
      <w:r>
        <w:rPr>
          <w:rFonts w:ascii="Times New Roman" w:hAnsi="Times New Roman" w:eastAsia="宋体"/>
          <w:lang w:val="en-US"/>
        </w:rPr>
        <w:t>在不可抗力事件发生后</w:t>
      </w:r>
      <w:r>
        <w:rPr>
          <w:rFonts w:ascii="宋体" w:hAnsi="宋体" w:eastAsia="宋体"/>
          <w:lang w:val="en-US"/>
        </w:rPr>
        <w:t>，</w:t>
      </w:r>
      <w:r>
        <w:rPr>
          <w:rFonts w:ascii="Times New Roman" w:hAnsi="Times New Roman" w:eastAsia="宋体"/>
          <w:lang w:val="en-US"/>
        </w:rPr>
        <w:t>当事方应尽快以书面形式将不可抗力的情况和原因通知对方。合同各方应尽实际可能继续履行合同义务</w:t>
      </w:r>
      <w:r>
        <w:rPr>
          <w:rFonts w:ascii="宋体" w:hAnsi="宋体" w:eastAsia="宋体"/>
          <w:lang w:val="en-US"/>
        </w:rPr>
        <w:t>，</w:t>
      </w:r>
      <w:r>
        <w:rPr>
          <w:rFonts w:ascii="Times New Roman" w:hAnsi="Times New Roman" w:eastAsia="宋体"/>
          <w:lang w:val="en-US"/>
        </w:rPr>
        <w:t>并积极寻求采取合理的方案履行不受不可抗力影响的其他事项。合同各方应通过友好协商在合理的时间内达成进一步履行合同的协议。</w:t>
      </w:r>
    </w:p>
    <w:p>
      <w:pPr>
        <w:pStyle w:val="4"/>
        <w:rPr>
          <w:color w:val="auto"/>
        </w:rPr>
      </w:pPr>
      <w:bookmarkStart w:id="184" w:name="_Toc16531401"/>
      <w:bookmarkStart w:id="185" w:name="_Toc25422491"/>
      <w:bookmarkStart w:id="186" w:name="_Toc30490670"/>
      <w:bookmarkStart w:id="187" w:name="_Toc16531175"/>
      <w:r>
        <w:rPr>
          <w:color w:val="auto"/>
        </w:rPr>
        <w:t>争端的解决</w:t>
      </w:r>
      <w:bookmarkEnd w:id="184"/>
      <w:bookmarkEnd w:id="185"/>
      <w:bookmarkEnd w:id="186"/>
      <w:bookmarkEnd w:id="187"/>
    </w:p>
    <w:p>
      <w:pPr>
        <w:ind w:firstLine="420" w:firstLineChars="200"/>
        <w:rPr>
          <w:rFonts w:ascii="Times New Roman" w:hAnsi="Times New Roman" w:eastAsia="宋体"/>
          <w:lang w:val="en-US"/>
        </w:rPr>
      </w:pPr>
      <w:r>
        <w:rPr>
          <w:rFonts w:ascii="Times New Roman" w:hAnsi="Times New Roman" w:eastAsia="宋体"/>
          <w:lang w:val="en-US"/>
        </w:rPr>
        <w:t>因货物质量问题发生争议的</w:t>
      </w:r>
      <w:r>
        <w:rPr>
          <w:rFonts w:ascii="宋体" w:hAnsi="宋体" w:eastAsia="宋体"/>
          <w:lang w:val="en-US"/>
        </w:rPr>
        <w:t>，</w:t>
      </w:r>
      <w:r>
        <w:rPr>
          <w:rFonts w:ascii="Times New Roman" w:hAnsi="Times New Roman" w:eastAsia="宋体"/>
          <w:lang w:val="en-US"/>
        </w:rPr>
        <w:t>应邀请国家认可的质量检测机构对货物质量进行鉴定。货物符合标准的</w:t>
      </w:r>
      <w:r>
        <w:rPr>
          <w:rFonts w:ascii="宋体" w:hAnsi="宋体" w:eastAsia="宋体"/>
          <w:lang w:val="en-US"/>
        </w:rPr>
        <w:t>，</w:t>
      </w:r>
      <w:r>
        <w:rPr>
          <w:rFonts w:ascii="Times New Roman" w:hAnsi="Times New Roman" w:eastAsia="宋体"/>
          <w:lang w:val="en-US"/>
        </w:rPr>
        <w:t>鉴定费由甲方承担；货物不符合标准的</w:t>
      </w:r>
      <w:r>
        <w:rPr>
          <w:rFonts w:ascii="宋体" w:hAnsi="宋体" w:eastAsia="宋体"/>
          <w:lang w:val="en-US"/>
        </w:rPr>
        <w:t>，</w:t>
      </w:r>
      <w:r>
        <w:rPr>
          <w:rFonts w:ascii="Times New Roman" w:hAnsi="Times New Roman" w:eastAsia="宋体"/>
          <w:lang w:val="en-US"/>
        </w:rPr>
        <w:t>鉴定费由乙方承担。</w:t>
      </w:r>
    </w:p>
    <w:p>
      <w:pPr>
        <w:ind w:firstLine="420" w:firstLineChars="200"/>
        <w:rPr>
          <w:rFonts w:ascii="Times New Roman" w:hAnsi="Times New Roman" w:eastAsia="宋体"/>
          <w:lang w:val="en-US"/>
        </w:rPr>
      </w:pPr>
      <w:r>
        <w:rPr>
          <w:rFonts w:ascii="Times New Roman" w:hAnsi="Times New Roman" w:eastAsia="宋体"/>
          <w:lang w:val="en-US"/>
        </w:rPr>
        <w:t>因履行本合同引起的或与本合同有关的争议</w:t>
      </w:r>
      <w:r>
        <w:rPr>
          <w:rFonts w:ascii="宋体" w:hAnsi="宋体" w:eastAsia="宋体"/>
          <w:lang w:val="en-US"/>
        </w:rPr>
        <w:t>，</w:t>
      </w:r>
      <w:r>
        <w:rPr>
          <w:rFonts w:ascii="Times New Roman" w:hAnsi="Times New Roman" w:eastAsia="宋体"/>
          <w:lang w:val="en-US"/>
        </w:rPr>
        <w:t>甲乙双方应首先通过友好协商解决</w:t>
      </w:r>
      <w:r>
        <w:rPr>
          <w:rFonts w:ascii="宋体" w:hAnsi="宋体" w:eastAsia="宋体"/>
          <w:lang w:val="en-US"/>
        </w:rPr>
        <w:t>，</w:t>
      </w:r>
      <w:r>
        <w:rPr>
          <w:rFonts w:ascii="Times New Roman" w:hAnsi="Times New Roman" w:eastAsia="宋体"/>
          <w:lang w:val="en-US"/>
        </w:rPr>
        <w:t>如果协商不能解决</w:t>
      </w:r>
      <w:r>
        <w:rPr>
          <w:rFonts w:ascii="宋体" w:hAnsi="宋体" w:eastAsia="宋体"/>
          <w:lang w:val="en-US"/>
        </w:rPr>
        <w:t>，</w:t>
      </w:r>
      <w:r>
        <w:rPr>
          <w:rFonts w:ascii="Times New Roman" w:hAnsi="Times New Roman" w:eastAsia="宋体"/>
          <w:lang w:val="en-US"/>
        </w:rPr>
        <w:t>向</w:t>
      </w:r>
      <w:r>
        <w:rPr>
          <w:rFonts w:hint="eastAsia" w:ascii="Times New Roman" w:hAnsi="Times New Roman" w:eastAsia="宋体"/>
          <w:lang w:val="en-US"/>
        </w:rPr>
        <w:t>甲方所在地有管辖权的人民法院提起诉讼</w:t>
      </w:r>
      <w:r>
        <w:rPr>
          <w:rFonts w:ascii="Times New Roman" w:hAnsi="Times New Roman" w:eastAsia="宋体"/>
          <w:lang w:val="en-US"/>
        </w:rPr>
        <w:t>。</w:t>
      </w:r>
    </w:p>
    <w:p>
      <w:pPr>
        <w:ind w:firstLine="420" w:firstLineChars="200"/>
        <w:rPr>
          <w:rFonts w:ascii="Times New Roman" w:hAnsi="Times New Roman" w:eastAsia="宋体"/>
          <w:lang w:val="en-US"/>
        </w:rPr>
      </w:pPr>
      <w:r>
        <w:rPr>
          <w:rFonts w:ascii="Times New Roman" w:hAnsi="Times New Roman" w:eastAsia="宋体"/>
          <w:lang w:val="en-US"/>
        </w:rPr>
        <w:t>在诉讼期间</w:t>
      </w:r>
      <w:r>
        <w:rPr>
          <w:rFonts w:ascii="宋体" w:hAnsi="宋体" w:eastAsia="宋体"/>
          <w:lang w:val="en-US"/>
        </w:rPr>
        <w:t>，</w:t>
      </w:r>
      <w:r>
        <w:rPr>
          <w:rFonts w:ascii="Times New Roman" w:hAnsi="Times New Roman" w:eastAsia="宋体"/>
          <w:lang w:val="en-US"/>
        </w:rPr>
        <w:t>除正在进行诉讼的部分外</w:t>
      </w:r>
      <w:r>
        <w:rPr>
          <w:rFonts w:ascii="宋体" w:hAnsi="宋体" w:eastAsia="宋体"/>
          <w:lang w:val="en-US"/>
        </w:rPr>
        <w:t>，</w:t>
      </w:r>
      <w:r>
        <w:rPr>
          <w:rFonts w:ascii="Times New Roman" w:hAnsi="Times New Roman" w:eastAsia="宋体"/>
          <w:lang w:val="en-US"/>
        </w:rPr>
        <w:t>本合同的其它部分应继续执行。</w:t>
      </w:r>
    </w:p>
    <w:p>
      <w:pPr>
        <w:pStyle w:val="4"/>
        <w:rPr>
          <w:color w:val="auto"/>
        </w:rPr>
      </w:pPr>
      <w:bookmarkStart w:id="188" w:name="_Toc25422492"/>
      <w:bookmarkStart w:id="189" w:name="_Toc16531402"/>
      <w:bookmarkStart w:id="190" w:name="_Toc16531176"/>
      <w:bookmarkStart w:id="191" w:name="_Toc30490671"/>
      <w:r>
        <w:rPr>
          <w:color w:val="auto"/>
        </w:rPr>
        <w:t>违约终止合同</w:t>
      </w:r>
      <w:bookmarkEnd w:id="188"/>
      <w:bookmarkEnd w:id="189"/>
      <w:bookmarkEnd w:id="190"/>
      <w:bookmarkEnd w:id="191"/>
    </w:p>
    <w:p>
      <w:pPr>
        <w:ind w:firstLine="420" w:firstLineChars="200"/>
        <w:rPr>
          <w:rFonts w:ascii="Times New Roman" w:hAnsi="Times New Roman" w:eastAsia="宋体"/>
          <w:lang w:val="en-US"/>
        </w:rPr>
      </w:pPr>
      <w:r>
        <w:rPr>
          <w:rFonts w:ascii="Times New Roman" w:hAnsi="Times New Roman" w:eastAsia="宋体"/>
          <w:lang w:val="en-US"/>
        </w:rPr>
        <w:t>在甲方对乙方违约而采取的任何补救措施不受影响的情况下</w:t>
      </w:r>
      <w:r>
        <w:rPr>
          <w:rFonts w:ascii="宋体" w:hAnsi="宋体" w:eastAsia="宋体"/>
          <w:lang w:val="en-US"/>
        </w:rPr>
        <w:t>，</w:t>
      </w:r>
      <w:r>
        <w:rPr>
          <w:rFonts w:ascii="Times New Roman" w:hAnsi="Times New Roman" w:eastAsia="宋体"/>
          <w:lang w:val="en-US"/>
        </w:rPr>
        <w:t>甲方可在下列情况下向乙方发出书面通知书</w:t>
      </w:r>
      <w:r>
        <w:rPr>
          <w:rFonts w:ascii="宋体" w:hAnsi="宋体" w:eastAsia="宋体"/>
          <w:lang w:val="en-US"/>
        </w:rPr>
        <w:t>，</w:t>
      </w:r>
      <w:r>
        <w:rPr>
          <w:rFonts w:ascii="Times New Roman" w:hAnsi="Times New Roman" w:eastAsia="宋体"/>
          <w:lang w:val="en-US"/>
        </w:rPr>
        <w:t>提出终止部分或全部合同。</w:t>
      </w:r>
    </w:p>
    <w:p>
      <w:pPr>
        <w:ind w:firstLine="420" w:firstLineChars="200"/>
        <w:rPr>
          <w:rFonts w:ascii="Times New Roman" w:hAnsi="Times New Roman" w:eastAsia="宋体"/>
          <w:lang w:val="en-US"/>
        </w:rPr>
      </w:pPr>
      <w:r>
        <w:rPr>
          <w:rFonts w:ascii="Times New Roman" w:hAnsi="Times New Roman" w:eastAsia="宋体"/>
          <w:lang w:val="en-US"/>
        </w:rPr>
        <w:t>如果乙方未能在合同规定的限期或甲方同意延长的限期内提供部分或全部货物。</w:t>
      </w:r>
    </w:p>
    <w:p>
      <w:pPr>
        <w:ind w:firstLine="420" w:firstLineChars="200"/>
        <w:rPr>
          <w:rFonts w:ascii="Times New Roman" w:hAnsi="Times New Roman" w:eastAsia="宋体"/>
          <w:lang w:val="en-US"/>
        </w:rPr>
      </w:pPr>
      <w:r>
        <w:rPr>
          <w:rFonts w:ascii="Times New Roman" w:hAnsi="Times New Roman" w:eastAsia="宋体"/>
          <w:lang w:val="en-US"/>
        </w:rPr>
        <w:t>如果乙方未能履行合同规定的其它任何义务。</w:t>
      </w:r>
    </w:p>
    <w:p>
      <w:pPr>
        <w:ind w:firstLine="420" w:firstLineChars="200"/>
        <w:rPr>
          <w:rFonts w:ascii="Times New Roman" w:hAnsi="Times New Roman" w:eastAsia="宋体"/>
          <w:lang w:val="en-US"/>
        </w:rPr>
      </w:pPr>
      <w:r>
        <w:rPr>
          <w:rFonts w:ascii="Times New Roman" w:hAnsi="Times New Roman" w:eastAsia="宋体"/>
          <w:lang w:val="en-US"/>
        </w:rPr>
        <w:t>如果甲方根据上述的规定</w:t>
      </w:r>
      <w:r>
        <w:rPr>
          <w:rFonts w:ascii="宋体" w:hAnsi="宋体" w:eastAsia="宋体"/>
          <w:lang w:val="en-US"/>
        </w:rPr>
        <w:t>，</w:t>
      </w:r>
      <w:r>
        <w:rPr>
          <w:rFonts w:ascii="Times New Roman" w:hAnsi="Times New Roman" w:eastAsia="宋体"/>
          <w:lang w:val="en-US"/>
        </w:rPr>
        <w:t>终止了全部或部分合同</w:t>
      </w:r>
      <w:r>
        <w:rPr>
          <w:rFonts w:ascii="宋体" w:hAnsi="宋体" w:eastAsia="宋体"/>
          <w:lang w:val="en-US"/>
        </w:rPr>
        <w:t>，</w:t>
      </w:r>
      <w:r>
        <w:rPr>
          <w:rFonts w:ascii="Times New Roman" w:hAnsi="Times New Roman" w:eastAsia="宋体"/>
          <w:lang w:val="en-US"/>
        </w:rPr>
        <w:t>甲方可以依其认为适当的条件和方法购买与未交货物类似的货物</w:t>
      </w:r>
      <w:r>
        <w:rPr>
          <w:rFonts w:ascii="宋体" w:hAnsi="宋体" w:eastAsia="宋体"/>
          <w:lang w:val="en-US"/>
        </w:rPr>
        <w:t>，</w:t>
      </w:r>
      <w:r>
        <w:rPr>
          <w:rFonts w:ascii="Times New Roman" w:hAnsi="Times New Roman" w:eastAsia="宋体"/>
          <w:lang w:val="en-US"/>
        </w:rPr>
        <w:t>乙方应对购买类似货物所超出的那部分费用负责。但是</w:t>
      </w:r>
      <w:r>
        <w:rPr>
          <w:rFonts w:ascii="宋体" w:hAnsi="宋体" w:eastAsia="宋体"/>
          <w:lang w:val="en-US"/>
        </w:rPr>
        <w:t>，</w:t>
      </w:r>
      <w:r>
        <w:rPr>
          <w:rFonts w:ascii="Times New Roman" w:hAnsi="Times New Roman" w:eastAsia="宋体"/>
          <w:lang w:val="en-US"/>
        </w:rPr>
        <w:t>乙方应继续执行合同中未终止的部分。</w:t>
      </w:r>
    </w:p>
    <w:p>
      <w:pPr>
        <w:ind w:firstLine="420" w:firstLineChars="200"/>
        <w:rPr>
          <w:rFonts w:ascii="Times New Roman" w:hAnsi="Times New Roman" w:eastAsia="宋体"/>
          <w:lang w:val="en-US"/>
        </w:rPr>
      </w:pPr>
      <w:r>
        <w:rPr>
          <w:rFonts w:ascii="Times New Roman" w:hAnsi="Times New Roman" w:eastAsia="宋体"/>
          <w:lang w:val="en-US"/>
        </w:rPr>
        <w:t>如果乙方在履行合同过程中有不正当竞争行为</w:t>
      </w:r>
      <w:r>
        <w:rPr>
          <w:rFonts w:ascii="宋体" w:hAnsi="宋体" w:eastAsia="宋体"/>
          <w:lang w:val="en-US"/>
        </w:rPr>
        <w:t>，</w:t>
      </w:r>
      <w:r>
        <w:rPr>
          <w:rFonts w:ascii="Times New Roman" w:hAnsi="Times New Roman" w:eastAsia="宋体"/>
          <w:lang w:val="en-US"/>
        </w:rPr>
        <w:t>甲方有权解除合同</w:t>
      </w:r>
      <w:r>
        <w:rPr>
          <w:rFonts w:ascii="宋体" w:hAnsi="宋体" w:eastAsia="宋体"/>
          <w:lang w:val="en-US"/>
        </w:rPr>
        <w:t>，</w:t>
      </w:r>
      <w:r>
        <w:rPr>
          <w:rFonts w:ascii="Times New Roman" w:hAnsi="Times New Roman" w:eastAsia="宋体"/>
          <w:lang w:val="en-US"/>
        </w:rPr>
        <w:t>并按《中华人民共和国反不正当</w:t>
      </w:r>
      <w:r>
        <w:rPr>
          <w:rFonts w:hint="eastAsia" w:ascii="Times New Roman" w:hAnsi="Times New Roman" w:eastAsia="宋体"/>
          <w:lang w:val="en-US"/>
        </w:rPr>
        <w:t>竞争</w:t>
      </w:r>
      <w:r>
        <w:rPr>
          <w:rFonts w:ascii="Times New Roman" w:hAnsi="Times New Roman" w:eastAsia="宋体"/>
          <w:lang w:val="en-US"/>
        </w:rPr>
        <w:t>法》之规定由有关部门追究其法律责任。</w:t>
      </w:r>
    </w:p>
    <w:p>
      <w:pPr>
        <w:pStyle w:val="4"/>
        <w:rPr>
          <w:color w:val="auto"/>
        </w:rPr>
      </w:pPr>
      <w:bookmarkStart w:id="192" w:name="_Toc16531403"/>
      <w:bookmarkStart w:id="193" w:name="_Toc16531177"/>
      <w:bookmarkStart w:id="194" w:name="_Toc25422493"/>
      <w:bookmarkStart w:id="195" w:name="_Toc30490672"/>
      <w:r>
        <w:rPr>
          <w:color w:val="auto"/>
        </w:rPr>
        <w:t>破产终止合同</w:t>
      </w:r>
      <w:bookmarkEnd w:id="192"/>
      <w:bookmarkEnd w:id="193"/>
      <w:bookmarkEnd w:id="194"/>
      <w:bookmarkEnd w:id="195"/>
    </w:p>
    <w:p>
      <w:pPr>
        <w:ind w:firstLine="420" w:firstLineChars="200"/>
        <w:rPr>
          <w:rFonts w:ascii="Times New Roman" w:hAnsi="Times New Roman" w:eastAsia="宋体"/>
          <w:lang w:val="en-US"/>
        </w:rPr>
      </w:pPr>
      <w:r>
        <w:rPr>
          <w:rFonts w:ascii="Times New Roman" w:hAnsi="Times New Roman" w:eastAsia="宋体"/>
          <w:lang w:val="en-US"/>
        </w:rPr>
        <w:t>如果乙方破产或丧失清偿能力</w:t>
      </w:r>
      <w:r>
        <w:rPr>
          <w:rFonts w:ascii="宋体" w:hAnsi="宋体" w:eastAsia="宋体"/>
          <w:lang w:val="en-US"/>
        </w:rPr>
        <w:t>，</w:t>
      </w:r>
      <w:r>
        <w:rPr>
          <w:rFonts w:ascii="Times New Roman" w:hAnsi="Times New Roman" w:eastAsia="宋体"/>
          <w:lang w:val="en-US"/>
        </w:rPr>
        <w:t>甲方可在任何时候以书面形式通知乙方终止合同而不给乙方补偿。该终止合同将不损害或影响甲方已经采取或将要采取任何行动或补救措施的权利。</w:t>
      </w:r>
    </w:p>
    <w:p>
      <w:pPr>
        <w:pStyle w:val="4"/>
        <w:rPr>
          <w:color w:val="auto"/>
        </w:rPr>
      </w:pPr>
      <w:bookmarkStart w:id="196" w:name="_Toc16531178"/>
      <w:bookmarkStart w:id="197" w:name="_Toc25422494"/>
      <w:bookmarkStart w:id="198" w:name="_Toc30490673"/>
      <w:bookmarkStart w:id="199" w:name="_Toc16531404"/>
      <w:r>
        <w:rPr>
          <w:color w:val="auto"/>
        </w:rPr>
        <w:t>合同生效</w:t>
      </w:r>
      <w:bookmarkEnd w:id="196"/>
      <w:bookmarkEnd w:id="197"/>
      <w:bookmarkEnd w:id="198"/>
      <w:bookmarkEnd w:id="199"/>
    </w:p>
    <w:p>
      <w:pPr>
        <w:ind w:firstLine="420" w:firstLineChars="200"/>
        <w:rPr>
          <w:rFonts w:ascii="Times New Roman" w:hAnsi="Times New Roman" w:eastAsia="宋体"/>
          <w:lang w:val="en-US"/>
        </w:rPr>
      </w:pPr>
      <w:r>
        <w:rPr>
          <w:rFonts w:ascii="Times New Roman" w:hAnsi="Times New Roman" w:eastAsia="宋体"/>
          <w:lang w:val="en-US"/>
        </w:rPr>
        <w:t>本合同在合同各方签字盖章后生效。</w:t>
      </w:r>
    </w:p>
    <w:p>
      <w:pPr>
        <w:pStyle w:val="4"/>
        <w:rPr>
          <w:color w:val="auto"/>
        </w:rPr>
      </w:pPr>
      <w:bookmarkStart w:id="200" w:name="_Toc25422495"/>
      <w:bookmarkStart w:id="201" w:name="_Toc16531405"/>
      <w:bookmarkStart w:id="202" w:name="_Toc16531179"/>
      <w:bookmarkStart w:id="203" w:name="_Toc30490674"/>
      <w:r>
        <w:rPr>
          <w:color w:val="auto"/>
        </w:rPr>
        <w:t>合同附件</w:t>
      </w:r>
      <w:bookmarkEnd w:id="200"/>
      <w:bookmarkEnd w:id="201"/>
      <w:bookmarkEnd w:id="202"/>
      <w:bookmarkEnd w:id="203"/>
    </w:p>
    <w:p>
      <w:pPr>
        <w:ind w:firstLine="420" w:firstLineChars="200"/>
        <w:rPr>
          <w:rFonts w:ascii="Times New Roman" w:hAnsi="Times New Roman" w:eastAsia="宋体"/>
          <w:lang w:val="en-US"/>
        </w:rPr>
      </w:pPr>
      <w:r>
        <w:rPr>
          <w:rFonts w:ascii="Times New Roman" w:hAnsi="Times New Roman" w:eastAsia="宋体"/>
          <w:lang w:val="en-US"/>
        </w:rPr>
        <w:t>合同未尽事宜</w:t>
      </w:r>
      <w:r>
        <w:rPr>
          <w:rFonts w:ascii="宋体" w:hAnsi="宋体" w:eastAsia="宋体"/>
          <w:lang w:val="en-US"/>
        </w:rPr>
        <w:t>，</w:t>
      </w:r>
      <w:r>
        <w:rPr>
          <w:rFonts w:ascii="Times New Roman" w:hAnsi="Times New Roman" w:eastAsia="宋体"/>
          <w:lang w:val="en-US"/>
        </w:rPr>
        <w:t>由双方签订书面补充合同</w:t>
      </w:r>
      <w:r>
        <w:rPr>
          <w:rFonts w:ascii="宋体" w:hAnsi="宋体" w:eastAsia="宋体"/>
          <w:lang w:val="en-US"/>
        </w:rPr>
        <w:t>，</w:t>
      </w:r>
      <w:r>
        <w:rPr>
          <w:rFonts w:ascii="Times New Roman" w:hAnsi="Times New Roman" w:eastAsia="宋体"/>
          <w:lang w:val="en-US"/>
        </w:rPr>
        <w:t>补充合同与本合同不一致或相冲突的</w:t>
      </w:r>
      <w:r>
        <w:rPr>
          <w:rFonts w:ascii="宋体" w:hAnsi="宋体" w:eastAsia="宋体"/>
          <w:lang w:val="en-US"/>
        </w:rPr>
        <w:t>，</w:t>
      </w:r>
      <w:r>
        <w:rPr>
          <w:rFonts w:ascii="Times New Roman" w:hAnsi="Times New Roman" w:eastAsia="宋体"/>
          <w:lang w:val="en-US"/>
        </w:rPr>
        <w:t>以补充合同为准。</w:t>
      </w:r>
    </w:p>
    <w:p>
      <w:pPr>
        <w:ind w:firstLine="420" w:firstLineChars="200"/>
        <w:rPr>
          <w:rFonts w:ascii="Times New Roman" w:hAnsi="Times New Roman" w:eastAsia="宋体"/>
          <w:lang w:val="en-US"/>
        </w:rPr>
      </w:pPr>
      <w:r>
        <w:rPr>
          <w:rFonts w:ascii="Times New Roman" w:hAnsi="Times New Roman" w:eastAsia="宋体"/>
          <w:lang w:val="en-US"/>
        </w:rPr>
        <w:t>本合同附件作为合同有效组成部分</w:t>
      </w:r>
      <w:r>
        <w:rPr>
          <w:rFonts w:ascii="宋体" w:hAnsi="宋体" w:eastAsia="宋体"/>
          <w:lang w:val="en-US"/>
        </w:rPr>
        <w:t>，</w:t>
      </w:r>
      <w:r>
        <w:rPr>
          <w:rFonts w:ascii="Times New Roman" w:hAnsi="Times New Roman" w:eastAsia="宋体"/>
          <w:lang w:val="en-US"/>
        </w:rPr>
        <w:t>与本合同具有同等法律效力。</w:t>
      </w:r>
    </w:p>
    <w:p>
      <w:pPr>
        <w:ind w:firstLine="420" w:firstLineChars="200"/>
        <w:rPr>
          <w:rFonts w:ascii="Times New Roman" w:hAnsi="Times New Roman" w:eastAsia="宋体"/>
          <w:lang w:val="en-US"/>
        </w:rPr>
      </w:pPr>
      <w:r>
        <w:rPr>
          <w:rFonts w:ascii="Times New Roman" w:hAnsi="Times New Roman" w:eastAsia="宋体"/>
          <w:lang w:val="en-US"/>
        </w:rPr>
        <w:t>本合同一式</w:t>
      </w:r>
      <w:r>
        <w:rPr>
          <w:rFonts w:ascii="Times New Roman" w:hAnsi="Times New Roman" w:eastAsia="宋体"/>
          <w:u w:val="single"/>
          <w:lang w:val="en-US"/>
        </w:rPr>
        <w:t xml:space="preserve">   </w:t>
      </w:r>
      <w:r>
        <w:rPr>
          <w:rFonts w:ascii="Times New Roman" w:hAnsi="Times New Roman" w:eastAsia="宋体"/>
          <w:lang w:val="en-US"/>
        </w:rPr>
        <w:t>份</w:t>
      </w:r>
      <w:r>
        <w:rPr>
          <w:rFonts w:ascii="宋体" w:hAnsi="宋体" w:eastAsia="宋体"/>
          <w:lang w:val="en-US"/>
        </w:rPr>
        <w:t>，</w:t>
      </w:r>
      <w:r>
        <w:rPr>
          <w:rFonts w:ascii="Times New Roman" w:hAnsi="Times New Roman" w:eastAsia="宋体"/>
          <w:lang w:val="en-US"/>
        </w:rPr>
        <w:t>甲方</w:t>
      </w:r>
      <w:r>
        <w:rPr>
          <w:rFonts w:ascii="Times New Roman" w:hAnsi="Times New Roman" w:eastAsia="宋体"/>
          <w:u w:val="single"/>
          <w:lang w:val="en-US"/>
        </w:rPr>
        <w:t xml:space="preserve">   </w:t>
      </w:r>
      <w:r>
        <w:rPr>
          <w:rFonts w:ascii="Times New Roman" w:hAnsi="Times New Roman" w:eastAsia="宋体"/>
          <w:lang w:val="en-US"/>
        </w:rPr>
        <w:t>份</w:t>
      </w:r>
      <w:r>
        <w:rPr>
          <w:rFonts w:ascii="宋体" w:hAnsi="宋体" w:eastAsia="宋体"/>
          <w:lang w:val="en-US"/>
        </w:rPr>
        <w:t>，</w:t>
      </w:r>
      <w:r>
        <w:rPr>
          <w:rFonts w:ascii="Times New Roman" w:hAnsi="Times New Roman" w:eastAsia="宋体"/>
          <w:lang w:val="en-US"/>
        </w:rPr>
        <w:t>乙方</w:t>
      </w:r>
      <w:r>
        <w:rPr>
          <w:rFonts w:ascii="Times New Roman" w:hAnsi="Times New Roman" w:eastAsia="宋体"/>
          <w:u w:val="single"/>
          <w:lang w:val="en-US"/>
        </w:rPr>
        <w:t xml:space="preserve">   </w:t>
      </w:r>
      <w:r>
        <w:rPr>
          <w:rFonts w:ascii="Times New Roman" w:hAnsi="Times New Roman" w:eastAsia="宋体"/>
          <w:lang w:val="en-US"/>
        </w:rPr>
        <w:t>份。本合同经双方共同签署后生效。</w:t>
      </w:r>
    </w:p>
    <w:p>
      <w:pPr>
        <w:pStyle w:val="4"/>
        <w:rPr>
          <w:color w:val="auto"/>
        </w:rPr>
      </w:pPr>
      <w:bookmarkStart w:id="204" w:name="_Toc30490675"/>
      <w:bookmarkStart w:id="205" w:name="_Toc25422496"/>
      <w:bookmarkStart w:id="206" w:name="_Toc16531180"/>
      <w:bookmarkStart w:id="207" w:name="_Toc16531406"/>
      <w:r>
        <w:rPr>
          <w:color w:val="auto"/>
        </w:rPr>
        <w:t>合同修改</w:t>
      </w:r>
      <w:bookmarkEnd w:id="204"/>
      <w:bookmarkEnd w:id="205"/>
      <w:bookmarkEnd w:id="206"/>
      <w:bookmarkEnd w:id="207"/>
    </w:p>
    <w:p>
      <w:pPr>
        <w:ind w:firstLine="420" w:firstLineChars="200"/>
        <w:rPr>
          <w:rFonts w:ascii="Times New Roman" w:hAnsi="Times New Roman" w:eastAsia="宋体"/>
          <w:lang w:val="en-US"/>
        </w:rPr>
      </w:pPr>
      <w:r>
        <w:rPr>
          <w:rFonts w:ascii="Times New Roman" w:hAnsi="Times New Roman" w:eastAsia="宋体"/>
          <w:lang w:val="en-US"/>
        </w:rPr>
        <w:t>除了双方签署书面修改协议</w:t>
      </w:r>
      <w:r>
        <w:rPr>
          <w:rFonts w:ascii="宋体" w:hAnsi="宋体" w:eastAsia="宋体"/>
          <w:lang w:val="en-US"/>
        </w:rPr>
        <w:t>，</w:t>
      </w:r>
      <w:r>
        <w:rPr>
          <w:rFonts w:ascii="Times New Roman" w:hAnsi="Times New Roman" w:eastAsia="宋体"/>
          <w:lang w:val="en-US"/>
        </w:rPr>
        <w:t>并成为本合同不可分割的一部分之外</w:t>
      </w:r>
      <w:r>
        <w:rPr>
          <w:rFonts w:ascii="宋体" w:hAnsi="宋体" w:eastAsia="宋体"/>
          <w:lang w:val="en-US"/>
        </w:rPr>
        <w:t>，</w:t>
      </w:r>
      <w:r>
        <w:rPr>
          <w:rFonts w:ascii="Times New Roman" w:hAnsi="Times New Roman" w:eastAsia="宋体"/>
          <w:lang w:val="en-US"/>
        </w:rPr>
        <w:t>本合同条件不得有任何变化或修改。</w:t>
      </w:r>
    </w:p>
    <w:p>
      <w:pPr>
        <w:pStyle w:val="3"/>
        <w:spacing w:before="120"/>
        <w:rPr>
          <w:color w:val="auto"/>
        </w:rPr>
      </w:pPr>
      <w:bookmarkStart w:id="208" w:name="_Toc26598"/>
      <w:bookmarkStart w:id="209" w:name="_Toc32361"/>
      <w:bookmarkStart w:id="210" w:name="_Toc25422497"/>
      <w:bookmarkStart w:id="211" w:name="_Toc16531407"/>
      <w:bookmarkStart w:id="212" w:name="_Toc16531181"/>
      <w:bookmarkStart w:id="213" w:name="_Toc30490676"/>
      <w:bookmarkStart w:id="214" w:name="_Toc20534"/>
      <w:r>
        <w:rPr>
          <w:color w:val="auto"/>
        </w:rPr>
        <w:t>合同补充条款</w:t>
      </w:r>
      <w:bookmarkEnd w:id="208"/>
      <w:bookmarkEnd w:id="209"/>
      <w:bookmarkEnd w:id="210"/>
      <w:bookmarkEnd w:id="211"/>
      <w:bookmarkEnd w:id="212"/>
      <w:bookmarkEnd w:id="213"/>
      <w:bookmarkEnd w:id="214"/>
    </w:p>
    <w:p>
      <w:pPr>
        <w:ind w:firstLine="420" w:firstLineChars="200"/>
        <w:rPr>
          <w:rFonts w:ascii="Times New Roman" w:hAnsi="Times New Roman" w:eastAsia="宋体"/>
          <w:lang w:val="en-US"/>
        </w:rPr>
      </w:pPr>
      <w:r>
        <w:rPr>
          <w:rFonts w:ascii="Times New Roman" w:hAnsi="Times New Roman" w:eastAsia="宋体"/>
          <w:lang w:val="en-US"/>
        </w:rPr>
        <w:t>补充条款：                                  （以下无正文）</w:t>
      </w:r>
    </w:p>
    <w:p>
      <w:pPr>
        <w:spacing w:line="560" w:lineRule="exact"/>
        <w:rPr>
          <w:rFonts w:ascii="Times New Roman" w:hAnsi="Times New Roman" w:eastAsia="宋体"/>
          <w:szCs w:val="21"/>
        </w:rPr>
      </w:pPr>
    </w:p>
    <w:p>
      <w:pPr>
        <w:ind w:firstLine="420" w:firstLineChars="200"/>
        <w:rPr>
          <w:rFonts w:ascii="Times New Roman" w:hAnsi="Times New Roman" w:eastAsia="宋体"/>
          <w:lang w:val="en-US"/>
        </w:rPr>
      </w:pPr>
      <w:r>
        <w:rPr>
          <w:rFonts w:ascii="Times New Roman" w:hAnsi="Times New Roman" w:eastAsia="宋体"/>
          <w:lang w:val="en-US"/>
        </w:rPr>
        <w:t>签约各方：</w:t>
      </w:r>
    </w:p>
    <w:p>
      <w:pPr>
        <w:ind w:firstLine="420" w:firstLineChars="200"/>
        <w:rPr>
          <w:rFonts w:ascii="Times New Roman" w:hAnsi="Times New Roman" w:eastAsia="宋体"/>
          <w:lang w:val="en-US"/>
        </w:rPr>
      </w:pPr>
    </w:p>
    <w:p>
      <w:pPr>
        <w:pStyle w:val="31"/>
        <w:rPr>
          <w:color w:val="auto"/>
          <w:lang w:val="en-US"/>
        </w:rPr>
      </w:pPr>
    </w:p>
    <w:p>
      <w:pPr>
        <w:ind w:firstLine="420" w:firstLineChars="200"/>
        <w:rPr>
          <w:rFonts w:ascii="Times New Roman" w:hAnsi="Times New Roman" w:eastAsia="宋体"/>
          <w:lang w:val="en-US"/>
        </w:rPr>
      </w:pPr>
      <w:r>
        <w:rPr>
          <w:rFonts w:ascii="Times New Roman" w:hAnsi="Times New Roman" w:eastAsia="宋体"/>
          <w:lang w:val="en-US"/>
        </w:rPr>
        <w:t xml:space="preserve">甲方：                                </w:t>
      </w:r>
      <w:r>
        <w:rPr>
          <w:rFonts w:hint="eastAsia" w:ascii="Times New Roman" w:hAnsi="Times New Roman" w:eastAsia="宋体"/>
          <w:lang w:val="en-US"/>
        </w:rPr>
        <w:t xml:space="preserve">  </w:t>
      </w:r>
      <w:r>
        <w:rPr>
          <w:rFonts w:ascii="Times New Roman" w:hAnsi="Times New Roman" w:eastAsia="宋体"/>
          <w:lang w:val="en-US"/>
        </w:rPr>
        <w:t xml:space="preserve"> 乙方：                  </w:t>
      </w:r>
    </w:p>
    <w:p>
      <w:pPr>
        <w:ind w:firstLine="420" w:firstLineChars="200"/>
        <w:rPr>
          <w:rFonts w:ascii="Times New Roman" w:hAnsi="Times New Roman" w:eastAsia="宋体"/>
          <w:lang w:val="en-US"/>
        </w:rPr>
      </w:pPr>
    </w:p>
    <w:p>
      <w:pPr>
        <w:ind w:firstLine="420" w:firstLineChars="200"/>
        <w:rPr>
          <w:rFonts w:ascii="Times New Roman" w:hAnsi="Times New Roman" w:eastAsia="宋体"/>
          <w:lang w:val="en-US"/>
        </w:rPr>
      </w:pPr>
      <w:r>
        <w:rPr>
          <w:rFonts w:ascii="Times New Roman" w:hAnsi="Times New Roman" w:eastAsia="宋体"/>
          <w:lang w:val="en-US"/>
        </w:rPr>
        <w:t xml:space="preserve">（公章）                              </w:t>
      </w:r>
      <w:r>
        <w:rPr>
          <w:rFonts w:hint="eastAsia" w:ascii="Times New Roman" w:hAnsi="Times New Roman" w:eastAsia="宋体"/>
          <w:lang w:val="en-US"/>
        </w:rPr>
        <w:t xml:space="preserve">  </w:t>
      </w:r>
      <w:r>
        <w:rPr>
          <w:rFonts w:ascii="Times New Roman" w:hAnsi="Times New Roman" w:eastAsia="宋体"/>
          <w:lang w:val="en-US"/>
        </w:rPr>
        <w:t>（公章）</w:t>
      </w:r>
    </w:p>
    <w:p>
      <w:pPr>
        <w:ind w:firstLine="420" w:firstLineChars="200"/>
        <w:rPr>
          <w:rFonts w:ascii="Times New Roman" w:hAnsi="Times New Roman" w:eastAsia="宋体"/>
          <w:lang w:val="en-US"/>
        </w:rPr>
      </w:pPr>
      <w:r>
        <w:rPr>
          <w:rFonts w:ascii="Times New Roman" w:hAnsi="Times New Roman" w:eastAsia="宋体"/>
          <w:lang w:val="en-US"/>
        </w:rPr>
        <w:t xml:space="preserve">签名：                                </w:t>
      </w:r>
      <w:r>
        <w:rPr>
          <w:rFonts w:hint="eastAsia" w:ascii="Times New Roman" w:hAnsi="Times New Roman" w:eastAsia="宋体"/>
          <w:lang w:val="en-US"/>
        </w:rPr>
        <w:t xml:space="preserve">  </w:t>
      </w:r>
      <w:r>
        <w:rPr>
          <w:rFonts w:ascii="Times New Roman" w:hAnsi="Times New Roman" w:eastAsia="宋体"/>
          <w:lang w:val="en-US"/>
        </w:rPr>
        <w:t xml:space="preserve"> 签名：                  </w:t>
      </w:r>
    </w:p>
    <w:p>
      <w:pPr>
        <w:ind w:firstLine="420" w:firstLineChars="200"/>
        <w:rPr>
          <w:rFonts w:ascii="Times New Roman" w:hAnsi="Times New Roman" w:eastAsia="宋体"/>
          <w:lang w:val="en-US"/>
        </w:rPr>
      </w:pPr>
    </w:p>
    <w:p>
      <w:pPr>
        <w:ind w:firstLine="420" w:firstLineChars="200"/>
        <w:rPr>
          <w:rFonts w:ascii="Times New Roman" w:hAnsi="Times New Roman" w:eastAsia="宋体"/>
          <w:lang w:val="en-US"/>
        </w:rPr>
        <w:sectPr>
          <w:headerReference r:id="rId14" w:type="default"/>
          <w:type w:val="continuous"/>
          <w:pgSz w:w="11907" w:h="16839"/>
          <w:pgMar w:top="1928" w:right="1531" w:bottom="1871" w:left="1531" w:header="1145" w:footer="709" w:gutter="0"/>
          <w:cols w:space="720" w:num="1"/>
          <w:docGrid w:linePitch="360" w:charSpace="0"/>
        </w:sectPr>
      </w:pPr>
      <w:r>
        <w:rPr>
          <w:rFonts w:ascii="Times New Roman" w:hAnsi="Times New Roman" w:eastAsia="宋体"/>
          <w:lang w:val="en-US"/>
        </w:rPr>
        <w:t xml:space="preserve">日期：   </w:t>
      </w:r>
      <w:r>
        <w:rPr>
          <w:rFonts w:hint="eastAsia" w:ascii="Times New Roman" w:hAnsi="Times New Roman" w:eastAsia="宋体"/>
          <w:lang w:val="en-US"/>
        </w:rPr>
        <w:t xml:space="preserve"> </w:t>
      </w:r>
      <w:r>
        <w:rPr>
          <w:rFonts w:ascii="Times New Roman" w:hAnsi="Times New Roman" w:eastAsia="宋体"/>
          <w:lang w:val="en-US"/>
        </w:rPr>
        <w:t xml:space="preserve">  年   </w:t>
      </w:r>
      <w:r>
        <w:rPr>
          <w:rFonts w:hint="eastAsia" w:ascii="Times New Roman" w:hAnsi="Times New Roman" w:eastAsia="宋体"/>
          <w:lang w:val="en-US"/>
        </w:rPr>
        <w:t xml:space="preserve"> </w:t>
      </w:r>
      <w:r>
        <w:rPr>
          <w:rFonts w:ascii="Times New Roman" w:hAnsi="Times New Roman" w:eastAsia="宋体"/>
          <w:lang w:val="en-US"/>
        </w:rPr>
        <w:t xml:space="preserve">月 </w:t>
      </w:r>
      <w:r>
        <w:rPr>
          <w:rFonts w:hint="eastAsia" w:ascii="Times New Roman" w:hAnsi="Times New Roman" w:eastAsia="宋体"/>
          <w:lang w:val="en-US"/>
        </w:rPr>
        <w:t xml:space="preserve"> </w:t>
      </w:r>
      <w:r>
        <w:rPr>
          <w:rFonts w:ascii="Times New Roman" w:hAnsi="Times New Roman" w:eastAsia="宋体"/>
          <w:lang w:val="en-US"/>
        </w:rPr>
        <w:t xml:space="preserve">  日               日期：     </w:t>
      </w:r>
      <w:r>
        <w:rPr>
          <w:rFonts w:hint="eastAsia" w:ascii="Times New Roman" w:hAnsi="Times New Roman" w:eastAsia="宋体"/>
          <w:lang w:val="en-US"/>
        </w:rPr>
        <w:t xml:space="preserve"> </w:t>
      </w:r>
      <w:r>
        <w:rPr>
          <w:rFonts w:ascii="Times New Roman" w:hAnsi="Times New Roman" w:eastAsia="宋体"/>
          <w:lang w:val="en-US"/>
        </w:rPr>
        <w:t xml:space="preserve">年  </w:t>
      </w:r>
      <w:r>
        <w:rPr>
          <w:rFonts w:hint="eastAsia" w:ascii="Times New Roman" w:hAnsi="Times New Roman" w:eastAsia="宋体"/>
          <w:lang w:val="en-US"/>
        </w:rPr>
        <w:t xml:space="preserve"> </w:t>
      </w:r>
      <w:r>
        <w:rPr>
          <w:rFonts w:ascii="Times New Roman" w:hAnsi="Times New Roman" w:eastAsia="宋体"/>
          <w:lang w:val="en-US"/>
        </w:rPr>
        <w:t xml:space="preserve"> 月    日   </w:t>
      </w:r>
    </w:p>
    <w:bookmarkEnd w:id="100"/>
    <w:bookmarkEnd w:id="101"/>
    <w:bookmarkEnd w:id="102"/>
    <w:bookmarkEnd w:id="103"/>
    <w:bookmarkEnd w:id="104"/>
    <w:p>
      <w:pPr>
        <w:pStyle w:val="2"/>
        <w:rPr>
          <w:color w:val="auto"/>
        </w:rPr>
      </w:pPr>
      <w:bookmarkStart w:id="215" w:name="_Toc1932"/>
      <w:bookmarkStart w:id="216" w:name="_Toc29560"/>
      <w:bookmarkStart w:id="217" w:name="_Toc10025"/>
      <w:r>
        <w:rPr>
          <w:color w:val="auto"/>
        </w:rPr>
        <w:t>投标材料格式</w:t>
      </w:r>
      <w:bookmarkEnd w:id="215"/>
      <w:bookmarkEnd w:id="216"/>
      <w:bookmarkEnd w:id="217"/>
    </w:p>
    <w:p>
      <w:pPr>
        <w:spacing w:before="240" w:beforeLines="100" w:after="240" w:afterLines="100"/>
        <w:jc w:val="center"/>
        <w:rPr>
          <w:rFonts w:ascii="Times New Roman" w:hAnsi="Times New Roman" w:eastAsia="方正小标宋简体"/>
          <w:b/>
          <w:sz w:val="28"/>
          <w:szCs w:val="28"/>
          <w:lang w:val="en-US"/>
        </w:rPr>
      </w:pPr>
      <w:r>
        <w:rPr>
          <w:rFonts w:ascii="Times New Roman" w:hAnsi="Times New Roman" w:eastAsia="方正小标宋简体"/>
          <w:b/>
          <w:sz w:val="28"/>
          <w:szCs w:val="28"/>
          <w:lang w:val="en-US"/>
        </w:rPr>
        <w:t>投标人提交文件须知</w:t>
      </w:r>
    </w:p>
    <w:p>
      <w:pPr>
        <w:ind w:firstLine="420" w:firstLineChars="200"/>
        <w:rPr>
          <w:rFonts w:ascii="Times New Roman" w:hAnsi="Times New Roman" w:eastAsia="宋体"/>
          <w:lang w:val="en-US"/>
        </w:rPr>
      </w:pPr>
      <w:r>
        <w:rPr>
          <w:rFonts w:ascii="Times New Roman" w:hAnsi="Times New Roman" w:eastAsia="宋体"/>
          <w:lang w:val="en-US"/>
        </w:rPr>
        <w:t>对投标人须知前附表中涉及</w:t>
      </w:r>
      <w:r>
        <w:rPr>
          <w:rFonts w:hint="eastAsia" w:ascii="Times New Roman" w:hAnsi="Times New Roman" w:eastAsia="宋体"/>
          <w:lang w:val="en-US"/>
        </w:rPr>
        <w:t>“</w:t>
      </w:r>
      <w:r>
        <w:rPr>
          <w:rFonts w:ascii="Times New Roman" w:hAnsi="Times New Roman" w:eastAsia="宋体"/>
          <w:lang w:val="en-US"/>
        </w:rPr>
        <w:t>*</w:t>
      </w:r>
      <w:r>
        <w:rPr>
          <w:rFonts w:hint="eastAsia" w:ascii="Times New Roman" w:hAnsi="Times New Roman" w:eastAsia="宋体"/>
          <w:lang w:val="en-US"/>
        </w:rPr>
        <w:t>”</w:t>
      </w:r>
      <w:r>
        <w:rPr>
          <w:rFonts w:ascii="Times New Roman" w:hAnsi="Times New Roman" w:eastAsia="宋体"/>
          <w:lang w:val="en-US"/>
        </w:rPr>
        <w:t>的格式文件</w:t>
      </w:r>
      <w:r>
        <w:rPr>
          <w:rFonts w:ascii="宋体" w:hAnsi="宋体" w:eastAsia="宋体"/>
          <w:lang w:val="en-US"/>
        </w:rPr>
        <w:t>，</w:t>
      </w:r>
      <w:r>
        <w:rPr>
          <w:rFonts w:ascii="Times New Roman" w:hAnsi="Times New Roman" w:eastAsia="宋体"/>
          <w:lang w:val="en-US"/>
        </w:rPr>
        <w:t>除可填报项目外</w:t>
      </w:r>
      <w:r>
        <w:rPr>
          <w:rFonts w:ascii="宋体" w:hAnsi="宋体" w:eastAsia="宋体"/>
          <w:lang w:val="en-US"/>
        </w:rPr>
        <w:t>，</w:t>
      </w:r>
      <w:r>
        <w:rPr>
          <w:rFonts w:ascii="Times New Roman" w:hAnsi="Times New Roman" w:eastAsia="宋体"/>
          <w:lang w:val="en-US"/>
        </w:rPr>
        <w:t>任何实质性修改将被视为非实质性响应投标</w:t>
      </w:r>
      <w:r>
        <w:rPr>
          <w:rFonts w:ascii="宋体" w:hAnsi="宋体" w:eastAsia="宋体"/>
          <w:lang w:val="en-US"/>
        </w:rPr>
        <w:t>，</w:t>
      </w:r>
      <w:r>
        <w:rPr>
          <w:rFonts w:ascii="Times New Roman" w:hAnsi="Times New Roman" w:eastAsia="宋体"/>
          <w:lang w:val="en-US"/>
        </w:rPr>
        <w:t>从而导致该投标无效。投标人提交的材料不予退还。</w:t>
      </w:r>
    </w:p>
    <w:p>
      <w:pPr>
        <w:ind w:firstLine="420" w:firstLineChars="200"/>
        <w:rPr>
          <w:rFonts w:ascii="Times New Roman" w:hAnsi="Times New Roman" w:eastAsia="宋体"/>
          <w:lang w:val="en-US"/>
        </w:rPr>
      </w:pPr>
      <w:r>
        <w:rPr>
          <w:rFonts w:ascii="Times New Roman" w:hAnsi="Times New Roman" w:eastAsia="宋体"/>
          <w:lang w:val="en-US"/>
        </w:rPr>
        <w:t>本部分内容仅提供格式要求</w:t>
      </w:r>
      <w:r>
        <w:rPr>
          <w:rFonts w:ascii="宋体" w:hAnsi="宋体" w:eastAsia="宋体"/>
          <w:lang w:val="en-US"/>
        </w:rPr>
        <w:t>，</w:t>
      </w:r>
      <w:r>
        <w:rPr>
          <w:rFonts w:ascii="Times New Roman" w:hAnsi="Times New Roman" w:eastAsia="宋体"/>
          <w:lang w:val="en-US"/>
        </w:rPr>
        <w:t>并不代表所有列出格式的文件本项目全部必须提交。本项目需提交的商务、技术文件应以投标人须知前附表为准。</w:t>
      </w:r>
    </w:p>
    <w:p>
      <w:pPr>
        <w:ind w:firstLine="420" w:firstLineChars="200"/>
        <w:rPr>
          <w:rFonts w:ascii="Times New Roman" w:hAnsi="Times New Roman" w:eastAsia="宋体"/>
          <w:lang w:val="en-US"/>
        </w:rPr>
      </w:pPr>
      <w:r>
        <w:rPr>
          <w:rFonts w:ascii="Times New Roman" w:hAnsi="Times New Roman" w:eastAsia="宋体"/>
          <w:lang w:val="en-US"/>
        </w:rPr>
        <w:t>投标人应严格按照以下顺序填写和提交下述规定的全部格式文件以及其他有关资料。</w:t>
      </w:r>
    </w:p>
    <w:p>
      <w:pPr>
        <w:ind w:firstLine="420" w:firstLineChars="200"/>
        <w:rPr>
          <w:rFonts w:ascii="Times New Roman" w:hAnsi="Times New Roman" w:eastAsia="宋体"/>
          <w:lang w:val="en-US"/>
        </w:rPr>
      </w:pPr>
      <w:r>
        <w:rPr>
          <w:rFonts w:ascii="Times New Roman" w:hAnsi="Times New Roman" w:eastAsia="宋体"/>
          <w:lang w:val="en-US"/>
        </w:rPr>
        <w:t>全部文件应按投标人须知以及前附表中规定的语言和份数提交。</w:t>
      </w:r>
    </w:p>
    <w:p>
      <w:pPr>
        <w:ind w:firstLine="420" w:firstLineChars="200"/>
        <w:rPr>
          <w:rFonts w:ascii="Times New Roman" w:hAnsi="Times New Roman" w:eastAsia="宋体"/>
          <w:lang w:val="en-US"/>
        </w:rPr>
      </w:pPr>
      <w:r>
        <w:rPr>
          <w:rFonts w:ascii="Times New Roman" w:hAnsi="Times New Roman" w:eastAsia="宋体"/>
          <w:lang w:val="en-US"/>
        </w:rPr>
        <w:t>投标文件应按照招标文件的格式逐项填写</w:t>
      </w:r>
      <w:r>
        <w:rPr>
          <w:rFonts w:ascii="宋体" w:hAnsi="宋体" w:eastAsia="宋体"/>
          <w:lang w:val="en-US"/>
        </w:rPr>
        <w:t>，</w:t>
      </w:r>
      <w:r>
        <w:rPr>
          <w:rFonts w:ascii="Times New Roman" w:hAnsi="Times New Roman" w:eastAsia="宋体"/>
          <w:lang w:val="en-US"/>
        </w:rPr>
        <w:t>无相应内容可填的项应填写</w:t>
      </w:r>
      <w:r>
        <w:rPr>
          <w:rFonts w:hint="eastAsia" w:ascii="Times New Roman" w:hAnsi="Times New Roman" w:eastAsia="宋体"/>
          <w:lang w:val="en-US"/>
        </w:rPr>
        <w:t>“</w:t>
      </w:r>
      <w:r>
        <w:rPr>
          <w:rFonts w:ascii="Times New Roman" w:hAnsi="Times New Roman" w:eastAsia="宋体"/>
          <w:lang w:val="en-US"/>
        </w:rPr>
        <w:t>无</w:t>
      </w:r>
      <w:r>
        <w:rPr>
          <w:rFonts w:hint="eastAsia" w:ascii="Times New Roman" w:hAnsi="Times New Roman" w:eastAsia="宋体"/>
          <w:lang w:val="en-US"/>
        </w:rPr>
        <w:t>”</w:t>
      </w:r>
      <w:r>
        <w:rPr>
          <w:rFonts w:ascii="Times New Roman" w:hAnsi="Times New Roman" w:eastAsia="宋体"/>
          <w:lang w:val="en-US"/>
        </w:rPr>
        <w:t>、</w:t>
      </w:r>
      <w:r>
        <w:rPr>
          <w:rFonts w:hint="eastAsia" w:ascii="Times New Roman" w:hAnsi="Times New Roman" w:eastAsia="宋体"/>
          <w:lang w:val="en-US"/>
        </w:rPr>
        <w:t>“</w:t>
      </w:r>
      <w:r>
        <w:rPr>
          <w:rFonts w:ascii="Times New Roman" w:hAnsi="Times New Roman" w:eastAsia="宋体"/>
          <w:lang w:val="en-US"/>
        </w:rPr>
        <w:t>未测试</w:t>
      </w:r>
      <w:r>
        <w:rPr>
          <w:rFonts w:hint="eastAsia" w:ascii="Times New Roman" w:hAnsi="Times New Roman" w:eastAsia="宋体"/>
          <w:lang w:val="en-US"/>
        </w:rPr>
        <w:t>”</w:t>
      </w:r>
      <w:r>
        <w:rPr>
          <w:rFonts w:ascii="Times New Roman" w:hAnsi="Times New Roman" w:eastAsia="宋体"/>
          <w:lang w:val="en-US"/>
        </w:rPr>
        <w:t>、</w:t>
      </w:r>
      <w:r>
        <w:rPr>
          <w:rFonts w:hint="eastAsia" w:ascii="Times New Roman" w:hAnsi="Times New Roman" w:eastAsia="宋体"/>
          <w:lang w:val="en-US"/>
        </w:rPr>
        <w:t>“</w:t>
      </w:r>
      <w:r>
        <w:rPr>
          <w:rFonts w:ascii="Times New Roman" w:hAnsi="Times New Roman" w:eastAsia="宋体"/>
          <w:lang w:val="en-US"/>
        </w:rPr>
        <w:t>没有相应指标</w:t>
      </w:r>
      <w:r>
        <w:rPr>
          <w:rFonts w:hint="eastAsia" w:ascii="Times New Roman" w:hAnsi="Times New Roman" w:eastAsia="宋体"/>
          <w:lang w:val="en-US"/>
        </w:rPr>
        <w:t>”</w:t>
      </w:r>
      <w:r>
        <w:rPr>
          <w:rFonts w:ascii="Times New Roman" w:hAnsi="Times New Roman" w:eastAsia="宋体"/>
          <w:lang w:val="en-US"/>
        </w:rPr>
        <w:t>等明确的回答文字。</w:t>
      </w:r>
    </w:p>
    <w:p>
      <w:pPr>
        <w:tabs>
          <w:tab w:val="left" w:pos="0"/>
        </w:tabs>
        <w:rPr>
          <w:rFonts w:ascii="Times New Roman" w:hAnsi="Times New Roman" w:eastAsia="仿宋_GB2312"/>
          <w:szCs w:val="21"/>
        </w:rPr>
      </w:pPr>
    </w:p>
    <w:p>
      <w:pPr>
        <w:pStyle w:val="3"/>
        <w:spacing w:before="120"/>
        <w:rPr>
          <w:color w:val="auto"/>
        </w:rPr>
      </w:pPr>
      <w:r>
        <w:rPr>
          <w:color w:val="auto"/>
        </w:rPr>
        <w:br w:type="page"/>
      </w:r>
      <w:bookmarkStart w:id="218" w:name="_Toc11373"/>
      <w:bookmarkStart w:id="219" w:name="_Toc4028"/>
      <w:bookmarkStart w:id="220" w:name="_Toc48309523"/>
      <w:bookmarkStart w:id="221" w:name="_Toc23100"/>
      <w:bookmarkStart w:id="222" w:name="_Toc9067"/>
      <w:bookmarkStart w:id="223" w:name="_Toc19656"/>
      <w:bookmarkStart w:id="224" w:name="_Toc23546"/>
      <w:bookmarkStart w:id="225" w:name="_Toc2921"/>
      <w:bookmarkStart w:id="226" w:name="_Toc5526"/>
      <w:r>
        <w:rPr>
          <w:color w:val="auto"/>
        </w:rPr>
        <w:t>*承诺函</w:t>
      </w:r>
      <w:bookmarkEnd w:id="218"/>
      <w:bookmarkEnd w:id="219"/>
      <w:bookmarkEnd w:id="220"/>
      <w:bookmarkEnd w:id="221"/>
      <w:bookmarkEnd w:id="222"/>
      <w:bookmarkEnd w:id="223"/>
      <w:bookmarkEnd w:id="224"/>
    </w:p>
    <w:p>
      <w:pPr>
        <w:ind w:firstLine="480" w:firstLineChars="200"/>
        <w:jc w:val="center"/>
        <w:rPr>
          <w:rFonts w:ascii="Times New Roman" w:hAnsi="Times New Roman" w:eastAsia="方正小标宋简体"/>
          <w:sz w:val="28"/>
          <w:szCs w:val="28"/>
        </w:rPr>
      </w:pPr>
      <w:r>
        <w:rPr>
          <w:rFonts w:ascii="Times New Roman" w:hAnsi="Times New Roman" w:eastAsia="宋体"/>
          <w:sz w:val="24"/>
          <w:szCs w:val="21"/>
          <w:lang w:val="en-US"/>
        </w:rPr>
        <w:t>承诺函</w:t>
      </w:r>
    </w:p>
    <w:p>
      <w:pPr>
        <w:rPr>
          <w:rFonts w:ascii="Times New Roman" w:hAnsi="Times New Roman" w:eastAsia="宋体"/>
          <w:lang w:val="en-US"/>
        </w:rPr>
      </w:pPr>
      <w:r>
        <w:rPr>
          <w:rFonts w:ascii="Times New Roman" w:hAnsi="Times New Roman" w:eastAsia="宋体"/>
          <w:lang w:val="en-US"/>
        </w:rPr>
        <w:t>公安部警用装备采购中心：</w:t>
      </w:r>
    </w:p>
    <w:p>
      <w:pPr>
        <w:ind w:firstLine="420" w:firstLineChars="200"/>
        <w:rPr>
          <w:rFonts w:ascii="Times New Roman" w:hAnsi="Times New Roman" w:eastAsia="宋体"/>
          <w:lang w:val="en-US"/>
        </w:rPr>
      </w:pPr>
      <w:r>
        <w:rPr>
          <w:rFonts w:ascii="Times New Roman" w:hAnsi="Times New Roman" w:eastAsia="宋体"/>
          <w:szCs w:val="21"/>
        </w:rPr>
        <w:t>我公司承诺</w:t>
      </w:r>
      <w:r>
        <w:rPr>
          <w:rFonts w:hint="eastAsia" w:ascii="Times New Roman" w:hAnsi="Times New Roman" w:eastAsia="宋体"/>
          <w:szCs w:val="21"/>
        </w:rPr>
        <w:t>在</w:t>
      </w:r>
      <w:r>
        <w:rPr>
          <w:rFonts w:ascii="Times New Roman" w:hAnsi="Times New Roman" w:eastAsia="宋体"/>
          <w:szCs w:val="21"/>
        </w:rPr>
        <w:t>参加贵中心组织的</w:t>
      </w:r>
      <w:r>
        <w:rPr>
          <w:rFonts w:hint="eastAsia" w:ascii="Times New Roman" w:hAnsi="Times New Roman" w:eastAsia="宋体"/>
          <w:szCs w:val="21"/>
          <w:u w:val="single"/>
        </w:rPr>
        <w:t xml:space="preserve">      </w:t>
      </w:r>
      <w:r>
        <w:rPr>
          <w:rFonts w:ascii="Times New Roman" w:hAnsi="Times New Roman" w:eastAsia="宋体"/>
          <w:szCs w:val="21"/>
        </w:rPr>
        <w:t>项目（项目编号：</w:t>
      </w:r>
      <w:r>
        <w:rPr>
          <w:rFonts w:hint="eastAsia" w:ascii="Times New Roman" w:hAnsi="Times New Roman" w:eastAsia="宋体"/>
          <w:szCs w:val="21"/>
          <w:u w:val="single"/>
        </w:rPr>
        <w:t xml:space="preserve">      </w:t>
      </w:r>
      <w:r>
        <w:rPr>
          <w:rFonts w:ascii="Times New Roman" w:hAnsi="Times New Roman" w:eastAsia="宋体"/>
          <w:szCs w:val="21"/>
        </w:rPr>
        <w:t>）的</w:t>
      </w:r>
      <w:r>
        <w:rPr>
          <w:rFonts w:ascii="Times New Roman" w:hAnsi="Times New Roman" w:eastAsia="宋体"/>
          <w:lang w:val="en-US"/>
        </w:rPr>
        <w:t>公开招标</w:t>
      </w:r>
      <w:r>
        <w:rPr>
          <w:rFonts w:hint="eastAsia" w:ascii="Times New Roman" w:hAnsi="Times New Roman" w:eastAsia="宋体"/>
          <w:lang w:val="en-US"/>
        </w:rPr>
        <w:t>中</w:t>
      </w:r>
      <w:r>
        <w:rPr>
          <w:rFonts w:ascii="宋体" w:hAnsi="宋体" w:eastAsia="宋体"/>
          <w:lang w:val="en-US"/>
        </w:rPr>
        <w:t>，</w:t>
      </w:r>
      <w:r>
        <w:rPr>
          <w:rFonts w:ascii="Times New Roman" w:hAnsi="Times New Roman" w:eastAsia="宋体"/>
          <w:lang w:val="en-US"/>
        </w:rPr>
        <w:t>遵守《中华人民共和国政府采购法》第二十二、七十七条和《中华人民共和国政府采购法实施条例》第十七条之规定</w:t>
      </w:r>
      <w:r>
        <w:rPr>
          <w:rFonts w:ascii="宋体" w:hAnsi="宋体" w:eastAsia="宋体"/>
          <w:lang w:val="en-US"/>
        </w:rPr>
        <w:t>，</w:t>
      </w:r>
      <w:r>
        <w:rPr>
          <w:rFonts w:ascii="Times New Roman" w:hAnsi="Times New Roman" w:eastAsia="宋体"/>
          <w:lang w:val="en-US"/>
        </w:rPr>
        <w:t>如有违反</w:t>
      </w:r>
      <w:r>
        <w:rPr>
          <w:rFonts w:ascii="宋体" w:hAnsi="宋体" w:eastAsia="宋体"/>
          <w:lang w:val="en-US"/>
        </w:rPr>
        <w:t>，</w:t>
      </w:r>
      <w:r>
        <w:rPr>
          <w:rFonts w:ascii="Times New Roman" w:hAnsi="Times New Roman" w:eastAsia="宋体"/>
          <w:lang w:val="en-US"/>
        </w:rPr>
        <w:t>依法接受相应处罚。我公司承诺符合《中华人民共和国政府采购法》第二十二条的如下规定：</w:t>
      </w:r>
    </w:p>
    <w:p>
      <w:pPr>
        <w:ind w:firstLine="420" w:firstLineChars="200"/>
        <w:rPr>
          <w:rFonts w:ascii="Times New Roman" w:hAnsi="Times New Roman" w:eastAsia="宋体"/>
          <w:lang w:val="en-US"/>
        </w:rPr>
      </w:pPr>
      <w:r>
        <w:rPr>
          <w:rFonts w:ascii="Times New Roman" w:hAnsi="Times New Roman" w:eastAsia="宋体"/>
          <w:lang w:val="en-US"/>
        </w:rPr>
        <w:t>（一）具有独立承担民事责任的能力；</w:t>
      </w:r>
    </w:p>
    <w:p>
      <w:pPr>
        <w:ind w:firstLine="420" w:firstLineChars="200"/>
        <w:rPr>
          <w:rFonts w:ascii="Times New Roman" w:hAnsi="Times New Roman" w:eastAsia="宋体"/>
          <w:lang w:val="en-US"/>
        </w:rPr>
      </w:pPr>
      <w:r>
        <w:rPr>
          <w:rFonts w:ascii="Times New Roman" w:hAnsi="Times New Roman" w:eastAsia="宋体"/>
          <w:lang w:val="en-US"/>
        </w:rPr>
        <w:t>（二）具有良好的商业信誉和健全的</w:t>
      </w:r>
      <w:r>
        <w:fldChar w:fldCharType="begin"/>
      </w:r>
      <w:r>
        <w:instrText xml:space="preserve"> HYPERLINK "http://www.baidu.com/s?wd=%E8%B4%A2%E5%8A%A1%E4%BC%9A%E8%AE%A1%E5%88%B6%E5%BA%A6&amp;tn=44039180_cpr&amp;fenlei=mv6quAkxTZn0IZRqIHckPjm4nH00T1dBPH9BuWc1n1bLnWT3PW0v0ZwV5Hcvrjm3rH6sPfKWUMw85HfYnjn4nH6sgvPsT6KdThsqpZwYTjCEQLGCpyw9Uz4Bmy-bIi4WUvYETgN-TLwGUv3EnWT3nHn3rjD4" \t "_blank" </w:instrText>
      </w:r>
      <w:r>
        <w:fldChar w:fldCharType="separate"/>
      </w:r>
      <w:r>
        <w:rPr>
          <w:rFonts w:ascii="Times New Roman" w:hAnsi="Times New Roman" w:eastAsia="宋体"/>
          <w:lang w:val="en-US"/>
        </w:rPr>
        <w:t>财务会计制度</w:t>
      </w:r>
      <w:r>
        <w:rPr>
          <w:rFonts w:ascii="Times New Roman" w:hAnsi="Times New Roman" w:eastAsia="宋体"/>
          <w:lang w:val="en-US"/>
        </w:rPr>
        <w:fldChar w:fldCharType="end"/>
      </w:r>
      <w:r>
        <w:rPr>
          <w:rFonts w:ascii="Times New Roman" w:hAnsi="Times New Roman" w:eastAsia="宋体"/>
          <w:lang w:val="en-US"/>
        </w:rPr>
        <w:t>；</w:t>
      </w:r>
    </w:p>
    <w:p>
      <w:pPr>
        <w:ind w:firstLine="420" w:firstLineChars="200"/>
        <w:rPr>
          <w:rFonts w:ascii="Times New Roman" w:hAnsi="Times New Roman" w:eastAsia="宋体"/>
          <w:lang w:val="en-US"/>
        </w:rPr>
      </w:pPr>
      <w:r>
        <w:rPr>
          <w:rFonts w:ascii="Times New Roman" w:hAnsi="Times New Roman" w:eastAsia="宋体"/>
          <w:lang w:val="en-US"/>
        </w:rPr>
        <w:t>（三）具有履行合同所必需的设备和专业技术能力；</w:t>
      </w:r>
    </w:p>
    <w:p>
      <w:pPr>
        <w:ind w:firstLine="420" w:firstLineChars="200"/>
        <w:rPr>
          <w:rFonts w:ascii="Times New Roman" w:hAnsi="Times New Roman" w:eastAsia="宋体"/>
          <w:lang w:val="en-US"/>
        </w:rPr>
      </w:pPr>
      <w:r>
        <w:rPr>
          <w:rFonts w:ascii="Times New Roman" w:hAnsi="Times New Roman" w:eastAsia="宋体"/>
          <w:lang w:val="en-US"/>
        </w:rPr>
        <w:t>（四）有依法缴纳税收和</w:t>
      </w:r>
      <w:r>
        <w:fldChar w:fldCharType="begin"/>
      </w:r>
      <w:r>
        <w:instrText xml:space="preserve"> HYPERLINK "http://www.baidu.com/s?wd=%E7%A4%BE%E4%BC%9A%E4%BF%9D%E9%9A%9C%E8%B5%84%E9%87%91&amp;tn=44039180_cpr&amp;fenlei=mv6quAkxTZn0IZRqIHckPjm4nH00T1dBPH9BuWc1n1bLnWT3PW0v0ZwV5Hcvrjm3rH6sPfKWUMw85HfYnjn4nH6sgvPsT6KdThsqpZwYTjCEQLGCpyw9Uz4Bmy-bIi4WUvYETgN-TLwGUv3EnWT3nHn3rjD4" \t "_blank" </w:instrText>
      </w:r>
      <w:r>
        <w:fldChar w:fldCharType="separate"/>
      </w:r>
      <w:r>
        <w:rPr>
          <w:rFonts w:ascii="Times New Roman" w:hAnsi="Times New Roman" w:eastAsia="宋体"/>
          <w:lang w:val="en-US"/>
        </w:rPr>
        <w:t>社会保障资金</w:t>
      </w:r>
      <w:r>
        <w:rPr>
          <w:rFonts w:ascii="Times New Roman" w:hAnsi="Times New Roman" w:eastAsia="宋体"/>
          <w:lang w:val="en-US"/>
        </w:rPr>
        <w:fldChar w:fldCharType="end"/>
      </w:r>
      <w:r>
        <w:rPr>
          <w:rFonts w:ascii="Times New Roman" w:hAnsi="Times New Roman" w:eastAsia="宋体"/>
          <w:lang w:val="en-US"/>
        </w:rPr>
        <w:t>的良好记录；</w:t>
      </w:r>
    </w:p>
    <w:p>
      <w:pPr>
        <w:ind w:firstLine="420" w:firstLineChars="200"/>
        <w:rPr>
          <w:rFonts w:ascii="Times New Roman" w:hAnsi="Times New Roman" w:eastAsia="宋体"/>
          <w:lang w:val="en-US"/>
        </w:rPr>
      </w:pPr>
      <w:r>
        <w:rPr>
          <w:rFonts w:ascii="Times New Roman" w:hAnsi="Times New Roman" w:eastAsia="宋体"/>
          <w:lang w:val="en-US"/>
        </w:rPr>
        <w:t>（五）参加</w:t>
      </w:r>
      <w:r>
        <w:fldChar w:fldCharType="begin"/>
      </w:r>
      <w:r>
        <w:instrText xml:space="preserve"> HYPERLINK "http://www.baidu.com/s?wd=%E6%94%BF%E5%BA%9C%E9%87%87%E8%B4%AD&amp;tn=44039180_cpr&amp;fenlei=mv6quAkxTZn0IZRqIHckPjm4nH00T1dBPH9BuWc1n1bLnWT3PW0v0ZwV5Hcvrjm3rH6sPfKWUMw85HfYnjn4nH6sgvPsT6KdThsqpZwYTjCEQLGCpyw9Uz4Bmy-bIi4WUvYETgN-TLwGUv3EnWT3nHn3rjD4" \t "_blank" </w:instrText>
      </w:r>
      <w:r>
        <w:fldChar w:fldCharType="separate"/>
      </w:r>
      <w:r>
        <w:rPr>
          <w:rFonts w:ascii="Times New Roman" w:hAnsi="Times New Roman" w:eastAsia="宋体"/>
          <w:lang w:val="en-US"/>
        </w:rPr>
        <w:t>政府采购</w:t>
      </w:r>
      <w:r>
        <w:rPr>
          <w:rFonts w:ascii="Times New Roman" w:hAnsi="Times New Roman" w:eastAsia="宋体"/>
          <w:lang w:val="en-US"/>
        </w:rPr>
        <w:fldChar w:fldCharType="end"/>
      </w:r>
      <w:r>
        <w:rPr>
          <w:rFonts w:ascii="Times New Roman" w:hAnsi="Times New Roman" w:eastAsia="宋体"/>
          <w:lang w:val="en-US"/>
        </w:rPr>
        <w:t>活动前三年内</w:t>
      </w:r>
      <w:r>
        <w:rPr>
          <w:rFonts w:ascii="宋体" w:hAnsi="宋体" w:eastAsia="宋体"/>
          <w:lang w:val="en-US"/>
        </w:rPr>
        <w:t>，</w:t>
      </w:r>
      <w:r>
        <w:rPr>
          <w:rFonts w:ascii="Times New Roman" w:hAnsi="Times New Roman" w:eastAsia="宋体"/>
          <w:lang w:val="en-US"/>
        </w:rPr>
        <w:t>在经营活动中没有重大违法记录；</w:t>
      </w:r>
    </w:p>
    <w:p>
      <w:pPr>
        <w:ind w:firstLine="420" w:firstLineChars="200"/>
        <w:rPr>
          <w:rFonts w:ascii="Times New Roman" w:hAnsi="Times New Roman" w:eastAsia="宋体"/>
          <w:lang w:val="en-US"/>
        </w:rPr>
      </w:pPr>
      <w:r>
        <w:rPr>
          <w:rFonts w:ascii="Times New Roman" w:hAnsi="Times New Roman" w:eastAsia="宋体"/>
          <w:lang w:val="en-US"/>
        </w:rPr>
        <w:t>（六）法律、行政法规规定的其他条件。</w:t>
      </w:r>
    </w:p>
    <w:p>
      <w:pPr>
        <w:ind w:firstLine="420" w:firstLineChars="200"/>
        <w:rPr>
          <w:rFonts w:ascii="Times New Roman" w:hAnsi="Times New Roman" w:eastAsia="宋体"/>
          <w:lang w:val="en-US"/>
        </w:rPr>
      </w:pPr>
      <w:r>
        <w:rPr>
          <w:rFonts w:ascii="Times New Roman" w:hAnsi="Times New Roman" w:eastAsia="宋体"/>
          <w:lang w:val="en-US"/>
        </w:rPr>
        <w:t>若我公司经审查</w:t>
      </w:r>
      <w:r>
        <w:rPr>
          <w:rFonts w:ascii="宋体" w:hAnsi="宋体" w:eastAsia="宋体"/>
          <w:lang w:val="en-US"/>
        </w:rPr>
        <w:t>，</w:t>
      </w:r>
      <w:r>
        <w:rPr>
          <w:rFonts w:ascii="Times New Roman" w:hAnsi="Times New Roman" w:eastAsia="宋体"/>
          <w:lang w:val="en-US"/>
        </w:rPr>
        <w:t>被发现有任何违反上述规定的记录</w:t>
      </w:r>
      <w:r>
        <w:rPr>
          <w:rFonts w:ascii="宋体" w:hAnsi="宋体" w:eastAsia="宋体"/>
          <w:lang w:val="en-US"/>
        </w:rPr>
        <w:t>，</w:t>
      </w:r>
      <w:r>
        <w:rPr>
          <w:rFonts w:ascii="Times New Roman" w:hAnsi="Times New Roman" w:eastAsia="宋体"/>
          <w:lang w:val="en-US"/>
        </w:rPr>
        <w:t>愿意承担因此产生的一切责任。</w:t>
      </w:r>
    </w:p>
    <w:p>
      <w:pPr>
        <w:ind w:firstLine="420" w:firstLineChars="200"/>
        <w:rPr>
          <w:rFonts w:ascii="Times New Roman" w:hAnsi="Times New Roman" w:eastAsia="宋体"/>
          <w:lang w:val="en-US"/>
        </w:rPr>
      </w:pPr>
    </w:p>
    <w:p>
      <w:pPr>
        <w:ind w:firstLine="420" w:firstLineChars="200"/>
        <w:rPr>
          <w:rFonts w:ascii="Times New Roman" w:hAnsi="Times New Roman" w:eastAsia="宋体"/>
          <w:lang w:val="en-US"/>
        </w:rPr>
      </w:pPr>
    </w:p>
    <w:p>
      <w:pPr>
        <w:ind w:firstLine="420" w:firstLineChars="200"/>
        <w:rPr>
          <w:rFonts w:ascii="Times New Roman" w:hAnsi="Times New Roman" w:eastAsia="宋体"/>
          <w:lang w:val="en-US"/>
        </w:rPr>
      </w:pPr>
    </w:p>
    <w:p>
      <w:pPr>
        <w:ind w:firstLine="420" w:firstLineChars="200"/>
        <w:rPr>
          <w:rFonts w:ascii="Times New Roman" w:hAnsi="Times New Roman" w:eastAsia="宋体"/>
          <w:lang w:val="en-US"/>
        </w:rPr>
      </w:pPr>
    </w:p>
    <w:p>
      <w:pPr>
        <w:tabs>
          <w:tab w:val="left" w:pos="0"/>
        </w:tabs>
        <w:spacing w:line="360" w:lineRule="exact"/>
        <w:ind w:left="418" w:leftChars="67" w:hanging="277" w:hangingChars="132"/>
        <w:rPr>
          <w:rFonts w:ascii="Times New Roman" w:hAnsi="Times New Roman" w:eastAsia="宋体"/>
          <w:szCs w:val="21"/>
        </w:rPr>
      </w:pPr>
      <w:r>
        <w:rPr>
          <w:rFonts w:ascii="Times New Roman" w:hAnsi="Times New Roman" w:eastAsia="宋体"/>
          <w:szCs w:val="21"/>
        </w:rPr>
        <w:t>投标人名称（全称并加盖公章）：____</w:t>
      </w:r>
    </w:p>
    <w:p>
      <w:pPr>
        <w:tabs>
          <w:tab w:val="left" w:pos="0"/>
        </w:tabs>
        <w:spacing w:line="360" w:lineRule="exact"/>
        <w:ind w:left="418" w:leftChars="67" w:hanging="277" w:hangingChars="132"/>
        <w:rPr>
          <w:rFonts w:ascii="Times New Roman" w:hAnsi="Times New Roman" w:eastAsia="宋体"/>
          <w:szCs w:val="21"/>
        </w:rPr>
      </w:pPr>
      <w:r>
        <w:rPr>
          <w:rFonts w:ascii="Times New Roman" w:hAnsi="Times New Roman" w:eastAsia="宋体"/>
          <w:szCs w:val="21"/>
        </w:rPr>
        <w:t>法定代表人签字</w:t>
      </w:r>
      <w:r>
        <w:rPr>
          <w:rFonts w:hint="eastAsia" w:ascii="Times New Roman" w:hAnsi="Times New Roman" w:eastAsia="宋体"/>
          <w:szCs w:val="21"/>
        </w:rPr>
        <w:t>或盖章</w:t>
      </w:r>
      <w:r>
        <w:rPr>
          <w:rFonts w:ascii="Times New Roman" w:hAnsi="Times New Roman" w:eastAsia="宋体"/>
          <w:szCs w:val="21"/>
        </w:rPr>
        <w:t xml:space="preserve">：_________________             </w:t>
      </w:r>
    </w:p>
    <w:p>
      <w:pPr>
        <w:tabs>
          <w:tab w:val="left" w:pos="0"/>
        </w:tabs>
        <w:spacing w:line="360" w:lineRule="exact"/>
        <w:ind w:left="418" w:leftChars="67" w:hanging="277" w:hangingChars="132"/>
        <w:rPr>
          <w:rFonts w:ascii="Times New Roman" w:hAnsi="Times New Roman" w:eastAsia="宋体"/>
          <w:szCs w:val="21"/>
        </w:rPr>
      </w:pPr>
      <w:r>
        <w:rPr>
          <w:rFonts w:ascii="Times New Roman" w:hAnsi="Times New Roman" w:eastAsia="宋体"/>
          <w:szCs w:val="21"/>
        </w:rPr>
        <w:t>投标人代表签字</w:t>
      </w:r>
      <w:r>
        <w:rPr>
          <w:rFonts w:hint="eastAsia" w:ascii="Times New Roman" w:hAnsi="Times New Roman" w:eastAsia="宋体"/>
          <w:szCs w:val="21"/>
        </w:rPr>
        <w:t>或盖章</w:t>
      </w:r>
      <w:r>
        <w:rPr>
          <w:rFonts w:ascii="Times New Roman" w:hAnsi="Times New Roman" w:eastAsia="宋体"/>
          <w:szCs w:val="21"/>
        </w:rPr>
        <w:t xml:space="preserve">：_________________     </w:t>
      </w:r>
    </w:p>
    <w:p>
      <w:pPr>
        <w:tabs>
          <w:tab w:val="left" w:pos="0"/>
        </w:tabs>
        <w:spacing w:line="360" w:lineRule="exact"/>
        <w:jc w:val="both"/>
        <w:rPr>
          <w:rFonts w:ascii="Times New Roman" w:hAnsi="Times New Roman" w:eastAsia="宋体"/>
          <w:szCs w:val="21"/>
          <w:u w:val="single"/>
        </w:rPr>
      </w:pPr>
      <w:r>
        <w:rPr>
          <w:rFonts w:ascii="Times New Roman" w:hAnsi="Times New Roman" w:eastAsia="宋体"/>
          <w:szCs w:val="21"/>
        </w:rPr>
        <w:t xml:space="preserve"> 日</w:t>
      </w:r>
      <w:r>
        <w:rPr>
          <w:rFonts w:hint="eastAsia" w:ascii="Times New Roman" w:hAnsi="Times New Roman" w:eastAsia="宋体"/>
          <w:szCs w:val="21"/>
        </w:rPr>
        <w:t xml:space="preserve"> </w:t>
      </w:r>
      <w:r>
        <w:rPr>
          <w:rFonts w:ascii="Times New Roman" w:hAnsi="Times New Roman" w:eastAsia="宋体"/>
          <w:szCs w:val="21"/>
        </w:rPr>
        <w:t>期：</w:t>
      </w:r>
      <w:r>
        <w:rPr>
          <w:rFonts w:ascii="Times New Roman" w:hAnsi="Times New Roman" w:eastAsia="宋体"/>
          <w:szCs w:val="21"/>
          <w:u w:val="single"/>
          <w:lang w:val="en-US"/>
        </w:rPr>
        <w:t xml:space="preserve">    </w:t>
      </w:r>
      <w:r>
        <w:rPr>
          <w:rFonts w:ascii="Times New Roman" w:hAnsi="Times New Roman" w:eastAsia="宋体"/>
          <w:szCs w:val="21"/>
          <w:u w:val="single"/>
        </w:rPr>
        <w:t>年</w:t>
      </w:r>
      <w:r>
        <w:rPr>
          <w:rFonts w:ascii="Times New Roman" w:hAnsi="Times New Roman" w:eastAsia="宋体"/>
          <w:szCs w:val="21"/>
          <w:u w:val="single"/>
          <w:lang w:val="en-US"/>
        </w:rPr>
        <w:t xml:space="preserve">    </w:t>
      </w:r>
      <w:r>
        <w:rPr>
          <w:rFonts w:ascii="Times New Roman" w:hAnsi="Times New Roman" w:eastAsia="宋体"/>
          <w:szCs w:val="21"/>
          <w:u w:val="single"/>
        </w:rPr>
        <w:t>月</w:t>
      </w:r>
      <w:r>
        <w:rPr>
          <w:rFonts w:ascii="Times New Roman" w:hAnsi="Times New Roman" w:eastAsia="宋体"/>
          <w:szCs w:val="21"/>
          <w:u w:val="single"/>
          <w:lang w:val="en-US"/>
        </w:rPr>
        <w:t xml:space="preserve">    </w:t>
      </w:r>
      <w:r>
        <w:rPr>
          <w:rFonts w:ascii="Times New Roman" w:hAnsi="Times New Roman" w:eastAsia="宋体"/>
          <w:szCs w:val="21"/>
          <w:u w:val="single"/>
        </w:rPr>
        <w:t>日</w:t>
      </w:r>
    </w:p>
    <w:p>
      <w:pPr>
        <w:ind w:firstLine="420" w:firstLineChars="200"/>
        <w:rPr>
          <w:rFonts w:ascii="Times New Roman" w:hAnsi="Times New Roman" w:eastAsia="宋体"/>
          <w:lang w:val="en-US"/>
        </w:rPr>
      </w:pPr>
    </w:p>
    <w:p>
      <w:pPr>
        <w:ind w:firstLine="420" w:firstLineChars="200"/>
        <w:rPr>
          <w:rFonts w:ascii="Times New Roman" w:hAnsi="Times New Roman" w:eastAsia="宋体"/>
          <w:lang w:val="en-US"/>
        </w:rPr>
      </w:pPr>
      <w:r>
        <w:rPr>
          <w:rFonts w:hint="eastAsia" w:ascii="Times New Roman" w:hAnsi="Times New Roman" w:eastAsia="宋体"/>
          <w:lang w:val="en-US"/>
        </w:rPr>
        <w:t>说明：</w:t>
      </w:r>
    </w:p>
    <w:p>
      <w:pPr>
        <w:ind w:firstLine="420" w:firstLineChars="200"/>
        <w:rPr>
          <w:rFonts w:ascii="Times New Roman" w:hAnsi="Times New Roman" w:eastAsia="宋体"/>
          <w:lang w:val="en-US"/>
        </w:rPr>
      </w:pPr>
      <w:r>
        <w:rPr>
          <w:rFonts w:hint="eastAsia" w:ascii="Times New Roman" w:hAnsi="Times New Roman" w:eastAsia="Times New Roman"/>
          <w:lang w:val="en-US"/>
        </w:rPr>
        <w:t>1</w:t>
      </w:r>
      <w:r>
        <w:rPr>
          <w:rFonts w:hint="eastAsia" w:ascii="Times New Roman" w:hAnsi="Times New Roman" w:eastAsia="宋体"/>
          <w:lang w:val="en-US"/>
        </w:rPr>
        <w:t>、投标人须作出书面承诺</w:t>
      </w:r>
      <w:r>
        <w:rPr>
          <w:rFonts w:hint="eastAsia" w:ascii="宋体" w:hAnsi="宋体" w:eastAsia="宋体"/>
          <w:lang w:val="en-US"/>
        </w:rPr>
        <w:t>，</w:t>
      </w:r>
      <w:r>
        <w:rPr>
          <w:rFonts w:hint="eastAsia" w:ascii="Times New Roman" w:hAnsi="Times New Roman" w:eastAsia="宋体"/>
          <w:lang w:val="en-US"/>
        </w:rPr>
        <w:t>否则投标无效。</w:t>
      </w:r>
    </w:p>
    <w:p>
      <w:pPr>
        <w:ind w:firstLine="420" w:firstLineChars="200"/>
        <w:rPr>
          <w:rFonts w:ascii="Times New Roman" w:hAnsi="Times New Roman" w:eastAsia="宋体"/>
          <w:lang w:val="en-US"/>
        </w:rPr>
      </w:pPr>
      <w:r>
        <w:rPr>
          <w:rFonts w:hint="eastAsia" w:ascii="Times New Roman" w:hAnsi="Times New Roman" w:eastAsia="Times New Roman"/>
          <w:lang w:val="en-US"/>
        </w:rPr>
        <w:t>2</w:t>
      </w:r>
      <w:r>
        <w:rPr>
          <w:rFonts w:hint="eastAsia" w:ascii="Times New Roman" w:hAnsi="Times New Roman" w:eastAsia="宋体"/>
          <w:lang w:val="en-US"/>
        </w:rPr>
        <w:t>、采购人或警采中心可以查询投标人的承诺事项</w:t>
      </w:r>
      <w:r>
        <w:rPr>
          <w:rFonts w:hint="eastAsia" w:ascii="宋体" w:hAnsi="宋体" w:eastAsia="宋体"/>
          <w:lang w:val="en-US"/>
        </w:rPr>
        <w:t>，</w:t>
      </w:r>
      <w:r>
        <w:rPr>
          <w:rFonts w:hint="eastAsia" w:ascii="Times New Roman" w:hAnsi="Times New Roman" w:eastAsia="宋体"/>
          <w:lang w:val="en-US"/>
        </w:rPr>
        <w:t>若投标人的承诺和查询结果不一致的</w:t>
      </w:r>
      <w:r>
        <w:rPr>
          <w:rFonts w:hint="eastAsia" w:ascii="宋体" w:hAnsi="宋体" w:eastAsia="宋体"/>
          <w:lang w:val="en-US"/>
        </w:rPr>
        <w:t>，</w:t>
      </w:r>
      <w:r>
        <w:rPr>
          <w:rFonts w:hint="eastAsia" w:ascii="Times New Roman" w:hAnsi="Times New Roman" w:eastAsia="宋体"/>
          <w:lang w:val="en-US"/>
        </w:rPr>
        <w:t>以查询结果为准。</w:t>
      </w:r>
    </w:p>
    <w:p>
      <w:pPr>
        <w:ind w:firstLine="420" w:firstLineChars="200"/>
        <w:rPr>
          <w:rFonts w:ascii="Times New Roman" w:hAnsi="Times New Roman" w:eastAsia="宋体"/>
          <w:lang w:val="en-US"/>
        </w:rPr>
      </w:pPr>
      <w:r>
        <w:rPr>
          <w:rFonts w:hint="eastAsia" w:ascii="Times New Roman" w:hAnsi="Times New Roman" w:eastAsia="Times New Roman"/>
          <w:lang w:val="en-US"/>
        </w:rPr>
        <w:t>3</w:t>
      </w:r>
      <w:r>
        <w:rPr>
          <w:rFonts w:hint="eastAsia" w:ascii="Times New Roman" w:hAnsi="Times New Roman" w:eastAsia="宋体"/>
          <w:lang w:val="en-US"/>
        </w:rPr>
        <w:t>、须盖投标人公章、法定代表人签字或盖章、投标人代表签字或盖章</w:t>
      </w:r>
      <w:r>
        <w:rPr>
          <w:rFonts w:hint="eastAsia" w:ascii="宋体" w:hAnsi="宋体" w:eastAsia="宋体"/>
          <w:lang w:val="en-US"/>
        </w:rPr>
        <w:t>，</w:t>
      </w:r>
      <w:r>
        <w:rPr>
          <w:rFonts w:hint="eastAsia" w:ascii="Times New Roman" w:hAnsi="Times New Roman" w:eastAsia="宋体"/>
          <w:lang w:val="en-US"/>
        </w:rPr>
        <w:t>如无公章、签字或盖章</w:t>
      </w:r>
      <w:r>
        <w:rPr>
          <w:rFonts w:hint="eastAsia" w:ascii="宋体" w:hAnsi="宋体" w:eastAsia="宋体"/>
          <w:lang w:val="en-US"/>
        </w:rPr>
        <w:t>，</w:t>
      </w:r>
      <w:r>
        <w:rPr>
          <w:rFonts w:hint="eastAsia" w:ascii="Times New Roman" w:hAnsi="Times New Roman" w:eastAsia="宋体"/>
          <w:lang w:val="en-US"/>
        </w:rPr>
        <w:t>投标无效。</w:t>
      </w:r>
    </w:p>
    <w:p>
      <w:pPr>
        <w:pStyle w:val="3"/>
        <w:spacing w:before="120"/>
        <w:rPr>
          <w:color w:val="auto"/>
        </w:rPr>
      </w:pPr>
      <w:bookmarkStart w:id="227" w:name="_Toc3835"/>
      <w:bookmarkStart w:id="228" w:name="_Toc48309524"/>
      <w:bookmarkStart w:id="229" w:name="_Toc29973"/>
      <w:bookmarkStart w:id="230" w:name="_Toc30601"/>
      <w:bookmarkStart w:id="231" w:name="_Toc18425"/>
      <w:bookmarkStart w:id="232" w:name="_Toc27202"/>
      <w:r>
        <w:rPr>
          <w:color w:val="auto"/>
        </w:rPr>
        <w:t>*投标函</w:t>
      </w:r>
      <w:bookmarkEnd w:id="225"/>
      <w:bookmarkEnd w:id="226"/>
      <w:bookmarkEnd w:id="227"/>
      <w:bookmarkEnd w:id="228"/>
      <w:bookmarkEnd w:id="229"/>
      <w:bookmarkEnd w:id="230"/>
      <w:bookmarkEnd w:id="231"/>
      <w:bookmarkEnd w:id="232"/>
    </w:p>
    <w:p>
      <w:pPr>
        <w:ind w:firstLine="480" w:firstLineChars="200"/>
        <w:jc w:val="center"/>
        <w:rPr>
          <w:rFonts w:ascii="微软雅黑" w:hAnsi="微软雅黑" w:eastAsia="宋体" w:cs="宋体"/>
          <w:szCs w:val="21"/>
        </w:rPr>
      </w:pPr>
      <w:r>
        <w:rPr>
          <w:rFonts w:hint="eastAsia" w:ascii="Times New Roman" w:hAnsi="Times New Roman" w:eastAsia="宋体"/>
          <w:sz w:val="24"/>
          <w:szCs w:val="21"/>
          <w:lang w:val="en-US"/>
        </w:rPr>
        <w:t>投标函</w:t>
      </w:r>
    </w:p>
    <w:p>
      <w:pPr>
        <w:rPr>
          <w:rFonts w:ascii="Times New Roman" w:hAnsi="Times New Roman" w:eastAsia="宋体"/>
          <w:lang w:val="en-US"/>
        </w:rPr>
      </w:pPr>
      <w:r>
        <w:rPr>
          <w:rFonts w:ascii="Times New Roman" w:hAnsi="Times New Roman" w:eastAsia="宋体"/>
          <w:lang w:val="en-US"/>
        </w:rPr>
        <w:t>公安部警用装备</w:t>
      </w:r>
      <w:r>
        <w:rPr>
          <w:rFonts w:hint="eastAsia" w:ascii="Times New Roman" w:hAnsi="Times New Roman" w:eastAsia="宋体"/>
          <w:lang w:val="en-US"/>
        </w:rPr>
        <w:t>采购</w:t>
      </w:r>
      <w:r>
        <w:rPr>
          <w:rFonts w:ascii="Times New Roman" w:hAnsi="Times New Roman" w:eastAsia="宋体"/>
          <w:lang w:val="en-US"/>
        </w:rPr>
        <w:t>中心：</w:t>
      </w:r>
    </w:p>
    <w:p>
      <w:pPr>
        <w:ind w:firstLine="420" w:firstLineChars="200"/>
        <w:rPr>
          <w:rFonts w:ascii="Times New Roman" w:hAnsi="Times New Roman" w:eastAsia="宋体"/>
          <w:lang w:val="en-US"/>
        </w:rPr>
      </w:pPr>
      <w:r>
        <w:rPr>
          <w:rFonts w:ascii="Times New Roman" w:hAnsi="Times New Roman" w:eastAsia="宋体"/>
          <w:lang w:val="en-US"/>
        </w:rPr>
        <w:t>（投标人全称）授权（投标人代表姓名）（职务、职称）为我方代表</w:t>
      </w:r>
      <w:r>
        <w:rPr>
          <w:rFonts w:ascii="宋体" w:hAnsi="宋体" w:eastAsia="宋体"/>
          <w:lang w:val="en-US"/>
        </w:rPr>
        <w:t>，</w:t>
      </w:r>
      <w:r>
        <w:rPr>
          <w:rFonts w:ascii="Times New Roman" w:hAnsi="Times New Roman" w:eastAsia="宋体"/>
          <w:lang w:val="en-US"/>
        </w:rPr>
        <w:t>参加贵方组织的</w:t>
      </w:r>
      <w:r>
        <w:rPr>
          <w:rFonts w:hint="eastAsia" w:ascii="Times New Roman" w:hAnsi="Times New Roman" w:eastAsia="宋体"/>
          <w:u w:val="single"/>
          <w:lang w:val="en-US"/>
        </w:rPr>
        <w:t xml:space="preserve">    </w:t>
      </w:r>
      <w:r>
        <w:rPr>
          <w:rFonts w:ascii="Times New Roman" w:hAnsi="Times New Roman" w:eastAsia="宋体"/>
          <w:lang w:val="en-US"/>
        </w:rPr>
        <w:t>采购项目（项目编号：</w:t>
      </w:r>
      <w:r>
        <w:rPr>
          <w:rFonts w:hint="eastAsia" w:ascii="Times New Roman" w:hAnsi="Times New Roman" w:eastAsia="宋体"/>
          <w:u w:val="single"/>
          <w:lang w:val="en-US"/>
        </w:rPr>
        <w:t xml:space="preserve">     </w:t>
      </w:r>
      <w:r>
        <w:rPr>
          <w:rFonts w:ascii="Times New Roman" w:hAnsi="Times New Roman" w:eastAsia="宋体"/>
          <w:lang w:val="en-US"/>
        </w:rPr>
        <w:t>）招标的有关活动</w:t>
      </w:r>
      <w:r>
        <w:rPr>
          <w:rFonts w:ascii="宋体" w:hAnsi="宋体" w:eastAsia="宋体"/>
          <w:lang w:val="en-US"/>
        </w:rPr>
        <w:t>，</w:t>
      </w:r>
      <w:r>
        <w:rPr>
          <w:rFonts w:ascii="Times New Roman" w:hAnsi="Times New Roman" w:eastAsia="宋体"/>
          <w:lang w:val="en-US"/>
        </w:rPr>
        <w:t>并对此项目进行投标。为此：</w:t>
      </w:r>
    </w:p>
    <w:p>
      <w:pPr>
        <w:ind w:firstLine="420" w:firstLineChars="200"/>
        <w:rPr>
          <w:rFonts w:ascii="Times New Roman" w:hAnsi="Times New Roman" w:eastAsia="宋体"/>
          <w:lang w:val="en-US"/>
        </w:rPr>
      </w:pPr>
      <w:r>
        <w:rPr>
          <w:rFonts w:ascii="Times New Roman" w:hAnsi="Times New Roman" w:eastAsia="Times New Roman"/>
          <w:lang w:val="en-US"/>
        </w:rPr>
        <w:t>1</w:t>
      </w:r>
      <w:r>
        <w:rPr>
          <w:rFonts w:ascii="Times New Roman" w:hAnsi="Times New Roman" w:eastAsia="宋体"/>
          <w:lang w:val="en-US"/>
        </w:rPr>
        <w:t>、我方同意在本项目招标文件中规定的开标日起</w:t>
      </w:r>
      <w:r>
        <w:rPr>
          <w:rFonts w:ascii="Times New Roman" w:hAnsi="Times New Roman" w:eastAsia="Times New Roman"/>
          <w:lang w:val="en-US"/>
        </w:rPr>
        <w:t>120</w:t>
      </w:r>
      <w:r>
        <w:rPr>
          <w:rFonts w:ascii="Times New Roman" w:hAnsi="Times New Roman" w:eastAsia="宋体"/>
          <w:lang w:val="en-US"/>
        </w:rPr>
        <w:t>日历日内遵守本投标文件中的承诺且在此期限期满之前均具有约束力。</w:t>
      </w:r>
    </w:p>
    <w:p>
      <w:pPr>
        <w:ind w:firstLine="420" w:firstLineChars="200"/>
        <w:rPr>
          <w:rFonts w:ascii="Times New Roman" w:hAnsi="Times New Roman" w:eastAsia="宋体"/>
          <w:lang w:val="en-US"/>
        </w:rPr>
      </w:pPr>
      <w:r>
        <w:rPr>
          <w:rFonts w:ascii="Times New Roman" w:hAnsi="Times New Roman" w:eastAsia="Times New Roman"/>
          <w:lang w:val="en-US"/>
        </w:rPr>
        <w:t>2</w:t>
      </w:r>
      <w:r>
        <w:rPr>
          <w:rFonts w:ascii="Times New Roman" w:hAnsi="Times New Roman" w:eastAsia="宋体"/>
          <w:lang w:val="en-US"/>
        </w:rPr>
        <w:t>、我方承诺已经具备《中华人民共和国政府采购法》中规定的参加政府采购活动的供应商应当具备的条件：</w:t>
      </w:r>
    </w:p>
    <w:p>
      <w:pPr>
        <w:ind w:firstLine="420" w:firstLineChars="200"/>
        <w:rPr>
          <w:rFonts w:ascii="Times New Roman" w:hAnsi="Times New Roman" w:eastAsia="宋体"/>
          <w:lang w:val="en-US"/>
        </w:rPr>
      </w:pPr>
      <w:r>
        <w:rPr>
          <w:rFonts w:ascii="Times New Roman" w:hAnsi="Times New Roman" w:eastAsia="宋体"/>
          <w:lang w:val="en-US"/>
        </w:rPr>
        <w:t>（</w:t>
      </w:r>
      <w:r>
        <w:rPr>
          <w:rFonts w:ascii="Times New Roman" w:hAnsi="Times New Roman" w:eastAsia="Times New Roman"/>
          <w:lang w:val="en-US"/>
        </w:rPr>
        <w:t>1</w:t>
      </w:r>
      <w:r>
        <w:rPr>
          <w:rFonts w:ascii="Times New Roman" w:hAnsi="Times New Roman" w:eastAsia="宋体"/>
          <w:lang w:val="en-US"/>
        </w:rPr>
        <w:t>）具有独立承担民事责任的能力；</w:t>
      </w:r>
    </w:p>
    <w:p>
      <w:pPr>
        <w:ind w:firstLine="420" w:firstLineChars="200"/>
        <w:rPr>
          <w:rFonts w:ascii="Times New Roman" w:hAnsi="Times New Roman" w:eastAsia="宋体"/>
          <w:lang w:val="en-US"/>
        </w:rPr>
      </w:pPr>
      <w:r>
        <w:rPr>
          <w:rFonts w:ascii="Times New Roman" w:hAnsi="Times New Roman" w:eastAsia="宋体"/>
          <w:lang w:val="en-US"/>
        </w:rPr>
        <w:t>（</w:t>
      </w:r>
      <w:r>
        <w:rPr>
          <w:rFonts w:ascii="Times New Roman" w:hAnsi="Times New Roman" w:eastAsia="Times New Roman"/>
          <w:lang w:val="en-US"/>
        </w:rPr>
        <w:t>2</w:t>
      </w:r>
      <w:r>
        <w:rPr>
          <w:rFonts w:ascii="Times New Roman" w:hAnsi="Times New Roman" w:eastAsia="宋体"/>
          <w:lang w:val="en-US"/>
        </w:rPr>
        <w:t>）具有良好的商业信誉和健全的财务会计制度；</w:t>
      </w:r>
    </w:p>
    <w:p>
      <w:pPr>
        <w:ind w:firstLine="420" w:firstLineChars="200"/>
        <w:rPr>
          <w:rFonts w:ascii="Times New Roman" w:hAnsi="Times New Roman" w:eastAsia="宋体"/>
          <w:lang w:val="en-US"/>
        </w:rPr>
      </w:pPr>
      <w:r>
        <w:rPr>
          <w:rFonts w:ascii="Times New Roman" w:hAnsi="Times New Roman" w:eastAsia="宋体"/>
          <w:lang w:val="en-US"/>
        </w:rPr>
        <w:t>（</w:t>
      </w:r>
      <w:r>
        <w:rPr>
          <w:rFonts w:ascii="Times New Roman" w:hAnsi="Times New Roman" w:eastAsia="Times New Roman"/>
          <w:lang w:val="en-US"/>
        </w:rPr>
        <w:t>3</w:t>
      </w:r>
      <w:r>
        <w:rPr>
          <w:rFonts w:ascii="Times New Roman" w:hAnsi="Times New Roman" w:eastAsia="宋体"/>
          <w:lang w:val="en-US"/>
        </w:rPr>
        <w:t>）具有履行合同所必需的设备和专业技术能力；</w:t>
      </w:r>
    </w:p>
    <w:p>
      <w:pPr>
        <w:ind w:firstLine="420" w:firstLineChars="200"/>
        <w:rPr>
          <w:rFonts w:ascii="Times New Roman" w:hAnsi="Times New Roman" w:eastAsia="宋体"/>
          <w:lang w:val="en-US"/>
        </w:rPr>
      </w:pPr>
      <w:r>
        <w:rPr>
          <w:rFonts w:ascii="Times New Roman" w:hAnsi="Times New Roman" w:eastAsia="宋体"/>
          <w:lang w:val="en-US"/>
        </w:rPr>
        <w:t>（</w:t>
      </w:r>
      <w:r>
        <w:rPr>
          <w:rFonts w:ascii="Times New Roman" w:hAnsi="Times New Roman" w:eastAsia="Times New Roman"/>
          <w:lang w:val="en-US"/>
        </w:rPr>
        <w:t>4</w:t>
      </w:r>
      <w:r>
        <w:rPr>
          <w:rFonts w:ascii="Times New Roman" w:hAnsi="Times New Roman" w:eastAsia="宋体"/>
          <w:lang w:val="en-US"/>
        </w:rPr>
        <w:t>）有依法缴纳税收和社会保障资金的良好记录；</w:t>
      </w:r>
    </w:p>
    <w:p>
      <w:pPr>
        <w:ind w:firstLine="420" w:firstLineChars="200"/>
        <w:rPr>
          <w:rFonts w:ascii="Times New Roman" w:hAnsi="Times New Roman" w:eastAsia="宋体"/>
          <w:lang w:val="en-US"/>
        </w:rPr>
      </w:pPr>
      <w:r>
        <w:rPr>
          <w:rFonts w:ascii="Times New Roman" w:hAnsi="Times New Roman" w:eastAsia="宋体"/>
          <w:lang w:val="en-US"/>
        </w:rPr>
        <w:t>（</w:t>
      </w:r>
      <w:r>
        <w:rPr>
          <w:rFonts w:ascii="Times New Roman" w:hAnsi="Times New Roman" w:eastAsia="Times New Roman"/>
          <w:lang w:val="en-US"/>
        </w:rPr>
        <w:t>5</w:t>
      </w:r>
      <w:r>
        <w:rPr>
          <w:rFonts w:ascii="Times New Roman" w:hAnsi="Times New Roman" w:eastAsia="宋体"/>
          <w:lang w:val="en-US"/>
        </w:rPr>
        <w:t>）参加此项采购活动前三年内</w:t>
      </w:r>
      <w:r>
        <w:rPr>
          <w:rFonts w:ascii="宋体" w:hAnsi="宋体" w:eastAsia="宋体"/>
          <w:lang w:val="en-US"/>
        </w:rPr>
        <w:t>，</w:t>
      </w:r>
      <w:r>
        <w:rPr>
          <w:rFonts w:ascii="Times New Roman" w:hAnsi="Times New Roman" w:eastAsia="宋体"/>
          <w:lang w:val="en-US"/>
        </w:rPr>
        <w:t>在经营活动中没有重大违法记录。</w:t>
      </w:r>
    </w:p>
    <w:p>
      <w:pPr>
        <w:ind w:firstLine="420" w:firstLineChars="200"/>
        <w:rPr>
          <w:rFonts w:ascii="Times New Roman" w:hAnsi="Times New Roman" w:eastAsia="宋体"/>
          <w:lang w:val="en-US"/>
        </w:rPr>
      </w:pPr>
      <w:r>
        <w:rPr>
          <w:rFonts w:ascii="Times New Roman" w:hAnsi="Times New Roman" w:eastAsia="Times New Roman"/>
          <w:lang w:val="en-US"/>
        </w:rPr>
        <w:t>3</w:t>
      </w:r>
      <w:r>
        <w:rPr>
          <w:rFonts w:ascii="Times New Roman" w:hAnsi="Times New Roman" w:eastAsia="宋体"/>
          <w:lang w:val="en-US"/>
        </w:rPr>
        <w:t>、我方已详细审核全部投标文件</w:t>
      </w:r>
      <w:r>
        <w:rPr>
          <w:rFonts w:ascii="宋体" w:hAnsi="宋体" w:eastAsia="宋体"/>
          <w:lang w:val="en-US"/>
        </w:rPr>
        <w:t>，</w:t>
      </w:r>
      <w:r>
        <w:rPr>
          <w:rFonts w:ascii="Times New Roman" w:hAnsi="Times New Roman" w:eastAsia="宋体"/>
          <w:lang w:val="en-US"/>
        </w:rPr>
        <w:t>包括投标文件修改书（如有的话）、参考资料及有关附件</w:t>
      </w:r>
      <w:r>
        <w:rPr>
          <w:rFonts w:ascii="宋体" w:hAnsi="宋体" w:eastAsia="宋体"/>
          <w:lang w:val="en-US"/>
        </w:rPr>
        <w:t>，</w:t>
      </w:r>
      <w:r>
        <w:rPr>
          <w:rFonts w:ascii="Times New Roman" w:hAnsi="Times New Roman" w:eastAsia="宋体"/>
          <w:lang w:val="en-US"/>
        </w:rPr>
        <w:t>确认无误</w:t>
      </w:r>
      <w:r>
        <w:rPr>
          <w:rFonts w:hint="eastAsia" w:ascii="Times New Roman" w:hAnsi="Times New Roman" w:eastAsia="宋体"/>
          <w:lang w:val="en-US"/>
        </w:rPr>
        <w:t>并</w:t>
      </w:r>
      <w:r>
        <w:rPr>
          <w:rFonts w:ascii="Times New Roman" w:hAnsi="Times New Roman" w:eastAsia="宋体"/>
          <w:lang w:val="en-US"/>
        </w:rPr>
        <w:t>保证遵守招标文件的规定。</w:t>
      </w:r>
    </w:p>
    <w:p>
      <w:pPr>
        <w:ind w:firstLine="420" w:firstLineChars="200"/>
        <w:rPr>
          <w:rFonts w:ascii="Times New Roman" w:hAnsi="Times New Roman" w:eastAsia="宋体"/>
          <w:lang w:val="en-US"/>
        </w:rPr>
      </w:pPr>
      <w:r>
        <w:rPr>
          <w:rFonts w:ascii="Times New Roman" w:hAnsi="Times New Roman" w:eastAsia="Times New Roman"/>
          <w:lang w:val="en-US"/>
        </w:rPr>
        <w:t>4</w:t>
      </w:r>
      <w:r>
        <w:rPr>
          <w:rFonts w:ascii="Times New Roman" w:hAnsi="Times New Roman" w:eastAsia="宋体"/>
          <w:lang w:val="en-US"/>
        </w:rPr>
        <w:t>、如果在开标后规定的投标有效期内撤回投标</w:t>
      </w:r>
      <w:r>
        <w:rPr>
          <w:rFonts w:ascii="宋体" w:hAnsi="宋体" w:eastAsia="宋体"/>
          <w:lang w:val="en-US"/>
        </w:rPr>
        <w:t>，</w:t>
      </w:r>
      <w:r>
        <w:rPr>
          <w:rFonts w:ascii="Times New Roman" w:hAnsi="Times New Roman" w:eastAsia="宋体"/>
          <w:lang w:val="en-US"/>
        </w:rPr>
        <w:t>我方的投标保证金可被贵方没收。</w:t>
      </w:r>
    </w:p>
    <w:p>
      <w:pPr>
        <w:ind w:firstLine="420" w:firstLineChars="200"/>
        <w:rPr>
          <w:rFonts w:ascii="Times New Roman" w:hAnsi="Times New Roman" w:eastAsia="宋体"/>
          <w:highlight w:val="yellow"/>
          <w:lang w:val="en-US"/>
        </w:rPr>
      </w:pPr>
      <w:r>
        <w:rPr>
          <w:rFonts w:ascii="Times New Roman" w:hAnsi="Times New Roman" w:eastAsia="Times New Roman"/>
          <w:lang w:val="en-US"/>
        </w:rPr>
        <w:t>5</w:t>
      </w:r>
      <w:r>
        <w:rPr>
          <w:rFonts w:ascii="Times New Roman" w:hAnsi="Times New Roman" w:eastAsia="宋体"/>
          <w:lang w:val="en-US"/>
        </w:rPr>
        <w:t>、</w:t>
      </w:r>
      <w:r>
        <w:rPr>
          <w:rFonts w:hint="eastAsia" w:ascii="Times New Roman" w:hAnsi="Times New Roman" w:eastAsia="宋体"/>
          <w:highlight w:val="yellow"/>
          <w:lang w:val="en-US"/>
        </w:rPr>
        <w:t>投标</w:t>
      </w:r>
      <w:r>
        <w:rPr>
          <w:rFonts w:ascii="Times New Roman" w:hAnsi="Times New Roman" w:eastAsia="宋体"/>
          <w:highlight w:val="yellow"/>
          <w:lang w:val="en-US"/>
        </w:rPr>
        <w:t>保证金</w:t>
      </w:r>
      <w:r>
        <w:rPr>
          <w:rFonts w:hint="eastAsia" w:ascii="Times New Roman" w:hAnsi="Times New Roman" w:eastAsia="宋体"/>
          <w:highlight w:val="yellow"/>
          <w:lang w:val="en-US" w:eastAsia="zh-CN"/>
        </w:rPr>
        <w:t>以银行转账形式提交的，</w:t>
      </w:r>
      <w:r>
        <w:rPr>
          <w:rFonts w:ascii="Times New Roman" w:hAnsi="Times New Roman" w:eastAsia="宋体"/>
          <w:highlight w:val="yellow"/>
          <w:lang w:val="en-US"/>
        </w:rPr>
        <w:t>退还账户信息如下：</w:t>
      </w:r>
    </w:p>
    <w:p>
      <w:pPr>
        <w:ind w:left="420" w:firstLine="315" w:firstLineChars="150"/>
        <w:rPr>
          <w:rFonts w:ascii="Times New Roman" w:hAnsi="Times New Roman" w:eastAsia="宋体"/>
          <w:highlight w:val="yellow"/>
          <w:lang w:val="en-US"/>
        </w:rPr>
      </w:pPr>
      <w:r>
        <w:rPr>
          <w:rFonts w:hint="eastAsia" w:ascii="Times New Roman" w:hAnsi="Times New Roman" w:eastAsia="宋体"/>
          <w:highlight w:val="yellow"/>
          <w:lang w:val="en-US"/>
        </w:rPr>
        <w:t>开户</w:t>
      </w:r>
      <w:r>
        <w:rPr>
          <w:rFonts w:ascii="Times New Roman" w:hAnsi="Times New Roman" w:eastAsia="宋体"/>
          <w:highlight w:val="yellow"/>
          <w:lang w:val="en-US"/>
        </w:rPr>
        <w:t>名称：</w:t>
      </w:r>
    </w:p>
    <w:p>
      <w:pPr>
        <w:ind w:left="420" w:firstLine="315" w:firstLineChars="150"/>
        <w:rPr>
          <w:rFonts w:ascii="Times New Roman" w:hAnsi="Times New Roman" w:eastAsia="宋体"/>
          <w:highlight w:val="yellow"/>
          <w:lang w:val="en-US"/>
        </w:rPr>
      </w:pPr>
      <w:r>
        <w:rPr>
          <w:rFonts w:hint="eastAsia" w:ascii="Times New Roman" w:hAnsi="Times New Roman" w:eastAsia="宋体"/>
          <w:highlight w:val="yellow"/>
          <w:lang w:val="en-US"/>
        </w:rPr>
        <w:t>开户行：</w:t>
      </w:r>
    </w:p>
    <w:p>
      <w:pPr>
        <w:ind w:left="420" w:firstLine="315" w:firstLineChars="150"/>
        <w:rPr>
          <w:rFonts w:ascii="Times New Roman" w:hAnsi="Times New Roman" w:eastAsia="宋体"/>
          <w:highlight w:val="yellow"/>
          <w:lang w:val="en-US"/>
        </w:rPr>
      </w:pPr>
      <w:r>
        <w:rPr>
          <w:rFonts w:hint="eastAsia" w:ascii="Times New Roman" w:hAnsi="Times New Roman" w:eastAsia="宋体"/>
          <w:highlight w:val="yellow"/>
          <w:lang w:val="en-US"/>
        </w:rPr>
        <w:t>银行账户</w:t>
      </w:r>
      <w:r>
        <w:rPr>
          <w:rFonts w:ascii="Times New Roman" w:hAnsi="Times New Roman" w:eastAsia="宋体"/>
          <w:highlight w:val="yellow"/>
          <w:lang w:val="en-US"/>
        </w:rPr>
        <w:t>：</w:t>
      </w:r>
    </w:p>
    <w:p>
      <w:pPr>
        <w:ind w:left="420" w:firstLine="315" w:firstLineChars="150"/>
        <w:rPr>
          <w:rFonts w:hint="eastAsia" w:ascii="Times New Roman" w:hAnsi="Times New Roman" w:eastAsia="宋体"/>
          <w:highlight w:val="yellow"/>
          <w:lang w:val="en-US" w:eastAsia="zh-CN"/>
        </w:rPr>
      </w:pPr>
      <w:r>
        <w:rPr>
          <w:rFonts w:hint="eastAsia" w:ascii="Times New Roman" w:hAnsi="Times New Roman" w:eastAsia="宋体"/>
          <w:highlight w:val="yellow"/>
          <w:lang w:val="en-US" w:eastAsia="zh-CN"/>
        </w:rPr>
        <w:t>投标保证金以支票、汇票、本票或者保函形式提交的，退还地址信息如下：</w:t>
      </w:r>
    </w:p>
    <w:p>
      <w:pPr>
        <w:ind w:left="420" w:firstLine="315" w:firstLineChars="150"/>
        <w:rPr>
          <w:rFonts w:hint="eastAsia" w:ascii="Times New Roman" w:hAnsi="Times New Roman" w:eastAsia="宋体"/>
          <w:highlight w:val="yellow"/>
          <w:lang w:val="en-US" w:eastAsia="zh-CN"/>
        </w:rPr>
      </w:pPr>
      <w:r>
        <w:rPr>
          <w:rFonts w:hint="eastAsia" w:ascii="Times New Roman" w:hAnsi="Times New Roman" w:eastAsia="宋体"/>
          <w:highlight w:val="yellow"/>
          <w:lang w:val="en-US" w:eastAsia="zh-CN"/>
        </w:rPr>
        <w:t>邮寄地址：</w:t>
      </w:r>
    </w:p>
    <w:p>
      <w:pPr>
        <w:ind w:left="420" w:firstLine="315" w:firstLineChars="150"/>
        <w:rPr>
          <w:rFonts w:hint="eastAsia" w:ascii="Times New Roman" w:hAnsi="Times New Roman" w:eastAsia="宋体"/>
          <w:highlight w:val="yellow"/>
          <w:lang w:val="en-US" w:eastAsia="zh-CN"/>
        </w:rPr>
      </w:pPr>
      <w:r>
        <w:rPr>
          <w:rFonts w:hint="eastAsia" w:ascii="Times New Roman" w:hAnsi="Times New Roman" w:eastAsia="宋体"/>
          <w:highlight w:val="yellow"/>
          <w:lang w:val="en-US" w:eastAsia="zh-CN"/>
        </w:rPr>
        <w:t>收件人：</w:t>
      </w:r>
    </w:p>
    <w:p>
      <w:pPr>
        <w:ind w:left="420" w:firstLine="315" w:firstLineChars="150"/>
        <w:rPr>
          <w:rFonts w:hint="default" w:ascii="Times New Roman" w:hAnsi="Times New Roman" w:eastAsia="宋体"/>
          <w:highlight w:val="yellow"/>
          <w:lang w:val="en-US" w:eastAsia="zh-CN"/>
        </w:rPr>
      </w:pPr>
      <w:r>
        <w:rPr>
          <w:rFonts w:hint="eastAsia" w:ascii="Times New Roman" w:hAnsi="Times New Roman" w:eastAsia="宋体"/>
          <w:highlight w:val="yellow"/>
          <w:lang w:val="en-US" w:eastAsia="zh-CN"/>
        </w:rPr>
        <w:t>联系电话（手机）：</w:t>
      </w:r>
    </w:p>
    <w:p>
      <w:pPr>
        <w:ind w:firstLine="420" w:firstLineChars="200"/>
        <w:rPr>
          <w:rFonts w:ascii="Times New Roman" w:hAnsi="Times New Roman" w:eastAsia="宋体"/>
          <w:lang w:val="en-US"/>
        </w:rPr>
      </w:pPr>
      <w:r>
        <w:rPr>
          <w:rFonts w:hint="eastAsia" w:ascii="Times New Roman" w:hAnsi="Times New Roman" w:eastAsia="Times New Roman"/>
          <w:lang w:val="en-US"/>
        </w:rPr>
        <w:t>6</w:t>
      </w:r>
      <w:r>
        <w:rPr>
          <w:rFonts w:hint="eastAsia" w:ascii="Times New Roman" w:hAnsi="Times New Roman" w:eastAsia="宋体"/>
          <w:lang w:val="en-US"/>
        </w:rPr>
        <w:t>、</w:t>
      </w:r>
      <w:r>
        <w:rPr>
          <w:rFonts w:ascii="Times New Roman" w:hAnsi="Times New Roman" w:eastAsia="宋体"/>
          <w:lang w:val="en-US"/>
        </w:rPr>
        <w:t>我方愿意向贵方提供任何与本项投标有关的数据、情况和技术资料。若贵方需要</w:t>
      </w:r>
      <w:r>
        <w:rPr>
          <w:rFonts w:ascii="宋体" w:hAnsi="宋体" w:eastAsia="宋体"/>
          <w:lang w:val="en-US"/>
        </w:rPr>
        <w:t>，</w:t>
      </w:r>
      <w:r>
        <w:rPr>
          <w:rFonts w:ascii="Times New Roman" w:hAnsi="Times New Roman" w:eastAsia="宋体"/>
          <w:lang w:val="en-US"/>
        </w:rPr>
        <w:t>我方愿意提供我方作出的一切承诺的证明材料。</w:t>
      </w:r>
    </w:p>
    <w:p>
      <w:pPr>
        <w:ind w:firstLine="420" w:firstLineChars="200"/>
        <w:rPr>
          <w:rFonts w:ascii="Times New Roman" w:hAnsi="Times New Roman" w:eastAsia="宋体"/>
          <w:lang w:val="en-US"/>
        </w:rPr>
      </w:pPr>
      <w:r>
        <w:rPr>
          <w:rFonts w:hint="eastAsia" w:ascii="Times New Roman" w:hAnsi="Times New Roman" w:eastAsia="Times New Roman"/>
          <w:lang w:val="en-US"/>
        </w:rPr>
        <w:t>7</w:t>
      </w:r>
      <w:r>
        <w:rPr>
          <w:rFonts w:ascii="Times New Roman" w:hAnsi="Times New Roman" w:eastAsia="宋体"/>
          <w:lang w:val="en-US"/>
        </w:rPr>
        <w:t>、我方承诺接受招标文件中《中标合同》的全部条款且无任何异议</w:t>
      </w:r>
      <w:r>
        <w:rPr>
          <w:rFonts w:hint="eastAsia" w:ascii="宋体" w:hAnsi="宋体" w:eastAsia="宋体"/>
          <w:lang w:val="en-US"/>
        </w:rPr>
        <w:t>，</w:t>
      </w:r>
      <w:r>
        <w:rPr>
          <w:rFonts w:ascii="Times New Roman" w:hAnsi="Times New Roman" w:eastAsia="宋体"/>
          <w:lang w:val="en-US"/>
        </w:rPr>
        <w:t>保证忠实地执行双方所签订的合同</w:t>
      </w:r>
      <w:r>
        <w:rPr>
          <w:rFonts w:ascii="宋体" w:hAnsi="宋体" w:eastAsia="宋体"/>
          <w:lang w:val="en-US"/>
        </w:rPr>
        <w:t>，</w:t>
      </w:r>
      <w:r>
        <w:rPr>
          <w:rFonts w:ascii="Times New Roman" w:hAnsi="Times New Roman" w:eastAsia="宋体"/>
          <w:lang w:val="en-US"/>
        </w:rPr>
        <w:t>并承担合同规定的责任和义务。</w:t>
      </w:r>
    </w:p>
    <w:p>
      <w:pPr>
        <w:ind w:firstLine="420" w:firstLineChars="200"/>
        <w:rPr>
          <w:rFonts w:ascii="Times New Roman" w:hAnsi="Times New Roman" w:eastAsia="宋体"/>
          <w:lang w:val="en-US"/>
        </w:rPr>
      </w:pPr>
      <w:r>
        <w:rPr>
          <w:rFonts w:hint="eastAsia" w:ascii="Times New Roman" w:hAnsi="Times New Roman" w:eastAsia="Times New Roman"/>
          <w:lang w:val="en-US"/>
        </w:rPr>
        <w:t>8</w:t>
      </w:r>
      <w:r>
        <w:rPr>
          <w:rFonts w:ascii="Times New Roman" w:hAnsi="Times New Roman" w:eastAsia="宋体"/>
          <w:lang w:val="en-US"/>
        </w:rPr>
        <w:t>、我方承诺采购人若需追加采购本项目招标文件所列货物及相关服务的</w:t>
      </w:r>
      <w:r>
        <w:rPr>
          <w:rFonts w:ascii="宋体" w:hAnsi="宋体" w:eastAsia="宋体"/>
          <w:lang w:val="en-US"/>
        </w:rPr>
        <w:t>，</w:t>
      </w:r>
      <w:r>
        <w:rPr>
          <w:rFonts w:ascii="Times New Roman" w:hAnsi="Times New Roman" w:eastAsia="宋体"/>
          <w:lang w:val="en-US"/>
        </w:rPr>
        <w:t>在不改变合同其他实质性条款的前提下</w:t>
      </w:r>
      <w:r>
        <w:rPr>
          <w:rFonts w:ascii="宋体" w:hAnsi="宋体" w:eastAsia="宋体"/>
          <w:lang w:val="en-US"/>
        </w:rPr>
        <w:t>，</w:t>
      </w:r>
      <w:r>
        <w:rPr>
          <w:rFonts w:ascii="Times New Roman" w:hAnsi="Times New Roman" w:eastAsia="宋体"/>
          <w:lang w:val="en-US"/>
        </w:rPr>
        <w:t>按相同或更优惠的折扣率保证供货。</w:t>
      </w:r>
    </w:p>
    <w:p>
      <w:pPr>
        <w:ind w:firstLine="420" w:firstLineChars="200"/>
        <w:rPr>
          <w:rFonts w:ascii="Times New Roman" w:hAnsi="Times New Roman" w:eastAsia="宋体"/>
          <w:lang w:val="en-US"/>
        </w:rPr>
      </w:pPr>
      <w:r>
        <w:rPr>
          <w:rFonts w:hint="eastAsia" w:ascii="Times New Roman" w:hAnsi="Times New Roman" w:eastAsia="Times New Roman"/>
          <w:lang w:val="en-US"/>
        </w:rPr>
        <w:t>9</w:t>
      </w:r>
      <w:r>
        <w:rPr>
          <w:rFonts w:ascii="Times New Roman" w:hAnsi="Times New Roman" w:eastAsia="宋体"/>
          <w:lang w:val="en-US"/>
        </w:rPr>
        <w:t>、我方</w:t>
      </w:r>
      <w:r>
        <w:rPr>
          <w:rFonts w:hint="eastAsia" w:ascii="Times New Roman" w:hAnsi="Times New Roman" w:eastAsia="宋体"/>
          <w:lang w:val="en-US"/>
        </w:rPr>
        <w:t>保证</w:t>
      </w:r>
      <w:r>
        <w:rPr>
          <w:rFonts w:ascii="Times New Roman" w:hAnsi="Times New Roman" w:eastAsia="宋体"/>
          <w:lang w:val="en-US"/>
        </w:rPr>
        <w:t>在投标全过程中</w:t>
      </w:r>
      <w:r>
        <w:rPr>
          <w:rFonts w:ascii="宋体" w:hAnsi="宋体" w:eastAsia="宋体"/>
          <w:lang w:val="en-US"/>
        </w:rPr>
        <w:t>，</w:t>
      </w:r>
      <w:r>
        <w:rPr>
          <w:rFonts w:hint="eastAsia" w:ascii="Times New Roman" w:hAnsi="Times New Roman" w:eastAsia="宋体"/>
          <w:lang w:val="en-US"/>
        </w:rPr>
        <w:t>杜绝</w:t>
      </w:r>
      <w:r>
        <w:rPr>
          <w:rFonts w:ascii="Times New Roman" w:hAnsi="Times New Roman" w:eastAsia="宋体"/>
          <w:lang w:val="en-US"/>
        </w:rPr>
        <w:t>以下不廉洁的行为</w:t>
      </w:r>
      <w:r>
        <w:rPr>
          <w:rFonts w:hint="eastAsia" w:ascii="Times New Roman" w:hAnsi="Times New Roman" w:eastAsia="宋体"/>
          <w:lang w:val="en-US"/>
        </w:rPr>
        <w:t>：</w:t>
      </w:r>
    </w:p>
    <w:p>
      <w:pPr>
        <w:ind w:firstLine="420" w:firstLineChars="200"/>
        <w:rPr>
          <w:rFonts w:ascii="宋体" w:hAnsi="宋体" w:eastAsia="宋体" w:cs="宋体"/>
          <w:szCs w:val="21"/>
        </w:rPr>
      </w:pPr>
      <w:r>
        <w:rPr>
          <w:rFonts w:hint="eastAsia" w:ascii="Times New Roman" w:hAnsi="Times New Roman" w:eastAsia="宋体"/>
          <w:lang w:val="en-US"/>
        </w:rPr>
        <w:t>（</w:t>
      </w:r>
      <w:r>
        <w:rPr>
          <w:rFonts w:hint="eastAsia" w:ascii="Times New Roman" w:hAnsi="Times New Roman" w:eastAsia="Times New Roman"/>
          <w:lang w:val="en-US"/>
        </w:rPr>
        <w:t>1</w:t>
      </w:r>
      <w:r>
        <w:rPr>
          <w:rFonts w:hint="eastAsia" w:ascii="Times New Roman" w:hAnsi="Times New Roman" w:eastAsia="宋体"/>
          <w:lang w:val="en-US"/>
        </w:rPr>
        <w:t>）</w:t>
      </w:r>
      <w:r>
        <w:rPr>
          <w:rFonts w:hint="eastAsia" w:ascii="Times New Roman" w:hAnsi="Times New Roman" w:eastAsia="宋体" w:cs="宋体"/>
          <w:szCs w:val="21"/>
          <w:lang w:val="en-US"/>
        </w:rPr>
        <w:t>串通相关</w:t>
      </w:r>
      <w:r>
        <w:rPr>
          <w:rFonts w:hint="eastAsia" w:ascii="宋体" w:hAnsi="宋体" w:eastAsia="宋体" w:cs="宋体"/>
          <w:szCs w:val="21"/>
          <w:lang w:val="en-US"/>
        </w:rPr>
        <w:t>人员进行招标、投标、</w:t>
      </w:r>
      <w:r>
        <w:rPr>
          <w:rFonts w:hint="eastAsia" w:ascii="宋体" w:hAnsi="宋体" w:eastAsia="宋体" w:cs="宋体"/>
          <w:szCs w:val="21"/>
        </w:rPr>
        <w:t>围标和竞价；</w:t>
      </w:r>
    </w:p>
    <w:p>
      <w:pPr>
        <w:ind w:firstLine="420" w:firstLineChars="200"/>
        <w:rPr>
          <w:rFonts w:ascii="Times New Roman" w:hAnsi="Times New Roman" w:eastAsia="宋体"/>
          <w:lang w:val="en-US"/>
        </w:rPr>
      </w:pPr>
      <w:r>
        <w:rPr>
          <w:rFonts w:ascii="Times New Roman" w:hAnsi="Times New Roman" w:eastAsia="宋体"/>
          <w:lang w:val="en-US"/>
        </w:rPr>
        <w:t>（</w:t>
      </w:r>
      <w:r>
        <w:rPr>
          <w:rFonts w:ascii="Times New Roman" w:hAnsi="Times New Roman" w:eastAsia="Times New Roman"/>
          <w:lang w:val="en-US"/>
        </w:rPr>
        <w:t>2</w:t>
      </w:r>
      <w:r>
        <w:rPr>
          <w:rFonts w:ascii="Times New Roman" w:hAnsi="Times New Roman" w:eastAsia="宋体"/>
          <w:lang w:val="en-US"/>
        </w:rPr>
        <w:t>）</w:t>
      </w:r>
      <w:r>
        <w:rPr>
          <w:rFonts w:hint="eastAsia" w:ascii="Times New Roman" w:hAnsi="Times New Roman" w:eastAsia="宋体" w:cs="宋体"/>
          <w:szCs w:val="21"/>
        </w:rPr>
        <w:t>以他人名</w:t>
      </w:r>
      <w:r>
        <w:rPr>
          <w:rFonts w:hint="eastAsia" w:ascii="宋体" w:hAnsi="宋体" w:eastAsia="宋体" w:cs="宋体"/>
          <w:szCs w:val="21"/>
        </w:rPr>
        <w:t>义进行投标、竞价或者以提供虚假材料等方式谋取中标（成交）</w:t>
      </w:r>
      <w:r>
        <w:rPr>
          <w:rFonts w:ascii="Times New Roman" w:hAnsi="Times New Roman" w:eastAsia="宋体"/>
          <w:lang w:val="en-US"/>
        </w:rPr>
        <w:t>；</w:t>
      </w:r>
    </w:p>
    <w:p>
      <w:pPr>
        <w:ind w:firstLine="420" w:firstLineChars="200"/>
        <w:rPr>
          <w:rFonts w:ascii="Times New Roman" w:hAnsi="Times New Roman" w:eastAsia="宋体"/>
          <w:lang w:val="en-US"/>
        </w:rPr>
      </w:pPr>
      <w:r>
        <w:rPr>
          <w:rFonts w:ascii="Times New Roman" w:hAnsi="Times New Roman" w:eastAsia="宋体"/>
          <w:lang w:val="en-US"/>
        </w:rPr>
        <w:t>（</w:t>
      </w:r>
      <w:r>
        <w:rPr>
          <w:rFonts w:ascii="Times New Roman" w:hAnsi="Times New Roman" w:eastAsia="Times New Roman"/>
          <w:lang w:val="en-US"/>
        </w:rPr>
        <w:t>3</w:t>
      </w:r>
      <w:r>
        <w:rPr>
          <w:rFonts w:ascii="Times New Roman" w:hAnsi="Times New Roman" w:eastAsia="宋体"/>
          <w:lang w:val="en-US"/>
        </w:rPr>
        <w:t>）</w:t>
      </w:r>
      <w:r>
        <w:rPr>
          <w:rFonts w:hint="eastAsia" w:ascii="Times New Roman" w:hAnsi="Times New Roman" w:eastAsia="宋体" w:cs="宋体"/>
          <w:szCs w:val="21"/>
        </w:rPr>
        <w:t>违反招标</w:t>
      </w:r>
      <w:r>
        <w:rPr>
          <w:rFonts w:hint="eastAsia" w:ascii="宋体" w:hAnsi="宋体" w:eastAsia="宋体" w:cs="宋体"/>
          <w:szCs w:val="21"/>
        </w:rPr>
        <w:t>文件规定，擅自将中标（成交）项目转让给他人</w:t>
      </w:r>
      <w:r>
        <w:rPr>
          <w:rFonts w:ascii="Times New Roman" w:hAnsi="Times New Roman" w:eastAsia="宋体"/>
          <w:lang w:val="en-US"/>
        </w:rPr>
        <w:t>；</w:t>
      </w:r>
    </w:p>
    <w:p>
      <w:pPr>
        <w:ind w:firstLine="420" w:firstLineChars="200"/>
        <w:rPr>
          <w:rFonts w:ascii="宋体" w:hAnsi="宋体" w:eastAsia="宋体" w:cs="宋体"/>
          <w:bCs/>
          <w:szCs w:val="21"/>
        </w:rPr>
      </w:pPr>
      <w:r>
        <w:rPr>
          <w:rFonts w:hint="eastAsia" w:ascii="Times New Roman" w:hAnsi="Times New Roman" w:eastAsia="宋体"/>
          <w:lang w:val="en-US"/>
        </w:rPr>
        <w:t>（</w:t>
      </w:r>
      <w:r>
        <w:rPr>
          <w:rFonts w:ascii="Times New Roman" w:hAnsi="Times New Roman" w:eastAsia="Times New Roman"/>
          <w:lang w:val="en-US"/>
        </w:rPr>
        <w:t>4</w:t>
      </w:r>
      <w:r>
        <w:rPr>
          <w:rFonts w:hint="eastAsia" w:ascii="Times New Roman" w:hAnsi="Times New Roman" w:eastAsia="宋体"/>
          <w:lang w:val="en-US"/>
        </w:rPr>
        <w:t>）</w:t>
      </w:r>
      <w:r>
        <w:rPr>
          <w:rFonts w:hint="eastAsia" w:ascii="Times New Roman" w:hAnsi="Times New Roman" w:eastAsia="宋体" w:cs="宋体"/>
          <w:bCs/>
          <w:szCs w:val="21"/>
        </w:rPr>
        <w:t>向警采</w:t>
      </w:r>
      <w:r>
        <w:rPr>
          <w:rFonts w:ascii="Times New Roman" w:hAnsi="Times New Roman" w:eastAsia="宋体" w:cs="宋体"/>
          <w:bCs/>
          <w:szCs w:val="21"/>
        </w:rPr>
        <w:t>中</w:t>
      </w:r>
      <w:r>
        <w:rPr>
          <w:rFonts w:ascii="宋体" w:hAnsi="宋体" w:eastAsia="宋体" w:cs="宋体"/>
          <w:bCs/>
          <w:szCs w:val="21"/>
        </w:rPr>
        <w:t>心</w:t>
      </w:r>
      <w:r>
        <w:rPr>
          <w:rFonts w:hint="eastAsia" w:ascii="宋体" w:hAnsi="宋体" w:eastAsia="宋体" w:cs="宋体"/>
          <w:bCs/>
          <w:szCs w:val="21"/>
        </w:rPr>
        <w:t>工作人员提供好处费、感谢费、礼品、礼金、消费卡等财物；</w:t>
      </w:r>
    </w:p>
    <w:p>
      <w:pPr>
        <w:ind w:firstLine="420" w:firstLineChars="200"/>
        <w:rPr>
          <w:rFonts w:ascii="宋体" w:hAnsi="宋体" w:eastAsia="宋体" w:cs="宋体"/>
          <w:bCs/>
          <w:szCs w:val="21"/>
          <w:lang w:val="en-US"/>
        </w:rPr>
      </w:pPr>
      <w:r>
        <w:rPr>
          <w:rFonts w:hint="eastAsia" w:ascii="Times New Roman" w:hAnsi="Times New Roman" w:eastAsia="宋体"/>
          <w:lang w:val="en-US"/>
        </w:rPr>
        <w:t>（</w:t>
      </w:r>
      <w:r>
        <w:rPr>
          <w:rFonts w:ascii="Times New Roman" w:hAnsi="Times New Roman" w:eastAsia="Times New Roman"/>
          <w:lang w:val="en-US"/>
        </w:rPr>
        <w:t>5</w:t>
      </w:r>
      <w:r>
        <w:rPr>
          <w:rFonts w:hint="eastAsia" w:ascii="Times New Roman" w:hAnsi="Times New Roman" w:eastAsia="宋体"/>
          <w:lang w:val="en-US"/>
        </w:rPr>
        <w:t>）</w:t>
      </w:r>
      <w:r>
        <w:rPr>
          <w:rFonts w:hint="eastAsia" w:ascii="Times New Roman" w:hAnsi="Times New Roman" w:eastAsia="宋体" w:cs="宋体"/>
          <w:bCs/>
          <w:szCs w:val="21"/>
          <w:lang w:val="en-US"/>
        </w:rPr>
        <w:t>接受或向</w:t>
      </w:r>
      <w:r>
        <w:rPr>
          <w:rFonts w:hint="eastAsia" w:ascii="宋体" w:hAnsi="宋体" w:eastAsia="宋体" w:cs="宋体"/>
          <w:bCs/>
          <w:szCs w:val="21"/>
        </w:rPr>
        <w:t>警采中心工作人员</w:t>
      </w:r>
      <w:r>
        <w:rPr>
          <w:rFonts w:hint="eastAsia" w:ascii="宋体" w:hAnsi="宋体" w:eastAsia="宋体" w:cs="宋体"/>
          <w:bCs/>
          <w:szCs w:val="21"/>
          <w:lang w:val="en-US"/>
        </w:rPr>
        <w:t>提供可能影响公平公正的宴请、旅游、健身、娱乐消费等活动安排；</w:t>
      </w:r>
    </w:p>
    <w:p>
      <w:pPr>
        <w:ind w:firstLine="420" w:firstLineChars="200"/>
        <w:rPr>
          <w:rFonts w:ascii="Times New Roman" w:hAnsi="Times New Roman" w:eastAsia="宋体"/>
          <w:lang w:val="en-US"/>
        </w:rPr>
      </w:pPr>
      <w:r>
        <w:rPr>
          <w:rFonts w:hint="eastAsia" w:ascii="Times New Roman" w:hAnsi="Times New Roman" w:eastAsia="宋体"/>
          <w:lang w:val="en-US"/>
        </w:rPr>
        <w:t>（</w:t>
      </w:r>
      <w:r>
        <w:rPr>
          <w:rFonts w:ascii="Times New Roman" w:hAnsi="Times New Roman" w:eastAsia="Times New Roman"/>
          <w:lang w:val="en-US"/>
        </w:rPr>
        <w:t>6</w:t>
      </w:r>
      <w:r>
        <w:rPr>
          <w:rFonts w:hint="eastAsia" w:ascii="Times New Roman" w:hAnsi="Times New Roman" w:eastAsia="宋体"/>
          <w:lang w:val="en-US"/>
        </w:rPr>
        <w:t>）</w:t>
      </w:r>
      <w:r>
        <w:rPr>
          <w:rFonts w:hint="eastAsia" w:ascii="Times New Roman" w:hAnsi="Times New Roman" w:eastAsia="宋体" w:cs="宋体"/>
          <w:bCs/>
          <w:szCs w:val="21"/>
          <w:lang w:val="en-US"/>
        </w:rPr>
        <w:t>为谋取私</w:t>
      </w:r>
      <w:r>
        <w:rPr>
          <w:rFonts w:hint="eastAsia" w:ascii="宋体" w:hAnsi="宋体" w:eastAsia="宋体" w:cs="宋体"/>
          <w:bCs/>
          <w:szCs w:val="21"/>
          <w:lang w:val="en-US"/>
        </w:rPr>
        <w:t>利与</w:t>
      </w:r>
      <w:r>
        <w:rPr>
          <w:rFonts w:hint="eastAsia" w:ascii="宋体" w:hAnsi="宋体" w:eastAsia="宋体" w:cs="宋体"/>
          <w:bCs/>
          <w:szCs w:val="21"/>
        </w:rPr>
        <w:t>警采中心工作人员</w:t>
      </w:r>
      <w:r>
        <w:rPr>
          <w:rFonts w:hint="eastAsia" w:ascii="宋体" w:hAnsi="宋体" w:eastAsia="宋体" w:cs="宋体"/>
          <w:bCs/>
          <w:szCs w:val="21"/>
          <w:lang w:val="en-US"/>
        </w:rPr>
        <w:t>就有关采购项目问题进行私下商谈或达成默契；</w:t>
      </w:r>
    </w:p>
    <w:p>
      <w:pPr>
        <w:ind w:firstLine="420" w:firstLineChars="200"/>
        <w:rPr>
          <w:rFonts w:ascii="宋体" w:hAnsi="宋体" w:eastAsia="宋体" w:cs="宋体"/>
          <w:bCs/>
          <w:szCs w:val="21"/>
          <w:lang w:val="en-US"/>
        </w:rPr>
      </w:pPr>
      <w:r>
        <w:rPr>
          <w:rFonts w:hint="eastAsia" w:ascii="Times New Roman" w:hAnsi="Times New Roman" w:eastAsia="宋体"/>
          <w:lang w:val="en-US"/>
        </w:rPr>
        <w:t>（</w:t>
      </w:r>
      <w:r>
        <w:rPr>
          <w:rFonts w:ascii="Times New Roman" w:hAnsi="Times New Roman" w:eastAsia="Times New Roman"/>
          <w:lang w:val="en-US"/>
        </w:rPr>
        <w:t>7</w:t>
      </w:r>
      <w:r>
        <w:rPr>
          <w:rFonts w:hint="eastAsia" w:ascii="Times New Roman" w:hAnsi="Times New Roman" w:eastAsia="宋体" w:cs="宋体"/>
          <w:bCs/>
          <w:szCs w:val="21"/>
          <w:lang w:val="en-US"/>
        </w:rPr>
        <w:t>）接受或向</w:t>
      </w:r>
      <w:r>
        <w:rPr>
          <w:rFonts w:hint="eastAsia" w:ascii="宋体" w:hAnsi="宋体" w:eastAsia="宋体" w:cs="宋体"/>
          <w:bCs/>
          <w:szCs w:val="21"/>
          <w:lang w:val="en-US"/>
        </w:rPr>
        <w:t>警采中心工作人员提供其他不正当利益；</w:t>
      </w:r>
    </w:p>
    <w:p>
      <w:pPr>
        <w:ind w:firstLine="420" w:firstLineChars="200"/>
        <w:rPr>
          <w:rFonts w:ascii="Times New Roman" w:hAnsi="Times New Roman" w:eastAsia="宋体"/>
          <w:lang w:val="en-US"/>
        </w:rPr>
      </w:pPr>
      <w:r>
        <w:rPr>
          <w:rFonts w:hint="eastAsia" w:ascii="Times New Roman" w:hAnsi="Times New Roman" w:eastAsia="宋体"/>
          <w:lang w:val="en-US"/>
        </w:rPr>
        <w:t>（</w:t>
      </w:r>
      <w:r>
        <w:rPr>
          <w:rFonts w:ascii="Times New Roman" w:hAnsi="Times New Roman" w:eastAsia="Times New Roman"/>
          <w:lang w:val="en-US"/>
        </w:rPr>
        <w:t>8</w:t>
      </w:r>
      <w:r>
        <w:rPr>
          <w:rFonts w:hint="eastAsia" w:ascii="Times New Roman" w:hAnsi="Times New Roman" w:eastAsia="宋体"/>
          <w:lang w:val="en-US"/>
        </w:rPr>
        <w:t>）其他违反廉洁自律</w:t>
      </w:r>
      <w:r>
        <w:rPr>
          <w:rFonts w:ascii="Times New Roman" w:hAnsi="Times New Roman" w:eastAsia="宋体"/>
          <w:lang w:val="en-US"/>
        </w:rPr>
        <w:t>的</w:t>
      </w:r>
      <w:r>
        <w:rPr>
          <w:rFonts w:hint="eastAsia" w:ascii="Times New Roman" w:hAnsi="Times New Roman" w:eastAsia="宋体"/>
          <w:lang w:val="en-US"/>
        </w:rPr>
        <w:t>行为。</w:t>
      </w:r>
    </w:p>
    <w:p>
      <w:pPr>
        <w:ind w:firstLine="420" w:firstLineChars="200"/>
        <w:rPr>
          <w:rFonts w:ascii="Times New Roman" w:hAnsi="Times New Roman" w:eastAsia="宋体"/>
          <w:lang w:val="en-US"/>
        </w:rPr>
      </w:pPr>
      <w:r>
        <w:rPr>
          <w:rFonts w:hint="eastAsia" w:ascii="Times New Roman" w:hAnsi="Times New Roman" w:eastAsia="宋体"/>
          <w:lang w:val="en-US"/>
        </w:rPr>
        <w:t>发现</w:t>
      </w:r>
      <w:r>
        <w:rPr>
          <w:rFonts w:hint="eastAsia" w:ascii="宋体" w:hAnsi="宋体" w:eastAsia="宋体" w:cs="宋体"/>
          <w:bCs/>
          <w:szCs w:val="21"/>
        </w:rPr>
        <w:t>警采中心工作人员</w:t>
      </w:r>
      <w:r>
        <w:rPr>
          <w:rFonts w:hint="eastAsia" w:ascii="Times New Roman" w:hAnsi="Times New Roman" w:eastAsia="宋体"/>
          <w:lang w:val="en-US"/>
        </w:rPr>
        <w:t>有不廉洁行为</w:t>
      </w:r>
      <w:r>
        <w:rPr>
          <w:rFonts w:hint="eastAsia" w:ascii="宋体" w:hAnsi="宋体" w:eastAsia="宋体"/>
          <w:lang w:val="en-US"/>
        </w:rPr>
        <w:t>，</w:t>
      </w:r>
      <w:r>
        <w:rPr>
          <w:rFonts w:hint="eastAsia" w:ascii="Times New Roman" w:hAnsi="Times New Roman" w:eastAsia="宋体"/>
          <w:lang w:val="en-US"/>
        </w:rPr>
        <w:t>应及时向对方进行举报；应</w:t>
      </w:r>
      <w:r>
        <w:rPr>
          <w:rFonts w:ascii="Times New Roman" w:hAnsi="Times New Roman" w:eastAsia="宋体"/>
          <w:lang w:val="en-US"/>
        </w:rPr>
        <w:t>通过</w:t>
      </w:r>
      <w:r>
        <w:rPr>
          <w:rFonts w:hint="eastAsia" w:ascii="Times New Roman" w:hAnsi="Times New Roman" w:eastAsia="宋体"/>
          <w:lang w:val="en-US"/>
        </w:rPr>
        <w:t>现场或邮寄送达的举报材料</w:t>
      </w:r>
      <w:r>
        <w:rPr>
          <w:rFonts w:hint="eastAsia" w:ascii="宋体" w:hAnsi="宋体" w:eastAsia="宋体"/>
          <w:lang w:val="en-US"/>
        </w:rPr>
        <w:t>，</w:t>
      </w:r>
      <w:r>
        <w:rPr>
          <w:rFonts w:hint="eastAsia" w:ascii="Times New Roman" w:hAnsi="Times New Roman" w:eastAsia="宋体"/>
          <w:lang w:val="en-US"/>
        </w:rPr>
        <w:t>举报电话</w:t>
      </w:r>
      <w:r>
        <w:rPr>
          <w:rFonts w:hint="eastAsia" w:ascii="Times New Roman" w:hAnsi="Times New Roman" w:eastAsia="Times New Roman"/>
          <w:lang w:val="en-US"/>
        </w:rPr>
        <w:t>021</w:t>
      </w:r>
      <w:r>
        <w:rPr>
          <w:rFonts w:hint="eastAsia" w:ascii="Times New Roman" w:hAnsi="Times New Roman" w:eastAsia="宋体"/>
          <w:lang w:val="en-US"/>
        </w:rPr>
        <w:t>-</w:t>
      </w:r>
      <w:r>
        <w:rPr>
          <w:rFonts w:ascii="Times New Roman" w:hAnsi="Times New Roman" w:eastAsia="Times New Roman"/>
          <w:lang w:val="en-US"/>
        </w:rPr>
        <w:t>22022038</w:t>
      </w:r>
      <w:r>
        <w:rPr>
          <w:rFonts w:hint="eastAsia" w:ascii="Times New Roman" w:hAnsi="Times New Roman" w:eastAsia="宋体"/>
          <w:lang w:val="en-US"/>
        </w:rPr>
        <w:t>。</w:t>
      </w:r>
    </w:p>
    <w:p>
      <w:pPr>
        <w:ind w:firstLine="420" w:firstLineChars="200"/>
        <w:rPr>
          <w:rFonts w:ascii="Times New Roman" w:hAnsi="Times New Roman" w:eastAsia="宋体"/>
          <w:lang w:val="en-US"/>
        </w:rPr>
      </w:pPr>
      <w:r>
        <w:rPr>
          <w:rFonts w:ascii="Times New Roman" w:hAnsi="Times New Roman" w:eastAsia="宋体"/>
          <w:lang w:val="en-US"/>
        </w:rPr>
        <w:t>如果我方违反上述承诺</w:t>
      </w:r>
      <w:r>
        <w:rPr>
          <w:rFonts w:ascii="宋体" w:hAnsi="宋体" w:eastAsia="宋体"/>
          <w:lang w:val="en-US"/>
        </w:rPr>
        <w:t>，</w:t>
      </w:r>
      <w:r>
        <w:rPr>
          <w:rFonts w:ascii="Times New Roman" w:hAnsi="Times New Roman" w:eastAsia="宋体"/>
          <w:lang w:val="en-US"/>
        </w:rPr>
        <w:t>或承诺内容不属实</w:t>
      </w:r>
      <w:r>
        <w:rPr>
          <w:rFonts w:ascii="宋体" w:hAnsi="宋体" w:eastAsia="宋体"/>
          <w:lang w:val="en-US"/>
        </w:rPr>
        <w:t>，</w:t>
      </w:r>
      <w:r>
        <w:rPr>
          <w:rFonts w:ascii="Times New Roman" w:hAnsi="Times New Roman" w:eastAsia="宋体"/>
          <w:lang w:val="en-US"/>
        </w:rPr>
        <w:t>我方愿意承担一切不利的法律后果。</w:t>
      </w:r>
    </w:p>
    <w:p>
      <w:pPr>
        <w:ind w:firstLine="420" w:firstLineChars="200"/>
        <w:rPr>
          <w:rFonts w:ascii="Times New Roman" w:hAnsi="Times New Roman" w:eastAsia="宋体"/>
          <w:lang w:val="en-US"/>
        </w:rPr>
      </w:pPr>
      <w:r>
        <w:rPr>
          <w:rFonts w:ascii="Times New Roman" w:hAnsi="Times New Roman" w:eastAsia="宋体"/>
          <w:lang w:val="en-US"/>
        </w:rPr>
        <w:t>除可填报内容外</w:t>
      </w:r>
      <w:r>
        <w:rPr>
          <w:rFonts w:ascii="宋体" w:hAnsi="宋体" w:eastAsia="宋体"/>
          <w:lang w:val="en-US"/>
        </w:rPr>
        <w:t>，</w:t>
      </w:r>
      <w:r>
        <w:rPr>
          <w:rFonts w:ascii="Times New Roman" w:hAnsi="Times New Roman" w:eastAsia="宋体"/>
          <w:lang w:val="en-US"/>
        </w:rPr>
        <w:t>对本投标函的任何修改将被视为非实质性响应投标</w:t>
      </w:r>
      <w:r>
        <w:rPr>
          <w:rFonts w:ascii="宋体" w:hAnsi="宋体" w:eastAsia="宋体"/>
          <w:lang w:val="en-US"/>
        </w:rPr>
        <w:t>，</w:t>
      </w:r>
      <w:r>
        <w:rPr>
          <w:rFonts w:ascii="Times New Roman" w:hAnsi="Times New Roman" w:eastAsia="宋体"/>
          <w:lang w:val="en-US"/>
        </w:rPr>
        <w:t>从而导致该投标被拒绝。</w:t>
      </w:r>
    </w:p>
    <w:p>
      <w:pPr>
        <w:ind w:firstLine="420" w:firstLineChars="200"/>
        <w:rPr>
          <w:rFonts w:ascii="Times New Roman" w:hAnsi="Times New Roman" w:eastAsia="宋体"/>
          <w:lang w:val="en-US"/>
        </w:rPr>
      </w:pPr>
    </w:p>
    <w:p>
      <w:pPr>
        <w:ind w:firstLine="420" w:firstLineChars="200"/>
        <w:rPr>
          <w:rFonts w:ascii="Times New Roman" w:hAnsi="Times New Roman" w:eastAsia="宋体"/>
          <w:lang w:val="en-US"/>
        </w:rPr>
      </w:pPr>
      <w:r>
        <w:rPr>
          <w:rFonts w:ascii="Times New Roman" w:hAnsi="Times New Roman" w:eastAsia="宋体"/>
          <w:lang w:val="en-US"/>
        </w:rPr>
        <w:t>与本投标有关的一切往来通讯请寄：</w:t>
      </w:r>
    </w:p>
    <w:p>
      <w:pPr>
        <w:ind w:firstLine="420" w:firstLineChars="200"/>
        <w:rPr>
          <w:rFonts w:ascii="Times New Roman" w:hAnsi="Times New Roman" w:eastAsia="宋体"/>
          <w:lang w:val="en-US"/>
        </w:rPr>
      </w:pPr>
      <w:r>
        <w:rPr>
          <w:rFonts w:ascii="Times New Roman" w:hAnsi="Times New Roman" w:eastAsia="宋体"/>
          <w:lang w:val="en-US"/>
        </w:rPr>
        <w:tab/>
      </w:r>
      <w:r>
        <w:rPr>
          <w:rFonts w:ascii="Times New Roman" w:hAnsi="Times New Roman" w:eastAsia="宋体"/>
          <w:lang w:val="en-US"/>
        </w:rPr>
        <w:t>地址：____________________________________________________</w:t>
      </w:r>
    </w:p>
    <w:p>
      <w:pPr>
        <w:ind w:firstLine="420" w:firstLineChars="200"/>
        <w:rPr>
          <w:rFonts w:ascii="Times New Roman" w:hAnsi="Times New Roman" w:eastAsia="宋体"/>
          <w:lang w:val="en-US"/>
        </w:rPr>
      </w:pPr>
      <w:r>
        <w:rPr>
          <w:rFonts w:ascii="Times New Roman" w:hAnsi="Times New Roman" w:eastAsia="宋体"/>
          <w:lang w:val="en-US"/>
        </w:rPr>
        <w:tab/>
      </w:r>
      <w:r>
        <w:rPr>
          <w:rFonts w:ascii="Times New Roman" w:hAnsi="Times New Roman" w:eastAsia="宋体"/>
          <w:lang w:val="en-US"/>
        </w:rPr>
        <w:t>邮编：____________　</w:t>
      </w:r>
    </w:p>
    <w:p>
      <w:pPr>
        <w:ind w:firstLine="420" w:firstLineChars="200"/>
        <w:rPr>
          <w:rFonts w:ascii="Times New Roman" w:hAnsi="Times New Roman" w:eastAsia="宋体"/>
          <w:lang w:val="en-US"/>
        </w:rPr>
      </w:pPr>
      <w:r>
        <w:rPr>
          <w:rFonts w:ascii="Times New Roman" w:hAnsi="Times New Roman" w:eastAsia="宋体"/>
          <w:lang w:val="en-US"/>
        </w:rPr>
        <w:tab/>
      </w:r>
      <w:r>
        <w:rPr>
          <w:rFonts w:ascii="Times New Roman" w:hAnsi="Times New Roman" w:eastAsia="宋体"/>
          <w:lang w:val="en-US"/>
        </w:rPr>
        <w:t>电话：____________　</w:t>
      </w:r>
    </w:p>
    <w:p>
      <w:pPr>
        <w:ind w:firstLine="420" w:firstLineChars="200"/>
        <w:rPr>
          <w:rFonts w:ascii="Times New Roman" w:hAnsi="Times New Roman" w:eastAsia="宋体"/>
          <w:lang w:val="en-US"/>
        </w:rPr>
      </w:pPr>
      <w:r>
        <w:rPr>
          <w:rFonts w:ascii="Times New Roman" w:hAnsi="Times New Roman" w:eastAsia="宋体"/>
          <w:lang w:val="en-US"/>
        </w:rPr>
        <w:tab/>
      </w:r>
      <w:r>
        <w:rPr>
          <w:rFonts w:ascii="Times New Roman" w:hAnsi="Times New Roman" w:eastAsia="宋体"/>
          <w:lang w:val="en-US"/>
        </w:rPr>
        <w:t>传真：____________</w:t>
      </w:r>
    </w:p>
    <w:p>
      <w:pPr>
        <w:ind w:firstLine="420" w:firstLineChars="200"/>
        <w:rPr>
          <w:rFonts w:ascii="Times New Roman" w:hAnsi="Times New Roman" w:eastAsia="宋体"/>
          <w:lang w:val="en-US"/>
        </w:rPr>
      </w:pPr>
      <w:r>
        <w:rPr>
          <w:rFonts w:ascii="Times New Roman" w:hAnsi="Times New Roman" w:eastAsia="宋体"/>
          <w:lang w:val="en-US"/>
        </w:rPr>
        <w:t>投标人代表姓名：</w:t>
      </w:r>
    </w:p>
    <w:p>
      <w:pPr>
        <w:ind w:firstLine="420" w:firstLineChars="200"/>
        <w:rPr>
          <w:rFonts w:ascii="Times New Roman" w:hAnsi="Times New Roman" w:eastAsia="宋体"/>
          <w:lang w:val="en-US"/>
        </w:rPr>
      </w:pPr>
      <w:r>
        <w:rPr>
          <w:rFonts w:ascii="Times New Roman" w:hAnsi="Times New Roman" w:eastAsia="宋体"/>
          <w:lang w:val="en-US"/>
        </w:rPr>
        <w:t>投标人代表联系电话</w:t>
      </w:r>
      <w:r>
        <w:rPr>
          <w:rFonts w:ascii="宋体" w:hAnsi="宋体" w:eastAsia="宋体"/>
          <w:lang w:val="en-US"/>
        </w:rPr>
        <w:t>，</w:t>
      </w:r>
      <w:r>
        <w:rPr>
          <w:rFonts w:ascii="Times New Roman" w:hAnsi="Times New Roman" w:eastAsia="Times New Roman"/>
          <w:lang w:val="en-US"/>
        </w:rPr>
        <w:t>e</w:t>
      </w:r>
      <w:r>
        <w:rPr>
          <w:rFonts w:ascii="Times New Roman" w:hAnsi="Times New Roman" w:eastAsia="宋体"/>
          <w:lang w:val="en-US"/>
        </w:rPr>
        <w:t>-</w:t>
      </w:r>
      <w:r>
        <w:rPr>
          <w:rFonts w:ascii="Times New Roman" w:hAnsi="Times New Roman" w:eastAsia="Times New Roman"/>
          <w:lang w:val="en-US"/>
        </w:rPr>
        <w:t>mail</w:t>
      </w:r>
      <w:r>
        <w:rPr>
          <w:rFonts w:ascii="Times New Roman" w:hAnsi="Times New Roman" w:eastAsia="宋体"/>
          <w:lang w:val="en-US"/>
        </w:rPr>
        <w:t>：</w:t>
      </w:r>
    </w:p>
    <w:p>
      <w:pPr>
        <w:ind w:firstLine="420" w:firstLineChars="200"/>
        <w:rPr>
          <w:rFonts w:ascii="Times New Roman" w:hAnsi="Times New Roman" w:eastAsia="宋体"/>
          <w:lang w:val="en-US"/>
        </w:rPr>
      </w:pPr>
    </w:p>
    <w:p>
      <w:pPr>
        <w:ind w:firstLine="420" w:firstLineChars="200"/>
        <w:rPr>
          <w:rFonts w:ascii="Times New Roman" w:hAnsi="Times New Roman" w:eastAsia="宋体"/>
          <w:lang w:val="en-US"/>
        </w:rPr>
      </w:pPr>
      <w:r>
        <w:rPr>
          <w:rFonts w:ascii="Times New Roman" w:hAnsi="Times New Roman" w:eastAsia="宋体"/>
          <w:lang w:val="en-US"/>
        </w:rPr>
        <w:t>投标人（公章）：</w:t>
      </w:r>
    </w:p>
    <w:p>
      <w:pPr>
        <w:ind w:firstLine="420" w:firstLineChars="200"/>
        <w:rPr>
          <w:rFonts w:ascii="Times New Roman" w:hAnsi="Times New Roman" w:eastAsia="宋体"/>
          <w:lang w:val="en-US"/>
        </w:rPr>
      </w:pPr>
      <w:r>
        <w:rPr>
          <w:rFonts w:ascii="Times New Roman" w:hAnsi="Times New Roman" w:eastAsia="宋体"/>
          <w:lang w:val="en-US"/>
        </w:rPr>
        <w:t>投标人代表（签字或盖章）：</w:t>
      </w:r>
    </w:p>
    <w:p>
      <w:pPr>
        <w:tabs>
          <w:tab w:val="left" w:pos="0"/>
        </w:tabs>
        <w:spacing w:line="288" w:lineRule="auto"/>
        <w:ind w:firstLine="420" w:firstLineChars="200"/>
        <w:rPr>
          <w:rFonts w:ascii="Times New Roman" w:hAnsi="Times New Roman" w:eastAsia="宋体"/>
          <w:lang w:val="en-US"/>
        </w:rPr>
      </w:pPr>
      <w:r>
        <w:rPr>
          <w:rFonts w:ascii="Times New Roman" w:hAnsi="Times New Roman" w:eastAsia="宋体"/>
          <w:lang w:val="en-US"/>
        </w:rPr>
        <w:t>日　期：</w:t>
      </w:r>
    </w:p>
    <w:p>
      <w:pPr>
        <w:pStyle w:val="31"/>
        <w:rPr>
          <w:color w:val="auto"/>
          <w:lang w:val="en-US"/>
        </w:rPr>
      </w:pPr>
    </w:p>
    <w:p>
      <w:pPr>
        <w:pStyle w:val="31"/>
        <w:ind w:firstLine="420" w:firstLineChars="200"/>
        <w:rPr>
          <w:color w:val="auto"/>
          <w:lang w:val="en-US"/>
        </w:rPr>
      </w:pPr>
      <w:r>
        <w:rPr>
          <w:rFonts w:hint="eastAsia" w:ascii="宋体" w:hAnsi="宋体" w:eastAsia="宋体"/>
          <w:color w:val="auto"/>
          <w:sz w:val="21"/>
          <w:szCs w:val="18"/>
          <w:lang w:val="en-US"/>
        </w:rPr>
        <w:t>须盖投标人公章、投标人代表签字或盖章，如无公章、签字或盖章，投标无效。</w:t>
      </w:r>
    </w:p>
    <w:p>
      <w:pPr>
        <w:pStyle w:val="3"/>
        <w:spacing w:before="120"/>
        <w:rPr>
          <w:color w:val="auto"/>
        </w:rPr>
      </w:pPr>
      <w:bookmarkStart w:id="233" w:name="_Ref462740385"/>
      <w:bookmarkStart w:id="234" w:name="_Ref462505454"/>
      <w:bookmarkStart w:id="235" w:name="_Toc10206"/>
      <w:bookmarkStart w:id="236" w:name="_Toc3162"/>
      <w:bookmarkStart w:id="237" w:name="_Toc16531185"/>
      <w:bookmarkStart w:id="238" w:name="_Toc27143"/>
      <w:bookmarkStart w:id="239" w:name="_Toc31171"/>
      <w:bookmarkStart w:id="240" w:name="_Toc16531411"/>
      <w:bookmarkStart w:id="241" w:name="_Toc17880"/>
      <w:bookmarkStart w:id="242" w:name="_Toc134"/>
      <w:r>
        <w:rPr>
          <w:color w:val="auto"/>
        </w:rPr>
        <w:t>*法定代表人授权委托书</w:t>
      </w:r>
      <w:bookmarkEnd w:id="233"/>
      <w:bookmarkEnd w:id="234"/>
      <w:bookmarkEnd w:id="235"/>
      <w:bookmarkEnd w:id="236"/>
      <w:bookmarkEnd w:id="237"/>
      <w:bookmarkEnd w:id="238"/>
      <w:bookmarkEnd w:id="239"/>
      <w:bookmarkEnd w:id="240"/>
      <w:bookmarkEnd w:id="241"/>
      <w:bookmarkEnd w:id="242"/>
    </w:p>
    <w:p>
      <w:pPr>
        <w:rPr>
          <w:rFonts w:ascii="Times New Roman" w:hAnsi="Times New Roman" w:eastAsia="宋体"/>
          <w:lang w:val="en-US"/>
        </w:rPr>
      </w:pPr>
      <w:r>
        <w:rPr>
          <w:rFonts w:ascii="Times New Roman" w:hAnsi="Times New Roman" w:eastAsia="宋体"/>
          <w:lang w:val="en-US"/>
        </w:rPr>
        <w:t>公安部警用装备采购中心：</w:t>
      </w:r>
    </w:p>
    <w:p>
      <w:pPr>
        <w:ind w:firstLine="420" w:firstLineChars="200"/>
        <w:rPr>
          <w:rFonts w:ascii="Times New Roman" w:hAnsi="Times New Roman" w:eastAsia="宋体"/>
          <w:lang w:val="en-US"/>
        </w:rPr>
      </w:pPr>
      <w:r>
        <w:rPr>
          <w:rFonts w:ascii="Times New Roman" w:hAnsi="Times New Roman" w:eastAsia="宋体"/>
          <w:lang w:val="en-US"/>
        </w:rPr>
        <w:t>本授权书声明：注册于</w:t>
      </w:r>
      <w:r>
        <w:rPr>
          <w:rFonts w:ascii="Times New Roman" w:hAnsi="Times New Roman" w:eastAsia="宋体"/>
          <w:u w:val="single"/>
          <w:lang w:val="en-US"/>
        </w:rPr>
        <w:t>（投标人住址）</w:t>
      </w:r>
      <w:r>
        <w:rPr>
          <w:rFonts w:ascii="Times New Roman" w:hAnsi="Times New Roman" w:eastAsia="宋体"/>
          <w:lang w:val="en-US"/>
        </w:rPr>
        <w:t>的</w:t>
      </w:r>
      <w:r>
        <w:rPr>
          <w:rFonts w:ascii="Times New Roman" w:hAnsi="Times New Roman" w:eastAsia="宋体"/>
          <w:u w:val="single"/>
          <w:lang w:val="en-US"/>
        </w:rPr>
        <w:t>（投标人名称）</w:t>
      </w:r>
      <w:r>
        <w:rPr>
          <w:rFonts w:ascii="Times New Roman" w:hAnsi="Times New Roman" w:eastAsia="宋体"/>
          <w:lang w:val="en-US"/>
        </w:rPr>
        <w:t>法定代表人</w:t>
      </w:r>
      <w:r>
        <w:rPr>
          <w:rFonts w:ascii="Times New Roman" w:hAnsi="Times New Roman" w:eastAsia="宋体"/>
          <w:u w:val="single"/>
          <w:lang w:val="en-US"/>
        </w:rPr>
        <w:t>（法定代表人姓名、职务）</w:t>
      </w:r>
      <w:r>
        <w:rPr>
          <w:rFonts w:ascii="Times New Roman" w:hAnsi="Times New Roman" w:eastAsia="宋体"/>
          <w:lang w:val="en-US"/>
        </w:rPr>
        <w:t>代表本公司授权在下面签字的</w:t>
      </w:r>
      <w:r>
        <w:rPr>
          <w:rFonts w:ascii="Times New Roman" w:hAnsi="Times New Roman" w:eastAsia="宋体"/>
          <w:u w:val="single"/>
          <w:lang w:val="en-US"/>
        </w:rPr>
        <w:t>（投标人代表姓名、职务）</w:t>
      </w:r>
      <w:r>
        <w:rPr>
          <w:rFonts w:ascii="Times New Roman" w:hAnsi="Times New Roman" w:eastAsia="宋体"/>
          <w:lang w:val="en-US"/>
        </w:rPr>
        <w:t>为本公司的合法代理人</w:t>
      </w:r>
      <w:r>
        <w:rPr>
          <w:rFonts w:ascii="宋体" w:hAnsi="宋体" w:eastAsia="宋体"/>
          <w:lang w:val="en-US"/>
        </w:rPr>
        <w:t>，</w:t>
      </w:r>
      <w:r>
        <w:rPr>
          <w:rFonts w:ascii="Times New Roman" w:hAnsi="Times New Roman" w:eastAsia="宋体"/>
          <w:lang w:val="en-US"/>
        </w:rPr>
        <w:t>就贵方组织的</w:t>
      </w:r>
      <w:r>
        <w:rPr>
          <w:rFonts w:ascii="Times New Roman" w:hAnsi="Times New Roman" w:eastAsia="宋体"/>
          <w:u w:val="single"/>
          <w:lang w:val="en-US"/>
        </w:rPr>
        <w:t xml:space="preserve">    </w:t>
      </w:r>
      <w:r>
        <w:rPr>
          <w:rFonts w:ascii="Times New Roman" w:hAnsi="Times New Roman" w:eastAsia="宋体"/>
          <w:lang w:val="en-US"/>
        </w:rPr>
        <w:t>项目</w:t>
      </w:r>
      <w:r>
        <w:rPr>
          <w:rFonts w:ascii="宋体" w:hAnsi="宋体" w:eastAsia="宋体"/>
          <w:lang w:val="en-US"/>
        </w:rPr>
        <w:t>，</w:t>
      </w:r>
      <w:r>
        <w:rPr>
          <w:rFonts w:ascii="Times New Roman" w:hAnsi="Times New Roman" w:eastAsia="宋体"/>
          <w:lang w:val="en-US"/>
        </w:rPr>
        <w:t>项目编号：</w:t>
      </w:r>
      <w:r>
        <w:rPr>
          <w:rFonts w:ascii="Times New Roman" w:hAnsi="Times New Roman" w:eastAsia="宋体"/>
          <w:u w:val="single"/>
          <w:lang w:val="en-US"/>
        </w:rPr>
        <w:t xml:space="preserve">    </w:t>
      </w:r>
      <w:r>
        <w:rPr>
          <w:rFonts w:ascii="宋体" w:hAnsi="宋体" w:eastAsia="宋体"/>
          <w:lang w:val="en-US"/>
        </w:rPr>
        <w:t>，</w:t>
      </w:r>
      <w:r>
        <w:rPr>
          <w:rFonts w:ascii="Times New Roman" w:hAnsi="Times New Roman" w:eastAsia="宋体"/>
          <w:lang w:val="en-US"/>
        </w:rPr>
        <w:t>以本公司名义处理一切与之有关的事务。</w:t>
      </w:r>
    </w:p>
    <w:p>
      <w:pPr>
        <w:ind w:firstLine="420" w:firstLineChars="200"/>
        <w:rPr>
          <w:rFonts w:ascii="Times New Roman" w:hAnsi="Times New Roman" w:eastAsia="宋体"/>
          <w:lang w:val="en-US"/>
        </w:rPr>
      </w:pPr>
      <w:r>
        <w:rPr>
          <w:rFonts w:ascii="Times New Roman" w:hAnsi="Times New Roman" w:eastAsia="宋体"/>
          <w:lang w:val="en-US"/>
        </w:rPr>
        <w:t>本授权书于</w:t>
      </w:r>
      <w:r>
        <w:rPr>
          <w:rFonts w:ascii="Times New Roman" w:hAnsi="Times New Roman" w:eastAsia="宋体"/>
          <w:u w:val="single"/>
          <w:lang w:val="en-US"/>
        </w:rPr>
        <w:t xml:space="preserve">    </w:t>
      </w:r>
      <w:r>
        <w:rPr>
          <w:rFonts w:ascii="Times New Roman" w:hAnsi="Times New Roman" w:eastAsia="宋体"/>
          <w:lang w:val="en-US"/>
        </w:rPr>
        <w:t>年</w:t>
      </w:r>
      <w:r>
        <w:rPr>
          <w:rFonts w:ascii="Times New Roman" w:hAnsi="Times New Roman" w:eastAsia="宋体"/>
          <w:u w:val="single"/>
          <w:lang w:val="en-US"/>
        </w:rPr>
        <w:t xml:space="preserve">   </w:t>
      </w:r>
      <w:r>
        <w:rPr>
          <w:rFonts w:ascii="Times New Roman" w:hAnsi="Times New Roman" w:eastAsia="宋体"/>
          <w:lang w:val="en-US"/>
        </w:rPr>
        <w:t>月</w:t>
      </w:r>
      <w:r>
        <w:rPr>
          <w:rFonts w:ascii="Times New Roman" w:hAnsi="Times New Roman" w:eastAsia="宋体"/>
          <w:u w:val="single"/>
          <w:lang w:val="en-US"/>
        </w:rPr>
        <w:t xml:space="preserve">   </w:t>
      </w:r>
      <w:r>
        <w:rPr>
          <w:rFonts w:ascii="Times New Roman" w:hAnsi="Times New Roman" w:eastAsia="宋体"/>
          <w:lang w:val="en-US"/>
        </w:rPr>
        <w:t>日签字生效</w:t>
      </w:r>
      <w:r>
        <w:rPr>
          <w:rFonts w:ascii="宋体" w:hAnsi="宋体" w:eastAsia="宋体"/>
          <w:lang w:val="en-US"/>
        </w:rPr>
        <w:t>，</w:t>
      </w:r>
      <w:r>
        <w:rPr>
          <w:rFonts w:ascii="Times New Roman" w:hAnsi="Times New Roman" w:eastAsia="宋体"/>
          <w:lang w:val="en-US"/>
        </w:rPr>
        <w:t>特此声明。</w:t>
      </w:r>
    </w:p>
    <w:p>
      <w:pPr>
        <w:ind w:firstLine="420" w:firstLineChars="200"/>
        <w:rPr>
          <w:rFonts w:ascii="Times New Roman" w:hAnsi="Times New Roman" w:eastAsia="宋体"/>
          <w:lang w:val="en-US"/>
        </w:rPr>
      </w:pPr>
    </w:p>
    <w:p>
      <w:pPr>
        <w:ind w:firstLine="420" w:firstLineChars="200"/>
        <w:rPr>
          <w:rFonts w:ascii="Times New Roman" w:hAnsi="Times New Roman" w:eastAsia="宋体"/>
          <w:lang w:val="en-US"/>
        </w:rPr>
      </w:pPr>
      <w:r>
        <w:rPr>
          <w:rFonts w:ascii="Times New Roman" w:hAnsi="Times New Roman" w:eastAsia="宋体"/>
          <w:lang w:val="en-US"/>
        </w:rPr>
        <w:t>法定代表人签字或盖章：</w:t>
      </w:r>
    </w:p>
    <w:p>
      <w:pPr>
        <w:ind w:firstLine="420" w:firstLineChars="200"/>
        <w:rPr>
          <w:rFonts w:ascii="Times New Roman" w:hAnsi="Times New Roman" w:eastAsia="宋体"/>
          <w:lang w:val="en-US"/>
        </w:rPr>
      </w:pPr>
      <w:r>
        <w:rPr>
          <w:rFonts w:ascii="Times New Roman" w:hAnsi="Times New Roman" w:eastAsia="宋体"/>
          <w:lang w:val="en-US"/>
        </w:rPr>
        <w:t>投标人代表签字或盖章：</w:t>
      </w:r>
    </w:p>
    <w:p>
      <w:pPr>
        <w:ind w:firstLine="420" w:firstLineChars="200"/>
        <w:rPr>
          <w:rFonts w:ascii="Times New Roman" w:hAnsi="Times New Roman" w:eastAsia="宋体"/>
          <w:lang w:val="en-US"/>
        </w:rPr>
      </w:pPr>
      <w:r>
        <w:rPr>
          <w:rFonts w:ascii="Times New Roman" w:hAnsi="Times New Roman" w:eastAsia="宋体"/>
          <w:lang w:val="en-US"/>
        </w:rPr>
        <w:t>投标人全称</w:t>
      </w:r>
      <w:r>
        <w:rPr>
          <w:rFonts w:ascii="宋体" w:hAnsi="宋体" w:eastAsia="宋体"/>
          <w:lang w:val="en-US"/>
        </w:rPr>
        <w:t>，</w:t>
      </w:r>
      <w:r>
        <w:rPr>
          <w:rFonts w:ascii="Times New Roman" w:hAnsi="Times New Roman" w:eastAsia="宋体"/>
          <w:lang w:val="en-US"/>
        </w:rPr>
        <w:t>投标人公章：</w:t>
      </w:r>
    </w:p>
    <w:p>
      <w:pPr>
        <w:ind w:firstLine="420" w:firstLineChars="200"/>
        <w:rPr>
          <w:rFonts w:ascii="Times New Roman" w:hAnsi="Times New Roman" w:eastAsia="宋体"/>
          <w:lang w:val="en-US"/>
        </w:rPr>
      </w:pPr>
      <w:r>
        <w:rPr>
          <w:rFonts w:ascii="Times New Roman" w:hAnsi="Times New Roman" w:eastAsia="宋体"/>
          <w:lang w:val="en-US"/>
        </w:rPr>
        <w:t>法定代表人（身份证复印件）</w:t>
      </w:r>
    </w:p>
    <w:p>
      <w:pPr>
        <w:ind w:firstLine="420" w:firstLineChars="200"/>
        <w:rPr>
          <w:rFonts w:ascii="Times New Roman" w:hAnsi="Times New Roman" w:eastAsia="宋体"/>
          <w:lang w:val="en-US"/>
        </w:rPr>
      </w:pPr>
    </w:p>
    <w:p>
      <w:pPr>
        <w:ind w:firstLine="420" w:firstLineChars="200"/>
        <w:rPr>
          <w:rFonts w:ascii="Times New Roman" w:hAnsi="Times New Roman" w:eastAsia="宋体"/>
          <w:lang w:val="en-US"/>
        </w:rPr>
      </w:pPr>
    </w:p>
    <w:p>
      <w:pPr>
        <w:ind w:firstLine="420" w:firstLineChars="200"/>
        <w:rPr>
          <w:rFonts w:ascii="Times New Roman" w:hAnsi="Times New Roman" w:eastAsia="宋体"/>
          <w:lang w:val="en-US"/>
        </w:rPr>
      </w:pPr>
      <w:r>
        <w:rPr>
          <w:rFonts w:ascii="Times New Roman" w:hAnsi="Times New Roman" w:eastAsia="宋体"/>
          <w:lang w:val="en-US"/>
        </w:rPr>
        <w:t>投标人代表（身份证复印件）</w:t>
      </w:r>
    </w:p>
    <w:p>
      <w:pPr>
        <w:tabs>
          <w:tab w:val="left" w:pos="0"/>
        </w:tabs>
        <w:ind w:firstLine="420" w:firstLineChars="200"/>
        <w:rPr>
          <w:rFonts w:ascii="Times New Roman" w:hAnsi="Times New Roman" w:eastAsia="仿宋_GB2312"/>
          <w:szCs w:val="21"/>
        </w:rPr>
      </w:pPr>
    </w:p>
    <w:p>
      <w:pPr>
        <w:tabs>
          <w:tab w:val="left" w:pos="0"/>
        </w:tabs>
        <w:rPr>
          <w:rFonts w:ascii="Times New Roman" w:hAnsi="Times New Roman" w:eastAsia="仿宋_GB2312"/>
          <w:szCs w:val="21"/>
        </w:rPr>
      </w:pPr>
    </w:p>
    <w:p>
      <w:pPr>
        <w:pStyle w:val="31"/>
        <w:ind w:firstLine="420" w:firstLineChars="200"/>
        <w:rPr>
          <w:color w:val="auto"/>
          <w:sz w:val="21"/>
          <w:szCs w:val="21"/>
        </w:rPr>
      </w:pPr>
      <w:r>
        <w:rPr>
          <w:rFonts w:hint="eastAsia" w:ascii="宋体" w:hAnsi="宋体" w:eastAsia="宋体"/>
          <w:color w:val="auto"/>
          <w:sz w:val="21"/>
          <w:szCs w:val="21"/>
          <w:lang w:val="en-US"/>
        </w:rPr>
        <w:t>须盖投标人公章、法定代表人签字或盖章、投标人代表签字或盖章，如无公章、签字或盖章，投标无效。</w:t>
      </w:r>
    </w:p>
    <w:p>
      <w:pPr>
        <w:ind w:firstLine="420" w:firstLineChars="200"/>
        <w:rPr>
          <w:rFonts w:ascii="Times New Roman" w:hAnsi="Times New Roman" w:eastAsia="宋体"/>
          <w:lang w:val="en-US"/>
        </w:rPr>
      </w:pPr>
      <w:bookmarkStart w:id="243" w:name="_Toc8523"/>
      <w:bookmarkStart w:id="244" w:name="_Toc10654"/>
      <w:bookmarkStart w:id="245" w:name="_Toc10704"/>
      <w:bookmarkStart w:id="246" w:name="_Toc16531413"/>
      <w:bookmarkStart w:id="247" w:name="_Toc16531187"/>
      <w:bookmarkStart w:id="248" w:name="_Ref462740391"/>
      <w:bookmarkStart w:id="249" w:name="_Ref462505461"/>
    </w:p>
    <w:p>
      <w:pPr>
        <w:pStyle w:val="3"/>
        <w:spacing w:before="120"/>
        <w:rPr>
          <w:color w:val="auto"/>
        </w:rPr>
      </w:pPr>
      <w:bookmarkStart w:id="250" w:name="_Toc11256"/>
      <w:bookmarkStart w:id="251" w:name="_Toc1513"/>
      <w:bookmarkStart w:id="252" w:name="_Toc469"/>
      <w:r>
        <w:rPr>
          <w:color w:val="auto"/>
        </w:rPr>
        <w:t>*投标人资质声明</w:t>
      </w:r>
      <w:bookmarkEnd w:id="243"/>
      <w:bookmarkEnd w:id="244"/>
      <w:bookmarkEnd w:id="245"/>
      <w:bookmarkEnd w:id="246"/>
      <w:bookmarkEnd w:id="247"/>
      <w:bookmarkEnd w:id="250"/>
      <w:bookmarkEnd w:id="251"/>
      <w:bookmarkEnd w:id="252"/>
    </w:p>
    <w:p>
      <w:pPr>
        <w:ind w:firstLine="422" w:firstLineChars="200"/>
        <w:jc w:val="center"/>
        <w:rPr>
          <w:rFonts w:ascii="微软雅黑" w:hAnsi="微软雅黑" w:eastAsia="宋体"/>
          <w:lang w:val="en-US"/>
        </w:rPr>
      </w:pPr>
      <w:r>
        <w:rPr>
          <w:rFonts w:ascii="Times New Roman" w:hAnsi="Times New Roman" w:eastAsia="仿宋_GB2312"/>
          <w:b/>
          <w:kern w:val="0"/>
          <w:szCs w:val="21"/>
          <w:lang w:val="en-US"/>
        </w:rPr>
        <w:cr/>
      </w:r>
      <w:r>
        <w:rPr>
          <w:rFonts w:ascii="Times New Roman" w:hAnsi="Times New Roman" w:eastAsia="宋体"/>
          <w:sz w:val="24"/>
          <w:szCs w:val="21"/>
          <w:lang w:val="en-US"/>
        </w:rPr>
        <w:t>投标人资质声明</w:t>
      </w:r>
    </w:p>
    <w:p>
      <w:pPr>
        <w:ind w:firstLine="420" w:firstLineChars="200"/>
        <w:rPr>
          <w:rFonts w:ascii="Times New Roman" w:hAnsi="Times New Roman" w:eastAsia="宋体"/>
          <w:lang w:val="en-US"/>
        </w:rPr>
      </w:pPr>
      <w:r>
        <w:rPr>
          <w:rFonts w:ascii="Times New Roman" w:hAnsi="Times New Roman" w:eastAsia="Times New Roman"/>
          <w:lang w:val="en-US"/>
        </w:rPr>
        <w:t>1</w:t>
      </w:r>
      <w:r>
        <w:rPr>
          <w:rFonts w:ascii="Times New Roman" w:hAnsi="Times New Roman" w:eastAsia="宋体"/>
          <w:lang w:val="en-US"/>
        </w:rPr>
        <w:t>、投标人名称及概况</w:t>
      </w:r>
    </w:p>
    <w:p>
      <w:pPr>
        <w:ind w:firstLine="420" w:firstLineChars="200"/>
        <w:rPr>
          <w:rFonts w:ascii="Times New Roman" w:hAnsi="Times New Roman" w:eastAsia="宋体"/>
          <w:lang w:val="en-US"/>
        </w:rPr>
      </w:pPr>
      <w:r>
        <w:rPr>
          <w:rFonts w:ascii="Times New Roman" w:hAnsi="Times New Roman" w:eastAsia="宋体"/>
          <w:lang w:val="en-US"/>
        </w:rPr>
        <w:t>（</w:t>
      </w:r>
      <w:r>
        <w:rPr>
          <w:rFonts w:ascii="Times New Roman" w:hAnsi="Times New Roman" w:eastAsia="Times New Roman"/>
          <w:lang w:val="en-US"/>
        </w:rPr>
        <w:t>1</w:t>
      </w:r>
      <w:r>
        <w:rPr>
          <w:rFonts w:ascii="Times New Roman" w:hAnsi="Times New Roman" w:eastAsia="宋体"/>
          <w:lang w:val="en-US"/>
        </w:rPr>
        <w:t>）供应商名称：；</w:t>
      </w:r>
    </w:p>
    <w:p>
      <w:pPr>
        <w:ind w:firstLine="420" w:firstLineChars="200"/>
        <w:rPr>
          <w:rFonts w:ascii="Times New Roman" w:hAnsi="Times New Roman" w:eastAsia="宋体"/>
          <w:lang w:val="en-US"/>
        </w:rPr>
      </w:pPr>
      <w:r>
        <w:rPr>
          <w:rFonts w:ascii="Times New Roman" w:hAnsi="Times New Roman" w:eastAsia="宋体"/>
          <w:lang w:val="en-US"/>
        </w:rPr>
        <w:t>（</w:t>
      </w:r>
      <w:r>
        <w:rPr>
          <w:rFonts w:ascii="Times New Roman" w:hAnsi="Times New Roman" w:eastAsia="Times New Roman"/>
          <w:lang w:val="en-US"/>
        </w:rPr>
        <w:t>2</w:t>
      </w:r>
      <w:r>
        <w:rPr>
          <w:rFonts w:ascii="Times New Roman" w:hAnsi="Times New Roman" w:eastAsia="宋体"/>
          <w:lang w:val="en-US"/>
        </w:rPr>
        <w:t>）总部地址：；</w:t>
      </w:r>
    </w:p>
    <w:p>
      <w:pPr>
        <w:ind w:firstLine="420" w:firstLineChars="200"/>
        <w:rPr>
          <w:rFonts w:ascii="Times New Roman" w:hAnsi="Times New Roman" w:eastAsia="宋体"/>
          <w:lang w:val="en-US"/>
        </w:rPr>
      </w:pPr>
      <w:r>
        <w:rPr>
          <w:rFonts w:ascii="Times New Roman" w:hAnsi="Times New Roman" w:eastAsia="宋体"/>
          <w:lang w:val="en-US"/>
        </w:rPr>
        <w:t>传真/电话：</w:t>
      </w:r>
      <w:r>
        <w:rPr>
          <w:rFonts w:ascii="宋体" w:hAnsi="宋体" w:eastAsia="宋体"/>
          <w:lang w:val="en-US"/>
        </w:rPr>
        <w:t>，</w:t>
      </w:r>
      <w:r>
        <w:rPr>
          <w:rFonts w:ascii="Times New Roman" w:hAnsi="Times New Roman" w:eastAsia="宋体"/>
          <w:lang w:val="en-US"/>
        </w:rPr>
        <w:t>邮编：；</w:t>
      </w:r>
    </w:p>
    <w:p>
      <w:pPr>
        <w:ind w:firstLine="420" w:firstLineChars="200"/>
        <w:rPr>
          <w:rFonts w:ascii="Times New Roman" w:hAnsi="Times New Roman" w:eastAsia="宋体"/>
          <w:lang w:val="en-US"/>
        </w:rPr>
      </w:pPr>
      <w:r>
        <w:rPr>
          <w:rFonts w:ascii="Times New Roman" w:hAnsi="Times New Roman" w:eastAsia="宋体"/>
          <w:lang w:val="en-US"/>
        </w:rPr>
        <w:t>（</w:t>
      </w:r>
      <w:r>
        <w:rPr>
          <w:rFonts w:ascii="Times New Roman" w:hAnsi="Times New Roman" w:eastAsia="Times New Roman"/>
          <w:lang w:val="en-US"/>
        </w:rPr>
        <w:t>3</w:t>
      </w:r>
      <w:r>
        <w:rPr>
          <w:rFonts w:ascii="Times New Roman" w:hAnsi="Times New Roman" w:eastAsia="宋体"/>
          <w:lang w:val="en-US"/>
        </w:rPr>
        <w:t>）成立日期或注册日期：；</w:t>
      </w:r>
    </w:p>
    <w:p>
      <w:pPr>
        <w:ind w:firstLine="420" w:firstLineChars="200"/>
        <w:rPr>
          <w:rFonts w:ascii="Times New Roman" w:hAnsi="Times New Roman" w:eastAsia="宋体"/>
          <w:lang w:val="en-US"/>
        </w:rPr>
      </w:pPr>
      <w:r>
        <w:rPr>
          <w:rFonts w:ascii="Times New Roman" w:hAnsi="Times New Roman" w:eastAsia="宋体"/>
          <w:lang w:val="en-US"/>
        </w:rPr>
        <w:t>（</w:t>
      </w:r>
      <w:r>
        <w:rPr>
          <w:rFonts w:ascii="Times New Roman" w:hAnsi="Times New Roman" w:eastAsia="Times New Roman"/>
          <w:lang w:val="en-US"/>
        </w:rPr>
        <w:t>4</w:t>
      </w:r>
      <w:r>
        <w:rPr>
          <w:rFonts w:ascii="Times New Roman" w:hAnsi="Times New Roman" w:eastAsia="宋体"/>
          <w:lang w:val="en-US"/>
        </w:rPr>
        <w:t>）实收资本或股本：；</w:t>
      </w:r>
    </w:p>
    <w:p>
      <w:pPr>
        <w:ind w:firstLine="420" w:firstLineChars="200"/>
        <w:rPr>
          <w:rFonts w:ascii="Times New Roman" w:hAnsi="Times New Roman" w:eastAsia="宋体"/>
          <w:lang w:val="en-US"/>
        </w:rPr>
      </w:pPr>
      <w:r>
        <w:rPr>
          <w:rFonts w:ascii="Times New Roman" w:hAnsi="Times New Roman" w:eastAsia="宋体"/>
          <w:lang w:val="en-US"/>
        </w:rPr>
        <w:t>（</w:t>
      </w:r>
      <w:r>
        <w:rPr>
          <w:rFonts w:ascii="Times New Roman" w:hAnsi="Times New Roman" w:eastAsia="Times New Roman"/>
          <w:lang w:val="en-US"/>
        </w:rPr>
        <w:t>5</w:t>
      </w:r>
      <w:r>
        <w:rPr>
          <w:rFonts w:ascii="Times New Roman" w:hAnsi="Times New Roman" w:eastAsia="宋体"/>
          <w:lang w:val="en-US"/>
        </w:rPr>
        <w:t>）最近资产负债表（到时止）</w:t>
      </w:r>
    </w:p>
    <w:p>
      <w:pPr>
        <w:ind w:firstLine="420" w:firstLineChars="200"/>
        <w:rPr>
          <w:rFonts w:ascii="Times New Roman" w:hAnsi="Times New Roman" w:eastAsia="宋体"/>
          <w:lang w:val="en-US"/>
        </w:rPr>
      </w:pPr>
      <w:r>
        <w:rPr>
          <w:rFonts w:ascii="Times New Roman" w:hAnsi="Times New Roman" w:eastAsia="Times New Roman"/>
          <w:lang w:val="en-US"/>
        </w:rPr>
        <w:t>1</w:t>
      </w:r>
      <w:r>
        <w:rPr>
          <w:rFonts w:ascii="Times New Roman" w:hAnsi="Times New Roman" w:eastAsia="宋体"/>
          <w:lang w:val="en-US"/>
        </w:rPr>
        <w:t>）固定资产：；</w:t>
      </w:r>
    </w:p>
    <w:p>
      <w:pPr>
        <w:ind w:firstLine="420" w:firstLineChars="200"/>
        <w:rPr>
          <w:rFonts w:ascii="Times New Roman" w:hAnsi="Times New Roman" w:eastAsia="宋体"/>
          <w:lang w:val="en-US"/>
        </w:rPr>
      </w:pPr>
      <w:r>
        <w:rPr>
          <w:rFonts w:ascii="Times New Roman" w:hAnsi="Times New Roman" w:eastAsia="Times New Roman"/>
          <w:lang w:val="en-US"/>
        </w:rPr>
        <w:t>2</w:t>
      </w:r>
      <w:r>
        <w:rPr>
          <w:rFonts w:ascii="Times New Roman" w:hAnsi="Times New Roman" w:eastAsia="宋体"/>
          <w:lang w:val="en-US"/>
        </w:rPr>
        <w:t>）</w:t>
      </w:r>
      <w:r>
        <w:rPr>
          <w:rFonts w:ascii="Times New Roman" w:hAnsi="Times New Roman" w:eastAsia="宋体"/>
          <w:lang w:val="en-US"/>
        </w:rPr>
        <w:tab/>
      </w:r>
      <w:r>
        <w:rPr>
          <w:rFonts w:ascii="Times New Roman" w:hAnsi="Times New Roman" w:eastAsia="宋体"/>
          <w:lang w:val="en-US"/>
        </w:rPr>
        <w:t>流动资产：；</w:t>
      </w:r>
    </w:p>
    <w:p>
      <w:pPr>
        <w:ind w:firstLine="420" w:firstLineChars="200"/>
        <w:rPr>
          <w:rFonts w:ascii="Times New Roman" w:hAnsi="Times New Roman" w:eastAsia="宋体"/>
          <w:lang w:val="en-US"/>
        </w:rPr>
      </w:pPr>
      <w:r>
        <w:rPr>
          <w:rFonts w:ascii="Times New Roman" w:hAnsi="Times New Roman" w:eastAsia="Times New Roman"/>
          <w:lang w:val="en-US"/>
        </w:rPr>
        <w:t>3</w:t>
      </w:r>
      <w:r>
        <w:rPr>
          <w:rFonts w:ascii="Times New Roman" w:hAnsi="Times New Roman" w:eastAsia="宋体"/>
          <w:lang w:val="en-US"/>
        </w:rPr>
        <w:t>）</w:t>
      </w:r>
      <w:r>
        <w:rPr>
          <w:rFonts w:ascii="Times New Roman" w:hAnsi="Times New Roman" w:eastAsia="宋体"/>
          <w:lang w:val="en-US"/>
        </w:rPr>
        <w:tab/>
      </w:r>
      <w:r>
        <w:rPr>
          <w:rFonts w:ascii="Times New Roman" w:hAnsi="Times New Roman" w:eastAsia="宋体"/>
          <w:lang w:val="en-US"/>
        </w:rPr>
        <w:t>长期债务：；</w:t>
      </w:r>
    </w:p>
    <w:p>
      <w:pPr>
        <w:ind w:firstLine="420" w:firstLineChars="200"/>
        <w:rPr>
          <w:rFonts w:ascii="Times New Roman" w:hAnsi="Times New Roman" w:eastAsia="宋体"/>
          <w:lang w:val="en-US"/>
        </w:rPr>
      </w:pPr>
      <w:r>
        <w:rPr>
          <w:rFonts w:ascii="Times New Roman" w:hAnsi="Times New Roman" w:eastAsia="Times New Roman"/>
          <w:lang w:val="en-US"/>
        </w:rPr>
        <w:t>4</w:t>
      </w:r>
      <w:r>
        <w:rPr>
          <w:rFonts w:ascii="Times New Roman" w:hAnsi="Times New Roman" w:eastAsia="宋体"/>
          <w:lang w:val="en-US"/>
        </w:rPr>
        <w:t>）流动债务：；</w:t>
      </w:r>
    </w:p>
    <w:p>
      <w:pPr>
        <w:ind w:firstLine="420" w:firstLineChars="200"/>
        <w:rPr>
          <w:rFonts w:ascii="Times New Roman" w:hAnsi="Times New Roman" w:eastAsia="宋体"/>
          <w:lang w:val="en-US"/>
        </w:rPr>
      </w:pPr>
      <w:r>
        <w:rPr>
          <w:rFonts w:ascii="Times New Roman" w:hAnsi="Times New Roman" w:eastAsia="Times New Roman"/>
          <w:lang w:val="en-US"/>
        </w:rPr>
        <w:t>5</w:t>
      </w:r>
      <w:r>
        <w:rPr>
          <w:rFonts w:ascii="Times New Roman" w:hAnsi="Times New Roman" w:eastAsia="宋体"/>
          <w:lang w:val="en-US"/>
        </w:rPr>
        <w:t>）所有者权益：；</w:t>
      </w:r>
    </w:p>
    <w:p>
      <w:pPr>
        <w:ind w:firstLine="420" w:firstLineChars="200"/>
        <w:rPr>
          <w:rFonts w:ascii="Times New Roman" w:hAnsi="Times New Roman" w:eastAsia="宋体"/>
          <w:lang w:val="en-US"/>
        </w:rPr>
      </w:pPr>
      <w:r>
        <w:rPr>
          <w:rFonts w:ascii="Times New Roman" w:hAnsi="Times New Roman" w:eastAsia="宋体"/>
          <w:lang w:val="en-US"/>
        </w:rPr>
        <w:t>（</w:t>
      </w:r>
      <w:r>
        <w:rPr>
          <w:rFonts w:ascii="Times New Roman" w:hAnsi="Times New Roman" w:eastAsia="Times New Roman"/>
          <w:lang w:val="en-US"/>
        </w:rPr>
        <w:t>6</w:t>
      </w:r>
      <w:r>
        <w:rPr>
          <w:rFonts w:ascii="Times New Roman" w:hAnsi="Times New Roman" w:eastAsia="宋体"/>
          <w:lang w:val="en-US"/>
        </w:rPr>
        <w:t>）主要负责人姓名：；</w:t>
      </w:r>
    </w:p>
    <w:p>
      <w:pPr>
        <w:ind w:firstLine="420" w:firstLineChars="200"/>
        <w:rPr>
          <w:rFonts w:ascii="Times New Roman" w:hAnsi="Times New Roman" w:eastAsia="宋体"/>
          <w:lang w:val="en-US"/>
        </w:rPr>
      </w:pPr>
      <w:r>
        <w:rPr>
          <w:rFonts w:ascii="Times New Roman" w:hAnsi="Times New Roman" w:eastAsia="Times New Roman"/>
          <w:lang w:val="en-US"/>
        </w:rPr>
        <w:t>2</w:t>
      </w:r>
      <w:r>
        <w:rPr>
          <w:rFonts w:ascii="Times New Roman" w:hAnsi="Times New Roman" w:eastAsia="宋体"/>
          <w:lang w:val="en-US"/>
        </w:rPr>
        <w:t>、与投标提供货物有关情况</w:t>
      </w:r>
    </w:p>
    <w:p>
      <w:pPr>
        <w:ind w:firstLine="420" w:firstLineChars="200"/>
        <w:rPr>
          <w:rFonts w:ascii="Times New Roman" w:hAnsi="Times New Roman" w:eastAsia="宋体"/>
          <w:lang w:val="en-US"/>
        </w:rPr>
      </w:pPr>
      <w:r>
        <w:rPr>
          <w:rFonts w:ascii="Times New Roman" w:hAnsi="Times New Roman" w:eastAsia="宋体"/>
          <w:lang w:val="en-US"/>
        </w:rPr>
        <w:t>关于制造商所提供货物的生产设施及其它情况：</w:t>
      </w:r>
    </w:p>
    <w:p>
      <w:pPr>
        <w:ind w:firstLine="420" w:firstLineChars="200"/>
        <w:rPr>
          <w:rFonts w:ascii="Times New Roman" w:hAnsi="Times New Roman" w:eastAsia="宋体"/>
          <w:lang w:val="en-US"/>
        </w:rPr>
      </w:pPr>
      <w:r>
        <w:rPr>
          <w:rFonts w:ascii="Times New Roman" w:hAnsi="Times New Roman" w:eastAsia="宋体"/>
          <w:lang w:val="en-US"/>
        </w:rPr>
        <w:t>工厂名称和地址</w:t>
      </w:r>
    </w:p>
    <w:p>
      <w:pPr>
        <w:ind w:firstLine="420" w:firstLineChars="200"/>
        <w:rPr>
          <w:rFonts w:ascii="Times New Roman" w:hAnsi="Times New Roman" w:eastAsia="宋体"/>
          <w:lang w:val="en-US"/>
        </w:rPr>
      </w:pPr>
    </w:p>
    <w:p>
      <w:pPr>
        <w:ind w:firstLine="420" w:firstLineChars="200"/>
        <w:rPr>
          <w:rFonts w:ascii="Times New Roman" w:hAnsi="Times New Roman" w:eastAsia="宋体"/>
          <w:lang w:val="en-US"/>
        </w:rPr>
      </w:pPr>
      <w:r>
        <w:rPr>
          <w:rFonts w:ascii="Times New Roman" w:hAnsi="Times New Roman" w:eastAsia="宋体"/>
          <w:lang w:val="en-US"/>
        </w:rPr>
        <w:t>正在生产的货物</w:t>
      </w:r>
    </w:p>
    <w:p>
      <w:pPr>
        <w:ind w:firstLine="420" w:firstLineChars="200"/>
        <w:rPr>
          <w:rFonts w:ascii="Times New Roman" w:hAnsi="Times New Roman" w:eastAsia="宋体"/>
          <w:lang w:val="en-US"/>
        </w:rPr>
      </w:pPr>
    </w:p>
    <w:p>
      <w:pPr>
        <w:ind w:firstLine="420" w:firstLineChars="200"/>
        <w:rPr>
          <w:rFonts w:ascii="Times New Roman" w:hAnsi="Times New Roman" w:eastAsia="宋体"/>
          <w:lang w:val="en-US"/>
        </w:rPr>
      </w:pPr>
      <w:r>
        <w:rPr>
          <w:rFonts w:ascii="Times New Roman" w:hAnsi="Times New Roman" w:eastAsia="宋体"/>
          <w:lang w:val="en-US"/>
        </w:rPr>
        <w:t>年生产能力</w:t>
      </w:r>
    </w:p>
    <w:p>
      <w:pPr>
        <w:ind w:firstLine="420" w:firstLineChars="200"/>
        <w:rPr>
          <w:rFonts w:ascii="Times New Roman" w:hAnsi="Times New Roman" w:eastAsia="宋体"/>
          <w:lang w:val="en-US"/>
        </w:rPr>
      </w:pPr>
    </w:p>
    <w:p>
      <w:pPr>
        <w:ind w:firstLine="420" w:firstLineChars="200"/>
        <w:rPr>
          <w:rFonts w:ascii="Times New Roman" w:hAnsi="Times New Roman" w:eastAsia="宋体"/>
          <w:lang w:val="en-US"/>
        </w:rPr>
      </w:pPr>
      <w:r>
        <w:rPr>
          <w:rFonts w:ascii="Times New Roman" w:hAnsi="Times New Roman" w:eastAsia="宋体"/>
          <w:lang w:val="en-US"/>
        </w:rPr>
        <w:t>职工（雇员）人数</w:t>
      </w:r>
    </w:p>
    <w:p>
      <w:pPr>
        <w:ind w:firstLine="420" w:firstLineChars="200"/>
        <w:rPr>
          <w:rFonts w:ascii="Times New Roman" w:hAnsi="Times New Roman" w:eastAsia="宋体"/>
          <w:lang w:val="en-US"/>
        </w:rPr>
      </w:pPr>
      <w:r>
        <w:rPr>
          <w:rFonts w:ascii="Times New Roman" w:hAnsi="Times New Roman" w:eastAsia="宋体"/>
          <w:lang w:val="en-US"/>
        </w:rPr>
        <w:t>投标人法定代表人或委托代理人签字</w:t>
      </w:r>
      <w:r>
        <w:rPr>
          <w:rFonts w:hint="eastAsia" w:ascii="Times New Roman" w:hAnsi="Times New Roman" w:eastAsia="宋体"/>
          <w:lang w:val="en-US"/>
        </w:rPr>
        <w:t>或盖章</w:t>
      </w:r>
      <w:r>
        <w:rPr>
          <w:rFonts w:ascii="Times New Roman" w:hAnsi="Times New Roman" w:eastAsia="宋体"/>
          <w:lang w:val="en-US"/>
        </w:rPr>
        <w:t>：</w:t>
      </w:r>
    </w:p>
    <w:p>
      <w:pPr>
        <w:ind w:firstLine="420" w:firstLineChars="200"/>
        <w:rPr>
          <w:rFonts w:ascii="Times New Roman" w:hAnsi="Times New Roman" w:eastAsia="仿宋_GB2312"/>
          <w:b/>
          <w:kern w:val="0"/>
          <w:szCs w:val="21"/>
        </w:rPr>
      </w:pPr>
      <w:r>
        <w:rPr>
          <w:rFonts w:ascii="Times New Roman" w:hAnsi="Times New Roman" w:eastAsia="宋体"/>
          <w:lang w:val="en-US"/>
        </w:rPr>
        <w:t>日期：</w:t>
      </w:r>
    </w:p>
    <w:p>
      <w:pPr>
        <w:pStyle w:val="3"/>
        <w:spacing w:before="120"/>
        <w:rPr>
          <w:color w:val="auto"/>
        </w:rPr>
      </w:pPr>
      <w:bookmarkStart w:id="253" w:name="_Toc29137"/>
      <w:bookmarkStart w:id="254" w:name="_Toc16531188"/>
      <w:bookmarkStart w:id="255" w:name="_Toc15276"/>
      <w:bookmarkStart w:id="256" w:name="_Toc16531414"/>
      <w:bookmarkStart w:id="257" w:name="_Toc11331"/>
      <w:bookmarkStart w:id="258" w:name="_Toc26669"/>
      <w:bookmarkStart w:id="259" w:name="_Toc5254"/>
      <w:bookmarkStart w:id="260" w:name="_Toc28325"/>
      <w:r>
        <w:rPr>
          <w:color w:val="auto"/>
        </w:rPr>
        <w:t>*企业法人营业执照/事业单位法人证书</w:t>
      </w:r>
      <w:bookmarkEnd w:id="253"/>
      <w:bookmarkEnd w:id="254"/>
      <w:bookmarkEnd w:id="255"/>
      <w:bookmarkEnd w:id="256"/>
      <w:bookmarkEnd w:id="257"/>
      <w:bookmarkEnd w:id="258"/>
      <w:bookmarkEnd w:id="259"/>
      <w:bookmarkEnd w:id="260"/>
    </w:p>
    <w:p>
      <w:pPr>
        <w:ind w:firstLine="420" w:firstLineChars="200"/>
        <w:rPr>
          <w:rFonts w:ascii="Times New Roman" w:hAnsi="Times New Roman" w:eastAsia="仿宋_GB2312"/>
          <w:b/>
          <w:kern w:val="0"/>
          <w:szCs w:val="21"/>
          <w:lang w:val="en-US"/>
        </w:rPr>
      </w:pPr>
      <w:r>
        <w:rPr>
          <w:rFonts w:ascii="Times New Roman" w:hAnsi="Times New Roman" w:eastAsia="宋体"/>
          <w:lang w:val="en-US"/>
        </w:rPr>
        <w:t>*有效的企业法人营业执照/事业单位法人证书副本复印件</w:t>
      </w:r>
      <w:r>
        <w:rPr>
          <w:rFonts w:ascii="宋体" w:hAnsi="宋体" w:eastAsia="宋体"/>
          <w:lang w:val="en-US"/>
        </w:rPr>
        <w:t>，</w:t>
      </w:r>
      <w:r>
        <w:rPr>
          <w:rFonts w:ascii="Times New Roman" w:hAnsi="Times New Roman" w:eastAsia="宋体"/>
          <w:lang w:val="en-US"/>
        </w:rPr>
        <w:t>并加盖投标人公章；</w:t>
      </w:r>
    </w:p>
    <w:p>
      <w:pPr>
        <w:pStyle w:val="3"/>
        <w:spacing w:before="120"/>
        <w:rPr>
          <w:color w:val="auto"/>
        </w:rPr>
      </w:pPr>
      <w:bookmarkStart w:id="261" w:name="_Toc14828"/>
      <w:bookmarkStart w:id="262" w:name="_Toc5485"/>
      <w:bookmarkStart w:id="263" w:name="_Toc22615"/>
      <w:bookmarkStart w:id="264" w:name="_Toc16531415"/>
      <w:bookmarkStart w:id="265" w:name="_Toc4084"/>
      <w:bookmarkStart w:id="266" w:name="_Toc7077"/>
      <w:bookmarkStart w:id="267" w:name="_Toc16531189"/>
      <w:bookmarkStart w:id="268" w:name="_Toc1663"/>
      <w:r>
        <w:rPr>
          <w:color w:val="auto"/>
        </w:rPr>
        <w:t>*纳税证明</w:t>
      </w:r>
      <w:bookmarkEnd w:id="261"/>
      <w:bookmarkEnd w:id="262"/>
      <w:bookmarkEnd w:id="263"/>
      <w:bookmarkEnd w:id="264"/>
      <w:bookmarkEnd w:id="265"/>
      <w:bookmarkEnd w:id="266"/>
      <w:bookmarkEnd w:id="267"/>
      <w:bookmarkEnd w:id="268"/>
    </w:p>
    <w:p>
      <w:pPr>
        <w:ind w:firstLine="420" w:firstLineChars="200"/>
        <w:rPr>
          <w:rFonts w:ascii="Times New Roman" w:hAnsi="Times New Roman" w:eastAsia="宋体"/>
          <w:lang w:val="en-US"/>
        </w:rPr>
      </w:pPr>
      <w:r>
        <w:rPr>
          <w:rFonts w:ascii="Times New Roman" w:hAnsi="Times New Roman" w:eastAsia="宋体"/>
          <w:lang w:val="en-US"/>
        </w:rPr>
        <w:t>*</w:t>
      </w:r>
      <w:r>
        <w:rPr>
          <w:rFonts w:hint="eastAsia" w:ascii="Times New Roman" w:hAnsi="Times New Roman" w:eastAsia="宋体"/>
          <w:lang w:val="en-US"/>
        </w:rPr>
        <w:t>投标人提供自2024年3月1日起至开标之日连续</w:t>
      </w:r>
      <w:r>
        <w:rPr>
          <w:rFonts w:hint="eastAsia" w:ascii="Times New Roman" w:hAnsi="Times New Roman" w:eastAsia="Times New Roman"/>
          <w:lang w:val="en-US"/>
        </w:rPr>
        <w:t>3</w:t>
      </w:r>
      <w:r>
        <w:rPr>
          <w:rFonts w:hint="eastAsia" w:ascii="Times New Roman" w:hAnsi="Times New Roman" w:eastAsia="宋体"/>
          <w:lang w:val="en-US"/>
        </w:rPr>
        <w:t>个月的清晰可辨的纳税证明材料并加盖投标人公章（如至开标之日成立不足三个月的新企业</w:t>
      </w:r>
      <w:r>
        <w:rPr>
          <w:rFonts w:hint="eastAsia" w:ascii="宋体" w:hAnsi="宋体" w:eastAsia="宋体"/>
          <w:lang w:val="en-US"/>
        </w:rPr>
        <w:t>，</w:t>
      </w:r>
      <w:r>
        <w:rPr>
          <w:rFonts w:hint="eastAsia" w:ascii="Times New Roman" w:hAnsi="Times New Roman" w:eastAsia="宋体"/>
          <w:lang w:val="en-US"/>
        </w:rPr>
        <w:t>应出具本企业将依法纳税的声明承诺函加盖投标人公章）</w:t>
      </w:r>
      <w:r>
        <w:rPr>
          <w:rFonts w:ascii="Times New Roman" w:hAnsi="Times New Roman" w:eastAsia="宋体"/>
          <w:lang w:val="en-US"/>
        </w:rPr>
        <w:t>；</w:t>
      </w:r>
    </w:p>
    <w:p>
      <w:pPr>
        <w:ind w:firstLine="480" w:firstLineChars="200"/>
        <w:jc w:val="center"/>
        <w:rPr>
          <w:rFonts w:ascii="Times New Roman" w:hAnsi="Times New Roman" w:eastAsia="宋体"/>
          <w:lang w:val="en-US"/>
        </w:rPr>
      </w:pPr>
      <w:r>
        <w:rPr>
          <w:rFonts w:ascii="Times New Roman" w:hAnsi="Times New Roman" w:eastAsia="Times New Roman"/>
          <w:sz w:val="24"/>
          <w:szCs w:val="21"/>
          <w:lang w:val="en-US"/>
        </w:rPr>
        <w:t>XXXXX</w:t>
      </w:r>
      <w:r>
        <w:rPr>
          <w:rFonts w:ascii="Times New Roman" w:hAnsi="Times New Roman" w:eastAsia="宋体"/>
          <w:sz w:val="24"/>
          <w:szCs w:val="21"/>
          <w:lang w:val="en-US"/>
        </w:rPr>
        <w:t>（公司名称）声明承诺函</w:t>
      </w:r>
    </w:p>
    <w:p>
      <w:pPr>
        <w:rPr>
          <w:rFonts w:ascii="Times New Roman" w:hAnsi="Times New Roman" w:eastAsia="宋体"/>
          <w:lang w:val="en-US"/>
        </w:rPr>
      </w:pPr>
      <w:r>
        <w:rPr>
          <w:rFonts w:ascii="Times New Roman" w:hAnsi="Times New Roman" w:eastAsia="宋体"/>
          <w:lang w:val="en-US"/>
        </w:rPr>
        <w:t>公安部警用装备采购中心：</w:t>
      </w:r>
    </w:p>
    <w:p>
      <w:pPr>
        <w:ind w:firstLine="420" w:firstLineChars="200"/>
        <w:rPr>
          <w:rFonts w:ascii="Times New Roman" w:hAnsi="Times New Roman" w:eastAsia="宋体"/>
          <w:lang w:val="en-US"/>
        </w:rPr>
      </w:pPr>
      <w:r>
        <w:rPr>
          <w:rFonts w:ascii="Times New Roman" w:hAnsi="Times New Roman" w:eastAsia="宋体"/>
          <w:lang w:val="en-US"/>
        </w:rPr>
        <w:t>我单位参加贵中心组织的(项目名称、项目编号、包号)</w:t>
      </w:r>
      <w:r>
        <w:rPr>
          <w:rFonts w:ascii="宋体" w:hAnsi="宋体" w:eastAsia="宋体"/>
          <w:lang w:val="en-US"/>
        </w:rPr>
        <w:t>，</w:t>
      </w:r>
      <w:r>
        <w:rPr>
          <w:rFonts w:ascii="Times New Roman" w:hAnsi="Times New Roman" w:eastAsia="宋体"/>
          <w:lang w:val="en-US"/>
        </w:rPr>
        <w:t>因成立于</w:t>
      </w:r>
      <w:r>
        <w:rPr>
          <w:rFonts w:ascii="Times New Roman" w:hAnsi="Times New Roman" w:eastAsia="Times New Roman"/>
          <w:lang w:val="en-US"/>
        </w:rPr>
        <w:t>XX</w:t>
      </w:r>
      <w:r>
        <w:rPr>
          <w:rFonts w:ascii="Times New Roman" w:hAnsi="Times New Roman" w:eastAsia="宋体"/>
          <w:lang w:val="en-US"/>
        </w:rPr>
        <w:t>年</w:t>
      </w:r>
      <w:r>
        <w:rPr>
          <w:rFonts w:ascii="Times New Roman" w:hAnsi="Times New Roman" w:eastAsia="Times New Roman"/>
          <w:lang w:val="en-US"/>
        </w:rPr>
        <w:t>XX</w:t>
      </w:r>
      <w:r>
        <w:rPr>
          <w:rFonts w:ascii="Times New Roman" w:hAnsi="Times New Roman" w:eastAsia="宋体"/>
          <w:lang w:val="en-US"/>
        </w:rPr>
        <w:t>月</w:t>
      </w:r>
      <w:r>
        <w:rPr>
          <w:rFonts w:ascii="Times New Roman" w:hAnsi="Times New Roman" w:eastAsia="Times New Roman"/>
          <w:lang w:val="en-US"/>
        </w:rPr>
        <w:t>XX</w:t>
      </w:r>
      <w:r>
        <w:rPr>
          <w:rFonts w:ascii="Times New Roman" w:hAnsi="Times New Roman" w:eastAsia="宋体"/>
          <w:lang w:val="en-US"/>
        </w:rPr>
        <w:t>日，暂无法提供年月至月的纳税证明</w:t>
      </w:r>
      <w:r>
        <w:rPr>
          <w:rFonts w:ascii="宋体" w:hAnsi="宋体" w:eastAsia="宋体"/>
          <w:lang w:val="en-US"/>
        </w:rPr>
        <w:t>，</w:t>
      </w:r>
      <w:r>
        <w:rPr>
          <w:rFonts w:ascii="Times New Roman" w:hAnsi="Times New Roman" w:eastAsia="宋体"/>
          <w:lang w:val="en-US"/>
        </w:rPr>
        <w:t>现我单位郑重承诺：依法纳税</w:t>
      </w:r>
      <w:r>
        <w:rPr>
          <w:rFonts w:ascii="宋体" w:hAnsi="宋体" w:eastAsia="宋体"/>
          <w:lang w:val="en-US"/>
        </w:rPr>
        <w:t>，</w:t>
      </w:r>
      <w:r>
        <w:rPr>
          <w:rFonts w:ascii="Times New Roman" w:hAnsi="Times New Roman" w:eastAsia="宋体"/>
          <w:lang w:val="en-US"/>
        </w:rPr>
        <w:t>严格履行纳税人义务。因违反本承诺而引起的任何风险</w:t>
      </w:r>
      <w:r>
        <w:rPr>
          <w:rFonts w:ascii="宋体" w:hAnsi="宋体" w:eastAsia="宋体"/>
          <w:lang w:val="en-US"/>
        </w:rPr>
        <w:t>，</w:t>
      </w:r>
      <w:r>
        <w:rPr>
          <w:rFonts w:ascii="Times New Roman" w:hAnsi="Times New Roman" w:eastAsia="宋体"/>
          <w:lang w:val="en-US"/>
        </w:rPr>
        <w:t>将由我单位承担。</w:t>
      </w:r>
    </w:p>
    <w:p>
      <w:pPr>
        <w:ind w:firstLine="420" w:firstLineChars="200"/>
        <w:rPr>
          <w:rFonts w:ascii="Times New Roman" w:hAnsi="Times New Roman" w:eastAsia="宋体"/>
          <w:lang w:val="en-US"/>
        </w:rPr>
      </w:pPr>
      <w:r>
        <w:rPr>
          <w:rFonts w:ascii="Times New Roman" w:hAnsi="Times New Roman" w:eastAsia="宋体"/>
          <w:lang w:val="en-US"/>
        </w:rPr>
        <w:t>此函</w:t>
      </w:r>
    </w:p>
    <w:p>
      <w:pPr>
        <w:ind w:firstLine="420" w:firstLineChars="200"/>
        <w:jc w:val="right"/>
        <w:rPr>
          <w:rFonts w:ascii="Times New Roman" w:hAnsi="Times New Roman" w:eastAsia="宋体"/>
          <w:lang w:val="en-US"/>
        </w:rPr>
      </w:pPr>
      <w:r>
        <w:rPr>
          <w:rFonts w:ascii="Times New Roman" w:hAnsi="Times New Roman" w:eastAsia="宋体"/>
          <w:lang w:val="en-US"/>
        </w:rPr>
        <w:t>（企业公章）</w:t>
      </w:r>
    </w:p>
    <w:p>
      <w:pPr>
        <w:ind w:firstLine="420" w:firstLineChars="200"/>
        <w:jc w:val="right"/>
        <w:rPr>
          <w:rFonts w:ascii="Times New Roman" w:hAnsi="Times New Roman" w:eastAsia="宋体"/>
          <w:lang w:val="en-US"/>
        </w:rPr>
      </w:pPr>
      <w:r>
        <w:rPr>
          <w:rFonts w:ascii="Times New Roman" w:hAnsi="Times New Roman" w:eastAsia="宋体"/>
          <w:lang w:val="en-US"/>
        </w:rPr>
        <w:t>年</w:t>
      </w:r>
      <w:r>
        <w:rPr>
          <w:rFonts w:hint="eastAsia" w:ascii="Times New Roman" w:hAnsi="Times New Roman" w:eastAsia="宋体"/>
          <w:lang w:val="en-US"/>
        </w:rPr>
        <w:t xml:space="preserve">   </w:t>
      </w:r>
      <w:r>
        <w:rPr>
          <w:rFonts w:ascii="Times New Roman" w:hAnsi="Times New Roman" w:eastAsia="宋体"/>
          <w:lang w:val="en-US"/>
        </w:rPr>
        <w:t>月</w:t>
      </w:r>
      <w:r>
        <w:rPr>
          <w:rFonts w:hint="eastAsia" w:ascii="Times New Roman" w:hAnsi="Times New Roman" w:eastAsia="宋体"/>
          <w:lang w:val="en-US"/>
        </w:rPr>
        <w:t xml:space="preserve">   </w:t>
      </w:r>
      <w:r>
        <w:rPr>
          <w:rFonts w:ascii="Times New Roman" w:hAnsi="Times New Roman" w:eastAsia="宋体"/>
          <w:lang w:val="en-US"/>
        </w:rPr>
        <w:t>日</w:t>
      </w:r>
    </w:p>
    <w:p>
      <w:pPr>
        <w:pStyle w:val="3"/>
        <w:spacing w:before="120"/>
        <w:rPr>
          <w:color w:val="auto"/>
        </w:rPr>
      </w:pPr>
      <w:bookmarkStart w:id="269" w:name="_Toc16531416"/>
      <w:bookmarkStart w:id="270" w:name="_Toc6799"/>
      <w:bookmarkStart w:id="271" w:name="_Toc6401"/>
      <w:bookmarkStart w:id="272" w:name="_Toc8221"/>
      <w:bookmarkStart w:id="273" w:name="_Toc28334"/>
      <w:bookmarkStart w:id="274" w:name="_Toc20719"/>
      <w:bookmarkStart w:id="275" w:name="_Toc16531190"/>
      <w:bookmarkStart w:id="276" w:name="_Toc14272"/>
      <w:r>
        <w:rPr>
          <w:color w:val="auto"/>
        </w:rPr>
        <w:t>*社保缴费记录</w:t>
      </w:r>
      <w:bookmarkEnd w:id="269"/>
      <w:bookmarkEnd w:id="270"/>
      <w:bookmarkEnd w:id="271"/>
      <w:bookmarkEnd w:id="272"/>
      <w:bookmarkEnd w:id="273"/>
      <w:bookmarkEnd w:id="274"/>
      <w:bookmarkEnd w:id="275"/>
      <w:bookmarkEnd w:id="276"/>
    </w:p>
    <w:p>
      <w:pPr>
        <w:keepNext/>
        <w:keepLines/>
        <w:ind w:firstLine="420" w:firstLineChars="200"/>
        <w:rPr>
          <w:rFonts w:ascii="Times New Roman" w:hAnsi="Times New Roman" w:eastAsia="宋体"/>
          <w:lang w:val="en-US"/>
        </w:rPr>
      </w:pPr>
      <w:r>
        <w:rPr>
          <w:rFonts w:ascii="Times New Roman" w:hAnsi="Times New Roman" w:eastAsia="宋体"/>
          <w:lang w:val="en-US"/>
        </w:rPr>
        <w:t>*</w:t>
      </w:r>
      <w:r>
        <w:rPr>
          <w:rFonts w:hint="eastAsia" w:ascii="Times New Roman" w:hAnsi="Times New Roman" w:eastAsia="宋体"/>
          <w:lang w:val="en-US"/>
        </w:rPr>
        <w:t>投标人提供自2024年3月1日起至开标之日连续</w:t>
      </w:r>
      <w:r>
        <w:rPr>
          <w:rFonts w:hint="eastAsia" w:ascii="Times New Roman" w:hAnsi="Times New Roman" w:eastAsia="Times New Roman"/>
          <w:lang w:val="en-US"/>
        </w:rPr>
        <w:t>3</w:t>
      </w:r>
      <w:r>
        <w:rPr>
          <w:rFonts w:hint="eastAsia" w:ascii="Times New Roman" w:hAnsi="Times New Roman" w:eastAsia="宋体"/>
          <w:lang w:val="en-US"/>
        </w:rPr>
        <w:t>个月的清晰可辨的社保缴费记录证明文件复印件加盖投标人公章（如至开标之日成立不足三个月的新企业</w:t>
      </w:r>
      <w:r>
        <w:rPr>
          <w:rFonts w:hint="eastAsia" w:ascii="宋体" w:hAnsi="宋体" w:eastAsia="宋体"/>
          <w:lang w:val="en-US"/>
        </w:rPr>
        <w:t>，</w:t>
      </w:r>
      <w:r>
        <w:rPr>
          <w:rFonts w:hint="eastAsia" w:ascii="Times New Roman" w:hAnsi="Times New Roman" w:eastAsia="宋体"/>
          <w:lang w:val="en-US"/>
        </w:rPr>
        <w:t>应出具本企业将依法缴纳社保的声明承诺函加盖投标人公章）</w:t>
      </w:r>
      <w:r>
        <w:rPr>
          <w:rFonts w:ascii="Times New Roman" w:hAnsi="Times New Roman" w:eastAsia="宋体"/>
          <w:lang w:val="en-US"/>
        </w:rPr>
        <w:t>；</w:t>
      </w:r>
    </w:p>
    <w:p>
      <w:pPr>
        <w:spacing w:before="120" w:beforeLines="50"/>
        <w:ind w:firstLine="480" w:firstLineChars="200"/>
        <w:jc w:val="center"/>
        <w:rPr>
          <w:rFonts w:ascii="Times New Roman" w:hAnsi="Times New Roman" w:eastAsia="宋体"/>
          <w:lang w:val="en-US"/>
        </w:rPr>
      </w:pPr>
      <w:r>
        <w:rPr>
          <w:rFonts w:ascii="Times New Roman" w:hAnsi="Times New Roman" w:eastAsia="Times New Roman"/>
          <w:sz w:val="24"/>
          <w:szCs w:val="21"/>
          <w:lang w:val="en-US"/>
        </w:rPr>
        <w:t>XXXXX</w:t>
      </w:r>
      <w:r>
        <w:rPr>
          <w:rFonts w:ascii="Times New Roman" w:hAnsi="Times New Roman" w:eastAsia="宋体"/>
          <w:sz w:val="24"/>
          <w:szCs w:val="21"/>
          <w:lang w:val="en-US"/>
        </w:rPr>
        <w:t>（公司名称）声明承诺函</w:t>
      </w:r>
    </w:p>
    <w:p>
      <w:pPr>
        <w:rPr>
          <w:rFonts w:ascii="Times New Roman" w:hAnsi="Times New Roman" w:eastAsia="宋体"/>
          <w:lang w:val="en-US"/>
        </w:rPr>
      </w:pPr>
      <w:r>
        <w:rPr>
          <w:rFonts w:ascii="Times New Roman" w:hAnsi="Times New Roman" w:eastAsia="宋体"/>
          <w:lang w:val="en-US"/>
        </w:rPr>
        <w:t>公安部警用装备采购中心：</w:t>
      </w:r>
    </w:p>
    <w:p>
      <w:pPr>
        <w:ind w:firstLine="420" w:firstLineChars="200"/>
        <w:rPr>
          <w:rFonts w:ascii="Times New Roman" w:hAnsi="Times New Roman" w:eastAsia="宋体"/>
          <w:lang w:val="en-US"/>
        </w:rPr>
      </w:pPr>
      <w:r>
        <w:rPr>
          <w:rFonts w:ascii="Times New Roman" w:hAnsi="Times New Roman" w:eastAsia="宋体"/>
          <w:lang w:val="en-US"/>
        </w:rPr>
        <w:t>我单位参加贵中心组织的(项目名称、项目编号、包号)</w:t>
      </w:r>
      <w:r>
        <w:rPr>
          <w:rFonts w:ascii="宋体" w:hAnsi="宋体" w:eastAsia="宋体"/>
          <w:lang w:val="en-US"/>
        </w:rPr>
        <w:t>，</w:t>
      </w:r>
      <w:r>
        <w:rPr>
          <w:rFonts w:ascii="Times New Roman" w:hAnsi="Times New Roman" w:eastAsia="宋体"/>
          <w:lang w:val="en-US"/>
        </w:rPr>
        <w:t>因成立于</w:t>
      </w:r>
      <w:r>
        <w:rPr>
          <w:rFonts w:ascii="Times New Roman" w:hAnsi="Times New Roman" w:eastAsia="Times New Roman"/>
          <w:lang w:val="en-US"/>
        </w:rPr>
        <w:t>XX</w:t>
      </w:r>
      <w:r>
        <w:rPr>
          <w:rFonts w:ascii="Times New Roman" w:hAnsi="Times New Roman" w:eastAsia="宋体"/>
          <w:lang w:val="en-US"/>
        </w:rPr>
        <w:t>年</w:t>
      </w:r>
      <w:r>
        <w:rPr>
          <w:rFonts w:ascii="Times New Roman" w:hAnsi="Times New Roman" w:eastAsia="Times New Roman"/>
          <w:lang w:val="en-US"/>
        </w:rPr>
        <w:t>XX</w:t>
      </w:r>
      <w:r>
        <w:rPr>
          <w:rFonts w:ascii="Times New Roman" w:hAnsi="Times New Roman" w:eastAsia="宋体"/>
          <w:lang w:val="en-US"/>
        </w:rPr>
        <w:t>月</w:t>
      </w:r>
      <w:r>
        <w:rPr>
          <w:rFonts w:ascii="Times New Roman" w:hAnsi="Times New Roman" w:eastAsia="Times New Roman"/>
          <w:lang w:val="en-US"/>
        </w:rPr>
        <w:t>XX</w:t>
      </w:r>
      <w:r>
        <w:rPr>
          <w:rFonts w:ascii="Times New Roman" w:hAnsi="Times New Roman" w:eastAsia="宋体"/>
          <w:lang w:val="en-US"/>
        </w:rPr>
        <w:t>日，暂无法提供年月至月的社会保障缴纳证明</w:t>
      </w:r>
      <w:r>
        <w:rPr>
          <w:rFonts w:ascii="宋体" w:hAnsi="宋体" w:eastAsia="宋体"/>
          <w:lang w:val="en-US"/>
        </w:rPr>
        <w:t>，</w:t>
      </w:r>
      <w:r>
        <w:rPr>
          <w:rFonts w:ascii="Times New Roman" w:hAnsi="Times New Roman" w:eastAsia="宋体"/>
          <w:lang w:val="en-US"/>
        </w:rPr>
        <w:t>现我单位郑重承诺：依法缴纳社保</w:t>
      </w:r>
      <w:r>
        <w:rPr>
          <w:rFonts w:ascii="宋体" w:hAnsi="宋体" w:eastAsia="宋体"/>
          <w:lang w:val="en-US"/>
        </w:rPr>
        <w:t>，</w:t>
      </w:r>
      <w:r>
        <w:rPr>
          <w:rFonts w:ascii="Times New Roman" w:hAnsi="Times New Roman" w:eastAsia="宋体"/>
          <w:lang w:val="en-US"/>
        </w:rPr>
        <w:t>严格履行企业责任。因违反本承诺而引起的任何风险</w:t>
      </w:r>
      <w:r>
        <w:rPr>
          <w:rFonts w:ascii="宋体" w:hAnsi="宋体" w:eastAsia="宋体"/>
          <w:lang w:val="en-US"/>
        </w:rPr>
        <w:t>，</w:t>
      </w:r>
      <w:r>
        <w:rPr>
          <w:rFonts w:ascii="Times New Roman" w:hAnsi="Times New Roman" w:eastAsia="宋体"/>
          <w:lang w:val="en-US"/>
        </w:rPr>
        <w:t>将由我单位承担。</w:t>
      </w:r>
    </w:p>
    <w:p>
      <w:pPr>
        <w:ind w:firstLine="420" w:firstLineChars="200"/>
        <w:rPr>
          <w:rFonts w:ascii="Times New Roman" w:hAnsi="Times New Roman" w:eastAsia="宋体"/>
          <w:lang w:val="en-US"/>
        </w:rPr>
      </w:pPr>
      <w:r>
        <w:rPr>
          <w:rFonts w:ascii="Times New Roman" w:hAnsi="Times New Roman" w:eastAsia="宋体"/>
          <w:lang w:val="en-US"/>
        </w:rPr>
        <w:t>此函</w:t>
      </w:r>
    </w:p>
    <w:p>
      <w:pPr>
        <w:ind w:firstLine="420" w:firstLineChars="200"/>
        <w:jc w:val="right"/>
        <w:rPr>
          <w:rFonts w:ascii="Times New Roman" w:hAnsi="Times New Roman" w:eastAsia="宋体"/>
          <w:lang w:val="en-US"/>
        </w:rPr>
      </w:pPr>
      <w:r>
        <w:rPr>
          <w:rFonts w:ascii="Times New Roman" w:hAnsi="Times New Roman" w:eastAsia="宋体"/>
          <w:lang w:val="en-US"/>
        </w:rPr>
        <w:t>（企业公章）</w:t>
      </w:r>
    </w:p>
    <w:p>
      <w:pPr>
        <w:ind w:firstLine="420" w:firstLineChars="200"/>
        <w:jc w:val="right"/>
        <w:rPr>
          <w:rFonts w:ascii="Times New Roman" w:hAnsi="Times New Roman" w:eastAsia="宋体"/>
          <w:lang w:val="en-US"/>
        </w:rPr>
      </w:pPr>
      <w:r>
        <w:rPr>
          <w:rFonts w:ascii="Times New Roman" w:hAnsi="Times New Roman" w:eastAsia="宋体"/>
          <w:lang w:val="en-US"/>
        </w:rPr>
        <w:t>年</w:t>
      </w:r>
      <w:r>
        <w:rPr>
          <w:rFonts w:hint="eastAsia" w:ascii="Times New Roman" w:hAnsi="Times New Roman" w:eastAsia="宋体"/>
          <w:lang w:val="en-US"/>
        </w:rPr>
        <w:t xml:space="preserve">   </w:t>
      </w:r>
      <w:r>
        <w:rPr>
          <w:rFonts w:ascii="Times New Roman" w:hAnsi="Times New Roman" w:eastAsia="宋体"/>
          <w:lang w:val="en-US"/>
        </w:rPr>
        <w:t>月</w:t>
      </w:r>
      <w:r>
        <w:rPr>
          <w:rFonts w:hint="eastAsia" w:ascii="Times New Roman" w:hAnsi="Times New Roman" w:eastAsia="宋体"/>
          <w:lang w:val="en-US"/>
        </w:rPr>
        <w:t xml:space="preserve">   </w:t>
      </w:r>
      <w:r>
        <w:rPr>
          <w:rFonts w:ascii="Times New Roman" w:hAnsi="Times New Roman" w:eastAsia="宋体"/>
          <w:lang w:val="en-US"/>
        </w:rPr>
        <w:t>日</w:t>
      </w:r>
    </w:p>
    <w:p>
      <w:pPr>
        <w:pStyle w:val="3"/>
        <w:spacing w:before="120"/>
        <w:rPr>
          <w:color w:val="auto"/>
        </w:rPr>
      </w:pPr>
      <w:bookmarkStart w:id="277" w:name="_Toc8828"/>
      <w:bookmarkStart w:id="278" w:name="_Toc16531191"/>
      <w:bookmarkStart w:id="279" w:name="_Toc26693"/>
      <w:bookmarkStart w:id="280" w:name="_Toc16531417"/>
      <w:bookmarkStart w:id="281" w:name="_Toc2409"/>
      <w:bookmarkStart w:id="282" w:name="_Toc28842"/>
      <w:bookmarkStart w:id="283" w:name="_Toc17892"/>
      <w:bookmarkStart w:id="284" w:name="_Toc30211"/>
      <w:r>
        <w:rPr>
          <w:color w:val="auto"/>
        </w:rPr>
        <w:t>*企业</w:t>
      </w:r>
      <w:bookmarkEnd w:id="277"/>
      <w:bookmarkEnd w:id="278"/>
      <w:bookmarkEnd w:id="279"/>
      <w:bookmarkEnd w:id="280"/>
      <w:r>
        <w:rPr>
          <w:rFonts w:hint="eastAsia"/>
          <w:color w:val="auto"/>
        </w:rPr>
        <w:t>审计报告</w:t>
      </w:r>
      <w:bookmarkEnd w:id="281"/>
      <w:bookmarkEnd w:id="282"/>
      <w:bookmarkEnd w:id="283"/>
      <w:bookmarkEnd w:id="284"/>
    </w:p>
    <w:p>
      <w:pPr>
        <w:keepNext/>
        <w:keepLines/>
        <w:ind w:firstLine="420" w:firstLineChars="200"/>
        <w:rPr>
          <w:rFonts w:ascii="Times New Roman" w:hAnsi="Times New Roman" w:eastAsia="宋体"/>
          <w:lang w:val="en-US"/>
        </w:rPr>
      </w:pPr>
      <w:bookmarkStart w:id="285" w:name="_Toc16531192"/>
      <w:bookmarkStart w:id="286" w:name="_Toc16531418"/>
      <w:bookmarkStart w:id="287" w:name="_Toc30729"/>
      <w:r>
        <w:rPr>
          <w:rFonts w:hint="eastAsia" w:ascii="Times New Roman" w:hAnsi="Times New Roman" w:eastAsia="宋体"/>
          <w:lang w:val="en-US"/>
        </w:rPr>
        <w:t>*投标人提供会计师事务所出具的2023年的审计报告（审计报告、财务报表及附注）；开业不足一年的可出具其基本开户银行出具的资信证明。（上述资料须提供复印件加盖投标人公章）</w:t>
      </w:r>
    </w:p>
    <w:p>
      <w:pPr>
        <w:pStyle w:val="3"/>
        <w:spacing w:before="120"/>
        <w:rPr>
          <w:color w:val="auto"/>
          <w:highlight w:val="none"/>
        </w:rPr>
      </w:pPr>
      <w:bookmarkStart w:id="288" w:name="_Toc29633"/>
      <w:bookmarkStart w:id="289" w:name="_Toc16909"/>
      <w:bookmarkStart w:id="290" w:name="_Toc8921"/>
      <w:bookmarkStart w:id="291" w:name="_Toc28564"/>
      <w:bookmarkStart w:id="292" w:name="_Toc15589"/>
      <w:r>
        <w:rPr>
          <w:rFonts w:hint="eastAsia" w:ascii="Times New Roman" w:hAnsi="Times New Roman"/>
          <w:highlight w:val="none"/>
          <w:lang w:val="en-US"/>
        </w:rPr>
        <w:t>*</w:t>
      </w:r>
      <w:bookmarkEnd w:id="288"/>
      <w:r>
        <w:rPr>
          <w:rFonts w:hint="eastAsia"/>
          <w:highlight w:val="none"/>
          <w:lang w:val="en-US" w:eastAsia="zh-CN"/>
        </w:rPr>
        <w:t>中小企业文件</w:t>
      </w:r>
    </w:p>
    <w:p>
      <w:pPr>
        <w:ind w:firstLine="420" w:firstLineChars="200"/>
        <w:rPr>
          <w:rFonts w:hint="eastAsia" w:ascii="Times New Roman" w:hAnsi="Times New Roman" w:eastAsia="宋体"/>
          <w:szCs w:val="22"/>
          <w:highlight w:val="none"/>
          <w:lang w:val="en-US" w:eastAsia="zh-CN"/>
        </w:rPr>
      </w:pPr>
      <w:r>
        <w:rPr>
          <w:rFonts w:hint="eastAsia" w:ascii="Times New Roman" w:hAnsi="Times New Roman"/>
          <w:highlight w:val="none"/>
          <w:lang w:val="en-US"/>
        </w:rPr>
        <w:t>*</w:t>
      </w:r>
      <w:r>
        <w:rPr>
          <w:rFonts w:hint="eastAsia" w:ascii="Times New Roman" w:hAnsi="Times New Roman" w:eastAsia="宋体"/>
          <w:szCs w:val="22"/>
          <w:highlight w:val="none"/>
          <w:lang w:val="en-US"/>
        </w:rPr>
        <w:t>本项目第</w:t>
      </w:r>
      <w:r>
        <w:rPr>
          <w:rFonts w:hint="eastAsia" w:ascii="Times New Roman" w:hAnsi="Times New Roman" w:eastAsia="宋体"/>
          <w:szCs w:val="22"/>
          <w:highlight w:val="none"/>
          <w:lang w:val="en-US" w:eastAsia="zh-CN"/>
        </w:rPr>
        <w:t>3、4、6、7、9、10、11</w:t>
      </w:r>
      <w:r>
        <w:rPr>
          <w:rFonts w:hint="eastAsia" w:ascii="Times New Roman" w:hAnsi="Times New Roman" w:eastAsia="宋体"/>
          <w:szCs w:val="22"/>
          <w:highlight w:val="none"/>
          <w:lang w:val="en-US"/>
        </w:rPr>
        <w:t>包专门面向中小企业，投标人须提供以下三项材料中的任一项①《中小企业声明函》（格式详见第7部分）；②由省级以上监狱管理局、戒毒管理局（含新疆生产建设兵团）出具的属于监狱企业证明文件；③《残疾人福利性单位声明函》（格式详见第7部分）</w:t>
      </w:r>
      <w:r>
        <w:rPr>
          <w:rFonts w:hint="eastAsia" w:ascii="Times New Roman" w:hAnsi="Times New Roman" w:eastAsia="宋体"/>
          <w:szCs w:val="22"/>
          <w:highlight w:val="none"/>
          <w:lang w:val="en-US" w:eastAsia="zh-CN"/>
        </w:rPr>
        <w:t>。</w:t>
      </w:r>
    </w:p>
    <w:p>
      <w:pPr>
        <w:pStyle w:val="3"/>
        <w:spacing w:before="120"/>
        <w:rPr>
          <w:color w:val="auto"/>
        </w:rPr>
      </w:pPr>
      <w:bookmarkStart w:id="293" w:name="_Toc2332"/>
      <w:r>
        <w:rPr>
          <w:color w:val="auto"/>
          <w:highlight w:val="none"/>
        </w:rPr>
        <w:t>*商务</w:t>
      </w:r>
      <w:r>
        <w:rPr>
          <w:color w:val="auto"/>
        </w:rPr>
        <w:t>条款偏离表</w:t>
      </w:r>
      <w:bookmarkEnd w:id="285"/>
      <w:bookmarkEnd w:id="286"/>
      <w:bookmarkEnd w:id="287"/>
      <w:bookmarkEnd w:id="289"/>
      <w:bookmarkEnd w:id="290"/>
      <w:bookmarkEnd w:id="291"/>
      <w:bookmarkEnd w:id="292"/>
      <w:bookmarkEnd w:id="293"/>
    </w:p>
    <w:p>
      <w:pPr>
        <w:ind w:firstLine="420" w:firstLineChars="200"/>
        <w:rPr>
          <w:rFonts w:ascii="Times New Roman" w:hAnsi="Times New Roman" w:eastAsia="宋体"/>
          <w:lang w:val="en-US"/>
        </w:rPr>
      </w:pPr>
      <w:r>
        <w:rPr>
          <w:rFonts w:ascii="Times New Roman" w:hAnsi="Times New Roman" w:eastAsia="宋体"/>
          <w:lang w:val="en-US"/>
        </w:rPr>
        <w:t>如投标人提交的投标文件商务条款及合同条款与招标文件的要求存在偏离</w:t>
      </w:r>
      <w:r>
        <w:rPr>
          <w:rFonts w:ascii="宋体" w:hAnsi="宋体" w:eastAsia="宋体"/>
          <w:lang w:val="en-US"/>
        </w:rPr>
        <w:t>，</w:t>
      </w:r>
      <w:r>
        <w:rPr>
          <w:rFonts w:ascii="Times New Roman" w:hAnsi="Times New Roman" w:eastAsia="宋体"/>
          <w:lang w:val="en-US"/>
        </w:rPr>
        <w:t>需逐项填写《商务条款偏离表》</w:t>
      </w:r>
      <w:r>
        <w:rPr>
          <w:rFonts w:ascii="宋体" w:hAnsi="宋体" w:eastAsia="宋体"/>
          <w:lang w:val="en-US"/>
        </w:rPr>
        <w:t>，</w:t>
      </w:r>
      <w:r>
        <w:rPr>
          <w:rFonts w:ascii="Times New Roman" w:hAnsi="Times New Roman" w:eastAsia="宋体"/>
          <w:lang w:val="en-US"/>
        </w:rPr>
        <w:t>完全满足招标文件要求的投标人需应答</w:t>
      </w:r>
      <w:r>
        <w:rPr>
          <w:rFonts w:hint="eastAsia" w:ascii="Times New Roman" w:hAnsi="Times New Roman" w:eastAsia="宋体"/>
          <w:lang w:val="en-US"/>
        </w:rPr>
        <w:t>“</w:t>
      </w:r>
      <w:r>
        <w:rPr>
          <w:rFonts w:ascii="Times New Roman" w:hAnsi="Times New Roman" w:eastAsia="宋体"/>
          <w:lang w:val="en-US"/>
        </w:rPr>
        <w:t>完全满足招标文件的全部要求</w:t>
      </w:r>
      <w:r>
        <w:rPr>
          <w:rFonts w:hint="eastAsia" w:ascii="Times New Roman" w:hAnsi="Times New Roman" w:eastAsia="宋体"/>
          <w:lang w:val="en-US"/>
        </w:rPr>
        <w:t>”</w:t>
      </w:r>
      <w:r>
        <w:rPr>
          <w:rFonts w:ascii="Times New Roman" w:hAnsi="Times New Roman" w:eastAsia="宋体"/>
          <w:lang w:val="en-US"/>
        </w:rPr>
        <w:t>。</w:t>
      </w:r>
    </w:p>
    <w:p>
      <w:pPr>
        <w:ind w:firstLine="420" w:firstLineChars="200"/>
        <w:rPr>
          <w:rFonts w:ascii="Times New Roman" w:hAnsi="Times New Roman" w:eastAsia="宋体"/>
          <w:lang w:val="en-US"/>
        </w:rPr>
      </w:pPr>
      <w:r>
        <w:rPr>
          <w:rFonts w:ascii="Times New Roman" w:hAnsi="Times New Roman" w:eastAsia="宋体"/>
          <w:lang w:val="en-US"/>
        </w:rPr>
        <w:t>项目名称：</w:t>
      </w:r>
    </w:p>
    <w:p>
      <w:pPr>
        <w:ind w:firstLine="420" w:firstLineChars="200"/>
        <w:rPr>
          <w:rFonts w:ascii="Times New Roman" w:hAnsi="Times New Roman" w:eastAsia="宋体"/>
          <w:lang w:val="en-US"/>
        </w:rPr>
      </w:pPr>
      <w:r>
        <w:rPr>
          <w:rFonts w:ascii="Times New Roman" w:hAnsi="Times New Roman" w:eastAsia="宋体"/>
          <w:lang w:val="en-US"/>
        </w:rPr>
        <w:t>项目编号：</w:t>
      </w:r>
    </w:p>
    <w:p>
      <w:pPr>
        <w:ind w:firstLine="420" w:firstLineChars="200"/>
        <w:rPr>
          <w:rFonts w:ascii="Times New Roman" w:hAnsi="Times New Roman" w:eastAsia="宋体"/>
          <w:lang w:val="en-US"/>
        </w:rPr>
      </w:pPr>
      <w:r>
        <w:rPr>
          <w:rFonts w:ascii="Times New Roman" w:hAnsi="Times New Roman" w:eastAsia="宋体"/>
          <w:lang w:val="en-US"/>
        </w:rPr>
        <w:t>投标人名称：</w:t>
      </w:r>
    </w:p>
    <w:p>
      <w:pPr>
        <w:ind w:firstLine="420" w:firstLineChars="200"/>
        <w:rPr>
          <w:rFonts w:ascii="Times New Roman" w:hAnsi="Times New Roman" w:eastAsia="宋体"/>
          <w:lang w:val="en-US"/>
        </w:rPr>
      </w:pPr>
      <w:r>
        <w:rPr>
          <w:rFonts w:ascii="Times New Roman" w:hAnsi="Times New Roman" w:eastAsia="宋体"/>
          <w:lang w:val="en-US"/>
        </w:rPr>
        <w:t>包号：</w:t>
      </w:r>
    </w:p>
    <w:tbl>
      <w:tblPr>
        <w:tblStyle w:val="81"/>
        <w:tblW w:w="0" w:type="auto"/>
        <w:jc w:val="center"/>
        <w:tblLayout w:type="fixed"/>
        <w:tblCellMar>
          <w:top w:w="0" w:type="dxa"/>
          <w:left w:w="108" w:type="dxa"/>
          <w:bottom w:w="0" w:type="dxa"/>
          <w:right w:w="108" w:type="dxa"/>
        </w:tblCellMar>
      </w:tblPr>
      <w:tblGrid>
        <w:gridCol w:w="708"/>
        <w:gridCol w:w="1800"/>
        <w:gridCol w:w="2400"/>
        <w:gridCol w:w="2294"/>
        <w:gridCol w:w="1801"/>
      </w:tblGrid>
      <w:tr>
        <w:tblPrEx>
          <w:tblCellMar>
            <w:top w:w="0" w:type="dxa"/>
            <w:left w:w="108" w:type="dxa"/>
            <w:bottom w:w="0" w:type="dxa"/>
            <w:right w:w="108" w:type="dxa"/>
          </w:tblCellMar>
        </w:tblPrEx>
        <w:trPr>
          <w:trHeight w:val="20" w:hRule="atLeast"/>
          <w:jc w:val="center"/>
        </w:trPr>
        <w:tc>
          <w:tcPr>
            <w:tcW w:w="708" w:type="dxa"/>
            <w:tcBorders>
              <w:top w:val="single" w:color="000000" w:sz="4" w:space="0"/>
              <w:left w:val="single" w:color="000000" w:sz="4" w:space="0"/>
              <w:bottom w:val="single" w:color="000000" w:sz="4" w:space="0"/>
              <w:right w:val="single" w:color="000000" w:sz="4" w:space="0"/>
            </w:tcBorders>
            <w:vAlign w:val="center"/>
          </w:tcPr>
          <w:p>
            <w:pPr>
              <w:tabs>
                <w:tab w:val="left" w:pos="0"/>
              </w:tabs>
              <w:spacing w:line="240" w:lineRule="exact"/>
              <w:jc w:val="center"/>
              <w:rPr>
                <w:rFonts w:ascii="Times New Roman" w:hAnsi="Times New Roman" w:eastAsia="黑体"/>
                <w:kern w:val="0"/>
                <w:szCs w:val="21"/>
                <w:lang w:val="en-US"/>
              </w:rPr>
            </w:pPr>
            <w:r>
              <w:rPr>
                <w:rFonts w:ascii="Times New Roman" w:hAnsi="Times New Roman" w:eastAsia="黑体"/>
                <w:kern w:val="0"/>
                <w:szCs w:val="21"/>
                <w:lang w:val="en-US"/>
              </w:rPr>
              <w:t>序号</w:t>
            </w:r>
          </w:p>
        </w:tc>
        <w:tc>
          <w:tcPr>
            <w:tcW w:w="1800" w:type="dxa"/>
            <w:tcBorders>
              <w:top w:val="single" w:color="000000" w:sz="4" w:space="0"/>
              <w:left w:val="nil"/>
              <w:bottom w:val="single" w:color="000000" w:sz="4" w:space="0"/>
              <w:right w:val="single" w:color="000000" w:sz="4" w:space="0"/>
            </w:tcBorders>
            <w:vAlign w:val="center"/>
          </w:tcPr>
          <w:p>
            <w:pPr>
              <w:tabs>
                <w:tab w:val="left" w:pos="0"/>
              </w:tabs>
              <w:spacing w:line="240" w:lineRule="exact"/>
              <w:jc w:val="center"/>
              <w:rPr>
                <w:rFonts w:ascii="Times New Roman" w:hAnsi="Times New Roman" w:eastAsia="黑体"/>
                <w:kern w:val="0"/>
                <w:szCs w:val="21"/>
                <w:lang w:val="en-US"/>
              </w:rPr>
            </w:pPr>
            <w:r>
              <w:rPr>
                <w:rFonts w:ascii="Times New Roman" w:hAnsi="Times New Roman" w:eastAsia="黑体"/>
                <w:kern w:val="0"/>
                <w:szCs w:val="21"/>
                <w:lang w:val="en-US"/>
              </w:rPr>
              <w:t>招标文件条目号</w:t>
            </w:r>
          </w:p>
        </w:tc>
        <w:tc>
          <w:tcPr>
            <w:tcW w:w="2400" w:type="dxa"/>
            <w:tcBorders>
              <w:top w:val="single" w:color="000000" w:sz="4" w:space="0"/>
              <w:left w:val="nil"/>
              <w:bottom w:val="single" w:color="000000" w:sz="4" w:space="0"/>
              <w:right w:val="single" w:color="000000" w:sz="4" w:space="0"/>
            </w:tcBorders>
            <w:vAlign w:val="center"/>
          </w:tcPr>
          <w:p>
            <w:pPr>
              <w:tabs>
                <w:tab w:val="left" w:pos="0"/>
              </w:tabs>
              <w:spacing w:line="240" w:lineRule="exact"/>
              <w:jc w:val="center"/>
              <w:rPr>
                <w:rFonts w:ascii="Times New Roman" w:hAnsi="Times New Roman" w:eastAsia="黑体"/>
                <w:kern w:val="0"/>
                <w:szCs w:val="21"/>
                <w:lang w:val="en-US"/>
              </w:rPr>
            </w:pPr>
            <w:r>
              <w:rPr>
                <w:rFonts w:ascii="Times New Roman" w:hAnsi="Times New Roman" w:eastAsia="黑体"/>
                <w:kern w:val="0"/>
                <w:szCs w:val="21"/>
                <w:lang w:val="en-US"/>
              </w:rPr>
              <w:t>招标文件商务文件要求</w:t>
            </w:r>
          </w:p>
        </w:tc>
        <w:tc>
          <w:tcPr>
            <w:tcW w:w="2294" w:type="dxa"/>
            <w:tcBorders>
              <w:top w:val="single" w:color="000000" w:sz="4" w:space="0"/>
              <w:left w:val="nil"/>
              <w:bottom w:val="single" w:color="000000" w:sz="4" w:space="0"/>
              <w:right w:val="single" w:color="000000" w:sz="4" w:space="0"/>
            </w:tcBorders>
            <w:vAlign w:val="center"/>
          </w:tcPr>
          <w:p>
            <w:pPr>
              <w:tabs>
                <w:tab w:val="left" w:pos="0"/>
              </w:tabs>
              <w:spacing w:line="240" w:lineRule="exact"/>
              <w:jc w:val="center"/>
              <w:rPr>
                <w:rFonts w:ascii="Times New Roman" w:hAnsi="Times New Roman" w:eastAsia="黑体"/>
                <w:kern w:val="0"/>
                <w:szCs w:val="21"/>
                <w:lang w:val="en-US"/>
              </w:rPr>
            </w:pPr>
            <w:r>
              <w:rPr>
                <w:rFonts w:ascii="Times New Roman" w:hAnsi="Times New Roman" w:eastAsia="黑体"/>
                <w:kern w:val="0"/>
                <w:szCs w:val="21"/>
                <w:lang w:val="en-US"/>
              </w:rPr>
              <w:t>投标文件的应答</w:t>
            </w:r>
          </w:p>
        </w:tc>
        <w:tc>
          <w:tcPr>
            <w:tcW w:w="1801" w:type="dxa"/>
            <w:tcBorders>
              <w:top w:val="single" w:color="000000" w:sz="4" w:space="0"/>
              <w:left w:val="nil"/>
              <w:bottom w:val="single" w:color="000000" w:sz="4" w:space="0"/>
              <w:right w:val="single" w:color="000000" w:sz="4" w:space="0"/>
            </w:tcBorders>
            <w:vAlign w:val="center"/>
          </w:tcPr>
          <w:p>
            <w:pPr>
              <w:tabs>
                <w:tab w:val="left" w:pos="0"/>
              </w:tabs>
              <w:spacing w:line="240" w:lineRule="exact"/>
              <w:jc w:val="center"/>
              <w:rPr>
                <w:rFonts w:ascii="Times New Roman" w:hAnsi="Times New Roman" w:eastAsia="黑体"/>
                <w:kern w:val="0"/>
                <w:szCs w:val="21"/>
                <w:lang w:val="en-US"/>
              </w:rPr>
            </w:pPr>
            <w:r>
              <w:rPr>
                <w:rFonts w:ascii="Times New Roman" w:hAnsi="Times New Roman" w:eastAsia="黑体"/>
                <w:kern w:val="0"/>
                <w:szCs w:val="21"/>
                <w:lang w:val="en-US"/>
              </w:rPr>
              <w:t>正偏离或</w:t>
            </w:r>
          </w:p>
          <w:p>
            <w:pPr>
              <w:tabs>
                <w:tab w:val="left" w:pos="0"/>
              </w:tabs>
              <w:spacing w:line="240" w:lineRule="exact"/>
              <w:jc w:val="center"/>
              <w:rPr>
                <w:rFonts w:ascii="Times New Roman" w:hAnsi="Times New Roman" w:eastAsia="黑体"/>
                <w:kern w:val="0"/>
                <w:szCs w:val="21"/>
                <w:lang w:val="en-US"/>
              </w:rPr>
            </w:pPr>
            <w:r>
              <w:rPr>
                <w:rFonts w:ascii="Times New Roman" w:hAnsi="Times New Roman" w:eastAsia="黑体"/>
                <w:kern w:val="0"/>
                <w:szCs w:val="21"/>
                <w:lang w:val="en-US"/>
              </w:rPr>
              <w:t>负偏离说明</w:t>
            </w:r>
          </w:p>
        </w:tc>
      </w:tr>
      <w:tr>
        <w:tblPrEx>
          <w:tblCellMar>
            <w:top w:w="0" w:type="dxa"/>
            <w:left w:w="108" w:type="dxa"/>
            <w:bottom w:w="0" w:type="dxa"/>
            <w:right w:w="108" w:type="dxa"/>
          </w:tblCellMar>
        </w:tblPrEx>
        <w:trPr>
          <w:trHeight w:val="20" w:hRule="atLeast"/>
          <w:jc w:val="center"/>
        </w:trPr>
        <w:tc>
          <w:tcPr>
            <w:tcW w:w="708" w:type="dxa"/>
            <w:tcBorders>
              <w:top w:val="single" w:color="000000" w:sz="4" w:space="0"/>
              <w:left w:val="single" w:color="000000" w:sz="4" w:space="0"/>
              <w:bottom w:val="single" w:color="000000" w:sz="4" w:space="0"/>
              <w:right w:val="single" w:color="000000" w:sz="4" w:space="0"/>
            </w:tcBorders>
            <w:vAlign w:val="center"/>
          </w:tcPr>
          <w:p>
            <w:pPr>
              <w:tabs>
                <w:tab w:val="left" w:pos="0"/>
              </w:tabs>
              <w:jc w:val="center"/>
              <w:rPr>
                <w:rFonts w:ascii="Times New Roman" w:hAnsi="Times New Roman" w:eastAsia="宋体"/>
                <w:szCs w:val="21"/>
                <w:u w:val="single"/>
              </w:rPr>
            </w:pPr>
          </w:p>
        </w:tc>
        <w:tc>
          <w:tcPr>
            <w:tcW w:w="1800" w:type="dxa"/>
            <w:tcBorders>
              <w:top w:val="single" w:color="000000" w:sz="4" w:space="0"/>
              <w:left w:val="nil"/>
              <w:bottom w:val="single" w:color="000000" w:sz="4" w:space="0"/>
              <w:right w:val="single" w:color="000000" w:sz="4" w:space="0"/>
            </w:tcBorders>
            <w:vAlign w:val="center"/>
          </w:tcPr>
          <w:p>
            <w:pPr>
              <w:tabs>
                <w:tab w:val="left" w:pos="0"/>
              </w:tabs>
              <w:jc w:val="center"/>
              <w:rPr>
                <w:rFonts w:ascii="Times New Roman" w:hAnsi="Times New Roman" w:eastAsia="宋体"/>
                <w:szCs w:val="21"/>
              </w:rPr>
            </w:pPr>
          </w:p>
        </w:tc>
        <w:tc>
          <w:tcPr>
            <w:tcW w:w="2400" w:type="dxa"/>
            <w:tcBorders>
              <w:top w:val="single" w:color="000000" w:sz="4" w:space="0"/>
              <w:left w:val="nil"/>
              <w:bottom w:val="single" w:color="000000" w:sz="4" w:space="0"/>
              <w:right w:val="single" w:color="000000" w:sz="4" w:space="0"/>
            </w:tcBorders>
            <w:vAlign w:val="center"/>
          </w:tcPr>
          <w:p>
            <w:pPr>
              <w:tabs>
                <w:tab w:val="left" w:pos="0"/>
              </w:tabs>
              <w:jc w:val="center"/>
              <w:rPr>
                <w:rFonts w:ascii="Times New Roman" w:hAnsi="Times New Roman" w:eastAsia="宋体"/>
                <w:szCs w:val="21"/>
              </w:rPr>
            </w:pPr>
          </w:p>
        </w:tc>
        <w:tc>
          <w:tcPr>
            <w:tcW w:w="2294" w:type="dxa"/>
            <w:tcBorders>
              <w:top w:val="single" w:color="000000" w:sz="4" w:space="0"/>
              <w:left w:val="nil"/>
              <w:bottom w:val="single" w:color="000000" w:sz="4" w:space="0"/>
              <w:right w:val="single" w:color="000000" w:sz="4" w:space="0"/>
            </w:tcBorders>
            <w:vAlign w:val="center"/>
          </w:tcPr>
          <w:p>
            <w:pPr>
              <w:tabs>
                <w:tab w:val="left" w:pos="0"/>
              </w:tabs>
              <w:jc w:val="center"/>
              <w:rPr>
                <w:rFonts w:ascii="Times New Roman" w:hAnsi="Times New Roman" w:eastAsia="宋体"/>
                <w:szCs w:val="21"/>
              </w:rPr>
            </w:pPr>
            <w:r>
              <w:rPr>
                <w:rFonts w:ascii="Times New Roman" w:hAnsi="Times New Roman" w:eastAsia="宋体"/>
                <w:szCs w:val="21"/>
              </w:rPr>
              <w:t>满足/不满足</w:t>
            </w:r>
          </w:p>
        </w:tc>
        <w:tc>
          <w:tcPr>
            <w:tcW w:w="1801" w:type="dxa"/>
            <w:tcBorders>
              <w:top w:val="single" w:color="000000" w:sz="4" w:space="0"/>
              <w:left w:val="nil"/>
              <w:bottom w:val="single" w:color="000000" w:sz="4" w:space="0"/>
              <w:right w:val="single" w:color="000000" w:sz="4" w:space="0"/>
            </w:tcBorders>
            <w:vAlign w:val="center"/>
          </w:tcPr>
          <w:p>
            <w:pPr>
              <w:tabs>
                <w:tab w:val="left" w:pos="0"/>
              </w:tabs>
              <w:jc w:val="center"/>
              <w:rPr>
                <w:rFonts w:ascii="Times New Roman" w:hAnsi="Times New Roman" w:eastAsia="宋体"/>
                <w:szCs w:val="21"/>
                <w:u w:val="single"/>
              </w:rPr>
            </w:pPr>
          </w:p>
        </w:tc>
      </w:tr>
      <w:tr>
        <w:tblPrEx>
          <w:tblCellMar>
            <w:top w:w="0" w:type="dxa"/>
            <w:left w:w="108" w:type="dxa"/>
            <w:bottom w:w="0" w:type="dxa"/>
            <w:right w:w="108" w:type="dxa"/>
          </w:tblCellMar>
        </w:tblPrEx>
        <w:trPr>
          <w:trHeight w:val="20" w:hRule="atLeast"/>
          <w:jc w:val="center"/>
        </w:trPr>
        <w:tc>
          <w:tcPr>
            <w:tcW w:w="708" w:type="dxa"/>
            <w:tcBorders>
              <w:top w:val="single" w:color="000000" w:sz="4" w:space="0"/>
              <w:left w:val="single" w:color="000000" w:sz="4" w:space="0"/>
              <w:bottom w:val="single" w:color="000000" w:sz="4" w:space="0"/>
              <w:right w:val="single" w:color="000000" w:sz="4" w:space="0"/>
            </w:tcBorders>
            <w:vAlign w:val="center"/>
          </w:tcPr>
          <w:p>
            <w:pPr>
              <w:tabs>
                <w:tab w:val="left" w:pos="0"/>
              </w:tabs>
              <w:jc w:val="center"/>
              <w:rPr>
                <w:rFonts w:ascii="Times New Roman" w:hAnsi="Times New Roman" w:eastAsia="宋体"/>
                <w:szCs w:val="21"/>
                <w:u w:val="single"/>
              </w:rPr>
            </w:pPr>
          </w:p>
        </w:tc>
        <w:tc>
          <w:tcPr>
            <w:tcW w:w="1800" w:type="dxa"/>
            <w:tcBorders>
              <w:top w:val="single" w:color="000000" w:sz="4" w:space="0"/>
              <w:left w:val="nil"/>
              <w:bottom w:val="single" w:color="000000" w:sz="4" w:space="0"/>
              <w:right w:val="single" w:color="000000" w:sz="4" w:space="0"/>
            </w:tcBorders>
            <w:vAlign w:val="center"/>
          </w:tcPr>
          <w:p>
            <w:pPr>
              <w:tabs>
                <w:tab w:val="left" w:pos="0"/>
              </w:tabs>
              <w:jc w:val="center"/>
              <w:rPr>
                <w:rFonts w:ascii="Times New Roman" w:hAnsi="Times New Roman" w:eastAsia="宋体"/>
                <w:szCs w:val="21"/>
                <w:u w:val="single"/>
              </w:rPr>
            </w:pPr>
          </w:p>
        </w:tc>
        <w:tc>
          <w:tcPr>
            <w:tcW w:w="2400" w:type="dxa"/>
            <w:tcBorders>
              <w:top w:val="single" w:color="000000" w:sz="4" w:space="0"/>
              <w:left w:val="nil"/>
              <w:bottom w:val="single" w:color="000000" w:sz="4" w:space="0"/>
              <w:right w:val="single" w:color="000000" w:sz="4" w:space="0"/>
            </w:tcBorders>
            <w:vAlign w:val="center"/>
          </w:tcPr>
          <w:p>
            <w:pPr>
              <w:tabs>
                <w:tab w:val="left" w:pos="0"/>
              </w:tabs>
              <w:jc w:val="center"/>
              <w:rPr>
                <w:rFonts w:ascii="Times New Roman" w:hAnsi="Times New Roman" w:eastAsia="宋体"/>
                <w:szCs w:val="21"/>
                <w:u w:val="single"/>
              </w:rPr>
            </w:pPr>
          </w:p>
        </w:tc>
        <w:tc>
          <w:tcPr>
            <w:tcW w:w="2294" w:type="dxa"/>
            <w:tcBorders>
              <w:top w:val="single" w:color="000000" w:sz="4" w:space="0"/>
              <w:left w:val="nil"/>
              <w:bottom w:val="single" w:color="000000" w:sz="4" w:space="0"/>
              <w:right w:val="single" w:color="000000" w:sz="4" w:space="0"/>
            </w:tcBorders>
            <w:vAlign w:val="center"/>
          </w:tcPr>
          <w:p>
            <w:pPr>
              <w:tabs>
                <w:tab w:val="left" w:pos="0"/>
              </w:tabs>
              <w:jc w:val="center"/>
              <w:rPr>
                <w:rFonts w:ascii="Times New Roman" w:hAnsi="Times New Roman" w:eastAsia="宋体"/>
                <w:szCs w:val="21"/>
                <w:u w:val="single"/>
              </w:rPr>
            </w:pPr>
          </w:p>
        </w:tc>
        <w:tc>
          <w:tcPr>
            <w:tcW w:w="1801" w:type="dxa"/>
            <w:tcBorders>
              <w:top w:val="single" w:color="000000" w:sz="4" w:space="0"/>
              <w:left w:val="nil"/>
              <w:bottom w:val="single" w:color="000000" w:sz="4" w:space="0"/>
              <w:right w:val="single" w:color="000000" w:sz="4" w:space="0"/>
            </w:tcBorders>
            <w:vAlign w:val="center"/>
          </w:tcPr>
          <w:p>
            <w:pPr>
              <w:tabs>
                <w:tab w:val="left" w:pos="0"/>
              </w:tabs>
              <w:jc w:val="center"/>
              <w:rPr>
                <w:rFonts w:ascii="Times New Roman" w:hAnsi="Times New Roman" w:eastAsia="宋体"/>
                <w:szCs w:val="21"/>
                <w:u w:val="single"/>
              </w:rPr>
            </w:pPr>
          </w:p>
        </w:tc>
      </w:tr>
    </w:tbl>
    <w:p>
      <w:pPr>
        <w:spacing w:before="120" w:beforeLines="50"/>
        <w:ind w:firstLine="420" w:firstLineChars="200"/>
        <w:rPr>
          <w:rFonts w:ascii="Times New Roman" w:hAnsi="Times New Roman" w:eastAsia="仿宋_GB2312"/>
          <w:b/>
          <w:kern w:val="0"/>
          <w:szCs w:val="21"/>
          <w:lang w:val="en-US"/>
        </w:rPr>
      </w:pPr>
      <w:r>
        <w:rPr>
          <w:rFonts w:ascii="Times New Roman" w:hAnsi="Times New Roman" w:eastAsia="宋体"/>
          <w:lang w:val="en-US"/>
        </w:rPr>
        <w:t>注：本表格式可自制</w:t>
      </w:r>
      <w:r>
        <w:rPr>
          <w:rFonts w:ascii="宋体" w:hAnsi="宋体" w:eastAsia="宋体"/>
          <w:lang w:val="en-US"/>
        </w:rPr>
        <w:t>，</w:t>
      </w:r>
      <w:r>
        <w:rPr>
          <w:rFonts w:ascii="Times New Roman" w:hAnsi="Times New Roman" w:eastAsia="宋体"/>
          <w:lang w:val="en-US"/>
        </w:rPr>
        <w:t>若无商务偏离</w:t>
      </w:r>
      <w:r>
        <w:rPr>
          <w:rFonts w:ascii="宋体" w:hAnsi="宋体" w:eastAsia="宋体"/>
          <w:lang w:val="en-US"/>
        </w:rPr>
        <w:t>，</w:t>
      </w:r>
      <w:r>
        <w:rPr>
          <w:rFonts w:ascii="Times New Roman" w:hAnsi="Times New Roman" w:eastAsia="宋体"/>
          <w:lang w:val="en-US"/>
        </w:rPr>
        <w:t>请注明。</w:t>
      </w:r>
      <w:r>
        <w:rPr>
          <w:rFonts w:ascii="Times New Roman" w:hAnsi="Times New Roman" w:eastAsia="宋体"/>
          <w:b/>
          <w:lang w:val="en-US"/>
        </w:rPr>
        <w:t>（以包为单位分别填写）</w:t>
      </w:r>
    </w:p>
    <w:p>
      <w:pPr>
        <w:pStyle w:val="3"/>
        <w:spacing w:before="120"/>
        <w:rPr>
          <w:color w:val="auto"/>
        </w:rPr>
      </w:pPr>
      <w:bookmarkStart w:id="294" w:name="_Toc9864"/>
      <w:bookmarkStart w:id="295" w:name="_Toc18619"/>
      <w:bookmarkStart w:id="296" w:name="_Toc32744"/>
      <w:bookmarkStart w:id="297" w:name="_Toc10172"/>
      <w:bookmarkStart w:id="298" w:name="_Toc8177"/>
      <w:bookmarkStart w:id="299" w:name="_Toc8150"/>
      <w:bookmarkStart w:id="300" w:name="_Toc16531423"/>
      <w:bookmarkStart w:id="301" w:name="_Toc16531197"/>
      <w:r>
        <w:rPr>
          <w:rFonts w:hint="eastAsia"/>
          <w:color w:val="auto"/>
          <w:lang w:val="en-US"/>
        </w:rPr>
        <w:t>体系认证证书</w:t>
      </w:r>
      <w:bookmarkEnd w:id="294"/>
      <w:bookmarkEnd w:id="295"/>
      <w:bookmarkEnd w:id="296"/>
      <w:bookmarkEnd w:id="297"/>
    </w:p>
    <w:bookmarkEnd w:id="298"/>
    <w:p>
      <w:pPr>
        <w:ind w:firstLine="420" w:firstLineChars="200"/>
        <w:rPr>
          <w:rFonts w:ascii="Times New Roman" w:hAnsi="Times New Roman" w:eastAsia="宋体"/>
          <w:szCs w:val="22"/>
          <w:lang w:val="en-US"/>
        </w:rPr>
      </w:pPr>
      <w:bookmarkStart w:id="302" w:name="_Toc5287"/>
      <w:bookmarkStart w:id="303" w:name="_Toc7035"/>
      <w:r>
        <w:rPr>
          <w:rFonts w:hint="eastAsia" w:ascii="Times New Roman" w:hAnsi="Times New Roman" w:eastAsia="宋体"/>
          <w:szCs w:val="22"/>
          <w:lang w:val="en-US"/>
        </w:rPr>
        <w:t>提供有效的体系认证文件：质量管理体系（ISO9001或GB/T19001或GJB9001）、环境管理体系（ISO14001或GB/T24001）、职业健康与安全管理体系（GB/T45001或ISO45001）；</w:t>
      </w:r>
      <w:bookmarkEnd w:id="302"/>
      <w:r>
        <w:rPr>
          <w:rFonts w:hint="eastAsia" w:ascii="Times New Roman" w:hAnsi="Times New Roman" w:eastAsia="宋体"/>
          <w:szCs w:val="22"/>
          <w:lang w:val="en-US"/>
        </w:rPr>
        <w:t>（复印件加盖投标人公章）</w:t>
      </w:r>
    </w:p>
    <w:bookmarkEnd w:id="299"/>
    <w:bookmarkEnd w:id="300"/>
    <w:bookmarkEnd w:id="301"/>
    <w:bookmarkEnd w:id="303"/>
    <w:p>
      <w:pPr>
        <w:pStyle w:val="3"/>
        <w:spacing w:before="120"/>
        <w:rPr>
          <w:color w:val="auto"/>
        </w:rPr>
      </w:pPr>
      <w:bookmarkStart w:id="304" w:name="_Toc18225"/>
      <w:bookmarkStart w:id="305" w:name="_Toc8790"/>
      <w:bookmarkStart w:id="306" w:name="_Toc31710"/>
      <w:bookmarkStart w:id="307" w:name="_Toc16531425"/>
      <w:bookmarkStart w:id="308" w:name="_Toc27694"/>
      <w:bookmarkStart w:id="309" w:name="_Toc6516"/>
      <w:bookmarkStart w:id="310" w:name="_Toc966"/>
      <w:bookmarkStart w:id="311" w:name="_Toc16531199"/>
      <w:r>
        <w:rPr>
          <w:rFonts w:hint="eastAsia"/>
          <w:color w:val="auto"/>
        </w:rPr>
        <w:t>中小企业</w:t>
      </w:r>
      <w:bookmarkEnd w:id="304"/>
      <w:r>
        <w:rPr>
          <w:rFonts w:hint="eastAsia"/>
          <w:color w:val="auto"/>
        </w:rPr>
        <w:t>声明函</w:t>
      </w:r>
      <w:bookmarkEnd w:id="305"/>
      <w:bookmarkEnd w:id="306"/>
    </w:p>
    <w:p>
      <w:pPr>
        <w:jc w:val="center"/>
        <w:rPr>
          <w:rFonts w:ascii="微软雅黑" w:hAnsi="微软雅黑"/>
          <w:b/>
          <w:bCs/>
          <w:szCs w:val="22"/>
          <w:lang w:val="en-US"/>
        </w:rPr>
      </w:pPr>
      <w:r>
        <w:rPr>
          <w:rFonts w:hint="eastAsia" w:ascii="Times New Roman" w:hAnsi="Times New Roman" w:eastAsia="宋体"/>
          <w:b/>
          <w:bCs/>
          <w:sz w:val="24"/>
          <w:szCs w:val="21"/>
          <w:lang w:val="en-US"/>
        </w:rPr>
        <w:t>中小企业声明函</w:t>
      </w:r>
    </w:p>
    <w:p>
      <w:pPr>
        <w:ind w:firstLine="420" w:firstLineChars="200"/>
        <w:rPr>
          <w:rFonts w:ascii="Times New Roman" w:hAnsi="Times New Roman" w:eastAsia="宋体"/>
          <w:szCs w:val="22"/>
          <w:lang w:val="en-US"/>
        </w:rPr>
      </w:pPr>
      <w:r>
        <w:rPr>
          <w:rFonts w:hint="eastAsia" w:ascii="Times New Roman" w:hAnsi="Times New Roman" w:eastAsia="宋体"/>
          <w:szCs w:val="22"/>
          <w:lang w:val="en-US"/>
        </w:rPr>
        <w:t>本公司郑重声明</w:t>
      </w:r>
      <w:r>
        <w:rPr>
          <w:rFonts w:hint="eastAsia" w:ascii="宋体" w:hAnsi="宋体" w:eastAsia="宋体"/>
          <w:szCs w:val="22"/>
          <w:lang w:val="en-US"/>
        </w:rPr>
        <w:t>，</w:t>
      </w:r>
      <w:r>
        <w:rPr>
          <w:rFonts w:hint="eastAsia" w:ascii="Times New Roman" w:hAnsi="Times New Roman" w:eastAsia="宋体"/>
          <w:szCs w:val="22"/>
          <w:lang w:val="en-US"/>
        </w:rPr>
        <w:t>根据《政府采购促进中小企业发展管理办法》（财库﹝</w:t>
      </w:r>
      <w:r>
        <w:rPr>
          <w:rFonts w:hint="eastAsia" w:ascii="Times New Roman" w:hAnsi="Times New Roman" w:eastAsia="Times New Roman"/>
          <w:szCs w:val="22"/>
          <w:lang w:val="en-US"/>
        </w:rPr>
        <w:t>2020</w:t>
      </w:r>
      <w:r>
        <w:rPr>
          <w:rFonts w:hint="eastAsia" w:ascii="Times New Roman" w:hAnsi="Times New Roman" w:eastAsia="宋体"/>
          <w:szCs w:val="22"/>
          <w:lang w:val="en-US"/>
        </w:rPr>
        <w:t>﹞</w:t>
      </w:r>
      <w:r>
        <w:rPr>
          <w:rFonts w:hint="eastAsia" w:ascii="Times New Roman" w:hAnsi="Times New Roman" w:eastAsia="Times New Roman"/>
          <w:szCs w:val="22"/>
          <w:lang w:val="en-US"/>
        </w:rPr>
        <w:t>46</w:t>
      </w:r>
      <w:r>
        <w:rPr>
          <w:rFonts w:hint="eastAsia" w:ascii="Times New Roman" w:hAnsi="Times New Roman" w:eastAsia="宋体"/>
          <w:szCs w:val="22"/>
          <w:lang w:val="en-US"/>
        </w:rPr>
        <w:t xml:space="preserve"> 号）的规定</w:t>
      </w:r>
      <w:r>
        <w:rPr>
          <w:rFonts w:hint="eastAsia" w:ascii="宋体" w:hAnsi="宋体" w:eastAsia="宋体"/>
          <w:szCs w:val="22"/>
          <w:lang w:val="en-US"/>
        </w:rPr>
        <w:t>，</w:t>
      </w:r>
      <w:r>
        <w:rPr>
          <w:rFonts w:hint="eastAsia" w:ascii="Times New Roman" w:hAnsi="Times New Roman" w:eastAsia="宋体"/>
          <w:szCs w:val="22"/>
          <w:lang w:val="en-US"/>
        </w:rPr>
        <w:t>本公司参加（单位名称）的（项目名称）采购活动</w:t>
      </w:r>
      <w:r>
        <w:rPr>
          <w:rFonts w:hint="eastAsia" w:ascii="宋体" w:hAnsi="宋体" w:eastAsia="宋体"/>
          <w:szCs w:val="22"/>
          <w:lang w:val="en-US"/>
        </w:rPr>
        <w:t>，</w:t>
      </w:r>
      <w:r>
        <w:rPr>
          <w:rFonts w:hint="eastAsia" w:ascii="Times New Roman" w:hAnsi="Times New Roman" w:eastAsia="宋体"/>
          <w:szCs w:val="22"/>
          <w:lang w:val="en-US"/>
        </w:rPr>
        <w:t>提供的货物全部由符合政策要求的中小企业制造。相关企业（含联合体中的中小企业、签订分包意向协议的中小企业） 的具体情况如下：</w:t>
      </w:r>
    </w:p>
    <w:p>
      <w:pPr>
        <w:pStyle w:val="31"/>
        <w:rPr>
          <w:color w:val="auto"/>
          <w:lang w:val="en-US"/>
        </w:rPr>
      </w:pPr>
    </w:p>
    <w:p>
      <w:pPr>
        <w:ind w:firstLine="420" w:firstLineChars="200"/>
        <w:rPr>
          <w:rFonts w:ascii="Times New Roman" w:hAnsi="Times New Roman" w:eastAsia="宋体"/>
          <w:szCs w:val="22"/>
          <w:lang w:val="en-US"/>
        </w:rPr>
      </w:pPr>
      <w:r>
        <w:rPr>
          <w:rFonts w:hint="eastAsia" w:ascii="Times New Roman" w:hAnsi="Times New Roman" w:eastAsia="Times New Roman"/>
          <w:szCs w:val="22"/>
          <w:lang w:val="en-US"/>
        </w:rPr>
        <w:t>1</w:t>
      </w:r>
      <w:r>
        <w:rPr>
          <w:rFonts w:hint="eastAsia" w:ascii="Times New Roman" w:hAnsi="Times New Roman" w:eastAsia="宋体"/>
          <w:szCs w:val="22"/>
          <w:lang w:val="en-US"/>
        </w:rPr>
        <w:t>.（标的名称）</w:t>
      </w:r>
      <w:r>
        <w:rPr>
          <w:rFonts w:hint="eastAsia" w:ascii="宋体" w:hAnsi="宋体" w:eastAsia="宋体"/>
          <w:szCs w:val="22"/>
          <w:lang w:val="en-US"/>
        </w:rPr>
        <w:t>，</w:t>
      </w:r>
      <w:r>
        <w:rPr>
          <w:rFonts w:hint="eastAsia" w:ascii="Times New Roman" w:hAnsi="Times New Roman" w:eastAsia="宋体"/>
          <w:szCs w:val="22"/>
          <w:lang w:val="en-US"/>
        </w:rPr>
        <w:t>属于（采购文件中明确的所属行业）行业；制造商为（企业名称）</w:t>
      </w:r>
      <w:r>
        <w:rPr>
          <w:rFonts w:hint="eastAsia" w:ascii="宋体" w:hAnsi="宋体" w:eastAsia="宋体"/>
          <w:szCs w:val="22"/>
          <w:lang w:val="en-US"/>
        </w:rPr>
        <w:t>，</w:t>
      </w:r>
      <w:r>
        <w:rPr>
          <w:rFonts w:hint="eastAsia" w:ascii="Times New Roman" w:hAnsi="Times New Roman" w:eastAsia="宋体"/>
          <w:szCs w:val="22"/>
          <w:lang w:val="en-US"/>
        </w:rPr>
        <w:t>从业人员</w:t>
      </w:r>
      <w:r>
        <w:rPr>
          <w:rFonts w:hint="eastAsia" w:ascii="Times New Roman" w:hAnsi="Times New Roman" w:eastAsia="宋体"/>
          <w:szCs w:val="22"/>
          <w:lang w:val="en-US"/>
        </w:rPr>
        <w:tab/>
      </w:r>
      <w:r>
        <w:rPr>
          <w:rFonts w:hint="eastAsia" w:ascii="Times New Roman" w:hAnsi="Times New Roman" w:eastAsia="宋体"/>
          <w:szCs w:val="22"/>
          <w:lang w:val="en-US"/>
        </w:rPr>
        <w:t>人</w:t>
      </w:r>
      <w:r>
        <w:rPr>
          <w:rFonts w:hint="eastAsia" w:ascii="宋体" w:hAnsi="宋体" w:eastAsia="宋体"/>
          <w:szCs w:val="22"/>
          <w:lang w:val="en-US"/>
        </w:rPr>
        <w:t>，</w:t>
      </w:r>
      <w:r>
        <w:rPr>
          <w:rFonts w:hint="eastAsia" w:ascii="Times New Roman" w:hAnsi="Times New Roman" w:eastAsia="宋体"/>
          <w:szCs w:val="22"/>
          <w:lang w:val="en-US"/>
        </w:rPr>
        <w:t>营业收入为</w:t>
      </w:r>
      <w:r>
        <w:rPr>
          <w:rFonts w:hint="eastAsia" w:ascii="Times New Roman" w:hAnsi="Times New Roman" w:eastAsia="宋体"/>
          <w:szCs w:val="22"/>
          <w:lang w:val="en-US"/>
        </w:rPr>
        <w:tab/>
      </w:r>
      <w:r>
        <w:rPr>
          <w:rFonts w:hint="eastAsia" w:ascii="Times New Roman" w:hAnsi="Times New Roman" w:eastAsia="宋体"/>
          <w:szCs w:val="22"/>
          <w:lang w:val="en-US"/>
        </w:rPr>
        <w:t>万元</w:t>
      </w:r>
      <w:r>
        <w:rPr>
          <w:rFonts w:hint="eastAsia" w:ascii="宋体" w:hAnsi="宋体" w:eastAsia="宋体"/>
          <w:szCs w:val="22"/>
          <w:lang w:val="en-US"/>
        </w:rPr>
        <w:t>，</w:t>
      </w:r>
      <w:r>
        <w:rPr>
          <w:rFonts w:hint="eastAsia" w:ascii="Times New Roman" w:hAnsi="Times New Roman" w:eastAsia="宋体"/>
          <w:szCs w:val="22"/>
          <w:lang w:val="en-US"/>
        </w:rPr>
        <w:t>资产总额为</w:t>
      </w:r>
      <w:r>
        <w:rPr>
          <w:rFonts w:hint="eastAsia" w:ascii="Times New Roman" w:hAnsi="Times New Roman" w:eastAsia="宋体"/>
          <w:szCs w:val="22"/>
          <w:lang w:val="en-US"/>
        </w:rPr>
        <w:tab/>
      </w:r>
      <w:r>
        <w:rPr>
          <w:rFonts w:hint="eastAsia" w:ascii="Times New Roman" w:hAnsi="Times New Roman" w:eastAsia="宋体"/>
          <w:szCs w:val="22"/>
          <w:lang w:val="en-US"/>
        </w:rPr>
        <w:t>万元</w:t>
      </w:r>
      <w:r>
        <w:rPr>
          <w:rFonts w:hint="eastAsia" w:ascii="宋体" w:hAnsi="宋体" w:eastAsia="宋体"/>
          <w:szCs w:val="22"/>
          <w:lang w:val="en-US"/>
        </w:rPr>
        <w:t>，</w:t>
      </w:r>
      <w:r>
        <w:rPr>
          <w:rFonts w:hint="eastAsia" w:ascii="Times New Roman" w:hAnsi="Times New Roman" w:eastAsia="宋体"/>
          <w:szCs w:val="22"/>
          <w:lang w:val="en-US"/>
        </w:rPr>
        <w:t>属于（中型企业、小型企业、微型企业）；</w:t>
      </w:r>
    </w:p>
    <w:p>
      <w:pPr>
        <w:ind w:firstLine="420" w:firstLineChars="200"/>
        <w:rPr>
          <w:rFonts w:ascii="Times New Roman" w:hAnsi="Times New Roman" w:eastAsia="宋体"/>
          <w:szCs w:val="22"/>
          <w:lang w:val="en-US"/>
        </w:rPr>
      </w:pPr>
      <w:r>
        <w:rPr>
          <w:rFonts w:hint="eastAsia" w:ascii="Times New Roman" w:hAnsi="Times New Roman" w:eastAsia="Times New Roman"/>
          <w:szCs w:val="22"/>
          <w:lang w:val="en-US"/>
        </w:rPr>
        <w:t>2</w:t>
      </w:r>
      <w:r>
        <w:rPr>
          <w:rFonts w:hint="eastAsia" w:ascii="Times New Roman" w:hAnsi="Times New Roman" w:eastAsia="宋体"/>
          <w:szCs w:val="22"/>
          <w:lang w:val="en-US"/>
        </w:rPr>
        <w:t>.（标的名称）</w:t>
      </w:r>
      <w:r>
        <w:rPr>
          <w:rFonts w:hint="eastAsia" w:ascii="宋体" w:hAnsi="宋体" w:eastAsia="宋体"/>
          <w:szCs w:val="22"/>
          <w:lang w:val="en-US"/>
        </w:rPr>
        <w:t>，</w:t>
      </w:r>
      <w:r>
        <w:rPr>
          <w:rFonts w:hint="eastAsia" w:ascii="Times New Roman" w:hAnsi="Times New Roman" w:eastAsia="宋体"/>
          <w:szCs w:val="22"/>
          <w:lang w:val="en-US"/>
        </w:rPr>
        <w:t>属于（采购文件中明确的所属行业）行业；制造商为（企业名称）</w:t>
      </w:r>
      <w:r>
        <w:rPr>
          <w:rFonts w:hint="eastAsia" w:ascii="宋体" w:hAnsi="宋体" w:eastAsia="宋体"/>
          <w:szCs w:val="22"/>
          <w:lang w:val="en-US"/>
        </w:rPr>
        <w:t>，</w:t>
      </w:r>
      <w:r>
        <w:rPr>
          <w:rFonts w:hint="eastAsia" w:ascii="Times New Roman" w:hAnsi="Times New Roman" w:eastAsia="宋体"/>
          <w:szCs w:val="22"/>
          <w:lang w:val="en-US"/>
        </w:rPr>
        <w:t>从业人员</w:t>
      </w:r>
      <w:r>
        <w:rPr>
          <w:rFonts w:hint="eastAsia" w:ascii="Times New Roman" w:hAnsi="Times New Roman" w:eastAsia="宋体"/>
          <w:szCs w:val="22"/>
          <w:lang w:val="en-US"/>
        </w:rPr>
        <w:tab/>
      </w:r>
      <w:r>
        <w:rPr>
          <w:rFonts w:hint="eastAsia" w:ascii="Times New Roman" w:hAnsi="Times New Roman" w:eastAsia="宋体"/>
          <w:szCs w:val="22"/>
          <w:lang w:val="en-US"/>
        </w:rPr>
        <w:t>人</w:t>
      </w:r>
      <w:r>
        <w:rPr>
          <w:rFonts w:hint="eastAsia" w:ascii="宋体" w:hAnsi="宋体" w:eastAsia="宋体"/>
          <w:szCs w:val="22"/>
          <w:lang w:val="en-US"/>
        </w:rPr>
        <w:t>，</w:t>
      </w:r>
      <w:r>
        <w:rPr>
          <w:rFonts w:hint="eastAsia" w:ascii="Times New Roman" w:hAnsi="Times New Roman" w:eastAsia="宋体"/>
          <w:szCs w:val="22"/>
          <w:lang w:val="en-US"/>
        </w:rPr>
        <w:t>营业收入为</w:t>
      </w:r>
      <w:r>
        <w:rPr>
          <w:rFonts w:hint="eastAsia" w:ascii="Times New Roman" w:hAnsi="Times New Roman" w:eastAsia="宋体"/>
          <w:szCs w:val="22"/>
          <w:lang w:val="en-US"/>
        </w:rPr>
        <w:tab/>
      </w:r>
      <w:r>
        <w:rPr>
          <w:rFonts w:hint="eastAsia" w:ascii="Times New Roman" w:hAnsi="Times New Roman" w:eastAsia="宋体"/>
          <w:szCs w:val="22"/>
          <w:lang w:val="en-US"/>
        </w:rPr>
        <w:t>万元</w:t>
      </w:r>
      <w:r>
        <w:rPr>
          <w:rFonts w:hint="eastAsia" w:ascii="宋体" w:hAnsi="宋体" w:eastAsia="宋体"/>
          <w:szCs w:val="22"/>
          <w:lang w:val="en-US"/>
        </w:rPr>
        <w:t>，</w:t>
      </w:r>
      <w:r>
        <w:rPr>
          <w:rFonts w:hint="eastAsia" w:ascii="Times New Roman" w:hAnsi="Times New Roman" w:eastAsia="宋体"/>
          <w:szCs w:val="22"/>
          <w:lang w:val="en-US"/>
        </w:rPr>
        <w:t>资产总额为</w:t>
      </w:r>
      <w:r>
        <w:rPr>
          <w:rFonts w:hint="eastAsia" w:ascii="Times New Roman" w:hAnsi="Times New Roman" w:eastAsia="宋体"/>
          <w:szCs w:val="22"/>
          <w:lang w:val="en-US"/>
        </w:rPr>
        <w:tab/>
      </w:r>
      <w:r>
        <w:rPr>
          <w:rFonts w:hint="eastAsia" w:ascii="Times New Roman" w:hAnsi="Times New Roman" w:eastAsia="宋体"/>
          <w:szCs w:val="22"/>
          <w:lang w:val="en-US"/>
        </w:rPr>
        <w:t>万元</w:t>
      </w:r>
      <w:r>
        <w:rPr>
          <w:rFonts w:hint="eastAsia" w:ascii="宋体" w:hAnsi="宋体" w:eastAsia="宋体"/>
          <w:szCs w:val="22"/>
          <w:lang w:val="en-US"/>
        </w:rPr>
        <w:t>，</w:t>
      </w:r>
      <w:r>
        <w:rPr>
          <w:rFonts w:hint="eastAsia" w:ascii="Times New Roman" w:hAnsi="Times New Roman" w:eastAsia="宋体"/>
          <w:szCs w:val="22"/>
          <w:lang w:val="en-US"/>
        </w:rPr>
        <w:t>属于（中型企业、小型企业、微型企业）；</w:t>
      </w:r>
    </w:p>
    <w:p>
      <w:pPr>
        <w:ind w:firstLine="420" w:firstLineChars="200"/>
        <w:rPr>
          <w:rFonts w:ascii="Times New Roman" w:hAnsi="Times New Roman" w:eastAsia="宋体"/>
          <w:szCs w:val="22"/>
          <w:lang w:val="en-US"/>
        </w:rPr>
      </w:pPr>
      <w:r>
        <w:rPr>
          <w:rFonts w:hint="eastAsia" w:ascii="Times New Roman" w:hAnsi="Times New Roman" w:eastAsia="宋体"/>
          <w:szCs w:val="22"/>
          <w:lang w:val="en-US"/>
        </w:rPr>
        <w:t>……</w:t>
      </w:r>
    </w:p>
    <w:p>
      <w:pPr>
        <w:ind w:firstLine="420" w:firstLineChars="200"/>
        <w:rPr>
          <w:rFonts w:ascii="Times New Roman" w:hAnsi="Times New Roman" w:eastAsia="宋体"/>
          <w:szCs w:val="22"/>
          <w:lang w:val="en-US"/>
        </w:rPr>
      </w:pPr>
      <w:r>
        <w:rPr>
          <w:rFonts w:hint="eastAsia" w:ascii="Times New Roman" w:hAnsi="Times New Roman" w:eastAsia="宋体"/>
          <w:szCs w:val="22"/>
          <w:lang w:val="en-US"/>
        </w:rPr>
        <w:t>以上企业</w:t>
      </w:r>
      <w:r>
        <w:rPr>
          <w:rFonts w:hint="eastAsia" w:ascii="宋体" w:hAnsi="宋体" w:eastAsia="宋体"/>
          <w:szCs w:val="22"/>
          <w:lang w:val="en-US"/>
        </w:rPr>
        <w:t>，</w:t>
      </w:r>
      <w:r>
        <w:rPr>
          <w:rFonts w:hint="eastAsia" w:ascii="Times New Roman" w:hAnsi="Times New Roman" w:eastAsia="宋体"/>
          <w:szCs w:val="22"/>
          <w:lang w:val="en-US"/>
        </w:rPr>
        <w:t>不属于大企业的分支机构</w:t>
      </w:r>
      <w:r>
        <w:rPr>
          <w:rFonts w:hint="eastAsia" w:ascii="宋体" w:hAnsi="宋体" w:eastAsia="宋体"/>
          <w:szCs w:val="22"/>
          <w:lang w:val="en-US"/>
        </w:rPr>
        <w:t>，</w:t>
      </w:r>
      <w:r>
        <w:rPr>
          <w:rFonts w:hint="eastAsia" w:ascii="Times New Roman" w:hAnsi="Times New Roman" w:eastAsia="宋体"/>
          <w:szCs w:val="22"/>
          <w:lang w:val="en-US"/>
        </w:rPr>
        <w:t>不存在控股股东为大企业的情形</w:t>
      </w:r>
      <w:r>
        <w:rPr>
          <w:rFonts w:hint="eastAsia" w:ascii="宋体" w:hAnsi="宋体" w:eastAsia="宋体"/>
          <w:szCs w:val="22"/>
          <w:lang w:val="en-US"/>
        </w:rPr>
        <w:t>，</w:t>
      </w:r>
      <w:r>
        <w:rPr>
          <w:rFonts w:hint="eastAsia" w:ascii="Times New Roman" w:hAnsi="Times New Roman" w:eastAsia="宋体"/>
          <w:szCs w:val="22"/>
          <w:lang w:val="en-US"/>
        </w:rPr>
        <w:t>也不存在与大企业的负责人为同一人的情形。</w:t>
      </w:r>
    </w:p>
    <w:p>
      <w:pPr>
        <w:ind w:firstLine="420" w:firstLineChars="200"/>
        <w:rPr>
          <w:rFonts w:ascii="Times New Roman" w:hAnsi="Times New Roman" w:eastAsia="宋体"/>
          <w:szCs w:val="22"/>
          <w:lang w:val="en-US"/>
        </w:rPr>
      </w:pPr>
      <w:r>
        <w:rPr>
          <w:rFonts w:hint="eastAsia" w:ascii="Times New Roman" w:hAnsi="Times New Roman" w:eastAsia="宋体"/>
          <w:szCs w:val="22"/>
          <w:lang w:val="en-US"/>
        </w:rPr>
        <w:t>本企业对上述声明内容的真实性负责。如有虚假</w:t>
      </w:r>
      <w:r>
        <w:rPr>
          <w:rFonts w:hint="eastAsia" w:ascii="宋体" w:hAnsi="宋体" w:eastAsia="宋体"/>
          <w:szCs w:val="22"/>
          <w:lang w:val="en-US"/>
        </w:rPr>
        <w:t>，</w:t>
      </w:r>
      <w:r>
        <w:rPr>
          <w:rFonts w:hint="eastAsia" w:ascii="Times New Roman" w:hAnsi="Times New Roman" w:eastAsia="宋体"/>
          <w:szCs w:val="22"/>
          <w:lang w:val="en-US"/>
        </w:rPr>
        <w:t>将依法承担相应责任。</w:t>
      </w:r>
    </w:p>
    <w:p>
      <w:pPr>
        <w:ind w:firstLine="420" w:firstLineChars="200"/>
        <w:rPr>
          <w:rFonts w:ascii="Times New Roman" w:hAnsi="Times New Roman" w:eastAsia="宋体"/>
          <w:szCs w:val="22"/>
          <w:lang w:val="en-US"/>
        </w:rPr>
      </w:pPr>
    </w:p>
    <w:p>
      <w:pPr>
        <w:ind w:firstLine="420" w:firstLineChars="200"/>
        <w:rPr>
          <w:rFonts w:ascii="Times New Roman" w:hAnsi="Times New Roman" w:eastAsia="宋体"/>
          <w:szCs w:val="22"/>
          <w:lang w:val="en-US"/>
        </w:rPr>
      </w:pPr>
      <w:r>
        <w:rPr>
          <w:rFonts w:hint="eastAsia" w:ascii="Times New Roman" w:hAnsi="Times New Roman" w:eastAsia="宋体"/>
          <w:szCs w:val="22"/>
          <w:lang w:val="en-US"/>
        </w:rPr>
        <w:t>企业名称（盖章）：</w:t>
      </w:r>
    </w:p>
    <w:p>
      <w:pPr>
        <w:ind w:firstLine="420" w:firstLineChars="200"/>
        <w:rPr>
          <w:rFonts w:ascii="Times New Roman" w:hAnsi="Times New Roman" w:eastAsia="宋体"/>
          <w:szCs w:val="22"/>
          <w:lang w:val="en-US"/>
        </w:rPr>
      </w:pPr>
      <w:r>
        <w:rPr>
          <w:rFonts w:hint="eastAsia" w:ascii="Times New Roman" w:hAnsi="Times New Roman" w:eastAsia="宋体"/>
          <w:szCs w:val="22"/>
          <w:lang w:val="en-US"/>
        </w:rPr>
        <w:t>日期：</w:t>
      </w:r>
    </w:p>
    <w:p>
      <w:pPr>
        <w:ind w:firstLine="420" w:firstLineChars="200"/>
        <w:rPr>
          <w:rFonts w:ascii="Times New Roman" w:hAnsi="Times New Roman" w:eastAsia="宋体"/>
          <w:szCs w:val="22"/>
          <w:lang w:val="en-US"/>
        </w:rPr>
      </w:pPr>
    </w:p>
    <w:p>
      <w:pPr>
        <w:rPr>
          <w:rFonts w:ascii="Times New Roman" w:hAnsi="Times New Roman" w:eastAsia="宋体"/>
          <w:szCs w:val="22"/>
          <w:lang w:val="en-US"/>
        </w:rPr>
      </w:pPr>
      <w:r>
        <w:rPr>
          <w:rFonts w:hint="eastAsia" w:ascii="Times New Roman" w:hAnsi="Times New Roman" w:eastAsia="宋体"/>
          <w:szCs w:val="22"/>
          <w:lang w:val="en-US"/>
        </w:rPr>
        <w:t>（注：投标人提供由省级以上监狱管理局、戒毒管理局（含新疆生产建设兵团）出具的属于监狱企业证明文件的</w:t>
      </w:r>
      <w:r>
        <w:rPr>
          <w:rFonts w:hint="eastAsia" w:ascii="宋体" w:hAnsi="宋体" w:eastAsia="宋体"/>
          <w:szCs w:val="22"/>
          <w:lang w:val="en-US"/>
        </w:rPr>
        <w:t>，</w:t>
      </w:r>
      <w:r>
        <w:rPr>
          <w:rFonts w:hint="eastAsia" w:ascii="Times New Roman" w:hAnsi="Times New Roman" w:eastAsia="宋体"/>
          <w:szCs w:val="22"/>
          <w:lang w:val="en-US"/>
        </w:rPr>
        <w:t>视同为小型和微型企业。）从业人员、营业收入、资产总额填报上一年度数据</w:t>
      </w:r>
      <w:r>
        <w:rPr>
          <w:rFonts w:hint="eastAsia" w:ascii="宋体" w:hAnsi="宋体" w:eastAsia="宋体"/>
          <w:szCs w:val="22"/>
          <w:lang w:val="en-US"/>
        </w:rPr>
        <w:t>，</w:t>
      </w:r>
      <w:r>
        <w:rPr>
          <w:rFonts w:hint="eastAsia" w:ascii="Times New Roman" w:hAnsi="Times New Roman" w:eastAsia="宋体"/>
          <w:szCs w:val="22"/>
          <w:lang w:val="en-US"/>
        </w:rPr>
        <w:t>无上一年度数据的新成立企业可不填报。</w:t>
      </w:r>
    </w:p>
    <w:p>
      <w:pPr>
        <w:pStyle w:val="3"/>
        <w:spacing w:before="120"/>
        <w:rPr>
          <w:color w:val="auto"/>
          <w:lang w:val="en-US"/>
        </w:rPr>
      </w:pPr>
      <w:bookmarkStart w:id="312" w:name="_Toc3655"/>
      <w:bookmarkStart w:id="313" w:name="_Toc6174"/>
      <w:r>
        <w:rPr>
          <w:rFonts w:hint="eastAsia"/>
          <w:color w:val="auto"/>
          <w:lang w:val="en-US"/>
        </w:rPr>
        <w:t>残疾人福利性单位声明函</w:t>
      </w:r>
      <w:bookmarkEnd w:id="312"/>
      <w:bookmarkEnd w:id="313"/>
    </w:p>
    <w:p>
      <w:pPr>
        <w:jc w:val="center"/>
        <w:rPr>
          <w:rFonts w:ascii="微软雅黑" w:hAnsi="微软雅黑"/>
          <w:b/>
          <w:bCs/>
          <w:lang w:val="en-US"/>
        </w:rPr>
      </w:pPr>
      <w:r>
        <w:rPr>
          <w:rFonts w:ascii="Times New Roman" w:hAnsi="Times New Roman" w:eastAsia="宋体"/>
          <w:b/>
          <w:bCs/>
          <w:sz w:val="24"/>
          <w:szCs w:val="21"/>
          <w:lang w:val="en-US"/>
        </w:rPr>
        <w:t>残疾人福利性单位声明函</w:t>
      </w:r>
    </w:p>
    <w:p>
      <w:pPr>
        <w:ind w:firstLine="420" w:firstLineChars="200"/>
        <w:rPr>
          <w:rFonts w:ascii="Times New Roman" w:hAnsi="Times New Roman" w:eastAsia="宋体"/>
          <w:lang w:val="en-US"/>
        </w:rPr>
      </w:pPr>
      <w:r>
        <w:rPr>
          <w:rFonts w:ascii="Times New Roman" w:hAnsi="Times New Roman" w:eastAsia="宋体"/>
          <w:lang w:val="en-US"/>
        </w:rPr>
        <w:t>本单位郑重声明</w:t>
      </w:r>
      <w:r>
        <w:rPr>
          <w:rFonts w:ascii="宋体" w:hAnsi="宋体" w:eastAsia="宋体"/>
          <w:lang w:val="en-US"/>
        </w:rPr>
        <w:t>，</w:t>
      </w:r>
      <w:r>
        <w:rPr>
          <w:rFonts w:ascii="Times New Roman" w:hAnsi="Times New Roman" w:eastAsia="宋体"/>
          <w:lang w:val="en-US"/>
        </w:rPr>
        <w:t>根据《财政部民政部中国残疾人联合会关于促进残疾人就业政府采购政策的通知》（财库〔</w:t>
      </w:r>
      <w:r>
        <w:rPr>
          <w:rFonts w:ascii="Times New Roman" w:hAnsi="Times New Roman" w:eastAsia="Times New Roman"/>
          <w:lang w:val="en-US"/>
        </w:rPr>
        <w:t>2017</w:t>
      </w:r>
      <w:r>
        <w:rPr>
          <w:rFonts w:ascii="Times New Roman" w:hAnsi="Times New Roman" w:eastAsia="宋体"/>
          <w:lang w:val="en-US"/>
        </w:rPr>
        <w:t xml:space="preserve">〕 </w:t>
      </w:r>
      <w:r>
        <w:rPr>
          <w:rFonts w:ascii="Times New Roman" w:hAnsi="Times New Roman" w:eastAsia="Times New Roman"/>
          <w:lang w:val="en-US"/>
        </w:rPr>
        <w:t>141</w:t>
      </w:r>
      <w:r>
        <w:rPr>
          <w:rFonts w:ascii="Times New Roman" w:hAnsi="Times New Roman" w:eastAsia="宋体"/>
          <w:lang w:val="en-US"/>
        </w:rPr>
        <w:t>号）的规定</w:t>
      </w:r>
      <w:r>
        <w:rPr>
          <w:rFonts w:ascii="宋体" w:hAnsi="宋体" w:eastAsia="宋体"/>
          <w:lang w:val="en-US"/>
        </w:rPr>
        <w:t>，</w:t>
      </w:r>
      <w:r>
        <w:rPr>
          <w:rFonts w:ascii="Times New Roman" w:hAnsi="Times New Roman" w:eastAsia="宋体"/>
          <w:lang w:val="en-US"/>
        </w:rPr>
        <w:t>本单位为符合条件的残疾人福利性单位</w:t>
      </w:r>
      <w:r>
        <w:rPr>
          <w:rFonts w:ascii="宋体" w:hAnsi="宋体" w:eastAsia="宋体"/>
          <w:lang w:val="en-US"/>
        </w:rPr>
        <w:t>，</w:t>
      </w:r>
      <w:r>
        <w:rPr>
          <w:rFonts w:ascii="Times New Roman" w:hAnsi="Times New Roman" w:eastAsia="宋体"/>
          <w:lang w:val="en-US"/>
        </w:rPr>
        <w:t>且本单位参加______单位的______项目采购活动提供本单位制造的货物（由本单位承担工程/提供服务）</w:t>
      </w:r>
      <w:r>
        <w:rPr>
          <w:rFonts w:ascii="宋体" w:hAnsi="宋体" w:eastAsia="宋体"/>
          <w:lang w:val="en-US"/>
        </w:rPr>
        <w:t>，</w:t>
      </w:r>
      <w:r>
        <w:rPr>
          <w:rFonts w:ascii="Times New Roman" w:hAnsi="Times New Roman" w:eastAsia="宋体"/>
          <w:lang w:val="en-US"/>
        </w:rPr>
        <w:t>或者提供其他残疾人福利性单位制造的货物（不包括使用非残疾人福利性单位注册商标的货物）。</w:t>
      </w:r>
    </w:p>
    <w:p>
      <w:pPr>
        <w:ind w:firstLine="420" w:firstLineChars="200"/>
        <w:rPr>
          <w:rFonts w:ascii="Times New Roman" w:hAnsi="Times New Roman" w:eastAsia="宋体"/>
          <w:lang w:val="en-US"/>
        </w:rPr>
      </w:pPr>
      <w:r>
        <w:rPr>
          <w:rFonts w:ascii="Times New Roman" w:hAnsi="Times New Roman" w:eastAsia="宋体"/>
          <w:lang w:val="en-US"/>
        </w:rPr>
        <w:t>本单位对上述声明的真实性负责。如有虚假</w:t>
      </w:r>
      <w:r>
        <w:rPr>
          <w:rFonts w:ascii="宋体" w:hAnsi="宋体" w:eastAsia="宋体"/>
          <w:lang w:val="en-US"/>
        </w:rPr>
        <w:t>，</w:t>
      </w:r>
      <w:r>
        <w:rPr>
          <w:rFonts w:ascii="Times New Roman" w:hAnsi="Times New Roman" w:eastAsia="宋体"/>
          <w:lang w:val="en-US"/>
        </w:rPr>
        <w:t>将依法承担相应责任。</w:t>
      </w:r>
    </w:p>
    <w:p>
      <w:pPr>
        <w:ind w:firstLine="420" w:firstLineChars="200"/>
        <w:rPr>
          <w:rFonts w:ascii="Times New Roman" w:hAnsi="Times New Roman" w:eastAsia="宋体"/>
          <w:lang w:val="en-US"/>
        </w:rPr>
      </w:pPr>
    </w:p>
    <w:p>
      <w:pPr>
        <w:ind w:right="863" w:rightChars="411" w:firstLine="420" w:firstLineChars="200"/>
        <w:jc w:val="right"/>
        <w:rPr>
          <w:rFonts w:ascii="Times New Roman" w:hAnsi="Times New Roman" w:eastAsia="宋体"/>
          <w:lang w:val="en-US"/>
        </w:rPr>
      </w:pPr>
      <w:r>
        <w:rPr>
          <w:rFonts w:ascii="Times New Roman" w:hAnsi="Times New Roman" w:eastAsia="宋体"/>
          <w:lang w:val="en-US"/>
        </w:rPr>
        <w:t>投标人名称（盖章）：</w:t>
      </w:r>
    </w:p>
    <w:p>
      <w:pPr>
        <w:ind w:right="863" w:rightChars="411" w:firstLine="420" w:firstLineChars="200"/>
        <w:jc w:val="right"/>
        <w:rPr>
          <w:rFonts w:ascii="Times New Roman" w:hAnsi="Times New Roman" w:eastAsia="宋体"/>
          <w:lang w:val="en-US"/>
        </w:rPr>
      </w:pPr>
      <w:r>
        <w:rPr>
          <w:rFonts w:ascii="Times New Roman" w:hAnsi="Times New Roman" w:eastAsia="宋体"/>
          <w:lang w:val="en-US"/>
        </w:rPr>
        <w:t>日期：</w:t>
      </w:r>
    </w:p>
    <w:p>
      <w:pPr>
        <w:pStyle w:val="31"/>
      </w:pPr>
      <w:r>
        <w:rPr>
          <w:rFonts w:ascii="Times New Roman" w:hAnsi="Times New Roman" w:eastAsia="宋体"/>
          <w:color w:val="auto"/>
          <w:lang w:val="en-US"/>
        </w:rPr>
        <w:t>（注：符合享受政府采购支持政策的残疾人福利性单位条件且提供《残疾人福利性单位声明函》的</w:t>
      </w:r>
      <w:r>
        <w:rPr>
          <w:rFonts w:ascii="宋体" w:hAnsi="宋体" w:eastAsia="宋体"/>
          <w:color w:val="auto"/>
          <w:lang w:val="en-US"/>
        </w:rPr>
        <w:t>，</w:t>
      </w:r>
      <w:r>
        <w:rPr>
          <w:rFonts w:ascii="Times New Roman" w:hAnsi="Times New Roman" w:eastAsia="宋体"/>
          <w:color w:val="auto"/>
          <w:lang w:val="en-US"/>
        </w:rPr>
        <w:t>视同为小型和微型企业。）</w:t>
      </w:r>
    </w:p>
    <w:p/>
    <w:p>
      <w:pPr>
        <w:pStyle w:val="3"/>
        <w:spacing w:before="120"/>
        <w:rPr>
          <w:color w:val="auto"/>
        </w:rPr>
      </w:pPr>
      <w:bookmarkStart w:id="314" w:name="_Toc12430"/>
      <w:bookmarkStart w:id="315" w:name="_Toc23325"/>
      <w:bookmarkStart w:id="316" w:name="_Toc16236"/>
      <w:r>
        <w:rPr>
          <w:color w:val="auto"/>
        </w:rPr>
        <w:t>与评审相关的其他商务资料</w:t>
      </w:r>
      <w:bookmarkEnd w:id="248"/>
      <w:bookmarkEnd w:id="249"/>
      <w:bookmarkEnd w:id="307"/>
      <w:bookmarkEnd w:id="308"/>
      <w:bookmarkEnd w:id="309"/>
      <w:bookmarkEnd w:id="310"/>
      <w:bookmarkEnd w:id="311"/>
      <w:bookmarkEnd w:id="314"/>
      <w:bookmarkEnd w:id="315"/>
      <w:bookmarkEnd w:id="316"/>
      <w:bookmarkStart w:id="317" w:name="_Toc31626"/>
      <w:bookmarkStart w:id="318" w:name="_Toc16531201"/>
      <w:bookmarkStart w:id="319" w:name="_Toc16531427"/>
      <w:bookmarkStart w:id="320" w:name="_Toc19947"/>
      <w:bookmarkStart w:id="321" w:name="gxebdItem_unprotect_4"/>
    </w:p>
    <w:p>
      <w:pPr>
        <w:pStyle w:val="3"/>
        <w:spacing w:before="120"/>
        <w:rPr>
          <w:color w:val="auto"/>
        </w:rPr>
      </w:pPr>
      <w:bookmarkStart w:id="322" w:name="_Toc4555"/>
      <w:bookmarkStart w:id="323" w:name="_Toc27387"/>
      <w:bookmarkStart w:id="324" w:name="_Toc23504"/>
      <w:bookmarkStart w:id="325" w:name="_Toc4099"/>
      <w:r>
        <w:rPr>
          <w:color w:val="auto"/>
        </w:rPr>
        <w:t>*开标一览表</w:t>
      </w:r>
      <w:bookmarkEnd w:id="317"/>
      <w:bookmarkEnd w:id="318"/>
      <w:bookmarkEnd w:id="319"/>
      <w:bookmarkEnd w:id="320"/>
      <w:bookmarkEnd w:id="322"/>
      <w:bookmarkEnd w:id="323"/>
      <w:bookmarkEnd w:id="324"/>
      <w:bookmarkEnd w:id="325"/>
    </w:p>
    <w:p>
      <w:pPr>
        <w:keepNext/>
        <w:widowControl w:val="0"/>
        <w:ind w:firstLine="420" w:firstLineChars="200"/>
        <w:rPr>
          <w:rFonts w:ascii="Times New Roman" w:hAnsi="Times New Roman" w:eastAsia="宋体"/>
          <w:lang w:val="en-US"/>
        </w:rPr>
      </w:pPr>
      <w:r>
        <w:rPr>
          <w:rFonts w:ascii="Times New Roman" w:hAnsi="Times New Roman" w:eastAsia="宋体"/>
          <w:lang w:val="en-US"/>
        </w:rPr>
        <w:t>项目名称：</w:t>
      </w:r>
    </w:p>
    <w:p>
      <w:pPr>
        <w:keepNext/>
        <w:widowControl w:val="0"/>
        <w:ind w:firstLine="420" w:firstLineChars="200"/>
        <w:rPr>
          <w:rFonts w:ascii="Times New Roman" w:hAnsi="Times New Roman" w:eastAsia="宋体"/>
          <w:lang w:val="en-US"/>
        </w:rPr>
      </w:pPr>
      <w:r>
        <w:rPr>
          <w:rFonts w:ascii="Times New Roman" w:hAnsi="Times New Roman" w:eastAsia="宋体"/>
          <w:lang w:val="en-US"/>
        </w:rPr>
        <w:t>项目编号：</w:t>
      </w:r>
    </w:p>
    <w:p>
      <w:pPr>
        <w:keepNext/>
        <w:widowControl w:val="0"/>
        <w:ind w:firstLine="420" w:firstLineChars="200"/>
        <w:rPr>
          <w:rFonts w:ascii="Times New Roman" w:hAnsi="Times New Roman" w:eastAsia="宋体"/>
          <w:lang w:val="en-US"/>
        </w:rPr>
      </w:pPr>
      <w:r>
        <w:rPr>
          <w:rFonts w:ascii="Times New Roman" w:hAnsi="Times New Roman" w:eastAsia="宋体"/>
          <w:lang w:val="en-US"/>
        </w:rPr>
        <w:t>投</w:t>
      </w:r>
      <w:r>
        <w:rPr>
          <w:rFonts w:hint="eastAsia" w:ascii="Times New Roman" w:hAnsi="Times New Roman" w:eastAsia="宋体"/>
          <w:lang w:val="en-US"/>
        </w:rPr>
        <w:t>标</w:t>
      </w:r>
      <w:r>
        <w:rPr>
          <w:rFonts w:ascii="Times New Roman" w:hAnsi="Times New Roman" w:eastAsia="宋体"/>
          <w:lang w:val="en-US"/>
        </w:rPr>
        <w:t>人名称：</w:t>
      </w:r>
    </w:p>
    <w:p>
      <w:pPr>
        <w:ind w:firstLine="480" w:firstLineChars="200"/>
        <w:jc w:val="center"/>
        <w:rPr>
          <w:rFonts w:ascii="Times New Roman" w:hAnsi="Times New Roman" w:eastAsia="宋体"/>
          <w:sz w:val="24"/>
          <w:szCs w:val="24"/>
          <w:lang w:val="en-US"/>
        </w:rPr>
      </w:pPr>
      <w:r>
        <w:rPr>
          <w:rFonts w:hint="eastAsia" w:ascii="Times New Roman" w:hAnsi="Times New Roman" w:eastAsia="宋体"/>
          <w:sz w:val="24"/>
          <w:szCs w:val="24"/>
          <w:lang w:val="en-US"/>
        </w:rPr>
        <w:t>开标</w:t>
      </w:r>
      <w:r>
        <w:rPr>
          <w:rFonts w:ascii="Times New Roman" w:hAnsi="Times New Roman" w:eastAsia="宋体"/>
          <w:sz w:val="24"/>
          <w:szCs w:val="24"/>
          <w:lang w:val="en-US"/>
        </w:rPr>
        <w:t>一览表</w:t>
      </w:r>
      <w:r>
        <w:rPr>
          <w:rFonts w:hint="eastAsia" w:ascii="Times New Roman" w:hAnsi="Times New Roman" w:eastAsia="宋体"/>
          <w:sz w:val="24"/>
          <w:szCs w:val="24"/>
          <w:lang w:val="en-US"/>
        </w:rPr>
        <w:t>（第   包）</w:t>
      </w:r>
    </w:p>
    <w:tbl>
      <w:tblPr>
        <w:tblStyle w:val="81"/>
        <w:tblW w:w="4997"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28" w:type="dxa"/>
          <w:bottom w:w="0" w:type="dxa"/>
          <w:right w:w="28" w:type="dxa"/>
        </w:tblCellMar>
      </w:tblPr>
      <w:tblGrid>
        <w:gridCol w:w="734"/>
        <w:gridCol w:w="899"/>
        <w:gridCol w:w="1178"/>
        <w:gridCol w:w="1166"/>
        <w:gridCol w:w="1290"/>
        <w:gridCol w:w="993"/>
        <w:gridCol w:w="263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20" w:hRule="atLeast"/>
          <w:jc w:val="center"/>
        </w:trPr>
        <w:tc>
          <w:tcPr>
            <w:tcW w:w="413" w:type="pct"/>
            <w:tcBorders>
              <w:top w:val="single" w:color="auto" w:sz="4" w:space="0"/>
              <w:left w:val="single" w:color="auto" w:sz="4" w:space="0"/>
              <w:bottom w:val="single" w:color="auto" w:sz="4" w:space="0"/>
              <w:right w:val="single" w:color="auto" w:sz="4" w:space="0"/>
            </w:tcBorders>
            <w:vAlign w:val="center"/>
          </w:tcPr>
          <w:p>
            <w:pPr>
              <w:keepNext/>
              <w:widowControl w:val="0"/>
              <w:jc w:val="center"/>
              <w:rPr>
                <w:rFonts w:ascii="Times New Roman" w:hAnsi="Times New Roman" w:eastAsia="黑体"/>
                <w:lang w:val="en-US"/>
              </w:rPr>
            </w:pPr>
            <w:r>
              <w:rPr>
                <w:rFonts w:hint="eastAsia" w:ascii="Times New Roman" w:hAnsi="Times New Roman" w:eastAsia="黑体"/>
                <w:lang w:val="en-US"/>
              </w:rPr>
              <w:t>序</w:t>
            </w:r>
            <w:r>
              <w:rPr>
                <w:rFonts w:ascii="Times New Roman" w:hAnsi="Times New Roman" w:eastAsia="黑体"/>
                <w:lang w:val="en-US"/>
              </w:rPr>
              <w:t>号</w:t>
            </w:r>
          </w:p>
        </w:tc>
        <w:tc>
          <w:tcPr>
            <w:tcW w:w="505" w:type="pct"/>
            <w:tcBorders>
              <w:top w:val="single" w:color="auto" w:sz="4" w:space="0"/>
              <w:left w:val="single" w:color="auto" w:sz="4" w:space="0"/>
              <w:bottom w:val="single" w:color="auto" w:sz="4" w:space="0"/>
              <w:right w:val="single" w:color="auto" w:sz="4" w:space="0"/>
            </w:tcBorders>
            <w:vAlign w:val="center"/>
          </w:tcPr>
          <w:p>
            <w:pPr>
              <w:keepNext/>
              <w:widowControl w:val="0"/>
              <w:jc w:val="center"/>
              <w:rPr>
                <w:rFonts w:ascii="Times New Roman" w:hAnsi="Times New Roman" w:eastAsia="黑体"/>
                <w:lang w:val="en-US"/>
              </w:rPr>
            </w:pPr>
            <w:r>
              <w:rPr>
                <w:rFonts w:hint="eastAsia" w:ascii="Times New Roman" w:hAnsi="Times New Roman" w:eastAsia="黑体"/>
                <w:lang w:val="en-US"/>
              </w:rPr>
              <w:t>产品名称</w:t>
            </w:r>
          </w:p>
        </w:tc>
        <w:tc>
          <w:tcPr>
            <w:tcW w:w="662" w:type="pct"/>
            <w:tcBorders>
              <w:top w:val="single" w:color="auto" w:sz="4" w:space="0"/>
              <w:left w:val="single" w:color="auto" w:sz="4" w:space="0"/>
              <w:bottom w:val="single" w:color="auto" w:sz="4" w:space="0"/>
              <w:right w:val="single" w:color="auto" w:sz="4" w:space="0"/>
            </w:tcBorders>
            <w:vAlign w:val="center"/>
          </w:tcPr>
          <w:p>
            <w:pPr>
              <w:keepNext/>
              <w:widowControl w:val="0"/>
              <w:jc w:val="center"/>
              <w:rPr>
                <w:rFonts w:ascii="Times New Roman" w:hAnsi="Times New Roman" w:eastAsia="黑体"/>
                <w:lang w:val="en-US"/>
              </w:rPr>
            </w:pPr>
            <w:r>
              <w:rPr>
                <w:rFonts w:ascii="Times New Roman" w:hAnsi="Times New Roman" w:eastAsia="黑体"/>
                <w:lang w:val="en-US"/>
              </w:rPr>
              <w:t>品牌</w:t>
            </w:r>
          </w:p>
        </w:tc>
        <w:tc>
          <w:tcPr>
            <w:tcW w:w="654" w:type="pct"/>
            <w:tcBorders>
              <w:top w:val="single" w:color="auto" w:sz="4" w:space="0"/>
              <w:left w:val="single" w:color="auto" w:sz="4" w:space="0"/>
              <w:bottom w:val="single" w:color="auto" w:sz="4" w:space="0"/>
              <w:right w:val="single" w:color="auto" w:sz="4" w:space="0"/>
            </w:tcBorders>
            <w:vAlign w:val="center"/>
          </w:tcPr>
          <w:p>
            <w:pPr>
              <w:keepNext/>
              <w:widowControl w:val="0"/>
              <w:jc w:val="center"/>
              <w:rPr>
                <w:rFonts w:ascii="Times New Roman" w:hAnsi="Times New Roman" w:eastAsia="黑体"/>
                <w:lang w:val="en-US"/>
              </w:rPr>
            </w:pPr>
            <w:r>
              <w:rPr>
                <w:rFonts w:ascii="Times New Roman" w:hAnsi="Times New Roman" w:eastAsia="黑体"/>
                <w:lang w:val="en-US"/>
              </w:rPr>
              <w:t>规格型号</w:t>
            </w:r>
          </w:p>
        </w:tc>
        <w:tc>
          <w:tcPr>
            <w:tcW w:w="725" w:type="pct"/>
            <w:tcBorders>
              <w:top w:val="single" w:color="auto" w:sz="4" w:space="0"/>
              <w:left w:val="single" w:color="auto" w:sz="4" w:space="0"/>
              <w:bottom w:val="single" w:color="auto" w:sz="4" w:space="0"/>
              <w:right w:val="single" w:color="auto" w:sz="4" w:space="0"/>
            </w:tcBorders>
            <w:vAlign w:val="center"/>
          </w:tcPr>
          <w:p>
            <w:pPr>
              <w:keepNext/>
              <w:widowControl w:val="0"/>
              <w:jc w:val="center"/>
              <w:rPr>
                <w:rFonts w:ascii="Times New Roman" w:hAnsi="Times New Roman" w:eastAsia="黑体"/>
                <w:lang w:val="en-US"/>
              </w:rPr>
            </w:pPr>
            <w:r>
              <w:rPr>
                <w:rFonts w:ascii="Times New Roman" w:hAnsi="Times New Roman" w:eastAsia="黑体"/>
                <w:lang w:val="en-US"/>
              </w:rPr>
              <w:t>投报单价</w:t>
            </w:r>
          </w:p>
        </w:tc>
        <w:tc>
          <w:tcPr>
            <w:tcW w:w="558" w:type="pct"/>
            <w:tcBorders>
              <w:top w:val="single" w:color="auto" w:sz="4" w:space="0"/>
              <w:left w:val="single" w:color="auto" w:sz="4" w:space="0"/>
              <w:bottom w:val="single" w:color="auto" w:sz="4" w:space="0"/>
              <w:right w:val="single" w:color="auto" w:sz="4" w:space="0"/>
            </w:tcBorders>
            <w:vAlign w:val="center"/>
          </w:tcPr>
          <w:p>
            <w:pPr>
              <w:keepNext/>
              <w:widowControl w:val="0"/>
              <w:jc w:val="center"/>
              <w:rPr>
                <w:rFonts w:ascii="Times New Roman" w:hAnsi="Times New Roman" w:eastAsia="黑体"/>
                <w:lang w:val="en-US"/>
              </w:rPr>
            </w:pPr>
            <w:r>
              <w:rPr>
                <w:rFonts w:hint="eastAsia" w:ascii="Times New Roman" w:hAnsi="Times New Roman" w:eastAsia="黑体"/>
                <w:lang w:val="en-US"/>
              </w:rPr>
              <w:t>数量</w:t>
            </w:r>
          </w:p>
        </w:tc>
        <w:tc>
          <w:tcPr>
            <w:tcW w:w="1480" w:type="pct"/>
            <w:tcBorders>
              <w:top w:val="single" w:color="auto" w:sz="4" w:space="0"/>
              <w:left w:val="single" w:color="auto" w:sz="4" w:space="0"/>
              <w:bottom w:val="single" w:color="auto" w:sz="4" w:space="0"/>
              <w:right w:val="single" w:color="auto" w:sz="4" w:space="0"/>
            </w:tcBorders>
            <w:vAlign w:val="center"/>
          </w:tcPr>
          <w:p>
            <w:pPr>
              <w:keepNext/>
              <w:widowControl w:val="0"/>
              <w:jc w:val="center"/>
              <w:rPr>
                <w:rFonts w:ascii="Times New Roman" w:hAnsi="Times New Roman" w:eastAsia="黑体"/>
                <w:lang w:val="en-US"/>
              </w:rPr>
            </w:pPr>
            <w:r>
              <w:rPr>
                <w:rFonts w:ascii="Times New Roman" w:hAnsi="Times New Roman" w:eastAsia="黑体"/>
                <w:lang w:val="en-US"/>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20" w:hRule="atLeast"/>
          <w:jc w:val="center"/>
        </w:trPr>
        <w:tc>
          <w:tcPr>
            <w:tcW w:w="413" w:type="pct"/>
            <w:tcBorders>
              <w:top w:val="single" w:color="auto" w:sz="4" w:space="0"/>
              <w:left w:val="single" w:color="auto" w:sz="4" w:space="0"/>
              <w:bottom w:val="single" w:color="auto" w:sz="4" w:space="0"/>
              <w:right w:val="single" w:color="auto" w:sz="4" w:space="0"/>
            </w:tcBorders>
            <w:vAlign w:val="center"/>
          </w:tcPr>
          <w:p>
            <w:pPr>
              <w:keepNext/>
              <w:widowControl w:val="0"/>
              <w:jc w:val="center"/>
              <w:rPr>
                <w:rFonts w:ascii="Times New Roman" w:hAnsi="Times New Roman" w:eastAsia="宋体"/>
                <w:lang w:val="en-US"/>
              </w:rPr>
            </w:pPr>
            <w:r>
              <w:rPr>
                <w:rFonts w:ascii="Times New Roman" w:hAnsi="Times New Roman" w:eastAsia="Times New Roman"/>
                <w:lang w:val="en-US"/>
              </w:rPr>
              <w:t>1</w:t>
            </w:r>
          </w:p>
        </w:tc>
        <w:tc>
          <w:tcPr>
            <w:tcW w:w="505" w:type="pct"/>
            <w:tcBorders>
              <w:top w:val="single" w:color="auto" w:sz="4" w:space="0"/>
              <w:left w:val="single" w:color="auto" w:sz="4" w:space="0"/>
              <w:bottom w:val="single" w:color="auto" w:sz="4" w:space="0"/>
              <w:right w:val="single" w:color="auto" w:sz="4" w:space="0"/>
            </w:tcBorders>
            <w:vAlign w:val="center"/>
          </w:tcPr>
          <w:p>
            <w:pPr>
              <w:keepNext/>
              <w:widowControl w:val="0"/>
              <w:jc w:val="center"/>
              <w:rPr>
                <w:rFonts w:ascii="Times New Roman" w:hAnsi="Times New Roman" w:eastAsia="宋体"/>
                <w:lang w:val="en-US"/>
              </w:rPr>
            </w:pPr>
          </w:p>
        </w:tc>
        <w:tc>
          <w:tcPr>
            <w:tcW w:w="662" w:type="pct"/>
            <w:tcBorders>
              <w:top w:val="single" w:color="auto" w:sz="4" w:space="0"/>
              <w:left w:val="single" w:color="auto" w:sz="4" w:space="0"/>
              <w:bottom w:val="single" w:color="auto" w:sz="4" w:space="0"/>
              <w:right w:val="single" w:color="auto" w:sz="4" w:space="0"/>
            </w:tcBorders>
            <w:vAlign w:val="center"/>
          </w:tcPr>
          <w:p>
            <w:pPr>
              <w:keepNext/>
              <w:widowControl w:val="0"/>
              <w:jc w:val="center"/>
              <w:rPr>
                <w:rFonts w:ascii="Times New Roman" w:hAnsi="Times New Roman" w:eastAsia="宋体"/>
                <w:lang w:val="en-US"/>
              </w:rPr>
            </w:pPr>
          </w:p>
        </w:tc>
        <w:tc>
          <w:tcPr>
            <w:tcW w:w="654" w:type="pct"/>
            <w:tcBorders>
              <w:top w:val="single" w:color="auto" w:sz="4" w:space="0"/>
              <w:left w:val="single" w:color="auto" w:sz="4" w:space="0"/>
              <w:bottom w:val="single" w:color="auto" w:sz="4" w:space="0"/>
              <w:right w:val="single" w:color="auto" w:sz="4" w:space="0"/>
            </w:tcBorders>
            <w:vAlign w:val="center"/>
          </w:tcPr>
          <w:p>
            <w:pPr>
              <w:keepNext/>
              <w:widowControl w:val="0"/>
              <w:jc w:val="center"/>
              <w:rPr>
                <w:rFonts w:ascii="Times New Roman" w:hAnsi="Times New Roman" w:eastAsia="宋体"/>
                <w:lang w:val="en-US"/>
              </w:rPr>
            </w:pPr>
          </w:p>
        </w:tc>
        <w:tc>
          <w:tcPr>
            <w:tcW w:w="725" w:type="pct"/>
            <w:tcBorders>
              <w:top w:val="single" w:color="auto" w:sz="4" w:space="0"/>
              <w:left w:val="single" w:color="auto" w:sz="4" w:space="0"/>
              <w:bottom w:val="single" w:color="auto" w:sz="4" w:space="0"/>
              <w:right w:val="single" w:color="auto" w:sz="4" w:space="0"/>
            </w:tcBorders>
            <w:vAlign w:val="center"/>
          </w:tcPr>
          <w:p>
            <w:pPr>
              <w:keepNext/>
              <w:widowControl w:val="0"/>
              <w:jc w:val="center"/>
              <w:rPr>
                <w:rFonts w:ascii="Times New Roman" w:hAnsi="Times New Roman" w:eastAsia="宋体"/>
                <w:lang w:val="en-US"/>
              </w:rPr>
            </w:pPr>
          </w:p>
        </w:tc>
        <w:tc>
          <w:tcPr>
            <w:tcW w:w="558" w:type="pct"/>
            <w:tcBorders>
              <w:top w:val="single" w:color="auto" w:sz="4" w:space="0"/>
              <w:left w:val="single" w:color="auto" w:sz="4" w:space="0"/>
              <w:bottom w:val="single" w:color="auto" w:sz="4" w:space="0"/>
              <w:right w:val="single" w:color="auto" w:sz="4" w:space="0"/>
            </w:tcBorders>
            <w:vAlign w:val="center"/>
          </w:tcPr>
          <w:p>
            <w:pPr>
              <w:keepNext/>
              <w:widowControl w:val="0"/>
              <w:jc w:val="center"/>
              <w:rPr>
                <w:rFonts w:ascii="Times New Roman" w:hAnsi="Times New Roman" w:eastAsia="宋体"/>
                <w:lang w:val="en-US"/>
              </w:rPr>
            </w:pPr>
          </w:p>
        </w:tc>
        <w:tc>
          <w:tcPr>
            <w:tcW w:w="1480" w:type="pct"/>
            <w:tcBorders>
              <w:top w:val="single" w:color="auto" w:sz="4" w:space="0"/>
              <w:left w:val="single" w:color="auto" w:sz="4" w:space="0"/>
              <w:bottom w:val="single" w:color="auto" w:sz="4" w:space="0"/>
              <w:right w:val="single" w:color="auto" w:sz="4" w:space="0"/>
            </w:tcBorders>
            <w:vAlign w:val="center"/>
          </w:tcPr>
          <w:p>
            <w:pPr>
              <w:keepNext/>
              <w:widowControl w:val="0"/>
              <w:jc w:val="center"/>
              <w:rPr>
                <w:rFonts w:ascii="Times New Roman" w:hAnsi="Times New Roman" w:eastAsia="宋体"/>
                <w:lang w:val="en-US"/>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20" w:hRule="atLeast"/>
          <w:jc w:val="center"/>
        </w:trPr>
        <w:tc>
          <w:tcPr>
            <w:tcW w:w="413" w:type="pct"/>
            <w:tcBorders>
              <w:top w:val="single" w:color="auto" w:sz="4" w:space="0"/>
              <w:left w:val="single" w:color="auto" w:sz="4" w:space="0"/>
              <w:bottom w:val="single" w:color="auto" w:sz="4" w:space="0"/>
              <w:right w:val="single" w:color="auto" w:sz="4" w:space="0"/>
            </w:tcBorders>
            <w:vAlign w:val="center"/>
          </w:tcPr>
          <w:p>
            <w:pPr>
              <w:keepNext/>
              <w:widowControl w:val="0"/>
              <w:jc w:val="center"/>
              <w:rPr>
                <w:rFonts w:ascii="Times New Roman" w:hAnsi="Times New Roman" w:eastAsia="宋体"/>
                <w:lang w:val="en-US"/>
              </w:rPr>
            </w:pPr>
            <w:r>
              <w:rPr>
                <w:rFonts w:ascii="Times New Roman" w:hAnsi="Times New Roman" w:eastAsia="Times New Roman"/>
                <w:lang w:val="en-US"/>
              </w:rPr>
              <w:t>2</w:t>
            </w:r>
          </w:p>
        </w:tc>
        <w:tc>
          <w:tcPr>
            <w:tcW w:w="505" w:type="pct"/>
            <w:tcBorders>
              <w:top w:val="single" w:color="auto" w:sz="4" w:space="0"/>
              <w:left w:val="single" w:color="auto" w:sz="4" w:space="0"/>
              <w:bottom w:val="single" w:color="auto" w:sz="4" w:space="0"/>
              <w:right w:val="single" w:color="auto" w:sz="4" w:space="0"/>
            </w:tcBorders>
            <w:vAlign w:val="center"/>
          </w:tcPr>
          <w:p>
            <w:pPr>
              <w:keepNext/>
              <w:widowControl w:val="0"/>
              <w:jc w:val="center"/>
              <w:rPr>
                <w:rFonts w:ascii="Times New Roman" w:hAnsi="Times New Roman" w:eastAsia="宋体"/>
                <w:lang w:val="en-US"/>
              </w:rPr>
            </w:pPr>
          </w:p>
        </w:tc>
        <w:tc>
          <w:tcPr>
            <w:tcW w:w="662" w:type="pct"/>
            <w:tcBorders>
              <w:top w:val="single" w:color="auto" w:sz="4" w:space="0"/>
              <w:left w:val="single" w:color="auto" w:sz="4" w:space="0"/>
              <w:bottom w:val="single" w:color="auto" w:sz="4" w:space="0"/>
              <w:right w:val="single" w:color="auto" w:sz="4" w:space="0"/>
            </w:tcBorders>
            <w:vAlign w:val="center"/>
          </w:tcPr>
          <w:p>
            <w:pPr>
              <w:keepNext/>
              <w:widowControl w:val="0"/>
              <w:jc w:val="center"/>
              <w:rPr>
                <w:rFonts w:ascii="Times New Roman" w:hAnsi="Times New Roman" w:eastAsia="宋体"/>
                <w:lang w:val="en-US"/>
              </w:rPr>
            </w:pPr>
          </w:p>
        </w:tc>
        <w:tc>
          <w:tcPr>
            <w:tcW w:w="654" w:type="pct"/>
            <w:tcBorders>
              <w:top w:val="single" w:color="auto" w:sz="4" w:space="0"/>
              <w:left w:val="single" w:color="auto" w:sz="4" w:space="0"/>
              <w:bottom w:val="single" w:color="auto" w:sz="4" w:space="0"/>
              <w:right w:val="single" w:color="auto" w:sz="4" w:space="0"/>
            </w:tcBorders>
            <w:vAlign w:val="center"/>
          </w:tcPr>
          <w:p>
            <w:pPr>
              <w:keepNext/>
              <w:widowControl w:val="0"/>
              <w:jc w:val="center"/>
              <w:rPr>
                <w:rFonts w:ascii="Times New Roman" w:hAnsi="Times New Roman" w:eastAsia="宋体"/>
                <w:lang w:val="en-US"/>
              </w:rPr>
            </w:pPr>
          </w:p>
        </w:tc>
        <w:tc>
          <w:tcPr>
            <w:tcW w:w="725" w:type="pct"/>
            <w:tcBorders>
              <w:top w:val="single" w:color="auto" w:sz="4" w:space="0"/>
              <w:left w:val="single" w:color="auto" w:sz="4" w:space="0"/>
              <w:bottom w:val="single" w:color="auto" w:sz="4" w:space="0"/>
              <w:right w:val="single" w:color="auto" w:sz="4" w:space="0"/>
            </w:tcBorders>
            <w:vAlign w:val="center"/>
          </w:tcPr>
          <w:p>
            <w:pPr>
              <w:keepNext/>
              <w:widowControl w:val="0"/>
              <w:jc w:val="center"/>
              <w:rPr>
                <w:rFonts w:ascii="Times New Roman" w:hAnsi="Times New Roman" w:eastAsia="宋体"/>
                <w:lang w:val="en-US"/>
              </w:rPr>
            </w:pPr>
          </w:p>
        </w:tc>
        <w:tc>
          <w:tcPr>
            <w:tcW w:w="558" w:type="pct"/>
            <w:tcBorders>
              <w:top w:val="single" w:color="auto" w:sz="4" w:space="0"/>
              <w:left w:val="single" w:color="auto" w:sz="4" w:space="0"/>
              <w:bottom w:val="single" w:color="auto" w:sz="4" w:space="0"/>
              <w:right w:val="single" w:color="auto" w:sz="4" w:space="0"/>
            </w:tcBorders>
            <w:vAlign w:val="center"/>
          </w:tcPr>
          <w:p>
            <w:pPr>
              <w:keepNext/>
              <w:widowControl w:val="0"/>
              <w:jc w:val="center"/>
              <w:rPr>
                <w:rFonts w:ascii="Times New Roman" w:hAnsi="Times New Roman" w:eastAsia="宋体"/>
                <w:lang w:val="en-US"/>
              </w:rPr>
            </w:pPr>
          </w:p>
        </w:tc>
        <w:tc>
          <w:tcPr>
            <w:tcW w:w="1480" w:type="pct"/>
            <w:tcBorders>
              <w:top w:val="single" w:color="auto" w:sz="4" w:space="0"/>
              <w:left w:val="single" w:color="auto" w:sz="4" w:space="0"/>
              <w:bottom w:val="single" w:color="auto" w:sz="4" w:space="0"/>
              <w:right w:val="single" w:color="auto" w:sz="4" w:space="0"/>
            </w:tcBorders>
            <w:vAlign w:val="center"/>
          </w:tcPr>
          <w:p>
            <w:pPr>
              <w:keepNext/>
              <w:widowControl w:val="0"/>
              <w:jc w:val="center"/>
              <w:rPr>
                <w:rFonts w:ascii="Times New Roman" w:hAnsi="Times New Roman" w:eastAsia="宋体"/>
                <w:lang w:val="en-US"/>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20" w:hRule="atLeast"/>
          <w:jc w:val="center"/>
        </w:trPr>
        <w:tc>
          <w:tcPr>
            <w:tcW w:w="413" w:type="pct"/>
            <w:tcBorders>
              <w:top w:val="single" w:color="auto" w:sz="4" w:space="0"/>
              <w:left w:val="single" w:color="auto" w:sz="4" w:space="0"/>
              <w:bottom w:val="single" w:color="auto" w:sz="4" w:space="0"/>
              <w:right w:val="single" w:color="auto" w:sz="4" w:space="0"/>
            </w:tcBorders>
            <w:vAlign w:val="center"/>
          </w:tcPr>
          <w:p>
            <w:pPr>
              <w:keepNext/>
              <w:widowControl w:val="0"/>
              <w:jc w:val="center"/>
              <w:rPr>
                <w:rFonts w:ascii="Times New Roman" w:hAnsi="Times New Roman" w:eastAsia="宋体"/>
                <w:lang w:val="en-US"/>
              </w:rPr>
            </w:pPr>
            <w:r>
              <w:rPr>
                <w:rFonts w:ascii="Times New Roman" w:hAnsi="Times New Roman" w:eastAsia="宋体"/>
                <w:lang w:val="en-US"/>
              </w:rPr>
              <w:t>…</w:t>
            </w:r>
          </w:p>
        </w:tc>
        <w:tc>
          <w:tcPr>
            <w:tcW w:w="505" w:type="pct"/>
            <w:tcBorders>
              <w:top w:val="single" w:color="auto" w:sz="4" w:space="0"/>
              <w:left w:val="single" w:color="auto" w:sz="4" w:space="0"/>
              <w:bottom w:val="single" w:color="auto" w:sz="4" w:space="0"/>
              <w:right w:val="single" w:color="auto" w:sz="4" w:space="0"/>
            </w:tcBorders>
            <w:vAlign w:val="center"/>
          </w:tcPr>
          <w:p>
            <w:pPr>
              <w:keepNext/>
              <w:widowControl w:val="0"/>
              <w:jc w:val="center"/>
              <w:rPr>
                <w:rFonts w:ascii="Times New Roman" w:hAnsi="Times New Roman" w:eastAsia="宋体"/>
                <w:lang w:val="en-US"/>
              </w:rPr>
            </w:pPr>
          </w:p>
        </w:tc>
        <w:tc>
          <w:tcPr>
            <w:tcW w:w="662" w:type="pct"/>
            <w:tcBorders>
              <w:top w:val="single" w:color="auto" w:sz="4" w:space="0"/>
              <w:left w:val="single" w:color="auto" w:sz="4" w:space="0"/>
              <w:bottom w:val="single" w:color="auto" w:sz="4" w:space="0"/>
              <w:right w:val="single" w:color="auto" w:sz="4" w:space="0"/>
            </w:tcBorders>
            <w:vAlign w:val="center"/>
          </w:tcPr>
          <w:p>
            <w:pPr>
              <w:keepNext/>
              <w:widowControl w:val="0"/>
              <w:jc w:val="center"/>
              <w:rPr>
                <w:rFonts w:ascii="Times New Roman" w:hAnsi="Times New Roman" w:eastAsia="宋体"/>
                <w:lang w:val="en-US"/>
              </w:rPr>
            </w:pPr>
          </w:p>
        </w:tc>
        <w:tc>
          <w:tcPr>
            <w:tcW w:w="654" w:type="pct"/>
            <w:tcBorders>
              <w:top w:val="single" w:color="auto" w:sz="4" w:space="0"/>
              <w:left w:val="single" w:color="auto" w:sz="4" w:space="0"/>
              <w:bottom w:val="single" w:color="auto" w:sz="4" w:space="0"/>
              <w:right w:val="single" w:color="auto" w:sz="4" w:space="0"/>
            </w:tcBorders>
            <w:vAlign w:val="center"/>
          </w:tcPr>
          <w:p>
            <w:pPr>
              <w:keepNext/>
              <w:widowControl w:val="0"/>
              <w:jc w:val="center"/>
              <w:rPr>
                <w:rFonts w:ascii="Times New Roman" w:hAnsi="Times New Roman" w:eastAsia="宋体"/>
                <w:lang w:val="en-US"/>
              </w:rPr>
            </w:pPr>
          </w:p>
        </w:tc>
        <w:tc>
          <w:tcPr>
            <w:tcW w:w="725" w:type="pct"/>
            <w:tcBorders>
              <w:top w:val="single" w:color="auto" w:sz="4" w:space="0"/>
              <w:left w:val="single" w:color="auto" w:sz="4" w:space="0"/>
              <w:bottom w:val="single" w:color="auto" w:sz="4" w:space="0"/>
              <w:right w:val="single" w:color="auto" w:sz="4" w:space="0"/>
            </w:tcBorders>
            <w:vAlign w:val="center"/>
          </w:tcPr>
          <w:p>
            <w:pPr>
              <w:keepNext/>
              <w:widowControl w:val="0"/>
              <w:jc w:val="center"/>
              <w:rPr>
                <w:rFonts w:ascii="Times New Roman" w:hAnsi="Times New Roman" w:eastAsia="宋体"/>
                <w:lang w:val="en-US"/>
              </w:rPr>
            </w:pPr>
          </w:p>
        </w:tc>
        <w:tc>
          <w:tcPr>
            <w:tcW w:w="558" w:type="pct"/>
            <w:tcBorders>
              <w:top w:val="single" w:color="auto" w:sz="4" w:space="0"/>
              <w:left w:val="single" w:color="auto" w:sz="4" w:space="0"/>
              <w:bottom w:val="single" w:color="auto" w:sz="4" w:space="0"/>
              <w:right w:val="single" w:color="auto" w:sz="4" w:space="0"/>
            </w:tcBorders>
            <w:vAlign w:val="center"/>
          </w:tcPr>
          <w:p>
            <w:pPr>
              <w:keepNext/>
              <w:widowControl w:val="0"/>
              <w:jc w:val="center"/>
              <w:rPr>
                <w:rFonts w:ascii="Times New Roman" w:hAnsi="Times New Roman" w:eastAsia="宋体"/>
                <w:lang w:val="en-US"/>
              </w:rPr>
            </w:pPr>
          </w:p>
        </w:tc>
        <w:tc>
          <w:tcPr>
            <w:tcW w:w="1480" w:type="pct"/>
            <w:tcBorders>
              <w:top w:val="single" w:color="auto" w:sz="4" w:space="0"/>
              <w:left w:val="single" w:color="auto" w:sz="4" w:space="0"/>
              <w:bottom w:val="single" w:color="auto" w:sz="4" w:space="0"/>
              <w:right w:val="single" w:color="auto" w:sz="4" w:space="0"/>
            </w:tcBorders>
            <w:vAlign w:val="center"/>
          </w:tcPr>
          <w:p>
            <w:pPr>
              <w:keepNext/>
              <w:widowControl w:val="0"/>
              <w:jc w:val="center"/>
              <w:rPr>
                <w:rFonts w:ascii="Times New Roman" w:hAnsi="Times New Roman" w:eastAsia="宋体"/>
                <w:lang w:val="en-US"/>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20" w:hRule="atLeast"/>
          <w:jc w:val="center"/>
        </w:trPr>
        <w:tc>
          <w:tcPr>
            <w:tcW w:w="2235" w:type="pct"/>
            <w:gridSpan w:val="4"/>
            <w:tcBorders>
              <w:top w:val="single" w:color="auto" w:sz="4" w:space="0"/>
              <w:left w:val="single" w:color="auto" w:sz="4" w:space="0"/>
              <w:bottom w:val="single" w:color="auto" w:sz="4" w:space="0"/>
              <w:right w:val="single" w:color="auto" w:sz="4" w:space="0"/>
            </w:tcBorders>
            <w:vAlign w:val="center"/>
          </w:tcPr>
          <w:p>
            <w:pPr>
              <w:keepNext/>
              <w:widowControl w:val="0"/>
              <w:rPr>
                <w:rFonts w:ascii="Times New Roman" w:hAnsi="Times New Roman" w:eastAsia="宋体"/>
                <w:lang w:val="en-US"/>
              </w:rPr>
            </w:pPr>
            <w:r>
              <w:rPr>
                <w:rFonts w:hint="eastAsia" w:ascii="Times New Roman" w:hAnsi="Times New Roman" w:eastAsia="宋体"/>
                <w:lang w:val="en-US"/>
              </w:rPr>
              <w:t>本</w:t>
            </w:r>
            <w:r>
              <w:rPr>
                <w:rFonts w:ascii="Times New Roman" w:hAnsi="Times New Roman" w:eastAsia="宋体"/>
                <w:lang w:val="en-US"/>
              </w:rPr>
              <w:t>包</w:t>
            </w:r>
            <w:r>
              <w:rPr>
                <w:rFonts w:hint="eastAsia" w:ascii="Times New Roman" w:hAnsi="Times New Roman" w:eastAsia="宋体"/>
                <w:lang w:val="en-US"/>
              </w:rPr>
              <w:t>投标总价：</w:t>
            </w:r>
          </w:p>
        </w:tc>
        <w:tc>
          <w:tcPr>
            <w:tcW w:w="2764" w:type="pct"/>
            <w:gridSpan w:val="3"/>
            <w:tcBorders>
              <w:top w:val="single" w:color="auto" w:sz="4" w:space="0"/>
              <w:left w:val="single" w:color="auto" w:sz="4" w:space="0"/>
              <w:bottom w:val="single" w:color="auto" w:sz="4" w:space="0"/>
              <w:right w:val="single" w:color="auto" w:sz="4" w:space="0"/>
            </w:tcBorders>
            <w:vAlign w:val="center"/>
          </w:tcPr>
          <w:p>
            <w:pPr>
              <w:keepNext/>
              <w:widowControl w:val="0"/>
              <w:jc w:val="center"/>
              <w:rPr>
                <w:rFonts w:ascii="Times New Roman" w:hAnsi="Times New Roman" w:eastAsia="宋体"/>
                <w:lang w:val="en-US"/>
              </w:rPr>
            </w:pPr>
            <w:r>
              <w:rPr>
                <w:rFonts w:hint="eastAsia" w:ascii="Times New Roman" w:hAnsi="Times New Roman" w:eastAsia="宋体"/>
                <w:lang w:val="en-US"/>
              </w:rPr>
              <w:t>大写</w:t>
            </w:r>
            <w:r>
              <w:rPr>
                <w:rFonts w:ascii="Times New Roman" w:hAnsi="Times New Roman" w:eastAsia="宋体"/>
                <w:lang w:val="en-US"/>
              </w:rPr>
              <w:t>：</w:t>
            </w:r>
          </w:p>
        </w:tc>
      </w:tr>
    </w:tbl>
    <w:p>
      <w:pPr>
        <w:ind w:firstLine="420" w:firstLineChars="200"/>
        <w:rPr>
          <w:rFonts w:ascii="Times New Roman" w:hAnsi="Times New Roman" w:eastAsia="宋体"/>
          <w:lang w:val="en-US"/>
        </w:rPr>
      </w:pPr>
      <w:r>
        <w:rPr>
          <w:rFonts w:ascii="Times New Roman" w:hAnsi="Times New Roman" w:eastAsia="宋体"/>
          <w:lang w:val="en-US"/>
        </w:rPr>
        <w:t>投标人声明：开标一览表中的</w:t>
      </w:r>
      <w:r>
        <w:rPr>
          <w:rFonts w:hint="eastAsia" w:ascii="Times New Roman" w:hAnsi="Times New Roman" w:eastAsia="宋体"/>
          <w:lang w:val="en-US"/>
        </w:rPr>
        <w:t>“</w:t>
      </w:r>
      <w:r>
        <w:rPr>
          <w:rFonts w:ascii="Times New Roman" w:hAnsi="Times New Roman" w:eastAsia="宋体"/>
          <w:lang w:val="en-US"/>
        </w:rPr>
        <w:t>投标总价</w:t>
      </w:r>
      <w:r>
        <w:rPr>
          <w:rFonts w:hint="eastAsia" w:ascii="Times New Roman" w:hAnsi="Times New Roman" w:eastAsia="宋体"/>
          <w:lang w:val="en-US"/>
        </w:rPr>
        <w:t>”</w:t>
      </w:r>
      <w:r>
        <w:rPr>
          <w:rFonts w:ascii="Times New Roman" w:hAnsi="Times New Roman" w:eastAsia="宋体"/>
          <w:lang w:val="en-US"/>
        </w:rPr>
        <w:t>是投标货物及相关服务等全部费用的报价。（须分包填写）</w:t>
      </w:r>
    </w:p>
    <w:p>
      <w:pPr>
        <w:ind w:firstLine="420" w:firstLineChars="200"/>
        <w:rPr>
          <w:rFonts w:ascii="Times New Roman" w:hAnsi="Times New Roman" w:eastAsia="宋体"/>
          <w:lang w:val="en-US"/>
        </w:rPr>
      </w:pPr>
    </w:p>
    <w:p>
      <w:pPr>
        <w:ind w:firstLine="420" w:firstLineChars="200"/>
        <w:rPr>
          <w:rFonts w:ascii="Times New Roman" w:hAnsi="Times New Roman" w:eastAsia="宋体"/>
          <w:lang w:val="en-US"/>
        </w:rPr>
      </w:pPr>
      <w:r>
        <w:rPr>
          <w:rFonts w:ascii="Times New Roman" w:hAnsi="Times New Roman" w:eastAsia="宋体"/>
          <w:lang w:val="en-US"/>
        </w:rPr>
        <w:t>投标总价大写金额：</w:t>
      </w:r>
    </w:p>
    <w:p>
      <w:pPr>
        <w:ind w:firstLine="420" w:firstLineChars="200"/>
        <w:rPr>
          <w:rFonts w:ascii="Times New Roman" w:hAnsi="Times New Roman" w:eastAsia="宋体"/>
          <w:lang w:val="en-US"/>
        </w:rPr>
      </w:pPr>
      <w:r>
        <w:rPr>
          <w:rFonts w:ascii="Times New Roman" w:hAnsi="Times New Roman" w:eastAsia="宋体"/>
          <w:lang w:val="en-US"/>
        </w:rPr>
        <w:t>特别说明事项：</w:t>
      </w:r>
    </w:p>
    <w:p>
      <w:pPr>
        <w:ind w:firstLine="420" w:firstLineChars="200"/>
        <w:rPr>
          <w:rFonts w:ascii="Times New Roman" w:hAnsi="Times New Roman" w:eastAsia="宋体"/>
          <w:lang w:val="en-US"/>
        </w:rPr>
      </w:pPr>
      <w:r>
        <w:rPr>
          <w:rFonts w:ascii="Times New Roman" w:hAnsi="Times New Roman" w:eastAsia="宋体"/>
          <w:lang w:val="en-US"/>
        </w:rPr>
        <w:t>投标人公章：</w:t>
      </w:r>
    </w:p>
    <w:p>
      <w:pPr>
        <w:ind w:firstLine="420" w:firstLineChars="200"/>
        <w:rPr>
          <w:rFonts w:ascii="Times New Roman" w:hAnsi="Times New Roman" w:eastAsia="宋体"/>
          <w:lang w:val="en-US"/>
        </w:rPr>
      </w:pPr>
      <w:r>
        <w:rPr>
          <w:rFonts w:ascii="Times New Roman" w:hAnsi="Times New Roman" w:eastAsia="宋体"/>
          <w:lang w:val="en-US"/>
        </w:rPr>
        <w:t>投标人代表签字或签章：</w:t>
      </w:r>
    </w:p>
    <w:p>
      <w:pPr>
        <w:ind w:firstLine="420" w:firstLineChars="200"/>
        <w:rPr>
          <w:rFonts w:ascii="Times New Roman" w:hAnsi="Times New Roman" w:eastAsia="宋体"/>
          <w:lang w:val="en-US"/>
        </w:rPr>
      </w:pPr>
      <w:r>
        <w:rPr>
          <w:rFonts w:ascii="Times New Roman" w:hAnsi="Times New Roman" w:eastAsia="宋体"/>
          <w:lang w:val="en-US"/>
        </w:rPr>
        <w:t>日期：</w:t>
      </w:r>
    </w:p>
    <w:p>
      <w:pPr>
        <w:ind w:firstLine="420" w:firstLineChars="200"/>
        <w:rPr>
          <w:rFonts w:ascii="Times New Roman" w:hAnsi="Times New Roman" w:eastAsia="宋体"/>
          <w:lang w:val="en-US"/>
        </w:rPr>
      </w:pPr>
    </w:p>
    <w:p>
      <w:pPr>
        <w:tabs>
          <w:tab w:val="left" w:pos="0"/>
        </w:tabs>
        <w:rPr>
          <w:rFonts w:ascii="Times New Roman" w:hAnsi="Times New Roman" w:eastAsia="仿宋_GB2312"/>
          <w:b/>
          <w:bCs/>
          <w:szCs w:val="21"/>
          <w:lang w:val="en-US"/>
        </w:rPr>
      </w:pPr>
      <w:r>
        <w:rPr>
          <w:rFonts w:ascii="Times New Roman" w:hAnsi="Times New Roman" w:eastAsia="宋体"/>
          <w:lang w:val="en-US"/>
        </w:rPr>
        <w:t>注：除可填报项目外</w:t>
      </w:r>
      <w:r>
        <w:rPr>
          <w:rFonts w:ascii="宋体" w:hAnsi="宋体" w:eastAsia="宋体"/>
          <w:lang w:val="en-US"/>
        </w:rPr>
        <w:t>，</w:t>
      </w:r>
      <w:r>
        <w:rPr>
          <w:rFonts w:ascii="Times New Roman" w:hAnsi="Times New Roman" w:eastAsia="宋体"/>
          <w:lang w:val="en-US"/>
        </w:rPr>
        <w:t>任何实质性修改将被视为非实质性响应投标</w:t>
      </w:r>
      <w:r>
        <w:rPr>
          <w:rFonts w:ascii="宋体" w:hAnsi="宋体" w:eastAsia="宋体"/>
          <w:lang w:val="en-US"/>
        </w:rPr>
        <w:t>，</w:t>
      </w:r>
      <w:r>
        <w:rPr>
          <w:rFonts w:ascii="Times New Roman" w:hAnsi="Times New Roman" w:eastAsia="宋体"/>
          <w:lang w:val="en-US"/>
        </w:rPr>
        <w:t>从而导致该投标被拒绝。</w:t>
      </w:r>
    </w:p>
    <w:p>
      <w:pPr>
        <w:pStyle w:val="3"/>
        <w:spacing w:before="120"/>
        <w:rPr>
          <w:color w:val="auto"/>
        </w:rPr>
      </w:pPr>
      <w:bookmarkStart w:id="326" w:name="_Toc22687"/>
      <w:bookmarkStart w:id="327" w:name="_Toc599"/>
      <w:bookmarkStart w:id="328" w:name="_Toc16531202"/>
      <w:bookmarkStart w:id="329" w:name="_Toc23206"/>
      <w:bookmarkStart w:id="330" w:name="_Toc2814"/>
      <w:bookmarkStart w:id="331" w:name="_Toc30031"/>
      <w:bookmarkStart w:id="332" w:name="_Toc16531428"/>
      <w:bookmarkStart w:id="333" w:name="_Toc26779"/>
      <w:bookmarkStart w:id="334" w:name="_Ref462505473"/>
      <w:r>
        <w:rPr>
          <w:color w:val="auto"/>
        </w:rPr>
        <w:t>*投标货物技术规范偏离表</w:t>
      </w:r>
      <w:bookmarkEnd w:id="326"/>
      <w:bookmarkEnd w:id="327"/>
      <w:bookmarkEnd w:id="328"/>
      <w:bookmarkEnd w:id="329"/>
      <w:bookmarkEnd w:id="330"/>
      <w:bookmarkEnd w:id="331"/>
      <w:bookmarkEnd w:id="332"/>
      <w:bookmarkEnd w:id="333"/>
    </w:p>
    <w:p>
      <w:pPr>
        <w:ind w:firstLine="420" w:firstLineChars="200"/>
        <w:rPr>
          <w:rFonts w:ascii="Times New Roman" w:hAnsi="Times New Roman" w:eastAsia="宋体"/>
          <w:lang w:val="en-US"/>
        </w:rPr>
      </w:pPr>
      <w:r>
        <w:rPr>
          <w:rFonts w:ascii="Times New Roman" w:hAnsi="Times New Roman" w:eastAsia="宋体"/>
          <w:lang w:val="en-US"/>
        </w:rPr>
        <w:t>（详见招标文件第五部分</w:t>
      </w:r>
      <w:r>
        <w:rPr>
          <w:rFonts w:hint="eastAsia" w:ascii="Times New Roman" w:hAnsi="Times New Roman" w:eastAsia="宋体"/>
          <w:lang w:val="en-US"/>
        </w:rPr>
        <w:t>“</w:t>
      </w:r>
      <w:r>
        <w:rPr>
          <w:rFonts w:ascii="Times New Roman" w:hAnsi="Times New Roman" w:eastAsia="宋体"/>
          <w:lang w:val="en-US"/>
        </w:rPr>
        <w:t>采购需求</w:t>
      </w:r>
      <w:r>
        <w:rPr>
          <w:rFonts w:hint="eastAsia" w:ascii="Times New Roman" w:hAnsi="Times New Roman" w:eastAsia="宋体"/>
          <w:lang w:val="en-US"/>
        </w:rPr>
        <w:t>”</w:t>
      </w:r>
      <w:r>
        <w:rPr>
          <w:rFonts w:ascii="Times New Roman" w:hAnsi="Times New Roman" w:eastAsia="宋体"/>
          <w:lang w:val="en-US"/>
        </w:rPr>
        <w:t>）</w:t>
      </w:r>
    </w:p>
    <w:p>
      <w:pPr>
        <w:ind w:firstLine="420" w:firstLineChars="200"/>
        <w:rPr>
          <w:rFonts w:ascii="Times New Roman" w:hAnsi="Times New Roman" w:eastAsia="宋体"/>
          <w:lang w:val="en-US"/>
        </w:rPr>
      </w:pPr>
      <w:r>
        <w:rPr>
          <w:rFonts w:ascii="Times New Roman" w:hAnsi="Times New Roman" w:eastAsia="宋体"/>
          <w:lang w:val="en-US"/>
        </w:rPr>
        <w:t>项目名称：</w:t>
      </w:r>
    </w:p>
    <w:p>
      <w:pPr>
        <w:ind w:firstLine="420" w:firstLineChars="200"/>
        <w:rPr>
          <w:rFonts w:ascii="Times New Roman" w:hAnsi="Times New Roman" w:eastAsia="宋体"/>
          <w:lang w:val="en-US"/>
        </w:rPr>
      </w:pPr>
      <w:r>
        <w:rPr>
          <w:rFonts w:ascii="Times New Roman" w:hAnsi="Times New Roman" w:eastAsia="宋体"/>
          <w:lang w:val="en-US"/>
        </w:rPr>
        <w:t>项目编号：</w:t>
      </w:r>
    </w:p>
    <w:p>
      <w:pPr>
        <w:ind w:firstLine="420" w:firstLineChars="200"/>
        <w:rPr>
          <w:rFonts w:ascii="Times New Roman" w:hAnsi="Times New Roman" w:eastAsia="宋体"/>
          <w:lang w:val="en-US"/>
        </w:rPr>
      </w:pPr>
      <w:r>
        <w:rPr>
          <w:rFonts w:ascii="Times New Roman" w:hAnsi="Times New Roman" w:eastAsia="宋体"/>
          <w:lang w:val="en-US"/>
        </w:rPr>
        <w:t>投标人名称：</w:t>
      </w:r>
    </w:p>
    <w:p>
      <w:pPr>
        <w:pStyle w:val="235"/>
        <w:spacing w:after="0" w:afterLines="0"/>
        <w:jc w:val="center"/>
        <w:rPr>
          <w:color w:val="auto"/>
          <w:sz w:val="24"/>
          <w:szCs w:val="24"/>
        </w:rPr>
      </w:pPr>
      <w:r>
        <w:rPr>
          <w:rFonts w:ascii="微软雅黑" w:hAnsi="微软雅黑"/>
          <w:color w:val="auto"/>
          <w:sz w:val="24"/>
          <w:szCs w:val="24"/>
          <w:lang w:val="en-US"/>
        </w:rPr>
        <w:t>投标货物技术规范偏离表（第   包）</w:t>
      </w:r>
    </w:p>
    <w:tbl>
      <w:tblPr>
        <w:tblStyle w:val="81"/>
        <w:tblW w:w="89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993"/>
        <w:gridCol w:w="1754"/>
        <w:gridCol w:w="815"/>
        <w:gridCol w:w="1558"/>
        <w:gridCol w:w="1712"/>
        <w:gridCol w:w="953"/>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993" w:type="dxa"/>
            <w:vAlign w:val="center"/>
          </w:tcPr>
          <w:p>
            <w:pPr>
              <w:tabs>
                <w:tab w:val="left" w:pos="0"/>
              </w:tabs>
              <w:spacing w:before="40" w:after="40" w:line="240" w:lineRule="exact"/>
              <w:jc w:val="center"/>
              <w:rPr>
                <w:rFonts w:ascii="Times New Roman" w:hAnsi="Times New Roman" w:eastAsia="黑体"/>
                <w:kern w:val="0"/>
                <w:szCs w:val="21"/>
                <w:lang w:val="en-US"/>
              </w:rPr>
            </w:pPr>
            <w:r>
              <w:rPr>
                <w:rFonts w:ascii="Times New Roman" w:hAnsi="Times New Roman" w:eastAsia="黑体"/>
                <w:kern w:val="0"/>
                <w:szCs w:val="21"/>
                <w:lang w:val="en-US"/>
              </w:rPr>
              <w:t>序号</w:t>
            </w:r>
          </w:p>
        </w:tc>
        <w:tc>
          <w:tcPr>
            <w:tcW w:w="1754" w:type="dxa"/>
            <w:vAlign w:val="center"/>
          </w:tcPr>
          <w:p>
            <w:pPr>
              <w:tabs>
                <w:tab w:val="left" w:pos="0"/>
              </w:tabs>
              <w:spacing w:before="40" w:after="40" w:line="240" w:lineRule="exact"/>
              <w:jc w:val="center"/>
              <w:rPr>
                <w:rFonts w:ascii="Times New Roman" w:hAnsi="Times New Roman" w:eastAsia="黑体"/>
                <w:kern w:val="0"/>
                <w:szCs w:val="21"/>
                <w:lang w:val="en-US"/>
              </w:rPr>
            </w:pPr>
            <w:r>
              <w:rPr>
                <w:rFonts w:hint="eastAsia" w:ascii="Times New Roman" w:hAnsi="Times New Roman" w:eastAsia="黑体"/>
                <w:kern w:val="0"/>
                <w:szCs w:val="21"/>
                <w:lang w:val="en-US"/>
              </w:rPr>
              <w:t>产品</w:t>
            </w:r>
            <w:r>
              <w:rPr>
                <w:rFonts w:ascii="Times New Roman" w:hAnsi="Times New Roman" w:eastAsia="黑体"/>
                <w:kern w:val="0"/>
                <w:szCs w:val="21"/>
                <w:lang w:val="en-US"/>
              </w:rPr>
              <w:t>名称</w:t>
            </w:r>
          </w:p>
        </w:tc>
        <w:tc>
          <w:tcPr>
            <w:tcW w:w="815" w:type="dxa"/>
            <w:vAlign w:val="center"/>
          </w:tcPr>
          <w:p>
            <w:pPr>
              <w:tabs>
                <w:tab w:val="left" w:pos="0"/>
              </w:tabs>
              <w:spacing w:before="40" w:after="40" w:line="240" w:lineRule="exact"/>
              <w:jc w:val="center"/>
              <w:rPr>
                <w:rFonts w:ascii="Times New Roman" w:hAnsi="Times New Roman" w:eastAsia="黑体"/>
                <w:kern w:val="0"/>
                <w:szCs w:val="21"/>
                <w:lang w:val="en-US"/>
              </w:rPr>
            </w:pPr>
            <w:r>
              <w:rPr>
                <w:rFonts w:ascii="Times New Roman" w:hAnsi="Times New Roman" w:eastAsia="黑体"/>
                <w:kern w:val="0"/>
                <w:szCs w:val="21"/>
                <w:lang w:val="en-US"/>
              </w:rPr>
              <w:t>数量</w:t>
            </w:r>
          </w:p>
        </w:tc>
        <w:tc>
          <w:tcPr>
            <w:tcW w:w="1558" w:type="dxa"/>
            <w:vAlign w:val="center"/>
          </w:tcPr>
          <w:p>
            <w:pPr>
              <w:tabs>
                <w:tab w:val="left" w:pos="0"/>
              </w:tabs>
              <w:spacing w:before="40" w:after="40" w:line="240" w:lineRule="exact"/>
              <w:jc w:val="center"/>
              <w:rPr>
                <w:rFonts w:ascii="Times New Roman" w:hAnsi="Times New Roman" w:eastAsia="黑体"/>
                <w:kern w:val="0"/>
                <w:szCs w:val="21"/>
                <w:lang w:val="en-US"/>
              </w:rPr>
            </w:pPr>
            <w:r>
              <w:rPr>
                <w:rFonts w:ascii="Times New Roman" w:hAnsi="Times New Roman" w:eastAsia="黑体"/>
                <w:kern w:val="0"/>
                <w:szCs w:val="21"/>
                <w:lang w:val="en-US"/>
              </w:rPr>
              <w:t>招标文件技术规范、要求</w:t>
            </w:r>
          </w:p>
        </w:tc>
        <w:tc>
          <w:tcPr>
            <w:tcW w:w="1712" w:type="dxa"/>
            <w:vAlign w:val="center"/>
          </w:tcPr>
          <w:p>
            <w:pPr>
              <w:tabs>
                <w:tab w:val="left" w:pos="0"/>
              </w:tabs>
              <w:spacing w:before="40" w:after="40" w:line="240" w:lineRule="exact"/>
              <w:jc w:val="center"/>
              <w:rPr>
                <w:rFonts w:ascii="Times New Roman" w:hAnsi="Times New Roman" w:eastAsia="黑体"/>
                <w:kern w:val="0"/>
                <w:szCs w:val="21"/>
                <w:lang w:val="en-US"/>
              </w:rPr>
            </w:pPr>
            <w:r>
              <w:rPr>
                <w:rFonts w:ascii="Times New Roman" w:hAnsi="Times New Roman" w:eastAsia="黑体"/>
                <w:kern w:val="0"/>
                <w:szCs w:val="21"/>
                <w:lang w:val="en-US"/>
              </w:rPr>
              <w:t>投标文件</w:t>
            </w:r>
          </w:p>
          <w:p>
            <w:pPr>
              <w:tabs>
                <w:tab w:val="left" w:pos="0"/>
              </w:tabs>
              <w:spacing w:before="40" w:after="40" w:line="240" w:lineRule="exact"/>
              <w:jc w:val="center"/>
              <w:rPr>
                <w:rFonts w:ascii="Times New Roman" w:hAnsi="Times New Roman" w:eastAsia="黑体"/>
                <w:kern w:val="0"/>
                <w:szCs w:val="21"/>
                <w:lang w:val="en-US"/>
              </w:rPr>
            </w:pPr>
            <w:r>
              <w:rPr>
                <w:rFonts w:ascii="Times New Roman" w:hAnsi="Times New Roman" w:eastAsia="黑体"/>
                <w:kern w:val="0"/>
                <w:szCs w:val="21"/>
                <w:lang w:val="en-US"/>
              </w:rPr>
              <w:t>应答</w:t>
            </w:r>
          </w:p>
        </w:tc>
        <w:tc>
          <w:tcPr>
            <w:tcW w:w="953" w:type="dxa"/>
            <w:vAlign w:val="center"/>
          </w:tcPr>
          <w:p>
            <w:pPr>
              <w:tabs>
                <w:tab w:val="left" w:pos="0"/>
              </w:tabs>
              <w:spacing w:before="40" w:after="40" w:line="240" w:lineRule="exact"/>
              <w:jc w:val="center"/>
              <w:rPr>
                <w:rFonts w:ascii="Times New Roman" w:hAnsi="Times New Roman" w:eastAsia="黑体"/>
                <w:kern w:val="0"/>
                <w:szCs w:val="21"/>
                <w:lang w:val="en-US"/>
              </w:rPr>
            </w:pPr>
            <w:r>
              <w:rPr>
                <w:rFonts w:ascii="Times New Roman" w:hAnsi="Times New Roman" w:eastAsia="黑体"/>
                <w:kern w:val="0"/>
                <w:szCs w:val="21"/>
                <w:lang w:val="en-US"/>
              </w:rPr>
              <w:t>偏离</w:t>
            </w:r>
          </w:p>
        </w:tc>
        <w:tc>
          <w:tcPr>
            <w:tcW w:w="1140" w:type="dxa"/>
            <w:vAlign w:val="center"/>
          </w:tcPr>
          <w:p>
            <w:pPr>
              <w:tabs>
                <w:tab w:val="left" w:pos="0"/>
              </w:tabs>
              <w:spacing w:before="40" w:after="40" w:line="240" w:lineRule="exact"/>
              <w:jc w:val="center"/>
              <w:rPr>
                <w:rFonts w:ascii="Times New Roman" w:hAnsi="Times New Roman" w:eastAsia="黑体"/>
                <w:kern w:val="0"/>
                <w:szCs w:val="21"/>
                <w:lang w:val="en-US"/>
              </w:rPr>
            </w:pPr>
            <w:r>
              <w:rPr>
                <w:rFonts w:ascii="Times New Roman" w:hAnsi="Times New Roman" w:eastAsia="黑体"/>
                <w:kern w:val="0"/>
                <w:szCs w:val="21"/>
                <w:lang w:val="en-U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993" w:type="dxa"/>
            <w:vAlign w:val="center"/>
          </w:tcPr>
          <w:p>
            <w:pPr>
              <w:tabs>
                <w:tab w:val="left" w:pos="0"/>
              </w:tabs>
              <w:snapToGrid w:val="0"/>
              <w:jc w:val="center"/>
              <w:rPr>
                <w:rFonts w:ascii="Times New Roman" w:hAnsi="Times New Roman" w:eastAsia="宋体"/>
                <w:szCs w:val="21"/>
                <w:lang w:val="en-US"/>
              </w:rPr>
            </w:pPr>
            <w:r>
              <w:rPr>
                <w:rFonts w:ascii="Times New Roman" w:hAnsi="Times New Roman" w:eastAsia="Times New Roman"/>
                <w:szCs w:val="21"/>
                <w:lang w:val="en-US"/>
              </w:rPr>
              <w:t>1</w:t>
            </w:r>
          </w:p>
        </w:tc>
        <w:tc>
          <w:tcPr>
            <w:tcW w:w="1754" w:type="dxa"/>
            <w:vAlign w:val="center"/>
          </w:tcPr>
          <w:p>
            <w:pPr>
              <w:tabs>
                <w:tab w:val="left" w:pos="0"/>
              </w:tabs>
              <w:snapToGrid w:val="0"/>
              <w:jc w:val="center"/>
              <w:rPr>
                <w:rFonts w:ascii="Times New Roman" w:hAnsi="Times New Roman" w:eastAsia="宋体"/>
                <w:szCs w:val="21"/>
                <w:u w:val="single"/>
                <w:lang w:val="en-US"/>
              </w:rPr>
            </w:pPr>
          </w:p>
        </w:tc>
        <w:tc>
          <w:tcPr>
            <w:tcW w:w="815" w:type="dxa"/>
            <w:vAlign w:val="center"/>
          </w:tcPr>
          <w:p>
            <w:pPr>
              <w:tabs>
                <w:tab w:val="left" w:pos="0"/>
              </w:tabs>
              <w:snapToGrid w:val="0"/>
              <w:jc w:val="center"/>
              <w:rPr>
                <w:rFonts w:ascii="Times New Roman" w:hAnsi="Times New Roman" w:eastAsia="宋体"/>
                <w:szCs w:val="21"/>
                <w:u w:val="single"/>
                <w:lang w:val="en-US"/>
              </w:rPr>
            </w:pPr>
          </w:p>
        </w:tc>
        <w:tc>
          <w:tcPr>
            <w:tcW w:w="1558" w:type="dxa"/>
            <w:vAlign w:val="center"/>
          </w:tcPr>
          <w:p>
            <w:pPr>
              <w:tabs>
                <w:tab w:val="left" w:pos="0"/>
              </w:tabs>
              <w:snapToGrid w:val="0"/>
              <w:jc w:val="center"/>
              <w:rPr>
                <w:rFonts w:ascii="Times New Roman" w:hAnsi="Times New Roman" w:eastAsia="宋体"/>
                <w:szCs w:val="21"/>
                <w:u w:val="single"/>
                <w:lang w:val="en-US"/>
              </w:rPr>
            </w:pPr>
          </w:p>
        </w:tc>
        <w:tc>
          <w:tcPr>
            <w:tcW w:w="1712" w:type="dxa"/>
            <w:vAlign w:val="center"/>
          </w:tcPr>
          <w:p>
            <w:pPr>
              <w:tabs>
                <w:tab w:val="left" w:pos="0"/>
              </w:tabs>
              <w:snapToGrid w:val="0"/>
              <w:jc w:val="center"/>
              <w:rPr>
                <w:rFonts w:ascii="Times New Roman" w:hAnsi="Times New Roman" w:eastAsia="宋体"/>
                <w:szCs w:val="21"/>
                <w:u w:val="single"/>
                <w:lang w:val="en-US"/>
              </w:rPr>
            </w:pPr>
          </w:p>
        </w:tc>
        <w:tc>
          <w:tcPr>
            <w:tcW w:w="953" w:type="dxa"/>
            <w:vAlign w:val="center"/>
          </w:tcPr>
          <w:p>
            <w:pPr>
              <w:tabs>
                <w:tab w:val="left" w:pos="0"/>
              </w:tabs>
              <w:snapToGrid w:val="0"/>
              <w:jc w:val="center"/>
              <w:rPr>
                <w:rFonts w:ascii="Times New Roman" w:hAnsi="Times New Roman" w:eastAsia="宋体"/>
                <w:szCs w:val="21"/>
                <w:u w:val="single"/>
                <w:lang w:val="en-US"/>
              </w:rPr>
            </w:pPr>
          </w:p>
        </w:tc>
        <w:tc>
          <w:tcPr>
            <w:tcW w:w="1140" w:type="dxa"/>
            <w:vAlign w:val="center"/>
          </w:tcPr>
          <w:p>
            <w:pPr>
              <w:tabs>
                <w:tab w:val="left" w:pos="0"/>
              </w:tabs>
              <w:snapToGrid w:val="0"/>
              <w:jc w:val="center"/>
              <w:rPr>
                <w:rFonts w:ascii="Times New Roman" w:hAnsi="Times New Roman" w:eastAsia="宋体"/>
                <w:szCs w:val="21"/>
                <w:u w:val="singl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993" w:type="dxa"/>
            <w:vAlign w:val="center"/>
          </w:tcPr>
          <w:p>
            <w:pPr>
              <w:tabs>
                <w:tab w:val="left" w:pos="0"/>
              </w:tabs>
              <w:snapToGrid w:val="0"/>
              <w:jc w:val="center"/>
              <w:rPr>
                <w:rFonts w:ascii="Times New Roman" w:hAnsi="Times New Roman" w:eastAsia="宋体"/>
                <w:szCs w:val="21"/>
                <w:lang w:val="en-US"/>
              </w:rPr>
            </w:pPr>
            <w:r>
              <w:rPr>
                <w:rFonts w:ascii="Times New Roman" w:hAnsi="Times New Roman" w:eastAsia="Times New Roman"/>
                <w:szCs w:val="21"/>
                <w:lang w:val="en-US"/>
              </w:rPr>
              <w:t>2</w:t>
            </w:r>
          </w:p>
        </w:tc>
        <w:tc>
          <w:tcPr>
            <w:tcW w:w="1754" w:type="dxa"/>
            <w:vAlign w:val="center"/>
          </w:tcPr>
          <w:p>
            <w:pPr>
              <w:tabs>
                <w:tab w:val="left" w:pos="0"/>
              </w:tabs>
              <w:snapToGrid w:val="0"/>
              <w:jc w:val="center"/>
              <w:rPr>
                <w:rFonts w:ascii="Times New Roman" w:hAnsi="Times New Roman" w:eastAsia="宋体"/>
                <w:szCs w:val="21"/>
                <w:u w:val="single"/>
                <w:lang w:val="en-US"/>
              </w:rPr>
            </w:pPr>
          </w:p>
        </w:tc>
        <w:tc>
          <w:tcPr>
            <w:tcW w:w="815" w:type="dxa"/>
            <w:vAlign w:val="center"/>
          </w:tcPr>
          <w:p>
            <w:pPr>
              <w:tabs>
                <w:tab w:val="left" w:pos="0"/>
              </w:tabs>
              <w:snapToGrid w:val="0"/>
              <w:jc w:val="center"/>
              <w:rPr>
                <w:rFonts w:ascii="Times New Roman" w:hAnsi="Times New Roman" w:eastAsia="宋体"/>
                <w:szCs w:val="21"/>
                <w:u w:val="single"/>
                <w:lang w:val="en-US"/>
              </w:rPr>
            </w:pPr>
          </w:p>
        </w:tc>
        <w:tc>
          <w:tcPr>
            <w:tcW w:w="1558" w:type="dxa"/>
            <w:vAlign w:val="center"/>
          </w:tcPr>
          <w:p>
            <w:pPr>
              <w:tabs>
                <w:tab w:val="left" w:pos="0"/>
              </w:tabs>
              <w:snapToGrid w:val="0"/>
              <w:jc w:val="center"/>
              <w:rPr>
                <w:rFonts w:ascii="Times New Roman" w:hAnsi="Times New Roman" w:eastAsia="宋体"/>
                <w:szCs w:val="21"/>
                <w:u w:val="single"/>
                <w:lang w:val="en-US"/>
              </w:rPr>
            </w:pPr>
          </w:p>
        </w:tc>
        <w:tc>
          <w:tcPr>
            <w:tcW w:w="1712" w:type="dxa"/>
            <w:vAlign w:val="center"/>
          </w:tcPr>
          <w:p>
            <w:pPr>
              <w:tabs>
                <w:tab w:val="left" w:pos="0"/>
              </w:tabs>
              <w:snapToGrid w:val="0"/>
              <w:jc w:val="center"/>
              <w:rPr>
                <w:rFonts w:ascii="Times New Roman" w:hAnsi="Times New Roman" w:eastAsia="宋体"/>
                <w:szCs w:val="21"/>
                <w:u w:val="single"/>
                <w:lang w:val="en-US"/>
              </w:rPr>
            </w:pPr>
          </w:p>
        </w:tc>
        <w:tc>
          <w:tcPr>
            <w:tcW w:w="953" w:type="dxa"/>
            <w:vAlign w:val="center"/>
          </w:tcPr>
          <w:p>
            <w:pPr>
              <w:tabs>
                <w:tab w:val="left" w:pos="0"/>
              </w:tabs>
              <w:snapToGrid w:val="0"/>
              <w:jc w:val="center"/>
              <w:rPr>
                <w:rFonts w:ascii="Times New Roman" w:hAnsi="Times New Roman" w:eastAsia="宋体"/>
                <w:szCs w:val="21"/>
                <w:u w:val="single"/>
                <w:lang w:val="en-US"/>
              </w:rPr>
            </w:pPr>
          </w:p>
        </w:tc>
        <w:tc>
          <w:tcPr>
            <w:tcW w:w="1140" w:type="dxa"/>
            <w:vAlign w:val="center"/>
          </w:tcPr>
          <w:p>
            <w:pPr>
              <w:tabs>
                <w:tab w:val="left" w:pos="0"/>
              </w:tabs>
              <w:snapToGrid w:val="0"/>
              <w:jc w:val="center"/>
              <w:rPr>
                <w:rFonts w:ascii="Times New Roman" w:hAnsi="Times New Roman" w:eastAsia="宋体"/>
                <w:szCs w:val="21"/>
                <w:u w:val="singl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993" w:type="dxa"/>
            <w:vAlign w:val="center"/>
          </w:tcPr>
          <w:p>
            <w:pPr>
              <w:tabs>
                <w:tab w:val="left" w:pos="0"/>
              </w:tabs>
              <w:snapToGrid w:val="0"/>
              <w:jc w:val="center"/>
              <w:rPr>
                <w:rFonts w:ascii="Times New Roman" w:hAnsi="Times New Roman" w:eastAsia="宋体"/>
                <w:szCs w:val="21"/>
                <w:lang w:val="en-US"/>
              </w:rPr>
            </w:pPr>
            <w:r>
              <w:rPr>
                <w:rFonts w:ascii="Times New Roman" w:hAnsi="Times New Roman" w:eastAsia="宋体"/>
                <w:szCs w:val="21"/>
                <w:lang w:val="en-US"/>
              </w:rPr>
              <w:t>……</w:t>
            </w:r>
          </w:p>
        </w:tc>
        <w:tc>
          <w:tcPr>
            <w:tcW w:w="1754" w:type="dxa"/>
            <w:vAlign w:val="center"/>
          </w:tcPr>
          <w:p>
            <w:pPr>
              <w:tabs>
                <w:tab w:val="left" w:pos="0"/>
              </w:tabs>
              <w:snapToGrid w:val="0"/>
              <w:jc w:val="center"/>
              <w:rPr>
                <w:rFonts w:ascii="Times New Roman" w:hAnsi="Times New Roman" w:eastAsia="宋体"/>
                <w:szCs w:val="21"/>
                <w:u w:val="single"/>
                <w:lang w:val="en-US"/>
              </w:rPr>
            </w:pPr>
          </w:p>
        </w:tc>
        <w:tc>
          <w:tcPr>
            <w:tcW w:w="815" w:type="dxa"/>
            <w:vAlign w:val="center"/>
          </w:tcPr>
          <w:p>
            <w:pPr>
              <w:tabs>
                <w:tab w:val="left" w:pos="0"/>
              </w:tabs>
              <w:snapToGrid w:val="0"/>
              <w:jc w:val="center"/>
              <w:rPr>
                <w:rFonts w:ascii="Times New Roman" w:hAnsi="Times New Roman" w:eastAsia="宋体"/>
                <w:szCs w:val="21"/>
                <w:u w:val="single"/>
                <w:lang w:val="en-US"/>
              </w:rPr>
            </w:pPr>
          </w:p>
        </w:tc>
        <w:tc>
          <w:tcPr>
            <w:tcW w:w="1558" w:type="dxa"/>
            <w:vAlign w:val="center"/>
          </w:tcPr>
          <w:p>
            <w:pPr>
              <w:tabs>
                <w:tab w:val="left" w:pos="0"/>
              </w:tabs>
              <w:snapToGrid w:val="0"/>
              <w:jc w:val="center"/>
              <w:rPr>
                <w:rFonts w:ascii="Times New Roman" w:hAnsi="Times New Roman" w:eastAsia="宋体"/>
                <w:szCs w:val="21"/>
                <w:u w:val="single"/>
                <w:lang w:val="en-US"/>
              </w:rPr>
            </w:pPr>
          </w:p>
        </w:tc>
        <w:tc>
          <w:tcPr>
            <w:tcW w:w="1712" w:type="dxa"/>
            <w:vAlign w:val="center"/>
          </w:tcPr>
          <w:p>
            <w:pPr>
              <w:tabs>
                <w:tab w:val="left" w:pos="0"/>
              </w:tabs>
              <w:snapToGrid w:val="0"/>
              <w:jc w:val="center"/>
              <w:rPr>
                <w:rFonts w:ascii="Times New Roman" w:hAnsi="Times New Roman" w:eastAsia="宋体"/>
                <w:szCs w:val="21"/>
                <w:u w:val="single"/>
                <w:lang w:val="en-US"/>
              </w:rPr>
            </w:pPr>
          </w:p>
        </w:tc>
        <w:tc>
          <w:tcPr>
            <w:tcW w:w="953" w:type="dxa"/>
            <w:vAlign w:val="center"/>
          </w:tcPr>
          <w:p>
            <w:pPr>
              <w:tabs>
                <w:tab w:val="left" w:pos="0"/>
              </w:tabs>
              <w:snapToGrid w:val="0"/>
              <w:jc w:val="center"/>
              <w:rPr>
                <w:rFonts w:ascii="Times New Roman" w:hAnsi="Times New Roman" w:eastAsia="宋体"/>
                <w:szCs w:val="21"/>
                <w:u w:val="single"/>
                <w:lang w:val="en-US"/>
              </w:rPr>
            </w:pPr>
          </w:p>
        </w:tc>
        <w:tc>
          <w:tcPr>
            <w:tcW w:w="1140" w:type="dxa"/>
            <w:vAlign w:val="center"/>
          </w:tcPr>
          <w:p>
            <w:pPr>
              <w:tabs>
                <w:tab w:val="left" w:pos="0"/>
              </w:tabs>
              <w:snapToGrid w:val="0"/>
              <w:jc w:val="center"/>
              <w:rPr>
                <w:rFonts w:ascii="Times New Roman" w:hAnsi="Times New Roman" w:eastAsia="宋体"/>
                <w:szCs w:val="21"/>
                <w:u w:val="single"/>
                <w:lang w:val="en-US"/>
              </w:rPr>
            </w:pPr>
          </w:p>
        </w:tc>
      </w:tr>
    </w:tbl>
    <w:p>
      <w:pPr>
        <w:rPr>
          <w:rFonts w:ascii="Times New Roman" w:hAnsi="Times New Roman" w:eastAsia="宋体"/>
          <w:lang w:val="en-US"/>
        </w:rPr>
      </w:pPr>
      <w:r>
        <w:rPr>
          <w:rFonts w:ascii="Times New Roman" w:hAnsi="Times New Roman" w:eastAsia="宋体"/>
          <w:lang w:val="en-US"/>
        </w:rPr>
        <w:t>注：</w:t>
      </w:r>
    </w:p>
    <w:p>
      <w:pPr>
        <w:numPr>
          <w:ilvl w:val="0"/>
          <w:numId w:val="94"/>
        </w:numPr>
        <w:rPr>
          <w:rFonts w:ascii="Times New Roman" w:hAnsi="Times New Roman" w:eastAsia="宋体"/>
          <w:color w:val="000000"/>
          <w:lang w:val="en-US"/>
        </w:rPr>
      </w:pPr>
      <w:bookmarkStart w:id="335" w:name="_Toc30490700"/>
      <w:bookmarkStart w:id="336" w:name="_Toc7375"/>
      <w:bookmarkStart w:id="337" w:name="_Toc29659"/>
      <w:bookmarkStart w:id="338" w:name="_Toc628"/>
      <w:bookmarkStart w:id="339" w:name="_Toc24112396"/>
      <w:r>
        <w:rPr>
          <w:rFonts w:ascii="Times New Roman" w:hAnsi="Times New Roman" w:eastAsia="宋体"/>
          <w:color w:val="000000"/>
          <w:lang w:val="en-US"/>
        </w:rPr>
        <w:t>以包为单位分别填报；</w:t>
      </w:r>
    </w:p>
    <w:p>
      <w:pPr>
        <w:numPr>
          <w:ilvl w:val="0"/>
          <w:numId w:val="94"/>
        </w:numPr>
        <w:rPr>
          <w:rFonts w:ascii="Times New Roman" w:hAnsi="Times New Roman" w:eastAsia="宋体"/>
          <w:color w:val="000000"/>
          <w:lang w:val="en-US"/>
        </w:rPr>
      </w:pPr>
      <w:r>
        <w:rPr>
          <w:rFonts w:ascii="Times New Roman" w:hAnsi="Times New Roman" w:eastAsia="宋体"/>
          <w:color w:val="000000"/>
          <w:lang w:val="en-US"/>
        </w:rPr>
        <w:t>投标人所提供的货物</w:t>
      </w:r>
      <w:r>
        <w:rPr>
          <w:rFonts w:ascii="宋体" w:hAnsi="宋体" w:eastAsia="宋体"/>
          <w:color w:val="000000"/>
          <w:lang w:val="en-US"/>
        </w:rPr>
        <w:t>，</w:t>
      </w:r>
      <w:r>
        <w:rPr>
          <w:rFonts w:ascii="Times New Roman" w:hAnsi="Times New Roman" w:eastAsia="宋体"/>
          <w:color w:val="000000"/>
          <w:lang w:val="en-US"/>
        </w:rPr>
        <w:t>应符合招标文件中提出的</w:t>
      </w:r>
      <w:r>
        <w:rPr>
          <w:rFonts w:hint="eastAsia" w:ascii="Times New Roman" w:hAnsi="Times New Roman" w:eastAsia="宋体"/>
          <w:color w:val="000000"/>
          <w:lang w:val="en-US"/>
        </w:rPr>
        <w:t>商务</w:t>
      </w:r>
      <w:r>
        <w:rPr>
          <w:rFonts w:ascii="Times New Roman" w:hAnsi="Times New Roman" w:eastAsia="宋体"/>
          <w:color w:val="000000"/>
          <w:lang w:val="en-US"/>
        </w:rPr>
        <w:t>、技术</w:t>
      </w:r>
      <w:r>
        <w:rPr>
          <w:rFonts w:hint="eastAsia" w:ascii="Times New Roman" w:hAnsi="Times New Roman" w:eastAsia="宋体"/>
          <w:color w:val="000000"/>
          <w:lang w:val="en-US"/>
        </w:rPr>
        <w:t>和服务</w:t>
      </w:r>
      <w:r>
        <w:rPr>
          <w:rFonts w:ascii="Times New Roman" w:hAnsi="Times New Roman" w:eastAsia="宋体"/>
          <w:color w:val="000000"/>
          <w:lang w:val="en-US"/>
        </w:rPr>
        <w:t>要求。</w:t>
      </w:r>
    </w:p>
    <w:p>
      <w:pPr>
        <w:numPr>
          <w:ilvl w:val="0"/>
          <w:numId w:val="94"/>
        </w:numPr>
        <w:rPr>
          <w:rFonts w:ascii="Times New Roman" w:hAnsi="Times New Roman" w:eastAsia="宋体"/>
          <w:color w:val="000000"/>
          <w:lang w:val="en-US"/>
        </w:rPr>
      </w:pPr>
      <w:r>
        <w:rPr>
          <w:rFonts w:hint="eastAsia" w:ascii="Times New Roman" w:hAnsi="Times New Roman" w:eastAsia="宋体"/>
          <w:color w:val="000000"/>
          <w:lang w:val="en-US"/>
        </w:rPr>
        <w:t>“</w:t>
      </w:r>
      <w:r>
        <w:rPr>
          <w:rFonts w:ascii="Times New Roman" w:hAnsi="Times New Roman" w:eastAsia="宋体"/>
          <w:color w:val="000000"/>
          <w:lang w:val="en-US"/>
        </w:rPr>
        <w:t>投标文件应答</w:t>
      </w:r>
      <w:r>
        <w:rPr>
          <w:rFonts w:hint="eastAsia" w:ascii="Times New Roman" w:hAnsi="Times New Roman" w:eastAsia="宋体"/>
          <w:color w:val="000000"/>
          <w:lang w:val="en-US"/>
        </w:rPr>
        <w:t>”</w:t>
      </w:r>
      <w:r>
        <w:rPr>
          <w:rFonts w:ascii="Times New Roman" w:hAnsi="Times New Roman" w:eastAsia="宋体"/>
          <w:color w:val="000000"/>
          <w:lang w:val="en-US"/>
        </w:rPr>
        <w:t>栏应当填写投标具体参数</w:t>
      </w:r>
      <w:r>
        <w:rPr>
          <w:rFonts w:ascii="Times New Roman" w:hAnsi="Times New Roman" w:eastAsia="宋体"/>
          <w:color w:val="000000"/>
          <w:highlight w:val="none"/>
          <w:lang w:val="en-US"/>
        </w:rPr>
        <w:t>；</w:t>
      </w:r>
      <w:r>
        <w:rPr>
          <w:rFonts w:hint="eastAsia" w:ascii="Times New Roman" w:hAnsi="Times New Roman" w:eastAsia="宋体"/>
          <w:b/>
          <w:bCs/>
          <w:color w:val="000000"/>
          <w:highlight w:val="none"/>
          <w:lang w:val="en-US"/>
        </w:rPr>
        <w:t>技术参数中有明确数值要求的，需要在“投标文件应答”一栏中明确标注出具体的技术参数数值；如仅响应满足指标要求或无偏离或正偏离，则该指标视为无效响应。</w:t>
      </w:r>
    </w:p>
    <w:p>
      <w:pPr>
        <w:numPr>
          <w:ilvl w:val="0"/>
          <w:numId w:val="94"/>
        </w:numPr>
        <w:rPr>
          <w:rFonts w:ascii="Times New Roman" w:hAnsi="Times New Roman" w:eastAsia="宋体"/>
          <w:color w:val="000000"/>
          <w:lang w:val="en-US"/>
        </w:rPr>
      </w:pPr>
      <w:r>
        <w:rPr>
          <w:rFonts w:hint="eastAsia" w:ascii="Times New Roman" w:hAnsi="Times New Roman" w:eastAsia="宋体"/>
          <w:color w:val="000000"/>
          <w:lang w:val="en-US"/>
        </w:rPr>
        <w:t>“</w:t>
      </w:r>
      <w:r>
        <w:rPr>
          <w:rFonts w:ascii="Times New Roman" w:hAnsi="Times New Roman" w:eastAsia="宋体"/>
          <w:color w:val="000000"/>
          <w:lang w:val="en-US"/>
        </w:rPr>
        <w:t>偏</w:t>
      </w:r>
      <w:r>
        <w:rPr>
          <w:rFonts w:hint="eastAsia" w:ascii="Times New Roman" w:hAnsi="Times New Roman" w:eastAsia="宋体"/>
          <w:color w:val="000000"/>
          <w:lang w:val="en-US"/>
        </w:rPr>
        <w:t>离”</w:t>
      </w:r>
      <w:r>
        <w:rPr>
          <w:rFonts w:ascii="Times New Roman" w:hAnsi="Times New Roman" w:eastAsia="宋体"/>
          <w:color w:val="000000"/>
          <w:lang w:val="en-US"/>
        </w:rPr>
        <w:t>栏只能填写</w:t>
      </w:r>
      <w:r>
        <w:rPr>
          <w:rFonts w:hint="eastAsia" w:ascii="Times New Roman" w:hAnsi="Times New Roman" w:eastAsia="宋体"/>
          <w:color w:val="000000"/>
          <w:lang w:val="en-US"/>
        </w:rPr>
        <w:t>“</w:t>
      </w:r>
      <w:r>
        <w:rPr>
          <w:rFonts w:ascii="Times New Roman" w:hAnsi="Times New Roman" w:eastAsia="宋体"/>
          <w:color w:val="000000"/>
          <w:lang w:val="en-US"/>
        </w:rPr>
        <w:t>正</w:t>
      </w:r>
      <w:r>
        <w:rPr>
          <w:rFonts w:hint="eastAsia" w:ascii="Times New Roman" w:hAnsi="Times New Roman" w:eastAsia="宋体"/>
          <w:color w:val="000000"/>
          <w:lang w:val="en-US"/>
        </w:rPr>
        <w:t>”</w:t>
      </w:r>
      <w:r>
        <w:rPr>
          <w:rFonts w:ascii="Times New Roman" w:hAnsi="Times New Roman" w:eastAsia="宋体"/>
          <w:color w:val="000000"/>
          <w:lang w:val="en-US"/>
        </w:rPr>
        <w:t>、</w:t>
      </w:r>
      <w:r>
        <w:rPr>
          <w:rFonts w:hint="eastAsia" w:ascii="Times New Roman" w:hAnsi="Times New Roman" w:eastAsia="宋体"/>
          <w:color w:val="000000"/>
          <w:lang w:val="en-US"/>
        </w:rPr>
        <w:t>“</w:t>
      </w:r>
      <w:r>
        <w:rPr>
          <w:rFonts w:ascii="Times New Roman" w:hAnsi="Times New Roman" w:eastAsia="宋体"/>
          <w:color w:val="000000"/>
          <w:lang w:val="en-US"/>
        </w:rPr>
        <w:t>无</w:t>
      </w:r>
      <w:r>
        <w:rPr>
          <w:rFonts w:hint="eastAsia" w:ascii="Times New Roman" w:hAnsi="Times New Roman" w:eastAsia="宋体"/>
          <w:color w:val="000000"/>
          <w:lang w:val="en-US"/>
        </w:rPr>
        <w:t>”</w:t>
      </w:r>
      <w:r>
        <w:rPr>
          <w:rFonts w:ascii="Times New Roman" w:hAnsi="Times New Roman" w:eastAsia="宋体"/>
          <w:color w:val="000000"/>
          <w:lang w:val="en-US"/>
        </w:rPr>
        <w:t>或</w:t>
      </w:r>
      <w:r>
        <w:rPr>
          <w:rFonts w:hint="eastAsia" w:ascii="Times New Roman" w:hAnsi="Times New Roman" w:eastAsia="宋体"/>
          <w:color w:val="000000"/>
          <w:lang w:val="en-US"/>
        </w:rPr>
        <w:t>“</w:t>
      </w:r>
      <w:r>
        <w:rPr>
          <w:rFonts w:ascii="Times New Roman" w:hAnsi="Times New Roman" w:eastAsia="宋体"/>
          <w:color w:val="000000"/>
          <w:lang w:val="en-US"/>
        </w:rPr>
        <w:t>负</w:t>
      </w:r>
      <w:r>
        <w:rPr>
          <w:rFonts w:hint="eastAsia" w:ascii="Times New Roman" w:hAnsi="Times New Roman" w:eastAsia="宋体"/>
          <w:color w:val="000000"/>
          <w:lang w:val="en-US"/>
        </w:rPr>
        <w:t>”</w:t>
      </w:r>
      <w:r>
        <w:rPr>
          <w:rFonts w:ascii="Times New Roman" w:hAnsi="Times New Roman" w:eastAsia="宋体"/>
          <w:color w:val="000000"/>
          <w:lang w:val="en-US"/>
        </w:rPr>
        <w:t>；</w:t>
      </w:r>
      <w:r>
        <w:rPr>
          <w:rFonts w:hint="eastAsia" w:ascii="Times New Roman" w:hAnsi="Times New Roman" w:eastAsia="宋体"/>
          <w:color w:val="000000"/>
          <w:lang w:val="en-US"/>
        </w:rPr>
        <w:t>第五部分“技术要求”中的实质性要求若存在负偏离，投标将被拒绝。</w:t>
      </w:r>
    </w:p>
    <w:p>
      <w:pPr>
        <w:numPr>
          <w:ilvl w:val="0"/>
          <w:numId w:val="94"/>
        </w:numPr>
        <w:rPr>
          <w:rFonts w:ascii="Times New Roman" w:hAnsi="Times New Roman" w:eastAsia="宋体"/>
          <w:color w:val="000000"/>
          <w:lang w:val="en-US"/>
        </w:rPr>
      </w:pPr>
      <w:r>
        <w:rPr>
          <w:rFonts w:ascii="Times New Roman" w:hAnsi="Times New Roman" w:eastAsia="宋体"/>
          <w:color w:val="000000"/>
          <w:lang w:val="en-US"/>
        </w:rPr>
        <w:t>招标文件第五部分要求提供证明材料的</w:t>
      </w:r>
      <w:r>
        <w:rPr>
          <w:rFonts w:ascii="宋体" w:hAnsi="宋体" w:eastAsia="宋体"/>
          <w:color w:val="000000"/>
          <w:lang w:val="en-US"/>
        </w:rPr>
        <w:t>，</w:t>
      </w:r>
      <w:r>
        <w:rPr>
          <w:rFonts w:ascii="Times New Roman" w:hAnsi="Times New Roman" w:eastAsia="宋体"/>
          <w:color w:val="000000"/>
          <w:lang w:val="en-US"/>
        </w:rPr>
        <w:t>按照</w:t>
      </w:r>
      <w:r>
        <w:rPr>
          <w:rFonts w:hint="eastAsia" w:ascii="Times New Roman" w:hAnsi="Times New Roman" w:eastAsia="宋体"/>
          <w:color w:val="000000"/>
          <w:lang w:val="en-US"/>
        </w:rPr>
        <w:t>相关</w:t>
      </w:r>
      <w:r>
        <w:rPr>
          <w:rFonts w:ascii="Times New Roman" w:hAnsi="Times New Roman" w:eastAsia="宋体"/>
          <w:color w:val="000000"/>
          <w:lang w:val="en-US"/>
        </w:rPr>
        <w:t>要求附上</w:t>
      </w:r>
      <w:r>
        <w:rPr>
          <w:rFonts w:hint="eastAsia" w:ascii="Times New Roman" w:hAnsi="Times New Roman" w:eastAsia="宋体"/>
          <w:color w:val="000000"/>
          <w:lang w:val="en-US"/>
        </w:rPr>
        <w:t>检验报告</w:t>
      </w:r>
      <w:r>
        <w:rPr>
          <w:rFonts w:ascii="Times New Roman" w:hAnsi="Times New Roman" w:eastAsia="宋体"/>
          <w:color w:val="000000"/>
          <w:lang w:val="en-US"/>
        </w:rPr>
        <w:t>或</w:t>
      </w:r>
      <w:r>
        <w:rPr>
          <w:rFonts w:hint="eastAsia" w:ascii="Times New Roman" w:hAnsi="Times New Roman" w:eastAsia="宋体"/>
          <w:color w:val="000000"/>
          <w:lang w:val="en-US"/>
        </w:rPr>
        <w:t>其他</w:t>
      </w:r>
      <w:r>
        <w:rPr>
          <w:rFonts w:ascii="Times New Roman" w:hAnsi="Times New Roman" w:eastAsia="宋体"/>
          <w:color w:val="000000"/>
          <w:lang w:val="en-US"/>
        </w:rPr>
        <w:t>证明</w:t>
      </w:r>
      <w:r>
        <w:rPr>
          <w:rFonts w:hint="eastAsia" w:ascii="Times New Roman" w:hAnsi="Times New Roman" w:eastAsia="宋体"/>
          <w:color w:val="000000"/>
          <w:lang w:val="en-US"/>
        </w:rPr>
        <w:t>材料</w:t>
      </w:r>
      <w:r>
        <w:rPr>
          <w:rFonts w:ascii="Times New Roman" w:hAnsi="Times New Roman" w:eastAsia="宋体"/>
          <w:color w:val="000000"/>
          <w:lang w:val="en-US"/>
        </w:rPr>
        <w:t>。招标文件要求提供相关材料的</w:t>
      </w:r>
      <w:r>
        <w:rPr>
          <w:rFonts w:ascii="宋体" w:hAnsi="宋体" w:eastAsia="宋体"/>
          <w:color w:val="000000"/>
          <w:lang w:val="en-US"/>
        </w:rPr>
        <w:t>，</w:t>
      </w:r>
      <w:r>
        <w:rPr>
          <w:rFonts w:ascii="Times New Roman" w:hAnsi="Times New Roman" w:eastAsia="宋体"/>
          <w:color w:val="000000"/>
          <w:lang w:val="en-US"/>
        </w:rPr>
        <w:t>只填写</w:t>
      </w:r>
      <w:r>
        <w:rPr>
          <w:rFonts w:hint="eastAsia" w:ascii="Times New Roman" w:hAnsi="Times New Roman" w:eastAsia="宋体"/>
          <w:color w:val="000000"/>
          <w:lang w:val="en-US"/>
        </w:rPr>
        <w:t>“</w:t>
      </w:r>
      <w:r>
        <w:rPr>
          <w:rFonts w:ascii="Times New Roman" w:hAnsi="Times New Roman" w:eastAsia="宋体"/>
          <w:color w:val="000000"/>
          <w:lang w:val="en-US"/>
        </w:rPr>
        <w:t>满足</w:t>
      </w:r>
      <w:r>
        <w:rPr>
          <w:rFonts w:hint="eastAsia" w:ascii="Times New Roman" w:hAnsi="Times New Roman" w:eastAsia="宋体"/>
          <w:color w:val="000000"/>
          <w:lang w:val="en-US"/>
        </w:rPr>
        <w:t>”</w:t>
      </w:r>
      <w:r>
        <w:rPr>
          <w:rFonts w:ascii="Times New Roman" w:hAnsi="Times New Roman" w:eastAsia="宋体"/>
          <w:color w:val="000000"/>
          <w:lang w:val="en-US"/>
        </w:rPr>
        <w:t>而不能提供相关证明材料的或相关材料未与投标文件装订成册的</w:t>
      </w:r>
      <w:r>
        <w:rPr>
          <w:rFonts w:ascii="宋体" w:hAnsi="宋体" w:eastAsia="宋体"/>
          <w:color w:val="000000"/>
          <w:lang w:val="en-US"/>
        </w:rPr>
        <w:t>，</w:t>
      </w:r>
      <w:r>
        <w:rPr>
          <w:rFonts w:ascii="Times New Roman" w:hAnsi="Times New Roman" w:eastAsia="宋体"/>
          <w:color w:val="000000"/>
          <w:lang w:val="en-US"/>
        </w:rPr>
        <w:t>不作为评审依据。</w:t>
      </w:r>
    </w:p>
    <w:p>
      <w:pPr>
        <w:numPr>
          <w:ilvl w:val="0"/>
          <w:numId w:val="94"/>
        </w:numPr>
        <w:rPr>
          <w:rFonts w:ascii="Times New Roman" w:hAnsi="Times New Roman" w:eastAsia="宋体"/>
          <w:color w:val="000000"/>
        </w:rPr>
      </w:pPr>
      <w:r>
        <w:rPr>
          <w:rFonts w:ascii="Times New Roman" w:hAnsi="Times New Roman" w:eastAsia="宋体"/>
          <w:color w:val="000000"/>
          <w:lang w:val="en-US"/>
        </w:rPr>
        <w:t>除可填报项目外</w:t>
      </w:r>
      <w:r>
        <w:rPr>
          <w:rFonts w:ascii="宋体" w:hAnsi="宋体" w:eastAsia="宋体"/>
          <w:color w:val="000000"/>
          <w:lang w:val="en-US"/>
        </w:rPr>
        <w:t>，</w:t>
      </w:r>
      <w:r>
        <w:rPr>
          <w:rFonts w:ascii="Times New Roman" w:hAnsi="Times New Roman" w:eastAsia="宋体"/>
          <w:color w:val="000000"/>
          <w:lang w:val="en-US"/>
        </w:rPr>
        <w:t>任何实质性修改将被视为非实质性响应投标</w:t>
      </w:r>
      <w:r>
        <w:rPr>
          <w:rFonts w:ascii="宋体" w:hAnsi="宋体" w:eastAsia="宋体"/>
          <w:color w:val="000000"/>
          <w:lang w:val="en-US"/>
        </w:rPr>
        <w:t>，</w:t>
      </w:r>
      <w:r>
        <w:rPr>
          <w:rFonts w:ascii="Times New Roman" w:hAnsi="Times New Roman" w:eastAsia="宋体"/>
          <w:color w:val="000000"/>
          <w:lang w:val="en-US"/>
        </w:rPr>
        <w:t>从而导致该投标被拒绝。</w:t>
      </w:r>
    </w:p>
    <w:p>
      <w:pPr>
        <w:pStyle w:val="3"/>
        <w:spacing w:before="120"/>
        <w:rPr>
          <w:color w:val="auto"/>
        </w:rPr>
      </w:pPr>
      <w:bookmarkStart w:id="340" w:name="_Toc10703"/>
      <w:bookmarkStart w:id="341" w:name="_Toc15437"/>
      <w:bookmarkStart w:id="342" w:name="_Toc21946"/>
      <w:r>
        <w:rPr>
          <w:rFonts w:hint="eastAsia"/>
          <w:color w:val="auto"/>
        </w:rPr>
        <w:t>*投标人服务项目偏离表</w:t>
      </w:r>
      <w:bookmarkEnd w:id="335"/>
      <w:bookmarkEnd w:id="336"/>
      <w:bookmarkEnd w:id="337"/>
      <w:bookmarkEnd w:id="340"/>
      <w:bookmarkEnd w:id="341"/>
      <w:bookmarkEnd w:id="342"/>
    </w:p>
    <w:p>
      <w:pPr>
        <w:tabs>
          <w:tab w:val="left" w:pos="0"/>
        </w:tabs>
        <w:ind w:firstLine="420" w:firstLineChars="200"/>
        <w:rPr>
          <w:rFonts w:ascii="Times New Roman" w:hAnsi="Times New Roman" w:eastAsia="宋体"/>
        </w:rPr>
      </w:pPr>
      <w:r>
        <w:rPr>
          <w:rFonts w:ascii="Times New Roman" w:hAnsi="Times New Roman" w:eastAsia="宋体"/>
        </w:rPr>
        <w:t>项目名称：</w:t>
      </w:r>
    </w:p>
    <w:p>
      <w:pPr>
        <w:tabs>
          <w:tab w:val="left" w:pos="0"/>
        </w:tabs>
        <w:ind w:firstLine="420" w:firstLineChars="200"/>
        <w:rPr>
          <w:rFonts w:ascii="Times New Roman" w:hAnsi="Times New Roman" w:eastAsia="宋体"/>
        </w:rPr>
      </w:pPr>
      <w:r>
        <w:rPr>
          <w:rFonts w:ascii="Times New Roman" w:hAnsi="Times New Roman" w:eastAsia="宋体"/>
        </w:rPr>
        <w:t>项目编号：</w:t>
      </w:r>
    </w:p>
    <w:p>
      <w:pPr>
        <w:tabs>
          <w:tab w:val="left" w:pos="0"/>
        </w:tabs>
        <w:ind w:firstLine="420" w:firstLineChars="200"/>
        <w:rPr>
          <w:rFonts w:ascii="Times New Roman" w:hAnsi="Times New Roman" w:eastAsia="宋体"/>
        </w:rPr>
      </w:pPr>
      <w:r>
        <w:rPr>
          <w:rFonts w:ascii="Times New Roman" w:hAnsi="Times New Roman" w:eastAsia="宋体"/>
        </w:rPr>
        <w:t>投标人名称：</w:t>
      </w:r>
    </w:p>
    <w:p>
      <w:pPr>
        <w:tabs>
          <w:tab w:val="left" w:pos="0"/>
        </w:tabs>
        <w:ind w:firstLine="420" w:firstLineChars="200"/>
        <w:rPr>
          <w:rFonts w:ascii="Times New Roman" w:hAnsi="Times New Roman" w:eastAsia="宋体"/>
        </w:rPr>
      </w:pPr>
      <w:r>
        <w:rPr>
          <w:rFonts w:ascii="Times New Roman" w:hAnsi="Times New Roman" w:eastAsia="宋体"/>
        </w:rPr>
        <w:t>包号：（以包为单位分别填报）</w:t>
      </w:r>
    </w:p>
    <w:p>
      <w:pPr>
        <w:tabs>
          <w:tab w:val="left" w:pos="0"/>
        </w:tabs>
        <w:rPr>
          <w:rFonts w:ascii="Times New Roman" w:hAnsi="Times New Roman" w:eastAsia="宋体"/>
        </w:rPr>
      </w:pPr>
    </w:p>
    <w:p>
      <w:pPr>
        <w:tabs>
          <w:tab w:val="left" w:pos="0"/>
        </w:tabs>
        <w:rPr>
          <w:rFonts w:ascii="Times New Roman" w:hAnsi="Times New Roman" w:eastAsia="宋体"/>
        </w:rPr>
      </w:pPr>
      <w:r>
        <w:rPr>
          <w:rFonts w:ascii="Times New Roman" w:hAnsi="Times New Roman" w:eastAsia="宋体"/>
        </w:rPr>
        <w:t>（请按下表格式</w:t>
      </w:r>
      <w:r>
        <w:rPr>
          <w:rFonts w:ascii="宋体" w:hAnsi="宋体" w:eastAsia="宋体"/>
        </w:rPr>
        <w:t>，</w:t>
      </w:r>
      <w:r>
        <w:rPr>
          <w:rFonts w:ascii="Times New Roman" w:hAnsi="Times New Roman" w:eastAsia="宋体"/>
        </w:rPr>
        <w:t>依照第五部分中</w:t>
      </w:r>
      <w:r>
        <w:rPr>
          <w:rFonts w:hint="eastAsia" w:ascii="Times New Roman" w:hAnsi="Times New Roman" w:eastAsia="宋体"/>
        </w:rPr>
        <w:t>“</w:t>
      </w:r>
      <w:r>
        <w:rPr>
          <w:rFonts w:ascii="Times New Roman" w:hAnsi="Times New Roman" w:eastAsia="宋体"/>
        </w:rPr>
        <w:t>服务要求</w:t>
      </w:r>
      <w:r>
        <w:rPr>
          <w:rFonts w:hint="eastAsia" w:ascii="Times New Roman" w:hAnsi="Times New Roman" w:eastAsia="宋体"/>
        </w:rPr>
        <w:t>”</w:t>
      </w:r>
      <w:r>
        <w:rPr>
          <w:rFonts w:ascii="Times New Roman" w:hAnsi="Times New Roman" w:eastAsia="宋体"/>
        </w:rPr>
        <w:t>对应内容逐项响应；可横排。）</w:t>
      </w:r>
    </w:p>
    <w:tbl>
      <w:tblPr>
        <w:tblStyle w:val="81"/>
        <w:tblW w:w="88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21"/>
        <w:gridCol w:w="1559"/>
        <w:gridCol w:w="1384"/>
        <w:gridCol w:w="1600"/>
        <w:gridCol w:w="1020"/>
        <w:gridCol w:w="1152"/>
        <w:gridCol w:w="14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21" w:type="dxa"/>
            <w:vAlign w:val="center"/>
          </w:tcPr>
          <w:p>
            <w:pPr>
              <w:tabs>
                <w:tab w:val="left" w:pos="0"/>
              </w:tabs>
              <w:spacing w:before="40" w:after="40" w:line="240" w:lineRule="exact"/>
              <w:jc w:val="center"/>
              <w:rPr>
                <w:rFonts w:ascii="Times New Roman" w:hAnsi="Times New Roman" w:eastAsia="宋体"/>
                <w:b/>
                <w:kern w:val="0"/>
                <w:szCs w:val="21"/>
                <w:lang w:val="en-US"/>
              </w:rPr>
            </w:pPr>
            <w:r>
              <w:rPr>
                <w:rFonts w:ascii="Times New Roman" w:hAnsi="Times New Roman" w:eastAsia="宋体"/>
                <w:b/>
                <w:kern w:val="0"/>
                <w:szCs w:val="21"/>
                <w:lang w:val="en-US"/>
              </w:rPr>
              <w:t>序号</w:t>
            </w:r>
          </w:p>
        </w:tc>
        <w:tc>
          <w:tcPr>
            <w:tcW w:w="1559" w:type="dxa"/>
            <w:vAlign w:val="center"/>
          </w:tcPr>
          <w:p>
            <w:pPr>
              <w:tabs>
                <w:tab w:val="left" w:pos="0"/>
              </w:tabs>
              <w:spacing w:before="40" w:after="40" w:line="240" w:lineRule="exact"/>
              <w:jc w:val="center"/>
              <w:rPr>
                <w:rFonts w:ascii="Times New Roman" w:hAnsi="Times New Roman" w:eastAsia="宋体"/>
                <w:b/>
                <w:kern w:val="0"/>
                <w:szCs w:val="21"/>
                <w:lang w:val="en-US"/>
              </w:rPr>
            </w:pPr>
            <w:r>
              <w:rPr>
                <w:rFonts w:ascii="Times New Roman" w:hAnsi="Times New Roman" w:eastAsia="宋体"/>
                <w:b/>
                <w:kern w:val="0"/>
                <w:szCs w:val="21"/>
                <w:lang w:val="en-US"/>
              </w:rPr>
              <w:t>招标文件条目号</w:t>
            </w:r>
          </w:p>
        </w:tc>
        <w:tc>
          <w:tcPr>
            <w:tcW w:w="1384" w:type="dxa"/>
            <w:vAlign w:val="center"/>
          </w:tcPr>
          <w:p>
            <w:pPr>
              <w:tabs>
                <w:tab w:val="left" w:pos="0"/>
              </w:tabs>
              <w:spacing w:before="40" w:after="40" w:line="240" w:lineRule="exact"/>
              <w:jc w:val="center"/>
              <w:rPr>
                <w:rFonts w:ascii="Times New Roman" w:hAnsi="Times New Roman" w:eastAsia="宋体"/>
                <w:b/>
                <w:kern w:val="0"/>
                <w:szCs w:val="21"/>
                <w:lang w:val="en-US"/>
              </w:rPr>
            </w:pPr>
            <w:r>
              <w:rPr>
                <w:rFonts w:ascii="Times New Roman" w:hAnsi="Times New Roman" w:eastAsia="宋体"/>
                <w:b/>
                <w:kern w:val="0"/>
                <w:szCs w:val="21"/>
                <w:lang w:val="en-US"/>
              </w:rPr>
              <w:t>招标文件要求</w:t>
            </w:r>
          </w:p>
        </w:tc>
        <w:tc>
          <w:tcPr>
            <w:tcW w:w="1600" w:type="dxa"/>
            <w:vAlign w:val="center"/>
          </w:tcPr>
          <w:p>
            <w:pPr>
              <w:tabs>
                <w:tab w:val="left" w:pos="0"/>
              </w:tabs>
              <w:spacing w:before="40" w:after="40" w:line="240" w:lineRule="exact"/>
              <w:jc w:val="center"/>
              <w:rPr>
                <w:rFonts w:ascii="Times New Roman" w:hAnsi="Times New Roman" w:eastAsia="宋体"/>
                <w:b/>
                <w:kern w:val="0"/>
                <w:szCs w:val="21"/>
                <w:lang w:val="en-US"/>
              </w:rPr>
            </w:pPr>
            <w:r>
              <w:rPr>
                <w:rFonts w:ascii="Times New Roman" w:hAnsi="Times New Roman" w:eastAsia="宋体"/>
                <w:b/>
                <w:kern w:val="0"/>
                <w:szCs w:val="21"/>
                <w:lang w:val="en-US"/>
              </w:rPr>
              <w:t>投标文件的应答</w:t>
            </w:r>
          </w:p>
        </w:tc>
        <w:tc>
          <w:tcPr>
            <w:tcW w:w="1020" w:type="dxa"/>
            <w:vAlign w:val="center"/>
          </w:tcPr>
          <w:p>
            <w:pPr>
              <w:tabs>
                <w:tab w:val="left" w:pos="0"/>
              </w:tabs>
              <w:spacing w:before="40" w:after="40" w:line="240" w:lineRule="exact"/>
              <w:jc w:val="center"/>
              <w:rPr>
                <w:rFonts w:ascii="Times New Roman" w:hAnsi="Times New Roman" w:eastAsia="宋体"/>
                <w:b/>
                <w:kern w:val="0"/>
                <w:szCs w:val="21"/>
                <w:lang w:val="en-US"/>
              </w:rPr>
            </w:pPr>
            <w:r>
              <w:rPr>
                <w:rFonts w:ascii="Times New Roman" w:hAnsi="Times New Roman" w:eastAsia="宋体"/>
                <w:b/>
                <w:kern w:val="0"/>
                <w:szCs w:val="21"/>
                <w:lang w:val="en-US"/>
              </w:rPr>
              <w:t>偏离情况</w:t>
            </w:r>
          </w:p>
        </w:tc>
        <w:tc>
          <w:tcPr>
            <w:tcW w:w="1152" w:type="dxa"/>
            <w:vAlign w:val="center"/>
          </w:tcPr>
          <w:p>
            <w:pPr>
              <w:tabs>
                <w:tab w:val="left" w:pos="0"/>
              </w:tabs>
              <w:spacing w:before="40" w:after="40" w:line="240" w:lineRule="exact"/>
              <w:jc w:val="center"/>
              <w:rPr>
                <w:rFonts w:ascii="Times New Roman" w:hAnsi="Times New Roman" w:eastAsia="宋体"/>
                <w:b/>
                <w:kern w:val="0"/>
                <w:szCs w:val="21"/>
                <w:lang w:val="en-US"/>
              </w:rPr>
            </w:pPr>
            <w:r>
              <w:rPr>
                <w:rFonts w:ascii="Times New Roman" w:hAnsi="Times New Roman" w:eastAsia="宋体"/>
                <w:b/>
                <w:kern w:val="0"/>
                <w:szCs w:val="21"/>
                <w:lang w:val="en-US"/>
              </w:rPr>
              <w:t>说明</w:t>
            </w:r>
          </w:p>
        </w:tc>
        <w:tc>
          <w:tcPr>
            <w:tcW w:w="1432" w:type="dxa"/>
            <w:vAlign w:val="center"/>
          </w:tcPr>
          <w:p>
            <w:pPr>
              <w:tabs>
                <w:tab w:val="left" w:pos="0"/>
              </w:tabs>
              <w:spacing w:before="40" w:after="40" w:line="240" w:lineRule="exact"/>
              <w:jc w:val="center"/>
              <w:rPr>
                <w:rFonts w:ascii="Times New Roman" w:hAnsi="Times New Roman" w:eastAsia="宋体"/>
                <w:b/>
                <w:kern w:val="0"/>
                <w:szCs w:val="21"/>
                <w:lang w:val="en-US"/>
              </w:rPr>
            </w:pPr>
            <w:r>
              <w:rPr>
                <w:rFonts w:ascii="Times New Roman" w:hAnsi="Times New Roman" w:eastAsia="宋体"/>
                <w:b/>
                <w:kern w:val="0"/>
                <w:szCs w:val="21"/>
                <w:lang w:val="en-US"/>
              </w:rPr>
              <w:t>备注（证明材料所在页）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21" w:type="dxa"/>
            <w:vAlign w:val="center"/>
          </w:tcPr>
          <w:p>
            <w:pPr>
              <w:tabs>
                <w:tab w:val="left" w:pos="0"/>
              </w:tabs>
              <w:snapToGrid w:val="0"/>
              <w:jc w:val="center"/>
              <w:rPr>
                <w:rFonts w:ascii="Times New Roman" w:hAnsi="Times New Roman" w:eastAsia="宋体"/>
                <w:lang w:val="en-US"/>
              </w:rPr>
            </w:pPr>
            <w:r>
              <w:rPr>
                <w:rFonts w:ascii="Times New Roman" w:hAnsi="Times New Roman" w:eastAsia="Times New Roman"/>
                <w:lang w:val="en-US"/>
              </w:rPr>
              <w:t>1</w:t>
            </w:r>
          </w:p>
        </w:tc>
        <w:tc>
          <w:tcPr>
            <w:tcW w:w="1559" w:type="dxa"/>
            <w:vAlign w:val="center"/>
          </w:tcPr>
          <w:p>
            <w:pPr>
              <w:tabs>
                <w:tab w:val="left" w:pos="0"/>
              </w:tabs>
              <w:snapToGrid w:val="0"/>
              <w:jc w:val="center"/>
              <w:rPr>
                <w:rFonts w:ascii="Times New Roman" w:hAnsi="Times New Roman" w:eastAsia="宋体"/>
                <w:u w:val="single"/>
                <w:lang w:val="en-US"/>
              </w:rPr>
            </w:pPr>
          </w:p>
        </w:tc>
        <w:tc>
          <w:tcPr>
            <w:tcW w:w="1384" w:type="dxa"/>
            <w:vAlign w:val="center"/>
          </w:tcPr>
          <w:p>
            <w:pPr>
              <w:tabs>
                <w:tab w:val="left" w:pos="0"/>
              </w:tabs>
              <w:snapToGrid w:val="0"/>
              <w:jc w:val="center"/>
              <w:rPr>
                <w:rFonts w:ascii="Times New Roman" w:hAnsi="Times New Roman" w:eastAsia="宋体"/>
                <w:u w:val="single"/>
                <w:lang w:val="en-US"/>
              </w:rPr>
            </w:pPr>
          </w:p>
        </w:tc>
        <w:tc>
          <w:tcPr>
            <w:tcW w:w="1600" w:type="dxa"/>
            <w:vAlign w:val="center"/>
          </w:tcPr>
          <w:p>
            <w:pPr>
              <w:tabs>
                <w:tab w:val="left" w:pos="0"/>
              </w:tabs>
              <w:snapToGrid w:val="0"/>
              <w:jc w:val="center"/>
              <w:rPr>
                <w:rFonts w:ascii="Times New Roman" w:hAnsi="Times New Roman" w:eastAsia="宋体"/>
                <w:u w:val="single"/>
                <w:lang w:val="en-US"/>
              </w:rPr>
            </w:pPr>
          </w:p>
        </w:tc>
        <w:tc>
          <w:tcPr>
            <w:tcW w:w="1020" w:type="dxa"/>
            <w:vAlign w:val="center"/>
          </w:tcPr>
          <w:p>
            <w:pPr>
              <w:tabs>
                <w:tab w:val="left" w:pos="0"/>
              </w:tabs>
              <w:snapToGrid w:val="0"/>
              <w:jc w:val="center"/>
              <w:rPr>
                <w:rFonts w:ascii="Times New Roman" w:hAnsi="Times New Roman" w:eastAsia="宋体"/>
                <w:u w:val="single"/>
                <w:lang w:val="en-US"/>
              </w:rPr>
            </w:pPr>
          </w:p>
        </w:tc>
        <w:tc>
          <w:tcPr>
            <w:tcW w:w="1152" w:type="dxa"/>
            <w:vAlign w:val="center"/>
          </w:tcPr>
          <w:p>
            <w:pPr>
              <w:tabs>
                <w:tab w:val="left" w:pos="0"/>
              </w:tabs>
              <w:snapToGrid w:val="0"/>
              <w:jc w:val="center"/>
              <w:rPr>
                <w:rFonts w:ascii="Times New Roman" w:hAnsi="Times New Roman" w:eastAsia="宋体"/>
                <w:u w:val="single"/>
                <w:lang w:val="en-US"/>
              </w:rPr>
            </w:pPr>
          </w:p>
        </w:tc>
        <w:tc>
          <w:tcPr>
            <w:tcW w:w="1432" w:type="dxa"/>
            <w:vAlign w:val="center"/>
          </w:tcPr>
          <w:p>
            <w:pPr>
              <w:tabs>
                <w:tab w:val="left" w:pos="0"/>
              </w:tabs>
              <w:snapToGrid w:val="0"/>
              <w:jc w:val="center"/>
              <w:rPr>
                <w:rFonts w:ascii="Times New Roman" w:hAnsi="Times New Roman" w:eastAsia="宋体"/>
                <w:u w:val="singl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21" w:type="dxa"/>
            <w:vAlign w:val="center"/>
          </w:tcPr>
          <w:p>
            <w:pPr>
              <w:tabs>
                <w:tab w:val="left" w:pos="0"/>
              </w:tabs>
              <w:snapToGrid w:val="0"/>
              <w:jc w:val="center"/>
              <w:rPr>
                <w:rFonts w:ascii="Times New Roman" w:hAnsi="Times New Roman" w:eastAsia="宋体"/>
                <w:lang w:val="en-US"/>
              </w:rPr>
            </w:pPr>
            <w:r>
              <w:rPr>
                <w:rFonts w:ascii="Times New Roman" w:hAnsi="Times New Roman" w:eastAsia="Times New Roman"/>
                <w:lang w:val="en-US"/>
              </w:rPr>
              <w:t>2</w:t>
            </w:r>
          </w:p>
        </w:tc>
        <w:tc>
          <w:tcPr>
            <w:tcW w:w="1559" w:type="dxa"/>
            <w:vAlign w:val="center"/>
          </w:tcPr>
          <w:p>
            <w:pPr>
              <w:tabs>
                <w:tab w:val="left" w:pos="0"/>
              </w:tabs>
              <w:snapToGrid w:val="0"/>
              <w:jc w:val="center"/>
              <w:rPr>
                <w:rFonts w:ascii="Times New Roman" w:hAnsi="Times New Roman" w:eastAsia="宋体"/>
                <w:u w:val="single"/>
                <w:lang w:val="en-US"/>
              </w:rPr>
            </w:pPr>
          </w:p>
        </w:tc>
        <w:tc>
          <w:tcPr>
            <w:tcW w:w="1384" w:type="dxa"/>
            <w:vAlign w:val="center"/>
          </w:tcPr>
          <w:p>
            <w:pPr>
              <w:tabs>
                <w:tab w:val="left" w:pos="0"/>
              </w:tabs>
              <w:snapToGrid w:val="0"/>
              <w:jc w:val="center"/>
              <w:rPr>
                <w:rFonts w:ascii="Times New Roman" w:hAnsi="Times New Roman" w:eastAsia="宋体"/>
                <w:u w:val="single"/>
                <w:lang w:val="en-US"/>
              </w:rPr>
            </w:pPr>
          </w:p>
        </w:tc>
        <w:tc>
          <w:tcPr>
            <w:tcW w:w="1600" w:type="dxa"/>
            <w:vAlign w:val="center"/>
          </w:tcPr>
          <w:p>
            <w:pPr>
              <w:tabs>
                <w:tab w:val="left" w:pos="0"/>
              </w:tabs>
              <w:snapToGrid w:val="0"/>
              <w:jc w:val="center"/>
              <w:rPr>
                <w:rFonts w:ascii="Times New Roman" w:hAnsi="Times New Roman" w:eastAsia="宋体"/>
                <w:u w:val="single"/>
                <w:lang w:val="en-US"/>
              </w:rPr>
            </w:pPr>
          </w:p>
        </w:tc>
        <w:tc>
          <w:tcPr>
            <w:tcW w:w="1020" w:type="dxa"/>
            <w:vAlign w:val="center"/>
          </w:tcPr>
          <w:p>
            <w:pPr>
              <w:tabs>
                <w:tab w:val="left" w:pos="0"/>
              </w:tabs>
              <w:snapToGrid w:val="0"/>
              <w:jc w:val="center"/>
              <w:rPr>
                <w:rFonts w:ascii="Times New Roman" w:hAnsi="Times New Roman" w:eastAsia="宋体"/>
                <w:u w:val="single"/>
                <w:lang w:val="en-US"/>
              </w:rPr>
            </w:pPr>
          </w:p>
        </w:tc>
        <w:tc>
          <w:tcPr>
            <w:tcW w:w="1152" w:type="dxa"/>
            <w:vAlign w:val="center"/>
          </w:tcPr>
          <w:p>
            <w:pPr>
              <w:tabs>
                <w:tab w:val="left" w:pos="0"/>
              </w:tabs>
              <w:snapToGrid w:val="0"/>
              <w:jc w:val="center"/>
              <w:rPr>
                <w:rFonts w:ascii="Times New Roman" w:hAnsi="Times New Roman" w:eastAsia="宋体"/>
                <w:u w:val="single"/>
                <w:lang w:val="en-US"/>
              </w:rPr>
            </w:pPr>
          </w:p>
        </w:tc>
        <w:tc>
          <w:tcPr>
            <w:tcW w:w="1432" w:type="dxa"/>
            <w:vAlign w:val="center"/>
          </w:tcPr>
          <w:p>
            <w:pPr>
              <w:tabs>
                <w:tab w:val="left" w:pos="0"/>
              </w:tabs>
              <w:snapToGrid w:val="0"/>
              <w:jc w:val="center"/>
              <w:rPr>
                <w:rFonts w:ascii="Times New Roman" w:hAnsi="Times New Roman" w:eastAsia="宋体"/>
                <w:u w:val="singl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721" w:type="dxa"/>
            <w:vAlign w:val="center"/>
          </w:tcPr>
          <w:p>
            <w:pPr>
              <w:tabs>
                <w:tab w:val="left" w:pos="0"/>
              </w:tabs>
              <w:snapToGrid w:val="0"/>
              <w:jc w:val="center"/>
              <w:rPr>
                <w:rFonts w:ascii="Times New Roman" w:hAnsi="Times New Roman" w:eastAsia="宋体"/>
                <w:lang w:val="en-US"/>
              </w:rPr>
            </w:pPr>
            <w:r>
              <w:rPr>
                <w:rFonts w:ascii="Times New Roman" w:hAnsi="Times New Roman" w:eastAsia="宋体"/>
                <w:lang w:val="en-US"/>
              </w:rPr>
              <w:t>……</w:t>
            </w:r>
          </w:p>
        </w:tc>
        <w:tc>
          <w:tcPr>
            <w:tcW w:w="1559" w:type="dxa"/>
            <w:vAlign w:val="center"/>
          </w:tcPr>
          <w:p>
            <w:pPr>
              <w:tabs>
                <w:tab w:val="left" w:pos="0"/>
              </w:tabs>
              <w:snapToGrid w:val="0"/>
              <w:jc w:val="center"/>
              <w:rPr>
                <w:rFonts w:ascii="Times New Roman" w:hAnsi="Times New Roman" w:eastAsia="宋体"/>
                <w:u w:val="single"/>
                <w:lang w:val="en-US"/>
              </w:rPr>
            </w:pPr>
          </w:p>
        </w:tc>
        <w:tc>
          <w:tcPr>
            <w:tcW w:w="1384" w:type="dxa"/>
            <w:vAlign w:val="center"/>
          </w:tcPr>
          <w:p>
            <w:pPr>
              <w:tabs>
                <w:tab w:val="left" w:pos="0"/>
              </w:tabs>
              <w:snapToGrid w:val="0"/>
              <w:jc w:val="center"/>
              <w:rPr>
                <w:rFonts w:ascii="Times New Roman" w:hAnsi="Times New Roman" w:eastAsia="宋体"/>
                <w:u w:val="single"/>
                <w:lang w:val="en-US"/>
              </w:rPr>
            </w:pPr>
          </w:p>
        </w:tc>
        <w:tc>
          <w:tcPr>
            <w:tcW w:w="1600" w:type="dxa"/>
            <w:vAlign w:val="center"/>
          </w:tcPr>
          <w:p>
            <w:pPr>
              <w:tabs>
                <w:tab w:val="left" w:pos="0"/>
              </w:tabs>
              <w:snapToGrid w:val="0"/>
              <w:jc w:val="center"/>
              <w:rPr>
                <w:rFonts w:ascii="Times New Roman" w:hAnsi="Times New Roman" w:eastAsia="宋体"/>
                <w:u w:val="single"/>
                <w:lang w:val="en-US"/>
              </w:rPr>
            </w:pPr>
          </w:p>
        </w:tc>
        <w:tc>
          <w:tcPr>
            <w:tcW w:w="1020" w:type="dxa"/>
            <w:vAlign w:val="center"/>
          </w:tcPr>
          <w:p>
            <w:pPr>
              <w:tabs>
                <w:tab w:val="left" w:pos="0"/>
              </w:tabs>
              <w:snapToGrid w:val="0"/>
              <w:jc w:val="center"/>
              <w:rPr>
                <w:rFonts w:ascii="Times New Roman" w:hAnsi="Times New Roman" w:eastAsia="宋体"/>
                <w:u w:val="single"/>
                <w:lang w:val="en-US"/>
              </w:rPr>
            </w:pPr>
          </w:p>
        </w:tc>
        <w:tc>
          <w:tcPr>
            <w:tcW w:w="1152" w:type="dxa"/>
            <w:vAlign w:val="center"/>
          </w:tcPr>
          <w:p>
            <w:pPr>
              <w:tabs>
                <w:tab w:val="left" w:pos="0"/>
              </w:tabs>
              <w:snapToGrid w:val="0"/>
              <w:jc w:val="center"/>
              <w:rPr>
                <w:rFonts w:ascii="Times New Roman" w:hAnsi="Times New Roman" w:eastAsia="宋体"/>
                <w:u w:val="single"/>
                <w:lang w:val="en-US"/>
              </w:rPr>
            </w:pPr>
          </w:p>
        </w:tc>
        <w:tc>
          <w:tcPr>
            <w:tcW w:w="1432" w:type="dxa"/>
            <w:vAlign w:val="center"/>
          </w:tcPr>
          <w:p>
            <w:pPr>
              <w:tabs>
                <w:tab w:val="left" w:pos="0"/>
              </w:tabs>
              <w:snapToGrid w:val="0"/>
              <w:jc w:val="center"/>
              <w:rPr>
                <w:rFonts w:ascii="Times New Roman" w:hAnsi="Times New Roman" w:eastAsia="宋体"/>
                <w:u w:val="single"/>
                <w:lang w:val="en-US"/>
              </w:rPr>
            </w:pPr>
          </w:p>
        </w:tc>
      </w:tr>
    </w:tbl>
    <w:p>
      <w:pPr>
        <w:tabs>
          <w:tab w:val="left" w:pos="0"/>
        </w:tabs>
        <w:spacing w:line="240" w:lineRule="exact"/>
        <w:rPr>
          <w:rFonts w:ascii="Times New Roman" w:hAnsi="Times New Roman" w:eastAsia="宋体"/>
        </w:rPr>
      </w:pPr>
    </w:p>
    <w:p>
      <w:pPr>
        <w:tabs>
          <w:tab w:val="left" w:pos="0"/>
        </w:tabs>
        <w:snapToGrid w:val="0"/>
        <w:rPr>
          <w:rFonts w:ascii="Times New Roman" w:hAnsi="Times New Roman" w:eastAsia="宋体"/>
        </w:rPr>
      </w:pPr>
      <w:r>
        <w:rPr>
          <w:rFonts w:ascii="Times New Roman" w:hAnsi="Times New Roman" w:eastAsia="宋体"/>
        </w:rPr>
        <w:t>注：</w:t>
      </w:r>
    </w:p>
    <w:bookmarkEnd w:id="338"/>
    <w:bookmarkEnd w:id="339"/>
    <w:p>
      <w:pPr>
        <w:numPr>
          <w:ilvl w:val="0"/>
          <w:numId w:val="95"/>
        </w:numPr>
        <w:rPr>
          <w:rFonts w:ascii="Times New Roman" w:hAnsi="Times New Roman" w:eastAsia="宋体"/>
          <w:color w:val="000000"/>
        </w:rPr>
      </w:pPr>
      <w:bookmarkStart w:id="343" w:name="_Toc28224"/>
      <w:bookmarkStart w:id="344" w:name="_Toc23980"/>
      <w:r>
        <w:rPr>
          <w:rFonts w:ascii="Times New Roman" w:hAnsi="Times New Roman" w:eastAsia="宋体"/>
          <w:color w:val="000000"/>
        </w:rPr>
        <w:t>投标人所提供的服务</w:t>
      </w:r>
      <w:r>
        <w:rPr>
          <w:rFonts w:ascii="宋体" w:hAnsi="宋体" w:eastAsia="宋体"/>
          <w:color w:val="000000"/>
        </w:rPr>
        <w:t>，</w:t>
      </w:r>
      <w:r>
        <w:rPr>
          <w:rFonts w:ascii="Times New Roman" w:hAnsi="Times New Roman" w:eastAsia="宋体"/>
          <w:color w:val="000000"/>
        </w:rPr>
        <w:t>应符合招标文件第五部分</w:t>
      </w:r>
      <w:r>
        <w:rPr>
          <w:rFonts w:hint="eastAsia" w:ascii="Times New Roman" w:hAnsi="Times New Roman" w:eastAsia="宋体"/>
          <w:color w:val="000000"/>
        </w:rPr>
        <w:t>“</w:t>
      </w:r>
      <w:r>
        <w:rPr>
          <w:rFonts w:ascii="Times New Roman" w:hAnsi="Times New Roman" w:eastAsia="宋体"/>
          <w:color w:val="000000"/>
        </w:rPr>
        <w:t>服务要求</w:t>
      </w:r>
      <w:r>
        <w:rPr>
          <w:rFonts w:hint="eastAsia" w:ascii="Times New Roman" w:hAnsi="Times New Roman" w:eastAsia="宋体"/>
          <w:color w:val="000000"/>
        </w:rPr>
        <w:t>”</w:t>
      </w:r>
      <w:r>
        <w:rPr>
          <w:rFonts w:ascii="Times New Roman" w:hAnsi="Times New Roman" w:eastAsia="宋体"/>
          <w:color w:val="000000"/>
        </w:rPr>
        <w:t>。如对服务内容提出合理建议或更改</w:t>
      </w:r>
      <w:r>
        <w:rPr>
          <w:rFonts w:ascii="宋体" w:hAnsi="宋体" w:eastAsia="宋体"/>
          <w:color w:val="000000"/>
        </w:rPr>
        <w:t>，</w:t>
      </w:r>
      <w:r>
        <w:rPr>
          <w:rFonts w:ascii="Times New Roman" w:hAnsi="Times New Roman" w:eastAsia="宋体"/>
          <w:color w:val="000000"/>
        </w:rPr>
        <w:t>应在服务项目偏离表中注明。此部分不能简单填写</w:t>
      </w:r>
      <w:r>
        <w:rPr>
          <w:rFonts w:hint="eastAsia" w:ascii="Times New Roman" w:hAnsi="Times New Roman" w:eastAsia="宋体"/>
          <w:color w:val="000000"/>
        </w:rPr>
        <w:t>“</w:t>
      </w:r>
      <w:r>
        <w:rPr>
          <w:rFonts w:ascii="Times New Roman" w:hAnsi="Times New Roman" w:eastAsia="宋体"/>
          <w:color w:val="000000"/>
        </w:rPr>
        <w:t>满足</w:t>
      </w:r>
      <w:r>
        <w:rPr>
          <w:rFonts w:hint="eastAsia" w:ascii="Times New Roman" w:hAnsi="Times New Roman" w:eastAsia="宋体"/>
          <w:color w:val="000000"/>
        </w:rPr>
        <w:t>”</w:t>
      </w:r>
      <w:r>
        <w:rPr>
          <w:rFonts w:ascii="宋体" w:hAnsi="宋体" w:eastAsia="宋体"/>
          <w:color w:val="000000"/>
        </w:rPr>
        <w:t>，</w:t>
      </w:r>
      <w:r>
        <w:rPr>
          <w:rFonts w:ascii="Times New Roman" w:hAnsi="Times New Roman" w:eastAsia="宋体"/>
          <w:color w:val="000000"/>
        </w:rPr>
        <w:t>必须按要求附上相应证明材料</w:t>
      </w:r>
      <w:r>
        <w:rPr>
          <w:rFonts w:ascii="宋体" w:hAnsi="宋体" w:eastAsia="宋体"/>
          <w:color w:val="000000"/>
        </w:rPr>
        <w:t>，</w:t>
      </w:r>
      <w:r>
        <w:rPr>
          <w:rFonts w:ascii="Times New Roman" w:hAnsi="Times New Roman" w:eastAsia="宋体"/>
          <w:color w:val="000000"/>
        </w:rPr>
        <w:t>只填写</w:t>
      </w:r>
      <w:r>
        <w:rPr>
          <w:rFonts w:hint="eastAsia" w:ascii="Times New Roman" w:hAnsi="Times New Roman" w:eastAsia="宋体"/>
          <w:color w:val="000000"/>
        </w:rPr>
        <w:t>“</w:t>
      </w:r>
      <w:r>
        <w:rPr>
          <w:rFonts w:ascii="Times New Roman" w:hAnsi="Times New Roman" w:eastAsia="宋体"/>
          <w:color w:val="000000"/>
        </w:rPr>
        <w:t>满足</w:t>
      </w:r>
      <w:r>
        <w:rPr>
          <w:rFonts w:hint="eastAsia" w:ascii="Times New Roman" w:hAnsi="Times New Roman" w:eastAsia="宋体"/>
          <w:color w:val="000000"/>
        </w:rPr>
        <w:t>”</w:t>
      </w:r>
      <w:r>
        <w:rPr>
          <w:rFonts w:ascii="Times New Roman" w:hAnsi="Times New Roman" w:eastAsia="宋体"/>
          <w:color w:val="000000"/>
        </w:rPr>
        <w:t>而不能提供相关证明材料的或相关材料不符合要求的</w:t>
      </w:r>
      <w:r>
        <w:rPr>
          <w:rFonts w:ascii="宋体" w:hAnsi="宋体" w:eastAsia="宋体"/>
          <w:color w:val="000000"/>
        </w:rPr>
        <w:t>，</w:t>
      </w:r>
      <w:r>
        <w:rPr>
          <w:rFonts w:ascii="Times New Roman" w:hAnsi="Times New Roman" w:eastAsia="宋体"/>
          <w:color w:val="000000"/>
        </w:rPr>
        <w:t>不作为评审依据。</w:t>
      </w:r>
    </w:p>
    <w:p>
      <w:pPr>
        <w:numPr>
          <w:ilvl w:val="0"/>
          <w:numId w:val="95"/>
        </w:numPr>
        <w:rPr>
          <w:rFonts w:ascii="Times New Roman" w:hAnsi="Times New Roman" w:eastAsia="宋体"/>
          <w:color w:val="000000"/>
          <w:lang w:val="en-US"/>
        </w:rPr>
      </w:pPr>
      <w:r>
        <w:rPr>
          <w:rFonts w:hint="eastAsia" w:ascii="Times New Roman" w:hAnsi="Times New Roman" w:eastAsia="宋体"/>
          <w:color w:val="000000"/>
          <w:lang w:val="en-US"/>
        </w:rPr>
        <w:t>“</w:t>
      </w:r>
      <w:r>
        <w:rPr>
          <w:rFonts w:ascii="Times New Roman" w:hAnsi="Times New Roman" w:eastAsia="宋体"/>
          <w:color w:val="000000"/>
          <w:lang w:val="en-US"/>
        </w:rPr>
        <w:t>偏</w:t>
      </w:r>
      <w:r>
        <w:rPr>
          <w:rFonts w:hint="eastAsia" w:ascii="Times New Roman" w:hAnsi="Times New Roman" w:eastAsia="宋体"/>
          <w:color w:val="000000"/>
          <w:lang w:val="en-US"/>
        </w:rPr>
        <w:t>离”</w:t>
      </w:r>
      <w:r>
        <w:rPr>
          <w:rFonts w:ascii="Times New Roman" w:hAnsi="Times New Roman" w:eastAsia="宋体"/>
          <w:color w:val="000000"/>
          <w:lang w:val="en-US"/>
        </w:rPr>
        <w:t>栏只能填写</w:t>
      </w:r>
      <w:r>
        <w:rPr>
          <w:rFonts w:hint="eastAsia" w:ascii="Times New Roman" w:hAnsi="Times New Roman" w:eastAsia="宋体"/>
          <w:color w:val="000000"/>
          <w:lang w:val="en-US"/>
        </w:rPr>
        <w:t>“</w:t>
      </w:r>
      <w:r>
        <w:rPr>
          <w:rFonts w:ascii="Times New Roman" w:hAnsi="Times New Roman" w:eastAsia="宋体"/>
          <w:color w:val="000000"/>
          <w:lang w:val="en-US"/>
        </w:rPr>
        <w:t>正</w:t>
      </w:r>
      <w:r>
        <w:rPr>
          <w:rFonts w:hint="eastAsia" w:ascii="Times New Roman" w:hAnsi="Times New Roman" w:eastAsia="宋体"/>
          <w:color w:val="000000"/>
          <w:lang w:val="en-US"/>
        </w:rPr>
        <w:t>”</w:t>
      </w:r>
      <w:r>
        <w:rPr>
          <w:rFonts w:ascii="Times New Roman" w:hAnsi="Times New Roman" w:eastAsia="宋体"/>
          <w:color w:val="000000"/>
          <w:lang w:val="en-US"/>
        </w:rPr>
        <w:t>、</w:t>
      </w:r>
      <w:r>
        <w:rPr>
          <w:rFonts w:hint="eastAsia" w:ascii="Times New Roman" w:hAnsi="Times New Roman" w:eastAsia="宋体"/>
          <w:color w:val="000000"/>
          <w:lang w:val="en-US"/>
        </w:rPr>
        <w:t>“</w:t>
      </w:r>
      <w:r>
        <w:rPr>
          <w:rFonts w:ascii="Times New Roman" w:hAnsi="Times New Roman" w:eastAsia="宋体"/>
          <w:color w:val="000000"/>
          <w:lang w:val="en-US"/>
        </w:rPr>
        <w:t>无</w:t>
      </w:r>
      <w:r>
        <w:rPr>
          <w:rFonts w:hint="eastAsia" w:ascii="Times New Roman" w:hAnsi="Times New Roman" w:eastAsia="宋体"/>
          <w:color w:val="000000"/>
          <w:lang w:val="en-US"/>
        </w:rPr>
        <w:t>”</w:t>
      </w:r>
      <w:r>
        <w:rPr>
          <w:rFonts w:ascii="Times New Roman" w:hAnsi="Times New Roman" w:eastAsia="宋体"/>
          <w:color w:val="000000"/>
          <w:lang w:val="en-US"/>
        </w:rPr>
        <w:t>或</w:t>
      </w:r>
      <w:r>
        <w:rPr>
          <w:rFonts w:hint="eastAsia" w:ascii="Times New Roman" w:hAnsi="Times New Roman" w:eastAsia="宋体"/>
          <w:color w:val="000000"/>
          <w:lang w:val="en-US"/>
        </w:rPr>
        <w:t>“</w:t>
      </w:r>
      <w:r>
        <w:rPr>
          <w:rFonts w:ascii="Times New Roman" w:hAnsi="Times New Roman" w:eastAsia="宋体"/>
          <w:color w:val="000000"/>
          <w:lang w:val="en-US"/>
        </w:rPr>
        <w:t>负</w:t>
      </w:r>
      <w:r>
        <w:rPr>
          <w:rFonts w:hint="eastAsia" w:ascii="Times New Roman" w:hAnsi="Times New Roman" w:eastAsia="宋体"/>
          <w:color w:val="000000"/>
          <w:lang w:val="en-US"/>
        </w:rPr>
        <w:t>”</w:t>
      </w:r>
      <w:r>
        <w:rPr>
          <w:rFonts w:ascii="Times New Roman" w:hAnsi="Times New Roman" w:eastAsia="宋体"/>
          <w:color w:val="000000"/>
          <w:lang w:val="en-US"/>
        </w:rPr>
        <w:t>；</w:t>
      </w:r>
      <w:r>
        <w:rPr>
          <w:rFonts w:hint="eastAsia" w:ascii="Times New Roman" w:hAnsi="Times New Roman" w:eastAsia="宋体"/>
          <w:color w:val="000000"/>
          <w:lang w:val="en-US"/>
        </w:rPr>
        <w:t>第五部分 “服务要求”中的实质性要求若存在负偏离，投标将被拒绝。</w:t>
      </w:r>
    </w:p>
    <w:p>
      <w:pPr>
        <w:numPr>
          <w:ilvl w:val="0"/>
          <w:numId w:val="95"/>
        </w:numPr>
        <w:rPr>
          <w:rFonts w:ascii="Times New Roman" w:hAnsi="Times New Roman" w:eastAsia="宋体"/>
          <w:color w:val="000000"/>
          <w:szCs w:val="21"/>
        </w:rPr>
      </w:pPr>
      <w:r>
        <w:rPr>
          <w:rFonts w:ascii="Times New Roman" w:hAnsi="Times New Roman" w:eastAsia="宋体"/>
          <w:color w:val="000000"/>
        </w:rPr>
        <w:t>除可</w:t>
      </w:r>
      <w:r>
        <w:rPr>
          <w:rFonts w:ascii="Times New Roman" w:hAnsi="Times New Roman" w:eastAsia="宋体"/>
          <w:color w:val="000000"/>
          <w:lang w:val="en-US"/>
        </w:rPr>
        <w:t>填报</w:t>
      </w:r>
      <w:r>
        <w:rPr>
          <w:rFonts w:ascii="Times New Roman" w:hAnsi="Times New Roman" w:eastAsia="宋体"/>
          <w:color w:val="000000"/>
        </w:rPr>
        <w:t>项目外</w:t>
      </w:r>
      <w:r>
        <w:rPr>
          <w:rFonts w:ascii="宋体" w:hAnsi="宋体" w:eastAsia="宋体"/>
          <w:color w:val="000000"/>
        </w:rPr>
        <w:t>，</w:t>
      </w:r>
      <w:r>
        <w:rPr>
          <w:rFonts w:ascii="Times New Roman" w:hAnsi="Times New Roman" w:eastAsia="宋体"/>
          <w:color w:val="000000"/>
        </w:rPr>
        <w:t>任何实质性修改将被视为非实质性响应投标</w:t>
      </w:r>
      <w:r>
        <w:rPr>
          <w:rFonts w:ascii="宋体" w:hAnsi="宋体" w:eastAsia="宋体"/>
          <w:color w:val="000000"/>
        </w:rPr>
        <w:t>，</w:t>
      </w:r>
      <w:r>
        <w:rPr>
          <w:rFonts w:ascii="Times New Roman" w:hAnsi="Times New Roman" w:eastAsia="宋体"/>
          <w:color w:val="000000"/>
        </w:rPr>
        <w:t>从而导致该投标被拒绝。</w:t>
      </w:r>
    </w:p>
    <w:p>
      <w:pPr>
        <w:pStyle w:val="3"/>
        <w:spacing w:before="120"/>
        <w:rPr>
          <w:color w:val="auto"/>
        </w:rPr>
      </w:pPr>
      <w:bookmarkStart w:id="345" w:name="_Toc26229"/>
      <w:bookmarkStart w:id="346" w:name="_Toc7878"/>
      <w:bookmarkStart w:id="347" w:name="_Toc25334"/>
      <w:r>
        <w:rPr>
          <w:rFonts w:hint="eastAsia"/>
          <w:color w:val="auto"/>
          <w:lang w:val="en-US"/>
        </w:rPr>
        <w:t>检验报告</w:t>
      </w:r>
      <w:bookmarkEnd w:id="345"/>
      <w:bookmarkEnd w:id="346"/>
      <w:bookmarkEnd w:id="347"/>
    </w:p>
    <w:p>
      <w:pPr>
        <w:pStyle w:val="249"/>
        <w:rPr>
          <w:rFonts w:ascii="Times New Roman" w:hAnsi="Times New Roman"/>
          <w:lang w:val="en-US"/>
        </w:rPr>
      </w:pPr>
      <w:r>
        <w:rPr>
          <w:rFonts w:hint="eastAsia" w:ascii="Times New Roman" w:hAnsi="Times New Roman"/>
        </w:rPr>
        <w:t>投标人按照第五部分的要求提供所投产品真实有效的合格检验报告</w:t>
      </w:r>
      <w:r>
        <w:rPr>
          <w:rFonts w:ascii="Times New Roman" w:hAnsi="Times New Roman"/>
        </w:rPr>
        <w:t>（复印件加盖投标人公章）</w:t>
      </w:r>
      <w:r>
        <w:rPr>
          <w:rFonts w:hint="eastAsia"/>
          <w:color w:val="000000"/>
        </w:rPr>
        <w:t>；</w:t>
      </w:r>
    </w:p>
    <w:p>
      <w:pPr>
        <w:pStyle w:val="3"/>
        <w:spacing w:before="120"/>
        <w:rPr>
          <w:color w:val="auto"/>
        </w:rPr>
      </w:pPr>
      <w:bookmarkStart w:id="348" w:name="_Toc20871"/>
      <w:bookmarkStart w:id="349" w:name="_Toc25671"/>
      <w:bookmarkStart w:id="350" w:name="_Toc27873"/>
      <w:r>
        <w:rPr>
          <w:rFonts w:hint="eastAsia"/>
          <w:color w:val="auto"/>
        </w:rPr>
        <w:t>服务要求</w:t>
      </w:r>
      <w:bookmarkEnd w:id="343"/>
      <w:bookmarkEnd w:id="348"/>
      <w:bookmarkEnd w:id="349"/>
      <w:bookmarkEnd w:id="350"/>
    </w:p>
    <w:p>
      <w:pPr>
        <w:pStyle w:val="249"/>
        <w:rPr>
          <w:rFonts w:ascii="Times New Roman" w:hAnsi="Times New Roman"/>
        </w:rPr>
      </w:pPr>
      <w:r>
        <w:rPr>
          <w:rFonts w:hint="eastAsia" w:ascii="Times New Roman" w:hAnsi="Times New Roman"/>
          <w:lang w:val="en-US"/>
        </w:rPr>
        <w:t>按照采购需求中“服务要求”结合评分部分</w:t>
      </w:r>
      <w:r>
        <w:rPr>
          <w:rFonts w:hint="eastAsia"/>
          <w:lang w:val="en-US"/>
        </w:rPr>
        <w:t>，</w:t>
      </w:r>
      <w:r>
        <w:rPr>
          <w:rFonts w:hint="eastAsia" w:ascii="Times New Roman" w:hAnsi="Times New Roman"/>
          <w:lang w:val="en-US"/>
        </w:rPr>
        <w:t>提供详细的服务相关材料；</w:t>
      </w:r>
    </w:p>
    <w:p>
      <w:pPr>
        <w:pStyle w:val="3"/>
        <w:spacing w:before="120"/>
        <w:rPr>
          <w:color w:val="auto"/>
        </w:rPr>
      </w:pPr>
      <w:bookmarkStart w:id="351" w:name="_Toc14187"/>
      <w:bookmarkStart w:id="352" w:name="_Toc1844"/>
      <w:bookmarkStart w:id="353" w:name="_Toc10419"/>
      <w:bookmarkStart w:id="354" w:name="_Toc19956"/>
      <w:r>
        <w:rPr>
          <w:rFonts w:hint="eastAsia"/>
          <w:color w:val="auto"/>
        </w:rPr>
        <w:t>自行编写的技术文件</w:t>
      </w:r>
      <w:r>
        <w:rPr>
          <w:rFonts w:hint="eastAsia"/>
          <w:color w:val="auto"/>
          <w:sz w:val="24"/>
          <w:szCs w:val="24"/>
          <w:lang w:val="en-US"/>
        </w:rPr>
        <w:t>（加盖投标人公章）</w:t>
      </w:r>
      <w:bookmarkEnd w:id="351"/>
      <w:bookmarkEnd w:id="352"/>
      <w:bookmarkEnd w:id="353"/>
      <w:bookmarkEnd w:id="354"/>
    </w:p>
    <w:p>
      <w:pPr>
        <w:ind w:firstLine="420" w:firstLineChars="200"/>
        <w:rPr>
          <w:rFonts w:ascii="Times New Roman" w:hAnsi="Times New Roman" w:eastAsia="宋体"/>
          <w:lang w:val="en-US"/>
        </w:rPr>
      </w:pPr>
      <w:r>
        <w:rPr>
          <w:rFonts w:hint="eastAsia" w:ascii="Times New Roman" w:hAnsi="Times New Roman" w:eastAsia="宋体"/>
          <w:lang w:val="en-US"/>
        </w:rPr>
        <w:t>包括但不限于以下内容：</w:t>
      </w:r>
    </w:p>
    <w:bookmarkEnd w:id="334"/>
    <w:bookmarkEnd w:id="344"/>
    <w:p>
      <w:pPr>
        <w:pStyle w:val="249"/>
        <w:ind w:firstLineChars="0"/>
        <w:rPr>
          <w:rFonts w:ascii="Times New Roman" w:hAnsi="Times New Roman"/>
        </w:rPr>
      </w:pPr>
      <w:bookmarkStart w:id="355" w:name="_Toc18017"/>
      <w:bookmarkStart w:id="356" w:name="_Toc23567"/>
      <w:bookmarkStart w:id="357" w:name="_Ref462505475"/>
      <w:bookmarkStart w:id="358" w:name="_Toc16531208"/>
      <w:bookmarkStart w:id="359" w:name="_Toc14779"/>
      <w:bookmarkStart w:id="360" w:name="_Toc16531434"/>
      <w:r>
        <w:rPr>
          <w:rFonts w:hint="eastAsia" w:ascii="Times New Roman" w:hAnsi="Times New Roman"/>
        </w:rPr>
        <w:t>（</w:t>
      </w:r>
      <w:r>
        <w:rPr>
          <w:rFonts w:hint="eastAsia" w:ascii="Times New Roman" w:hAnsi="Times New Roman" w:eastAsia="Times New Roman"/>
        </w:rPr>
        <w:t>1</w:t>
      </w:r>
      <w:r>
        <w:rPr>
          <w:rFonts w:hint="eastAsia" w:ascii="Times New Roman" w:hAnsi="Times New Roman"/>
        </w:rPr>
        <w:t>）货物主要技术指标和运行性能的详细描述；</w:t>
      </w:r>
    </w:p>
    <w:p>
      <w:pPr>
        <w:pStyle w:val="249"/>
        <w:ind w:firstLineChars="0"/>
        <w:rPr>
          <w:rFonts w:ascii="Times New Roman" w:hAnsi="Times New Roman"/>
        </w:rPr>
      </w:pPr>
      <w:r>
        <w:rPr>
          <w:rFonts w:hint="eastAsia" w:ascii="Times New Roman" w:hAnsi="Times New Roman"/>
        </w:rPr>
        <w:t>（</w:t>
      </w:r>
      <w:r>
        <w:rPr>
          <w:rFonts w:hint="eastAsia" w:ascii="Times New Roman" w:hAnsi="Times New Roman" w:eastAsia="Times New Roman"/>
        </w:rPr>
        <w:t>2</w:t>
      </w:r>
      <w:r>
        <w:rPr>
          <w:rFonts w:hint="eastAsia" w:ascii="Times New Roman" w:hAnsi="Times New Roman"/>
        </w:rPr>
        <w:t>）关键部件明细表（包括品牌、制造厂家名称和国别）；</w:t>
      </w:r>
    </w:p>
    <w:p>
      <w:pPr>
        <w:pStyle w:val="249"/>
        <w:ind w:firstLineChars="0"/>
        <w:rPr>
          <w:rFonts w:ascii="Times New Roman" w:hAnsi="Times New Roman"/>
        </w:rPr>
      </w:pPr>
      <w:r>
        <w:rPr>
          <w:rFonts w:hint="eastAsia" w:ascii="Times New Roman" w:hAnsi="Times New Roman"/>
        </w:rPr>
        <w:t>（</w:t>
      </w:r>
      <w:r>
        <w:rPr>
          <w:rFonts w:hint="eastAsia" w:ascii="Times New Roman" w:hAnsi="Times New Roman" w:eastAsia="Times New Roman"/>
        </w:rPr>
        <w:t>3</w:t>
      </w:r>
      <w:r>
        <w:rPr>
          <w:rFonts w:hint="eastAsia" w:ascii="Times New Roman" w:hAnsi="Times New Roman"/>
        </w:rPr>
        <w:t>）货物安装验收标准；</w:t>
      </w:r>
    </w:p>
    <w:p>
      <w:pPr>
        <w:pStyle w:val="3"/>
        <w:spacing w:before="120"/>
        <w:rPr>
          <w:color w:val="auto"/>
        </w:rPr>
        <w:sectPr>
          <w:headerReference r:id="rId15" w:type="default"/>
          <w:type w:val="continuous"/>
          <w:pgSz w:w="11907" w:h="16839"/>
          <w:pgMar w:top="1928" w:right="1531" w:bottom="1871" w:left="1531" w:header="1145" w:footer="709" w:gutter="0"/>
          <w:cols w:space="720" w:num="1"/>
          <w:docGrid w:linePitch="360" w:charSpace="0"/>
        </w:sectPr>
      </w:pPr>
      <w:bookmarkStart w:id="361" w:name="_Toc22071"/>
      <w:bookmarkStart w:id="362" w:name="_Toc14568"/>
      <w:bookmarkStart w:id="363" w:name="_Toc8068"/>
      <w:r>
        <w:rPr>
          <w:color w:val="auto"/>
        </w:rPr>
        <w:t>与评审相关的其他技术文件</w:t>
      </w:r>
      <w:bookmarkEnd w:id="321"/>
      <w:bookmarkEnd w:id="355"/>
      <w:bookmarkEnd w:id="356"/>
      <w:bookmarkEnd w:id="357"/>
      <w:bookmarkEnd w:id="358"/>
      <w:bookmarkEnd w:id="359"/>
      <w:bookmarkEnd w:id="360"/>
      <w:bookmarkEnd w:id="361"/>
      <w:bookmarkEnd w:id="362"/>
      <w:bookmarkEnd w:id="363"/>
    </w:p>
    <w:p>
      <w:pPr>
        <w:pStyle w:val="2"/>
        <w:rPr>
          <w:color w:val="auto"/>
        </w:rPr>
      </w:pPr>
      <w:bookmarkStart w:id="364" w:name="_Toc23531"/>
      <w:bookmarkStart w:id="365" w:name="_Toc16531435"/>
      <w:bookmarkStart w:id="366" w:name="_Toc23767"/>
      <w:bookmarkStart w:id="367" w:name="_Toc13219"/>
      <w:bookmarkStart w:id="368" w:name="_Toc18857"/>
      <w:bookmarkStart w:id="369" w:name="_Toc8661"/>
      <w:bookmarkStart w:id="370" w:name="_Toc24825"/>
      <w:bookmarkStart w:id="371" w:name="_Toc16531209"/>
      <w:r>
        <w:rPr>
          <w:color w:val="auto"/>
        </w:rPr>
        <w:t>附件</w:t>
      </w:r>
      <w:bookmarkEnd w:id="364"/>
      <w:bookmarkEnd w:id="365"/>
      <w:bookmarkEnd w:id="366"/>
      <w:bookmarkEnd w:id="367"/>
      <w:bookmarkEnd w:id="368"/>
      <w:bookmarkEnd w:id="369"/>
      <w:bookmarkEnd w:id="370"/>
      <w:bookmarkEnd w:id="371"/>
    </w:p>
    <w:p>
      <w:pPr>
        <w:pStyle w:val="3"/>
        <w:spacing w:before="120"/>
        <w:rPr>
          <w:color w:val="auto"/>
        </w:rPr>
      </w:pPr>
      <w:bookmarkStart w:id="372" w:name="_Toc16531210"/>
      <w:bookmarkStart w:id="373" w:name="_Toc857"/>
      <w:bookmarkStart w:id="374" w:name="_Toc7090"/>
      <w:bookmarkStart w:id="375" w:name="_Toc8340"/>
      <w:bookmarkStart w:id="376" w:name="_Toc31591"/>
      <w:bookmarkStart w:id="377" w:name="_Toc16531436"/>
      <w:r>
        <w:rPr>
          <w:rFonts w:hint="eastAsia"/>
          <w:color w:val="auto"/>
          <w:lang w:val="en-US"/>
        </w:rPr>
        <w:t>报名</w:t>
      </w:r>
      <w:r>
        <w:rPr>
          <w:color w:val="auto"/>
        </w:rPr>
        <w:t>函</w:t>
      </w:r>
      <w:bookmarkEnd w:id="372"/>
      <w:bookmarkEnd w:id="373"/>
      <w:bookmarkEnd w:id="374"/>
      <w:bookmarkEnd w:id="375"/>
      <w:bookmarkEnd w:id="376"/>
      <w:bookmarkEnd w:id="377"/>
    </w:p>
    <w:p>
      <w:pPr>
        <w:tabs>
          <w:tab w:val="left" w:pos="0"/>
        </w:tabs>
        <w:snapToGrid w:val="0"/>
        <w:rPr>
          <w:rFonts w:ascii="Times New Roman" w:hAnsi="Times New Roman" w:eastAsia="宋体"/>
          <w:szCs w:val="21"/>
        </w:rPr>
      </w:pPr>
    </w:p>
    <w:p>
      <w:pPr>
        <w:tabs>
          <w:tab w:val="left" w:pos="0"/>
        </w:tabs>
        <w:spacing w:line="360" w:lineRule="auto"/>
        <w:jc w:val="center"/>
        <w:rPr>
          <w:rFonts w:ascii="Times New Roman" w:hAnsi="Times New Roman" w:eastAsia="宋体"/>
          <w:szCs w:val="21"/>
        </w:rPr>
      </w:pPr>
      <w:bookmarkStart w:id="378" w:name="_Toc5750_WPSOffice_Level1"/>
      <w:r>
        <w:rPr>
          <w:rFonts w:hint="eastAsia" w:ascii="Times New Roman" w:hAnsi="Times New Roman" w:eastAsia="方正小标宋简体"/>
          <w:sz w:val="28"/>
          <w:szCs w:val="28"/>
          <w:lang w:val="en-US"/>
        </w:rPr>
        <w:t>报名</w:t>
      </w:r>
      <w:r>
        <w:rPr>
          <w:rFonts w:ascii="Times New Roman" w:hAnsi="Times New Roman" w:eastAsia="方正小标宋简体"/>
          <w:sz w:val="28"/>
          <w:szCs w:val="28"/>
        </w:rPr>
        <w:t>函</w:t>
      </w:r>
      <w:bookmarkEnd w:id="378"/>
    </w:p>
    <w:p>
      <w:pPr>
        <w:tabs>
          <w:tab w:val="left" w:pos="0"/>
        </w:tabs>
        <w:spacing w:line="360" w:lineRule="exact"/>
        <w:rPr>
          <w:rFonts w:ascii="Times New Roman" w:hAnsi="Times New Roman" w:eastAsia="宋体"/>
          <w:kern w:val="0"/>
          <w:szCs w:val="21"/>
        </w:rPr>
      </w:pPr>
      <w:r>
        <w:rPr>
          <w:rFonts w:ascii="Times New Roman" w:hAnsi="Times New Roman" w:eastAsia="宋体"/>
          <w:kern w:val="0"/>
          <w:szCs w:val="21"/>
        </w:rPr>
        <w:t>公安部警用装备采购中心：</w:t>
      </w:r>
    </w:p>
    <w:p>
      <w:pPr>
        <w:tabs>
          <w:tab w:val="left" w:pos="0"/>
        </w:tabs>
        <w:spacing w:line="360" w:lineRule="exact"/>
        <w:ind w:firstLine="420" w:firstLineChars="200"/>
        <w:rPr>
          <w:rFonts w:ascii="Times New Roman" w:hAnsi="Times New Roman" w:eastAsia="宋体"/>
          <w:kern w:val="0"/>
          <w:szCs w:val="21"/>
          <w:u w:val="single"/>
        </w:rPr>
      </w:pPr>
      <w:r>
        <w:rPr>
          <w:rFonts w:ascii="Times New Roman" w:hAnsi="Times New Roman" w:eastAsia="宋体"/>
          <w:kern w:val="0"/>
          <w:szCs w:val="21"/>
        </w:rPr>
        <w:t>我公司</w:t>
      </w:r>
      <w:r>
        <w:rPr>
          <w:rFonts w:hint="eastAsia" w:ascii="Times New Roman" w:hAnsi="Times New Roman" w:eastAsia="宋体"/>
          <w:kern w:val="0"/>
          <w:szCs w:val="21"/>
          <w:u w:val="single"/>
          <w:lang w:val="en-US"/>
        </w:rPr>
        <w:t xml:space="preserve">    </w:t>
      </w:r>
      <w:r>
        <w:rPr>
          <w:rFonts w:ascii="宋体" w:hAnsi="宋体" w:eastAsia="宋体"/>
          <w:kern w:val="0"/>
          <w:szCs w:val="21"/>
        </w:rPr>
        <w:t>，</w:t>
      </w:r>
      <w:r>
        <w:rPr>
          <w:rFonts w:ascii="Times New Roman" w:hAnsi="Times New Roman" w:eastAsia="宋体"/>
          <w:kern w:val="0"/>
          <w:szCs w:val="21"/>
        </w:rPr>
        <w:t>确认于</w:t>
      </w:r>
      <w:r>
        <w:rPr>
          <w:rFonts w:hint="eastAsia" w:ascii="Times New Roman" w:hAnsi="Times New Roman" w:eastAsia="宋体"/>
          <w:kern w:val="0"/>
          <w:szCs w:val="21"/>
          <w:u w:val="single"/>
          <w:lang w:val="en-US"/>
        </w:rPr>
        <w:t xml:space="preserve">   </w:t>
      </w:r>
      <w:r>
        <w:rPr>
          <w:rFonts w:ascii="Times New Roman" w:hAnsi="Times New Roman" w:eastAsia="宋体"/>
          <w:kern w:val="0"/>
          <w:szCs w:val="21"/>
        </w:rPr>
        <w:t>年</w:t>
      </w:r>
      <w:r>
        <w:rPr>
          <w:rFonts w:hint="eastAsia" w:ascii="Times New Roman" w:hAnsi="Times New Roman" w:eastAsia="宋体"/>
          <w:kern w:val="0"/>
          <w:szCs w:val="21"/>
          <w:u w:val="single"/>
          <w:lang w:val="en-US"/>
        </w:rPr>
        <w:t xml:space="preserve">   </w:t>
      </w:r>
      <w:r>
        <w:rPr>
          <w:rFonts w:ascii="Times New Roman" w:hAnsi="Times New Roman" w:eastAsia="宋体"/>
          <w:kern w:val="0"/>
          <w:szCs w:val="21"/>
        </w:rPr>
        <w:t>月</w:t>
      </w:r>
      <w:r>
        <w:rPr>
          <w:rFonts w:hint="eastAsia" w:ascii="Times New Roman" w:hAnsi="Times New Roman" w:eastAsia="宋体"/>
          <w:kern w:val="0"/>
          <w:szCs w:val="21"/>
          <w:u w:val="single"/>
          <w:lang w:val="en-US"/>
        </w:rPr>
        <w:t xml:space="preserve">   </w:t>
      </w:r>
      <w:r>
        <w:rPr>
          <w:rFonts w:ascii="Times New Roman" w:hAnsi="Times New Roman" w:eastAsia="宋体"/>
          <w:kern w:val="0"/>
          <w:szCs w:val="21"/>
          <w:lang w:val="en-US"/>
        </w:rPr>
        <w:t>日</w:t>
      </w:r>
      <w:r>
        <w:rPr>
          <w:rFonts w:ascii="Times New Roman" w:hAnsi="Times New Roman" w:eastAsia="宋体"/>
          <w:kern w:val="0"/>
          <w:szCs w:val="21"/>
        </w:rPr>
        <w:t>参加贵中心组织的</w:t>
      </w:r>
      <w:r>
        <w:rPr>
          <w:rFonts w:ascii="Times New Roman" w:hAnsi="Times New Roman" w:eastAsia="宋体"/>
          <w:kern w:val="0"/>
          <w:szCs w:val="21"/>
          <w:lang w:val="en-US"/>
        </w:rPr>
        <w:t>_______</w:t>
      </w:r>
      <w:r>
        <w:rPr>
          <w:rFonts w:ascii="Times New Roman" w:hAnsi="Times New Roman" w:eastAsia="宋体"/>
          <w:kern w:val="0"/>
          <w:szCs w:val="21"/>
        </w:rPr>
        <w:t>采购项目（项目编号：</w:t>
      </w:r>
      <w:r>
        <w:rPr>
          <w:rFonts w:hint="eastAsia" w:ascii="Times New Roman" w:hAnsi="Times New Roman" w:eastAsia="宋体"/>
          <w:kern w:val="0"/>
          <w:szCs w:val="21"/>
          <w:u w:val="single"/>
          <w:lang w:val="en-US"/>
        </w:rPr>
        <w:t xml:space="preserve">    </w:t>
      </w:r>
      <w:r>
        <w:rPr>
          <w:rFonts w:ascii="Times New Roman" w:hAnsi="Times New Roman" w:eastAsia="宋体"/>
          <w:kern w:val="0"/>
          <w:szCs w:val="21"/>
        </w:rPr>
        <w:t>）的第</w:t>
      </w:r>
      <w:r>
        <w:rPr>
          <w:rFonts w:ascii="Times New Roman" w:hAnsi="Times New Roman" w:eastAsia="宋体"/>
          <w:kern w:val="0"/>
          <w:szCs w:val="21"/>
          <w:u w:val="single"/>
          <w:lang w:val="en-US"/>
        </w:rPr>
        <w:t xml:space="preserve">   </w:t>
      </w:r>
      <w:r>
        <w:rPr>
          <w:rFonts w:ascii="Times New Roman" w:hAnsi="Times New Roman" w:eastAsia="宋体"/>
          <w:kern w:val="0"/>
          <w:szCs w:val="21"/>
        </w:rPr>
        <w:t>包</w:t>
      </w:r>
      <w:r>
        <w:rPr>
          <w:rFonts w:ascii="宋体" w:hAnsi="宋体" w:eastAsia="宋体"/>
          <w:kern w:val="0"/>
          <w:szCs w:val="21"/>
        </w:rPr>
        <w:t>，</w:t>
      </w:r>
      <w:r>
        <w:rPr>
          <w:rFonts w:ascii="Times New Roman" w:hAnsi="Times New Roman" w:eastAsia="宋体"/>
          <w:kern w:val="0"/>
          <w:szCs w:val="21"/>
        </w:rPr>
        <w:t>并承诺严格遵守采购文件的有关要求。如有变动</w:t>
      </w:r>
      <w:r>
        <w:rPr>
          <w:rFonts w:ascii="宋体" w:hAnsi="宋体" w:eastAsia="宋体"/>
          <w:kern w:val="0"/>
          <w:szCs w:val="21"/>
        </w:rPr>
        <w:t>，</w:t>
      </w:r>
      <w:r>
        <w:rPr>
          <w:rFonts w:ascii="Times New Roman" w:hAnsi="Times New Roman" w:eastAsia="宋体"/>
          <w:kern w:val="0"/>
          <w:szCs w:val="21"/>
        </w:rPr>
        <w:t>我公司将去函告知。联系人：</w:t>
      </w:r>
      <w:r>
        <w:rPr>
          <w:rFonts w:ascii="Times New Roman" w:hAnsi="Times New Roman" w:eastAsia="宋体"/>
          <w:kern w:val="0"/>
          <w:szCs w:val="21"/>
          <w:lang w:val="en-US"/>
        </w:rPr>
        <w:t>_______</w:t>
      </w:r>
      <w:r>
        <w:rPr>
          <w:rFonts w:ascii="宋体" w:hAnsi="宋体" w:eastAsia="宋体"/>
          <w:kern w:val="0"/>
          <w:szCs w:val="21"/>
        </w:rPr>
        <w:t>，</w:t>
      </w:r>
      <w:r>
        <w:rPr>
          <w:rFonts w:ascii="Times New Roman" w:hAnsi="Times New Roman" w:eastAsia="宋体"/>
          <w:kern w:val="0"/>
          <w:szCs w:val="21"/>
        </w:rPr>
        <w:t>联系电话：</w:t>
      </w:r>
      <w:r>
        <w:rPr>
          <w:rFonts w:ascii="Times New Roman" w:hAnsi="Times New Roman" w:eastAsia="宋体"/>
          <w:kern w:val="0"/>
          <w:szCs w:val="21"/>
          <w:lang w:val="en-US"/>
        </w:rPr>
        <w:t>_______</w:t>
      </w:r>
      <w:r>
        <w:rPr>
          <w:rFonts w:ascii="Times New Roman" w:hAnsi="Times New Roman" w:eastAsia="宋体"/>
          <w:kern w:val="0"/>
          <w:szCs w:val="21"/>
        </w:rPr>
        <w:t>。</w:t>
      </w:r>
    </w:p>
    <w:p>
      <w:pPr>
        <w:tabs>
          <w:tab w:val="left" w:pos="0"/>
        </w:tabs>
        <w:spacing w:line="360" w:lineRule="exact"/>
        <w:ind w:firstLine="420" w:firstLineChars="200"/>
        <w:rPr>
          <w:rFonts w:ascii="Times New Roman" w:hAnsi="Times New Roman" w:eastAsia="宋体"/>
          <w:szCs w:val="21"/>
        </w:rPr>
      </w:pPr>
      <w:r>
        <w:rPr>
          <w:rFonts w:ascii="Times New Roman" w:hAnsi="Times New Roman" w:eastAsia="宋体"/>
          <w:szCs w:val="21"/>
        </w:rPr>
        <w:t xml:space="preserve">                            </w:t>
      </w:r>
    </w:p>
    <w:p>
      <w:pPr>
        <w:pStyle w:val="31"/>
        <w:rPr>
          <w:rFonts w:ascii="Times New Roman" w:hAnsi="Times New Roman" w:eastAsia="宋体"/>
          <w:color w:val="auto"/>
          <w:szCs w:val="21"/>
        </w:rPr>
      </w:pPr>
    </w:p>
    <w:p>
      <w:pPr>
        <w:pStyle w:val="31"/>
        <w:rPr>
          <w:rFonts w:ascii="Times New Roman" w:hAnsi="Times New Roman" w:eastAsia="宋体"/>
          <w:color w:val="auto"/>
          <w:szCs w:val="21"/>
        </w:rPr>
      </w:pPr>
    </w:p>
    <w:p>
      <w:pPr>
        <w:tabs>
          <w:tab w:val="left" w:pos="0"/>
        </w:tabs>
        <w:spacing w:line="360" w:lineRule="exact"/>
        <w:rPr>
          <w:rFonts w:ascii="Times New Roman" w:hAnsi="Times New Roman" w:eastAsia="宋体"/>
          <w:szCs w:val="21"/>
        </w:rPr>
      </w:pPr>
    </w:p>
    <w:p>
      <w:pPr>
        <w:tabs>
          <w:tab w:val="left" w:pos="0"/>
        </w:tabs>
        <w:spacing w:line="360" w:lineRule="exact"/>
        <w:ind w:right="210"/>
        <w:jc w:val="right"/>
        <w:rPr>
          <w:rFonts w:ascii="Times New Roman" w:hAnsi="Times New Roman" w:eastAsia="宋体"/>
          <w:szCs w:val="21"/>
        </w:rPr>
      </w:pPr>
      <w:r>
        <w:rPr>
          <w:rFonts w:ascii="Times New Roman" w:hAnsi="Times New Roman" w:eastAsia="宋体"/>
          <w:szCs w:val="21"/>
        </w:rPr>
        <w:t>投标人名称（全称并加盖公章）：___</w:t>
      </w:r>
      <w:r>
        <w:rPr>
          <w:rFonts w:ascii="Times New Roman" w:hAnsi="Times New Roman" w:eastAsia="宋体"/>
          <w:szCs w:val="21"/>
          <w:u w:val="single"/>
        </w:rPr>
        <w:t xml:space="preserve">  </w:t>
      </w:r>
      <w:r>
        <w:rPr>
          <w:rFonts w:ascii="Times New Roman" w:hAnsi="Times New Roman" w:eastAsia="宋体"/>
          <w:szCs w:val="21"/>
        </w:rPr>
        <w:t xml:space="preserve">          </w:t>
      </w:r>
    </w:p>
    <w:p>
      <w:pPr>
        <w:tabs>
          <w:tab w:val="left" w:pos="0"/>
        </w:tabs>
        <w:spacing w:line="360" w:lineRule="exact"/>
        <w:ind w:right="210"/>
        <w:jc w:val="right"/>
        <w:rPr>
          <w:rFonts w:ascii="Times New Roman" w:hAnsi="Times New Roman" w:eastAsia="宋体"/>
          <w:szCs w:val="21"/>
        </w:rPr>
      </w:pPr>
      <w:bookmarkStart w:id="379" w:name="_Toc10969_WPSOffice_Level2"/>
      <w:r>
        <w:rPr>
          <w:rFonts w:ascii="Times New Roman" w:hAnsi="Times New Roman" w:eastAsia="宋体"/>
          <w:szCs w:val="21"/>
        </w:rPr>
        <w:t>投标人代表签名</w:t>
      </w:r>
      <w:r>
        <w:rPr>
          <w:rFonts w:hint="eastAsia" w:ascii="Times New Roman" w:hAnsi="Times New Roman" w:eastAsia="宋体"/>
          <w:szCs w:val="21"/>
        </w:rPr>
        <w:t>或盖章</w:t>
      </w:r>
      <w:r>
        <w:rPr>
          <w:rFonts w:ascii="Times New Roman" w:hAnsi="Times New Roman" w:eastAsia="宋体"/>
          <w:szCs w:val="21"/>
        </w:rPr>
        <w:t>：___________</w:t>
      </w:r>
      <w:bookmarkEnd w:id="379"/>
    </w:p>
    <w:p>
      <w:pPr>
        <w:tabs>
          <w:tab w:val="left" w:pos="0"/>
        </w:tabs>
        <w:spacing w:line="360" w:lineRule="exact"/>
        <w:ind w:right="210"/>
        <w:jc w:val="right"/>
        <w:rPr>
          <w:rFonts w:ascii="Times New Roman" w:hAnsi="Times New Roman" w:eastAsia="宋体"/>
          <w:szCs w:val="21"/>
        </w:rPr>
      </w:pPr>
      <w:bookmarkStart w:id="380" w:name="_Toc5750_WPSOffice_Level2"/>
      <w:r>
        <w:rPr>
          <w:rFonts w:ascii="Times New Roman" w:hAnsi="Times New Roman" w:eastAsia="宋体"/>
          <w:szCs w:val="21"/>
        </w:rPr>
        <w:t>投标人联系方式：_________________</w:t>
      </w:r>
      <w:bookmarkEnd w:id="380"/>
      <w:r>
        <w:rPr>
          <w:rFonts w:ascii="Times New Roman" w:hAnsi="Times New Roman" w:eastAsia="宋体"/>
          <w:szCs w:val="21"/>
        </w:rPr>
        <w:t xml:space="preserve"> </w:t>
      </w:r>
    </w:p>
    <w:p>
      <w:pPr>
        <w:tabs>
          <w:tab w:val="left" w:pos="0"/>
        </w:tabs>
        <w:spacing w:line="360" w:lineRule="exact"/>
        <w:jc w:val="right"/>
        <w:rPr>
          <w:rFonts w:ascii="Times New Roman" w:hAnsi="Times New Roman" w:eastAsia="宋体"/>
          <w:szCs w:val="21"/>
          <w:u w:val="single"/>
        </w:rPr>
      </w:pPr>
      <w:bookmarkStart w:id="381" w:name="_Toc31591_WPSOffice_Level2"/>
      <w:r>
        <w:rPr>
          <w:rFonts w:ascii="Times New Roman" w:hAnsi="Times New Roman" w:eastAsia="宋体"/>
          <w:szCs w:val="21"/>
        </w:rPr>
        <w:t>日          期：</w:t>
      </w:r>
      <w:r>
        <w:rPr>
          <w:rFonts w:ascii="Times New Roman" w:hAnsi="Times New Roman" w:eastAsia="宋体"/>
          <w:szCs w:val="21"/>
          <w:u w:val="single"/>
          <w:lang w:val="en-US"/>
        </w:rPr>
        <w:t xml:space="preserve">     </w:t>
      </w:r>
      <w:r>
        <w:rPr>
          <w:rFonts w:ascii="Times New Roman" w:hAnsi="Times New Roman" w:eastAsia="宋体"/>
          <w:szCs w:val="21"/>
          <w:u w:val="single"/>
        </w:rPr>
        <w:t>年</w:t>
      </w:r>
      <w:r>
        <w:rPr>
          <w:rFonts w:ascii="Times New Roman" w:hAnsi="Times New Roman" w:eastAsia="宋体"/>
          <w:szCs w:val="21"/>
          <w:u w:val="single"/>
          <w:lang w:val="en-US"/>
        </w:rPr>
        <w:t xml:space="preserve">    </w:t>
      </w:r>
      <w:r>
        <w:rPr>
          <w:rFonts w:ascii="Times New Roman" w:hAnsi="Times New Roman" w:eastAsia="宋体"/>
          <w:szCs w:val="21"/>
          <w:u w:val="single"/>
        </w:rPr>
        <w:t>月</w:t>
      </w:r>
      <w:r>
        <w:rPr>
          <w:rFonts w:ascii="Times New Roman" w:hAnsi="Times New Roman" w:eastAsia="宋体"/>
          <w:szCs w:val="21"/>
          <w:u w:val="single"/>
          <w:lang w:val="en-US"/>
        </w:rPr>
        <w:t xml:space="preserve">    </w:t>
      </w:r>
      <w:r>
        <w:rPr>
          <w:rFonts w:ascii="Times New Roman" w:hAnsi="Times New Roman" w:eastAsia="宋体"/>
          <w:szCs w:val="21"/>
          <w:u w:val="single"/>
        </w:rPr>
        <w:t>日</w:t>
      </w:r>
      <w:bookmarkEnd w:id="381"/>
    </w:p>
    <w:p>
      <w:pPr>
        <w:tabs>
          <w:tab w:val="left" w:pos="0"/>
        </w:tabs>
        <w:snapToGrid w:val="0"/>
        <w:spacing w:line="360" w:lineRule="exact"/>
        <w:rPr>
          <w:rFonts w:ascii="Times New Roman" w:hAnsi="Times New Roman" w:eastAsia="宋体"/>
        </w:rPr>
      </w:pPr>
    </w:p>
    <w:p>
      <w:pPr>
        <w:tabs>
          <w:tab w:val="left" w:pos="0"/>
        </w:tabs>
        <w:snapToGrid w:val="0"/>
        <w:spacing w:line="360" w:lineRule="exact"/>
        <w:rPr>
          <w:rFonts w:ascii="宋体" w:hAnsi="宋体" w:eastAsia="宋体"/>
        </w:rPr>
      </w:pPr>
    </w:p>
    <w:p>
      <w:pPr>
        <w:tabs>
          <w:tab w:val="left" w:pos="0"/>
        </w:tabs>
        <w:snapToGrid w:val="0"/>
        <w:spacing w:line="360" w:lineRule="exact"/>
        <w:rPr>
          <w:rFonts w:ascii="宋体" w:hAnsi="宋体" w:eastAsia="宋体"/>
        </w:rPr>
      </w:pPr>
    </w:p>
    <w:p>
      <w:pPr>
        <w:tabs>
          <w:tab w:val="left" w:pos="0"/>
        </w:tabs>
        <w:snapToGrid w:val="0"/>
        <w:spacing w:line="360" w:lineRule="exact"/>
        <w:rPr>
          <w:rFonts w:ascii="宋体" w:hAnsi="宋体" w:eastAsia="宋体"/>
        </w:rPr>
      </w:pPr>
    </w:p>
    <w:p>
      <w:pPr>
        <w:tabs>
          <w:tab w:val="left" w:pos="0"/>
        </w:tabs>
        <w:snapToGrid w:val="0"/>
        <w:spacing w:line="360" w:lineRule="exact"/>
        <w:rPr>
          <w:rFonts w:ascii="宋体" w:hAnsi="宋体" w:eastAsia="宋体"/>
        </w:rPr>
      </w:pPr>
    </w:p>
    <w:p>
      <w:pPr>
        <w:tabs>
          <w:tab w:val="left" w:pos="0"/>
        </w:tabs>
        <w:snapToGrid w:val="0"/>
        <w:spacing w:line="360" w:lineRule="exact"/>
        <w:rPr>
          <w:rFonts w:ascii="宋体" w:hAnsi="宋体" w:eastAsia="宋体"/>
        </w:rPr>
      </w:pPr>
    </w:p>
    <w:p>
      <w:pPr>
        <w:tabs>
          <w:tab w:val="left" w:pos="0"/>
        </w:tabs>
        <w:spacing w:line="360" w:lineRule="exact"/>
        <w:jc w:val="both"/>
        <w:rPr>
          <w:rFonts w:ascii="Times New Roman" w:hAnsi="Times New Roman" w:eastAsia="宋体"/>
          <w:szCs w:val="21"/>
          <w:u w:val="single"/>
        </w:rPr>
      </w:pPr>
    </w:p>
    <w:p>
      <w:pPr>
        <w:pStyle w:val="3"/>
        <w:spacing w:before="120"/>
        <w:rPr>
          <w:color w:val="auto"/>
        </w:rPr>
      </w:pPr>
      <w:bookmarkStart w:id="382" w:name="_Toc16531437"/>
      <w:bookmarkStart w:id="383" w:name="_Toc8194"/>
      <w:bookmarkStart w:id="384" w:name="_Toc16531211"/>
      <w:r>
        <w:rPr>
          <w:color w:val="auto"/>
        </w:rPr>
        <w:br w:type="page"/>
      </w:r>
      <w:bookmarkEnd w:id="382"/>
      <w:bookmarkEnd w:id="383"/>
      <w:bookmarkEnd w:id="384"/>
      <w:bookmarkStart w:id="385" w:name="_Toc20477"/>
      <w:bookmarkStart w:id="386" w:name="_Toc16072"/>
      <w:bookmarkStart w:id="387" w:name="_Toc16531438"/>
      <w:bookmarkStart w:id="388" w:name="_Toc6747"/>
      <w:bookmarkStart w:id="389" w:name="_Toc12613"/>
      <w:bookmarkStart w:id="390" w:name="_Toc16531212"/>
      <w:r>
        <w:rPr>
          <w:color w:val="auto"/>
        </w:rPr>
        <w:t>质疑函</w:t>
      </w:r>
      <w:bookmarkEnd w:id="385"/>
      <w:bookmarkEnd w:id="386"/>
      <w:bookmarkEnd w:id="387"/>
      <w:bookmarkEnd w:id="388"/>
      <w:bookmarkEnd w:id="389"/>
      <w:bookmarkEnd w:id="390"/>
    </w:p>
    <w:p>
      <w:pPr>
        <w:tabs>
          <w:tab w:val="left" w:pos="0"/>
        </w:tabs>
        <w:spacing w:line="600" w:lineRule="exact"/>
        <w:jc w:val="center"/>
        <w:rPr>
          <w:rFonts w:ascii="Times New Roman" w:hAnsi="Times New Roman" w:eastAsia="方正仿宋简体"/>
          <w:sz w:val="28"/>
          <w:szCs w:val="28"/>
        </w:rPr>
      </w:pPr>
      <w:bookmarkStart w:id="391" w:name="_Toc30209_WPSOffice_Level1"/>
      <w:r>
        <w:rPr>
          <w:rFonts w:ascii="Times New Roman" w:hAnsi="Times New Roman" w:eastAsia="方正小标宋简体"/>
          <w:sz w:val="28"/>
          <w:szCs w:val="28"/>
        </w:rPr>
        <w:t>质疑函</w:t>
      </w:r>
      <w:bookmarkEnd w:id="391"/>
    </w:p>
    <w:tbl>
      <w:tblPr>
        <w:tblStyle w:val="8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5"/>
        <w:gridCol w:w="1816"/>
        <w:gridCol w:w="72"/>
        <w:gridCol w:w="778"/>
        <w:gridCol w:w="727"/>
        <w:gridCol w:w="369"/>
        <w:gridCol w:w="357"/>
        <w:gridCol w:w="762"/>
        <w:gridCol w:w="242"/>
        <w:gridCol w:w="928"/>
        <w:gridCol w:w="451"/>
        <w:gridCol w:w="1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15" w:type="dxa"/>
            <w:vMerge w:val="restart"/>
            <w:tcBorders>
              <w:top w:val="single" w:color="auto" w:sz="4" w:space="0"/>
              <w:left w:val="single" w:color="auto" w:sz="4" w:space="0"/>
              <w:bottom w:val="single" w:color="auto" w:sz="4" w:space="0"/>
              <w:right w:val="single" w:color="auto" w:sz="4" w:space="0"/>
            </w:tcBorders>
            <w:vAlign w:val="center"/>
          </w:tcPr>
          <w:p>
            <w:pPr>
              <w:tabs>
                <w:tab w:val="left" w:pos="0"/>
              </w:tabs>
              <w:spacing w:line="240" w:lineRule="exact"/>
              <w:jc w:val="center"/>
              <w:rPr>
                <w:rFonts w:ascii="Times New Roman" w:hAnsi="Times New Roman" w:eastAsia="宋体"/>
                <w:kern w:val="2"/>
                <w:szCs w:val="21"/>
              </w:rPr>
            </w:pPr>
            <w:r>
              <w:rPr>
                <w:rFonts w:ascii="Times New Roman" w:hAnsi="Times New Roman" w:eastAsia="宋体"/>
                <w:szCs w:val="21"/>
              </w:rPr>
              <w:t>质疑项目基本情况</w:t>
            </w:r>
          </w:p>
        </w:tc>
        <w:tc>
          <w:tcPr>
            <w:tcW w:w="1888" w:type="dxa"/>
            <w:gridSpan w:val="2"/>
            <w:tcBorders>
              <w:top w:val="single" w:color="auto" w:sz="4" w:space="0"/>
              <w:left w:val="single" w:color="auto" w:sz="4" w:space="0"/>
              <w:bottom w:val="single" w:color="auto" w:sz="4" w:space="0"/>
              <w:right w:val="single" w:color="auto" w:sz="4" w:space="0"/>
            </w:tcBorders>
            <w:vAlign w:val="center"/>
          </w:tcPr>
          <w:p>
            <w:pPr>
              <w:tabs>
                <w:tab w:val="left" w:pos="0"/>
              </w:tabs>
              <w:spacing w:line="600" w:lineRule="exact"/>
              <w:jc w:val="center"/>
              <w:rPr>
                <w:rFonts w:ascii="Times New Roman" w:hAnsi="Times New Roman" w:eastAsia="宋体"/>
                <w:kern w:val="2"/>
                <w:szCs w:val="21"/>
              </w:rPr>
            </w:pPr>
            <w:r>
              <w:rPr>
                <w:rFonts w:ascii="Times New Roman" w:hAnsi="Times New Roman" w:eastAsia="宋体"/>
                <w:szCs w:val="21"/>
              </w:rPr>
              <w:t>项目名称</w:t>
            </w:r>
          </w:p>
        </w:tc>
        <w:tc>
          <w:tcPr>
            <w:tcW w:w="5972" w:type="dxa"/>
            <w:gridSpan w:val="9"/>
            <w:tcBorders>
              <w:top w:val="single" w:color="auto" w:sz="4" w:space="0"/>
              <w:left w:val="single" w:color="auto" w:sz="4" w:space="0"/>
              <w:bottom w:val="single" w:color="auto" w:sz="4" w:space="0"/>
              <w:right w:val="single" w:color="auto" w:sz="4" w:space="0"/>
            </w:tcBorders>
            <w:vAlign w:val="center"/>
          </w:tcPr>
          <w:p>
            <w:pPr>
              <w:tabs>
                <w:tab w:val="left" w:pos="0"/>
              </w:tabs>
              <w:spacing w:line="600" w:lineRule="exact"/>
              <w:jc w:val="center"/>
              <w:rPr>
                <w:rFonts w:ascii="Times New Roman" w:hAnsi="Times New Roman" w:eastAsia="宋体"/>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15" w:type="dxa"/>
            <w:vMerge w:val="continue"/>
            <w:tcBorders>
              <w:top w:val="single" w:color="auto" w:sz="4" w:space="0"/>
              <w:left w:val="single" w:color="auto" w:sz="4" w:space="0"/>
              <w:bottom w:val="single" w:color="auto" w:sz="4" w:space="0"/>
              <w:right w:val="single" w:color="auto" w:sz="4" w:space="0"/>
            </w:tcBorders>
            <w:vAlign w:val="center"/>
          </w:tcPr>
          <w:p>
            <w:pPr>
              <w:tabs>
                <w:tab w:val="left" w:pos="0"/>
              </w:tabs>
              <w:jc w:val="center"/>
              <w:rPr>
                <w:rFonts w:ascii="Times New Roman" w:hAnsi="Times New Roman" w:eastAsia="宋体"/>
                <w:kern w:val="2"/>
                <w:szCs w:val="21"/>
              </w:rPr>
            </w:pPr>
          </w:p>
        </w:tc>
        <w:tc>
          <w:tcPr>
            <w:tcW w:w="1888" w:type="dxa"/>
            <w:gridSpan w:val="2"/>
            <w:tcBorders>
              <w:top w:val="single" w:color="auto" w:sz="4" w:space="0"/>
              <w:left w:val="single" w:color="auto" w:sz="4" w:space="0"/>
              <w:bottom w:val="single" w:color="auto" w:sz="4" w:space="0"/>
              <w:right w:val="single" w:color="auto" w:sz="4" w:space="0"/>
            </w:tcBorders>
            <w:vAlign w:val="center"/>
          </w:tcPr>
          <w:p>
            <w:pPr>
              <w:widowControl w:val="0"/>
              <w:tabs>
                <w:tab w:val="left" w:pos="0"/>
              </w:tabs>
              <w:jc w:val="center"/>
              <w:rPr>
                <w:rFonts w:ascii="Times New Roman" w:hAnsi="Times New Roman" w:eastAsia="宋体"/>
                <w:kern w:val="2"/>
                <w:szCs w:val="21"/>
              </w:rPr>
            </w:pPr>
            <w:r>
              <w:rPr>
                <w:rFonts w:ascii="Times New Roman" w:hAnsi="Times New Roman" w:eastAsia="宋体"/>
                <w:szCs w:val="21"/>
              </w:rPr>
              <w:t>项目编号</w:t>
            </w:r>
          </w:p>
        </w:tc>
        <w:tc>
          <w:tcPr>
            <w:tcW w:w="3235" w:type="dxa"/>
            <w:gridSpan w:val="6"/>
            <w:tcBorders>
              <w:top w:val="single" w:color="auto" w:sz="4" w:space="0"/>
              <w:left w:val="single" w:color="auto" w:sz="4" w:space="0"/>
              <w:bottom w:val="single" w:color="auto" w:sz="4" w:space="0"/>
              <w:right w:val="single" w:color="auto" w:sz="4" w:space="0"/>
            </w:tcBorders>
            <w:vAlign w:val="center"/>
          </w:tcPr>
          <w:p>
            <w:pPr>
              <w:widowControl w:val="0"/>
              <w:tabs>
                <w:tab w:val="left" w:pos="0"/>
              </w:tabs>
              <w:jc w:val="center"/>
              <w:rPr>
                <w:rFonts w:ascii="Times New Roman" w:hAnsi="Times New Roman" w:eastAsia="宋体"/>
                <w:kern w:val="2"/>
                <w:szCs w:val="21"/>
              </w:rPr>
            </w:pPr>
          </w:p>
        </w:tc>
        <w:tc>
          <w:tcPr>
            <w:tcW w:w="928" w:type="dxa"/>
            <w:tcBorders>
              <w:top w:val="single" w:color="auto" w:sz="4" w:space="0"/>
              <w:left w:val="single" w:color="auto" w:sz="4" w:space="0"/>
              <w:bottom w:val="single" w:color="auto" w:sz="4" w:space="0"/>
              <w:right w:val="single" w:color="auto" w:sz="4" w:space="0"/>
            </w:tcBorders>
            <w:vAlign w:val="center"/>
          </w:tcPr>
          <w:p>
            <w:pPr>
              <w:widowControl w:val="0"/>
              <w:tabs>
                <w:tab w:val="left" w:pos="0"/>
              </w:tabs>
              <w:jc w:val="center"/>
              <w:rPr>
                <w:rFonts w:ascii="Times New Roman" w:hAnsi="Times New Roman" w:eastAsia="宋体"/>
                <w:kern w:val="2"/>
                <w:szCs w:val="21"/>
              </w:rPr>
            </w:pPr>
            <w:r>
              <w:rPr>
                <w:rFonts w:ascii="Times New Roman" w:hAnsi="Times New Roman" w:eastAsia="宋体"/>
                <w:szCs w:val="21"/>
              </w:rPr>
              <w:t>包号</w:t>
            </w:r>
          </w:p>
        </w:tc>
        <w:tc>
          <w:tcPr>
            <w:tcW w:w="1809" w:type="dxa"/>
            <w:gridSpan w:val="2"/>
            <w:tcBorders>
              <w:top w:val="single" w:color="auto" w:sz="4" w:space="0"/>
              <w:left w:val="single" w:color="auto" w:sz="4" w:space="0"/>
              <w:bottom w:val="single" w:color="auto" w:sz="4" w:space="0"/>
              <w:right w:val="single" w:color="auto" w:sz="4" w:space="0"/>
            </w:tcBorders>
            <w:vAlign w:val="center"/>
          </w:tcPr>
          <w:p>
            <w:pPr>
              <w:widowControl w:val="0"/>
              <w:tabs>
                <w:tab w:val="left" w:pos="0"/>
              </w:tabs>
              <w:jc w:val="center"/>
              <w:rPr>
                <w:rFonts w:ascii="Times New Roman" w:hAnsi="Times New Roman" w:eastAsia="宋体"/>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15" w:type="dxa"/>
            <w:vMerge w:val="continue"/>
            <w:tcBorders>
              <w:top w:val="single" w:color="auto" w:sz="4" w:space="0"/>
              <w:left w:val="single" w:color="auto" w:sz="4" w:space="0"/>
              <w:bottom w:val="single" w:color="auto" w:sz="4" w:space="0"/>
              <w:right w:val="single" w:color="auto" w:sz="4" w:space="0"/>
            </w:tcBorders>
            <w:vAlign w:val="center"/>
          </w:tcPr>
          <w:p>
            <w:pPr>
              <w:tabs>
                <w:tab w:val="left" w:pos="0"/>
              </w:tabs>
              <w:jc w:val="center"/>
              <w:rPr>
                <w:rFonts w:ascii="Times New Roman" w:hAnsi="Times New Roman" w:eastAsia="宋体"/>
                <w:kern w:val="2"/>
                <w:szCs w:val="21"/>
              </w:rPr>
            </w:pPr>
          </w:p>
        </w:tc>
        <w:tc>
          <w:tcPr>
            <w:tcW w:w="1888" w:type="dxa"/>
            <w:gridSpan w:val="2"/>
            <w:tcBorders>
              <w:top w:val="single" w:color="auto" w:sz="4" w:space="0"/>
              <w:left w:val="single" w:color="auto" w:sz="4" w:space="0"/>
              <w:bottom w:val="single" w:color="auto" w:sz="4" w:space="0"/>
              <w:right w:val="single" w:color="auto" w:sz="4" w:space="0"/>
            </w:tcBorders>
            <w:vAlign w:val="center"/>
          </w:tcPr>
          <w:p>
            <w:pPr>
              <w:widowControl w:val="0"/>
              <w:tabs>
                <w:tab w:val="left" w:pos="0"/>
              </w:tabs>
              <w:jc w:val="center"/>
              <w:rPr>
                <w:rFonts w:ascii="Times New Roman" w:hAnsi="Times New Roman" w:eastAsia="宋体"/>
                <w:kern w:val="2"/>
                <w:szCs w:val="21"/>
              </w:rPr>
            </w:pPr>
            <w:r>
              <w:rPr>
                <w:rFonts w:ascii="Times New Roman" w:hAnsi="Times New Roman" w:eastAsia="宋体"/>
                <w:szCs w:val="21"/>
              </w:rPr>
              <w:t>招标公告时间</w:t>
            </w:r>
          </w:p>
        </w:tc>
        <w:tc>
          <w:tcPr>
            <w:tcW w:w="1874" w:type="dxa"/>
            <w:gridSpan w:val="3"/>
            <w:tcBorders>
              <w:top w:val="single" w:color="auto" w:sz="4" w:space="0"/>
              <w:left w:val="single" w:color="auto" w:sz="4" w:space="0"/>
              <w:bottom w:val="single" w:color="auto" w:sz="4" w:space="0"/>
              <w:right w:val="single" w:color="auto" w:sz="4" w:space="0"/>
            </w:tcBorders>
            <w:vAlign w:val="center"/>
          </w:tcPr>
          <w:p>
            <w:pPr>
              <w:widowControl w:val="0"/>
              <w:tabs>
                <w:tab w:val="left" w:pos="0"/>
              </w:tabs>
              <w:jc w:val="center"/>
              <w:rPr>
                <w:rFonts w:ascii="Times New Roman" w:hAnsi="Times New Roman" w:eastAsia="宋体"/>
                <w:kern w:val="2"/>
                <w:szCs w:val="21"/>
              </w:rPr>
            </w:pPr>
            <w:r>
              <w:rPr>
                <w:rFonts w:ascii="Times New Roman" w:hAnsi="Times New Roman" w:eastAsia="宋体"/>
                <w:szCs w:val="21"/>
              </w:rPr>
              <w:t>年</w:t>
            </w:r>
            <w:r>
              <w:rPr>
                <w:rFonts w:hint="eastAsia" w:ascii="Times New Roman" w:hAnsi="Times New Roman" w:eastAsia="宋体"/>
                <w:szCs w:val="21"/>
                <w:lang w:val="en-US"/>
              </w:rPr>
              <w:t xml:space="preserve">  </w:t>
            </w:r>
            <w:r>
              <w:rPr>
                <w:rFonts w:ascii="Times New Roman" w:hAnsi="Times New Roman" w:eastAsia="宋体"/>
                <w:szCs w:val="21"/>
              </w:rPr>
              <w:t>月</w:t>
            </w:r>
            <w:r>
              <w:rPr>
                <w:rFonts w:hint="eastAsia" w:ascii="Times New Roman" w:hAnsi="Times New Roman" w:eastAsia="宋体"/>
                <w:szCs w:val="21"/>
                <w:lang w:val="en-US"/>
              </w:rPr>
              <w:t xml:space="preserve">  </w:t>
            </w:r>
            <w:r>
              <w:rPr>
                <w:rFonts w:ascii="Times New Roman" w:hAnsi="Times New Roman" w:eastAsia="宋体"/>
                <w:szCs w:val="21"/>
              </w:rPr>
              <w:t>日</w:t>
            </w:r>
          </w:p>
        </w:tc>
        <w:tc>
          <w:tcPr>
            <w:tcW w:w="2289" w:type="dxa"/>
            <w:gridSpan w:val="4"/>
            <w:tcBorders>
              <w:top w:val="single" w:color="auto" w:sz="4" w:space="0"/>
              <w:left w:val="single" w:color="auto" w:sz="4" w:space="0"/>
              <w:bottom w:val="single" w:color="auto" w:sz="4" w:space="0"/>
              <w:right w:val="single" w:color="auto" w:sz="4" w:space="0"/>
            </w:tcBorders>
            <w:vAlign w:val="center"/>
          </w:tcPr>
          <w:p>
            <w:pPr>
              <w:widowControl w:val="0"/>
              <w:tabs>
                <w:tab w:val="left" w:pos="0"/>
              </w:tabs>
              <w:jc w:val="center"/>
              <w:rPr>
                <w:rFonts w:ascii="Times New Roman" w:hAnsi="Times New Roman" w:eastAsia="宋体"/>
                <w:kern w:val="2"/>
                <w:szCs w:val="21"/>
              </w:rPr>
            </w:pPr>
            <w:r>
              <w:rPr>
                <w:rFonts w:ascii="Times New Roman" w:hAnsi="Times New Roman" w:eastAsia="宋体"/>
                <w:szCs w:val="21"/>
              </w:rPr>
              <w:t>中标（成交）公告时间</w:t>
            </w:r>
          </w:p>
        </w:tc>
        <w:tc>
          <w:tcPr>
            <w:tcW w:w="1809" w:type="dxa"/>
            <w:gridSpan w:val="2"/>
            <w:tcBorders>
              <w:top w:val="single" w:color="auto" w:sz="4" w:space="0"/>
              <w:left w:val="single" w:color="auto" w:sz="4" w:space="0"/>
              <w:bottom w:val="single" w:color="auto" w:sz="4" w:space="0"/>
              <w:right w:val="single" w:color="auto" w:sz="4" w:space="0"/>
            </w:tcBorders>
            <w:vAlign w:val="center"/>
          </w:tcPr>
          <w:p>
            <w:pPr>
              <w:widowControl w:val="0"/>
              <w:tabs>
                <w:tab w:val="left" w:pos="0"/>
              </w:tabs>
              <w:jc w:val="center"/>
              <w:rPr>
                <w:rFonts w:ascii="Times New Roman" w:hAnsi="Times New Roman" w:eastAsia="宋体"/>
                <w:kern w:val="2"/>
                <w:szCs w:val="21"/>
              </w:rPr>
            </w:pPr>
            <w:r>
              <w:rPr>
                <w:rFonts w:ascii="Times New Roman" w:hAnsi="Times New Roman" w:eastAsia="宋体"/>
                <w:szCs w:val="21"/>
              </w:rPr>
              <w:t>年</w:t>
            </w:r>
            <w:r>
              <w:rPr>
                <w:rFonts w:hint="eastAsia" w:ascii="Times New Roman" w:hAnsi="Times New Roman" w:eastAsia="宋体"/>
                <w:szCs w:val="21"/>
                <w:lang w:val="en-US"/>
              </w:rPr>
              <w:t xml:space="preserve">  </w:t>
            </w:r>
            <w:r>
              <w:rPr>
                <w:rFonts w:ascii="Times New Roman" w:hAnsi="Times New Roman" w:eastAsia="宋体"/>
                <w:szCs w:val="21"/>
              </w:rPr>
              <w:t>月</w:t>
            </w:r>
            <w:r>
              <w:rPr>
                <w:rFonts w:hint="eastAsia" w:ascii="Times New Roman" w:hAnsi="Times New Roman" w:eastAsia="宋体"/>
                <w:szCs w:val="21"/>
                <w:lang w:val="en-US"/>
              </w:rPr>
              <w:t xml:space="preserve">  </w:t>
            </w:r>
            <w:r>
              <w:rPr>
                <w:rFonts w:ascii="Times New Roman" w:hAnsi="Times New Roman" w:eastAsia="宋体"/>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15" w:type="dxa"/>
            <w:vMerge w:val="continue"/>
            <w:tcBorders>
              <w:top w:val="single" w:color="auto" w:sz="4" w:space="0"/>
              <w:left w:val="single" w:color="auto" w:sz="4" w:space="0"/>
              <w:bottom w:val="single" w:color="auto" w:sz="4" w:space="0"/>
              <w:right w:val="single" w:color="auto" w:sz="4" w:space="0"/>
            </w:tcBorders>
            <w:vAlign w:val="center"/>
          </w:tcPr>
          <w:p>
            <w:pPr>
              <w:tabs>
                <w:tab w:val="left" w:pos="0"/>
              </w:tabs>
              <w:jc w:val="center"/>
              <w:rPr>
                <w:rFonts w:ascii="Times New Roman" w:hAnsi="Times New Roman" w:eastAsia="宋体"/>
                <w:kern w:val="2"/>
                <w:szCs w:val="21"/>
              </w:rPr>
            </w:pPr>
          </w:p>
        </w:tc>
        <w:tc>
          <w:tcPr>
            <w:tcW w:w="1888" w:type="dxa"/>
            <w:gridSpan w:val="2"/>
            <w:tcBorders>
              <w:top w:val="single" w:color="auto" w:sz="4" w:space="0"/>
              <w:left w:val="single" w:color="auto" w:sz="4" w:space="0"/>
              <w:bottom w:val="single" w:color="auto" w:sz="4" w:space="0"/>
              <w:right w:val="single" w:color="auto" w:sz="4" w:space="0"/>
            </w:tcBorders>
            <w:vAlign w:val="center"/>
          </w:tcPr>
          <w:p>
            <w:pPr>
              <w:widowControl w:val="0"/>
              <w:tabs>
                <w:tab w:val="left" w:pos="0"/>
              </w:tabs>
              <w:jc w:val="center"/>
              <w:rPr>
                <w:rFonts w:ascii="Times New Roman" w:hAnsi="Times New Roman" w:eastAsia="宋体"/>
                <w:kern w:val="2"/>
                <w:szCs w:val="21"/>
              </w:rPr>
            </w:pPr>
            <w:r>
              <w:rPr>
                <w:rFonts w:ascii="Times New Roman" w:hAnsi="Times New Roman" w:eastAsia="宋体"/>
                <w:szCs w:val="21"/>
              </w:rPr>
              <w:t>招标公告变更公告时间（若有</w:t>
            </w:r>
            <w:r>
              <w:rPr>
                <w:rFonts w:ascii="宋体" w:hAnsi="宋体" w:eastAsia="宋体"/>
                <w:szCs w:val="21"/>
              </w:rPr>
              <w:t>，</w:t>
            </w:r>
            <w:r>
              <w:rPr>
                <w:rFonts w:ascii="Times New Roman" w:hAnsi="Times New Roman" w:eastAsia="宋体"/>
                <w:szCs w:val="21"/>
              </w:rPr>
              <w:t>请依次顺序填写）</w:t>
            </w:r>
          </w:p>
        </w:tc>
        <w:tc>
          <w:tcPr>
            <w:tcW w:w="1874" w:type="dxa"/>
            <w:gridSpan w:val="3"/>
            <w:tcBorders>
              <w:top w:val="single" w:color="auto" w:sz="4" w:space="0"/>
              <w:left w:val="single" w:color="auto" w:sz="4" w:space="0"/>
              <w:bottom w:val="single" w:color="auto" w:sz="4" w:space="0"/>
              <w:right w:val="single" w:color="auto" w:sz="4" w:space="0"/>
            </w:tcBorders>
            <w:vAlign w:val="center"/>
          </w:tcPr>
          <w:p>
            <w:pPr>
              <w:widowControl w:val="0"/>
              <w:tabs>
                <w:tab w:val="left" w:pos="0"/>
                <w:tab w:val="left" w:pos="4577"/>
              </w:tabs>
              <w:jc w:val="center"/>
              <w:rPr>
                <w:rFonts w:ascii="Times New Roman" w:hAnsi="Times New Roman" w:eastAsia="宋体"/>
                <w:kern w:val="2"/>
                <w:szCs w:val="21"/>
                <w:u w:val="single"/>
              </w:rPr>
            </w:pPr>
            <w:r>
              <w:rPr>
                <w:rFonts w:ascii="Times New Roman" w:hAnsi="Times New Roman" w:eastAsia="宋体"/>
                <w:szCs w:val="21"/>
              </w:rPr>
              <w:t>年</w:t>
            </w:r>
            <w:r>
              <w:rPr>
                <w:rFonts w:hint="eastAsia" w:ascii="Times New Roman" w:hAnsi="Times New Roman" w:eastAsia="宋体"/>
                <w:szCs w:val="21"/>
                <w:lang w:val="en-US"/>
              </w:rPr>
              <w:t xml:space="preserve">  </w:t>
            </w:r>
            <w:r>
              <w:rPr>
                <w:rFonts w:ascii="Times New Roman" w:hAnsi="Times New Roman" w:eastAsia="宋体"/>
                <w:szCs w:val="21"/>
              </w:rPr>
              <w:t>月</w:t>
            </w:r>
            <w:r>
              <w:rPr>
                <w:rFonts w:hint="eastAsia" w:ascii="Times New Roman" w:hAnsi="Times New Roman" w:eastAsia="宋体"/>
                <w:szCs w:val="21"/>
                <w:lang w:val="en-US"/>
              </w:rPr>
              <w:t xml:space="preserve">  </w:t>
            </w:r>
            <w:r>
              <w:rPr>
                <w:rFonts w:ascii="Times New Roman" w:hAnsi="Times New Roman" w:eastAsia="宋体"/>
                <w:szCs w:val="21"/>
              </w:rPr>
              <w:t>日</w:t>
            </w:r>
          </w:p>
        </w:tc>
        <w:tc>
          <w:tcPr>
            <w:tcW w:w="2289" w:type="dxa"/>
            <w:gridSpan w:val="4"/>
            <w:tcBorders>
              <w:top w:val="single" w:color="auto" w:sz="4" w:space="0"/>
              <w:left w:val="single" w:color="auto" w:sz="4" w:space="0"/>
              <w:bottom w:val="single" w:color="auto" w:sz="4" w:space="0"/>
              <w:right w:val="single" w:color="auto" w:sz="4" w:space="0"/>
            </w:tcBorders>
            <w:vAlign w:val="center"/>
          </w:tcPr>
          <w:p>
            <w:pPr>
              <w:widowControl w:val="0"/>
              <w:tabs>
                <w:tab w:val="left" w:pos="0"/>
                <w:tab w:val="left" w:pos="4577"/>
              </w:tabs>
              <w:spacing w:line="300" w:lineRule="exact"/>
              <w:jc w:val="center"/>
              <w:rPr>
                <w:rFonts w:ascii="Times New Roman" w:hAnsi="Times New Roman" w:eastAsia="宋体"/>
                <w:kern w:val="2"/>
                <w:szCs w:val="21"/>
                <w:u w:val="single"/>
              </w:rPr>
            </w:pPr>
            <w:r>
              <w:rPr>
                <w:rFonts w:ascii="Times New Roman" w:hAnsi="Times New Roman" w:eastAsia="宋体"/>
                <w:szCs w:val="21"/>
              </w:rPr>
              <w:t>中标（成交）公告变更公告时间（若有</w:t>
            </w:r>
            <w:r>
              <w:rPr>
                <w:rFonts w:ascii="宋体" w:hAnsi="宋体" w:eastAsia="宋体"/>
                <w:szCs w:val="21"/>
              </w:rPr>
              <w:t>，</w:t>
            </w:r>
            <w:r>
              <w:rPr>
                <w:rFonts w:ascii="Times New Roman" w:hAnsi="Times New Roman" w:eastAsia="宋体"/>
                <w:szCs w:val="21"/>
              </w:rPr>
              <w:t>请依次顺序填写）</w:t>
            </w:r>
          </w:p>
        </w:tc>
        <w:tc>
          <w:tcPr>
            <w:tcW w:w="1809" w:type="dxa"/>
            <w:gridSpan w:val="2"/>
            <w:tcBorders>
              <w:top w:val="single" w:color="auto" w:sz="4" w:space="0"/>
              <w:left w:val="single" w:color="auto" w:sz="4" w:space="0"/>
              <w:bottom w:val="single" w:color="auto" w:sz="4" w:space="0"/>
              <w:right w:val="single" w:color="auto" w:sz="4" w:space="0"/>
            </w:tcBorders>
            <w:vAlign w:val="center"/>
          </w:tcPr>
          <w:p>
            <w:pPr>
              <w:widowControl w:val="0"/>
              <w:tabs>
                <w:tab w:val="left" w:pos="0"/>
              </w:tabs>
              <w:jc w:val="center"/>
              <w:rPr>
                <w:rFonts w:ascii="Times New Roman" w:hAnsi="Times New Roman" w:eastAsia="宋体"/>
                <w:kern w:val="2"/>
                <w:szCs w:val="21"/>
              </w:rPr>
            </w:pPr>
            <w:r>
              <w:rPr>
                <w:rFonts w:ascii="Times New Roman" w:hAnsi="Times New Roman" w:eastAsia="宋体"/>
                <w:szCs w:val="21"/>
              </w:rPr>
              <w:t>年</w:t>
            </w:r>
            <w:r>
              <w:rPr>
                <w:rFonts w:hint="eastAsia" w:ascii="Times New Roman" w:hAnsi="Times New Roman" w:eastAsia="宋体"/>
                <w:szCs w:val="21"/>
                <w:lang w:val="en-US"/>
              </w:rPr>
              <w:t xml:space="preserve">  </w:t>
            </w:r>
            <w:r>
              <w:rPr>
                <w:rFonts w:ascii="Times New Roman" w:hAnsi="Times New Roman" w:eastAsia="宋体"/>
                <w:szCs w:val="21"/>
              </w:rPr>
              <w:t>月</w:t>
            </w:r>
            <w:r>
              <w:rPr>
                <w:rFonts w:hint="eastAsia" w:ascii="Times New Roman" w:hAnsi="Times New Roman" w:eastAsia="宋体"/>
                <w:szCs w:val="21"/>
                <w:lang w:val="en-US"/>
              </w:rPr>
              <w:t xml:space="preserve">  </w:t>
            </w:r>
            <w:r>
              <w:rPr>
                <w:rFonts w:ascii="Times New Roman" w:hAnsi="Times New Roman" w:eastAsia="宋体"/>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15" w:type="dxa"/>
            <w:vMerge w:val="continue"/>
            <w:tcBorders>
              <w:top w:val="single" w:color="auto" w:sz="4" w:space="0"/>
              <w:left w:val="single" w:color="auto" w:sz="4" w:space="0"/>
              <w:bottom w:val="single" w:color="auto" w:sz="4" w:space="0"/>
              <w:right w:val="single" w:color="auto" w:sz="4" w:space="0"/>
            </w:tcBorders>
            <w:vAlign w:val="center"/>
          </w:tcPr>
          <w:p>
            <w:pPr>
              <w:tabs>
                <w:tab w:val="left" w:pos="0"/>
              </w:tabs>
              <w:jc w:val="center"/>
              <w:rPr>
                <w:rFonts w:ascii="Times New Roman" w:hAnsi="Times New Roman" w:eastAsia="宋体"/>
                <w:kern w:val="2"/>
                <w:szCs w:val="21"/>
              </w:rPr>
            </w:pPr>
          </w:p>
        </w:tc>
        <w:tc>
          <w:tcPr>
            <w:tcW w:w="1888" w:type="dxa"/>
            <w:gridSpan w:val="2"/>
            <w:tcBorders>
              <w:top w:val="single" w:color="auto" w:sz="4" w:space="0"/>
              <w:left w:val="single" w:color="auto" w:sz="4" w:space="0"/>
              <w:bottom w:val="single" w:color="auto" w:sz="4" w:space="0"/>
              <w:right w:val="single" w:color="auto" w:sz="4" w:space="0"/>
            </w:tcBorders>
            <w:vAlign w:val="center"/>
          </w:tcPr>
          <w:p>
            <w:pPr>
              <w:widowControl w:val="0"/>
              <w:tabs>
                <w:tab w:val="left" w:pos="0"/>
                <w:tab w:val="left" w:pos="4577"/>
              </w:tabs>
              <w:jc w:val="center"/>
              <w:rPr>
                <w:rFonts w:ascii="Times New Roman" w:hAnsi="Times New Roman" w:eastAsia="宋体"/>
                <w:szCs w:val="21"/>
              </w:rPr>
            </w:pPr>
            <w:r>
              <w:rPr>
                <w:rFonts w:ascii="Times New Roman" w:hAnsi="Times New Roman" w:eastAsia="宋体"/>
                <w:szCs w:val="21"/>
              </w:rPr>
              <w:t>废标公告时间</w:t>
            </w:r>
          </w:p>
          <w:p>
            <w:pPr>
              <w:widowControl w:val="0"/>
              <w:tabs>
                <w:tab w:val="left" w:pos="0"/>
                <w:tab w:val="left" w:pos="4577"/>
              </w:tabs>
              <w:jc w:val="center"/>
              <w:rPr>
                <w:rFonts w:ascii="Times New Roman" w:hAnsi="Times New Roman" w:eastAsia="宋体"/>
                <w:kern w:val="2"/>
                <w:szCs w:val="21"/>
              </w:rPr>
            </w:pPr>
            <w:r>
              <w:rPr>
                <w:rFonts w:ascii="Times New Roman" w:hAnsi="Times New Roman" w:eastAsia="宋体"/>
                <w:szCs w:val="21"/>
              </w:rPr>
              <w:t>（若有）</w:t>
            </w:r>
          </w:p>
        </w:tc>
        <w:tc>
          <w:tcPr>
            <w:tcW w:w="5972" w:type="dxa"/>
            <w:gridSpan w:val="9"/>
            <w:tcBorders>
              <w:top w:val="single" w:color="auto" w:sz="4" w:space="0"/>
              <w:left w:val="single" w:color="auto" w:sz="4" w:space="0"/>
              <w:bottom w:val="single" w:color="auto" w:sz="4" w:space="0"/>
              <w:right w:val="single" w:color="auto" w:sz="4" w:space="0"/>
            </w:tcBorders>
            <w:vAlign w:val="center"/>
          </w:tcPr>
          <w:p>
            <w:pPr>
              <w:widowControl w:val="0"/>
              <w:tabs>
                <w:tab w:val="left" w:pos="0"/>
                <w:tab w:val="left" w:pos="4577"/>
              </w:tabs>
              <w:jc w:val="center"/>
              <w:rPr>
                <w:rFonts w:ascii="Times New Roman" w:hAnsi="Times New Roman" w:eastAsia="宋体"/>
                <w:kern w:val="2"/>
                <w:szCs w:val="21"/>
                <w:u w:val="single"/>
              </w:rPr>
            </w:pPr>
            <w:r>
              <w:rPr>
                <w:rFonts w:ascii="Times New Roman" w:hAnsi="Times New Roman" w:eastAsia="宋体"/>
                <w:szCs w:val="21"/>
              </w:rPr>
              <w:t>年</w:t>
            </w:r>
            <w:r>
              <w:rPr>
                <w:rFonts w:hint="eastAsia" w:ascii="Times New Roman" w:hAnsi="Times New Roman" w:eastAsia="宋体"/>
                <w:szCs w:val="21"/>
                <w:lang w:val="en-US"/>
              </w:rPr>
              <w:t xml:space="preserve">    </w:t>
            </w:r>
            <w:r>
              <w:rPr>
                <w:rFonts w:ascii="Times New Roman" w:hAnsi="Times New Roman" w:eastAsia="宋体"/>
                <w:szCs w:val="21"/>
              </w:rPr>
              <w:t>月</w:t>
            </w:r>
            <w:r>
              <w:rPr>
                <w:rFonts w:hint="eastAsia" w:ascii="Times New Roman" w:hAnsi="Times New Roman" w:eastAsia="宋体"/>
                <w:szCs w:val="21"/>
                <w:lang w:val="en-US"/>
              </w:rPr>
              <w:t xml:space="preserve">    </w:t>
            </w:r>
            <w:r>
              <w:rPr>
                <w:rFonts w:ascii="Times New Roman" w:hAnsi="Times New Roman" w:eastAsia="宋体"/>
                <w:szCs w:val="21"/>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15" w:type="dxa"/>
            <w:vMerge w:val="restart"/>
            <w:tcBorders>
              <w:top w:val="single" w:color="auto" w:sz="4" w:space="0"/>
              <w:left w:val="single" w:color="auto" w:sz="4" w:space="0"/>
              <w:bottom w:val="single" w:color="auto" w:sz="4" w:space="0"/>
              <w:right w:val="single" w:color="auto" w:sz="4" w:space="0"/>
            </w:tcBorders>
            <w:vAlign w:val="center"/>
          </w:tcPr>
          <w:p>
            <w:pPr>
              <w:widowControl w:val="0"/>
              <w:tabs>
                <w:tab w:val="left" w:pos="0"/>
              </w:tabs>
              <w:jc w:val="center"/>
              <w:rPr>
                <w:rFonts w:ascii="Times New Roman" w:hAnsi="Times New Roman" w:eastAsia="宋体"/>
                <w:kern w:val="2"/>
                <w:szCs w:val="21"/>
              </w:rPr>
            </w:pPr>
            <w:r>
              <w:rPr>
                <w:rFonts w:ascii="Times New Roman" w:hAnsi="Times New Roman" w:eastAsia="宋体"/>
                <w:szCs w:val="21"/>
              </w:rPr>
              <w:t>质疑人</w:t>
            </w:r>
          </w:p>
        </w:tc>
        <w:tc>
          <w:tcPr>
            <w:tcW w:w="1888" w:type="dxa"/>
            <w:gridSpan w:val="2"/>
            <w:tcBorders>
              <w:top w:val="single" w:color="auto" w:sz="4" w:space="0"/>
              <w:left w:val="single" w:color="auto" w:sz="4" w:space="0"/>
              <w:bottom w:val="single" w:color="auto" w:sz="4" w:space="0"/>
              <w:right w:val="single" w:color="auto" w:sz="4" w:space="0"/>
            </w:tcBorders>
            <w:vAlign w:val="center"/>
          </w:tcPr>
          <w:p>
            <w:pPr>
              <w:widowControl w:val="0"/>
              <w:tabs>
                <w:tab w:val="left" w:pos="0"/>
              </w:tabs>
              <w:jc w:val="center"/>
              <w:rPr>
                <w:rFonts w:ascii="Times New Roman" w:hAnsi="Times New Roman" w:eastAsia="宋体"/>
                <w:kern w:val="2"/>
                <w:szCs w:val="21"/>
              </w:rPr>
            </w:pPr>
            <w:r>
              <w:rPr>
                <w:rFonts w:ascii="Times New Roman" w:hAnsi="Times New Roman" w:eastAsia="宋体"/>
                <w:szCs w:val="21"/>
              </w:rPr>
              <w:t>单位名称</w:t>
            </w:r>
          </w:p>
        </w:tc>
        <w:tc>
          <w:tcPr>
            <w:tcW w:w="5972" w:type="dxa"/>
            <w:gridSpan w:val="9"/>
            <w:tcBorders>
              <w:top w:val="single" w:color="auto" w:sz="4" w:space="0"/>
              <w:left w:val="single" w:color="auto" w:sz="4" w:space="0"/>
              <w:bottom w:val="single" w:color="auto" w:sz="4" w:space="0"/>
              <w:right w:val="single" w:color="auto" w:sz="4" w:space="0"/>
            </w:tcBorders>
            <w:vAlign w:val="center"/>
          </w:tcPr>
          <w:p>
            <w:pPr>
              <w:widowControl w:val="0"/>
              <w:tabs>
                <w:tab w:val="left" w:pos="0"/>
              </w:tabs>
              <w:jc w:val="center"/>
              <w:rPr>
                <w:rFonts w:ascii="Times New Roman" w:hAnsi="Times New Roman" w:eastAsia="宋体"/>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15" w:type="dxa"/>
            <w:vMerge w:val="continue"/>
            <w:tcBorders>
              <w:top w:val="single" w:color="auto" w:sz="4" w:space="0"/>
              <w:left w:val="single" w:color="auto" w:sz="4" w:space="0"/>
              <w:bottom w:val="single" w:color="auto" w:sz="4" w:space="0"/>
              <w:right w:val="single" w:color="auto" w:sz="4" w:space="0"/>
            </w:tcBorders>
            <w:vAlign w:val="center"/>
          </w:tcPr>
          <w:p>
            <w:pPr>
              <w:tabs>
                <w:tab w:val="left" w:pos="0"/>
              </w:tabs>
              <w:jc w:val="center"/>
              <w:rPr>
                <w:rFonts w:ascii="Times New Roman" w:hAnsi="Times New Roman" w:eastAsia="宋体"/>
                <w:kern w:val="2"/>
                <w:szCs w:val="21"/>
              </w:rPr>
            </w:pPr>
          </w:p>
        </w:tc>
        <w:tc>
          <w:tcPr>
            <w:tcW w:w="1888" w:type="dxa"/>
            <w:gridSpan w:val="2"/>
            <w:tcBorders>
              <w:top w:val="single" w:color="auto" w:sz="4" w:space="0"/>
              <w:left w:val="single" w:color="auto" w:sz="4" w:space="0"/>
              <w:bottom w:val="single" w:color="auto" w:sz="4" w:space="0"/>
              <w:right w:val="single" w:color="auto" w:sz="4" w:space="0"/>
            </w:tcBorders>
            <w:vAlign w:val="center"/>
          </w:tcPr>
          <w:p>
            <w:pPr>
              <w:widowControl w:val="0"/>
              <w:tabs>
                <w:tab w:val="left" w:pos="0"/>
              </w:tabs>
              <w:jc w:val="center"/>
              <w:rPr>
                <w:rFonts w:ascii="Times New Roman" w:hAnsi="Times New Roman" w:eastAsia="宋体"/>
                <w:kern w:val="2"/>
                <w:szCs w:val="21"/>
              </w:rPr>
            </w:pPr>
            <w:r>
              <w:rPr>
                <w:rFonts w:ascii="Times New Roman" w:hAnsi="Times New Roman" w:eastAsia="宋体"/>
                <w:szCs w:val="21"/>
              </w:rPr>
              <w:t>邮寄地址</w:t>
            </w:r>
          </w:p>
        </w:tc>
        <w:tc>
          <w:tcPr>
            <w:tcW w:w="2993" w:type="dxa"/>
            <w:gridSpan w:val="5"/>
            <w:tcBorders>
              <w:top w:val="single" w:color="auto" w:sz="4" w:space="0"/>
              <w:left w:val="single" w:color="auto" w:sz="4" w:space="0"/>
              <w:bottom w:val="single" w:color="auto" w:sz="4" w:space="0"/>
              <w:right w:val="single" w:color="auto" w:sz="4" w:space="0"/>
            </w:tcBorders>
            <w:vAlign w:val="center"/>
          </w:tcPr>
          <w:p>
            <w:pPr>
              <w:widowControl w:val="0"/>
              <w:tabs>
                <w:tab w:val="left" w:pos="0"/>
              </w:tabs>
              <w:jc w:val="center"/>
              <w:rPr>
                <w:rFonts w:ascii="Times New Roman" w:hAnsi="Times New Roman" w:eastAsia="宋体"/>
                <w:kern w:val="2"/>
                <w:szCs w:val="21"/>
              </w:rPr>
            </w:pPr>
          </w:p>
        </w:tc>
        <w:tc>
          <w:tcPr>
            <w:tcW w:w="1621" w:type="dxa"/>
            <w:gridSpan w:val="3"/>
            <w:tcBorders>
              <w:top w:val="single" w:color="auto" w:sz="4" w:space="0"/>
              <w:left w:val="single" w:color="auto" w:sz="4" w:space="0"/>
              <w:bottom w:val="single" w:color="auto" w:sz="4" w:space="0"/>
              <w:right w:val="single" w:color="auto" w:sz="4" w:space="0"/>
            </w:tcBorders>
            <w:vAlign w:val="center"/>
          </w:tcPr>
          <w:p>
            <w:pPr>
              <w:widowControl w:val="0"/>
              <w:tabs>
                <w:tab w:val="left" w:pos="0"/>
              </w:tabs>
              <w:jc w:val="center"/>
              <w:rPr>
                <w:rFonts w:ascii="Times New Roman" w:hAnsi="Times New Roman" w:eastAsia="宋体"/>
                <w:kern w:val="2"/>
                <w:szCs w:val="21"/>
              </w:rPr>
            </w:pPr>
            <w:r>
              <w:rPr>
                <w:rFonts w:ascii="Times New Roman" w:hAnsi="Times New Roman" w:eastAsia="宋体"/>
                <w:szCs w:val="21"/>
              </w:rPr>
              <w:t>邮政编码</w:t>
            </w:r>
          </w:p>
        </w:tc>
        <w:tc>
          <w:tcPr>
            <w:tcW w:w="1358" w:type="dxa"/>
            <w:tcBorders>
              <w:top w:val="single" w:color="auto" w:sz="4" w:space="0"/>
              <w:left w:val="single" w:color="auto" w:sz="4" w:space="0"/>
              <w:bottom w:val="single" w:color="auto" w:sz="4" w:space="0"/>
              <w:right w:val="single" w:color="auto" w:sz="4" w:space="0"/>
            </w:tcBorders>
            <w:vAlign w:val="center"/>
          </w:tcPr>
          <w:p>
            <w:pPr>
              <w:widowControl w:val="0"/>
              <w:tabs>
                <w:tab w:val="left" w:pos="0"/>
              </w:tabs>
              <w:jc w:val="center"/>
              <w:rPr>
                <w:rFonts w:ascii="Times New Roman" w:hAnsi="Times New Roman" w:eastAsia="宋体"/>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15" w:type="dxa"/>
            <w:vMerge w:val="continue"/>
            <w:tcBorders>
              <w:top w:val="single" w:color="auto" w:sz="4" w:space="0"/>
              <w:left w:val="single" w:color="auto" w:sz="4" w:space="0"/>
              <w:bottom w:val="single" w:color="auto" w:sz="4" w:space="0"/>
              <w:right w:val="single" w:color="auto" w:sz="4" w:space="0"/>
            </w:tcBorders>
            <w:vAlign w:val="center"/>
          </w:tcPr>
          <w:p>
            <w:pPr>
              <w:tabs>
                <w:tab w:val="left" w:pos="0"/>
              </w:tabs>
              <w:jc w:val="center"/>
              <w:rPr>
                <w:rFonts w:ascii="Times New Roman" w:hAnsi="Times New Roman" w:eastAsia="宋体"/>
                <w:kern w:val="2"/>
                <w:szCs w:val="21"/>
              </w:rPr>
            </w:pPr>
          </w:p>
        </w:tc>
        <w:tc>
          <w:tcPr>
            <w:tcW w:w="1888" w:type="dxa"/>
            <w:gridSpan w:val="2"/>
            <w:vMerge w:val="restart"/>
            <w:tcBorders>
              <w:top w:val="single" w:color="auto" w:sz="4" w:space="0"/>
              <w:left w:val="single" w:color="auto" w:sz="4" w:space="0"/>
              <w:bottom w:val="single" w:color="auto" w:sz="4" w:space="0"/>
              <w:right w:val="single" w:color="auto" w:sz="4" w:space="0"/>
            </w:tcBorders>
            <w:vAlign w:val="center"/>
          </w:tcPr>
          <w:p>
            <w:pPr>
              <w:tabs>
                <w:tab w:val="left" w:pos="0"/>
              </w:tabs>
              <w:spacing w:line="240" w:lineRule="exact"/>
              <w:jc w:val="center"/>
              <w:rPr>
                <w:rFonts w:ascii="Times New Roman" w:hAnsi="Times New Roman" w:eastAsia="宋体"/>
                <w:kern w:val="2"/>
                <w:szCs w:val="21"/>
              </w:rPr>
            </w:pPr>
            <w:r>
              <w:rPr>
                <w:rFonts w:ascii="Times New Roman" w:hAnsi="Times New Roman" w:eastAsia="宋体"/>
                <w:szCs w:val="21"/>
              </w:rPr>
              <w:t>被授权人或代理人</w:t>
            </w:r>
          </w:p>
        </w:tc>
        <w:tc>
          <w:tcPr>
            <w:tcW w:w="778" w:type="dxa"/>
            <w:tcBorders>
              <w:top w:val="single" w:color="auto" w:sz="4" w:space="0"/>
              <w:left w:val="single" w:color="auto" w:sz="4" w:space="0"/>
              <w:bottom w:val="single" w:color="auto" w:sz="4" w:space="0"/>
              <w:right w:val="single" w:color="auto" w:sz="4" w:space="0"/>
            </w:tcBorders>
            <w:vAlign w:val="center"/>
          </w:tcPr>
          <w:p>
            <w:pPr>
              <w:widowControl w:val="0"/>
              <w:tabs>
                <w:tab w:val="left" w:pos="0"/>
              </w:tabs>
              <w:jc w:val="center"/>
              <w:rPr>
                <w:rFonts w:ascii="Times New Roman" w:hAnsi="Times New Roman" w:eastAsia="宋体"/>
                <w:kern w:val="2"/>
                <w:szCs w:val="21"/>
              </w:rPr>
            </w:pPr>
            <w:r>
              <w:rPr>
                <w:rFonts w:ascii="Times New Roman" w:hAnsi="Times New Roman" w:eastAsia="宋体"/>
                <w:szCs w:val="21"/>
              </w:rPr>
              <w:t>姓名</w:t>
            </w:r>
          </w:p>
        </w:tc>
        <w:tc>
          <w:tcPr>
            <w:tcW w:w="727" w:type="dxa"/>
            <w:tcBorders>
              <w:top w:val="single" w:color="auto" w:sz="4" w:space="0"/>
              <w:left w:val="single" w:color="auto" w:sz="4" w:space="0"/>
              <w:bottom w:val="single" w:color="auto" w:sz="4" w:space="0"/>
              <w:right w:val="single" w:color="auto" w:sz="4" w:space="0"/>
            </w:tcBorders>
            <w:vAlign w:val="center"/>
          </w:tcPr>
          <w:p>
            <w:pPr>
              <w:widowControl w:val="0"/>
              <w:tabs>
                <w:tab w:val="left" w:pos="0"/>
              </w:tabs>
              <w:jc w:val="center"/>
              <w:rPr>
                <w:rFonts w:ascii="Times New Roman" w:hAnsi="Times New Roman" w:eastAsia="宋体"/>
                <w:kern w:val="2"/>
                <w:szCs w:val="21"/>
              </w:rPr>
            </w:pPr>
          </w:p>
        </w:tc>
        <w:tc>
          <w:tcPr>
            <w:tcW w:w="726" w:type="dxa"/>
            <w:gridSpan w:val="2"/>
            <w:tcBorders>
              <w:top w:val="single" w:color="auto" w:sz="4" w:space="0"/>
              <w:left w:val="single" w:color="auto" w:sz="4" w:space="0"/>
              <w:bottom w:val="single" w:color="auto" w:sz="4" w:space="0"/>
              <w:right w:val="single" w:color="auto" w:sz="4" w:space="0"/>
            </w:tcBorders>
            <w:vAlign w:val="center"/>
          </w:tcPr>
          <w:p>
            <w:pPr>
              <w:widowControl w:val="0"/>
              <w:tabs>
                <w:tab w:val="left" w:pos="0"/>
              </w:tabs>
              <w:jc w:val="center"/>
              <w:rPr>
                <w:rFonts w:ascii="Times New Roman" w:hAnsi="Times New Roman" w:eastAsia="宋体"/>
                <w:kern w:val="2"/>
                <w:szCs w:val="21"/>
              </w:rPr>
            </w:pPr>
            <w:r>
              <w:rPr>
                <w:rFonts w:ascii="Times New Roman" w:hAnsi="Times New Roman" w:eastAsia="宋体"/>
                <w:szCs w:val="21"/>
              </w:rPr>
              <w:t>职务</w:t>
            </w:r>
          </w:p>
        </w:tc>
        <w:tc>
          <w:tcPr>
            <w:tcW w:w="762" w:type="dxa"/>
            <w:tcBorders>
              <w:top w:val="single" w:color="auto" w:sz="4" w:space="0"/>
              <w:left w:val="single" w:color="auto" w:sz="4" w:space="0"/>
              <w:bottom w:val="single" w:color="auto" w:sz="4" w:space="0"/>
              <w:right w:val="single" w:color="auto" w:sz="4" w:space="0"/>
            </w:tcBorders>
            <w:vAlign w:val="center"/>
          </w:tcPr>
          <w:p>
            <w:pPr>
              <w:widowControl w:val="0"/>
              <w:tabs>
                <w:tab w:val="left" w:pos="0"/>
              </w:tabs>
              <w:jc w:val="center"/>
              <w:rPr>
                <w:rFonts w:ascii="Times New Roman" w:hAnsi="Times New Roman" w:eastAsia="宋体"/>
                <w:kern w:val="2"/>
                <w:szCs w:val="21"/>
              </w:rPr>
            </w:pPr>
          </w:p>
        </w:tc>
        <w:tc>
          <w:tcPr>
            <w:tcW w:w="1621" w:type="dxa"/>
            <w:gridSpan w:val="3"/>
            <w:tcBorders>
              <w:top w:val="single" w:color="auto" w:sz="4" w:space="0"/>
              <w:left w:val="single" w:color="auto" w:sz="4" w:space="0"/>
              <w:bottom w:val="single" w:color="auto" w:sz="4" w:space="0"/>
              <w:right w:val="single" w:color="auto" w:sz="4" w:space="0"/>
            </w:tcBorders>
            <w:vAlign w:val="center"/>
          </w:tcPr>
          <w:p>
            <w:pPr>
              <w:tabs>
                <w:tab w:val="left" w:pos="0"/>
              </w:tabs>
              <w:jc w:val="center"/>
              <w:rPr>
                <w:rFonts w:ascii="Times New Roman" w:hAnsi="Times New Roman" w:eastAsia="宋体"/>
                <w:kern w:val="2"/>
                <w:szCs w:val="21"/>
              </w:rPr>
            </w:pPr>
            <w:r>
              <w:rPr>
                <w:rFonts w:ascii="Times New Roman" w:hAnsi="Times New Roman" w:eastAsia="宋体"/>
                <w:szCs w:val="21"/>
              </w:rPr>
              <w:t>手机号码</w:t>
            </w:r>
          </w:p>
          <w:p>
            <w:pPr>
              <w:widowControl w:val="0"/>
              <w:tabs>
                <w:tab w:val="left" w:pos="0"/>
              </w:tabs>
              <w:jc w:val="center"/>
              <w:rPr>
                <w:rFonts w:ascii="Times New Roman" w:hAnsi="Times New Roman" w:eastAsia="宋体"/>
                <w:kern w:val="2"/>
                <w:szCs w:val="21"/>
              </w:rPr>
            </w:pPr>
            <w:r>
              <w:rPr>
                <w:rFonts w:ascii="Times New Roman" w:hAnsi="Times New Roman" w:eastAsia="宋体"/>
                <w:szCs w:val="21"/>
              </w:rPr>
              <w:t>（必填）</w:t>
            </w:r>
          </w:p>
        </w:tc>
        <w:tc>
          <w:tcPr>
            <w:tcW w:w="1358" w:type="dxa"/>
            <w:tcBorders>
              <w:top w:val="single" w:color="auto" w:sz="4" w:space="0"/>
              <w:left w:val="single" w:color="auto" w:sz="4" w:space="0"/>
              <w:bottom w:val="single" w:color="auto" w:sz="4" w:space="0"/>
              <w:right w:val="single" w:color="auto" w:sz="4" w:space="0"/>
            </w:tcBorders>
            <w:vAlign w:val="center"/>
          </w:tcPr>
          <w:p>
            <w:pPr>
              <w:widowControl w:val="0"/>
              <w:tabs>
                <w:tab w:val="left" w:pos="0"/>
              </w:tabs>
              <w:jc w:val="center"/>
              <w:rPr>
                <w:rFonts w:ascii="Times New Roman" w:hAnsi="Times New Roman" w:eastAsia="宋体"/>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15" w:type="dxa"/>
            <w:vMerge w:val="continue"/>
            <w:tcBorders>
              <w:top w:val="single" w:color="auto" w:sz="4" w:space="0"/>
              <w:left w:val="single" w:color="auto" w:sz="4" w:space="0"/>
              <w:bottom w:val="single" w:color="auto" w:sz="4" w:space="0"/>
              <w:right w:val="single" w:color="auto" w:sz="4" w:space="0"/>
            </w:tcBorders>
            <w:vAlign w:val="center"/>
          </w:tcPr>
          <w:p>
            <w:pPr>
              <w:tabs>
                <w:tab w:val="left" w:pos="0"/>
              </w:tabs>
              <w:jc w:val="center"/>
              <w:rPr>
                <w:rFonts w:ascii="Times New Roman" w:hAnsi="Times New Roman" w:eastAsia="宋体"/>
                <w:kern w:val="2"/>
                <w:szCs w:val="21"/>
              </w:rPr>
            </w:pPr>
          </w:p>
        </w:tc>
        <w:tc>
          <w:tcPr>
            <w:tcW w:w="1888" w:type="dxa"/>
            <w:gridSpan w:val="2"/>
            <w:vMerge w:val="continue"/>
            <w:tcBorders>
              <w:top w:val="single" w:color="auto" w:sz="4" w:space="0"/>
              <w:left w:val="single" w:color="auto" w:sz="4" w:space="0"/>
              <w:bottom w:val="single" w:color="auto" w:sz="4" w:space="0"/>
              <w:right w:val="single" w:color="auto" w:sz="4" w:space="0"/>
            </w:tcBorders>
            <w:vAlign w:val="center"/>
          </w:tcPr>
          <w:p>
            <w:pPr>
              <w:tabs>
                <w:tab w:val="left" w:pos="0"/>
              </w:tabs>
              <w:jc w:val="center"/>
              <w:rPr>
                <w:rFonts w:ascii="Times New Roman" w:hAnsi="Times New Roman" w:eastAsia="宋体"/>
                <w:kern w:val="2"/>
                <w:szCs w:val="21"/>
              </w:rPr>
            </w:pPr>
          </w:p>
        </w:tc>
        <w:tc>
          <w:tcPr>
            <w:tcW w:w="1505" w:type="dxa"/>
            <w:gridSpan w:val="2"/>
            <w:tcBorders>
              <w:top w:val="single" w:color="auto" w:sz="4" w:space="0"/>
              <w:left w:val="single" w:color="auto" w:sz="4" w:space="0"/>
              <w:bottom w:val="single" w:color="auto" w:sz="4" w:space="0"/>
              <w:right w:val="single" w:color="auto" w:sz="4" w:space="0"/>
            </w:tcBorders>
            <w:vAlign w:val="center"/>
          </w:tcPr>
          <w:p>
            <w:pPr>
              <w:widowControl w:val="0"/>
              <w:tabs>
                <w:tab w:val="left" w:pos="0"/>
              </w:tabs>
              <w:jc w:val="center"/>
              <w:rPr>
                <w:rFonts w:ascii="Times New Roman" w:hAnsi="Times New Roman" w:eastAsia="宋体"/>
                <w:kern w:val="2"/>
                <w:szCs w:val="21"/>
              </w:rPr>
            </w:pPr>
            <w:r>
              <w:rPr>
                <w:rFonts w:ascii="Times New Roman" w:hAnsi="Times New Roman" w:eastAsia="宋体"/>
                <w:szCs w:val="21"/>
              </w:rPr>
              <w:t>座机号码</w:t>
            </w:r>
          </w:p>
        </w:tc>
        <w:tc>
          <w:tcPr>
            <w:tcW w:w="1488" w:type="dxa"/>
            <w:gridSpan w:val="3"/>
            <w:tcBorders>
              <w:top w:val="single" w:color="auto" w:sz="4" w:space="0"/>
              <w:left w:val="single" w:color="auto" w:sz="4" w:space="0"/>
              <w:bottom w:val="single" w:color="auto" w:sz="4" w:space="0"/>
              <w:right w:val="single" w:color="auto" w:sz="4" w:space="0"/>
            </w:tcBorders>
            <w:vAlign w:val="center"/>
          </w:tcPr>
          <w:p>
            <w:pPr>
              <w:widowControl w:val="0"/>
              <w:tabs>
                <w:tab w:val="left" w:pos="0"/>
              </w:tabs>
              <w:jc w:val="center"/>
              <w:rPr>
                <w:rFonts w:ascii="Times New Roman" w:hAnsi="Times New Roman" w:eastAsia="宋体"/>
                <w:kern w:val="2"/>
                <w:szCs w:val="21"/>
              </w:rPr>
            </w:pPr>
          </w:p>
        </w:tc>
        <w:tc>
          <w:tcPr>
            <w:tcW w:w="1621" w:type="dxa"/>
            <w:gridSpan w:val="3"/>
            <w:tcBorders>
              <w:top w:val="single" w:color="auto" w:sz="4" w:space="0"/>
              <w:left w:val="single" w:color="auto" w:sz="4" w:space="0"/>
              <w:bottom w:val="single" w:color="auto" w:sz="4" w:space="0"/>
              <w:right w:val="single" w:color="auto" w:sz="4" w:space="0"/>
            </w:tcBorders>
            <w:vAlign w:val="center"/>
          </w:tcPr>
          <w:p>
            <w:pPr>
              <w:widowControl w:val="0"/>
              <w:tabs>
                <w:tab w:val="left" w:pos="0"/>
              </w:tabs>
              <w:jc w:val="center"/>
              <w:rPr>
                <w:rFonts w:ascii="Times New Roman" w:hAnsi="Times New Roman" w:eastAsia="宋体"/>
                <w:kern w:val="2"/>
                <w:szCs w:val="21"/>
              </w:rPr>
            </w:pPr>
            <w:r>
              <w:rPr>
                <w:rFonts w:ascii="Times New Roman" w:hAnsi="Times New Roman" w:eastAsia="宋体"/>
                <w:szCs w:val="21"/>
              </w:rPr>
              <w:t>传真</w:t>
            </w:r>
          </w:p>
        </w:tc>
        <w:tc>
          <w:tcPr>
            <w:tcW w:w="1358" w:type="dxa"/>
            <w:tcBorders>
              <w:top w:val="single" w:color="auto" w:sz="4" w:space="0"/>
              <w:left w:val="single" w:color="auto" w:sz="4" w:space="0"/>
              <w:bottom w:val="single" w:color="auto" w:sz="4" w:space="0"/>
              <w:right w:val="single" w:color="auto" w:sz="4" w:space="0"/>
            </w:tcBorders>
            <w:vAlign w:val="center"/>
          </w:tcPr>
          <w:p>
            <w:pPr>
              <w:widowControl w:val="0"/>
              <w:tabs>
                <w:tab w:val="left" w:pos="0"/>
              </w:tabs>
              <w:jc w:val="center"/>
              <w:rPr>
                <w:rFonts w:ascii="Times New Roman" w:hAnsi="Times New Roman" w:eastAsia="宋体"/>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15" w:type="dxa"/>
            <w:vMerge w:val="restart"/>
            <w:tcBorders>
              <w:top w:val="single" w:color="auto" w:sz="4" w:space="0"/>
              <w:left w:val="single" w:color="auto" w:sz="4" w:space="0"/>
              <w:bottom w:val="single" w:color="auto" w:sz="4" w:space="0"/>
              <w:right w:val="single" w:color="auto" w:sz="4" w:space="0"/>
            </w:tcBorders>
            <w:vAlign w:val="center"/>
          </w:tcPr>
          <w:p>
            <w:pPr>
              <w:widowControl w:val="0"/>
              <w:tabs>
                <w:tab w:val="left" w:pos="0"/>
              </w:tabs>
              <w:jc w:val="center"/>
              <w:rPr>
                <w:rFonts w:ascii="Times New Roman" w:hAnsi="Times New Roman" w:eastAsia="宋体"/>
                <w:kern w:val="2"/>
                <w:szCs w:val="21"/>
              </w:rPr>
            </w:pPr>
            <w:r>
              <w:rPr>
                <w:rFonts w:ascii="Times New Roman" w:hAnsi="Times New Roman" w:eastAsia="宋体"/>
                <w:szCs w:val="21"/>
              </w:rPr>
              <w:t>被质疑人</w:t>
            </w:r>
          </w:p>
        </w:tc>
        <w:tc>
          <w:tcPr>
            <w:tcW w:w="1888" w:type="dxa"/>
            <w:gridSpan w:val="2"/>
            <w:tcBorders>
              <w:top w:val="single" w:color="auto" w:sz="4" w:space="0"/>
              <w:left w:val="single" w:color="auto" w:sz="4" w:space="0"/>
              <w:bottom w:val="single" w:color="auto" w:sz="4" w:space="0"/>
              <w:right w:val="single" w:color="auto" w:sz="4" w:space="0"/>
            </w:tcBorders>
            <w:vAlign w:val="center"/>
          </w:tcPr>
          <w:p>
            <w:pPr>
              <w:tabs>
                <w:tab w:val="left" w:pos="0"/>
              </w:tabs>
              <w:spacing w:line="240" w:lineRule="exact"/>
              <w:jc w:val="center"/>
              <w:rPr>
                <w:rFonts w:ascii="Times New Roman" w:hAnsi="Times New Roman" w:eastAsia="宋体"/>
                <w:kern w:val="2"/>
                <w:szCs w:val="21"/>
              </w:rPr>
            </w:pPr>
            <w:r>
              <w:rPr>
                <w:rFonts w:ascii="Times New Roman" w:hAnsi="Times New Roman" w:eastAsia="宋体"/>
                <w:szCs w:val="21"/>
              </w:rPr>
              <w:t>单位名称或姓名</w:t>
            </w:r>
          </w:p>
        </w:tc>
        <w:tc>
          <w:tcPr>
            <w:tcW w:w="5972" w:type="dxa"/>
            <w:gridSpan w:val="9"/>
            <w:tcBorders>
              <w:top w:val="single" w:color="auto" w:sz="4" w:space="0"/>
              <w:left w:val="single" w:color="auto" w:sz="4" w:space="0"/>
              <w:bottom w:val="single" w:color="auto" w:sz="4" w:space="0"/>
              <w:right w:val="single" w:color="auto" w:sz="4" w:space="0"/>
            </w:tcBorders>
            <w:vAlign w:val="center"/>
          </w:tcPr>
          <w:p>
            <w:pPr>
              <w:widowControl w:val="0"/>
              <w:tabs>
                <w:tab w:val="left" w:pos="0"/>
              </w:tabs>
              <w:jc w:val="center"/>
              <w:rPr>
                <w:rFonts w:ascii="Times New Roman" w:hAnsi="Times New Roman" w:eastAsia="宋体"/>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15" w:type="dxa"/>
            <w:vMerge w:val="continue"/>
            <w:tcBorders>
              <w:top w:val="single" w:color="auto" w:sz="4" w:space="0"/>
              <w:left w:val="single" w:color="auto" w:sz="4" w:space="0"/>
              <w:bottom w:val="single" w:color="auto" w:sz="4" w:space="0"/>
              <w:right w:val="single" w:color="auto" w:sz="4" w:space="0"/>
            </w:tcBorders>
            <w:vAlign w:val="center"/>
          </w:tcPr>
          <w:p>
            <w:pPr>
              <w:tabs>
                <w:tab w:val="left" w:pos="0"/>
              </w:tabs>
              <w:jc w:val="center"/>
              <w:rPr>
                <w:rFonts w:ascii="Times New Roman" w:hAnsi="Times New Roman" w:eastAsia="宋体"/>
                <w:kern w:val="2"/>
                <w:szCs w:val="21"/>
              </w:rPr>
            </w:pPr>
          </w:p>
        </w:tc>
        <w:tc>
          <w:tcPr>
            <w:tcW w:w="1888" w:type="dxa"/>
            <w:gridSpan w:val="2"/>
            <w:tcBorders>
              <w:top w:val="single" w:color="auto" w:sz="4" w:space="0"/>
              <w:left w:val="single" w:color="auto" w:sz="4" w:space="0"/>
              <w:bottom w:val="single" w:color="auto" w:sz="4" w:space="0"/>
              <w:right w:val="single" w:color="auto" w:sz="4" w:space="0"/>
            </w:tcBorders>
            <w:vAlign w:val="center"/>
          </w:tcPr>
          <w:p>
            <w:pPr>
              <w:tabs>
                <w:tab w:val="left" w:pos="0"/>
              </w:tabs>
              <w:spacing w:line="240" w:lineRule="exact"/>
              <w:jc w:val="center"/>
              <w:rPr>
                <w:rFonts w:ascii="Times New Roman" w:hAnsi="Times New Roman" w:eastAsia="宋体"/>
                <w:kern w:val="2"/>
                <w:szCs w:val="21"/>
              </w:rPr>
            </w:pPr>
            <w:r>
              <w:rPr>
                <w:rFonts w:ascii="Times New Roman" w:hAnsi="Times New Roman" w:eastAsia="宋体"/>
                <w:szCs w:val="21"/>
              </w:rPr>
              <w:t>联系人基本情况</w:t>
            </w:r>
          </w:p>
        </w:tc>
        <w:tc>
          <w:tcPr>
            <w:tcW w:w="778" w:type="dxa"/>
            <w:tcBorders>
              <w:top w:val="single" w:color="auto" w:sz="4" w:space="0"/>
              <w:left w:val="single" w:color="auto" w:sz="4" w:space="0"/>
              <w:bottom w:val="single" w:color="auto" w:sz="4" w:space="0"/>
              <w:right w:val="single" w:color="auto" w:sz="4" w:space="0"/>
            </w:tcBorders>
            <w:vAlign w:val="center"/>
          </w:tcPr>
          <w:p>
            <w:pPr>
              <w:tabs>
                <w:tab w:val="left" w:pos="0"/>
              </w:tabs>
              <w:spacing w:line="240" w:lineRule="exact"/>
              <w:jc w:val="center"/>
              <w:rPr>
                <w:rFonts w:ascii="Times New Roman" w:hAnsi="Times New Roman" w:eastAsia="宋体"/>
                <w:kern w:val="2"/>
                <w:szCs w:val="21"/>
              </w:rPr>
            </w:pPr>
            <w:r>
              <w:rPr>
                <w:rFonts w:ascii="Times New Roman" w:hAnsi="Times New Roman" w:eastAsia="宋体"/>
                <w:szCs w:val="21"/>
              </w:rPr>
              <w:t>姓名</w:t>
            </w:r>
          </w:p>
        </w:tc>
        <w:tc>
          <w:tcPr>
            <w:tcW w:w="727" w:type="dxa"/>
            <w:tcBorders>
              <w:top w:val="single" w:color="auto" w:sz="4" w:space="0"/>
              <w:left w:val="single" w:color="auto" w:sz="4" w:space="0"/>
              <w:bottom w:val="single" w:color="auto" w:sz="4" w:space="0"/>
              <w:right w:val="single" w:color="auto" w:sz="4" w:space="0"/>
            </w:tcBorders>
            <w:vAlign w:val="center"/>
          </w:tcPr>
          <w:p>
            <w:pPr>
              <w:tabs>
                <w:tab w:val="left" w:pos="0"/>
              </w:tabs>
              <w:spacing w:line="240" w:lineRule="exact"/>
              <w:jc w:val="center"/>
              <w:rPr>
                <w:rFonts w:ascii="Times New Roman" w:hAnsi="Times New Roman" w:eastAsia="宋体"/>
                <w:kern w:val="2"/>
                <w:szCs w:val="21"/>
              </w:rPr>
            </w:pPr>
          </w:p>
        </w:tc>
        <w:tc>
          <w:tcPr>
            <w:tcW w:w="726" w:type="dxa"/>
            <w:gridSpan w:val="2"/>
            <w:tcBorders>
              <w:top w:val="single" w:color="auto" w:sz="4" w:space="0"/>
              <w:left w:val="single" w:color="auto" w:sz="4" w:space="0"/>
              <w:bottom w:val="single" w:color="auto" w:sz="4" w:space="0"/>
              <w:right w:val="single" w:color="auto" w:sz="4" w:space="0"/>
            </w:tcBorders>
            <w:vAlign w:val="center"/>
          </w:tcPr>
          <w:p>
            <w:pPr>
              <w:tabs>
                <w:tab w:val="left" w:pos="0"/>
              </w:tabs>
              <w:spacing w:line="240" w:lineRule="exact"/>
              <w:jc w:val="center"/>
              <w:rPr>
                <w:rFonts w:ascii="Times New Roman" w:hAnsi="Times New Roman" w:eastAsia="宋体"/>
                <w:kern w:val="2"/>
                <w:szCs w:val="21"/>
              </w:rPr>
            </w:pPr>
            <w:r>
              <w:rPr>
                <w:rFonts w:ascii="Times New Roman" w:hAnsi="Times New Roman" w:eastAsia="宋体"/>
                <w:szCs w:val="21"/>
              </w:rPr>
              <w:t>职务</w:t>
            </w:r>
          </w:p>
        </w:tc>
        <w:tc>
          <w:tcPr>
            <w:tcW w:w="762" w:type="dxa"/>
            <w:tcBorders>
              <w:top w:val="single" w:color="auto" w:sz="4" w:space="0"/>
              <w:left w:val="single" w:color="auto" w:sz="4" w:space="0"/>
              <w:bottom w:val="single" w:color="auto" w:sz="4" w:space="0"/>
              <w:right w:val="single" w:color="auto" w:sz="4" w:space="0"/>
            </w:tcBorders>
            <w:vAlign w:val="center"/>
          </w:tcPr>
          <w:p>
            <w:pPr>
              <w:tabs>
                <w:tab w:val="left" w:pos="0"/>
              </w:tabs>
              <w:spacing w:line="240" w:lineRule="exact"/>
              <w:jc w:val="center"/>
              <w:rPr>
                <w:rFonts w:ascii="Times New Roman" w:hAnsi="Times New Roman" w:eastAsia="宋体"/>
                <w:kern w:val="2"/>
                <w:szCs w:val="21"/>
              </w:rPr>
            </w:pPr>
          </w:p>
        </w:tc>
        <w:tc>
          <w:tcPr>
            <w:tcW w:w="1621" w:type="dxa"/>
            <w:gridSpan w:val="3"/>
            <w:tcBorders>
              <w:top w:val="single" w:color="auto" w:sz="4" w:space="0"/>
              <w:left w:val="single" w:color="auto" w:sz="4" w:space="0"/>
              <w:bottom w:val="single" w:color="auto" w:sz="4" w:space="0"/>
              <w:right w:val="single" w:color="auto" w:sz="4" w:space="0"/>
            </w:tcBorders>
            <w:vAlign w:val="center"/>
          </w:tcPr>
          <w:p>
            <w:pPr>
              <w:tabs>
                <w:tab w:val="left" w:pos="0"/>
              </w:tabs>
              <w:spacing w:line="240" w:lineRule="exact"/>
              <w:jc w:val="center"/>
              <w:rPr>
                <w:rFonts w:ascii="Times New Roman" w:hAnsi="Times New Roman" w:eastAsia="宋体"/>
                <w:kern w:val="2"/>
                <w:szCs w:val="21"/>
              </w:rPr>
            </w:pPr>
            <w:r>
              <w:rPr>
                <w:rFonts w:ascii="Times New Roman" w:hAnsi="Times New Roman" w:eastAsia="宋体"/>
                <w:szCs w:val="21"/>
              </w:rPr>
              <w:t>联系方式</w:t>
            </w:r>
          </w:p>
          <w:p>
            <w:pPr>
              <w:tabs>
                <w:tab w:val="left" w:pos="0"/>
              </w:tabs>
              <w:spacing w:line="240" w:lineRule="exact"/>
              <w:jc w:val="center"/>
              <w:rPr>
                <w:rFonts w:ascii="Times New Roman" w:hAnsi="Times New Roman" w:eastAsia="宋体"/>
                <w:kern w:val="2"/>
                <w:szCs w:val="21"/>
              </w:rPr>
            </w:pPr>
            <w:r>
              <w:rPr>
                <w:rFonts w:ascii="Times New Roman" w:hAnsi="Times New Roman" w:eastAsia="宋体"/>
                <w:szCs w:val="21"/>
              </w:rPr>
              <w:t>（最好填手机）</w:t>
            </w:r>
          </w:p>
        </w:tc>
        <w:tc>
          <w:tcPr>
            <w:tcW w:w="1358" w:type="dxa"/>
            <w:tcBorders>
              <w:top w:val="single" w:color="auto" w:sz="4" w:space="0"/>
              <w:left w:val="single" w:color="auto" w:sz="4" w:space="0"/>
              <w:bottom w:val="single" w:color="auto" w:sz="4" w:space="0"/>
              <w:right w:val="single" w:color="auto" w:sz="4" w:space="0"/>
            </w:tcBorders>
            <w:vAlign w:val="center"/>
          </w:tcPr>
          <w:p>
            <w:pPr>
              <w:tabs>
                <w:tab w:val="left" w:pos="0"/>
              </w:tabs>
              <w:spacing w:line="240" w:lineRule="exact"/>
              <w:jc w:val="center"/>
              <w:rPr>
                <w:rFonts w:ascii="Times New Roman" w:hAnsi="Times New Roman" w:eastAsia="宋体"/>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15" w:type="dxa"/>
            <w:vMerge w:val="restart"/>
            <w:tcBorders>
              <w:top w:val="single" w:color="auto" w:sz="4" w:space="0"/>
              <w:left w:val="single" w:color="auto" w:sz="4" w:space="0"/>
              <w:bottom w:val="single" w:color="auto" w:sz="4" w:space="0"/>
              <w:right w:val="single" w:color="auto" w:sz="4" w:space="0"/>
            </w:tcBorders>
            <w:vAlign w:val="center"/>
          </w:tcPr>
          <w:p>
            <w:pPr>
              <w:widowControl w:val="0"/>
              <w:tabs>
                <w:tab w:val="left" w:pos="0"/>
              </w:tabs>
              <w:jc w:val="center"/>
              <w:rPr>
                <w:rFonts w:ascii="Times New Roman" w:hAnsi="Times New Roman" w:eastAsia="宋体"/>
                <w:kern w:val="2"/>
                <w:szCs w:val="21"/>
              </w:rPr>
            </w:pPr>
            <w:r>
              <w:rPr>
                <w:rFonts w:ascii="Times New Roman" w:hAnsi="Times New Roman" w:eastAsia="宋体"/>
                <w:szCs w:val="21"/>
              </w:rPr>
              <w:t>相关当事人（若有）</w:t>
            </w:r>
          </w:p>
        </w:tc>
        <w:tc>
          <w:tcPr>
            <w:tcW w:w="1888" w:type="dxa"/>
            <w:gridSpan w:val="2"/>
            <w:tcBorders>
              <w:top w:val="single" w:color="auto" w:sz="4" w:space="0"/>
              <w:left w:val="single" w:color="auto" w:sz="4" w:space="0"/>
              <w:bottom w:val="single" w:color="auto" w:sz="4" w:space="0"/>
              <w:right w:val="single" w:color="auto" w:sz="4" w:space="0"/>
            </w:tcBorders>
            <w:vAlign w:val="center"/>
          </w:tcPr>
          <w:p>
            <w:pPr>
              <w:tabs>
                <w:tab w:val="left" w:pos="0"/>
              </w:tabs>
              <w:spacing w:line="240" w:lineRule="exact"/>
              <w:jc w:val="center"/>
              <w:rPr>
                <w:rFonts w:ascii="Times New Roman" w:hAnsi="Times New Roman" w:eastAsia="宋体"/>
                <w:kern w:val="2"/>
                <w:szCs w:val="21"/>
              </w:rPr>
            </w:pPr>
            <w:r>
              <w:rPr>
                <w:rFonts w:ascii="Times New Roman" w:hAnsi="Times New Roman" w:eastAsia="宋体"/>
                <w:szCs w:val="21"/>
              </w:rPr>
              <w:t>单位名称或姓名</w:t>
            </w:r>
          </w:p>
        </w:tc>
        <w:tc>
          <w:tcPr>
            <w:tcW w:w="5972" w:type="dxa"/>
            <w:gridSpan w:val="9"/>
            <w:tcBorders>
              <w:top w:val="single" w:color="auto" w:sz="4" w:space="0"/>
              <w:left w:val="single" w:color="auto" w:sz="4" w:space="0"/>
              <w:bottom w:val="single" w:color="auto" w:sz="4" w:space="0"/>
              <w:right w:val="single" w:color="auto" w:sz="4" w:space="0"/>
            </w:tcBorders>
            <w:vAlign w:val="center"/>
          </w:tcPr>
          <w:p>
            <w:pPr>
              <w:widowControl w:val="0"/>
              <w:tabs>
                <w:tab w:val="left" w:pos="0"/>
              </w:tabs>
              <w:jc w:val="center"/>
              <w:rPr>
                <w:rFonts w:ascii="Times New Roman" w:hAnsi="Times New Roman" w:eastAsia="宋体"/>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15" w:type="dxa"/>
            <w:vMerge w:val="continue"/>
            <w:tcBorders>
              <w:top w:val="single" w:color="auto" w:sz="4" w:space="0"/>
              <w:left w:val="single" w:color="auto" w:sz="4" w:space="0"/>
              <w:bottom w:val="single" w:color="auto" w:sz="4" w:space="0"/>
              <w:right w:val="single" w:color="auto" w:sz="4" w:space="0"/>
            </w:tcBorders>
            <w:vAlign w:val="center"/>
          </w:tcPr>
          <w:p>
            <w:pPr>
              <w:tabs>
                <w:tab w:val="left" w:pos="0"/>
              </w:tabs>
              <w:jc w:val="center"/>
              <w:rPr>
                <w:rFonts w:ascii="Times New Roman" w:hAnsi="Times New Roman" w:eastAsia="宋体"/>
                <w:kern w:val="2"/>
                <w:szCs w:val="21"/>
              </w:rPr>
            </w:pPr>
          </w:p>
        </w:tc>
        <w:tc>
          <w:tcPr>
            <w:tcW w:w="1888" w:type="dxa"/>
            <w:gridSpan w:val="2"/>
            <w:tcBorders>
              <w:top w:val="single" w:color="auto" w:sz="4" w:space="0"/>
              <w:left w:val="single" w:color="auto" w:sz="4" w:space="0"/>
              <w:bottom w:val="single" w:color="auto" w:sz="4" w:space="0"/>
              <w:right w:val="single" w:color="auto" w:sz="4" w:space="0"/>
            </w:tcBorders>
            <w:vAlign w:val="center"/>
          </w:tcPr>
          <w:p>
            <w:pPr>
              <w:tabs>
                <w:tab w:val="left" w:pos="0"/>
              </w:tabs>
              <w:spacing w:line="240" w:lineRule="exact"/>
              <w:jc w:val="center"/>
              <w:rPr>
                <w:rFonts w:ascii="Times New Roman" w:hAnsi="Times New Roman" w:eastAsia="宋体"/>
                <w:kern w:val="2"/>
                <w:szCs w:val="21"/>
              </w:rPr>
            </w:pPr>
            <w:r>
              <w:rPr>
                <w:rFonts w:ascii="Times New Roman" w:hAnsi="Times New Roman" w:eastAsia="宋体"/>
                <w:szCs w:val="21"/>
              </w:rPr>
              <w:t>联系人基本情况</w:t>
            </w:r>
          </w:p>
        </w:tc>
        <w:tc>
          <w:tcPr>
            <w:tcW w:w="778" w:type="dxa"/>
            <w:tcBorders>
              <w:top w:val="single" w:color="auto" w:sz="4" w:space="0"/>
              <w:left w:val="single" w:color="auto" w:sz="4" w:space="0"/>
              <w:bottom w:val="single" w:color="auto" w:sz="4" w:space="0"/>
              <w:right w:val="single" w:color="auto" w:sz="4" w:space="0"/>
            </w:tcBorders>
            <w:vAlign w:val="center"/>
          </w:tcPr>
          <w:p>
            <w:pPr>
              <w:tabs>
                <w:tab w:val="left" w:pos="0"/>
              </w:tabs>
              <w:spacing w:line="240" w:lineRule="exact"/>
              <w:jc w:val="center"/>
              <w:rPr>
                <w:rFonts w:ascii="Times New Roman" w:hAnsi="Times New Roman" w:eastAsia="宋体"/>
                <w:kern w:val="2"/>
                <w:szCs w:val="21"/>
              </w:rPr>
            </w:pPr>
            <w:r>
              <w:rPr>
                <w:rFonts w:ascii="Times New Roman" w:hAnsi="Times New Roman" w:eastAsia="宋体"/>
                <w:szCs w:val="21"/>
              </w:rPr>
              <w:t>姓名</w:t>
            </w:r>
          </w:p>
        </w:tc>
        <w:tc>
          <w:tcPr>
            <w:tcW w:w="727" w:type="dxa"/>
            <w:tcBorders>
              <w:top w:val="single" w:color="auto" w:sz="4" w:space="0"/>
              <w:left w:val="single" w:color="auto" w:sz="4" w:space="0"/>
              <w:bottom w:val="single" w:color="auto" w:sz="4" w:space="0"/>
              <w:right w:val="single" w:color="auto" w:sz="4" w:space="0"/>
            </w:tcBorders>
            <w:vAlign w:val="center"/>
          </w:tcPr>
          <w:p>
            <w:pPr>
              <w:tabs>
                <w:tab w:val="left" w:pos="0"/>
              </w:tabs>
              <w:spacing w:line="240" w:lineRule="exact"/>
              <w:jc w:val="center"/>
              <w:rPr>
                <w:rFonts w:ascii="Times New Roman" w:hAnsi="Times New Roman" w:eastAsia="宋体"/>
                <w:kern w:val="2"/>
                <w:szCs w:val="21"/>
              </w:rPr>
            </w:pPr>
          </w:p>
        </w:tc>
        <w:tc>
          <w:tcPr>
            <w:tcW w:w="726" w:type="dxa"/>
            <w:gridSpan w:val="2"/>
            <w:tcBorders>
              <w:top w:val="single" w:color="auto" w:sz="4" w:space="0"/>
              <w:left w:val="single" w:color="auto" w:sz="4" w:space="0"/>
              <w:bottom w:val="single" w:color="auto" w:sz="4" w:space="0"/>
              <w:right w:val="single" w:color="auto" w:sz="4" w:space="0"/>
            </w:tcBorders>
            <w:vAlign w:val="center"/>
          </w:tcPr>
          <w:p>
            <w:pPr>
              <w:tabs>
                <w:tab w:val="left" w:pos="0"/>
              </w:tabs>
              <w:spacing w:line="240" w:lineRule="exact"/>
              <w:jc w:val="center"/>
              <w:rPr>
                <w:rFonts w:ascii="Times New Roman" w:hAnsi="Times New Roman" w:eastAsia="宋体"/>
                <w:kern w:val="2"/>
                <w:szCs w:val="21"/>
              </w:rPr>
            </w:pPr>
            <w:r>
              <w:rPr>
                <w:rFonts w:ascii="Times New Roman" w:hAnsi="Times New Roman" w:eastAsia="宋体"/>
                <w:szCs w:val="21"/>
              </w:rPr>
              <w:t>职务</w:t>
            </w:r>
          </w:p>
        </w:tc>
        <w:tc>
          <w:tcPr>
            <w:tcW w:w="762" w:type="dxa"/>
            <w:tcBorders>
              <w:top w:val="single" w:color="auto" w:sz="4" w:space="0"/>
              <w:left w:val="single" w:color="auto" w:sz="4" w:space="0"/>
              <w:bottom w:val="single" w:color="auto" w:sz="4" w:space="0"/>
              <w:right w:val="single" w:color="auto" w:sz="4" w:space="0"/>
            </w:tcBorders>
            <w:vAlign w:val="center"/>
          </w:tcPr>
          <w:p>
            <w:pPr>
              <w:tabs>
                <w:tab w:val="left" w:pos="0"/>
              </w:tabs>
              <w:spacing w:line="240" w:lineRule="exact"/>
              <w:jc w:val="center"/>
              <w:rPr>
                <w:rFonts w:ascii="Times New Roman" w:hAnsi="Times New Roman" w:eastAsia="宋体"/>
                <w:kern w:val="2"/>
                <w:szCs w:val="21"/>
              </w:rPr>
            </w:pPr>
          </w:p>
        </w:tc>
        <w:tc>
          <w:tcPr>
            <w:tcW w:w="1621" w:type="dxa"/>
            <w:gridSpan w:val="3"/>
            <w:tcBorders>
              <w:top w:val="single" w:color="auto" w:sz="4" w:space="0"/>
              <w:left w:val="single" w:color="auto" w:sz="4" w:space="0"/>
              <w:bottom w:val="single" w:color="auto" w:sz="4" w:space="0"/>
              <w:right w:val="single" w:color="auto" w:sz="4" w:space="0"/>
            </w:tcBorders>
            <w:vAlign w:val="center"/>
          </w:tcPr>
          <w:p>
            <w:pPr>
              <w:tabs>
                <w:tab w:val="left" w:pos="0"/>
              </w:tabs>
              <w:spacing w:line="240" w:lineRule="exact"/>
              <w:jc w:val="center"/>
              <w:rPr>
                <w:rFonts w:ascii="Times New Roman" w:hAnsi="Times New Roman" w:eastAsia="宋体"/>
                <w:kern w:val="2"/>
                <w:szCs w:val="21"/>
              </w:rPr>
            </w:pPr>
            <w:r>
              <w:rPr>
                <w:rFonts w:ascii="Times New Roman" w:hAnsi="Times New Roman" w:eastAsia="宋体"/>
                <w:szCs w:val="21"/>
              </w:rPr>
              <w:t>联系方式</w:t>
            </w:r>
          </w:p>
          <w:p>
            <w:pPr>
              <w:tabs>
                <w:tab w:val="left" w:pos="0"/>
              </w:tabs>
              <w:spacing w:line="240" w:lineRule="exact"/>
              <w:jc w:val="center"/>
              <w:rPr>
                <w:rFonts w:ascii="Times New Roman" w:hAnsi="Times New Roman" w:eastAsia="宋体"/>
                <w:kern w:val="2"/>
                <w:szCs w:val="21"/>
              </w:rPr>
            </w:pPr>
            <w:r>
              <w:rPr>
                <w:rFonts w:ascii="Times New Roman" w:hAnsi="Times New Roman" w:eastAsia="宋体"/>
                <w:szCs w:val="21"/>
              </w:rPr>
              <w:t>（最好填手机）</w:t>
            </w:r>
          </w:p>
        </w:tc>
        <w:tc>
          <w:tcPr>
            <w:tcW w:w="1358" w:type="dxa"/>
            <w:tcBorders>
              <w:top w:val="single" w:color="auto" w:sz="4" w:space="0"/>
              <w:left w:val="single" w:color="auto" w:sz="4" w:space="0"/>
              <w:bottom w:val="single" w:color="auto" w:sz="4" w:space="0"/>
              <w:right w:val="single" w:color="auto" w:sz="4" w:space="0"/>
            </w:tcBorders>
            <w:vAlign w:val="center"/>
          </w:tcPr>
          <w:p>
            <w:pPr>
              <w:tabs>
                <w:tab w:val="left" w:pos="0"/>
              </w:tabs>
              <w:spacing w:line="240" w:lineRule="exact"/>
              <w:jc w:val="center"/>
              <w:rPr>
                <w:rFonts w:ascii="Times New Roman" w:hAnsi="Times New Roman" w:eastAsia="宋体"/>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15" w:type="dxa"/>
            <w:vMerge w:val="restart"/>
            <w:tcBorders>
              <w:top w:val="single" w:color="auto" w:sz="4" w:space="0"/>
              <w:left w:val="single" w:color="auto" w:sz="4" w:space="0"/>
              <w:bottom w:val="single" w:color="auto" w:sz="4" w:space="0"/>
              <w:right w:val="single" w:color="auto" w:sz="4" w:space="0"/>
            </w:tcBorders>
            <w:vAlign w:val="center"/>
          </w:tcPr>
          <w:p>
            <w:pPr>
              <w:widowControl w:val="0"/>
              <w:tabs>
                <w:tab w:val="left" w:pos="0"/>
              </w:tabs>
              <w:jc w:val="center"/>
              <w:rPr>
                <w:rFonts w:ascii="Times New Roman" w:hAnsi="Times New Roman" w:eastAsia="宋体"/>
                <w:kern w:val="2"/>
                <w:szCs w:val="21"/>
              </w:rPr>
            </w:pPr>
            <w:r>
              <w:rPr>
                <w:rFonts w:ascii="Times New Roman" w:hAnsi="Times New Roman" w:eastAsia="宋体"/>
                <w:szCs w:val="21"/>
              </w:rPr>
              <w:t>质疑事项（纸张不够另附）</w:t>
            </w:r>
          </w:p>
        </w:tc>
        <w:tc>
          <w:tcPr>
            <w:tcW w:w="1888" w:type="dxa"/>
            <w:gridSpan w:val="2"/>
            <w:tcBorders>
              <w:top w:val="single" w:color="auto" w:sz="4" w:space="0"/>
              <w:left w:val="single" w:color="auto" w:sz="4" w:space="0"/>
              <w:bottom w:val="single" w:color="auto" w:sz="4" w:space="0"/>
              <w:right w:val="single" w:color="auto" w:sz="4" w:space="0"/>
            </w:tcBorders>
            <w:vAlign w:val="center"/>
          </w:tcPr>
          <w:p>
            <w:pPr>
              <w:widowControl w:val="0"/>
              <w:tabs>
                <w:tab w:val="left" w:pos="0"/>
              </w:tabs>
              <w:jc w:val="center"/>
              <w:rPr>
                <w:rFonts w:ascii="Times New Roman" w:hAnsi="Times New Roman" w:eastAsia="宋体"/>
                <w:kern w:val="2"/>
                <w:szCs w:val="21"/>
              </w:rPr>
            </w:pPr>
            <w:r>
              <w:rPr>
                <w:rFonts w:ascii="Times New Roman" w:hAnsi="Times New Roman" w:eastAsia="宋体"/>
                <w:szCs w:val="21"/>
              </w:rPr>
              <w:t>分类</w:t>
            </w:r>
          </w:p>
        </w:tc>
        <w:tc>
          <w:tcPr>
            <w:tcW w:w="5972" w:type="dxa"/>
            <w:gridSpan w:val="9"/>
            <w:tcBorders>
              <w:top w:val="single" w:color="auto" w:sz="4" w:space="0"/>
              <w:left w:val="single" w:color="auto" w:sz="4" w:space="0"/>
              <w:bottom w:val="single" w:color="auto" w:sz="4" w:space="0"/>
              <w:right w:val="single" w:color="auto" w:sz="4" w:space="0"/>
            </w:tcBorders>
            <w:vAlign w:val="center"/>
          </w:tcPr>
          <w:p>
            <w:pPr>
              <w:widowControl w:val="0"/>
              <w:tabs>
                <w:tab w:val="left" w:pos="0"/>
              </w:tabs>
              <w:jc w:val="center"/>
              <w:rPr>
                <w:rFonts w:ascii="Times New Roman" w:hAnsi="Times New Roman" w:eastAsia="宋体"/>
                <w:kern w:val="2"/>
                <w:szCs w:val="21"/>
              </w:rPr>
            </w:pPr>
            <w:r>
              <w:rPr>
                <w:rFonts w:ascii="Times New Roman" w:hAnsi="Times New Roman" w:eastAsia="宋体"/>
                <w:szCs w:val="21"/>
              </w:rPr>
              <w:t>□采购文件；□采购过程；□采购结果；□其他。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15" w:type="dxa"/>
            <w:vMerge w:val="continue"/>
            <w:tcBorders>
              <w:top w:val="single" w:color="auto" w:sz="4" w:space="0"/>
              <w:left w:val="single" w:color="auto" w:sz="4" w:space="0"/>
              <w:bottom w:val="single" w:color="auto" w:sz="4" w:space="0"/>
              <w:right w:val="single" w:color="auto" w:sz="4" w:space="0"/>
            </w:tcBorders>
            <w:vAlign w:val="center"/>
          </w:tcPr>
          <w:p>
            <w:pPr>
              <w:tabs>
                <w:tab w:val="left" w:pos="0"/>
              </w:tabs>
              <w:jc w:val="center"/>
              <w:rPr>
                <w:rFonts w:ascii="Times New Roman" w:hAnsi="Times New Roman" w:eastAsia="宋体"/>
                <w:kern w:val="2"/>
                <w:szCs w:val="21"/>
              </w:rPr>
            </w:pPr>
          </w:p>
        </w:tc>
        <w:tc>
          <w:tcPr>
            <w:tcW w:w="7860" w:type="dxa"/>
            <w:gridSpan w:val="11"/>
            <w:tcBorders>
              <w:top w:val="single" w:color="auto" w:sz="4" w:space="0"/>
              <w:left w:val="single" w:color="auto" w:sz="4" w:space="0"/>
              <w:bottom w:val="single" w:color="auto" w:sz="4" w:space="0"/>
              <w:right w:val="single" w:color="auto" w:sz="4" w:space="0"/>
            </w:tcBorders>
            <w:vAlign w:val="center"/>
          </w:tcPr>
          <w:p>
            <w:pPr>
              <w:tabs>
                <w:tab w:val="left" w:pos="0"/>
              </w:tabs>
              <w:jc w:val="center"/>
              <w:rPr>
                <w:rFonts w:ascii="Times New Roman" w:hAnsi="Times New Roman" w:eastAsia="宋体"/>
                <w:kern w:val="2"/>
                <w:szCs w:val="21"/>
              </w:rPr>
            </w:pPr>
            <w:r>
              <w:rPr>
                <w:rFonts w:ascii="Times New Roman" w:hAnsi="Times New Roman" w:eastAsia="宋体"/>
                <w:szCs w:val="21"/>
              </w:rPr>
              <w:t>质疑事项（请写明事实、理由和法律依据</w:t>
            </w:r>
            <w:r>
              <w:rPr>
                <w:rFonts w:ascii="宋体" w:hAnsi="宋体" w:eastAsia="宋体"/>
                <w:szCs w:val="21"/>
              </w:rPr>
              <w:t>，</w:t>
            </w:r>
            <w:r>
              <w:rPr>
                <w:rFonts w:ascii="Times New Roman" w:hAnsi="Times New Roman" w:eastAsia="宋体"/>
                <w:szCs w:val="21"/>
              </w:rPr>
              <w:t>法律依据应列明法律法规名称、文号及具体条款内容）：</w:t>
            </w:r>
          </w:p>
          <w:p>
            <w:pPr>
              <w:tabs>
                <w:tab w:val="left" w:pos="0"/>
              </w:tabs>
              <w:jc w:val="center"/>
              <w:rPr>
                <w:rFonts w:ascii="Times New Roman" w:hAnsi="Times New Roman" w:eastAsia="宋体"/>
                <w:szCs w:val="21"/>
              </w:rPr>
            </w:pPr>
          </w:p>
          <w:p>
            <w:pPr>
              <w:widowControl w:val="0"/>
              <w:tabs>
                <w:tab w:val="left" w:pos="0"/>
              </w:tabs>
              <w:jc w:val="center"/>
              <w:rPr>
                <w:rFonts w:ascii="Times New Roman" w:hAnsi="Times New Roman" w:eastAsia="宋体"/>
                <w:kern w:val="2"/>
                <w:szCs w:val="21"/>
              </w:rPr>
            </w:pPr>
            <w:r>
              <w:rPr>
                <w:rFonts w:ascii="Times New Roman" w:hAnsi="Times New Roman" w:eastAsia="宋体"/>
                <w:szCs w:val="21"/>
              </w:rPr>
              <w:t>附件：（请按序号列明所附证据等材料）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15" w:type="dxa"/>
            <w:vMerge w:val="restart"/>
            <w:tcBorders>
              <w:top w:val="single" w:color="auto" w:sz="4" w:space="0"/>
              <w:left w:val="single" w:color="auto" w:sz="4" w:space="0"/>
              <w:bottom w:val="single" w:color="auto" w:sz="4" w:space="0"/>
              <w:right w:val="single" w:color="auto" w:sz="4" w:space="0"/>
            </w:tcBorders>
            <w:vAlign w:val="center"/>
          </w:tcPr>
          <w:p>
            <w:pPr>
              <w:widowControl w:val="0"/>
              <w:tabs>
                <w:tab w:val="left" w:pos="0"/>
              </w:tabs>
              <w:jc w:val="center"/>
              <w:rPr>
                <w:rFonts w:ascii="Times New Roman" w:hAnsi="Times New Roman" w:eastAsia="宋体"/>
                <w:kern w:val="2"/>
                <w:szCs w:val="21"/>
              </w:rPr>
            </w:pPr>
            <w:r>
              <w:rPr>
                <w:rFonts w:ascii="Times New Roman" w:hAnsi="Times New Roman" w:eastAsia="宋体"/>
                <w:szCs w:val="21"/>
              </w:rPr>
              <w:t>单位公章</w:t>
            </w:r>
          </w:p>
        </w:tc>
        <w:tc>
          <w:tcPr>
            <w:tcW w:w="1816" w:type="dxa"/>
            <w:vMerge w:val="restart"/>
            <w:tcBorders>
              <w:top w:val="single" w:color="auto" w:sz="4" w:space="0"/>
              <w:left w:val="single" w:color="auto" w:sz="4" w:space="0"/>
              <w:bottom w:val="single" w:color="auto" w:sz="4" w:space="0"/>
              <w:right w:val="single" w:color="auto" w:sz="4" w:space="0"/>
            </w:tcBorders>
            <w:vAlign w:val="center"/>
          </w:tcPr>
          <w:p>
            <w:pPr>
              <w:widowControl w:val="0"/>
              <w:tabs>
                <w:tab w:val="left" w:pos="0"/>
              </w:tabs>
              <w:jc w:val="center"/>
              <w:rPr>
                <w:rFonts w:ascii="Times New Roman" w:hAnsi="Times New Roman" w:eastAsia="宋体"/>
                <w:kern w:val="2"/>
                <w:szCs w:val="21"/>
              </w:rPr>
            </w:pPr>
          </w:p>
        </w:tc>
        <w:tc>
          <w:tcPr>
            <w:tcW w:w="1946" w:type="dxa"/>
            <w:gridSpan w:val="4"/>
            <w:tcBorders>
              <w:top w:val="single" w:color="auto" w:sz="4" w:space="0"/>
              <w:left w:val="single" w:color="auto" w:sz="4" w:space="0"/>
              <w:bottom w:val="single" w:color="auto" w:sz="4" w:space="0"/>
              <w:right w:val="single" w:color="auto" w:sz="4" w:space="0"/>
            </w:tcBorders>
            <w:vAlign w:val="center"/>
          </w:tcPr>
          <w:p>
            <w:pPr>
              <w:widowControl w:val="0"/>
              <w:tabs>
                <w:tab w:val="left" w:pos="0"/>
              </w:tabs>
              <w:jc w:val="center"/>
              <w:rPr>
                <w:rFonts w:ascii="Times New Roman" w:hAnsi="Times New Roman" w:eastAsia="宋体"/>
                <w:kern w:val="2"/>
                <w:szCs w:val="21"/>
              </w:rPr>
            </w:pPr>
            <w:r>
              <w:rPr>
                <w:rFonts w:ascii="Times New Roman" w:hAnsi="Times New Roman" w:eastAsia="宋体"/>
                <w:szCs w:val="21"/>
              </w:rPr>
              <w:t>法定代表人签字</w:t>
            </w:r>
            <w:r>
              <w:rPr>
                <w:rFonts w:hint="eastAsia" w:ascii="Times New Roman" w:hAnsi="Times New Roman" w:eastAsia="宋体"/>
                <w:szCs w:val="21"/>
              </w:rPr>
              <w:t>或盖章</w:t>
            </w:r>
          </w:p>
        </w:tc>
        <w:tc>
          <w:tcPr>
            <w:tcW w:w="4098" w:type="dxa"/>
            <w:gridSpan w:val="6"/>
            <w:tcBorders>
              <w:top w:val="single" w:color="auto" w:sz="4" w:space="0"/>
              <w:left w:val="single" w:color="auto" w:sz="4" w:space="0"/>
              <w:bottom w:val="single" w:color="auto" w:sz="4" w:space="0"/>
              <w:right w:val="single" w:color="auto" w:sz="4" w:space="0"/>
            </w:tcBorders>
            <w:vAlign w:val="center"/>
          </w:tcPr>
          <w:p>
            <w:pPr>
              <w:widowControl w:val="0"/>
              <w:tabs>
                <w:tab w:val="left" w:pos="0"/>
              </w:tabs>
              <w:jc w:val="center"/>
              <w:rPr>
                <w:rFonts w:ascii="Times New Roman" w:hAnsi="Times New Roman" w:eastAsia="宋体"/>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15" w:type="dxa"/>
            <w:vMerge w:val="continue"/>
            <w:tcBorders>
              <w:top w:val="single" w:color="auto" w:sz="4" w:space="0"/>
              <w:left w:val="single" w:color="auto" w:sz="4" w:space="0"/>
              <w:bottom w:val="single" w:color="auto" w:sz="4" w:space="0"/>
              <w:right w:val="single" w:color="auto" w:sz="4" w:space="0"/>
            </w:tcBorders>
            <w:vAlign w:val="center"/>
          </w:tcPr>
          <w:p>
            <w:pPr>
              <w:tabs>
                <w:tab w:val="left" w:pos="0"/>
              </w:tabs>
              <w:jc w:val="center"/>
              <w:rPr>
                <w:rFonts w:ascii="Times New Roman" w:hAnsi="Times New Roman" w:eastAsia="宋体"/>
                <w:kern w:val="2"/>
                <w:szCs w:val="21"/>
              </w:rPr>
            </w:pPr>
          </w:p>
        </w:tc>
        <w:tc>
          <w:tcPr>
            <w:tcW w:w="1816" w:type="dxa"/>
            <w:vMerge w:val="continue"/>
            <w:tcBorders>
              <w:top w:val="single" w:color="auto" w:sz="4" w:space="0"/>
              <w:left w:val="single" w:color="auto" w:sz="4" w:space="0"/>
              <w:bottom w:val="single" w:color="auto" w:sz="4" w:space="0"/>
              <w:right w:val="single" w:color="auto" w:sz="4" w:space="0"/>
            </w:tcBorders>
            <w:vAlign w:val="center"/>
          </w:tcPr>
          <w:p>
            <w:pPr>
              <w:tabs>
                <w:tab w:val="left" w:pos="0"/>
              </w:tabs>
              <w:jc w:val="center"/>
              <w:rPr>
                <w:rFonts w:ascii="Times New Roman" w:hAnsi="Times New Roman" w:eastAsia="宋体"/>
                <w:kern w:val="2"/>
                <w:szCs w:val="21"/>
              </w:rPr>
            </w:pPr>
          </w:p>
        </w:tc>
        <w:tc>
          <w:tcPr>
            <w:tcW w:w="1946" w:type="dxa"/>
            <w:gridSpan w:val="4"/>
            <w:tcBorders>
              <w:top w:val="single" w:color="auto" w:sz="4" w:space="0"/>
              <w:left w:val="single" w:color="auto" w:sz="4" w:space="0"/>
              <w:bottom w:val="single" w:color="auto" w:sz="4" w:space="0"/>
              <w:right w:val="single" w:color="auto" w:sz="4" w:space="0"/>
            </w:tcBorders>
            <w:vAlign w:val="center"/>
          </w:tcPr>
          <w:p>
            <w:pPr>
              <w:widowControl w:val="0"/>
              <w:tabs>
                <w:tab w:val="left" w:pos="0"/>
              </w:tabs>
              <w:jc w:val="center"/>
              <w:rPr>
                <w:rFonts w:ascii="Times New Roman" w:hAnsi="Times New Roman" w:eastAsia="宋体"/>
                <w:kern w:val="2"/>
                <w:szCs w:val="21"/>
              </w:rPr>
            </w:pPr>
            <w:r>
              <w:rPr>
                <w:rFonts w:ascii="Times New Roman" w:hAnsi="Times New Roman" w:eastAsia="宋体"/>
                <w:szCs w:val="21"/>
              </w:rPr>
              <w:t>被授权人或代理人签字</w:t>
            </w:r>
            <w:r>
              <w:rPr>
                <w:rFonts w:hint="eastAsia" w:ascii="Times New Roman" w:hAnsi="Times New Roman" w:eastAsia="宋体"/>
                <w:szCs w:val="21"/>
              </w:rPr>
              <w:t>或盖章</w:t>
            </w:r>
          </w:p>
        </w:tc>
        <w:tc>
          <w:tcPr>
            <w:tcW w:w="4098" w:type="dxa"/>
            <w:gridSpan w:val="6"/>
            <w:tcBorders>
              <w:top w:val="single" w:color="auto" w:sz="4" w:space="0"/>
              <w:left w:val="single" w:color="auto" w:sz="4" w:space="0"/>
              <w:bottom w:val="single" w:color="auto" w:sz="4" w:space="0"/>
              <w:right w:val="single" w:color="auto" w:sz="4" w:space="0"/>
            </w:tcBorders>
            <w:vAlign w:val="center"/>
          </w:tcPr>
          <w:p>
            <w:pPr>
              <w:widowControl w:val="0"/>
              <w:tabs>
                <w:tab w:val="left" w:pos="0"/>
              </w:tabs>
              <w:jc w:val="center"/>
              <w:rPr>
                <w:rFonts w:ascii="Times New Roman" w:hAnsi="Times New Roman" w:eastAsia="宋体"/>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15" w:type="dxa"/>
            <w:vMerge w:val="continue"/>
            <w:tcBorders>
              <w:top w:val="single" w:color="auto" w:sz="4" w:space="0"/>
              <w:left w:val="single" w:color="auto" w:sz="4" w:space="0"/>
              <w:bottom w:val="single" w:color="auto" w:sz="4" w:space="0"/>
              <w:right w:val="single" w:color="auto" w:sz="4" w:space="0"/>
            </w:tcBorders>
            <w:vAlign w:val="center"/>
          </w:tcPr>
          <w:p>
            <w:pPr>
              <w:tabs>
                <w:tab w:val="left" w:pos="0"/>
              </w:tabs>
              <w:jc w:val="center"/>
              <w:rPr>
                <w:rFonts w:ascii="Times New Roman" w:hAnsi="Times New Roman" w:eastAsia="宋体"/>
                <w:kern w:val="2"/>
                <w:szCs w:val="21"/>
              </w:rPr>
            </w:pPr>
          </w:p>
        </w:tc>
        <w:tc>
          <w:tcPr>
            <w:tcW w:w="1816" w:type="dxa"/>
            <w:vMerge w:val="continue"/>
            <w:tcBorders>
              <w:top w:val="single" w:color="auto" w:sz="4" w:space="0"/>
              <w:left w:val="single" w:color="auto" w:sz="4" w:space="0"/>
              <w:bottom w:val="single" w:color="auto" w:sz="4" w:space="0"/>
              <w:right w:val="single" w:color="auto" w:sz="4" w:space="0"/>
            </w:tcBorders>
            <w:vAlign w:val="center"/>
          </w:tcPr>
          <w:p>
            <w:pPr>
              <w:tabs>
                <w:tab w:val="left" w:pos="0"/>
              </w:tabs>
              <w:jc w:val="center"/>
              <w:rPr>
                <w:rFonts w:ascii="Times New Roman" w:hAnsi="Times New Roman" w:eastAsia="宋体"/>
                <w:kern w:val="2"/>
                <w:szCs w:val="21"/>
              </w:rPr>
            </w:pPr>
          </w:p>
        </w:tc>
        <w:tc>
          <w:tcPr>
            <w:tcW w:w="1946" w:type="dxa"/>
            <w:gridSpan w:val="4"/>
            <w:tcBorders>
              <w:top w:val="single" w:color="auto" w:sz="4" w:space="0"/>
              <w:left w:val="single" w:color="auto" w:sz="4" w:space="0"/>
              <w:bottom w:val="single" w:color="auto" w:sz="4" w:space="0"/>
              <w:right w:val="single" w:color="auto" w:sz="4" w:space="0"/>
            </w:tcBorders>
            <w:vAlign w:val="center"/>
          </w:tcPr>
          <w:p>
            <w:pPr>
              <w:widowControl w:val="0"/>
              <w:tabs>
                <w:tab w:val="left" w:pos="0"/>
              </w:tabs>
              <w:jc w:val="center"/>
              <w:rPr>
                <w:rFonts w:ascii="Times New Roman" w:hAnsi="Times New Roman" w:eastAsia="宋体"/>
                <w:kern w:val="2"/>
                <w:szCs w:val="21"/>
              </w:rPr>
            </w:pPr>
            <w:r>
              <w:rPr>
                <w:rFonts w:ascii="Times New Roman" w:hAnsi="Times New Roman" w:eastAsia="宋体"/>
                <w:szCs w:val="21"/>
              </w:rPr>
              <w:t>提交日期</w:t>
            </w:r>
          </w:p>
        </w:tc>
        <w:tc>
          <w:tcPr>
            <w:tcW w:w="4098" w:type="dxa"/>
            <w:gridSpan w:val="6"/>
            <w:tcBorders>
              <w:top w:val="single" w:color="auto" w:sz="4" w:space="0"/>
              <w:left w:val="single" w:color="auto" w:sz="4" w:space="0"/>
              <w:bottom w:val="single" w:color="auto" w:sz="4" w:space="0"/>
              <w:right w:val="single" w:color="auto" w:sz="4" w:space="0"/>
            </w:tcBorders>
            <w:vAlign w:val="center"/>
          </w:tcPr>
          <w:p>
            <w:pPr>
              <w:widowControl w:val="0"/>
              <w:tabs>
                <w:tab w:val="left" w:pos="0"/>
              </w:tabs>
              <w:jc w:val="center"/>
              <w:rPr>
                <w:rFonts w:ascii="Times New Roman" w:hAnsi="Times New Roman" w:eastAsia="宋体"/>
                <w:kern w:val="2"/>
                <w:szCs w:val="21"/>
              </w:rPr>
            </w:pPr>
            <w:r>
              <w:rPr>
                <w:rFonts w:ascii="Times New Roman" w:hAnsi="Times New Roman" w:eastAsia="宋体"/>
                <w:szCs w:val="21"/>
              </w:rPr>
              <w:t>年</w:t>
            </w:r>
            <w:r>
              <w:rPr>
                <w:rFonts w:hint="eastAsia" w:ascii="Times New Roman" w:hAnsi="Times New Roman" w:eastAsia="宋体"/>
                <w:szCs w:val="21"/>
                <w:lang w:val="en-US"/>
              </w:rPr>
              <w:t xml:space="preserve">    </w:t>
            </w:r>
            <w:r>
              <w:rPr>
                <w:rFonts w:ascii="Times New Roman" w:hAnsi="Times New Roman" w:eastAsia="宋体"/>
                <w:szCs w:val="21"/>
              </w:rPr>
              <w:t>月</w:t>
            </w:r>
            <w:r>
              <w:rPr>
                <w:rFonts w:hint="eastAsia" w:ascii="Times New Roman" w:hAnsi="Times New Roman" w:eastAsia="宋体"/>
                <w:szCs w:val="21"/>
                <w:lang w:val="en-US"/>
              </w:rPr>
              <w:t xml:space="preserve">    </w:t>
            </w:r>
            <w:r>
              <w:rPr>
                <w:rFonts w:ascii="Times New Roman" w:hAnsi="Times New Roman" w:eastAsia="宋体"/>
                <w:szCs w:val="21"/>
              </w:rPr>
              <w:t>日</w:t>
            </w:r>
          </w:p>
        </w:tc>
      </w:tr>
    </w:tbl>
    <w:p/>
    <w:p/>
    <w:p/>
    <w:p/>
    <w:sectPr>
      <w:headerReference r:id="rId16" w:type="default"/>
      <w:pgSz w:w="11907" w:h="16839"/>
      <w:pgMar w:top="1928" w:right="1531" w:bottom="1871" w:left="1531" w:header="1145" w:footer="709" w:gutter="0"/>
      <w:cols w:space="720" w:num="1"/>
      <w:docGrid w:linePitch="360" w:charSpace="0"/>
    </w:sectPr>
  </w:body>
</w:document>
</file>

<file path=word/customizations.xml><?xml version="1.0" encoding="utf-8"?>
<wne:tcg xmlns:r="http://schemas.openxmlformats.org/officeDocument/2006/relationships" xmlns:wne="http://schemas.microsoft.com/office/word/2006/wordml">
  <wne:keymaps>
    <wne:keymap wne:kcmPrimary="0071">
      <wne:acd wne:acdName="acd0"/>
    </wne:keymap>
  </wne:keymaps>
  <wne:acds>
    <wne:acd wne:argValue="AQAAAAIA" wne:acdName="acd0" wne:fciIndexBasedOn="0065"/>
  </wne:acd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ED0E4FD-2D3E-4373-AF5F-C0FB63154CA3}"/>
  </w:font>
  <w:font w:name="黑体">
    <w:panose1 w:val="02010609060101010101"/>
    <w:charset w:val="86"/>
    <w:family w:val="auto"/>
    <w:pitch w:val="default"/>
    <w:sig w:usb0="800002BF" w:usb1="38CF7CFA" w:usb2="00000016" w:usb3="00000000" w:csb0="00040001" w:csb1="00000000"/>
    <w:embedRegular r:id="rId2" w:fontKey="{E4D90FEF-D5E9-4FB4-A487-588AA3DEF41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embedRegular r:id="rId3" w:fontKey="{D0FC7915-A017-4651-9DAE-D9F875A42E54}"/>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embedRegular r:id="rId4" w:fontKey="{2C639624-4332-4B36-A03B-FC598E14824A}"/>
  </w:font>
  <w:font w:name="Calibri Light">
    <w:panose1 w:val="020F0302020204030204"/>
    <w:charset w:val="00"/>
    <w:family w:val="swiss"/>
    <w:pitch w:val="default"/>
    <w:sig w:usb0="E0002A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onsolas">
    <w:panose1 w:val="020B0609020204030204"/>
    <w:charset w:val="00"/>
    <w:family w:val="modern"/>
    <w:pitch w:val="default"/>
    <w:sig w:usb0="E00006FF" w:usb1="0000FCFF" w:usb2="00000001" w:usb3="00000000" w:csb0="6000019F" w:csb1="DFD70000"/>
  </w:font>
  <w:font w:name="serif">
    <w:altName w:val="Times New Roman"/>
    <w:panose1 w:val="00000000000000000000"/>
    <w:charset w:val="00"/>
    <w:family w:val="auto"/>
    <w:pitch w:val="default"/>
    <w:sig w:usb0="00000000" w:usb1="00000000" w:usb2="00000000" w:usb3="00000000" w:csb0="00040001" w:csb1="00000000"/>
  </w:font>
  <w:font w:name="Helv">
    <w:altName w:val="Segoe Print"/>
    <w:panose1 w:val="020B0604020202030204"/>
    <w:charset w:val="00"/>
    <w:family w:val="swiss"/>
    <w:pitch w:val="default"/>
    <w:sig w:usb0="00000000" w:usb1="00000000" w:usb2="00000000" w:usb3="00000000" w:csb0="00000001" w:csb1="00000000"/>
  </w:font>
  <w:font w:name="仿宋_GB2312">
    <w:panose1 w:val="02010609030101010101"/>
    <w:charset w:val="86"/>
    <w:family w:val="modern"/>
    <w:pitch w:val="default"/>
    <w:sig w:usb0="00000001" w:usb1="080E0000" w:usb2="00000000" w:usb3="00000000" w:csb0="00040000" w:csb1="00000000"/>
    <w:embedRegular r:id="rId5" w:fontKey="{A0C566F2-EA59-4E8E-A392-0C5B6FB67980}"/>
  </w:font>
  <w:font w:name="等线">
    <w:panose1 w:val="02010600030101010101"/>
    <w:charset w:val="86"/>
    <w:family w:val="auto"/>
    <w:pitch w:val="default"/>
    <w:sig w:usb0="A00002BF" w:usb1="38CF7CFA" w:usb2="00000016" w:usb3="00000000" w:csb0="0004000F" w:csb1="00000000"/>
  </w:font>
  <w:font w:name="方正小标宋简体">
    <w:panose1 w:val="03000509000000000000"/>
    <w:charset w:val="86"/>
    <w:family w:val="script"/>
    <w:pitch w:val="default"/>
    <w:sig w:usb0="00000001" w:usb1="080E0000" w:usb2="00000000" w:usb3="00000000" w:csb0="00040000" w:csb1="00000000"/>
    <w:embedRegular r:id="rId6" w:fontKey="{67E06001-6B6C-4A6F-A997-D9BBAC29B285}"/>
  </w:font>
  <w:font w:name="仿宋">
    <w:panose1 w:val="02010609060101010101"/>
    <w:charset w:val="86"/>
    <w:family w:val="modern"/>
    <w:pitch w:val="default"/>
    <w:sig w:usb0="800002BF" w:usb1="38CF7CFA" w:usb2="00000016" w:usb3="00000000" w:csb0="00040001" w:csb1="00000000"/>
    <w:embedRegular r:id="rId7" w:fontKey="{DAC8296C-24F4-425B-BD1B-40E5DE8C69ED}"/>
  </w:font>
  <w:font w:name="Segoe UI Symbol">
    <w:panose1 w:val="020B0502040204020203"/>
    <w:charset w:val="00"/>
    <w:family w:val="swiss"/>
    <w:pitch w:val="default"/>
    <w:sig w:usb0="800001E3" w:usb1="1200FFEF" w:usb2="00040000" w:usb3="04000000" w:csb0="00000001" w:csb1="40000000"/>
    <w:embedRegular r:id="rId8" w:fontKey="{7E08762F-5DD3-401A-BE71-8A1BB544903B}"/>
  </w:font>
  <w:font w:name="方正仿宋简体">
    <w:altName w:val="微软雅黑"/>
    <w:panose1 w:val="00000000000000000000"/>
    <w:charset w:val="86"/>
    <w:family w:val="auto"/>
    <w:pitch w:val="default"/>
    <w:sig w:usb0="00000000" w:usb1="00000000" w:usb2="00000010" w:usb3="00000000" w:csb0="00040000" w:csb1="00000000"/>
    <w:embedRegular r:id="rId9" w:fontKey="{815BC6B5-34D2-4569-AD87-BEDF83949933}"/>
  </w:font>
  <w:font w:name="Segoe Print">
    <w:panose1 w:val="02000600000000000000"/>
    <w:charset w:val="00"/>
    <w:family w:val="auto"/>
    <w:pitch w:val="default"/>
    <w:sig w:usb0="0000028F" w:usb1="00000000" w:usb2="00000000" w:usb3="00000000" w:csb0="2000009F" w:csb1="47010000"/>
  </w:font>
  <w:font w:name="Arial">
    <w:panose1 w:val="020B0604020202020204"/>
    <w:charset w:val="00"/>
    <w:family w:val="auto"/>
    <w:pitch w:val="default"/>
    <w:sig w:usb0="E0002EFF" w:usb1="C000785B" w:usb2="00000009" w:usb3="00000000" w:csb0="400001FF" w:csb1="FFFF0000"/>
    <w:embedRegular r:id="rId10" w:fontKey="{574F485A-E9ED-4B0D-89C2-EBC8CD6A54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1"/>
      <w:rPr>
        <w:rFonts w:ascii="Times New Roman" w:hAnsi="Times New Roman" w:eastAsia="宋体"/>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1"/>
      <w:rPr>
        <w:rFonts w:ascii="Times New Roman" w:hAnsi="Times New Roman" w:eastAsia="宋体"/>
      </w:rPr>
    </w:pPr>
    <w:r>
      <w:rPr>
        <w:lang w:val="en-US"/>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1"/>
                            <w:rPr>
                              <w:rFonts w:ascii="Times New Roman" w:hAnsi="Times New Roman" w:eastAsia="宋体"/>
                            </w:rPr>
                          </w:pPr>
                          <w:r>
                            <w:rPr>
                              <w:rFonts w:ascii="Times New Roman" w:hAnsi="Times New Roman" w:eastAsia="宋体"/>
                            </w:rPr>
                            <w:fldChar w:fldCharType="begin"/>
                          </w:r>
                          <w:r>
                            <w:rPr>
                              <w:rFonts w:ascii="Times New Roman" w:hAnsi="Times New Roman" w:eastAsia="宋体"/>
                            </w:rPr>
                            <w:instrText xml:space="preserve"> PAGE  \* MERGEFORMAT </w:instrText>
                          </w:r>
                          <w:r>
                            <w:rPr>
                              <w:rFonts w:ascii="Times New Roman" w:hAnsi="Times New Roman" w:eastAsia="宋体"/>
                            </w:rPr>
                            <w:fldChar w:fldCharType="separate"/>
                          </w:r>
                          <w:r>
                            <w:rPr>
                              <w:rFonts w:ascii="Times New Roman" w:hAnsi="Times New Roman" w:eastAsia="宋体"/>
                            </w:rPr>
                            <w:t>3</w:t>
                          </w:r>
                          <w:r>
                            <w:rPr>
                              <w:rFonts w:ascii="Times New Roman" w:hAnsi="Times New Roman" w:eastAsia="宋体"/>
                            </w:rPr>
                            <w:fldChar w:fldCharType="end"/>
                          </w:r>
                        </w:p>
                      </w:txbxContent>
                    </wps:txbx>
                    <wps:bodyPr wrap="none" lIns="0" tIns="0" rIns="0" bIns="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K3RzcIBAACNAwAADgAAAGRycy9lMm9Eb2MueG1srVPNjtMwEL6vxDtY&#10;vlNnK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V1S4rjFgZ9//jj/ejw/fCdv&#10;sjx9gBqz7gLmpeG9H3BpZj+gM7MeVLT5i3wIxlHc00VcOSQi8qPVcrWqMCQwNl8Qnz09DxHSB+kt&#10;yUZDI06viMqPnyCNqXNKrub8rTamTNC4vxyImT0s9z72mK007IaJ0M63J+TT4+Ab6nDPKTEfHeqa&#10;d2Q24mzsJiPXgPDukLBw6SejjlBTMZxSYTRtVF6DP+8l6+kv2v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Lyt0c3CAQAAjQMAAA4AAAAAAAAAAQAgAAAAHgEAAGRycy9lMm9Eb2MueG1sUEsF&#10;BgAAAAAGAAYAWQEAAFIFAAAAAA==&#10;">
              <v:fill on="f" focussize="0,0"/>
              <v:stroke on="f"/>
              <v:imagedata o:title=""/>
              <o:lock v:ext="edit" aspectratio="f"/>
              <v:textbox inset="0mm,0mm,0mm,0mm" style="mso-fit-shape-to-text:t;">
                <w:txbxContent>
                  <w:p>
                    <w:pPr>
                      <w:pStyle w:val="51"/>
                      <w:rPr>
                        <w:rFonts w:ascii="Times New Roman" w:hAnsi="Times New Roman" w:eastAsia="宋体"/>
                      </w:rPr>
                    </w:pPr>
                    <w:r>
                      <w:rPr>
                        <w:rFonts w:ascii="Times New Roman" w:hAnsi="Times New Roman" w:eastAsia="宋体"/>
                      </w:rPr>
                      <w:fldChar w:fldCharType="begin"/>
                    </w:r>
                    <w:r>
                      <w:rPr>
                        <w:rFonts w:ascii="Times New Roman" w:hAnsi="Times New Roman" w:eastAsia="宋体"/>
                      </w:rPr>
                      <w:instrText xml:space="preserve"> PAGE  \* MERGEFORMAT </w:instrText>
                    </w:r>
                    <w:r>
                      <w:rPr>
                        <w:rFonts w:ascii="Times New Roman" w:hAnsi="Times New Roman" w:eastAsia="宋体"/>
                      </w:rPr>
                      <w:fldChar w:fldCharType="separate"/>
                    </w:r>
                    <w:r>
                      <w:rPr>
                        <w:rFonts w:ascii="Times New Roman" w:hAnsi="Times New Roman" w:eastAsia="宋体"/>
                      </w:rPr>
                      <w:t>3</w:t>
                    </w:r>
                    <w:r>
                      <w:rPr>
                        <w:rFonts w:ascii="Times New Roman" w:hAnsi="Times New Roman" w:eastAsia="宋体"/>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1"/>
      <w:rPr>
        <w:rFonts w:ascii="Times New Roman" w:hAnsi="Times New Roman" w:eastAsia="宋体"/>
      </w:rPr>
    </w:pPr>
    <w:r>
      <w:rPr>
        <w:lang w:val="en-US"/>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1"/>
                            <w:rPr>
                              <w:rFonts w:ascii="Times New Roman" w:hAnsi="Times New Roman" w:eastAsia="宋体"/>
                            </w:rPr>
                          </w:pPr>
                          <w:r>
                            <w:rPr>
                              <w:rFonts w:hint="eastAsia" w:ascii="Times New Roman" w:hAnsi="Times New Roman" w:eastAsia="宋体"/>
                            </w:rPr>
                            <w:fldChar w:fldCharType="begin"/>
                          </w:r>
                          <w:r>
                            <w:rPr>
                              <w:rFonts w:hint="eastAsia" w:ascii="Times New Roman" w:hAnsi="Times New Roman" w:eastAsia="宋体"/>
                            </w:rPr>
                            <w:instrText xml:space="preserve"> </w:instrText>
                          </w:r>
                          <w:r>
                            <w:rPr>
                              <w:rFonts w:hint="eastAsia" w:eastAsia="宋体"/>
                            </w:rPr>
                            <w:instrText xml:space="preserve">PAGE  \* MERGEFORMAT </w:instrText>
                          </w:r>
                          <w:r>
                            <w:rPr>
                              <w:rFonts w:hint="eastAsia" w:eastAsia="宋体"/>
                            </w:rPr>
                            <w:fldChar w:fldCharType="separate"/>
                          </w:r>
                          <w:r>
                            <w:rPr>
                              <w:rFonts w:ascii="Times New Roman" w:hAnsi="Times New Roman" w:eastAsia="宋体"/>
                            </w:rPr>
                            <w:t>10</w:t>
                          </w:r>
                          <w:r>
                            <w:rPr>
                              <w:rFonts w:hint="eastAsia" w:ascii="Times New Roman" w:hAnsi="Times New Roman" w:eastAsia="宋体"/>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QHJYcIBAACN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OUByWHCAQAAjQMAAA4AAAAAAAAAAQAgAAAAHgEAAGRycy9lMm9Eb2MueG1sUEsF&#10;BgAAAAAGAAYAWQEAAFIFAAAAAA==&#10;">
              <v:fill on="f" focussize="0,0"/>
              <v:stroke on="f"/>
              <v:imagedata o:title=""/>
              <o:lock v:ext="edit" aspectratio="f"/>
              <v:textbox inset="0mm,0mm,0mm,0mm" style="mso-fit-shape-to-text:t;">
                <w:txbxContent>
                  <w:p>
                    <w:pPr>
                      <w:pStyle w:val="51"/>
                      <w:rPr>
                        <w:rFonts w:ascii="Times New Roman" w:hAnsi="Times New Roman" w:eastAsia="宋体"/>
                      </w:rPr>
                    </w:pPr>
                    <w:r>
                      <w:rPr>
                        <w:rFonts w:hint="eastAsia" w:ascii="Times New Roman" w:hAnsi="Times New Roman" w:eastAsia="宋体"/>
                      </w:rPr>
                      <w:fldChar w:fldCharType="begin"/>
                    </w:r>
                    <w:r>
                      <w:rPr>
                        <w:rFonts w:hint="eastAsia" w:ascii="Times New Roman" w:hAnsi="Times New Roman" w:eastAsia="宋体"/>
                      </w:rPr>
                      <w:instrText xml:space="preserve"> </w:instrText>
                    </w:r>
                    <w:r>
                      <w:rPr>
                        <w:rFonts w:hint="eastAsia" w:eastAsia="宋体"/>
                      </w:rPr>
                      <w:instrText xml:space="preserve">PAGE  \* MERGEFORMAT </w:instrText>
                    </w:r>
                    <w:r>
                      <w:rPr>
                        <w:rFonts w:hint="eastAsia" w:eastAsia="宋体"/>
                      </w:rPr>
                      <w:fldChar w:fldCharType="separate"/>
                    </w:r>
                    <w:r>
                      <w:rPr>
                        <w:rFonts w:ascii="Times New Roman" w:hAnsi="Times New Roman" w:eastAsia="宋体"/>
                      </w:rPr>
                      <w:t>10</w:t>
                    </w:r>
                    <w:r>
                      <w:rPr>
                        <w:rFonts w:hint="eastAsia" w:ascii="Times New Roman" w:hAnsi="Times New Roman" w:eastAsia="宋体"/>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tabs>
        <w:tab w:val="center" w:pos="4153"/>
        <w:tab w:val="right" w:pos="8306"/>
        <w:tab w:val="clear" w:pos="4680"/>
        <w:tab w:val="clear" w:pos="9360"/>
      </w:tabs>
      <w:jc w:val="both"/>
      <w:rPr>
        <w:rFonts w:ascii="Times New Roman" w:hAnsi="Times New Roman" w:eastAsia="宋体"/>
      </w:rPr>
    </w:pPr>
    <w:r>
      <w:rPr>
        <w:rFonts w:ascii="Times New Roman" w:hAnsi="Times New Roman" w:eastAsia="宋体"/>
        <w:lang w:val="en-US"/>
      </w:rPr>
      <w:drawing>
        <wp:inline distT="0" distB="0" distL="114300" distR="114300">
          <wp:extent cx="209550" cy="209550"/>
          <wp:effectExtent l="0" t="0" r="6350" b="6350"/>
          <wp:docPr id="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5"/>
                  <pic:cNvPicPr>
                    <a:picLocks noChangeAspect="1"/>
                  </pic:cNvPicPr>
                </pic:nvPicPr>
                <pic:blipFill>
                  <a:blip r:embed="rId1"/>
                  <a:stretch>
                    <a:fillRect/>
                  </a:stretch>
                </pic:blipFill>
                <pic:spPr>
                  <a:xfrm>
                    <a:off x="0" y="0"/>
                    <a:ext cx="209550" cy="209550"/>
                  </a:xfrm>
                  <a:prstGeom prst="rect">
                    <a:avLst/>
                  </a:prstGeom>
                  <a:noFill/>
                  <a:ln>
                    <a:noFill/>
                  </a:ln>
                </pic:spPr>
              </pic:pic>
            </a:graphicData>
          </a:graphic>
        </wp:inline>
      </w:drawing>
    </w:r>
    <w:r>
      <w:rPr>
        <w:rFonts w:hint="eastAsia" w:ascii="Times New Roman" w:hAnsi="Times New Roman" w:eastAsia="宋体"/>
      </w:rPr>
      <w:t xml:space="preserve">公安部警用装备采购中心公开招标文件   </w:t>
    </w:r>
    <w:r>
      <w:rPr>
        <w:rFonts w:ascii="Times New Roman" w:hAnsi="Times New Roman" w:eastAsia="宋体"/>
      </w:rPr>
      <w:t xml:space="preserve">                                        </w:t>
    </w:r>
  </w:p>
  <w:p>
    <w:pPr>
      <w:pStyle w:val="52"/>
      <w:rPr>
        <w:rFonts w:ascii="Times New Roman" w:hAnsi="Times New Roman" w:eastAsia="宋体"/>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tabs>
        <w:tab w:val="center" w:pos="4153"/>
        <w:tab w:val="right" w:pos="8306"/>
        <w:tab w:val="clear" w:pos="4680"/>
        <w:tab w:val="clear" w:pos="9360"/>
      </w:tabs>
      <w:jc w:val="both"/>
      <w:rPr>
        <w:rFonts w:ascii="Times New Roman" w:hAnsi="Times New Roman" w:eastAsia="宋体"/>
      </w:rPr>
    </w:pPr>
    <w:r>
      <w:rPr>
        <w:rFonts w:ascii="Times New Roman" w:hAnsi="Times New Roman" w:eastAsia="宋体"/>
        <w:lang w:val="en-US"/>
      </w:rPr>
      <w:drawing>
        <wp:inline distT="0" distB="0" distL="114300" distR="114300">
          <wp:extent cx="209550" cy="209550"/>
          <wp:effectExtent l="0" t="0" r="6350" b="635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
                  <a:stretch>
                    <a:fillRect/>
                  </a:stretch>
                </pic:blipFill>
                <pic:spPr>
                  <a:xfrm>
                    <a:off x="0" y="0"/>
                    <a:ext cx="209550" cy="209550"/>
                  </a:xfrm>
                  <a:prstGeom prst="rect">
                    <a:avLst/>
                  </a:prstGeom>
                  <a:noFill/>
                  <a:ln>
                    <a:noFill/>
                  </a:ln>
                </pic:spPr>
              </pic:pic>
            </a:graphicData>
          </a:graphic>
        </wp:inline>
      </w:drawing>
    </w:r>
    <w:r>
      <w:rPr>
        <w:rFonts w:hint="eastAsia" w:ascii="Times New Roman" w:hAnsi="Times New Roman" w:eastAsia="宋体"/>
      </w:rPr>
      <w:t xml:space="preserve">公安部警用装备采购中心公开招标文件   </w:t>
    </w:r>
    <w:r>
      <w:rPr>
        <w:rFonts w:ascii="Times New Roman" w:hAnsi="Times New Roman" w:eastAsia="宋体"/>
      </w:rPr>
      <w:t xml:space="preserve">                                </w:t>
    </w:r>
    <w:r>
      <w:rPr>
        <w:rFonts w:hint="eastAsia" w:ascii="Times New Roman" w:hAnsi="Times New Roman" w:eastAsia="宋体"/>
        <w:lang w:val="en-US"/>
      </w:rPr>
      <w:t>投标材料格式</w:t>
    </w:r>
  </w:p>
  <w:p>
    <w:pPr>
      <w:pStyle w:val="52"/>
      <w:rPr>
        <w:rFonts w:ascii="Times New Roman" w:hAnsi="Times New Roman" w:eastAsia="宋体"/>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tabs>
        <w:tab w:val="center" w:pos="4153"/>
        <w:tab w:val="right" w:pos="8306"/>
        <w:tab w:val="clear" w:pos="4680"/>
        <w:tab w:val="clear" w:pos="9360"/>
      </w:tabs>
      <w:jc w:val="both"/>
      <w:rPr>
        <w:rFonts w:ascii="Times New Roman" w:hAnsi="Times New Roman" w:eastAsia="宋体"/>
      </w:rPr>
    </w:pPr>
    <w:r>
      <w:rPr>
        <w:rFonts w:ascii="Times New Roman" w:hAnsi="Times New Roman" w:eastAsia="宋体"/>
        <w:lang w:val="en-US"/>
      </w:rPr>
      <w:drawing>
        <wp:inline distT="0" distB="0" distL="114300" distR="114300">
          <wp:extent cx="209550" cy="209550"/>
          <wp:effectExtent l="0" t="0" r="6350" b="635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
                  <a:stretch>
                    <a:fillRect/>
                  </a:stretch>
                </pic:blipFill>
                <pic:spPr>
                  <a:xfrm>
                    <a:off x="0" y="0"/>
                    <a:ext cx="209550" cy="209550"/>
                  </a:xfrm>
                  <a:prstGeom prst="rect">
                    <a:avLst/>
                  </a:prstGeom>
                  <a:noFill/>
                  <a:ln>
                    <a:noFill/>
                  </a:ln>
                </pic:spPr>
              </pic:pic>
            </a:graphicData>
          </a:graphic>
        </wp:inline>
      </w:drawing>
    </w:r>
    <w:r>
      <w:rPr>
        <w:rFonts w:hint="eastAsia" w:ascii="Times New Roman" w:hAnsi="Times New Roman" w:eastAsia="宋体"/>
      </w:rPr>
      <w:t>公安部警用装备采购中心公开招标文件</w:t>
    </w:r>
    <w:r>
      <w:rPr>
        <w:rFonts w:ascii="Times New Roman" w:hAnsi="Times New Roman" w:eastAsia="宋体"/>
      </w:rPr>
      <w:t xml:space="preserve">                                          </w:t>
    </w:r>
    <w:r>
      <w:rPr>
        <w:rFonts w:hint="eastAsia" w:ascii="Times New Roman" w:hAnsi="Times New Roman" w:eastAsia="宋体"/>
      </w:rPr>
      <w:t>附件</w:t>
    </w:r>
  </w:p>
  <w:p>
    <w:pPr>
      <w:pStyle w:val="52"/>
      <w:rPr>
        <w:rFonts w:ascii="Times New Roman" w:hAnsi="Times New Roman" w:eastAsia="宋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tabs>
        <w:tab w:val="center" w:pos="4153"/>
        <w:tab w:val="right" w:pos="8306"/>
        <w:tab w:val="clear" w:pos="4680"/>
        <w:tab w:val="clear" w:pos="9360"/>
      </w:tabs>
      <w:jc w:val="both"/>
      <w:rPr>
        <w:rFonts w:ascii="Times New Roman" w:hAnsi="Times New Roman" w:eastAsia="宋体"/>
      </w:rPr>
    </w:pPr>
    <w:r>
      <w:rPr>
        <w:rFonts w:ascii="Times New Roman" w:hAnsi="Times New Roman" w:eastAsia="宋体"/>
        <w:lang w:val="en-US"/>
      </w:rPr>
      <w:drawing>
        <wp:inline distT="0" distB="0" distL="114300" distR="114300">
          <wp:extent cx="209550" cy="209550"/>
          <wp:effectExtent l="0" t="0" r="6350" b="635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
                  <a:stretch>
                    <a:fillRect/>
                  </a:stretch>
                </pic:blipFill>
                <pic:spPr>
                  <a:xfrm>
                    <a:off x="0" y="0"/>
                    <a:ext cx="209550" cy="209550"/>
                  </a:xfrm>
                  <a:prstGeom prst="rect">
                    <a:avLst/>
                  </a:prstGeom>
                  <a:noFill/>
                  <a:ln>
                    <a:noFill/>
                  </a:ln>
                </pic:spPr>
              </pic:pic>
            </a:graphicData>
          </a:graphic>
        </wp:inline>
      </w:drawing>
    </w:r>
    <w:r>
      <w:rPr>
        <w:rFonts w:hint="eastAsia" w:ascii="Times New Roman" w:hAnsi="Times New Roman" w:eastAsia="宋体"/>
      </w:rPr>
      <w:t xml:space="preserve">公安部警用装备采购中心公开招标文件   </w:t>
    </w:r>
    <w:r>
      <w:rPr>
        <w:rFonts w:ascii="Times New Roman" w:hAnsi="Times New Roman" w:eastAsia="宋体"/>
      </w:rPr>
      <w:t xml:space="preserve">                                        </w:t>
    </w:r>
  </w:p>
  <w:p>
    <w:pPr>
      <w:pStyle w:val="52"/>
      <w:rPr>
        <w:rFonts w:ascii="Times New Roman" w:hAnsi="Times New Roman" w:eastAsia="宋体"/>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tabs>
        <w:tab w:val="center" w:pos="4153"/>
        <w:tab w:val="right" w:pos="8306"/>
        <w:tab w:val="clear" w:pos="4680"/>
        <w:tab w:val="clear" w:pos="9360"/>
      </w:tabs>
      <w:jc w:val="both"/>
      <w:rPr>
        <w:rFonts w:ascii="Times New Roman" w:hAnsi="Times New Roman" w:eastAsia="宋体"/>
      </w:rPr>
    </w:pPr>
    <w:r>
      <w:rPr>
        <w:rFonts w:ascii="Times New Roman" w:hAnsi="Times New Roman" w:eastAsia="宋体"/>
        <w:lang w:val="en-US"/>
      </w:rPr>
      <w:drawing>
        <wp:inline distT="0" distB="0" distL="114300" distR="114300">
          <wp:extent cx="209550" cy="209550"/>
          <wp:effectExtent l="0" t="0" r="6350" b="6350"/>
          <wp:docPr id="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2"/>
                  <pic:cNvPicPr>
                    <a:picLocks noChangeAspect="1"/>
                  </pic:cNvPicPr>
                </pic:nvPicPr>
                <pic:blipFill>
                  <a:blip r:embed="rId1"/>
                  <a:stretch>
                    <a:fillRect/>
                  </a:stretch>
                </pic:blipFill>
                <pic:spPr>
                  <a:xfrm>
                    <a:off x="0" y="0"/>
                    <a:ext cx="209550" cy="209550"/>
                  </a:xfrm>
                  <a:prstGeom prst="rect">
                    <a:avLst/>
                  </a:prstGeom>
                  <a:noFill/>
                  <a:ln>
                    <a:noFill/>
                  </a:ln>
                </pic:spPr>
              </pic:pic>
            </a:graphicData>
          </a:graphic>
        </wp:inline>
      </w:drawing>
    </w:r>
    <w:r>
      <w:rPr>
        <w:rFonts w:hint="eastAsia" w:ascii="Times New Roman" w:hAnsi="Times New Roman" w:eastAsia="宋体"/>
      </w:rPr>
      <w:t xml:space="preserve">公安部警用装备采购中心公开招标文件   </w:t>
    </w:r>
    <w:r>
      <w:rPr>
        <w:rFonts w:ascii="Times New Roman" w:hAnsi="Times New Roman" w:eastAsia="宋体"/>
      </w:rPr>
      <w:t xml:space="preserve">                                    </w:t>
    </w:r>
    <w:r>
      <w:rPr>
        <w:rFonts w:hint="eastAsia" w:ascii="Times New Roman" w:hAnsi="Times New Roman" w:eastAsia="宋体"/>
      </w:rPr>
      <w:t>投标邀请</w:t>
    </w:r>
  </w:p>
  <w:p>
    <w:pPr>
      <w:pStyle w:val="52"/>
      <w:rPr>
        <w:rFonts w:ascii="Times New Roman" w:hAnsi="Times New Roman" w:eastAsia="宋体"/>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tabs>
        <w:tab w:val="center" w:pos="4153"/>
        <w:tab w:val="right" w:pos="8306"/>
        <w:tab w:val="clear" w:pos="4680"/>
        <w:tab w:val="clear" w:pos="9360"/>
      </w:tabs>
      <w:jc w:val="both"/>
      <w:rPr>
        <w:rFonts w:ascii="Times New Roman" w:hAnsi="Times New Roman" w:eastAsia="宋体"/>
        <w:lang w:val="en-US"/>
      </w:rPr>
    </w:pPr>
    <w:r>
      <w:rPr>
        <w:rFonts w:ascii="Times New Roman" w:hAnsi="Times New Roman" w:eastAsia="宋体"/>
        <w:lang w:val="en-US"/>
      </w:rPr>
      <w:drawing>
        <wp:inline distT="0" distB="0" distL="114300" distR="114300">
          <wp:extent cx="209550" cy="209550"/>
          <wp:effectExtent l="0" t="0" r="6350" b="6350"/>
          <wp:docPr id="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5"/>
                  <pic:cNvPicPr>
                    <a:picLocks noChangeAspect="1"/>
                  </pic:cNvPicPr>
                </pic:nvPicPr>
                <pic:blipFill>
                  <a:blip r:embed="rId1"/>
                  <a:stretch>
                    <a:fillRect/>
                  </a:stretch>
                </pic:blipFill>
                <pic:spPr>
                  <a:xfrm>
                    <a:off x="0" y="0"/>
                    <a:ext cx="209550" cy="209550"/>
                  </a:xfrm>
                  <a:prstGeom prst="rect">
                    <a:avLst/>
                  </a:prstGeom>
                  <a:noFill/>
                  <a:ln>
                    <a:noFill/>
                  </a:ln>
                </pic:spPr>
              </pic:pic>
            </a:graphicData>
          </a:graphic>
        </wp:inline>
      </w:drawing>
    </w:r>
    <w:r>
      <w:rPr>
        <w:rFonts w:hint="eastAsia" w:ascii="Times New Roman" w:hAnsi="Times New Roman" w:eastAsia="宋体"/>
      </w:rPr>
      <w:t xml:space="preserve">公安部警用装备采购中心公开招标文件   </w:t>
    </w:r>
    <w:r>
      <w:rPr>
        <w:rFonts w:ascii="Times New Roman" w:hAnsi="Times New Roman" w:eastAsia="宋体"/>
      </w:rPr>
      <w:t xml:space="preserve">                            </w:t>
    </w:r>
    <w:r>
      <w:rPr>
        <w:rFonts w:hint="eastAsia" w:ascii="Times New Roman" w:hAnsi="Times New Roman" w:eastAsia="宋体"/>
      </w:rPr>
      <w:t>投标人</w:t>
    </w:r>
    <w:r>
      <w:rPr>
        <w:rFonts w:ascii="Times New Roman" w:hAnsi="Times New Roman" w:eastAsia="宋体"/>
      </w:rPr>
      <w:t>须知</w:t>
    </w:r>
    <w:r>
      <w:rPr>
        <w:rFonts w:hint="eastAsia" w:ascii="Times New Roman" w:hAnsi="Times New Roman" w:eastAsia="宋体"/>
      </w:rPr>
      <w:t>前附表</w:t>
    </w:r>
  </w:p>
  <w:p>
    <w:pPr>
      <w:pStyle w:val="52"/>
      <w:rPr>
        <w:rFonts w:ascii="Times New Roman" w:hAnsi="Times New Roman" w:eastAsia="宋体"/>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tabs>
        <w:tab w:val="center" w:pos="4153"/>
        <w:tab w:val="right" w:pos="8306"/>
        <w:tab w:val="clear" w:pos="4680"/>
        <w:tab w:val="clear" w:pos="9360"/>
      </w:tabs>
      <w:jc w:val="both"/>
      <w:rPr>
        <w:rFonts w:ascii="宋体" w:hAnsi="宋体" w:eastAsia="宋体" w:cs="宋体"/>
        <w:lang w:val="en-US"/>
      </w:rPr>
    </w:pPr>
    <w:r>
      <w:rPr>
        <w:rFonts w:hint="eastAsia" w:ascii="宋体" w:hAnsi="宋体" w:eastAsia="宋体" w:cs="宋体"/>
        <w:lang w:val="en-US"/>
      </w:rPr>
      <w:drawing>
        <wp:inline distT="0" distB="0" distL="114300" distR="114300">
          <wp:extent cx="209550" cy="209550"/>
          <wp:effectExtent l="0" t="0" r="6350" b="6350"/>
          <wp:docPr id="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7"/>
                  <pic:cNvPicPr>
                    <a:picLocks noChangeAspect="1"/>
                  </pic:cNvPicPr>
                </pic:nvPicPr>
                <pic:blipFill>
                  <a:blip r:embed="rId1"/>
                  <a:stretch>
                    <a:fillRect/>
                  </a:stretch>
                </pic:blipFill>
                <pic:spPr>
                  <a:xfrm>
                    <a:off x="0" y="0"/>
                    <a:ext cx="209550" cy="209550"/>
                  </a:xfrm>
                  <a:prstGeom prst="rect">
                    <a:avLst/>
                  </a:prstGeom>
                  <a:noFill/>
                  <a:ln>
                    <a:noFill/>
                  </a:ln>
                </pic:spPr>
              </pic:pic>
            </a:graphicData>
          </a:graphic>
        </wp:inline>
      </w:drawing>
    </w:r>
    <w:r>
      <w:rPr>
        <w:rFonts w:hint="eastAsia" w:ascii="宋体" w:hAnsi="宋体" w:eastAsia="宋体" w:cs="宋体"/>
      </w:rPr>
      <w:t>公安部警用装备采购中心</w:t>
    </w:r>
    <w:r>
      <w:rPr>
        <w:rFonts w:hint="eastAsia" w:ascii="Times New Roman" w:hAnsi="Times New Roman" w:eastAsia="宋体"/>
      </w:rPr>
      <w:t xml:space="preserve">公开招标文件   </w:t>
    </w:r>
    <w:r>
      <w:rPr>
        <w:rFonts w:hint="eastAsia" w:ascii="Times New Roman" w:hAnsi="Times New Roman" w:eastAsia="宋体"/>
        <w:lang w:val="en-US"/>
      </w:rPr>
      <w:t xml:space="preserve"> </w:t>
    </w:r>
    <w:r>
      <w:rPr>
        <w:rFonts w:hint="eastAsia" w:ascii="宋体" w:hAnsi="宋体" w:eastAsia="宋体" w:cs="宋体"/>
      </w:rPr>
      <w:t xml:space="preserve">                           </w:t>
    </w:r>
    <w:r>
      <w:rPr>
        <w:rFonts w:hint="eastAsia" w:ascii="宋体" w:hAnsi="宋体" w:eastAsia="宋体" w:cs="宋体"/>
        <w:lang w:val="en-US"/>
      </w:rPr>
      <w:t xml:space="preserve">      </w:t>
    </w:r>
    <w:r>
      <w:rPr>
        <w:rFonts w:hint="eastAsia" w:ascii="宋体" w:hAnsi="宋体" w:eastAsia="宋体" w:cs="宋体"/>
      </w:rPr>
      <w:t>投标人须知</w:t>
    </w:r>
  </w:p>
  <w:p>
    <w:pPr>
      <w:pStyle w:val="52"/>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tabs>
        <w:tab w:val="center" w:pos="4153"/>
        <w:tab w:val="right" w:pos="8306"/>
        <w:tab w:val="clear" w:pos="4680"/>
        <w:tab w:val="clear" w:pos="9360"/>
      </w:tabs>
      <w:jc w:val="both"/>
      <w:rPr>
        <w:rFonts w:ascii="Times New Roman" w:hAnsi="Times New Roman" w:eastAsia="宋体"/>
      </w:rPr>
    </w:pPr>
    <w:r>
      <w:rPr>
        <w:rFonts w:ascii="Times New Roman" w:hAnsi="Times New Roman" w:eastAsia="宋体"/>
        <w:lang w:val="en-US"/>
      </w:rPr>
      <w:drawing>
        <wp:inline distT="0" distB="0" distL="114300" distR="114300">
          <wp:extent cx="209550" cy="209550"/>
          <wp:effectExtent l="0" t="0" r="6350" b="6350"/>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pic:cNvPicPr>
                </pic:nvPicPr>
                <pic:blipFill>
                  <a:blip r:embed="rId1"/>
                  <a:stretch>
                    <a:fillRect/>
                  </a:stretch>
                </pic:blipFill>
                <pic:spPr>
                  <a:xfrm>
                    <a:off x="0" y="0"/>
                    <a:ext cx="209550" cy="209550"/>
                  </a:xfrm>
                  <a:prstGeom prst="rect">
                    <a:avLst/>
                  </a:prstGeom>
                  <a:noFill/>
                  <a:ln>
                    <a:noFill/>
                  </a:ln>
                </pic:spPr>
              </pic:pic>
            </a:graphicData>
          </a:graphic>
        </wp:inline>
      </w:drawing>
    </w:r>
    <w:r>
      <w:rPr>
        <w:rFonts w:hint="eastAsia" w:ascii="Times New Roman" w:hAnsi="Times New Roman" w:eastAsia="宋体"/>
      </w:rPr>
      <w:t xml:space="preserve">公安部警用装备采购中心公开招标文件   </w:t>
    </w:r>
    <w:r>
      <w:rPr>
        <w:rFonts w:ascii="Times New Roman" w:hAnsi="Times New Roman" w:eastAsia="宋体"/>
      </w:rPr>
      <w:t xml:space="preserve">                    </w:t>
    </w:r>
    <w:r>
      <w:rPr>
        <w:rFonts w:hint="eastAsia" w:ascii="Times New Roman" w:hAnsi="Times New Roman" w:eastAsia="宋体"/>
      </w:rPr>
      <w:t>评分办法和评审标准</w:t>
    </w:r>
  </w:p>
  <w:p>
    <w:pPr>
      <w:pStyle w:val="52"/>
      <w:rPr>
        <w:rFonts w:ascii="Times New Roman" w:hAnsi="Times New Roman" w:eastAsia="宋体"/>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tabs>
        <w:tab w:val="center" w:pos="4153"/>
        <w:tab w:val="right" w:pos="8306"/>
        <w:tab w:val="clear" w:pos="4680"/>
        <w:tab w:val="clear" w:pos="9360"/>
      </w:tabs>
      <w:jc w:val="both"/>
      <w:rPr>
        <w:rFonts w:ascii="Times New Roman" w:hAnsi="Times New Roman" w:eastAsia="宋体"/>
      </w:rPr>
    </w:pPr>
    <w:r>
      <w:rPr>
        <w:rFonts w:ascii="Times New Roman" w:hAnsi="Times New Roman" w:eastAsia="宋体"/>
        <w:lang w:val="en-US"/>
      </w:rPr>
      <w:drawing>
        <wp:inline distT="0" distB="0" distL="114300" distR="114300">
          <wp:extent cx="209550" cy="209550"/>
          <wp:effectExtent l="0" t="0" r="635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
                  <a:stretch>
                    <a:fillRect/>
                  </a:stretch>
                </pic:blipFill>
                <pic:spPr>
                  <a:xfrm>
                    <a:off x="0" y="0"/>
                    <a:ext cx="209550" cy="209550"/>
                  </a:xfrm>
                  <a:prstGeom prst="rect">
                    <a:avLst/>
                  </a:prstGeom>
                  <a:noFill/>
                  <a:ln>
                    <a:noFill/>
                  </a:ln>
                </pic:spPr>
              </pic:pic>
            </a:graphicData>
          </a:graphic>
        </wp:inline>
      </w:drawing>
    </w:r>
    <w:r>
      <w:rPr>
        <w:rFonts w:hint="eastAsia" w:ascii="Times New Roman" w:hAnsi="Times New Roman" w:eastAsia="宋体"/>
      </w:rPr>
      <w:t xml:space="preserve">公安部警用装备采购中心公开招标文件   </w:t>
    </w:r>
    <w:r>
      <w:rPr>
        <w:rFonts w:ascii="Times New Roman" w:hAnsi="Times New Roman" w:eastAsia="宋体"/>
      </w:rPr>
      <w:t xml:space="preserve">                              </w:t>
    </w:r>
    <w:r>
      <w:rPr>
        <w:rFonts w:hint="eastAsia" w:ascii="Times New Roman" w:hAnsi="Times New Roman" w:eastAsia="宋体"/>
      </w:rPr>
      <w:t>采购需求</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tabs>
        <w:tab w:val="center" w:pos="4153"/>
        <w:tab w:val="right" w:pos="8306"/>
        <w:tab w:val="clear" w:pos="4680"/>
        <w:tab w:val="clear" w:pos="9360"/>
      </w:tabs>
      <w:jc w:val="both"/>
      <w:rPr>
        <w:rFonts w:ascii="Times New Roman" w:hAnsi="Times New Roman" w:eastAsia="宋体"/>
        <w:lang w:val="en-US"/>
      </w:rPr>
    </w:pPr>
    <w:r>
      <w:rPr>
        <w:rFonts w:ascii="Times New Roman" w:hAnsi="Times New Roman" w:eastAsia="宋体"/>
        <w:lang w:val="en-US"/>
      </w:rPr>
      <w:drawing>
        <wp:inline distT="0" distB="0" distL="114300" distR="114300">
          <wp:extent cx="209550" cy="209550"/>
          <wp:effectExtent l="0" t="0" r="6350" b="6350"/>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1"/>
                  <a:stretch>
                    <a:fillRect/>
                  </a:stretch>
                </pic:blipFill>
                <pic:spPr>
                  <a:xfrm>
                    <a:off x="0" y="0"/>
                    <a:ext cx="209550" cy="209550"/>
                  </a:xfrm>
                  <a:prstGeom prst="rect">
                    <a:avLst/>
                  </a:prstGeom>
                  <a:noFill/>
                  <a:ln>
                    <a:noFill/>
                  </a:ln>
                </pic:spPr>
              </pic:pic>
            </a:graphicData>
          </a:graphic>
        </wp:inline>
      </w:drawing>
    </w:r>
    <w:r>
      <w:rPr>
        <w:rFonts w:hint="eastAsia" w:ascii="Times New Roman" w:hAnsi="Times New Roman" w:eastAsia="宋体"/>
      </w:rPr>
      <w:t xml:space="preserve">公安部警用装备采购中心公开招标文件   </w:t>
    </w:r>
    <w:r>
      <w:rPr>
        <w:rFonts w:ascii="Times New Roman" w:hAnsi="Times New Roman" w:eastAsia="宋体"/>
      </w:rPr>
      <w:t xml:space="preserve">                                   </w:t>
    </w:r>
    <w:r>
      <w:rPr>
        <w:rFonts w:hint="eastAsia" w:ascii="Times New Roman" w:hAnsi="Times New Roman" w:eastAsia="宋体"/>
        <w:lang w:val="en-US"/>
      </w:rPr>
      <w:t xml:space="preserve"> 采购需求</w:t>
    </w:r>
  </w:p>
  <w:p>
    <w:pPr>
      <w:pStyle w:val="52"/>
      <w:rPr>
        <w:rFonts w:ascii="Times New Roman" w:hAnsi="Times New Roman" w:eastAsia="宋体"/>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tabs>
        <w:tab w:val="center" w:pos="4153"/>
        <w:tab w:val="right" w:pos="8306"/>
        <w:tab w:val="clear" w:pos="4680"/>
        <w:tab w:val="clear" w:pos="9360"/>
      </w:tabs>
      <w:jc w:val="both"/>
      <w:rPr>
        <w:rFonts w:ascii="Times New Roman" w:hAnsi="Times New Roman" w:eastAsia="宋体"/>
        <w:lang w:val="en-US"/>
      </w:rPr>
    </w:pPr>
    <w:r>
      <w:rPr>
        <w:rFonts w:ascii="Times New Roman" w:hAnsi="Times New Roman" w:eastAsia="宋体"/>
        <w:lang w:val="en-US"/>
      </w:rPr>
      <w:drawing>
        <wp:inline distT="0" distB="0" distL="114300" distR="114300">
          <wp:extent cx="209550" cy="209550"/>
          <wp:effectExtent l="0" t="0" r="6350" b="6350"/>
          <wp:docPr id="1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pic:cNvPicPr>
                    <a:picLocks noChangeAspect="1"/>
                  </pic:cNvPicPr>
                </pic:nvPicPr>
                <pic:blipFill>
                  <a:blip r:embed="rId1"/>
                  <a:stretch>
                    <a:fillRect/>
                  </a:stretch>
                </pic:blipFill>
                <pic:spPr>
                  <a:xfrm>
                    <a:off x="0" y="0"/>
                    <a:ext cx="209550" cy="209550"/>
                  </a:xfrm>
                  <a:prstGeom prst="rect">
                    <a:avLst/>
                  </a:prstGeom>
                  <a:noFill/>
                  <a:ln>
                    <a:noFill/>
                  </a:ln>
                </pic:spPr>
              </pic:pic>
            </a:graphicData>
          </a:graphic>
        </wp:inline>
      </w:drawing>
    </w:r>
    <w:r>
      <w:rPr>
        <w:rFonts w:hint="eastAsia" w:ascii="Times New Roman" w:hAnsi="Times New Roman" w:eastAsia="宋体"/>
      </w:rPr>
      <w:t xml:space="preserve">公安部警用装备采购中心公开招标文件   </w:t>
    </w:r>
    <w:r>
      <w:rPr>
        <w:rFonts w:ascii="Times New Roman" w:hAnsi="Times New Roman" w:eastAsia="宋体"/>
      </w:rPr>
      <w:t xml:space="preserve">                                   </w:t>
    </w:r>
    <w:r>
      <w:rPr>
        <w:rFonts w:hint="eastAsia" w:ascii="Times New Roman" w:hAnsi="Times New Roman" w:eastAsia="宋体"/>
        <w:lang w:val="en-US"/>
      </w:rPr>
      <w:t xml:space="preserve">    </w:t>
    </w:r>
    <w:r>
      <w:rPr>
        <w:rFonts w:ascii="Times New Roman" w:hAnsi="Times New Roman" w:eastAsia="宋体"/>
      </w:rPr>
      <w:t xml:space="preserve"> </w:t>
    </w:r>
    <w:r>
      <w:rPr>
        <w:rFonts w:hint="eastAsia" w:ascii="Times New Roman" w:hAnsi="Times New Roman" w:eastAsia="宋体"/>
        <w:lang w:val="en-US"/>
      </w:rPr>
      <w:t>合同</w:t>
    </w:r>
  </w:p>
  <w:p>
    <w:pPr>
      <w:pStyle w:val="52"/>
      <w:rPr>
        <w:rFonts w:ascii="Times New Roman" w:hAnsi="Times New Roman" w:eastAsia="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F5C7AE"/>
    <w:multiLevelType w:val="multilevel"/>
    <w:tmpl w:val="83F5C7AE"/>
    <w:lvl w:ilvl="0" w:tentative="0">
      <w:start w:val="1"/>
      <w:numFmt w:val="decimal"/>
      <w:suff w:val="nothing"/>
      <w:lvlText w:val="%1"/>
      <w:lvlJc w:val="left"/>
      <w:pPr>
        <w:ind w:left="562" w:hanging="420"/>
      </w:pPr>
      <w:rPr>
        <w:rFonts w:hint="default" w:ascii="Times New Roman" w:hAnsi="Times New Roman" w:cs="Times New Roman"/>
        <w:b w:val="0"/>
        <w:bCs w:val="0"/>
      </w:rPr>
    </w:lvl>
    <w:lvl w:ilvl="1" w:tentative="0">
      <w:start w:val="1"/>
      <w:numFmt w:val="lowerLetter"/>
      <w:lvlText w:val="%2)"/>
      <w:lvlJc w:val="left"/>
      <w:pPr>
        <w:ind w:left="840" w:hanging="42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abstractNum w:abstractNumId="1">
    <w:nsid w:val="861A6E08"/>
    <w:multiLevelType w:val="multilevel"/>
    <w:tmpl w:val="861A6E08"/>
    <w:lvl w:ilvl="0" w:tentative="0">
      <w:start w:val="1"/>
      <w:numFmt w:val="decimal"/>
      <w:lvlText w:val="%1."/>
      <w:lvlJc w:val="left"/>
      <w:pPr>
        <w:ind w:left="993" w:hanging="425"/>
      </w:pPr>
      <w:rPr>
        <w:rFonts w:hint="default"/>
      </w:rPr>
    </w:lvl>
    <w:lvl w:ilvl="1" w:tentative="0">
      <w:start w:val="1"/>
      <w:numFmt w:val="decimal"/>
      <w:lvlText w:val="%1.%2."/>
      <w:lvlJc w:val="left"/>
      <w:pPr>
        <w:ind w:left="1135" w:hanging="567"/>
      </w:pPr>
      <w:rPr>
        <w:rFonts w:hint="default"/>
      </w:rPr>
    </w:lvl>
    <w:lvl w:ilvl="2" w:tentative="0">
      <w:start w:val="1"/>
      <w:numFmt w:val="decimal"/>
      <w:lvlText w:val="%1.%2.%3."/>
      <w:lvlJc w:val="left"/>
      <w:pPr>
        <w:ind w:left="1277" w:hanging="709"/>
      </w:pPr>
      <w:rPr>
        <w:rFonts w:hint="default"/>
      </w:rPr>
    </w:lvl>
    <w:lvl w:ilvl="3" w:tentative="0">
      <w:start w:val="1"/>
      <w:numFmt w:val="decimal"/>
      <w:lvlText w:val="%1.%2.%3.%4."/>
      <w:lvlJc w:val="left"/>
      <w:pPr>
        <w:ind w:left="1418" w:hanging="850"/>
      </w:pPr>
      <w:rPr>
        <w:rFonts w:hint="default"/>
      </w:rPr>
    </w:lvl>
    <w:lvl w:ilvl="4" w:tentative="0">
      <w:start w:val="1"/>
      <w:numFmt w:val="decimal"/>
      <w:lvlText w:val="%1.%2.%3.%4.%5."/>
      <w:lvlJc w:val="left"/>
      <w:pPr>
        <w:ind w:left="1559" w:hanging="991"/>
      </w:pPr>
      <w:rPr>
        <w:rFonts w:hint="default"/>
      </w:rPr>
    </w:lvl>
    <w:lvl w:ilvl="5" w:tentative="0">
      <w:start w:val="1"/>
      <w:numFmt w:val="decimal"/>
      <w:lvlText w:val="%1.%2.%3.%4.%5.%6."/>
      <w:lvlJc w:val="left"/>
      <w:pPr>
        <w:ind w:left="1702" w:hanging="1134"/>
      </w:pPr>
      <w:rPr>
        <w:rFonts w:hint="default"/>
      </w:rPr>
    </w:lvl>
    <w:lvl w:ilvl="6" w:tentative="0">
      <w:start w:val="1"/>
      <w:numFmt w:val="decimal"/>
      <w:lvlText w:val="%1.%2.%3.%4.%5.%6.%7."/>
      <w:lvlJc w:val="left"/>
      <w:pPr>
        <w:ind w:left="1843" w:hanging="1275"/>
      </w:pPr>
      <w:rPr>
        <w:rFonts w:hint="default"/>
      </w:rPr>
    </w:lvl>
    <w:lvl w:ilvl="7" w:tentative="0">
      <w:start w:val="1"/>
      <w:numFmt w:val="decimal"/>
      <w:lvlText w:val="%1.%2.%3.%4.%5.%6.%7.%8."/>
      <w:lvlJc w:val="left"/>
      <w:pPr>
        <w:ind w:left="1986" w:hanging="1418"/>
      </w:pPr>
      <w:rPr>
        <w:rFonts w:hint="default"/>
      </w:rPr>
    </w:lvl>
    <w:lvl w:ilvl="8" w:tentative="0">
      <w:start w:val="1"/>
      <w:numFmt w:val="decimal"/>
      <w:lvlText w:val="%1.%2.%3.%4.%5.%6.%7.%8.%9."/>
      <w:lvlJc w:val="left"/>
      <w:pPr>
        <w:ind w:left="2126" w:hanging="1558"/>
      </w:pPr>
      <w:rPr>
        <w:rFonts w:hint="default"/>
      </w:rPr>
    </w:lvl>
  </w:abstractNum>
  <w:abstractNum w:abstractNumId="2">
    <w:nsid w:val="8B353B86"/>
    <w:multiLevelType w:val="multilevel"/>
    <w:tmpl w:val="8B353B86"/>
    <w:lvl w:ilvl="0" w:tentative="0">
      <w:start w:val="1"/>
      <w:numFmt w:val="decimal"/>
      <w:suff w:val="nothing"/>
      <w:lvlText w:val="%1"/>
      <w:lvlJc w:val="left"/>
      <w:pPr>
        <w:ind w:left="0" w:firstLine="0"/>
      </w:pPr>
      <w:rPr>
        <w:rFonts w:hint="default" w:ascii="Times New Roman" w:hAnsi="Times New Roman" w:cs="Times New Roman"/>
        <w:b w:val="0"/>
        <w:bCs w:val="0"/>
      </w:rPr>
    </w:lvl>
    <w:lvl w:ilvl="1" w:tentative="0">
      <w:start w:val="1"/>
      <w:numFmt w:val="lowerLetter"/>
      <w:lvlText w:val="%2)"/>
      <w:lvlJc w:val="left"/>
      <w:pPr>
        <w:ind w:left="840" w:hanging="42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abstractNum w:abstractNumId="3">
    <w:nsid w:val="8B9DEF32"/>
    <w:multiLevelType w:val="multilevel"/>
    <w:tmpl w:val="8B9DEF32"/>
    <w:lvl w:ilvl="0" w:tentative="0">
      <w:start w:val="1"/>
      <w:numFmt w:val="decimal"/>
      <w:suff w:val="nothing"/>
      <w:lvlText w:val="%1"/>
      <w:lvlJc w:val="left"/>
      <w:pPr>
        <w:ind w:left="425" w:hanging="425"/>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94BFAC2B"/>
    <w:multiLevelType w:val="singleLevel"/>
    <w:tmpl w:val="94BFAC2B"/>
    <w:lvl w:ilvl="0" w:tentative="0">
      <w:start w:val="1"/>
      <w:numFmt w:val="decimal"/>
      <w:suff w:val="nothing"/>
      <w:lvlText w:val="%1"/>
      <w:lvlJc w:val="left"/>
      <w:pPr>
        <w:ind w:left="0" w:firstLine="0"/>
      </w:pPr>
      <w:rPr>
        <w:rFonts w:hint="default" w:ascii="Times New Roman" w:hAnsi="Times New Roman" w:cs="Times New Roman"/>
      </w:rPr>
    </w:lvl>
  </w:abstractNum>
  <w:abstractNum w:abstractNumId="5">
    <w:nsid w:val="9C5CF68B"/>
    <w:multiLevelType w:val="multilevel"/>
    <w:tmpl w:val="9C5CF68B"/>
    <w:lvl w:ilvl="0" w:tentative="0">
      <w:start w:val="1"/>
      <w:numFmt w:val="decimal"/>
      <w:pStyle w:val="2"/>
      <w:lvlText w:val="%1"/>
      <w:lvlJc w:val="left"/>
      <w:pPr>
        <w:ind w:left="432" w:hanging="432"/>
      </w:pPr>
      <w:rPr>
        <w:rFonts w:hint="eastAsia"/>
      </w:rPr>
    </w:lvl>
    <w:lvl w:ilvl="1" w:tentative="0">
      <w:start w:val="1"/>
      <w:numFmt w:val="decimal"/>
      <w:pStyle w:val="3"/>
      <w:lvlText w:val="%1.%2"/>
      <w:lvlJc w:val="left"/>
      <w:pPr>
        <w:ind w:left="1285" w:hanging="576"/>
      </w:pPr>
      <w:rPr>
        <w:rFonts w:hint="default" w:ascii="Times New Roman" w:hAnsi="Times New Roman" w:eastAsia="宋体" w:cs="Times New Roman"/>
        <w:sz w:val="32"/>
        <w:szCs w:val="32"/>
      </w:rPr>
    </w:lvl>
    <w:lvl w:ilvl="2" w:tentative="0">
      <w:start w:val="1"/>
      <w:numFmt w:val="decimal"/>
      <w:pStyle w:val="4"/>
      <w:lvlText w:val="%1.%2.%3"/>
      <w:lvlJc w:val="left"/>
      <w:pPr>
        <w:ind w:left="720" w:hanging="720"/>
      </w:pPr>
      <w:rPr>
        <w:rFonts w:hint="default" w:ascii="Times New Roman" w:hAnsi="Times New Roman" w:cs="Times New Roman"/>
        <w:b w:val="0"/>
        <w:sz w:val="24"/>
        <w:szCs w:val="24"/>
      </w:rPr>
    </w:lvl>
    <w:lvl w:ilvl="3" w:tentative="0">
      <w:start w:val="1"/>
      <w:numFmt w:val="decimal"/>
      <w:pStyle w:val="5"/>
      <w:lvlText w:val="%1.%2.%3.%4"/>
      <w:lvlJc w:val="left"/>
      <w:pPr>
        <w:ind w:left="864" w:hanging="864"/>
      </w:pPr>
      <w:rPr>
        <w:rFonts w:hint="default" w:ascii="Times New Roman" w:hAnsi="Times New Roman" w:eastAsia="宋体" w:cs="宋体"/>
        <w:b w:val="0"/>
        <w:sz w:val="21"/>
        <w:szCs w:val="21"/>
      </w:rPr>
    </w:lvl>
    <w:lvl w:ilvl="4" w:tentative="0">
      <w:start w:val="1"/>
      <w:numFmt w:val="decimal"/>
      <w:pStyle w:val="6"/>
      <w:lvlText w:val="%1.%2.%3.%4.%5"/>
      <w:lvlJc w:val="left"/>
      <w:pPr>
        <w:ind w:left="1008" w:hanging="1008"/>
      </w:pPr>
      <w:rPr>
        <w:rFonts w:hint="eastAsia"/>
      </w:rPr>
    </w:lvl>
    <w:lvl w:ilvl="5" w:tentative="0">
      <w:start w:val="1"/>
      <w:numFmt w:val="decimal"/>
      <w:pStyle w:val="7"/>
      <w:lvlText w:val="%1.%2.%3.%4.%5.%6"/>
      <w:lvlJc w:val="left"/>
      <w:pPr>
        <w:ind w:left="0" w:firstLine="0"/>
      </w:pPr>
      <w:rPr>
        <w:rFonts w:hint="eastAsia"/>
      </w:rPr>
    </w:lvl>
    <w:lvl w:ilvl="6" w:tentative="0">
      <w:start w:val="1"/>
      <w:numFmt w:val="decimal"/>
      <w:pStyle w:val="8"/>
      <w:lvlText w:val="%1.%2.%3.%4.%5.%6.%7"/>
      <w:lvlJc w:val="left"/>
      <w:pPr>
        <w:ind w:left="1296" w:hanging="1296"/>
      </w:pPr>
      <w:rPr>
        <w:rFonts w:hint="eastAsia"/>
      </w:rPr>
    </w:lvl>
    <w:lvl w:ilvl="7" w:tentative="0">
      <w:start w:val="1"/>
      <w:numFmt w:val="decimal"/>
      <w:pStyle w:val="9"/>
      <w:lvlText w:val="%1.%2.%3.%4.%5.%6.%7.%8"/>
      <w:lvlJc w:val="left"/>
      <w:pPr>
        <w:ind w:left="1440" w:hanging="1440"/>
      </w:pPr>
      <w:rPr>
        <w:rFonts w:hint="eastAsia"/>
      </w:rPr>
    </w:lvl>
    <w:lvl w:ilvl="8" w:tentative="0">
      <w:start w:val="1"/>
      <w:numFmt w:val="decimal"/>
      <w:pStyle w:val="10"/>
      <w:lvlText w:val="%1.%2.%3.%4.%5.%6.%7.%8.%9"/>
      <w:lvlJc w:val="left"/>
      <w:pPr>
        <w:ind w:left="1584" w:hanging="1584"/>
      </w:pPr>
      <w:rPr>
        <w:rFonts w:hint="eastAsia"/>
      </w:rPr>
    </w:lvl>
  </w:abstractNum>
  <w:abstractNum w:abstractNumId="6">
    <w:nsid w:val="A1E6F1B8"/>
    <w:multiLevelType w:val="singleLevel"/>
    <w:tmpl w:val="A1E6F1B8"/>
    <w:lvl w:ilvl="0" w:tentative="0">
      <w:start w:val="1"/>
      <w:numFmt w:val="decimal"/>
      <w:lvlText w:val="%1"/>
      <w:lvlJc w:val="left"/>
      <w:pPr>
        <w:tabs>
          <w:tab w:val="left" w:pos="420"/>
        </w:tabs>
        <w:ind w:left="425" w:hanging="425"/>
      </w:pPr>
      <w:rPr>
        <w:rFonts w:hint="default" w:ascii="Times New Roman" w:hAnsi="Times New Roman" w:cs="Times New Roman"/>
        <w:b w:val="0"/>
        <w:bCs w:val="0"/>
      </w:rPr>
    </w:lvl>
  </w:abstractNum>
  <w:abstractNum w:abstractNumId="7">
    <w:nsid w:val="A6FC8941"/>
    <w:multiLevelType w:val="singleLevel"/>
    <w:tmpl w:val="A6FC8941"/>
    <w:lvl w:ilvl="0" w:tentative="0">
      <w:start w:val="1"/>
      <w:numFmt w:val="decimal"/>
      <w:suff w:val="nothing"/>
      <w:lvlText w:val="%1"/>
      <w:lvlJc w:val="left"/>
      <w:pPr>
        <w:ind w:left="0" w:firstLine="0"/>
      </w:pPr>
      <w:rPr>
        <w:rFonts w:hint="default" w:ascii="Times New Roman" w:hAnsi="Times New Roman" w:cs="Times New Roman"/>
      </w:rPr>
    </w:lvl>
  </w:abstractNum>
  <w:abstractNum w:abstractNumId="8">
    <w:nsid w:val="AA76C1EC"/>
    <w:multiLevelType w:val="multilevel"/>
    <w:tmpl w:val="AA76C1EC"/>
    <w:lvl w:ilvl="0" w:tentative="0">
      <w:start w:val="1"/>
      <w:numFmt w:val="decimal"/>
      <w:suff w:val="nothing"/>
      <w:lvlText w:val="%1"/>
      <w:lvlJc w:val="left"/>
      <w:pPr>
        <w:ind w:left="420" w:hanging="420"/>
      </w:pPr>
      <w:rPr>
        <w:rFonts w:hint="default" w:ascii="Times New Roman" w:hAnsi="Times New Roman" w:cs="Times New Roman"/>
        <w:b w:val="0"/>
        <w:bCs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ABFEB105"/>
    <w:multiLevelType w:val="multilevel"/>
    <w:tmpl w:val="ABFEB105"/>
    <w:lvl w:ilvl="0" w:tentative="0">
      <w:start w:val="1"/>
      <w:numFmt w:val="decimal"/>
      <w:suff w:val="nothing"/>
      <w:lvlText w:val="%1."/>
      <w:lvlJc w:val="left"/>
      <w:pPr>
        <w:ind w:left="0" w:firstLine="0"/>
      </w:pPr>
    </w:lvl>
    <w:lvl w:ilvl="1" w:tentative="0">
      <w:start w:val="1"/>
      <w:numFmt w:val="decimal"/>
      <w:suff w:val="nothing"/>
      <w:lvlText w:val="%2."/>
      <w:lvlJc w:val="left"/>
      <w:pPr>
        <w:ind w:left="0" w:firstLine="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B0FD3A5F"/>
    <w:multiLevelType w:val="multilevel"/>
    <w:tmpl w:val="B0FD3A5F"/>
    <w:lvl w:ilvl="0" w:tentative="0">
      <w:start w:val="1"/>
      <w:numFmt w:val="decimal"/>
      <w:lvlText w:val="%1."/>
      <w:lvlJc w:val="left"/>
      <w:pPr>
        <w:ind w:left="420" w:hanging="420"/>
      </w:pPr>
    </w:lvl>
    <w:lvl w:ilvl="1" w:tentative="0">
      <w:start w:val="1"/>
      <w:numFmt w:val="decimal"/>
      <w:suff w:val="nothing"/>
      <w:lvlText w:val="%2."/>
      <w:lvlJc w:val="left"/>
      <w:pPr>
        <w:ind w:left="0" w:firstLine="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B64FCEDD"/>
    <w:multiLevelType w:val="singleLevel"/>
    <w:tmpl w:val="B64FCEDD"/>
    <w:lvl w:ilvl="0" w:tentative="0">
      <w:start w:val="1"/>
      <w:numFmt w:val="decimal"/>
      <w:suff w:val="nothing"/>
      <w:lvlText w:val="%1"/>
      <w:lvlJc w:val="left"/>
      <w:pPr>
        <w:ind w:left="0" w:firstLine="0"/>
      </w:pPr>
      <w:rPr>
        <w:rFonts w:hint="default" w:ascii="Times New Roman" w:hAnsi="Times New Roman" w:cs="Times New Roman"/>
      </w:rPr>
    </w:lvl>
  </w:abstractNum>
  <w:abstractNum w:abstractNumId="12">
    <w:nsid w:val="B7C66131"/>
    <w:multiLevelType w:val="multilevel"/>
    <w:tmpl w:val="B7C66131"/>
    <w:lvl w:ilvl="0" w:tentative="0">
      <w:start w:val="1"/>
      <w:numFmt w:val="decimal"/>
      <w:lvlText w:val="%1."/>
      <w:lvlJc w:val="left"/>
      <w:pPr>
        <w:tabs>
          <w:tab w:val="left" w:pos="312"/>
        </w:tabs>
        <w:ind w:left="0" w:firstLine="0"/>
      </w:pPr>
      <w:rPr>
        <w:rFonts w:hint="default" w:ascii="Times New Roman" w:hAnsi="Times New Roman" w:cs="Times New Roman"/>
        <w:b w:val="0"/>
        <w:bCs w:val="0"/>
        <w:sz w:val="21"/>
        <w:szCs w:val="21"/>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3">
    <w:nsid w:val="BE671BA0"/>
    <w:multiLevelType w:val="singleLevel"/>
    <w:tmpl w:val="BE671BA0"/>
    <w:lvl w:ilvl="0" w:tentative="0">
      <w:start w:val="1"/>
      <w:numFmt w:val="decimal"/>
      <w:suff w:val="nothing"/>
      <w:lvlText w:val="%1．"/>
      <w:lvlJc w:val="left"/>
      <w:pPr>
        <w:ind w:left="0" w:firstLine="0"/>
      </w:pPr>
      <w:rPr>
        <w:rFonts w:hint="default"/>
      </w:rPr>
    </w:lvl>
  </w:abstractNum>
  <w:abstractNum w:abstractNumId="14">
    <w:nsid w:val="C6265CA0"/>
    <w:multiLevelType w:val="singleLevel"/>
    <w:tmpl w:val="C6265CA0"/>
    <w:lvl w:ilvl="0" w:tentative="0">
      <w:start w:val="1"/>
      <w:numFmt w:val="decimal"/>
      <w:suff w:val="nothing"/>
      <w:lvlText w:val="%1"/>
      <w:lvlJc w:val="left"/>
      <w:pPr>
        <w:ind w:left="0" w:firstLine="57"/>
      </w:pPr>
      <w:rPr>
        <w:rFonts w:hint="default" w:ascii="Times New Roman" w:hAnsi="Times New Roman" w:cs="Times New Roman"/>
      </w:rPr>
    </w:lvl>
  </w:abstractNum>
  <w:abstractNum w:abstractNumId="15">
    <w:nsid w:val="C6B5B885"/>
    <w:multiLevelType w:val="singleLevel"/>
    <w:tmpl w:val="C6B5B885"/>
    <w:lvl w:ilvl="0" w:tentative="0">
      <w:start w:val="1"/>
      <w:numFmt w:val="decimal"/>
      <w:suff w:val="nothing"/>
      <w:lvlText w:val="%1"/>
      <w:lvlJc w:val="left"/>
      <w:pPr>
        <w:tabs>
          <w:tab w:val="left" w:pos="0"/>
        </w:tabs>
        <w:ind w:left="0" w:firstLine="0"/>
      </w:pPr>
      <w:rPr>
        <w:rFonts w:hint="default" w:ascii="Times New Roman" w:hAnsi="Times New Roman" w:cs="Times New Roman"/>
        <w:sz w:val="21"/>
        <w:szCs w:val="21"/>
      </w:rPr>
    </w:lvl>
  </w:abstractNum>
  <w:abstractNum w:abstractNumId="16">
    <w:nsid w:val="C9294153"/>
    <w:multiLevelType w:val="multilevel"/>
    <w:tmpl w:val="C9294153"/>
    <w:lvl w:ilvl="0" w:tentative="0">
      <w:start w:val="1"/>
      <w:numFmt w:val="decimal"/>
      <w:suff w:val="nothing"/>
      <w:lvlText w:val="%1"/>
      <w:lvlJc w:val="left"/>
      <w:pPr>
        <w:ind w:left="420" w:hanging="420"/>
      </w:pPr>
      <w:rPr>
        <w:rFonts w:hint="default" w:ascii="Times New Roman" w:hAnsi="Times New Roman" w:cs="Times New Roman"/>
        <w:b w:val="0"/>
        <w:bCs w:val="0"/>
      </w:rPr>
    </w:lvl>
    <w:lvl w:ilvl="1" w:tentative="0">
      <w:start w:val="1"/>
      <w:numFmt w:val="lowerLetter"/>
      <w:lvlText w:val="%2)"/>
      <w:lvlJc w:val="left"/>
      <w:pPr>
        <w:ind w:left="840" w:hanging="42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abstractNum w:abstractNumId="17">
    <w:nsid w:val="CA4F2D15"/>
    <w:multiLevelType w:val="singleLevel"/>
    <w:tmpl w:val="CA4F2D15"/>
    <w:lvl w:ilvl="0" w:tentative="0">
      <w:start w:val="1"/>
      <w:numFmt w:val="decimal"/>
      <w:lvlText w:val="%1"/>
      <w:lvlJc w:val="left"/>
      <w:pPr>
        <w:tabs>
          <w:tab w:val="left" w:pos="420"/>
        </w:tabs>
        <w:ind w:left="425" w:hanging="425"/>
      </w:pPr>
      <w:rPr>
        <w:rFonts w:hint="default" w:ascii="Times New Roman" w:hAnsi="Times New Roman" w:cs="Times New Roman"/>
        <w:b w:val="0"/>
        <w:bCs w:val="0"/>
      </w:rPr>
    </w:lvl>
  </w:abstractNum>
  <w:abstractNum w:abstractNumId="18">
    <w:nsid w:val="D4E33093"/>
    <w:multiLevelType w:val="singleLevel"/>
    <w:tmpl w:val="D4E33093"/>
    <w:lvl w:ilvl="0" w:tentative="0">
      <w:start w:val="1"/>
      <w:numFmt w:val="decimal"/>
      <w:suff w:val="nothing"/>
      <w:lvlText w:val="%1．"/>
      <w:lvlJc w:val="left"/>
      <w:pPr>
        <w:ind w:left="0" w:firstLine="0"/>
      </w:pPr>
      <w:rPr>
        <w:rFonts w:hint="default"/>
      </w:rPr>
    </w:lvl>
  </w:abstractNum>
  <w:abstractNum w:abstractNumId="19">
    <w:nsid w:val="DAFAFA32"/>
    <w:multiLevelType w:val="multilevel"/>
    <w:tmpl w:val="DAFAFA32"/>
    <w:lvl w:ilvl="0" w:tentative="0">
      <w:start w:val="1"/>
      <w:numFmt w:val="decimal"/>
      <w:suff w:val="nothing"/>
      <w:lvlText w:val="%1."/>
      <w:lvlJc w:val="left"/>
      <w:pPr>
        <w:ind w:left="0" w:firstLine="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DC1B7F96"/>
    <w:multiLevelType w:val="singleLevel"/>
    <w:tmpl w:val="DC1B7F96"/>
    <w:lvl w:ilvl="0" w:tentative="0">
      <w:start w:val="1"/>
      <w:numFmt w:val="decimal"/>
      <w:lvlText w:val="%1"/>
      <w:lvlJc w:val="left"/>
      <w:pPr>
        <w:tabs>
          <w:tab w:val="left" w:pos="420"/>
        </w:tabs>
        <w:ind w:left="425" w:hanging="425"/>
      </w:pPr>
      <w:rPr>
        <w:rFonts w:hint="default" w:ascii="Times New Roman" w:hAnsi="Times New Roman" w:cs="Times New Roman"/>
        <w:b w:val="0"/>
        <w:bCs w:val="0"/>
      </w:rPr>
    </w:lvl>
  </w:abstractNum>
  <w:abstractNum w:abstractNumId="21">
    <w:nsid w:val="DCDCB620"/>
    <w:multiLevelType w:val="multilevel"/>
    <w:tmpl w:val="DCDCB620"/>
    <w:lvl w:ilvl="0" w:tentative="0">
      <w:start w:val="1"/>
      <w:numFmt w:val="decimal"/>
      <w:suff w:val="nothing"/>
      <w:lvlText w:val="%1"/>
      <w:lvlJc w:val="left"/>
      <w:pPr>
        <w:ind w:left="425" w:hanging="425"/>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2">
    <w:nsid w:val="DFF48B5C"/>
    <w:multiLevelType w:val="multilevel"/>
    <w:tmpl w:val="DFF48B5C"/>
    <w:lvl w:ilvl="0" w:tentative="0">
      <w:start w:val="1"/>
      <w:numFmt w:val="decimal"/>
      <w:suff w:val="nothing"/>
      <w:lvlText w:val="%1."/>
      <w:lvlJc w:val="left"/>
      <w:pPr>
        <w:ind w:left="0" w:firstLine="0"/>
      </w:pPr>
    </w:lvl>
    <w:lvl w:ilvl="1" w:tentative="0">
      <w:start w:val="1"/>
      <w:numFmt w:val="decimal"/>
      <w:suff w:val="nothing"/>
      <w:lvlText w:val="%2."/>
      <w:lvlJc w:val="left"/>
      <w:pPr>
        <w:ind w:left="0" w:firstLine="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E17B115F"/>
    <w:multiLevelType w:val="multilevel"/>
    <w:tmpl w:val="E17B115F"/>
    <w:lvl w:ilvl="0" w:tentative="0">
      <w:start w:val="3"/>
      <w:numFmt w:val="decimal"/>
      <w:lvlText w:val="%1"/>
      <w:lvlJc w:val="left"/>
      <w:pPr>
        <w:ind w:left="432" w:hanging="432"/>
      </w:pPr>
      <w:rPr>
        <w:rFonts w:hint="default"/>
      </w:rPr>
    </w:lvl>
    <w:lvl w:ilvl="1" w:tentative="0">
      <w:start w:val="1"/>
      <w:numFmt w:val="decimal"/>
      <w:lvlText w:val="%1.%2"/>
      <w:lvlJc w:val="left"/>
      <w:pPr>
        <w:ind w:left="860" w:hanging="576"/>
      </w:pPr>
      <w:rPr>
        <w:rFonts w:hint="eastAsia"/>
        <w:b w:val="0"/>
      </w:rPr>
    </w:lvl>
    <w:lvl w:ilvl="2" w:tentative="0">
      <w:start w:val="1"/>
      <w:numFmt w:val="decimal"/>
      <w:lvlText w:val="%1.%2.%3"/>
      <w:lvlJc w:val="left"/>
      <w:pPr>
        <w:ind w:left="720" w:hanging="720"/>
      </w:pPr>
      <w:rPr>
        <w:rFonts w:hint="default" w:ascii="Times New Roman" w:hAnsi="Times New Roman" w:cs="Times New Roman"/>
      </w:rPr>
    </w:lvl>
    <w:lvl w:ilvl="3" w:tentative="0">
      <w:start w:val="1"/>
      <w:numFmt w:val="decimal"/>
      <w:lvlText w:val="%1.%2.%3.%4"/>
      <w:lvlJc w:val="left"/>
      <w:pPr>
        <w:ind w:left="864" w:hanging="864"/>
      </w:pPr>
      <w:rPr>
        <w:rFonts w:hint="default" w:ascii="Times New Roman" w:hAnsi="Times New Roman" w:cs="Times New Roman"/>
      </w:rPr>
    </w:lvl>
    <w:lvl w:ilvl="4" w:tentative="0">
      <w:start w:val="1"/>
      <w:numFmt w:val="decimal"/>
      <w:pStyle w:val="402"/>
      <w:lvlText w:val="%1.%2.%3.%4.%5"/>
      <w:lvlJc w:val="left"/>
      <w:pPr>
        <w:ind w:left="1008" w:hanging="1008"/>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24">
    <w:nsid w:val="E5EE45EA"/>
    <w:multiLevelType w:val="multilevel"/>
    <w:tmpl w:val="E5EE45EA"/>
    <w:lvl w:ilvl="0" w:tentative="0">
      <w:start w:val="1"/>
      <w:numFmt w:val="decimal"/>
      <w:lvlText w:val="%1"/>
      <w:lvlJc w:val="center"/>
      <w:pPr>
        <w:ind w:left="420" w:hanging="420"/>
      </w:pPr>
      <w:rPr>
        <w:rFonts w:hint="default" w:ascii="Times New Roman" w:hAnsi="Times New Roman" w:eastAsia="等线"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E698A7C7"/>
    <w:multiLevelType w:val="multilevel"/>
    <w:tmpl w:val="E698A7C7"/>
    <w:lvl w:ilvl="0" w:tentative="0">
      <w:start w:val="1"/>
      <w:numFmt w:val="decimal"/>
      <w:lvlText w:val="%1"/>
      <w:lvlJc w:val="center"/>
      <w:pPr>
        <w:ind w:left="420" w:hanging="420"/>
      </w:pPr>
      <w:rPr>
        <w:rFonts w:hint="default" w:ascii="Times New Roman" w:hAnsi="Times New Roman" w:eastAsia="等线"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E79FB73F"/>
    <w:multiLevelType w:val="multilevel"/>
    <w:tmpl w:val="E79FB73F"/>
    <w:lvl w:ilvl="0" w:tentative="0">
      <w:start w:val="1"/>
      <w:numFmt w:val="decimal"/>
      <w:lvlText w:val="%1."/>
      <w:lvlJc w:val="left"/>
      <w:pPr>
        <w:ind w:left="420" w:hanging="420"/>
      </w:pPr>
    </w:lvl>
    <w:lvl w:ilvl="1" w:tentative="0">
      <w:start w:val="1"/>
      <w:numFmt w:val="decimal"/>
      <w:suff w:val="nothing"/>
      <w:lvlText w:val="%2."/>
      <w:lvlJc w:val="left"/>
      <w:pPr>
        <w:ind w:left="0" w:firstLine="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EDEEFFB5"/>
    <w:multiLevelType w:val="multilevel"/>
    <w:tmpl w:val="EDEEFFB5"/>
    <w:lvl w:ilvl="0" w:tentative="0">
      <w:start w:val="1"/>
      <w:numFmt w:val="decimal"/>
      <w:lvlText w:val="%1"/>
      <w:lvlJc w:val="center"/>
      <w:pPr>
        <w:ind w:left="420" w:hanging="420"/>
      </w:pPr>
      <w:rPr>
        <w:rFonts w:hint="default" w:ascii="Times New Roman" w:hAnsi="Times New Roman" w:eastAsia="等线"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EF7E2957"/>
    <w:multiLevelType w:val="multilevel"/>
    <w:tmpl w:val="EF7E2957"/>
    <w:lvl w:ilvl="0" w:tentative="0">
      <w:start w:val="1"/>
      <w:numFmt w:val="decimal"/>
      <w:suff w:val="nothing"/>
      <w:lvlText w:val="%1"/>
      <w:lvlJc w:val="left"/>
      <w:pPr>
        <w:ind w:left="425" w:hanging="425"/>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9">
    <w:nsid w:val="F9FFFCA5"/>
    <w:multiLevelType w:val="singleLevel"/>
    <w:tmpl w:val="F9FFFCA5"/>
    <w:lvl w:ilvl="0" w:tentative="0">
      <w:start w:val="1"/>
      <w:numFmt w:val="decimal"/>
      <w:suff w:val="nothing"/>
      <w:lvlText w:val="%1"/>
      <w:lvlJc w:val="left"/>
      <w:pPr>
        <w:ind w:left="425" w:hanging="425"/>
      </w:pPr>
      <w:rPr>
        <w:rFonts w:hint="default"/>
      </w:rPr>
    </w:lvl>
  </w:abstractNum>
  <w:abstractNum w:abstractNumId="30">
    <w:nsid w:val="FB6DC23A"/>
    <w:multiLevelType w:val="multilevel"/>
    <w:tmpl w:val="FB6DC23A"/>
    <w:lvl w:ilvl="0" w:tentative="0">
      <w:start w:val="1"/>
      <w:numFmt w:val="decimal"/>
      <w:suff w:val="nothing"/>
      <w:lvlText w:val="%1."/>
      <w:lvlJc w:val="left"/>
      <w:pPr>
        <w:ind w:left="0" w:firstLine="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1">
    <w:nsid w:val="FB8EE90C"/>
    <w:multiLevelType w:val="multilevel"/>
    <w:tmpl w:val="FB8EE90C"/>
    <w:lvl w:ilvl="0" w:tentative="0">
      <w:start w:val="1"/>
      <w:numFmt w:val="decimal"/>
      <w:suff w:val="nothing"/>
      <w:lvlText w:val="%1."/>
      <w:lvlJc w:val="left"/>
      <w:pPr>
        <w:ind w:left="0" w:firstLine="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2">
    <w:nsid w:val="FDDE8AA9"/>
    <w:multiLevelType w:val="multilevel"/>
    <w:tmpl w:val="FDDE8AA9"/>
    <w:lvl w:ilvl="0" w:tentative="0">
      <w:start w:val="1"/>
      <w:numFmt w:val="decimal"/>
      <w:suff w:val="nothing"/>
      <w:lvlText w:val="%1."/>
      <w:lvlJc w:val="left"/>
      <w:pPr>
        <w:ind w:left="0" w:firstLine="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3">
    <w:nsid w:val="FDF609A2"/>
    <w:multiLevelType w:val="multilevel"/>
    <w:tmpl w:val="FDF609A2"/>
    <w:lvl w:ilvl="0" w:tentative="0">
      <w:start w:val="1"/>
      <w:numFmt w:val="decimal"/>
      <w:suff w:val="nothing"/>
      <w:lvlText w:val="%1"/>
      <w:lvlJc w:val="center"/>
      <w:pPr>
        <w:ind w:left="0" w:firstLine="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4">
    <w:nsid w:val="FE5B0800"/>
    <w:multiLevelType w:val="multilevel"/>
    <w:tmpl w:val="FE5B0800"/>
    <w:lvl w:ilvl="0" w:tentative="0">
      <w:start w:val="1"/>
      <w:numFmt w:val="decimal"/>
      <w:suff w:val="nothing"/>
      <w:lvlText w:val="%1"/>
      <w:lvlJc w:val="center"/>
      <w:pPr>
        <w:ind w:left="0" w:firstLine="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5">
    <w:nsid w:val="FE77D4B4"/>
    <w:multiLevelType w:val="multilevel"/>
    <w:tmpl w:val="FE77D4B4"/>
    <w:lvl w:ilvl="0" w:tentative="0">
      <w:start w:val="1"/>
      <w:numFmt w:val="decimal"/>
      <w:suff w:val="nothing"/>
      <w:lvlText w:val="%1"/>
      <w:lvlJc w:val="left"/>
      <w:pPr>
        <w:ind w:left="425" w:hanging="425"/>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6">
    <w:nsid w:val="FEFC7707"/>
    <w:multiLevelType w:val="multilevel"/>
    <w:tmpl w:val="FEFC7707"/>
    <w:lvl w:ilvl="0" w:tentative="0">
      <w:start w:val="1"/>
      <w:numFmt w:val="decimal"/>
      <w:lvlText w:val="%1."/>
      <w:lvlJc w:val="left"/>
      <w:pPr>
        <w:ind w:left="420" w:hanging="420"/>
      </w:pPr>
    </w:lvl>
    <w:lvl w:ilvl="1" w:tentative="0">
      <w:start w:val="1"/>
      <w:numFmt w:val="decimal"/>
      <w:suff w:val="nothing"/>
      <w:lvlText w:val="%2."/>
      <w:lvlJc w:val="left"/>
      <w:pPr>
        <w:ind w:left="0" w:firstLine="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7">
    <w:nsid w:val="FF3BA108"/>
    <w:multiLevelType w:val="multilevel"/>
    <w:tmpl w:val="FF3BA108"/>
    <w:lvl w:ilvl="0" w:tentative="0">
      <w:start w:val="1"/>
      <w:numFmt w:val="decimal"/>
      <w:lvlText w:val="%1"/>
      <w:lvlJc w:val="left"/>
      <w:pPr>
        <w:tabs>
          <w:tab w:val="left" w:pos="420"/>
        </w:tabs>
        <w:ind w:left="425" w:hanging="425"/>
      </w:pPr>
      <w:rPr>
        <w:rFonts w:hint="default" w:ascii="Times New Roman" w:hAnsi="Times New Roman" w:cs="Times New Roman"/>
        <w:b w:val="0"/>
        <w:bCs w:val="0"/>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8">
    <w:nsid w:val="FF95D04B"/>
    <w:multiLevelType w:val="multilevel"/>
    <w:tmpl w:val="FF95D04B"/>
    <w:lvl w:ilvl="0" w:tentative="0">
      <w:start w:val="1"/>
      <w:numFmt w:val="decimal"/>
      <w:suff w:val="space"/>
      <w:lvlText w:val="%1."/>
      <w:lvlJc w:val="left"/>
      <w:pPr>
        <w:ind w:left="0" w:firstLine="397"/>
      </w:pPr>
      <w:rPr>
        <w:rFonts w:hint="default" w:ascii="Times New Roman" w:hAnsi="Times New Roman"/>
        <w:spacing w:val="-20"/>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9">
    <w:nsid w:val="FFA688A7"/>
    <w:multiLevelType w:val="multilevel"/>
    <w:tmpl w:val="FFA688A7"/>
    <w:lvl w:ilvl="0" w:tentative="0">
      <w:start w:val="1"/>
      <w:numFmt w:val="decimal"/>
      <w:suff w:val="space"/>
      <w:lvlText w:val="%1."/>
      <w:lvlJc w:val="left"/>
      <w:pPr>
        <w:ind w:left="0" w:firstLine="0"/>
      </w:pPr>
    </w:lvl>
    <w:lvl w:ilvl="1" w:tentative="0">
      <w:start w:val="0"/>
      <w:numFmt w:val="bullet"/>
      <w:lvlText w:val="-"/>
      <w:lvlJc w:val="left"/>
      <w:pPr>
        <w:ind w:left="780" w:hanging="360"/>
      </w:pPr>
      <w:rPr>
        <w:rFonts w:hint="default" w:ascii="Times New Roman" w:hAnsi="Times New Roman" w:eastAsia="宋体" w:cs="Times New Roman"/>
      </w:rPr>
    </w:lvl>
    <w:lvl w:ilvl="2" w:tentative="0">
      <w:start w:val="0"/>
      <w:numFmt w:val="bullet"/>
      <w:lvlText w:val="▲"/>
      <w:lvlJc w:val="left"/>
      <w:pPr>
        <w:ind w:left="1200" w:hanging="360"/>
      </w:pPr>
      <w:rPr>
        <w:rFonts w:hint="eastAsia" w:ascii="宋体" w:hAnsi="宋体" w:eastAsia="宋体" w:cs="Times New Roman"/>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0">
    <w:nsid w:val="FFF90015"/>
    <w:multiLevelType w:val="multilevel"/>
    <w:tmpl w:val="FFF90015"/>
    <w:lvl w:ilvl="0" w:tentative="0">
      <w:start w:val="1"/>
      <w:numFmt w:val="decimal"/>
      <w:lvlText w:val="%1、"/>
      <w:lvlJc w:val="left"/>
      <w:pPr>
        <w:ind w:left="0" w:firstLine="0"/>
      </w:pPr>
      <w:rPr>
        <w:rFonts w:hint="eastAsia"/>
        <w:sz w:val="21"/>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41">
    <w:nsid w:val="FFFBBA72"/>
    <w:multiLevelType w:val="multilevel"/>
    <w:tmpl w:val="FFFBBA72"/>
    <w:lvl w:ilvl="0" w:tentative="0">
      <w:start w:val="1"/>
      <w:numFmt w:val="decimal"/>
      <w:suff w:val="nothing"/>
      <w:lvlText w:val="%1."/>
      <w:lvlJc w:val="left"/>
      <w:pPr>
        <w:ind w:left="0" w:firstLine="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2">
    <w:nsid w:val="FFFFFF80"/>
    <w:multiLevelType w:val="singleLevel"/>
    <w:tmpl w:val="FFFFFF80"/>
    <w:lvl w:ilvl="0" w:tentative="0">
      <w:start w:val="1"/>
      <w:numFmt w:val="bullet"/>
      <w:pStyle w:val="42"/>
      <w:lvlText w:val=""/>
      <w:lvlJc w:val="left"/>
      <w:pPr>
        <w:tabs>
          <w:tab w:val="left" w:pos="1800"/>
        </w:tabs>
        <w:ind w:left="1800" w:hanging="360"/>
      </w:pPr>
      <w:rPr>
        <w:rFonts w:hint="default" w:ascii="Symbol" w:hAnsi="Symbol" w:eastAsia="Times New Roman"/>
      </w:rPr>
    </w:lvl>
  </w:abstractNum>
  <w:abstractNum w:abstractNumId="43">
    <w:nsid w:val="FFFFFF81"/>
    <w:multiLevelType w:val="singleLevel"/>
    <w:tmpl w:val="FFFFFF81"/>
    <w:lvl w:ilvl="0" w:tentative="0">
      <w:start w:val="1"/>
      <w:numFmt w:val="bullet"/>
      <w:pStyle w:val="16"/>
      <w:lvlText w:val=""/>
      <w:lvlJc w:val="left"/>
      <w:pPr>
        <w:tabs>
          <w:tab w:val="left" w:pos="1440"/>
        </w:tabs>
        <w:ind w:left="1440" w:hanging="360"/>
      </w:pPr>
      <w:rPr>
        <w:rFonts w:hint="default" w:ascii="Symbol" w:hAnsi="Symbol" w:eastAsia="Times New Roman"/>
      </w:rPr>
    </w:lvl>
  </w:abstractNum>
  <w:abstractNum w:abstractNumId="44">
    <w:nsid w:val="FFFFFF82"/>
    <w:multiLevelType w:val="singleLevel"/>
    <w:tmpl w:val="FFFFFF82"/>
    <w:lvl w:ilvl="0" w:tentative="0">
      <w:start w:val="1"/>
      <w:numFmt w:val="bullet"/>
      <w:pStyle w:val="30"/>
      <w:lvlText w:val=""/>
      <w:lvlJc w:val="left"/>
      <w:pPr>
        <w:tabs>
          <w:tab w:val="left" w:pos="1080"/>
        </w:tabs>
        <w:ind w:left="1080" w:hanging="360"/>
      </w:pPr>
      <w:rPr>
        <w:rFonts w:hint="default" w:ascii="Symbol" w:hAnsi="Symbol" w:eastAsia="Times New Roman"/>
      </w:rPr>
    </w:lvl>
  </w:abstractNum>
  <w:abstractNum w:abstractNumId="45">
    <w:nsid w:val="FFFFFF83"/>
    <w:multiLevelType w:val="singleLevel"/>
    <w:tmpl w:val="FFFFFF83"/>
    <w:lvl w:ilvl="0" w:tentative="0">
      <w:start w:val="1"/>
      <w:numFmt w:val="bullet"/>
      <w:pStyle w:val="36"/>
      <w:lvlText w:val=""/>
      <w:lvlJc w:val="left"/>
      <w:pPr>
        <w:tabs>
          <w:tab w:val="left" w:pos="720"/>
        </w:tabs>
        <w:ind w:left="720" w:hanging="360"/>
      </w:pPr>
      <w:rPr>
        <w:rFonts w:hint="default" w:ascii="Symbol" w:hAnsi="Symbol" w:eastAsia="Times New Roman"/>
      </w:rPr>
    </w:lvl>
  </w:abstractNum>
  <w:abstractNum w:abstractNumId="46">
    <w:nsid w:val="FFFFFF89"/>
    <w:multiLevelType w:val="singleLevel"/>
    <w:tmpl w:val="FFFFFF89"/>
    <w:lvl w:ilvl="0" w:tentative="0">
      <w:start w:val="1"/>
      <w:numFmt w:val="bullet"/>
      <w:pStyle w:val="22"/>
      <w:lvlText w:val="•"/>
      <w:lvlJc w:val="left"/>
      <w:pPr>
        <w:ind w:left="360" w:hanging="360"/>
      </w:pPr>
      <w:rPr>
        <w:rFonts w:hint="default" w:ascii="Cambria" w:hAnsi="Cambria" w:eastAsia="Times New Roman"/>
        <w:color w:val="7E97AD"/>
      </w:rPr>
    </w:lvl>
  </w:abstractNum>
  <w:abstractNum w:abstractNumId="47">
    <w:nsid w:val="00000000"/>
    <w:multiLevelType w:val="singleLevel"/>
    <w:tmpl w:val="00000000"/>
    <w:lvl w:ilvl="0" w:tentative="0">
      <w:start w:val="1"/>
      <w:numFmt w:val="decimal"/>
      <w:suff w:val="space"/>
      <w:lvlText w:val="%1."/>
      <w:lvlJc w:val="left"/>
    </w:lvl>
  </w:abstractNum>
  <w:abstractNum w:abstractNumId="48">
    <w:nsid w:val="00000001"/>
    <w:multiLevelType w:val="singleLevel"/>
    <w:tmpl w:val="00000001"/>
    <w:lvl w:ilvl="0" w:tentative="0">
      <w:start w:val="1"/>
      <w:numFmt w:val="decimal"/>
      <w:suff w:val="nothing"/>
      <w:lvlText w:val="%1"/>
      <w:lvlJc w:val="center"/>
      <w:pPr>
        <w:tabs>
          <w:tab w:val="left" w:pos="0"/>
        </w:tabs>
        <w:ind w:left="0" w:firstLine="0"/>
      </w:pPr>
      <w:rPr>
        <w:rFonts w:hint="default"/>
        <w:sz w:val="21"/>
      </w:rPr>
    </w:lvl>
  </w:abstractNum>
  <w:abstractNum w:abstractNumId="49">
    <w:nsid w:val="00000002"/>
    <w:multiLevelType w:val="multilevel"/>
    <w:tmpl w:val="00000002"/>
    <w:lvl w:ilvl="0" w:tentative="0">
      <w:start w:val="1"/>
      <w:numFmt w:val="decimal"/>
      <w:pStyle w:val="269"/>
      <w:lvlText w:val="%1."/>
      <w:lvlJc w:val="left"/>
      <w:pPr>
        <w:tabs>
          <w:tab w:val="left" w:pos="709"/>
        </w:tabs>
        <w:ind w:left="709" w:hanging="709"/>
      </w:pPr>
      <w:rPr>
        <w:rFonts w:hint="eastAsia" w:cs="Times New Roman"/>
      </w:rPr>
    </w:lvl>
    <w:lvl w:ilvl="1" w:tentative="0">
      <w:start w:val="1"/>
      <w:numFmt w:val="decimal"/>
      <w:lvlText w:val="%1.%2"/>
      <w:lvlJc w:val="left"/>
      <w:pPr>
        <w:tabs>
          <w:tab w:val="left" w:pos="709"/>
        </w:tabs>
        <w:ind w:left="709" w:hanging="709"/>
      </w:pPr>
      <w:rPr>
        <w:rFonts w:hint="eastAsia" w:cs="Times New Roman"/>
      </w:rPr>
    </w:lvl>
    <w:lvl w:ilvl="2" w:tentative="0">
      <w:start w:val="1"/>
      <w:numFmt w:val="decimal"/>
      <w:lvlText w:val="%1.%2.%3."/>
      <w:lvlJc w:val="left"/>
      <w:pPr>
        <w:tabs>
          <w:tab w:val="left" w:pos="425"/>
        </w:tabs>
        <w:ind w:left="425" w:hanging="425"/>
      </w:pPr>
      <w:rPr>
        <w:rFonts w:hint="eastAsia" w:cs="Times New Roman"/>
      </w:rPr>
    </w:lvl>
    <w:lvl w:ilvl="3" w:tentative="0">
      <w:start w:val="1"/>
      <w:numFmt w:val="decimal"/>
      <w:lvlText w:val="%1.%2.%3.%4."/>
      <w:lvlJc w:val="left"/>
      <w:pPr>
        <w:tabs>
          <w:tab w:val="left" w:pos="851"/>
        </w:tabs>
        <w:ind w:left="851" w:hanging="851"/>
      </w:pPr>
      <w:rPr>
        <w:rFonts w:hint="eastAsia" w:cs="Times New Roman"/>
      </w:rPr>
    </w:lvl>
    <w:lvl w:ilvl="4" w:tentative="0">
      <w:start w:val="1"/>
      <w:numFmt w:val="decimal"/>
      <w:lvlText w:val="%1.%2.%3.%4.%5."/>
      <w:lvlJc w:val="left"/>
      <w:pPr>
        <w:tabs>
          <w:tab w:val="left" w:pos="992"/>
        </w:tabs>
        <w:ind w:left="992" w:hanging="992"/>
      </w:pPr>
      <w:rPr>
        <w:rFonts w:hint="eastAsia" w:cs="Times New Roman"/>
      </w:rPr>
    </w:lvl>
    <w:lvl w:ilvl="5" w:tentative="0">
      <w:start w:val="1"/>
      <w:numFmt w:val="decimal"/>
      <w:lvlText w:val="%1.%2.%3.%4.%5.%6."/>
      <w:lvlJc w:val="left"/>
      <w:pPr>
        <w:tabs>
          <w:tab w:val="left" w:pos="1134"/>
        </w:tabs>
        <w:ind w:left="1134" w:hanging="1134"/>
      </w:pPr>
      <w:rPr>
        <w:rFonts w:hint="eastAsia" w:cs="Times New Roman"/>
      </w:rPr>
    </w:lvl>
    <w:lvl w:ilvl="6" w:tentative="0">
      <w:start w:val="1"/>
      <w:numFmt w:val="decimal"/>
      <w:lvlText w:val="%1.%2.%3.%4.%5.%6.%7."/>
      <w:lvlJc w:val="left"/>
      <w:pPr>
        <w:tabs>
          <w:tab w:val="left" w:pos="1276"/>
        </w:tabs>
        <w:ind w:left="1276" w:hanging="1276"/>
      </w:pPr>
      <w:rPr>
        <w:rFonts w:hint="eastAsia" w:cs="Times New Roman"/>
      </w:rPr>
    </w:lvl>
    <w:lvl w:ilvl="7" w:tentative="0">
      <w:start w:val="1"/>
      <w:numFmt w:val="decimal"/>
      <w:lvlText w:val="%1.%2.%3.%4.%5.%6.%7.%8."/>
      <w:lvlJc w:val="left"/>
      <w:pPr>
        <w:tabs>
          <w:tab w:val="left" w:pos="1418"/>
        </w:tabs>
        <w:ind w:left="1418" w:hanging="1418"/>
      </w:pPr>
      <w:rPr>
        <w:rFonts w:hint="eastAsia" w:cs="Times New Roman"/>
      </w:rPr>
    </w:lvl>
    <w:lvl w:ilvl="8" w:tentative="0">
      <w:start w:val="1"/>
      <w:numFmt w:val="decimal"/>
      <w:lvlText w:val="%1.%2.%3.%4.%5.%6.%7.%8.%9."/>
      <w:lvlJc w:val="left"/>
      <w:pPr>
        <w:tabs>
          <w:tab w:val="left" w:pos="1559"/>
        </w:tabs>
        <w:ind w:left="1559" w:hanging="1559"/>
      </w:pPr>
      <w:rPr>
        <w:rFonts w:hint="eastAsia" w:cs="Times New Roman"/>
      </w:rPr>
    </w:lvl>
  </w:abstractNum>
  <w:abstractNum w:abstractNumId="50">
    <w:nsid w:val="00FD0C09"/>
    <w:multiLevelType w:val="multilevel"/>
    <w:tmpl w:val="00FD0C09"/>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1">
    <w:nsid w:val="085435EE"/>
    <w:multiLevelType w:val="multilevel"/>
    <w:tmpl w:val="085435EE"/>
    <w:lvl w:ilvl="0" w:tentative="0">
      <w:start w:val="1"/>
      <w:numFmt w:val="decimal"/>
      <w:lvlText w:val="%1"/>
      <w:lvlJc w:val="center"/>
      <w:pPr>
        <w:ind w:left="420" w:hanging="420"/>
      </w:pPr>
      <w:rPr>
        <w:rFonts w:hint="default" w:ascii="Times New Roman" w:hAnsi="Times New Roman" w:eastAsia="等线"/>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2">
    <w:nsid w:val="0B807594"/>
    <w:multiLevelType w:val="singleLevel"/>
    <w:tmpl w:val="0B807594"/>
    <w:lvl w:ilvl="0" w:tentative="0">
      <w:start w:val="1"/>
      <w:numFmt w:val="decimal"/>
      <w:suff w:val="nothing"/>
      <w:lvlText w:val="%1"/>
      <w:lvlJc w:val="left"/>
      <w:pPr>
        <w:ind w:left="0" w:firstLine="0"/>
      </w:pPr>
      <w:rPr>
        <w:rFonts w:hint="default" w:ascii="Times New Roman" w:hAnsi="Times New Roman" w:cs="Times New Roman"/>
      </w:rPr>
    </w:lvl>
  </w:abstractNum>
  <w:abstractNum w:abstractNumId="53">
    <w:nsid w:val="0EBB5615"/>
    <w:multiLevelType w:val="multilevel"/>
    <w:tmpl w:val="0EBB5615"/>
    <w:lvl w:ilvl="0" w:tentative="0">
      <w:start w:val="1"/>
      <w:numFmt w:val="decimal"/>
      <w:lvlText w:val="%1、"/>
      <w:lvlJc w:val="left"/>
      <w:pPr>
        <w:ind w:left="324" w:hanging="324"/>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4">
    <w:nsid w:val="10897861"/>
    <w:multiLevelType w:val="multilevel"/>
    <w:tmpl w:val="10897861"/>
    <w:lvl w:ilvl="0" w:tentative="0">
      <w:start w:val="1"/>
      <w:numFmt w:val="decimal"/>
      <w:lvlText w:val="%1."/>
      <w:lvlJc w:val="left"/>
      <w:pPr>
        <w:ind w:left="420" w:hanging="420"/>
      </w:pPr>
    </w:lvl>
    <w:lvl w:ilvl="1" w:tentative="0">
      <w:start w:val="1"/>
      <w:numFmt w:val="decimal"/>
      <w:suff w:val="nothing"/>
      <w:lvlText w:val="%2."/>
      <w:lvlJc w:val="left"/>
      <w:pPr>
        <w:ind w:left="0" w:firstLine="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5">
    <w:nsid w:val="12D594DF"/>
    <w:multiLevelType w:val="singleLevel"/>
    <w:tmpl w:val="12D594DF"/>
    <w:lvl w:ilvl="0" w:tentative="0">
      <w:start w:val="1"/>
      <w:numFmt w:val="decimal"/>
      <w:suff w:val="nothing"/>
      <w:lvlText w:val="%1"/>
      <w:lvlJc w:val="left"/>
      <w:pPr>
        <w:ind w:left="0" w:firstLine="0"/>
      </w:pPr>
      <w:rPr>
        <w:rFonts w:hint="default" w:ascii="Times New Roman" w:hAnsi="Times New Roman" w:cs="Times New Roman"/>
      </w:rPr>
    </w:lvl>
  </w:abstractNum>
  <w:abstractNum w:abstractNumId="56">
    <w:nsid w:val="1EDB5C22"/>
    <w:multiLevelType w:val="multilevel"/>
    <w:tmpl w:val="1EDB5C22"/>
    <w:lvl w:ilvl="0" w:tentative="0">
      <w:start w:val="1"/>
      <w:numFmt w:val="decimal"/>
      <w:suff w:val="nothing"/>
      <w:lvlText w:val="%1"/>
      <w:lvlJc w:val="left"/>
      <w:pPr>
        <w:ind w:left="420" w:hanging="420"/>
      </w:pPr>
      <w:rPr>
        <w:rFonts w:hint="default" w:ascii="Times New Roman" w:hAnsi="Times New Roman"/>
        <w:b w:val="0"/>
        <w:bCs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7">
    <w:nsid w:val="1FBA47EA"/>
    <w:multiLevelType w:val="multilevel"/>
    <w:tmpl w:val="1FBA47EA"/>
    <w:lvl w:ilvl="0" w:tentative="0">
      <w:start w:val="1"/>
      <w:numFmt w:val="decimal"/>
      <w:lvlText w:val="%1."/>
      <w:lvlJc w:val="left"/>
      <w:pPr>
        <w:ind w:left="420" w:hanging="420"/>
      </w:pPr>
    </w:lvl>
    <w:lvl w:ilvl="1" w:tentative="0">
      <w:start w:val="1"/>
      <w:numFmt w:val="decimal"/>
      <w:suff w:val="nothing"/>
      <w:lvlText w:val="%2."/>
      <w:lvlJc w:val="left"/>
      <w:pPr>
        <w:ind w:left="0" w:firstLine="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8">
    <w:nsid w:val="1FF6CA3D"/>
    <w:multiLevelType w:val="singleLevel"/>
    <w:tmpl w:val="1FF6CA3D"/>
    <w:lvl w:ilvl="0" w:tentative="0">
      <w:start w:val="1"/>
      <w:numFmt w:val="decimal"/>
      <w:suff w:val="space"/>
      <w:lvlText w:val="%1."/>
      <w:lvlJc w:val="left"/>
    </w:lvl>
  </w:abstractNum>
  <w:abstractNum w:abstractNumId="59">
    <w:nsid w:val="20EEB2FA"/>
    <w:multiLevelType w:val="singleLevel"/>
    <w:tmpl w:val="20EEB2FA"/>
    <w:lvl w:ilvl="0" w:tentative="0">
      <w:start w:val="1"/>
      <w:numFmt w:val="decimal"/>
      <w:suff w:val="nothing"/>
      <w:lvlText w:val="%1"/>
      <w:lvlJc w:val="left"/>
      <w:pPr>
        <w:ind w:left="0" w:firstLine="0"/>
      </w:pPr>
      <w:rPr>
        <w:rFonts w:hint="default" w:ascii="Times New Roman" w:hAnsi="Times New Roman" w:cs="Times New Roman"/>
      </w:rPr>
    </w:lvl>
  </w:abstractNum>
  <w:abstractNum w:abstractNumId="60">
    <w:nsid w:val="21AD076B"/>
    <w:multiLevelType w:val="singleLevel"/>
    <w:tmpl w:val="21AD076B"/>
    <w:lvl w:ilvl="0" w:tentative="0">
      <w:start w:val="1"/>
      <w:numFmt w:val="decimal"/>
      <w:suff w:val="nothing"/>
      <w:lvlText w:val="%1"/>
      <w:lvlJc w:val="left"/>
      <w:pPr>
        <w:ind w:left="0" w:firstLine="0"/>
      </w:pPr>
      <w:rPr>
        <w:rFonts w:hint="default" w:ascii="Times New Roman" w:hAnsi="Times New Roman" w:cs="Times New Roman"/>
      </w:rPr>
    </w:lvl>
  </w:abstractNum>
  <w:abstractNum w:abstractNumId="61">
    <w:nsid w:val="26FA7394"/>
    <w:multiLevelType w:val="multilevel"/>
    <w:tmpl w:val="26FA7394"/>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lowerLetter"/>
      <w:lvlText w:val="%2)"/>
      <w:lvlJc w:val="left"/>
      <w:pPr>
        <w:ind w:left="1053" w:hanging="420"/>
      </w:pPr>
    </w:lvl>
    <w:lvl w:ilvl="2" w:tentative="0">
      <w:start w:val="1"/>
      <w:numFmt w:val="lowerRoman"/>
      <w:lvlText w:val="%3."/>
      <w:lvlJc w:val="right"/>
      <w:pPr>
        <w:ind w:left="1473" w:hanging="420"/>
      </w:pPr>
    </w:lvl>
    <w:lvl w:ilvl="3" w:tentative="0">
      <w:start w:val="1"/>
      <w:numFmt w:val="decimal"/>
      <w:lvlText w:val="%4."/>
      <w:lvlJc w:val="left"/>
      <w:pPr>
        <w:ind w:left="1893" w:hanging="420"/>
      </w:pPr>
    </w:lvl>
    <w:lvl w:ilvl="4" w:tentative="0">
      <w:start w:val="1"/>
      <w:numFmt w:val="lowerLetter"/>
      <w:lvlText w:val="%5)"/>
      <w:lvlJc w:val="left"/>
      <w:pPr>
        <w:ind w:left="2313" w:hanging="420"/>
      </w:pPr>
    </w:lvl>
    <w:lvl w:ilvl="5" w:tentative="0">
      <w:start w:val="1"/>
      <w:numFmt w:val="lowerRoman"/>
      <w:lvlText w:val="%6."/>
      <w:lvlJc w:val="right"/>
      <w:pPr>
        <w:ind w:left="2733" w:hanging="420"/>
      </w:pPr>
    </w:lvl>
    <w:lvl w:ilvl="6" w:tentative="0">
      <w:start w:val="1"/>
      <w:numFmt w:val="decimal"/>
      <w:lvlText w:val="%7."/>
      <w:lvlJc w:val="left"/>
      <w:pPr>
        <w:ind w:left="3153" w:hanging="420"/>
      </w:pPr>
    </w:lvl>
    <w:lvl w:ilvl="7" w:tentative="0">
      <w:start w:val="1"/>
      <w:numFmt w:val="lowerLetter"/>
      <w:lvlText w:val="%8)"/>
      <w:lvlJc w:val="left"/>
      <w:pPr>
        <w:ind w:left="3573" w:hanging="420"/>
      </w:pPr>
    </w:lvl>
    <w:lvl w:ilvl="8" w:tentative="0">
      <w:start w:val="1"/>
      <w:numFmt w:val="lowerRoman"/>
      <w:lvlText w:val="%9."/>
      <w:lvlJc w:val="right"/>
      <w:pPr>
        <w:ind w:left="3993" w:hanging="420"/>
      </w:pPr>
    </w:lvl>
  </w:abstractNum>
  <w:abstractNum w:abstractNumId="62">
    <w:nsid w:val="2AEA87C3"/>
    <w:multiLevelType w:val="singleLevel"/>
    <w:tmpl w:val="2AEA87C3"/>
    <w:lvl w:ilvl="0" w:tentative="0">
      <w:start w:val="1"/>
      <w:numFmt w:val="decimal"/>
      <w:suff w:val="nothing"/>
      <w:lvlText w:val="（%1）"/>
      <w:lvlJc w:val="left"/>
    </w:lvl>
  </w:abstractNum>
  <w:abstractNum w:abstractNumId="63">
    <w:nsid w:val="30840646"/>
    <w:multiLevelType w:val="singleLevel"/>
    <w:tmpl w:val="30840646"/>
    <w:lvl w:ilvl="0" w:tentative="0">
      <w:start w:val="1"/>
      <w:numFmt w:val="decimal"/>
      <w:suff w:val="nothing"/>
      <w:lvlText w:val="%1"/>
      <w:lvlJc w:val="center"/>
      <w:pPr>
        <w:tabs>
          <w:tab w:val="left" w:pos="0"/>
        </w:tabs>
        <w:ind w:left="0" w:firstLine="0"/>
      </w:pPr>
      <w:rPr>
        <w:rFonts w:hint="default"/>
        <w:sz w:val="21"/>
      </w:rPr>
    </w:lvl>
  </w:abstractNum>
  <w:abstractNum w:abstractNumId="64">
    <w:nsid w:val="3429163C"/>
    <w:multiLevelType w:val="singleLevel"/>
    <w:tmpl w:val="3429163C"/>
    <w:lvl w:ilvl="0" w:tentative="0">
      <w:start w:val="1"/>
      <w:numFmt w:val="decimal"/>
      <w:suff w:val="nothing"/>
      <w:lvlText w:val="%1、"/>
      <w:lvlJc w:val="left"/>
      <w:rPr>
        <w:rFonts w:hint="default" w:ascii="Times New Roman" w:hAnsi="Times New Roman" w:cs="Times New Roman"/>
      </w:rPr>
    </w:lvl>
  </w:abstractNum>
  <w:abstractNum w:abstractNumId="65">
    <w:nsid w:val="34BC0A08"/>
    <w:multiLevelType w:val="singleLevel"/>
    <w:tmpl w:val="34BC0A08"/>
    <w:lvl w:ilvl="0" w:tentative="0">
      <w:start w:val="1"/>
      <w:numFmt w:val="decimal"/>
      <w:lvlText w:val="%1"/>
      <w:lvlJc w:val="left"/>
      <w:pPr>
        <w:tabs>
          <w:tab w:val="left" w:pos="420"/>
        </w:tabs>
        <w:ind w:left="425" w:hanging="425"/>
      </w:pPr>
      <w:rPr>
        <w:rFonts w:hint="default" w:ascii="Times New Roman" w:hAnsi="Times New Roman" w:cs="Times New Roman"/>
        <w:b w:val="0"/>
        <w:bCs w:val="0"/>
      </w:rPr>
    </w:lvl>
  </w:abstractNum>
  <w:abstractNum w:abstractNumId="66">
    <w:nsid w:val="3651064B"/>
    <w:multiLevelType w:val="multilevel"/>
    <w:tmpl w:val="3651064B"/>
    <w:lvl w:ilvl="0" w:tentative="0">
      <w:start w:val="1"/>
      <w:numFmt w:val="decimal"/>
      <w:suff w:val="nothing"/>
      <w:lvlText w:val="%1."/>
      <w:lvlJc w:val="left"/>
      <w:pPr>
        <w:ind w:left="0" w:firstLine="0"/>
      </w:pPr>
      <w:rPr>
        <w:rFonts w:hint="default"/>
        <w:b w:val="0"/>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67">
    <w:nsid w:val="367F6A45"/>
    <w:multiLevelType w:val="multilevel"/>
    <w:tmpl w:val="367F6A45"/>
    <w:lvl w:ilvl="0" w:tentative="0">
      <w:start w:val="1"/>
      <w:numFmt w:val="decimal"/>
      <w:lvlText w:val="%1."/>
      <w:lvlJc w:val="left"/>
      <w:pPr>
        <w:ind w:left="360" w:hanging="360"/>
      </w:pPr>
      <w:rPr>
        <w:rFonts w:hint="default" w:cs="Times New Roman"/>
      </w:rPr>
    </w:lvl>
    <w:lvl w:ilvl="1" w:tentative="0">
      <w:start w:val="1"/>
      <w:numFmt w:val="decimal"/>
      <w:pStyle w:val="13"/>
      <w:lvlText w:val="%1.%2"/>
      <w:lvlJc w:val="left"/>
      <w:pPr>
        <w:tabs>
          <w:tab w:val="left" w:pos="432"/>
        </w:tabs>
        <w:ind w:left="432" w:hanging="432"/>
      </w:pPr>
      <w:rPr>
        <w:rFonts w:hint="default" w:cs="Times New Roman"/>
      </w:rPr>
    </w:lvl>
    <w:lvl w:ilvl="2" w:tentative="0">
      <w:start w:val="1"/>
      <w:numFmt w:val="lowerLetter"/>
      <w:pStyle w:val="19"/>
      <w:lvlText w:val="%3."/>
      <w:lvlJc w:val="left"/>
      <w:pPr>
        <w:ind w:left="792" w:hanging="360"/>
      </w:pPr>
      <w:rPr>
        <w:rFonts w:hint="default" w:cs="Times New Roman"/>
      </w:rPr>
    </w:lvl>
    <w:lvl w:ilvl="3" w:tentative="0">
      <w:start w:val="1"/>
      <w:numFmt w:val="lowerRoman"/>
      <w:pStyle w:val="43"/>
      <w:lvlText w:val="%4."/>
      <w:lvlJc w:val="left"/>
      <w:pPr>
        <w:ind w:left="1152" w:hanging="360"/>
      </w:pPr>
      <w:rPr>
        <w:rFonts w:hint="default" w:cs="Times New Roman"/>
      </w:rPr>
    </w:lvl>
    <w:lvl w:ilvl="4" w:tentative="0">
      <w:start w:val="1"/>
      <w:numFmt w:val="lowerLetter"/>
      <w:pStyle w:val="60"/>
      <w:lvlText w:val="(%5)"/>
      <w:lvlJc w:val="left"/>
      <w:pPr>
        <w:ind w:left="1512" w:hanging="360"/>
      </w:pPr>
      <w:rPr>
        <w:rFonts w:hint="default" w:cs="Times New Roman"/>
      </w:rPr>
    </w:lvl>
    <w:lvl w:ilvl="5" w:tentative="0">
      <w:start w:val="1"/>
      <w:numFmt w:val="lowerRoman"/>
      <w:lvlText w:val="(%6)"/>
      <w:lvlJc w:val="left"/>
      <w:pPr>
        <w:ind w:left="1872" w:hanging="360"/>
      </w:pPr>
      <w:rPr>
        <w:rFonts w:hint="default" w:cs="Times New Roman"/>
      </w:rPr>
    </w:lvl>
    <w:lvl w:ilvl="6" w:tentative="0">
      <w:start w:val="1"/>
      <w:numFmt w:val="decimal"/>
      <w:lvlText w:val="%7."/>
      <w:lvlJc w:val="left"/>
      <w:pPr>
        <w:ind w:left="2232" w:hanging="360"/>
      </w:pPr>
      <w:rPr>
        <w:rFonts w:hint="default" w:cs="Times New Roman"/>
      </w:rPr>
    </w:lvl>
    <w:lvl w:ilvl="7" w:tentative="0">
      <w:start w:val="1"/>
      <w:numFmt w:val="lowerLetter"/>
      <w:lvlText w:val="%8."/>
      <w:lvlJc w:val="left"/>
      <w:pPr>
        <w:ind w:left="2592" w:hanging="360"/>
      </w:pPr>
      <w:rPr>
        <w:rFonts w:hint="default" w:cs="Times New Roman"/>
      </w:rPr>
    </w:lvl>
    <w:lvl w:ilvl="8" w:tentative="0">
      <w:start w:val="1"/>
      <w:numFmt w:val="lowerRoman"/>
      <w:lvlText w:val="%9."/>
      <w:lvlJc w:val="left"/>
      <w:pPr>
        <w:ind w:left="2952" w:hanging="360"/>
      </w:pPr>
      <w:rPr>
        <w:rFonts w:hint="default" w:cs="Times New Roman"/>
      </w:rPr>
    </w:lvl>
  </w:abstractNum>
  <w:abstractNum w:abstractNumId="68">
    <w:nsid w:val="37DAC0D4"/>
    <w:multiLevelType w:val="singleLevel"/>
    <w:tmpl w:val="37DAC0D4"/>
    <w:lvl w:ilvl="0" w:tentative="0">
      <w:start w:val="1"/>
      <w:numFmt w:val="decimal"/>
      <w:suff w:val="nothing"/>
      <w:lvlText w:val="%1"/>
      <w:lvlJc w:val="left"/>
      <w:pPr>
        <w:ind w:left="0" w:firstLine="0"/>
      </w:pPr>
      <w:rPr>
        <w:rFonts w:hint="default" w:ascii="Times New Roman" w:hAnsi="Times New Roman" w:cs="Times New Roman"/>
      </w:rPr>
    </w:lvl>
  </w:abstractNum>
  <w:abstractNum w:abstractNumId="69">
    <w:nsid w:val="405F2104"/>
    <w:multiLevelType w:val="multilevel"/>
    <w:tmpl w:val="405F2104"/>
    <w:lvl w:ilvl="0" w:tentative="0">
      <w:start w:val="1"/>
      <w:numFmt w:val="decimal"/>
      <w:lvlText w:val="%1"/>
      <w:lvlJc w:val="center"/>
      <w:pPr>
        <w:ind w:left="420" w:hanging="420"/>
      </w:pPr>
      <w:rPr>
        <w:rFonts w:hint="default" w:ascii="Times New Roman" w:hAnsi="Times New Roman" w:eastAsia="等线"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0">
    <w:nsid w:val="4483EF43"/>
    <w:multiLevelType w:val="multilevel"/>
    <w:tmpl w:val="4483EF43"/>
    <w:lvl w:ilvl="0" w:tentative="0">
      <w:start w:val="1"/>
      <w:numFmt w:val="decimal"/>
      <w:suff w:val="nothing"/>
      <w:lvlText w:val="%1"/>
      <w:lvlJc w:val="left"/>
      <w:pPr>
        <w:ind w:left="420" w:hanging="420"/>
      </w:pPr>
      <w:rPr>
        <w:rFonts w:hint="default" w:ascii="Times New Roman" w:hAnsi="Times New Roman" w:cs="Times New Roman"/>
        <w:b w:val="0"/>
        <w:bCs w:val="0"/>
      </w:rPr>
    </w:lvl>
    <w:lvl w:ilvl="1" w:tentative="0">
      <w:start w:val="1"/>
      <w:numFmt w:val="lowerLetter"/>
      <w:lvlText w:val="%2)"/>
      <w:lvlJc w:val="left"/>
      <w:pPr>
        <w:ind w:left="840" w:hanging="42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abstractNum w:abstractNumId="71">
    <w:nsid w:val="44FA3467"/>
    <w:multiLevelType w:val="singleLevel"/>
    <w:tmpl w:val="44FA3467"/>
    <w:lvl w:ilvl="0" w:tentative="0">
      <w:start w:val="1"/>
      <w:numFmt w:val="decimal"/>
      <w:suff w:val="nothing"/>
      <w:lvlText w:val="%1"/>
      <w:lvlJc w:val="center"/>
      <w:pPr>
        <w:ind w:left="0" w:firstLine="0"/>
      </w:pPr>
      <w:rPr>
        <w:rFonts w:hint="default"/>
        <w:sz w:val="21"/>
        <w:szCs w:val="21"/>
      </w:rPr>
    </w:lvl>
  </w:abstractNum>
  <w:abstractNum w:abstractNumId="72">
    <w:nsid w:val="47EFF726"/>
    <w:multiLevelType w:val="singleLevel"/>
    <w:tmpl w:val="47EFF726"/>
    <w:lvl w:ilvl="0" w:tentative="0">
      <w:start w:val="1"/>
      <w:numFmt w:val="decimal"/>
      <w:suff w:val="nothing"/>
      <w:lvlText w:val="%1"/>
      <w:lvlJc w:val="left"/>
      <w:pPr>
        <w:ind w:left="0" w:firstLine="0"/>
      </w:pPr>
      <w:rPr>
        <w:rFonts w:hint="default" w:ascii="Times New Roman" w:hAnsi="Times New Roman" w:cs="Times New Roman"/>
      </w:rPr>
    </w:lvl>
  </w:abstractNum>
  <w:abstractNum w:abstractNumId="73">
    <w:nsid w:val="4FA06074"/>
    <w:multiLevelType w:val="multilevel"/>
    <w:tmpl w:val="4FA06074"/>
    <w:lvl w:ilvl="0" w:tentative="0">
      <w:start w:val="1"/>
      <w:numFmt w:val="decimal"/>
      <w:suff w:val="nothing"/>
      <w:lvlText w:val="%1"/>
      <w:lvlJc w:val="left"/>
      <w:pPr>
        <w:ind w:left="420" w:hanging="420"/>
      </w:pPr>
      <w:rPr>
        <w:rFonts w:hint="default" w:ascii="Times New Roman" w:hAnsi="Times New Roman" w:cs="Times New Roman"/>
        <w:b w:val="0"/>
        <w:bCs w:val="0"/>
      </w:rPr>
    </w:lvl>
    <w:lvl w:ilvl="1" w:tentative="0">
      <w:start w:val="1"/>
      <w:numFmt w:val="lowerLetter"/>
      <w:lvlText w:val="%2)"/>
      <w:lvlJc w:val="left"/>
      <w:pPr>
        <w:ind w:left="840" w:hanging="42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abstractNum w:abstractNumId="74">
    <w:nsid w:val="50E6582A"/>
    <w:multiLevelType w:val="multilevel"/>
    <w:tmpl w:val="50E6582A"/>
    <w:lvl w:ilvl="0" w:tentative="0">
      <w:start w:val="1"/>
      <w:numFmt w:val="decimal"/>
      <w:suff w:val="nothing"/>
      <w:lvlText w:val="%1"/>
      <w:lvlJc w:val="left"/>
      <w:pPr>
        <w:ind w:left="420" w:hanging="420"/>
      </w:pPr>
      <w:rPr>
        <w:rFonts w:hint="default" w:ascii="Times New Roman" w:hAnsi="Times New Roman" w:cs="Times New Roman"/>
        <w:b w:val="0"/>
        <w:bCs w:val="0"/>
      </w:rPr>
    </w:lvl>
    <w:lvl w:ilvl="1" w:tentative="0">
      <w:start w:val="1"/>
      <w:numFmt w:val="lowerLetter"/>
      <w:lvlText w:val="%2)"/>
      <w:lvlJc w:val="left"/>
      <w:pPr>
        <w:ind w:left="840" w:hanging="42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abstractNum w:abstractNumId="75">
    <w:nsid w:val="55B29A25"/>
    <w:multiLevelType w:val="multilevel"/>
    <w:tmpl w:val="55B29A25"/>
    <w:lvl w:ilvl="0" w:tentative="0">
      <w:start w:val="1"/>
      <w:numFmt w:val="decimal"/>
      <w:suff w:val="space"/>
      <w:lvlText w:val="%1."/>
      <w:lvlJc w:val="left"/>
      <w:pPr>
        <w:ind w:left="0" w:firstLine="397"/>
      </w:pPr>
      <w:rPr>
        <w:rFonts w:hint="default" w:ascii="Times New Roman" w:hAnsi="Times New Roman"/>
        <w:spacing w:val="-20"/>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6">
    <w:nsid w:val="55F0319E"/>
    <w:multiLevelType w:val="multilevel"/>
    <w:tmpl w:val="55F0319E"/>
    <w:lvl w:ilvl="0" w:tentative="0">
      <w:start w:val="1"/>
      <w:numFmt w:val="decimal"/>
      <w:lvlText w:val="%1"/>
      <w:lvlJc w:val="center"/>
      <w:pPr>
        <w:ind w:left="533" w:hanging="420"/>
      </w:pPr>
      <w:rPr>
        <w:rFonts w:hint="eastAsia"/>
      </w:rPr>
    </w:lvl>
    <w:lvl w:ilvl="1" w:tentative="0">
      <w:start w:val="1"/>
      <w:numFmt w:val="lowerLetter"/>
      <w:lvlText w:val="%2)"/>
      <w:lvlJc w:val="left"/>
      <w:pPr>
        <w:ind w:left="953" w:hanging="420"/>
      </w:pPr>
    </w:lvl>
    <w:lvl w:ilvl="2" w:tentative="0">
      <w:start w:val="1"/>
      <w:numFmt w:val="lowerRoman"/>
      <w:lvlText w:val="%3."/>
      <w:lvlJc w:val="right"/>
      <w:pPr>
        <w:ind w:left="1373" w:hanging="420"/>
      </w:pPr>
    </w:lvl>
    <w:lvl w:ilvl="3" w:tentative="0">
      <w:start w:val="1"/>
      <w:numFmt w:val="decimal"/>
      <w:lvlText w:val="%4."/>
      <w:lvlJc w:val="left"/>
      <w:pPr>
        <w:ind w:left="1793" w:hanging="420"/>
      </w:pPr>
    </w:lvl>
    <w:lvl w:ilvl="4" w:tentative="0">
      <w:start w:val="1"/>
      <w:numFmt w:val="lowerLetter"/>
      <w:lvlText w:val="%5)"/>
      <w:lvlJc w:val="left"/>
      <w:pPr>
        <w:ind w:left="2213" w:hanging="420"/>
      </w:pPr>
    </w:lvl>
    <w:lvl w:ilvl="5" w:tentative="0">
      <w:start w:val="1"/>
      <w:numFmt w:val="lowerRoman"/>
      <w:lvlText w:val="%6."/>
      <w:lvlJc w:val="right"/>
      <w:pPr>
        <w:ind w:left="2633" w:hanging="420"/>
      </w:pPr>
    </w:lvl>
    <w:lvl w:ilvl="6" w:tentative="0">
      <w:start w:val="1"/>
      <w:numFmt w:val="decimal"/>
      <w:lvlText w:val="%7."/>
      <w:lvlJc w:val="left"/>
      <w:pPr>
        <w:ind w:left="3053" w:hanging="420"/>
      </w:pPr>
    </w:lvl>
    <w:lvl w:ilvl="7" w:tentative="0">
      <w:start w:val="1"/>
      <w:numFmt w:val="lowerLetter"/>
      <w:lvlText w:val="%8)"/>
      <w:lvlJc w:val="left"/>
      <w:pPr>
        <w:ind w:left="3473" w:hanging="420"/>
      </w:pPr>
    </w:lvl>
    <w:lvl w:ilvl="8" w:tentative="0">
      <w:start w:val="1"/>
      <w:numFmt w:val="lowerRoman"/>
      <w:lvlText w:val="%9."/>
      <w:lvlJc w:val="right"/>
      <w:pPr>
        <w:ind w:left="3893" w:hanging="420"/>
      </w:pPr>
    </w:lvl>
  </w:abstractNum>
  <w:abstractNum w:abstractNumId="77">
    <w:nsid w:val="57617D59"/>
    <w:multiLevelType w:val="singleLevel"/>
    <w:tmpl w:val="57617D59"/>
    <w:lvl w:ilvl="0" w:tentative="0">
      <w:start w:val="1"/>
      <w:numFmt w:val="decimal"/>
      <w:suff w:val="nothing"/>
      <w:lvlText w:val="%1"/>
      <w:lvlJc w:val="left"/>
      <w:pPr>
        <w:tabs>
          <w:tab w:val="left" w:pos="0"/>
        </w:tabs>
        <w:ind w:left="0" w:firstLine="0"/>
      </w:pPr>
      <w:rPr>
        <w:rFonts w:hint="default" w:ascii="Times New Roman" w:hAnsi="Times New Roman" w:cs="Times New Roman"/>
        <w:sz w:val="21"/>
        <w:szCs w:val="21"/>
      </w:rPr>
    </w:lvl>
  </w:abstractNum>
  <w:abstractNum w:abstractNumId="78">
    <w:nsid w:val="5A7BE2A0"/>
    <w:multiLevelType w:val="singleLevel"/>
    <w:tmpl w:val="5A7BE2A0"/>
    <w:lvl w:ilvl="0" w:tentative="0">
      <w:start w:val="1"/>
      <w:numFmt w:val="decimal"/>
      <w:suff w:val="nothing"/>
      <w:lvlText w:val="%1"/>
      <w:lvlJc w:val="left"/>
      <w:pPr>
        <w:ind w:left="0" w:firstLine="0"/>
      </w:pPr>
      <w:rPr>
        <w:rFonts w:hint="default" w:ascii="Times New Roman" w:hAnsi="Times New Roman" w:cs="Times New Roman"/>
      </w:rPr>
    </w:lvl>
  </w:abstractNum>
  <w:abstractNum w:abstractNumId="79">
    <w:nsid w:val="5FFF4A9B"/>
    <w:multiLevelType w:val="multilevel"/>
    <w:tmpl w:val="5FFF4A9B"/>
    <w:lvl w:ilvl="0" w:tentative="0">
      <w:start w:val="1"/>
      <w:numFmt w:val="decimal"/>
      <w:suff w:val="nothing"/>
      <w:lvlText w:val="%1"/>
      <w:lvlJc w:val="left"/>
      <w:pPr>
        <w:ind w:left="-57" w:firstLine="57"/>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0">
    <w:nsid w:val="61FE2AD2"/>
    <w:multiLevelType w:val="multilevel"/>
    <w:tmpl w:val="61FE2AD2"/>
    <w:lvl w:ilvl="0" w:tentative="0">
      <w:start w:val="1"/>
      <w:numFmt w:val="decimal"/>
      <w:suff w:val="nothing"/>
      <w:lvlText w:val="%1"/>
      <w:lvlJc w:val="left"/>
      <w:pPr>
        <w:ind w:left="420" w:hanging="420"/>
      </w:pPr>
      <w:rPr>
        <w:rFonts w:hint="default" w:ascii="Times New Roman" w:hAnsi="Times New Roman"/>
        <w:b w:val="0"/>
        <w:bCs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1">
    <w:nsid w:val="6A88F97A"/>
    <w:multiLevelType w:val="singleLevel"/>
    <w:tmpl w:val="6A88F97A"/>
    <w:lvl w:ilvl="0" w:tentative="0">
      <w:start w:val="1"/>
      <w:numFmt w:val="decimal"/>
      <w:suff w:val="nothing"/>
      <w:lvlText w:val="%1"/>
      <w:lvlJc w:val="left"/>
      <w:pPr>
        <w:ind w:left="0" w:firstLine="0"/>
      </w:pPr>
      <w:rPr>
        <w:rFonts w:hint="default" w:ascii="Times New Roman" w:hAnsi="Times New Roman" w:cs="Times New Roman"/>
      </w:rPr>
    </w:lvl>
  </w:abstractNum>
  <w:abstractNum w:abstractNumId="82">
    <w:nsid w:val="6B22420F"/>
    <w:multiLevelType w:val="multilevel"/>
    <w:tmpl w:val="6B22420F"/>
    <w:lvl w:ilvl="0" w:tentative="0">
      <w:start w:val="1"/>
      <w:numFmt w:val="decimal"/>
      <w:pStyle w:val="238"/>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3">
    <w:nsid w:val="6CEA2025"/>
    <w:multiLevelType w:val="multilevel"/>
    <w:tmpl w:val="6CEA2025"/>
    <w:lvl w:ilvl="0" w:tentative="0">
      <w:start w:val="1"/>
      <w:numFmt w:val="none"/>
      <w:suff w:val="nothing"/>
      <w:lvlText w:val="%1"/>
      <w:lvlJc w:val="left"/>
      <w:pPr>
        <w:ind w:left="0" w:firstLine="0"/>
      </w:pPr>
      <w:rPr>
        <w:rFonts w:hint="default" w:ascii="Times New Roman" w:hAnsi="Times New Roman"/>
        <w:b/>
        <w:i w:val="0"/>
        <w:sz w:val="21"/>
      </w:rPr>
    </w:lvl>
    <w:lvl w:ilvl="1" w:tentative="0">
      <w:start w:val="1"/>
      <w:numFmt w:val="decimal"/>
      <w:pStyle w:val="242"/>
      <w:suff w:val="nothing"/>
      <w:lvlText w:val="%1%2　"/>
      <w:lvlJc w:val="left"/>
      <w:pPr>
        <w:ind w:left="0" w:firstLine="0"/>
      </w:pPr>
      <w:rPr>
        <w:rFonts w:hint="eastAsia" w:ascii="黑体" w:hAnsi="Times New Roman" w:eastAsia="黑体"/>
        <w:b w:val="0"/>
        <w:i w:val="0"/>
        <w:sz w:val="21"/>
      </w:rPr>
    </w:lvl>
    <w:lvl w:ilvl="2" w:tentative="0">
      <w:start w:val="1"/>
      <w:numFmt w:val="decimal"/>
      <w:pStyle w:val="251"/>
      <w:suff w:val="nothing"/>
      <w:lvlText w:val="%1%2.%3　"/>
      <w:lvlJc w:val="left"/>
      <w:pPr>
        <w:ind w:left="142" w:firstLine="0"/>
      </w:pPr>
      <w:rPr>
        <w:rFonts w:hint="eastAsia" w:ascii="黑体" w:hAnsi="Times New Roman" w:eastAsia="黑体"/>
        <w:b w:val="0"/>
        <w:i w:val="0"/>
        <w:color w:val="auto"/>
        <w:sz w:val="21"/>
      </w:rPr>
    </w:lvl>
    <w:lvl w:ilvl="3" w:tentative="0">
      <w:start w:val="1"/>
      <w:numFmt w:val="decimal"/>
      <w:pStyle w:val="254"/>
      <w:suff w:val="nothing"/>
      <w:lvlText w:val="%1%2.%3.%4　"/>
      <w:lvlJc w:val="left"/>
      <w:pPr>
        <w:ind w:left="426" w:firstLine="0"/>
      </w:pPr>
      <w:rPr>
        <w:rFonts w:hint="eastAsia" w:ascii="黑体" w:hAnsi="Times New Roman" w:eastAsia="黑体"/>
        <w:b w:val="0"/>
        <w:i w:val="0"/>
        <w:sz w:val="21"/>
      </w:rPr>
    </w:lvl>
    <w:lvl w:ilvl="4" w:tentative="0">
      <w:start w:val="1"/>
      <w:numFmt w:val="decimal"/>
      <w:suff w:val="nothing"/>
      <w:lvlText w:val="%1%2.%3.%4.%5　"/>
      <w:lvlJc w:val="left"/>
      <w:pPr>
        <w:ind w:left="945"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84">
    <w:nsid w:val="6E4D468B"/>
    <w:multiLevelType w:val="singleLevel"/>
    <w:tmpl w:val="6E4D468B"/>
    <w:lvl w:ilvl="0" w:tentative="0">
      <w:start w:val="1"/>
      <w:numFmt w:val="decimal"/>
      <w:lvlText w:val="%1"/>
      <w:lvlJc w:val="left"/>
      <w:pPr>
        <w:tabs>
          <w:tab w:val="left" w:pos="420"/>
        </w:tabs>
        <w:ind w:left="425" w:hanging="425"/>
      </w:pPr>
      <w:rPr>
        <w:rFonts w:hint="default" w:ascii="Times New Roman" w:hAnsi="Times New Roman" w:cs="Times New Roman"/>
        <w:b w:val="0"/>
        <w:bCs w:val="0"/>
      </w:rPr>
    </w:lvl>
  </w:abstractNum>
  <w:abstractNum w:abstractNumId="85">
    <w:nsid w:val="6F958705"/>
    <w:multiLevelType w:val="multilevel"/>
    <w:tmpl w:val="6F958705"/>
    <w:lvl w:ilvl="0" w:tentative="0">
      <w:start w:val="1"/>
      <w:numFmt w:val="decimal"/>
      <w:suff w:val="nothing"/>
      <w:lvlText w:val="%1."/>
      <w:lvlJc w:val="left"/>
      <w:pPr>
        <w:ind w:left="0" w:firstLine="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6">
    <w:nsid w:val="73E6233A"/>
    <w:multiLevelType w:val="multilevel"/>
    <w:tmpl w:val="73E6233A"/>
    <w:lvl w:ilvl="0" w:tentative="0">
      <w:start w:val="1"/>
      <w:numFmt w:val="decimal"/>
      <w:suff w:val="nothing"/>
      <w:lvlText w:val="%1"/>
      <w:lvlJc w:val="left"/>
      <w:pPr>
        <w:ind w:left="0" w:firstLine="0"/>
      </w:pPr>
      <w:rPr>
        <w:rFonts w:hint="default" w:ascii="Times New Roman" w:hAnsi="Times New Roman" w:cs="Times New Roman"/>
        <w:b w:val="0"/>
        <w:bCs w:val="0"/>
      </w:rPr>
    </w:lvl>
    <w:lvl w:ilvl="1" w:tentative="0">
      <w:start w:val="1"/>
      <w:numFmt w:val="lowerLetter"/>
      <w:lvlText w:val="%2)"/>
      <w:lvlJc w:val="left"/>
      <w:pPr>
        <w:ind w:left="840" w:hanging="42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abstractNum w:abstractNumId="87">
    <w:nsid w:val="77F66278"/>
    <w:multiLevelType w:val="multilevel"/>
    <w:tmpl w:val="77F66278"/>
    <w:lvl w:ilvl="0" w:tentative="0">
      <w:start w:val="1"/>
      <w:numFmt w:val="decimal"/>
      <w:suff w:val="nothing"/>
      <w:lvlText w:val="%1"/>
      <w:lvlJc w:val="center"/>
      <w:pPr>
        <w:ind w:left="0" w:firstLine="0"/>
      </w:pPr>
    </w:lvl>
    <w:lvl w:ilvl="1" w:tentative="0">
      <w:start w:val="0"/>
      <w:numFmt w:val="bullet"/>
      <w:lvlText w:val="-"/>
      <w:lvlJc w:val="left"/>
      <w:pPr>
        <w:ind w:left="780" w:hanging="360"/>
      </w:pPr>
      <w:rPr>
        <w:rFonts w:hint="default" w:ascii="Times New Roman" w:hAnsi="Times New Roman" w:eastAsia="宋体"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8">
    <w:nsid w:val="77FFAC97"/>
    <w:multiLevelType w:val="multilevel"/>
    <w:tmpl w:val="77FFAC97"/>
    <w:lvl w:ilvl="0" w:tentative="0">
      <w:start w:val="1"/>
      <w:numFmt w:val="decimal"/>
      <w:lvlText w:val="%1、"/>
      <w:lvlJc w:val="left"/>
      <w:pPr>
        <w:ind w:left="360" w:hanging="360"/>
      </w:pPr>
      <w:rPr>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9">
    <w:nsid w:val="7D7CBD14"/>
    <w:multiLevelType w:val="multilevel"/>
    <w:tmpl w:val="7D7CBD14"/>
    <w:lvl w:ilvl="0" w:tentative="0">
      <w:start w:val="1"/>
      <w:numFmt w:val="decimal"/>
      <w:suff w:val="nothing"/>
      <w:lvlText w:val="%1."/>
      <w:lvlJc w:val="left"/>
      <w:pPr>
        <w:ind w:left="0" w:firstLine="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0">
    <w:nsid w:val="7DFD09D5"/>
    <w:multiLevelType w:val="multilevel"/>
    <w:tmpl w:val="7DFD09D5"/>
    <w:lvl w:ilvl="0" w:tentative="0">
      <w:start w:val="1"/>
      <w:numFmt w:val="decimal"/>
      <w:suff w:val="nothing"/>
      <w:lvlText w:val="%1."/>
      <w:lvlJc w:val="left"/>
      <w:pPr>
        <w:ind w:left="0" w:firstLine="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1">
    <w:nsid w:val="7DFE86B7"/>
    <w:multiLevelType w:val="multilevel"/>
    <w:tmpl w:val="7DFE86B7"/>
    <w:lvl w:ilvl="0" w:tentative="0">
      <w:start w:val="1"/>
      <w:numFmt w:val="decimal"/>
      <w:lvlText w:val="%1."/>
      <w:lvlJc w:val="left"/>
      <w:pPr>
        <w:ind w:left="420" w:hanging="420"/>
      </w:pPr>
    </w:lvl>
    <w:lvl w:ilvl="1" w:tentative="0">
      <w:start w:val="1"/>
      <w:numFmt w:val="decimal"/>
      <w:suff w:val="nothing"/>
      <w:lvlText w:val="%2."/>
      <w:lvlJc w:val="left"/>
      <w:pPr>
        <w:ind w:left="0" w:firstLine="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2">
    <w:nsid w:val="7EFF0353"/>
    <w:multiLevelType w:val="multilevel"/>
    <w:tmpl w:val="7EFF0353"/>
    <w:lvl w:ilvl="0" w:tentative="0">
      <w:start w:val="1"/>
      <w:numFmt w:val="decimal"/>
      <w:lvlText w:val="%1."/>
      <w:lvlJc w:val="left"/>
      <w:pPr>
        <w:ind w:left="420" w:hanging="420"/>
      </w:pPr>
    </w:lvl>
    <w:lvl w:ilvl="1" w:tentative="0">
      <w:start w:val="1"/>
      <w:numFmt w:val="decimal"/>
      <w:suff w:val="nothing"/>
      <w:lvlText w:val="%2."/>
      <w:lvlJc w:val="left"/>
      <w:pPr>
        <w:ind w:left="0" w:firstLine="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3">
    <w:nsid w:val="7F7CC1F9"/>
    <w:multiLevelType w:val="multilevel"/>
    <w:tmpl w:val="7F7CC1F9"/>
    <w:lvl w:ilvl="0" w:tentative="0">
      <w:start w:val="1"/>
      <w:numFmt w:val="decimal"/>
      <w:suff w:val="nothing"/>
      <w:lvlText w:val="%1."/>
      <w:lvlJc w:val="left"/>
      <w:pPr>
        <w:ind w:left="0" w:firstLine="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4">
    <w:nsid w:val="7F9E01E4"/>
    <w:multiLevelType w:val="multilevel"/>
    <w:tmpl w:val="7F9E01E4"/>
    <w:lvl w:ilvl="0" w:tentative="0">
      <w:start w:val="1"/>
      <w:numFmt w:val="decimal"/>
      <w:lvlText w:val="%1"/>
      <w:lvlJc w:val="left"/>
      <w:pPr>
        <w:tabs>
          <w:tab w:val="left" w:pos="420"/>
        </w:tabs>
        <w:ind w:left="425" w:hanging="425"/>
      </w:pPr>
      <w:rPr>
        <w:rFonts w:hint="default" w:ascii="Times New Roman" w:hAnsi="Times New Roman" w:cs="Times New Roman"/>
        <w:b w:val="0"/>
        <w:bCs w:val="0"/>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5"/>
  </w:num>
  <w:num w:numId="2">
    <w:abstractNumId w:val="67"/>
  </w:num>
  <w:num w:numId="3">
    <w:abstractNumId w:val="43"/>
  </w:num>
  <w:num w:numId="4">
    <w:abstractNumId w:val="46"/>
  </w:num>
  <w:num w:numId="5">
    <w:abstractNumId w:val="44"/>
  </w:num>
  <w:num w:numId="6">
    <w:abstractNumId w:val="45"/>
  </w:num>
  <w:num w:numId="7">
    <w:abstractNumId w:val="42"/>
  </w:num>
  <w:num w:numId="8">
    <w:abstractNumId w:val="82"/>
  </w:num>
  <w:num w:numId="9">
    <w:abstractNumId w:val="83"/>
  </w:num>
  <w:num w:numId="10">
    <w:abstractNumId w:val="49"/>
  </w:num>
  <w:num w:numId="11">
    <w:abstractNumId w:val="23"/>
  </w:num>
  <w:num w:numId="12">
    <w:abstractNumId w:val="1"/>
  </w:num>
  <w:num w:numId="13">
    <w:abstractNumId w:val="15"/>
  </w:num>
  <w:num w:numId="14">
    <w:abstractNumId w:val="55"/>
  </w:num>
  <w:num w:numId="15">
    <w:abstractNumId w:val="59"/>
  </w:num>
  <w:num w:numId="16">
    <w:abstractNumId w:val="81"/>
  </w:num>
  <w:num w:numId="17">
    <w:abstractNumId w:val="68"/>
  </w:num>
  <w:num w:numId="18">
    <w:abstractNumId w:val="7"/>
  </w:num>
  <w:num w:numId="19">
    <w:abstractNumId w:val="60"/>
  </w:num>
  <w:num w:numId="20">
    <w:abstractNumId w:val="72"/>
  </w:num>
  <w:num w:numId="21">
    <w:abstractNumId w:val="52"/>
  </w:num>
  <w:num w:numId="22">
    <w:abstractNumId w:val="11"/>
  </w:num>
  <w:num w:numId="23">
    <w:abstractNumId w:val="4"/>
  </w:num>
  <w:num w:numId="24">
    <w:abstractNumId w:val="78"/>
  </w:num>
  <w:num w:numId="25">
    <w:abstractNumId w:val="62"/>
  </w:num>
  <w:num w:numId="26">
    <w:abstractNumId w:val="76"/>
  </w:num>
  <w:num w:numId="27">
    <w:abstractNumId w:val="18"/>
  </w:num>
  <w:num w:numId="28">
    <w:abstractNumId w:val="13"/>
  </w:num>
  <w:num w:numId="29">
    <w:abstractNumId w:val="66"/>
  </w:num>
  <w:num w:numId="30">
    <w:abstractNumId w:val="58"/>
  </w:num>
  <w:num w:numId="31">
    <w:abstractNumId w:val="53"/>
  </w:num>
  <w:num w:numId="32">
    <w:abstractNumId w:val="64"/>
  </w:num>
  <w:num w:numId="33">
    <w:abstractNumId w:val="77"/>
  </w:num>
  <w:num w:numId="34">
    <w:abstractNumId w:val="8"/>
  </w:num>
  <w:num w:numId="35">
    <w:abstractNumId w:val="94"/>
  </w:num>
  <w:num w:numId="36">
    <w:abstractNumId w:val="21"/>
  </w:num>
  <w:num w:numId="37">
    <w:abstractNumId w:val="3"/>
  </w:num>
  <w:num w:numId="38">
    <w:abstractNumId w:val="28"/>
  </w:num>
  <w:num w:numId="39">
    <w:abstractNumId w:val="33"/>
  </w:num>
  <w:num w:numId="40">
    <w:abstractNumId w:val="39"/>
  </w:num>
  <w:num w:numId="41">
    <w:abstractNumId w:val="30"/>
  </w:num>
  <w:num w:numId="42">
    <w:abstractNumId w:val="36"/>
  </w:num>
  <w:num w:numId="43">
    <w:abstractNumId w:val="34"/>
  </w:num>
  <w:num w:numId="44">
    <w:abstractNumId w:val="24"/>
  </w:num>
  <w:num w:numId="45">
    <w:abstractNumId w:val="25"/>
  </w:num>
  <w:num w:numId="46">
    <w:abstractNumId w:val="27"/>
  </w:num>
  <w:num w:numId="47">
    <w:abstractNumId w:val="79"/>
  </w:num>
  <w:num w:numId="48">
    <w:abstractNumId w:val="87"/>
  </w:num>
  <w:num w:numId="49">
    <w:abstractNumId w:val="37"/>
  </w:num>
  <w:num w:numId="50">
    <w:abstractNumId w:val="84"/>
  </w:num>
  <w:num w:numId="51">
    <w:abstractNumId w:val="17"/>
  </w:num>
  <w:num w:numId="52">
    <w:abstractNumId w:val="20"/>
  </w:num>
  <w:num w:numId="53">
    <w:abstractNumId w:val="6"/>
  </w:num>
  <w:num w:numId="54">
    <w:abstractNumId w:val="51"/>
  </w:num>
  <w:num w:numId="55">
    <w:abstractNumId w:val="69"/>
  </w:num>
  <w:num w:numId="56">
    <w:abstractNumId w:val="2"/>
  </w:num>
  <w:num w:numId="57">
    <w:abstractNumId w:val="86"/>
  </w:num>
  <w:num w:numId="5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1"/>
  </w:num>
  <w:num w:numId="63">
    <w:abstractNumId w:val="56"/>
  </w:num>
  <w:num w:numId="64">
    <w:abstractNumId w:val="48"/>
  </w:num>
  <w:num w:numId="65">
    <w:abstractNumId w:val="47"/>
  </w:num>
  <w:num w:numId="66">
    <w:abstractNumId w:val="35"/>
  </w:num>
  <w:num w:numId="67">
    <w:abstractNumId w:val="12"/>
  </w:num>
  <w:num w:numId="68">
    <w:abstractNumId w:val="92"/>
  </w:num>
  <w:num w:numId="69">
    <w:abstractNumId w:val="57"/>
  </w:num>
  <w:num w:numId="70">
    <w:abstractNumId w:val="26"/>
  </w:num>
  <w:num w:numId="71">
    <w:abstractNumId w:val="54"/>
  </w:num>
  <w:num w:numId="72">
    <w:abstractNumId w:val="10"/>
  </w:num>
  <w:num w:numId="73">
    <w:abstractNumId w:val="91"/>
  </w:num>
  <w:num w:numId="74">
    <w:abstractNumId w:val="41"/>
  </w:num>
  <w:num w:numId="75">
    <w:abstractNumId w:val="89"/>
  </w:num>
  <w:num w:numId="76">
    <w:abstractNumId w:val="85"/>
  </w:num>
  <w:num w:numId="77">
    <w:abstractNumId w:val="19"/>
  </w:num>
  <w:num w:numId="78">
    <w:abstractNumId w:val="32"/>
  </w:num>
  <w:num w:numId="79">
    <w:abstractNumId w:val="31"/>
  </w:num>
  <w:num w:numId="80">
    <w:abstractNumId w:val="93"/>
  </w:num>
  <w:num w:numId="81">
    <w:abstractNumId w:val="40"/>
  </w:num>
  <w:num w:numId="82">
    <w:abstractNumId w:val="88"/>
  </w:num>
  <w:num w:numId="83">
    <w:abstractNumId w:val="9"/>
  </w:num>
  <w:num w:numId="84">
    <w:abstractNumId w:val="90"/>
  </w:num>
  <w:num w:numId="85">
    <w:abstractNumId w:val="22"/>
  </w:num>
  <w:num w:numId="86">
    <w:abstractNumId w:val="65"/>
  </w:num>
  <w:num w:numId="87">
    <w:abstractNumId w:val="71"/>
  </w:num>
  <w:num w:numId="8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4"/>
  </w:num>
  <w:num w:numId="90">
    <w:abstractNumId w:val="29"/>
  </w:num>
  <w:num w:numId="91">
    <w:abstractNumId w:val="50"/>
  </w:num>
  <w:num w:numId="92">
    <w:abstractNumId w:val="80"/>
  </w:num>
  <w:num w:numId="93">
    <w:abstractNumId w:val="63"/>
  </w:num>
  <w:num w:numId="94">
    <w:abstractNumId w:val="75"/>
  </w:num>
  <w:num w:numId="95">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hideSpellingErrors/>
  <w:documentProtection w:edit="readOnly"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jNDZlNjM1MWQ1OGUzOWI5YjU5YzM5YmQ3ZDJjZDIifQ=="/>
  </w:docVars>
  <w:rsids>
    <w:rsidRoot w:val="6B6246E3"/>
    <w:rsid w:val="000003FE"/>
    <w:rsid w:val="0000133B"/>
    <w:rsid w:val="000013B6"/>
    <w:rsid w:val="000013FF"/>
    <w:rsid w:val="00001667"/>
    <w:rsid w:val="00001A91"/>
    <w:rsid w:val="00001D76"/>
    <w:rsid w:val="00001EB0"/>
    <w:rsid w:val="0000242C"/>
    <w:rsid w:val="00002694"/>
    <w:rsid w:val="00002788"/>
    <w:rsid w:val="00002EAA"/>
    <w:rsid w:val="000039D9"/>
    <w:rsid w:val="00003E46"/>
    <w:rsid w:val="000068F6"/>
    <w:rsid w:val="00006CBE"/>
    <w:rsid w:val="00010027"/>
    <w:rsid w:val="00010166"/>
    <w:rsid w:val="0001155A"/>
    <w:rsid w:val="00011672"/>
    <w:rsid w:val="000119E7"/>
    <w:rsid w:val="00011BDB"/>
    <w:rsid w:val="00011BF7"/>
    <w:rsid w:val="000121A5"/>
    <w:rsid w:val="0001231D"/>
    <w:rsid w:val="000130E0"/>
    <w:rsid w:val="0001373A"/>
    <w:rsid w:val="000141DC"/>
    <w:rsid w:val="000142C8"/>
    <w:rsid w:val="00014BBA"/>
    <w:rsid w:val="000159B1"/>
    <w:rsid w:val="00016448"/>
    <w:rsid w:val="000170F0"/>
    <w:rsid w:val="0001729A"/>
    <w:rsid w:val="00017530"/>
    <w:rsid w:val="00017ADA"/>
    <w:rsid w:val="0002018D"/>
    <w:rsid w:val="00021030"/>
    <w:rsid w:val="00021541"/>
    <w:rsid w:val="00022A27"/>
    <w:rsid w:val="00022B65"/>
    <w:rsid w:val="00025C41"/>
    <w:rsid w:val="00025C52"/>
    <w:rsid w:val="00025F02"/>
    <w:rsid w:val="00025FA6"/>
    <w:rsid w:val="00027189"/>
    <w:rsid w:val="00027D0F"/>
    <w:rsid w:val="00027E26"/>
    <w:rsid w:val="00031580"/>
    <w:rsid w:val="0003170D"/>
    <w:rsid w:val="00032440"/>
    <w:rsid w:val="00032646"/>
    <w:rsid w:val="000327C6"/>
    <w:rsid w:val="00032864"/>
    <w:rsid w:val="00032AD5"/>
    <w:rsid w:val="00033395"/>
    <w:rsid w:val="00033FBB"/>
    <w:rsid w:val="000354C0"/>
    <w:rsid w:val="00036228"/>
    <w:rsid w:val="00036738"/>
    <w:rsid w:val="0003698D"/>
    <w:rsid w:val="00037B20"/>
    <w:rsid w:val="00040AAB"/>
    <w:rsid w:val="00040F74"/>
    <w:rsid w:val="00041077"/>
    <w:rsid w:val="0004143A"/>
    <w:rsid w:val="0004143C"/>
    <w:rsid w:val="00042861"/>
    <w:rsid w:val="000431FC"/>
    <w:rsid w:val="0004383B"/>
    <w:rsid w:val="00043911"/>
    <w:rsid w:val="00044A8C"/>
    <w:rsid w:val="00044CA3"/>
    <w:rsid w:val="00045983"/>
    <w:rsid w:val="00046362"/>
    <w:rsid w:val="00046994"/>
    <w:rsid w:val="00046DF4"/>
    <w:rsid w:val="0004743B"/>
    <w:rsid w:val="00047DFA"/>
    <w:rsid w:val="000506D6"/>
    <w:rsid w:val="00050FD1"/>
    <w:rsid w:val="000512F3"/>
    <w:rsid w:val="0005192E"/>
    <w:rsid w:val="00051985"/>
    <w:rsid w:val="000525F2"/>
    <w:rsid w:val="0005366B"/>
    <w:rsid w:val="00054913"/>
    <w:rsid w:val="00054C70"/>
    <w:rsid w:val="00054DBC"/>
    <w:rsid w:val="00054FED"/>
    <w:rsid w:val="00055058"/>
    <w:rsid w:val="00055CE7"/>
    <w:rsid w:val="0005623B"/>
    <w:rsid w:val="000576F2"/>
    <w:rsid w:val="000611F6"/>
    <w:rsid w:val="00061364"/>
    <w:rsid w:val="00061BD7"/>
    <w:rsid w:val="00062900"/>
    <w:rsid w:val="00062AD6"/>
    <w:rsid w:val="00062DF7"/>
    <w:rsid w:val="000637C6"/>
    <w:rsid w:val="00063DDD"/>
    <w:rsid w:val="000648B2"/>
    <w:rsid w:val="00064966"/>
    <w:rsid w:val="000649E3"/>
    <w:rsid w:val="0006572E"/>
    <w:rsid w:val="00066142"/>
    <w:rsid w:val="000669A1"/>
    <w:rsid w:val="00067EDF"/>
    <w:rsid w:val="00070203"/>
    <w:rsid w:val="0007125F"/>
    <w:rsid w:val="00071DAE"/>
    <w:rsid w:val="0007295F"/>
    <w:rsid w:val="00072B88"/>
    <w:rsid w:val="000732F2"/>
    <w:rsid w:val="00074594"/>
    <w:rsid w:val="00075138"/>
    <w:rsid w:val="00076977"/>
    <w:rsid w:val="0007718B"/>
    <w:rsid w:val="00077704"/>
    <w:rsid w:val="00077CB3"/>
    <w:rsid w:val="00077E71"/>
    <w:rsid w:val="0008000B"/>
    <w:rsid w:val="000800F5"/>
    <w:rsid w:val="00080111"/>
    <w:rsid w:val="00080DF8"/>
    <w:rsid w:val="00081920"/>
    <w:rsid w:val="00081968"/>
    <w:rsid w:val="00081AB4"/>
    <w:rsid w:val="00081B59"/>
    <w:rsid w:val="00082CA8"/>
    <w:rsid w:val="00082CC3"/>
    <w:rsid w:val="000838FC"/>
    <w:rsid w:val="00084795"/>
    <w:rsid w:val="00084C50"/>
    <w:rsid w:val="00086819"/>
    <w:rsid w:val="00086853"/>
    <w:rsid w:val="00087804"/>
    <w:rsid w:val="00087B67"/>
    <w:rsid w:val="00087B91"/>
    <w:rsid w:val="00090E2F"/>
    <w:rsid w:val="000914F0"/>
    <w:rsid w:val="00091E32"/>
    <w:rsid w:val="000922A9"/>
    <w:rsid w:val="00092509"/>
    <w:rsid w:val="00092BCA"/>
    <w:rsid w:val="00092C6E"/>
    <w:rsid w:val="000938F0"/>
    <w:rsid w:val="00094904"/>
    <w:rsid w:val="000952C9"/>
    <w:rsid w:val="000960CF"/>
    <w:rsid w:val="00096E9D"/>
    <w:rsid w:val="00097351"/>
    <w:rsid w:val="000A126C"/>
    <w:rsid w:val="000A1CA5"/>
    <w:rsid w:val="000A2E00"/>
    <w:rsid w:val="000A5B9E"/>
    <w:rsid w:val="000A5BED"/>
    <w:rsid w:val="000A6370"/>
    <w:rsid w:val="000A7199"/>
    <w:rsid w:val="000A76DD"/>
    <w:rsid w:val="000A7FFC"/>
    <w:rsid w:val="000B05B5"/>
    <w:rsid w:val="000B11C2"/>
    <w:rsid w:val="000B15C8"/>
    <w:rsid w:val="000B22C9"/>
    <w:rsid w:val="000B22E9"/>
    <w:rsid w:val="000B2406"/>
    <w:rsid w:val="000B2667"/>
    <w:rsid w:val="000B2844"/>
    <w:rsid w:val="000B3DB6"/>
    <w:rsid w:val="000B4B05"/>
    <w:rsid w:val="000B595B"/>
    <w:rsid w:val="000B5A4B"/>
    <w:rsid w:val="000B5FB0"/>
    <w:rsid w:val="000B69F3"/>
    <w:rsid w:val="000B6A61"/>
    <w:rsid w:val="000B6EE7"/>
    <w:rsid w:val="000B710F"/>
    <w:rsid w:val="000B7D20"/>
    <w:rsid w:val="000C07FF"/>
    <w:rsid w:val="000C1E08"/>
    <w:rsid w:val="000C3C7C"/>
    <w:rsid w:val="000C3C86"/>
    <w:rsid w:val="000C3F87"/>
    <w:rsid w:val="000C4EB3"/>
    <w:rsid w:val="000C56ED"/>
    <w:rsid w:val="000C5E01"/>
    <w:rsid w:val="000C5F9D"/>
    <w:rsid w:val="000C606D"/>
    <w:rsid w:val="000C6A8F"/>
    <w:rsid w:val="000C7968"/>
    <w:rsid w:val="000D1285"/>
    <w:rsid w:val="000D20A9"/>
    <w:rsid w:val="000D2107"/>
    <w:rsid w:val="000D2FFC"/>
    <w:rsid w:val="000D31B4"/>
    <w:rsid w:val="000D3644"/>
    <w:rsid w:val="000D3783"/>
    <w:rsid w:val="000D3D0A"/>
    <w:rsid w:val="000D3F2B"/>
    <w:rsid w:val="000D52E7"/>
    <w:rsid w:val="000D539A"/>
    <w:rsid w:val="000D558E"/>
    <w:rsid w:val="000D61D5"/>
    <w:rsid w:val="000D7C85"/>
    <w:rsid w:val="000D7DFB"/>
    <w:rsid w:val="000E0255"/>
    <w:rsid w:val="000E02EF"/>
    <w:rsid w:val="000E1E0D"/>
    <w:rsid w:val="000E20D4"/>
    <w:rsid w:val="000E3CC2"/>
    <w:rsid w:val="000E3D5D"/>
    <w:rsid w:val="000E3DE8"/>
    <w:rsid w:val="000E5304"/>
    <w:rsid w:val="000E548A"/>
    <w:rsid w:val="000E565D"/>
    <w:rsid w:val="000E6A96"/>
    <w:rsid w:val="000E764C"/>
    <w:rsid w:val="000F042F"/>
    <w:rsid w:val="000F30CD"/>
    <w:rsid w:val="000F3709"/>
    <w:rsid w:val="000F4328"/>
    <w:rsid w:val="000F5094"/>
    <w:rsid w:val="000F62A0"/>
    <w:rsid w:val="000F6336"/>
    <w:rsid w:val="0010040B"/>
    <w:rsid w:val="00100FCD"/>
    <w:rsid w:val="001014BD"/>
    <w:rsid w:val="00101765"/>
    <w:rsid w:val="00101FC2"/>
    <w:rsid w:val="00103252"/>
    <w:rsid w:val="00103436"/>
    <w:rsid w:val="001049FB"/>
    <w:rsid w:val="00105316"/>
    <w:rsid w:val="001058AB"/>
    <w:rsid w:val="00105C91"/>
    <w:rsid w:val="00105DC5"/>
    <w:rsid w:val="00106258"/>
    <w:rsid w:val="0010764F"/>
    <w:rsid w:val="0010776F"/>
    <w:rsid w:val="001102D3"/>
    <w:rsid w:val="00110892"/>
    <w:rsid w:val="00115059"/>
    <w:rsid w:val="001150CF"/>
    <w:rsid w:val="001160B4"/>
    <w:rsid w:val="00116C89"/>
    <w:rsid w:val="00117051"/>
    <w:rsid w:val="00117387"/>
    <w:rsid w:val="00117636"/>
    <w:rsid w:val="001177C0"/>
    <w:rsid w:val="001179A5"/>
    <w:rsid w:val="001179B5"/>
    <w:rsid w:val="0012015A"/>
    <w:rsid w:val="0012087C"/>
    <w:rsid w:val="001208B0"/>
    <w:rsid w:val="001209AA"/>
    <w:rsid w:val="00120E2E"/>
    <w:rsid w:val="00120F0F"/>
    <w:rsid w:val="00121EA5"/>
    <w:rsid w:val="001220F1"/>
    <w:rsid w:val="00122A11"/>
    <w:rsid w:val="00123103"/>
    <w:rsid w:val="00123C21"/>
    <w:rsid w:val="00123D79"/>
    <w:rsid w:val="00123E11"/>
    <w:rsid w:val="00125273"/>
    <w:rsid w:val="0012592A"/>
    <w:rsid w:val="00125EAA"/>
    <w:rsid w:val="00126039"/>
    <w:rsid w:val="00126190"/>
    <w:rsid w:val="00126F24"/>
    <w:rsid w:val="001274CD"/>
    <w:rsid w:val="001279C8"/>
    <w:rsid w:val="001301DF"/>
    <w:rsid w:val="00131B37"/>
    <w:rsid w:val="001328A5"/>
    <w:rsid w:val="0013291B"/>
    <w:rsid w:val="00132929"/>
    <w:rsid w:val="00132C4F"/>
    <w:rsid w:val="00132E0C"/>
    <w:rsid w:val="00133AAE"/>
    <w:rsid w:val="00133EDF"/>
    <w:rsid w:val="00134751"/>
    <w:rsid w:val="00134F0D"/>
    <w:rsid w:val="001353EE"/>
    <w:rsid w:val="001359D0"/>
    <w:rsid w:val="00136A2E"/>
    <w:rsid w:val="00141180"/>
    <w:rsid w:val="00142AE5"/>
    <w:rsid w:val="00143F74"/>
    <w:rsid w:val="00143F8B"/>
    <w:rsid w:val="0014427B"/>
    <w:rsid w:val="001443C7"/>
    <w:rsid w:val="001448F5"/>
    <w:rsid w:val="00145BCD"/>
    <w:rsid w:val="001462E5"/>
    <w:rsid w:val="00146DE3"/>
    <w:rsid w:val="00146EE6"/>
    <w:rsid w:val="00150992"/>
    <w:rsid w:val="00150D6F"/>
    <w:rsid w:val="00151931"/>
    <w:rsid w:val="00151EA1"/>
    <w:rsid w:val="00152954"/>
    <w:rsid w:val="00152F13"/>
    <w:rsid w:val="00152F1F"/>
    <w:rsid w:val="00153FB3"/>
    <w:rsid w:val="00154BAE"/>
    <w:rsid w:val="001562C8"/>
    <w:rsid w:val="00156BBD"/>
    <w:rsid w:val="00156DCD"/>
    <w:rsid w:val="00156E8F"/>
    <w:rsid w:val="00157EE1"/>
    <w:rsid w:val="00160CE1"/>
    <w:rsid w:val="001616B2"/>
    <w:rsid w:val="00162038"/>
    <w:rsid w:val="001623CE"/>
    <w:rsid w:val="001624D7"/>
    <w:rsid w:val="00162DCD"/>
    <w:rsid w:val="001632D3"/>
    <w:rsid w:val="0016348D"/>
    <w:rsid w:val="00163900"/>
    <w:rsid w:val="0016471C"/>
    <w:rsid w:val="00164A52"/>
    <w:rsid w:val="001650FA"/>
    <w:rsid w:val="001651E9"/>
    <w:rsid w:val="00165490"/>
    <w:rsid w:val="001657EA"/>
    <w:rsid w:val="00165885"/>
    <w:rsid w:val="001658BD"/>
    <w:rsid w:val="00166367"/>
    <w:rsid w:val="001674CD"/>
    <w:rsid w:val="00167914"/>
    <w:rsid w:val="00167C77"/>
    <w:rsid w:val="00170692"/>
    <w:rsid w:val="0017077F"/>
    <w:rsid w:val="00170CFB"/>
    <w:rsid w:val="00171D5C"/>
    <w:rsid w:val="00172D6E"/>
    <w:rsid w:val="001736AB"/>
    <w:rsid w:val="0017385D"/>
    <w:rsid w:val="00173AD3"/>
    <w:rsid w:val="00174E13"/>
    <w:rsid w:val="001754A9"/>
    <w:rsid w:val="001754FA"/>
    <w:rsid w:val="0017647E"/>
    <w:rsid w:val="001766DD"/>
    <w:rsid w:val="00176917"/>
    <w:rsid w:val="00176F92"/>
    <w:rsid w:val="0017745B"/>
    <w:rsid w:val="00177FA4"/>
    <w:rsid w:val="0018156F"/>
    <w:rsid w:val="001834DD"/>
    <w:rsid w:val="00183A53"/>
    <w:rsid w:val="001841BE"/>
    <w:rsid w:val="001852A0"/>
    <w:rsid w:val="001853EA"/>
    <w:rsid w:val="0018794F"/>
    <w:rsid w:val="00187C66"/>
    <w:rsid w:val="00187D4E"/>
    <w:rsid w:val="0019078B"/>
    <w:rsid w:val="00192400"/>
    <w:rsid w:val="00192945"/>
    <w:rsid w:val="0019381B"/>
    <w:rsid w:val="00193B9B"/>
    <w:rsid w:val="001947A7"/>
    <w:rsid w:val="00194938"/>
    <w:rsid w:val="001952DD"/>
    <w:rsid w:val="001954C4"/>
    <w:rsid w:val="00195EE3"/>
    <w:rsid w:val="0019606A"/>
    <w:rsid w:val="00197E83"/>
    <w:rsid w:val="001A07E2"/>
    <w:rsid w:val="001A0AB9"/>
    <w:rsid w:val="001A18C5"/>
    <w:rsid w:val="001A1F6D"/>
    <w:rsid w:val="001A20E6"/>
    <w:rsid w:val="001A28D2"/>
    <w:rsid w:val="001A2C71"/>
    <w:rsid w:val="001A2D92"/>
    <w:rsid w:val="001A3083"/>
    <w:rsid w:val="001A3464"/>
    <w:rsid w:val="001A3918"/>
    <w:rsid w:val="001A3E93"/>
    <w:rsid w:val="001A47F9"/>
    <w:rsid w:val="001A497C"/>
    <w:rsid w:val="001A5B66"/>
    <w:rsid w:val="001A6432"/>
    <w:rsid w:val="001A712F"/>
    <w:rsid w:val="001A71B7"/>
    <w:rsid w:val="001A7CED"/>
    <w:rsid w:val="001B0046"/>
    <w:rsid w:val="001B05EE"/>
    <w:rsid w:val="001B1825"/>
    <w:rsid w:val="001B1D1E"/>
    <w:rsid w:val="001B2CDC"/>
    <w:rsid w:val="001B42A5"/>
    <w:rsid w:val="001B45FA"/>
    <w:rsid w:val="001B483F"/>
    <w:rsid w:val="001B521C"/>
    <w:rsid w:val="001B6BFC"/>
    <w:rsid w:val="001B6D6C"/>
    <w:rsid w:val="001B6F0B"/>
    <w:rsid w:val="001B6F43"/>
    <w:rsid w:val="001B78C7"/>
    <w:rsid w:val="001B7A2F"/>
    <w:rsid w:val="001B7CB1"/>
    <w:rsid w:val="001C03BD"/>
    <w:rsid w:val="001C0E40"/>
    <w:rsid w:val="001C17E3"/>
    <w:rsid w:val="001C283C"/>
    <w:rsid w:val="001C48F9"/>
    <w:rsid w:val="001C570A"/>
    <w:rsid w:val="001C7106"/>
    <w:rsid w:val="001C7A5E"/>
    <w:rsid w:val="001C7B80"/>
    <w:rsid w:val="001D0658"/>
    <w:rsid w:val="001D1107"/>
    <w:rsid w:val="001D1E38"/>
    <w:rsid w:val="001D22AD"/>
    <w:rsid w:val="001D2F05"/>
    <w:rsid w:val="001D2F0D"/>
    <w:rsid w:val="001D343A"/>
    <w:rsid w:val="001D35DE"/>
    <w:rsid w:val="001D3E20"/>
    <w:rsid w:val="001D4897"/>
    <w:rsid w:val="001D5291"/>
    <w:rsid w:val="001D5E65"/>
    <w:rsid w:val="001D5EA7"/>
    <w:rsid w:val="001D60D0"/>
    <w:rsid w:val="001D62B8"/>
    <w:rsid w:val="001E06AA"/>
    <w:rsid w:val="001E1523"/>
    <w:rsid w:val="001E3281"/>
    <w:rsid w:val="001E348E"/>
    <w:rsid w:val="001E3CF2"/>
    <w:rsid w:val="001E42F8"/>
    <w:rsid w:val="001E47AB"/>
    <w:rsid w:val="001E5C04"/>
    <w:rsid w:val="001E5FD9"/>
    <w:rsid w:val="001E6BBB"/>
    <w:rsid w:val="001E6C25"/>
    <w:rsid w:val="001E6F66"/>
    <w:rsid w:val="001E6F97"/>
    <w:rsid w:val="001E7862"/>
    <w:rsid w:val="001E7FEB"/>
    <w:rsid w:val="001F040C"/>
    <w:rsid w:val="001F1CC5"/>
    <w:rsid w:val="001F1F0E"/>
    <w:rsid w:val="001F29B3"/>
    <w:rsid w:val="001F2D4A"/>
    <w:rsid w:val="001F2DD2"/>
    <w:rsid w:val="001F34FF"/>
    <w:rsid w:val="001F3553"/>
    <w:rsid w:val="001F3B6D"/>
    <w:rsid w:val="001F42C4"/>
    <w:rsid w:val="001F4550"/>
    <w:rsid w:val="001F4AF1"/>
    <w:rsid w:val="001F4FCA"/>
    <w:rsid w:val="001F5278"/>
    <w:rsid w:val="001F7CC3"/>
    <w:rsid w:val="00200213"/>
    <w:rsid w:val="0020069B"/>
    <w:rsid w:val="002006B1"/>
    <w:rsid w:val="00201971"/>
    <w:rsid w:val="00201AE8"/>
    <w:rsid w:val="00201BF6"/>
    <w:rsid w:val="00202397"/>
    <w:rsid w:val="00203A6D"/>
    <w:rsid w:val="00204137"/>
    <w:rsid w:val="00204BC8"/>
    <w:rsid w:val="002051A8"/>
    <w:rsid w:val="00205D27"/>
    <w:rsid w:val="00205D2A"/>
    <w:rsid w:val="0020661E"/>
    <w:rsid w:val="00206A78"/>
    <w:rsid w:val="002077C5"/>
    <w:rsid w:val="002102D0"/>
    <w:rsid w:val="00210D22"/>
    <w:rsid w:val="00210E08"/>
    <w:rsid w:val="002117AC"/>
    <w:rsid w:val="00211FD8"/>
    <w:rsid w:val="002135F0"/>
    <w:rsid w:val="00213B85"/>
    <w:rsid w:val="002147C2"/>
    <w:rsid w:val="00214AF3"/>
    <w:rsid w:val="002150B1"/>
    <w:rsid w:val="0021633C"/>
    <w:rsid w:val="002168DE"/>
    <w:rsid w:val="00216DB0"/>
    <w:rsid w:val="002212C1"/>
    <w:rsid w:val="00221C2D"/>
    <w:rsid w:val="00221C7B"/>
    <w:rsid w:val="00221DD8"/>
    <w:rsid w:val="00222112"/>
    <w:rsid w:val="002224F0"/>
    <w:rsid w:val="00223182"/>
    <w:rsid w:val="00224321"/>
    <w:rsid w:val="002248C0"/>
    <w:rsid w:val="002253ED"/>
    <w:rsid w:val="002259E5"/>
    <w:rsid w:val="002269EB"/>
    <w:rsid w:val="002273F8"/>
    <w:rsid w:val="00227BE5"/>
    <w:rsid w:val="002306C0"/>
    <w:rsid w:val="0023098D"/>
    <w:rsid w:val="00231491"/>
    <w:rsid w:val="00231738"/>
    <w:rsid w:val="002318F2"/>
    <w:rsid w:val="002324B3"/>
    <w:rsid w:val="002332BC"/>
    <w:rsid w:val="00233507"/>
    <w:rsid w:val="00233A24"/>
    <w:rsid w:val="0023466A"/>
    <w:rsid w:val="00234BFE"/>
    <w:rsid w:val="00234C0B"/>
    <w:rsid w:val="00234E96"/>
    <w:rsid w:val="0023575D"/>
    <w:rsid w:val="00235B1D"/>
    <w:rsid w:val="002364DE"/>
    <w:rsid w:val="0023665E"/>
    <w:rsid w:val="00240828"/>
    <w:rsid w:val="00240B48"/>
    <w:rsid w:val="00240E62"/>
    <w:rsid w:val="002432C1"/>
    <w:rsid w:val="0024465D"/>
    <w:rsid w:val="00245593"/>
    <w:rsid w:val="00245CF8"/>
    <w:rsid w:val="0024629D"/>
    <w:rsid w:val="00247D3F"/>
    <w:rsid w:val="00250953"/>
    <w:rsid w:val="002513FE"/>
    <w:rsid w:val="0025190E"/>
    <w:rsid w:val="0025228B"/>
    <w:rsid w:val="00252AB0"/>
    <w:rsid w:val="00252B45"/>
    <w:rsid w:val="00252DF4"/>
    <w:rsid w:val="00252E06"/>
    <w:rsid w:val="00253A71"/>
    <w:rsid w:val="00254D66"/>
    <w:rsid w:val="00255BFC"/>
    <w:rsid w:val="00255F40"/>
    <w:rsid w:val="0025690A"/>
    <w:rsid w:val="00256B03"/>
    <w:rsid w:val="0025753A"/>
    <w:rsid w:val="00260C2C"/>
    <w:rsid w:val="00260FE8"/>
    <w:rsid w:val="002613BE"/>
    <w:rsid w:val="0026187F"/>
    <w:rsid w:val="00261B00"/>
    <w:rsid w:val="00261FAC"/>
    <w:rsid w:val="00262357"/>
    <w:rsid w:val="002625C0"/>
    <w:rsid w:val="00262A17"/>
    <w:rsid w:val="00262FB5"/>
    <w:rsid w:val="00263D44"/>
    <w:rsid w:val="002642D7"/>
    <w:rsid w:val="00264743"/>
    <w:rsid w:val="00265C51"/>
    <w:rsid w:val="00265E90"/>
    <w:rsid w:val="00266438"/>
    <w:rsid w:val="0026656A"/>
    <w:rsid w:val="002672A4"/>
    <w:rsid w:val="002678AF"/>
    <w:rsid w:val="0027108B"/>
    <w:rsid w:val="0027141A"/>
    <w:rsid w:val="00271454"/>
    <w:rsid w:val="00271CB4"/>
    <w:rsid w:val="00272000"/>
    <w:rsid w:val="00272A63"/>
    <w:rsid w:val="0027573B"/>
    <w:rsid w:val="00276907"/>
    <w:rsid w:val="00276F46"/>
    <w:rsid w:val="00277268"/>
    <w:rsid w:val="002778DB"/>
    <w:rsid w:val="0028024A"/>
    <w:rsid w:val="00281127"/>
    <w:rsid w:val="00281A7F"/>
    <w:rsid w:val="0028274C"/>
    <w:rsid w:val="00282DD2"/>
    <w:rsid w:val="00282EF5"/>
    <w:rsid w:val="00283978"/>
    <w:rsid w:val="0028420D"/>
    <w:rsid w:val="00285B9E"/>
    <w:rsid w:val="00287914"/>
    <w:rsid w:val="0029079F"/>
    <w:rsid w:val="00291912"/>
    <w:rsid w:val="00291966"/>
    <w:rsid w:val="00291A92"/>
    <w:rsid w:val="0029306D"/>
    <w:rsid w:val="0029337C"/>
    <w:rsid w:val="00293BE0"/>
    <w:rsid w:val="00294664"/>
    <w:rsid w:val="002948CC"/>
    <w:rsid w:val="00295027"/>
    <w:rsid w:val="00295A5C"/>
    <w:rsid w:val="00296E3F"/>
    <w:rsid w:val="0029710E"/>
    <w:rsid w:val="00297CA4"/>
    <w:rsid w:val="002A06F1"/>
    <w:rsid w:val="002A14E0"/>
    <w:rsid w:val="002A1F7A"/>
    <w:rsid w:val="002A22BF"/>
    <w:rsid w:val="002A2D74"/>
    <w:rsid w:val="002A3C21"/>
    <w:rsid w:val="002A3E8D"/>
    <w:rsid w:val="002A4FF1"/>
    <w:rsid w:val="002A59D9"/>
    <w:rsid w:val="002A6CD4"/>
    <w:rsid w:val="002A70F6"/>
    <w:rsid w:val="002A7768"/>
    <w:rsid w:val="002A7DA5"/>
    <w:rsid w:val="002B01EC"/>
    <w:rsid w:val="002B0DEE"/>
    <w:rsid w:val="002B1285"/>
    <w:rsid w:val="002B1AA7"/>
    <w:rsid w:val="002B266E"/>
    <w:rsid w:val="002B30A1"/>
    <w:rsid w:val="002B321B"/>
    <w:rsid w:val="002B347F"/>
    <w:rsid w:val="002B549D"/>
    <w:rsid w:val="002B5736"/>
    <w:rsid w:val="002B5F63"/>
    <w:rsid w:val="002B69DF"/>
    <w:rsid w:val="002C0061"/>
    <w:rsid w:val="002C05C9"/>
    <w:rsid w:val="002C05F3"/>
    <w:rsid w:val="002C0662"/>
    <w:rsid w:val="002C09EC"/>
    <w:rsid w:val="002C0D10"/>
    <w:rsid w:val="002C139D"/>
    <w:rsid w:val="002C15EE"/>
    <w:rsid w:val="002C1862"/>
    <w:rsid w:val="002C22E1"/>
    <w:rsid w:val="002C2DDA"/>
    <w:rsid w:val="002C308C"/>
    <w:rsid w:val="002C4785"/>
    <w:rsid w:val="002C4960"/>
    <w:rsid w:val="002C67A3"/>
    <w:rsid w:val="002C69BF"/>
    <w:rsid w:val="002C7896"/>
    <w:rsid w:val="002D0FCE"/>
    <w:rsid w:val="002D12E7"/>
    <w:rsid w:val="002D1444"/>
    <w:rsid w:val="002D21E2"/>
    <w:rsid w:val="002D2D7A"/>
    <w:rsid w:val="002D35B1"/>
    <w:rsid w:val="002D3688"/>
    <w:rsid w:val="002D40B6"/>
    <w:rsid w:val="002D4260"/>
    <w:rsid w:val="002D42FE"/>
    <w:rsid w:val="002D4388"/>
    <w:rsid w:val="002D568E"/>
    <w:rsid w:val="002E068A"/>
    <w:rsid w:val="002E0949"/>
    <w:rsid w:val="002E10B1"/>
    <w:rsid w:val="002E13E6"/>
    <w:rsid w:val="002E16FA"/>
    <w:rsid w:val="002E1CD6"/>
    <w:rsid w:val="002E2C97"/>
    <w:rsid w:val="002E3EA0"/>
    <w:rsid w:val="002E735D"/>
    <w:rsid w:val="002E75E0"/>
    <w:rsid w:val="002E7D25"/>
    <w:rsid w:val="002E7F32"/>
    <w:rsid w:val="002F0091"/>
    <w:rsid w:val="002F04FB"/>
    <w:rsid w:val="002F17AD"/>
    <w:rsid w:val="002F33B5"/>
    <w:rsid w:val="002F51E6"/>
    <w:rsid w:val="002F65F2"/>
    <w:rsid w:val="002F6E35"/>
    <w:rsid w:val="002F71A4"/>
    <w:rsid w:val="00301A05"/>
    <w:rsid w:val="00301EB9"/>
    <w:rsid w:val="003021F5"/>
    <w:rsid w:val="00303AE1"/>
    <w:rsid w:val="003052E2"/>
    <w:rsid w:val="00305E3A"/>
    <w:rsid w:val="003060D2"/>
    <w:rsid w:val="003062CB"/>
    <w:rsid w:val="00307581"/>
    <w:rsid w:val="00307959"/>
    <w:rsid w:val="00307BE6"/>
    <w:rsid w:val="00307D4E"/>
    <w:rsid w:val="003111F4"/>
    <w:rsid w:val="0031216C"/>
    <w:rsid w:val="0031244F"/>
    <w:rsid w:val="00313BE9"/>
    <w:rsid w:val="0031422F"/>
    <w:rsid w:val="00314A8A"/>
    <w:rsid w:val="00314ED8"/>
    <w:rsid w:val="003157E4"/>
    <w:rsid w:val="003163EA"/>
    <w:rsid w:val="00316FD0"/>
    <w:rsid w:val="003170F5"/>
    <w:rsid w:val="00317642"/>
    <w:rsid w:val="00317BBA"/>
    <w:rsid w:val="00320500"/>
    <w:rsid w:val="00320C7F"/>
    <w:rsid w:val="003246A6"/>
    <w:rsid w:val="003247D0"/>
    <w:rsid w:val="003256E3"/>
    <w:rsid w:val="0032572B"/>
    <w:rsid w:val="00325BA8"/>
    <w:rsid w:val="003261CD"/>
    <w:rsid w:val="0032663E"/>
    <w:rsid w:val="00327BC1"/>
    <w:rsid w:val="00327C5B"/>
    <w:rsid w:val="00330932"/>
    <w:rsid w:val="0033095B"/>
    <w:rsid w:val="00331123"/>
    <w:rsid w:val="00331489"/>
    <w:rsid w:val="0033291A"/>
    <w:rsid w:val="00333024"/>
    <w:rsid w:val="00333C3A"/>
    <w:rsid w:val="0033427B"/>
    <w:rsid w:val="003349B3"/>
    <w:rsid w:val="0033507A"/>
    <w:rsid w:val="0033521F"/>
    <w:rsid w:val="00336075"/>
    <w:rsid w:val="003360AB"/>
    <w:rsid w:val="00337B54"/>
    <w:rsid w:val="00337B7E"/>
    <w:rsid w:val="003406A6"/>
    <w:rsid w:val="00341079"/>
    <w:rsid w:val="00341218"/>
    <w:rsid w:val="00341875"/>
    <w:rsid w:val="003418AE"/>
    <w:rsid w:val="003421C2"/>
    <w:rsid w:val="00342786"/>
    <w:rsid w:val="00342AB0"/>
    <w:rsid w:val="003436B5"/>
    <w:rsid w:val="00343C85"/>
    <w:rsid w:val="0034450C"/>
    <w:rsid w:val="00344A90"/>
    <w:rsid w:val="00346A12"/>
    <w:rsid w:val="00350094"/>
    <w:rsid w:val="003500B5"/>
    <w:rsid w:val="00351073"/>
    <w:rsid w:val="00353C03"/>
    <w:rsid w:val="0035441F"/>
    <w:rsid w:val="0035444C"/>
    <w:rsid w:val="0035448C"/>
    <w:rsid w:val="003548AC"/>
    <w:rsid w:val="00354BB9"/>
    <w:rsid w:val="003550FF"/>
    <w:rsid w:val="00355631"/>
    <w:rsid w:val="003557DA"/>
    <w:rsid w:val="00355C32"/>
    <w:rsid w:val="00356963"/>
    <w:rsid w:val="00357256"/>
    <w:rsid w:val="003573BF"/>
    <w:rsid w:val="003600EA"/>
    <w:rsid w:val="00360466"/>
    <w:rsid w:val="00360568"/>
    <w:rsid w:val="00360DE9"/>
    <w:rsid w:val="00360E84"/>
    <w:rsid w:val="003612AF"/>
    <w:rsid w:val="00361739"/>
    <w:rsid w:val="00362CA2"/>
    <w:rsid w:val="003642BE"/>
    <w:rsid w:val="00364658"/>
    <w:rsid w:val="003655F7"/>
    <w:rsid w:val="003657B1"/>
    <w:rsid w:val="00365D4F"/>
    <w:rsid w:val="003679BB"/>
    <w:rsid w:val="003701EB"/>
    <w:rsid w:val="00370ABB"/>
    <w:rsid w:val="0037122C"/>
    <w:rsid w:val="00372B2E"/>
    <w:rsid w:val="00374F27"/>
    <w:rsid w:val="003808AC"/>
    <w:rsid w:val="00380F42"/>
    <w:rsid w:val="00381152"/>
    <w:rsid w:val="003814D0"/>
    <w:rsid w:val="003815D9"/>
    <w:rsid w:val="00381E13"/>
    <w:rsid w:val="0038217F"/>
    <w:rsid w:val="00384695"/>
    <w:rsid w:val="00384751"/>
    <w:rsid w:val="00384A90"/>
    <w:rsid w:val="00384FB9"/>
    <w:rsid w:val="0038512B"/>
    <w:rsid w:val="0038542B"/>
    <w:rsid w:val="00385844"/>
    <w:rsid w:val="003865F1"/>
    <w:rsid w:val="0038755A"/>
    <w:rsid w:val="003875FE"/>
    <w:rsid w:val="00387DDB"/>
    <w:rsid w:val="00387F76"/>
    <w:rsid w:val="00387FC0"/>
    <w:rsid w:val="00390249"/>
    <w:rsid w:val="0039041E"/>
    <w:rsid w:val="00391370"/>
    <w:rsid w:val="003915E7"/>
    <w:rsid w:val="00392A33"/>
    <w:rsid w:val="0039376E"/>
    <w:rsid w:val="00393A57"/>
    <w:rsid w:val="003949B0"/>
    <w:rsid w:val="00394A87"/>
    <w:rsid w:val="00394BC6"/>
    <w:rsid w:val="00394E16"/>
    <w:rsid w:val="003952A4"/>
    <w:rsid w:val="003954D5"/>
    <w:rsid w:val="00395C5E"/>
    <w:rsid w:val="003964A1"/>
    <w:rsid w:val="00397424"/>
    <w:rsid w:val="00397B48"/>
    <w:rsid w:val="00397BF1"/>
    <w:rsid w:val="003A0060"/>
    <w:rsid w:val="003A0155"/>
    <w:rsid w:val="003A049F"/>
    <w:rsid w:val="003A04C7"/>
    <w:rsid w:val="003A10B4"/>
    <w:rsid w:val="003A1675"/>
    <w:rsid w:val="003A264F"/>
    <w:rsid w:val="003A2D69"/>
    <w:rsid w:val="003A52EA"/>
    <w:rsid w:val="003A5688"/>
    <w:rsid w:val="003A5FD1"/>
    <w:rsid w:val="003A64AC"/>
    <w:rsid w:val="003A6ECB"/>
    <w:rsid w:val="003A7142"/>
    <w:rsid w:val="003B1027"/>
    <w:rsid w:val="003B21B2"/>
    <w:rsid w:val="003B21E4"/>
    <w:rsid w:val="003B26E1"/>
    <w:rsid w:val="003B4678"/>
    <w:rsid w:val="003B4862"/>
    <w:rsid w:val="003B4E77"/>
    <w:rsid w:val="003B6418"/>
    <w:rsid w:val="003B660E"/>
    <w:rsid w:val="003B7DA2"/>
    <w:rsid w:val="003C0E9A"/>
    <w:rsid w:val="003C217C"/>
    <w:rsid w:val="003C26EC"/>
    <w:rsid w:val="003C3084"/>
    <w:rsid w:val="003C4363"/>
    <w:rsid w:val="003C456D"/>
    <w:rsid w:val="003C4DEE"/>
    <w:rsid w:val="003C567B"/>
    <w:rsid w:val="003C69D1"/>
    <w:rsid w:val="003C7ACD"/>
    <w:rsid w:val="003D17C7"/>
    <w:rsid w:val="003D1C1C"/>
    <w:rsid w:val="003D2371"/>
    <w:rsid w:val="003D319A"/>
    <w:rsid w:val="003D349A"/>
    <w:rsid w:val="003D3A25"/>
    <w:rsid w:val="003D4FD8"/>
    <w:rsid w:val="003D54B6"/>
    <w:rsid w:val="003D70D6"/>
    <w:rsid w:val="003D777A"/>
    <w:rsid w:val="003E0407"/>
    <w:rsid w:val="003E092F"/>
    <w:rsid w:val="003E1A44"/>
    <w:rsid w:val="003E2434"/>
    <w:rsid w:val="003E43D8"/>
    <w:rsid w:val="003E4CF5"/>
    <w:rsid w:val="003E5113"/>
    <w:rsid w:val="003E5BE0"/>
    <w:rsid w:val="003E5F1E"/>
    <w:rsid w:val="003E7327"/>
    <w:rsid w:val="003E79DE"/>
    <w:rsid w:val="003E7F18"/>
    <w:rsid w:val="003F1249"/>
    <w:rsid w:val="003F2524"/>
    <w:rsid w:val="003F28D5"/>
    <w:rsid w:val="003F30DF"/>
    <w:rsid w:val="003F3921"/>
    <w:rsid w:val="003F428A"/>
    <w:rsid w:val="003F49BA"/>
    <w:rsid w:val="003F5586"/>
    <w:rsid w:val="003F591B"/>
    <w:rsid w:val="003F5E3F"/>
    <w:rsid w:val="003F5E9F"/>
    <w:rsid w:val="003F6498"/>
    <w:rsid w:val="003F6997"/>
    <w:rsid w:val="004002E4"/>
    <w:rsid w:val="00400872"/>
    <w:rsid w:val="0040126A"/>
    <w:rsid w:val="00401EB0"/>
    <w:rsid w:val="00402531"/>
    <w:rsid w:val="00403553"/>
    <w:rsid w:val="004036DB"/>
    <w:rsid w:val="00403749"/>
    <w:rsid w:val="0040472A"/>
    <w:rsid w:val="004047C9"/>
    <w:rsid w:val="00404DE8"/>
    <w:rsid w:val="004052A6"/>
    <w:rsid w:val="00405465"/>
    <w:rsid w:val="00405468"/>
    <w:rsid w:val="00406503"/>
    <w:rsid w:val="00406684"/>
    <w:rsid w:val="00407824"/>
    <w:rsid w:val="00407C22"/>
    <w:rsid w:val="00407D79"/>
    <w:rsid w:val="00407EE5"/>
    <w:rsid w:val="004100A8"/>
    <w:rsid w:val="00410219"/>
    <w:rsid w:val="00410F0B"/>
    <w:rsid w:val="00411ADC"/>
    <w:rsid w:val="0041221A"/>
    <w:rsid w:val="00412D8E"/>
    <w:rsid w:val="004133A1"/>
    <w:rsid w:val="004147EA"/>
    <w:rsid w:val="00415857"/>
    <w:rsid w:val="00416146"/>
    <w:rsid w:val="0041624E"/>
    <w:rsid w:val="004167CE"/>
    <w:rsid w:val="004179D5"/>
    <w:rsid w:val="00420BEF"/>
    <w:rsid w:val="00421F31"/>
    <w:rsid w:val="0042272A"/>
    <w:rsid w:val="00422A6F"/>
    <w:rsid w:val="00422AC6"/>
    <w:rsid w:val="0042374D"/>
    <w:rsid w:val="00423F0F"/>
    <w:rsid w:val="00424249"/>
    <w:rsid w:val="00424481"/>
    <w:rsid w:val="00426383"/>
    <w:rsid w:val="00426914"/>
    <w:rsid w:val="00427B22"/>
    <w:rsid w:val="00430CAC"/>
    <w:rsid w:val="00430FEA"/>
    <w:rsid w:val="00431310"/>
    <w:rsid w:val="0043132B"/>
    <w:rsid w:val="004315F9"/>
    <w:rsid w:val="00432C23"/>
    <w:rsid w:val="0043328D"/>
    <w:rsid w:val="00433343"/>
    <w:rsid w:val="004334DD"/>
    <w:rsid w:val="00433C46"/>
    <w:rsid w:val="004362B6"/>
    <w:rsid w:val="0043707C"/>
    <w:rsid w:val="004376B7"/>
    <w:rsid w:val="004401A8"/>
    <w:rsid w:val="00440CCE"/>
    <w:rsid w:val="00440FD7"/>
    <w:rsid w:val="0044120F"/>
    <w:rsid w:val="0044224B"/>
    <w:rsid w:val="0044299A"/>
    <w:rsid w:val="00442B95"/>
    <w:rsid w:val="00443E8C"/>
    <w:rsid w:val="0044439B"/>
    <w:rsid w:val="004443D3"/>
    <w:rsid w:val="00444C9D"/>
    <w:rsid w:val="00444D30"/>
    <w:rsid w:val="00445386"/>
    <w:rsid w:val="00445979"/>
    <w:rsid w:val="0044693E"/>
    <w:rsid w:val="004528FB"/>
    <w:rsid w:val="004530D0"/>
    <w:rsid w:val="00453D12"/>
    <w:rsid w:val="00454210"/>
    <w:rsid w:val="004545A3"/>
    <w:rsid w:val="004545C3"/>
    <w:rsid w:val="00455548"/>
    <w:rsid w:val="0045579E"/>
    <w:rsid w:val="00457199"/>
    <w:rsid w:val="004573D8"/>
    <w:rsid w:val="00457B06"/>
    <w:rsid w:val="0046051E"/>
    <w:rsid w:val="004606CB"/>
    <w:rsid w:val="0046081B"/>
    <w:rsid w:val="00460914"/>
    <w:rsid w:val="00460D47"/>
    <w:rsid w:val="0046100B"/>
    <w:rsid w:val="00461911"/>
    <w:rsid w:val="00461B73"/>
    <w:rsid w:val="00462A58"/>
    <w:rsid w:val="00462C23"/>
    <w:rsid w:val="004641B6"/>
    <w:rsid w:val="0046436A"/>
    <w:rsid w:val="004657A4"/>
    <w:rsid w:val="00465CC7"/>
    <w:rsid w:val="0046607D"/>
    <w:rsid w:val="0046628E"/>
    <w:rsid w:val="0046663C"/>
    <w:rsid w:val="00467F4E"/>
    <w:rsid w:val="00470013"/>
    <w:rsid w:val="0047017E"/>
    <w:rsid w:val="00470310"/>
    <w:rsid w:val="00470EE3"/>
    <w:rsid w:val="00471F43"/>
    <w:rsid w:val="004732C9"/>
    <w:rsid w:val="00473710"/>
    <w:rsid w:val="00473E2C"/>
    <w:rsid w:val="00474318"/>
    <w:rsid w:val="004748B4"/>
    <w:rsid w:val="004748F7"/>
    <w:rsid w:val="00474DD8"/>
    <w:rsid w:val="00475603"/>
    <w:rsid w:val="0047620D"/>
    <w:rsid w:val="00476F21"/>
    <w:rsid w:val="004778B6"/>
    <w:rsid w:val="00477987"/>
    <w:rsid w:val="00480441"/>
    <w:rsid w:val="00480961"/>
    <w:rsid w:val="00482040"/>
    <w:rsid w:val="0048206C"/>
    <w:rsid w:val="0048230B"/>
    <w:rsid w:val="004832B2"/>
    <w:rsid w:val="004838F5"/>
    <w:rsid w:val="00484ACB"/>
    <w:rsid w:val="00484E49"/>
    <w:rsid w:val="00485965"/>
    <w:rsid w:val="00485A60"/>
    <w:rsid w:val="00485C3D"/>
    <w:rsid w:val="0049072E"/>
    <w:rsid w:val="00490739"/>
    <w:rsid w:val="00490760"/>
    <w:rsid w:val="00490922"/>
    <w:rsid w:val="00490D39"/>
    <w:rsid w:val="00491419"/>
    <w:rsid w:val="0049162C"/>
    <w:rsid w:val="0049163A"/>
    <w:rsid w:val="00492877"/>
    <w:rsid w:val="00493751"/>
    <w:rsid w:val="00494500"/>
    <w:rsid w:val="00494DA8"/>
    <w:rsid w:val="0049510A"/>
    <w:rsid w:val="00495712"/>
    <w:rsid w:val="0049571E"/>
    <w:rsid w:val="00496774"/>
    <w:rsid w:val="00497305"/>
    <w:rsid w:val="004979C7"/>
    <w:rsid w:val="00497AB9"/>
    <w:rsid w:val="00497D82"/>
    <w:rsid w:val="004A0CDF"/>
    <w:rsid w:val="004A0D60"/>
    <w:rsid w:val="004A10D4"/>
    <w:rsid w:val="004A1697"/>
    <w:rsid w:val="004A1B88"/>
    <w:rsid w:val="004A1C8E"/>
    <w:rsid w:val="004A2CD4"/>
    <w:rsid w:val="004A31DF"/>
    <w:rsid w:val="004A37E3"/>
    <w:rsid w:val="004A3B56"/>
    <w:rsid w:val="004A5CC6"/>
    <w:rsid w:val="004A68D3"/>
    <w:rsid w:val="004A6997"/>
    <w:rsid w:val="004A6FBE"/>
    <w:rsid w:val="004B045C"/>
    <w:rsid w:val="004B0B7A"/>
    <w:rsid w:val="004B22F2"/>
    <w:rsid w:val="004B2364"/>
    <w:rsid w:val="004B2C40"/>
    <w:rsid w:val="004B3402"/>
    <w:rsid w:val="004B37F5"/>
    <w:rsid w:val="004B3D86"/>
    <w:rsid w:val="004B3F8D"/>
    <w:rsid w:val="004B41EC"/>
    <w:rsid w:val="004B4B19"/>
    <w:rsid w:val="004B4F09"/>
    <w:rsid w:val="004B500C"/>
    <w:rsid w:val="004B58DA"/>
    <w:rsid w:val="004B5A86"/>
    <w:rsid w:val="004B5EC4"/>
    <w:rsid w:val="004B64A6"/>
    <w:rsid w:val="004B67CB"/>
    <w:rsid w:val="004B700E"/>
    <w:rsid w:val="004C00D7"/>
    <w:rsid w:val="004C02C1"/>
    <w:rsid w:val="004C02F3"/>
    <w:rsid w:val="004C03DE"/>
    <w:rsid w:val="004C0483"/>
    <w:rsid w:val="004C0721"/>
    <w:rsid w:val="004C1457"/>
    <w:rsid w:val="004C1F10"/>
    <w:rsid w:val="004C254C"/>
    <w:rsid w:val="004C2BC5"/>
    <w:rsid w:val="004C340A"/>
    <w:rsid w:val="004C4E3F"/>
    <w:rsid w:val="004C672C"/>
    <w:rsid w:val="004C6A98"/>
    <w:rsid w:val="004C6B39"/>
    <w:rsid w:val="004C6F7C"/>
    <w:rsid w:val="004C7407"/>
    <w:rsid w:val="004C78D5"/>
    <w:rsid w:val="004D04B6"/>
    <w:rsid w:val="004D0D20"/>
    <w:rsid w:val="004D1CED"/>
    <w:rsid w:val="004D2159"/>
    <w:rsid w:val="004D227B"/>
    <w:rsid w:val="004D253F"/>
    <w:rsid w:val="004D2AE7"/>
    <w:rsid w:val="004D2E39"/>
    <w:rsid w:val="004D311D"/>
    <w:rsid w:val="004D45C1"/>
    <w:rsid w:val="004D5051"/>
    <w:rsid w:val="004D506B"/>
    <w:rsid w:val="004D58BA"/>
    <w:rsid w:val="004D59DB"/>
    <w:rsid w:val="004D6274"/>
    <w:rsid w:val="004D66BC"/>
    <w:rsid w:val="004D701E"/>
    <w:rsid w:val="004D7EE4"/>
    <w:rsid w:val="004E0AB8"/>
    <w:rsid w:val="004E1130"/>
    <w:rsid w:val="004E19DD"/>
    <w:rsid w:val="004E2139"/>
    <w:rsid w:val="004E2580"/>
    <w:rsid w:val="004E2F5D"/>
    <w:rsid w:val="004E301F"/>
    <w:rsid w:val="004E326C"/>
    <w:rsid w:val="004E3A91"/>
    <w:rsid w:val="004E3D21"/>
    <w:rsid w:val="004E642A"/>
    <w:rsid w:val="004E746C"/>
    <w:rsid w:val="004F042D"/>
    <w:rsid w:val="004F04D6"/>
    <w:rsid w:val="004F0744"/>
    <w:rsid w:val="004F0DF5"/>
    <w:rsid w:val="004F12E5"/>
    <w:rsid w:val="004F1CB7"/>
    <w:rsid w:val="004F4939"/>
    <w:rsid w:val="004F5E94"/>
    <w:rsid w:val="004F62B2"/>
    <w:rsid w:val="004F662C"/>
    <w:rsid w:val="004F6FDF"/>
    <w:rsid w:val="004F775F"/>
    <w:rsid w:val="004F7BEE"/>
    <w:rsid w:val="00501F73"/>
    <w:rsid w:val="00502AB9"/>
    <w:rsid w:val="00503505"/>
    <w:rsid w:val="0050463C"/>
    <w:rsid w:val="00504878"/>
    <w:rsid w:val="00504E1E"/>
    <w:rsid w:val="005053C8"/>
    <w:rsid w:val="00505DB8"/>
    <w:rsid w:val="00505F4B"/>
    <w:rsid w:val="00507047"/>
    <w:rsid w:val="0050750A"/>
    <w:rsid w:val="00510F36"/>
    <w:rsid w:val="00510F62"/>
    <w:rsid w:val="00511284"/>
    <w:rsid w:val="005120D8"/>
    <w:rsid w:val="00512237"/>
    <w:rsid w:val="005124DB"/>
    <w:rsid w:val="00512A7F"/>
    <w:rsid w:val="00513D0A"/>
    <w:rsid w:val="00513E04"/>
    <w:rsid w:val="00514B6F"/>
    <w:rsid w:val="00514BC0"/>
    <w:rsid w:val="00514DD2"/>
    <w:rsid w:val="005161B7"/>
    <w:rsid w:val="005162B0"/>
    <w:rsid w:val="0051665D"/>
    <w:rsid w:val="00516D5D"/>
    <w:rsid w:val="005177EB"/>
    <w:rsid w:val="0052167F"/>
    <w:rsid w:val="005218C4"/>
    <w:rsid w:val="0052280A"/>
    <w:rsid w:val="00523B24"/>
    <w:rsid w:val="00523EF9"/>
    <w:rsid w:val="00524496"/>
    <w:rsid w:val="005246A7"/>
    <w:rsid w:val="0052471D"/>
    <w:rsid w:val="00524C71"/>
    <w:rsid w:val="00525714"/>
    <w:rsid w:val="00525768"/>
    <w:rsid w:val="00526BDA"/>
    <w:rsid w:val="00526D20"/>
    <w:rsid w:val="0052790A"/>
    <w:rsid w:val="005306F3"/>
    <w:rsid w:val="00530DC1"/>
    <w:rsid w:val="0053191A"/>
    <w:rsid w:val="00532011"/>
    <w:rsid w:val="005325D3"/>
    <w:rsid w:val="00532998"/>
    <w:rsid w:val="0053398B"/>
    <w:rsid w:val="005356F9"/>
    <w:rsid w:val="00536709"/>
    <w:rsid w:val="005369DB"/>
    <w:rsid w:val="0053732D"/>
    <w:rsid w:val="00537737"/>
    <w:rsid w:val="00537CE4"/>
    <w:rsid w:val="00540196"/>
    <w:rsid w:val="00540459"/>
    <w:rsid w:val="00540722"/>
    <w:rsid w:val="00541552"/>
    <w:rsid w:val="00541DBF"/>
    <w:rsid w:val="00543E36"/>
    <w:rsid w:val="00544377"/>
    <w:rsid w:val="00544521"/>
    <w:rsid w:val="00544DC6"/>
    <w:rsid w:val="00544E5B"/>
    <w:rsid w:val="00545B2B"/>
    <w:rsid w:val="0054676D"/>
    <w:rsid w:val="00546AD1"/>
    <w:rsid w:val="00550943"/>
    <w:rsid w:val="00552C85"/>
    <w:rsid w:val="0055378D"/>
    <w:rsid w:val="00553B7C"/>
    <w:rsid w:val="00554E2C"/>
    <w:rsid w:val="00555010"/>
    <w:rsid w:val="00556B2D"/>
    <w:rsid w:val="0056053B"/>
    <w:rsid w:val="00562795"/>
    <w:rsid w:val="00563115"/>
    <w:rsid w:val="00563DC4"/>
    <w:rsid w:val="0056510E"/>
    <w:rsid w:val="00565D2F"/>
    <w:rsid w:val="00566D94"/>
    <w:rsid w:val="00566FC5"/>
    <w:rsid w:val="00567166"/>
    <w:rsid w:val="0056738E"/>
    <w:rsid w:val="0057046C"/>
    <w:rsid w:val="00570F27"/>
    <w:rsid w:val="00571457"/>
    <w:rsid w:val="005729A0"/>
    <w:rsid w:val="00573252"/>
    <w:rsid w:val="00573898"/>
    <w:rsid w:val="00573F65"/>
    <w:rsid w:val="00574186"/>
    <w:rsid w:val="005746CE"/>
    <w:rsid w:val="00575329"/>
    <w:rsid w:val="005759E4"/>
    <w:rsid w:val="00576339"/>
    <w:rsid w:val="005766B6"/>
    <w:rsid w:val="00577F53"/>
    <w:rsid w:val="00580564"/>
    <w:rsid w:val="00581140"/>
    <w:rsid w:val="00581B14"/>
    <w:rsid w:val="00581CD8"/>
    <w:rsid w:val="00582B34"/>
    <w:rsid w:val="00582CA4"/>
    <w:rsid w:val="00582D04"/>
    <w:rsid w:val="00583F17"/>
    <w:rsid w:val="00584333"/>
    <w:rsid w:val="00584801"/>
    <w:rsid w:val="00584B1A"/>
    <w:rsid w:val="00587020"/>
    <w:rsid w:val="0058704A"/>
    <w:rsid w:val="0058710B"/>
    <w:rsid w:val="00590D89"/>
    <w:rsid w:val="00591A37"/>
    <w:rsid w:val="00591D94"/>
    <w:rsid w:val="005921FE"/>
    <w:rsid w:val="00592220"/>
    <w:rsid w:val="00592593"/>
    <w:rsid w:val="00592703"/>
    <w:rsid w:val="00592B21"/>
    <w:rsid w:val="00593AA0"/>
    <w:rsid w:val="00593F7C"/>
    <w:rsid w:val="0059457F"/>
    <w:rsid w:val="00594B2C"/>
    <w:rsid w:val="00594C79"/>
    <w:rsid w:val="00594EE5"/>
    <w:rsid w:val="0059531B"/>
    <w:rsid w:val="00595AE2"/>
    <w:rsid w:val="00595FBB"/>
    <w:rsid w:val="00596943"/>
    <w:rsid w:val="00596B5C"/>
    <w:rsid w:val="0059783E"/>
    <w:rsid w:val="005A17BD"/>
    <w:rsid w:val="005A1F5E"/>
    <w:rsid w:val="005A380A"/>
    <w:rsid w:val="005A3FC9"/>
    <w:rsid w:val="005A4AC0"/>
    <w:rsid w:val="005A51ED"/>
    <w:rsid w:val="005A5A31"/>
    <w:rsid w:val="005A5F20"/>
    <w:rsid w:val="005A60F9"/>
    <w:rsid w:val="005A6C02"/>
    <w:rsid w:val="005A6DAB"/>
    <w:rsid w:val="005A710B"/>
    <w:rsid w:val="005B027C"/>
    <w:rsid w:val="005B20D6"/>
    <w:rsid w:val="005B25BF"/>
    <w:rsid w:val="005B4A07"/>
    <w:rsid w:val="005B4ED1"/>
    <w:rsid w:val="005B5518"/>
    <w:rsid w:val="005B692F"/>
    <w:rsid w:val="005B6DD7"/>
    <w:rsid w:val="005B7039"/>
    <w:rsid w:val="005C017D"/>
    <w:rsid w:val="005C0D32"/>
    <w:rsid w:val="005C0D8A"/>
    <w:rsid w:val="005C13C6"/>
    <w:rsid w:val="005C1499"/>
    <w:rsid w:val="005C1FCF"/>
    <w:rsid w:val="005C2350"/>
    <w:rsid w:val="005C309F"/>
    <w:rsid w:val="005C32E7"/>
    <w:rsid w:val="005C4ABE"/>
    <w:rsid w:val="005C4C7A"/>
    <w:rsid w:val="005C686C"/>
    <w:rsid w:val="005C6E1F"/>
    <w:rsid w:val="005C7869"/>
    <w:rsid w:val="005C7D4D"/>
    <w:rsid w:val="005D071A"/>
    <w:rsid w:val="005D0A56"/>
    <w:rsid w:val="005D2318"/>
    <w:rsid w:val="005D25D7"/>
    <w:rsid w:val="005D2BD0"/>
    <w:rsid w:val="005D2F80"/>
    <w:rsid w:val="005D3548"/>
    <w:rsid w:val="005D3E29"/>
    <w:rsid w:val="005D4021"/>
    <w:rsid w:val="005D41DB"/>
    <w:rsid w:val="005D43D7"/>
    <w:rsid w:val="005D5FBB"/>
    <w:rsid w:val="005D70CD"/>
    <w:rsid w:val="005D73C9"/>
    <w:rsid w:val="005D762F"/>
    <w:rsid w:val="005D788B"/>
    <w:rsid w:val="005D791B"/>
    <w:rsid w:val="005E212C"/>
    <w:rsid w:val="005E2B93"/>
    <w:rsid w:val="005E330D"/>
    <w:rsid w:val="005E3388"/>
    <w:rsid w:val="005E4144"/>
    <w:rsid w:val="005E4B24"/>
    <w:rsid w:val="005E4C50"/>
    <w:rsid w:val="005E4D0C"/>
    <w:rsid w:val="005E5031"/>
    <w:rsid w:val="005E548A"/>
    <w:rsid w:val="005E5CAB"/>
    <w:rsid w:val="005E627F"/>
    <w:rsid w:val="005E6840"/>
    <w:rsid w:val="005E6A77"/>
    <w:rsid w:val="005E6FA5"/>
    <w:rsid w:val="005E729D"/>
    <w:rsid w:val="005F130F"/>
    <w:rsid w:val="005F13AA"/>
    <w:rsid w:val="005F22EE"/>
    <w:rsid w:val="005F2373"/>
    <w:rsid w:val="005F26A1"/>
    <w:rsid w:val="005F3154"/>
    <w:rsid w:val="005F3254"/>
    <w:rsid w:val="005F3A2A"/>
    <w:rsid w:val="005F3F89"/>
    <w:rsid w:val="005F5525"/>
    <w:rsid w:val="005F5880"/>
    <w:rsid w:val="005F7885"/>
    <w:rsid w:val="005F7A83"/>
    <w:rsid w:val="006003FB"/>
    <w:rsid w:val="00600746"/>
    <w:rsid w:val="00600DCD"/>
    <w:rsid w:val="0060107B"/>
    <w:rsid w:val="00601296"/>
    <w:rsid w:val="00602878"/>
    <w:rsid w:val="006036BD"/>
    <w:rsid w:val="00603F36"/>
    <w:rsid w:val="0060411F"/>
    <w:rsid w:val="00604124"/>
    <w:rsid w:val="0060484F"/>
    <w:rsid w:val="00604892"/>
    <w:rsid w:val="006049EF"/>
    <w:rsid w:val="00604BB9"/>
    <w:rsid w:val="00604EFA"/>
    <w:rsid w:val="006058E0"/>
    <w:rsid w:val="006059C1"/>
    <w:rsid w:val="006076EC"/>
    <w:rsid w:val="00607E29"/>
    <w:rsid w:val="0061009C"/>
    <w:rsid w:val="006102EF"/>
    <w:rsid w:val="00610437"/>
    <w:rsid w:val="0061055D"/>
    <w:rsid w:val="0061135C"/>
    <w:rsid w:val="006116F2"/>
    <w:rsid w:val="00611A88"/>
    <w:rsid w:val="006123AD"/>
    <w:rsid w:val="006132EA"/>
    <w:rsid w:val="006136A6"/>
    <w:rsid w:val="00613EE6"/>
    <w:rsid w:val="00615829"/>
    <w:rsid w:val="00615834"/>
    <w:rsid w:val="00615AA3"/>
    <w:rsid w:val="00616764"/>
    <w:rsid w:val="00616B9F"/>
    <w:rsid w:val="00620737"/>
    <w:rsid w:val="00621E6E"/>
    <w:rsid w:val="00621F31"/>
    <w:rsid w:val="00623087"/>
    <w:rsid w:val="00623CB6"/>
    <w:rsid w:val="00624035"/>
    <w:rsid w:val="0062467A"/>
    <w:rsid w:val="00624702"/>
    <w:rsid w:val="00624F49"/>
    <w:rsid w:val="006257AF"/>
    <w:rsid w:val="00626854"/>
    <w:rsid w:val="00626A73"/>
    <w:rsid w:val="006274A3"/>
    <w:rsid w:val="00627CDE"/>
    <w:rsid w:val="00627D2F"/>
    <w:rsid w:val="006313DE"/>
    <w:rsid w:val="00631706"/>
    <w:rsid w:val="00631B24"/>
    <w:rsid w:val="00633DE1"/>
    <w:rsid w:val="00634CBA"/>
    <w:rsid w:val="00634E1E"/>
    <w:rsid w:val="00634E5A"/>
    <w:rsid w:val="0063628B"/>
    <w:rsid w:val="0063687D"/>
    <w:rsid w:val="00636CD5"/>
    <w:rsid w:val="00636CF7"/>
    <w:rsid w:val="0063754A"/>
    <w:rsid w:val="00641863"/>
    <w:rsid w:val="006420AF"/>
    <w:rsid w:val="00643A31"/>
    <w:rsid w:val="00643A77"/>
    <w:rsid w:val="00644B1F"/>
    <w:rsid w:val="006459DB"/>
    <w:rsid w:val="00650021"/>
    <w:rsid w:val="006505ED"/>
    <w:rsid w:val="00652BCB"/>
    <w:rsid w:val="00653A97"/>
    <w:rsid w:val="00654B1F"/>
    <w:rsid w:val="00655EA6"/>
    <w:rsid w:val="006564A3"/>
    <w:rsid w:val="00656C0A"/>
    <w:rsid w:val="00656EB5"/>
    <w:rsid w:val="0065734B"/>
    <w:rsid w:val="006576DD"/>
    <w:rsid w:val="006604F9"/>
    <w:rsid w:val="006610B4"/>
    <w:rsid w:val="006615DE"/>
    <w:rsid w:val="0066226E"/>
    <w:rsid w:val="00662A26"/>
    <w:rsid w:val="00662B51"/>
    <w:rsid w:val="00663239"/>
    <w:rsid w:val="006640D8"/>
    <w:rsid w:val="00664902"/>
    <w:rsid w:val="0066618B"/>
    <w:rsid w:val="006668AA"/>
    <w:rsid w:val="00666E04"/>
    <w:rsid w:val="00667131"/>
    <w:rsid w:val="006676F2"/>
    <w:rsid w:val="006701EF"/>
    <w:rsid w:val="006717D9"/>
    <w:rsid w:val="00673994"/>
    <w:rsid w:val="00673B4E"/>
    <w:rsid w:val="006744B7"/>
    <w:rsid w:val="00674BE8"/>
    <w:rsid w:val="00675348"/>
    <w:rsid w:val="00675576"/>
    <w:rsid w:val="00675B41"/>
    <w:rsid w:val="0067710C"/>
    <w:rsid w:val="00677127"/>
    <w:rsid w:val="00677691"/>
    <w:rsid w:val="00677994"/>
    <w:rsid w:val="00677D16"/>
    <w:rsid w:val="00680948"/>
    <w:rsid w:val="006819E0"/>
    <w:rsid w:val="00682100"/>
    <w:rsid w:val="0068292F"/>
    <w:rsid w:val="00682D68"/>
    <w:rsid w:val="00683127"/>
    <w:rsid w:val="006835EA"/>
    <w:rsid w:val="00683F85"/>
    <w:rsid w:val="00685417"/>
    <w:rsid w:val="00685848"/>
    <w:rsid w:val="00685BAA"/>
    <w:rsid w:val="0068600A"/>
    <w:rsid w:val="00687EA8"/>
    <w:rsid w:val="006907B7"/>
    <w:rsid w:val="006910FF"/>
    <w:rsid w:val="006915FF"/>
    <w:rsid w:val="00692588"/>
    <w:rsid w:val="00693228"/>
    <w:rsid w:val="006935F7"/>
    <w:rsid w:val="0069366F"/>
    <w:rsid w:val="00694635"/>
    <w:rsid w:val="00694676"/>
    <w:rsid w:val="006946F1"/>
    <w:rsid w:val="00695505"/>
    <w:rsid w:val="006964A8"/>
    <w:rsid w:val="00696A96"/>
    <w:rsid w:val="006A0031"/>
    <w:rsid w:val="006A0D2C"/>
    <w:rsid w:val="006A0E7D"/>
    <w:rsid w:val="006A17A0"/>
    <w:rsid w:val="006A1818"/>
    <w:rsid w:val="006A1AE1"/>
    <w:rsid w:val="006A2012"/>
    <w:rsid w:val="006A26D9"/>
    <w:rsid w:val="006A35F9"/>
    <w:rsid w:val="006A4ADC"/>
    <w:rsid w:val="006A5038"/>
    <w:rsid w:val="006A5B8C"/>
    <w:rsid w:val="006A6553"/>
    <w:rsid w:val="006A6742"/>
    <w:rsid w:val="006A6B1C"/>
    <w:rsid w:val="006A729E"/>
    <w:rsid w:val="006A7AAD"/>
    <w:rsid w:val="006B00E1"/>
    <w:rsid w:val="006B07FC"/>
    <w:rsid w:val="006B093B"/>
    <w:rsid w:val="006B17A3"/>
    <w:rsid w:val="006B2BD4"/>
    <w:rsid w:val="006B3542"/>
    <w:rsid w:val="006B44D7"/>
    <w:rsid w:val="006B4B80"/>
    <w:rsid w:val="006B7DB1"/>
    <w:rsid w:val="006B7E47"/>
    <w:rsid w:val="006C17F6"/>
    <w:rsid w:val="006C2E3F"/>
    <w:rsid w:val="006C3603"/>
    <w:rsid w:val="006C3E60"/>
    <w:rsid w:val="006C40D8"/>
    <w:rsid w:val="006C40F3"/>
    <w:rsid w:val="006C554E"/>
    <w:rsid w:val="006C5AFB"/>
    <w:rsid w:val="006C6AC9"/>
    <w:rsid w:val="006C7E2D"/>
    <w:rsid w:val="006D06C9"/>
    <w:rsid w:val="006D0722"/>
    <w:rsid w:val="006D082B"/>
    <w:rsid w:val="006D0B3B"/>
    <w:rsid w:val="006D0BDC"/>
    <w:rsid w:val="006D0E88"/>
    <w:rsid w:val="006D186D"/>
    <w:rsid w:val="006D1C43"/>
    <w:rsid w:val="006D2432"/>
    <w:rsid w:val="006D34DA"/>
    <w:rsid w:val="006D35F8"/>
    <w:rsid w:val="006D53C9"/>
    <w:rsid w:val="006D57CB"/>
    <w:rsid w:val="006D5DA7"/>
    <w:rsid w:val="006D5E6B"/>
    <w:rsid w:val="006D7E9B"/>
    <w:rsid w:val="006E00BA"/>
    <w:rsid w:val="006E03A4"/>
    <w:rsid w:val="006E1B8E"/>
    <w:rsid w:val="006E1FB7"/>
    <w:rsid w:val="006E296F"/>
    <w:rsid w:val="006E29B5"/>
    <w:rsid w:val="006E39E7"/>
    <w:rsid w:val="006E41EA"/>
    <w:rsid w:val="006E4228"/>
    <w:rsid w:val="006E43A3"/>
    <w:rsid w:val="006E4AD0"/>
    <w:rsid w:val="006E4F14"/>
    <w:rsid w:val="006E5403"/>
    <w:rsid w:val="006E57C8"/>
    <w:rsid w:val="006E6209"/>
    <w:rsid w:val="006E63BF"/>
    <w:rsid w:val="006E660C"/>
    <w:rsid w:val="006E71FC"/>
    <w:rsid w:val="006E7C4B"/>
    <w:rsid w:val="006F0AB1"/>
    <w:rsid w:val="006F125D"/>
    <w:rsid w:val="006F1A46"/>
    <w:rsid w:val="006F2071"/>
    <w:rsid w:val="006F20CB"/>
    <w:rsid w:val="006F2277"/>
    <w:rsid w:val="006F253A"/>
    <w:rsid w:val="006F2C8B"/>
    <w:rsid w:val="006F2F6C"/>
    <w:rsid w:val="006F3FD0"/>
    <w:rsid w:val="006F45B9"/>
    <w:rsid w:val="006F4AE5"/>
    <w:rsid w:val="006F4DBB"/>
    <w:rsid w:val="006F7856"/>
    <w:rsid w:val="006F7EFF"/>
    <w:rsid w:val="0070055A"/>
    <w:rsid w:val="007013E4"/>
    <w:rsid w:val="0070163B"/>
    <w:rsid w:val="00701D41"/>
    <w:rsid w:val="00702316"/>
    <w:rsid w:val="00702843"/>
    <w:rsid w:val="00702B93"/>
    <w:rsid w:val="00703438"/>
    <w:rsid w:val="0070443D"/>
    <w:rsid w:val="007045DB"/>
    <w:rsid w:val="00704955"/>
    <w:rsid w:val="007050D6"/>
    <w:rsid w:val="007065AC"/>
    <w:rsid w:val="00706833"/>
    <w:rsid w:val="00706B82"/>
    <w:rsid w:val="00706E93"/>
    <w:rsid w:val="00707629"/>
    <w:rsid w:val="007079AD"/>
    <w:rsid w:val="00710B93"/>
    <w:rsid w:val="00711C49"/>
    <w:rsid w:val="00711C4D"/>
    <w:rsid w:val="00711E9C"/>
    <w:rsid w:val="0071236F"/>
    <w:rsid w:val="0071275F"/>
    <w:rsid w:val="0071362D"/>
    <w:rsid w:val="00713B55"/>
    <w:rsid w:val="00714054"/>
    <w:rsid w:val="00714287"/>
    <w:rsid w:val="007146FC"/>
    <w:rsid w:val="007147E3"/>
    <w:rsid w:val="007152E5"/>
    <w:rsid w:val="00715C10"/>
    <w:rsid w:val="007164A8"/>
    <w:rsid w:val="007176AE"/>
    <w:rsid w:val="00720091"/>
    <w:rsid w:val="007201DA"/>
    <w:rsid w:val="00720BAB"/>
    <w:rsid w:val="00721107"/>
    <w:rsid w:val="0072180E"/>
    <w:rsid w:val="00722B4B"/>
    <w:rsid w:val="00722BB5"/>
    <w:rsid w:val="00723004"/>
    <w:rsid w:val="0072442F"/>
    <w:rsid w:val="00724920"/>
    <w:rsid w:val="007263E6"/>
    <w:rsid w:val="007268CA"/>
    <w:rsid w:val="00726F53"/>
    <w:rsid w:val="00726FE1"/>
    <w:rsid w:val="0072797D"/>
    <w:rsid w:val="00727F81"/>
    <w:rsid w:val="007302E8"/>
    <w:rsid w:val="007303D8"/>
    <w:rsid w:val="00731833"/>
    <w:rsid w:val="007325F2"/>
    <w:rsid w:val="00732D79"/>
    <w:rsid w:val="00732F56"/>
    <w:rsid w:val="00733051"/>
    <w:rsid w:val="007336B4"/>
    <w:rsid w:val="00733E7C"/>
    <w:rsid w:val="00734179"/>
    <w:rsid w:val="00734C01"/>
    <w:rsid w:val="00734D70"/>
    <w:rsid w:val="007357EF"/>
    <w:rsid w:val="007367EF"/>
    <w:rsid w:val="007400DA"/>
    <w:rsid w:val="00740132"/>
    <w:rsid w:val="00741E0C"/>
    <w:rsid w:val="0074229D"/>
    <w:rsid w:val="00742A0B"/>
    <w:rsid w:val="00742A9B"/>
    <w:rsid w:val="00742CEE"/>
    <w:rsid w:val="00742E14"/>
    <w:rsid w:val="007433CF"/>
    <w:rsid w:val="007450C9"/>
    <w:rsid w:val="00745305"/>
    <w:rsid w:val="00745A37"/>
    <w:rsid w:val="00745D8F"/>
    <w:rsid w:val="00746410"/>
    <w:rsid w:val="00746AC4"/>
    <w:rsid w:val="0074746E"/>
    <w:rsid w:val="007519F3"/>
    <w:rsid w:val="00751ABE"/>
    <w:rsid w:val="00751FF8"/>
    <w:rsid w:val="00752566"/>
    <w:rsid w:val="0075344F"/>
    <w:rsid w:val="00754A1D"/>
    <w:rsid w:val="0075649C"/>
    <w:rsid w:val="00756B9F"/>
    <w:rsid w:val="00756E45"/>
    <w:rsid w:val="00757871"/>
    <w:rsid w:val="00760EA9"/>
    <w:rsid w:val="00761520"/>
    <w:rsid w:val="00762A98"/>
    <w:rsid w:val="00762B72"/>
    <w:rsid w:val="00762EE4"/>
    <w:rsid w:val="00763306"/>
    <w:rsid w:val="00763340"/>
    <w:rsid w:val="00763441"/>
    <w:rsid w:val="00763A7C"/>
    <w:rsid w:val="00764261"/>
    <w:rsid w:val="00764B9D"/>
    <w:rsid w:val="00764D97"/>
    <w:rsid w:val="007655FB"/>
    <w:rsid w:val="00765B19"/>
    <w:rsid w:val="00765DD0"/>
    <w:rsid w:val="00766DFF"/>
    <w:rsid w:val="00766EED"/>
    <w:rsid w:val="00766FDA"/>
    <w:rsid w:val="00771E67"/>
    <w:rsid w:val="00772596"/>
    <w:rsid w:val="007728A2"/>
    <w:rsid w:val="0077409A"/>
    <w:rsid w:val="00774769"/>
    <w:rsid w:val="00775FBA"/>
    <w:rsid w:val="007768AE"/>
    <w:rsid w:val="0077694B"/>
    <w:rsid w:val="00776F1B"/>
    <w:rsid w:val="00777769"/>
    <w:rsid w:val="00780333"/>
    <w:rsid w:val="0078259B"/>
    <w:rsid w:val="00782BBA"/>
    <w:rsid w:val="00782DD6"/>
    <w:rsid w:val="00783071"/>
    <w:rsid w:val="00783C1A"/>
    <w:rsid w:val="00783CCF"/>
    <w:rsid w:val="00783D9E"/>
    <w:rsid w:val="00785BF9"/>
    <w:rsid w:val="00785E2A"/>
    <w:rsid w:val="007867CD"/>
    <w:rsid w:val="00786AAB"/>
    <w:rsid w:val="00786C38"/>
    <w:rsid w:val="00786CBD"/>
    <w:rsid w:val="00786D21"/>
    <w:rsid w:val="0078751B"/>
    <w:rsid w:val="00787949"/>
    <w:rsid w:val="00790069"/>
    <w:rsid w:val="00790996"/>
    <w:rsid w:val="007925E1"/>
    <w:rsid w:val="00792CC9"/>
    <w:rsid w:val="00795C83"/>
    <w:rsid w:val="00795E94"/>
    <w:rsid w:val="00796883"/>
    <w:rsid w:val="00797E53"/>
    <w:rsid w:val="007A035D"/>
    <w:rsid w:val="007A07A4"/>
    <w:rsid w:val="007A0FDF"/>
    <w:rsid w:val="007A182C"/>
    <w:rsid w:val="007A2624"/>
    <w:rsid w:val="007A2AC3"/>
    <w:rsid w:val="007A3054"/>
    <w:rsid w:val="007A37B9"/>
    <w:rsid w:val="007A406A"/>
    <w:rsid w:val="007A413D"/>
    <w:rsid w:val="007A45E2"/>
    <w:rsid w:val="007A4671"/>
    <w:rsid w:val="007A4A24"/>
    <w:rsid w:val="007A4C0F"/>
    <w:rsid w:val="007A6AE6"/>
    <w:rsid w:val="007A6C2C"/>
    <w:rsid w:val="007A6C4F"/>
    <w:rsid w:val="007A74D4"/>
    <w:rsid w:val="007A7B4F"/>
    <w:rsid w:val="007B016A"/>
    <w:rsid w:val="007B01FB"/>
    <w:rsid w:val="007B0646"/>
    <w:rsid w:val="007B0847"/>
    <w:rsid w:val="007B1FC6"/>
    <w:rsid w:val="007B2E18"/>
    <w:rsid w:val="007B30EF"/>
    <w:rsid w:val="007B32E2"/>
    <w:rsid w:val="007B35AE"/>
    <w:rsid w:val="007B407A"/>
    <w:rsid w:val="007B51BA"/>
    <w:rsid w:val="007B57AC"/>
    <w:rsid w:val="007B6441"/>
    <w:rsid w:val="007B6C9F"/>
    <w:rsid w:val="007C0A81"/>
    <w:rsid w:val="007C0E34"/>
    <w:rsid w:val="007C1895"/>
    <w:rsid w:val="007C1BBC"/>
    <w:rsid w:val="007C20A0"/>
    <w:rsid w:val="007C2553"/>
    <w:rsid w:val="007C25C9"/>
    <w:rsid w:val="007C3133"/>
    <w:rsid w:val="007C3AF7"/>
    <w:rsid w:val="007C3BBD"/>
    <w:rsid w:val="007C3EA0"/>
    <w:rsid w:val="007C4315"/>
    <w:rsid w:val="007C525E"/>
    <w:rsid w:val="007C5779"/>
    <w:rsid w:val="007C59DF"/>
    <w:rsid w:val="007C7063"/>
    <w:rsid w:val="007C7470"/>
    <w:rsid w:val="007C748C"/>
    <w:rsid w:val="007D0117"/>
    <w:rsid w:val="007D06CC"/>
    <w:rsid w:val="007D0A0A"/>
    <w:rsid w:val="007D0A0B"/>
    <w:rsid w:val="007D2042"/>
    <w:rsid w:val="007D282B"/>
    <w:rsid w:val="007D4660"/>
    <w:rsid w:val="007D4BE7"/>
    <w:rsid w:val="007D56F3"/>
    <w:rsid w:val="007D5DB9"/>
    <w:rsid w:val="007D62CD"/>
    <w:rsid w:val="007D6FDD"/>
    <w:rsid w:val="007D783D"/>
    <w:rsid w:val="007E0508"/>
    <w:rsid w:val="007E0A44"/>
    <w:rsid w:val="007E1006"/>
    <w:rsid w:val="007E2495"/>
    <w:rsid w:val="007E2A09"/>
    <w:rsid w:val="007E2CD3"/>
    <w:rsid w:val="007E2E53"/>
    <w:rsid w:val="007E3158"/>
    <w:rsid w:val="007E470B"/>
    <w:rsid w:val="007E4F83"/>
    <w:rsid w:val="007E57EF"/>
    <w:rsid w:val="007E6060"/>
    <w:rsid w:val="007F0CE4"/>
    <w:rsid w:val="007F1105"/>
    <w:rsid w:val="007F2078"/>
    <w:rsid w:val="007F56DD"/>
    <w:rsid w:val="007F5BAA"/>
    <w:rsid w:val="007F5BCB"/>
    <w:rsid w:val="007F67CF"/>
    <w:rsid w:val="007F73A1"/>
    <w:rsid w:val="007F79DF"/>
    <w:rsid w:val="007F7F63"/>
    <w:rsid w:val="00801344"/>
    <w:rsid w:val="00801657"/>
    <w:rsid w:val="00801C46"/>
    <w:rsid w:val="00801FA6"/>
    <w:rsid w:val="0080241C"/>
    <w:rsid w:val="0080271B"/>
    <w:rsid w:val="008027CB"/>
    <w:rsid w:val="00802BCC"/>
    <w:rsid w:val="0080310C"/>
    <w:rsid w:val="00803124"/>
    <w:rsid w:val="00803D54"/>
    <w:rsid w:val="008049D6"/>
    <w:rsid w:val="00804C0C"/>
    <w:rsid w:val="00805ADD"/>
    <w:rsid w:val="00806248"/>
    <w:rsid w:val="008064A3"/>
    <w:rsid w:val="00806C9F"/>
    <w:rsid w:val="00806DC1"/>
    <w:rsid w:val="00806E23"/>
    <w:rsid w:val="0080761E"/>
    <w:rsid w:val="00810D84"/>
    <w:rsid w:val="00811832"/>
    <w:rsid w:val="00812135"/>
    <w:rsid w:val="00812510"/>
    <w:rsid w:val="00812615"/>
    <w:rsid w:val="00812B35"/>
    <w:rsid w:val="00812EA5"/>
    <w:rsid w:val="0081337E"/>
    <w:rsid w:val="008135DA"/>
    <w:rsid w:val="00813FF0"/>
    <w:rsid w:val="00814999"/>
    <w:rsid w:val="0081516A"/>
    <w:rsid w:val="00816569"/>
    <w:rsid w:val="008177B6"/>
    <w:rsid w:val="00821707"/>
    <w:rsid w:val="00821B08"/>
    <w:rsid w:val="008220A6"/>
    <w:rsid w:val="00822E09"/>
    <w:rsid w:val="008230C8"/>
    <w:rsid w:val="008233BD"/>
    <w:rsid w:val="00823E70"/>
    <w:rsid w:val="008245D2"/>
    <w:rsid w:val="00824D15"/>
    <w:rsid w:val="0082512A"/>
    <w:rsid w:val="00825ACD"/>
    <w:rsid w:val="0083071E"/>
    <w:rsid w:val="00830DBB"/>
    <w:rsid w:val="00830E19"/>
    <w:rsid w:val="00832B29"/>
    <w:rsid w:val="00832CB6"/>
    <w:rsid w:val="00833E29"/>
    <w:rsid w:val="0083432D"/>
    <w:rsid w:val="008357E2"/>
    <w:rsid w:val="00835828"/>
    <w:rsid w:val="00835BC1"/>
    <w:rsid w:val="0083645D"/>
    <w:rsid w:val="00837BF0"/>
    <w:rsid w:val="00837FC1"/>
    <w:rsid w:val="00840D29"/>
    <w:rsid w:val="0084117D"/>
    <w:rsid w:val="00843A99"/>
    <w:rsid w:val="00843D05"/>
    <w:rsid w:val="008443D7"/>
    <w:rsid w:val="00845082"/>
    <w:rsid w:val="00845F5E"/>
    <w:rsid w:val="00846770"/>
    <w:rsid w:val="0084751C"/>
    <w:rsid w:val="0084752B"/>
    <w:rsid w:val="0084762F"/>
    <w:rsid w:val="00847CFE"/>
    <w:rsid w:val="00850865"/>
    <w:rsid w:val="00850B3D"/>
    <w:rsid w:val="00851171"/>
    <w:rsid w:val="00851831"/>
    <w:rsid w:val="008523DD"/>
    <w:rsid w:val="00853B70"/>
    <w:rsid w:val="00854230"/>
    <w:rsid w:val="0085565D"/>
    <w:rsid w:val="00856D09"/>
    <w:rsid w:val="008570F1"/>
    <w:rsid w:val="00857449"/>
    <w:rsid w:val="00857BF5"/>
    <w:rsid w:val="00860464"/>
    <w:rsid w:val="00860C09"/>
    <w:rsid w:val="00860C4A"/>
    <w:rsid w:val="008610CE"/>
    <w:rsid w:val="008614A4"/>
    <w:rsid w:val="00861B2B"/>
    <w:rsid w:val="00861BAE"/>
    <w:rsid w:val="00861EA2"/>
    <w:rsid w:val="00862001"/>
    <w:rsid w:val="00863EED"/>
    <w:rsid w:val="008645EB"/>
    <w:rsid w:val="00864D1C"/>
    <w:rsid w:val="0086556A"/>
    <w:rsid w:val="00865E14"/>
    <w:rsid w:val="0086651E"/>
    <w:rsid w:val="008707D7"/>
    <w:rsid w:val="00870F28"/>
    <w:rsid w:val="0087182B"/>
    <w:rsid w:val="00872BD3"/>
    <w:rsid w:val="00873660"/>
    <w:rsid w:val="0087373E"/>
    <w:rsid w:val="00873B8D"/>
    <w:rsid w:val="00874D5F"/>
    <w:rsid w:val="0087500B"/>
    <w:rsid w:val="0087511E"/>
    <w:rsid w:val="0087574D"/>
    <w:rsid w:val="00875C62"/>
    <w:rsid w:val="00877C28"/>
    <w:rsid w:val="00877DDE"/>
    <w:rsid w:val="00880F53"/>
    <w:rsid w:val="00882217"/>
    <w:rsid w:val="0088224C"/>
    <w:rsid w:val="00882509"/>
    <w:rsid w:val="0088288F"/>
    <w:rsid w:val="00882C5B"/>
    <w:rsid w:val="0088389C"/>
    <w:rsid w:val="00883B5E"/>
    <w:rsid w:val="0088518F"/>
    <w:rsid w:val="00885852"/>
    <w:rsid w:val="00886780"/>
    <w:rsid w:val="00887CDF"/>
    <w:rsid w:val="00890A37"/>
    <w:rsid w:val="00890A90"/>
    <w:rsid w:val="00891133"/>
    <w:rsid w:val="008917F8"/>
    <w:rsid w:val="00891E2A"/>
    <w:rsid w:val="00892F8B"/>
    <w:rsid w:val="008930F3"/>
    <w:rsid w:val="008931AE"/>
    <w:rsid w:val="00893B83"/>
    <w:rsid w:val="00894280"/>
    <w:rsid w:val="00894456"/>
    <w:rsid w:val="008947BC"/>
    <w:rsid w:val="008953F8"/>
    <w:rsid w:val="008959E7"/>
    <w:rsid w:val="00896E6B"/>
    <w:rsid w:val="00896E8D"/>
    <w:rsid w:val="00896F38"/>
    <w:rsid w:val="0089790C"/>
    <w:rsid w:val="00897F88"/>
    <w:rsid w:val="008A07E3"/>
    <w:rsid w:val="008A10BF"/>
    <w:rsid w:val="008A11C5"/>
    <w:rsid w:val="008A13C2"/>
    <w:rsid w:val="008A2170"/>
    <w:rsid w:val="008A2529"/>
    <w:rsid w:val="008A484C"/>
    <w:rsid w:val="008A48FF"/>
    <w:rsid w:val="008A4BF4"/>
    <w:rsid w:val="008A658E"/>
    <w:rsid w:val="008A739E"/>
    <w:rsid w:val="008A7F69"/>
    <w:rsid w:val="008B19A8"/>
    <w:rsid w:val="008B1C4A"/>
    <w:rsid w:val="008B1CA1"/>
    <w:rsid w:val="008B1FFD"/>
    <w:rsid w:val="008B2ACC"/>
    <w:rsid w:val="008B2D6C"/>
    <w:rsid w:val="008B41EF"/>
    <w:rsid w:val="008B4252"/>
    <w:rsid w:val="008B498E"/>
    <w:rsid w:val="008B6044"/>
    <w:rsid w:val="008B6401"/>
    <w:rsid w:val="008B6A31"/>
    <w:rsid w:val="008B6AB0"/>
    <w:rsid w:val="008B6B84"/>
    <w:rsid w:val="008B6BB6"/>
    <w:rsid w:val="008B7502"/>
    <w:rsid w:val="008B7BEF"/>
    <w:rsid w:val="008B7DE7"/>
    <w:rsid w:val="008B7E3A"/>
    <w:rsid w:val="008C0931"/>
    <w:rsid w:val="008C1573"/>
    <w:rsid w:val="008C1FC6"/>
    <w:rsid w:val="008C2D2F"/>
    <w:rsid w:val="008C34FF"/>
    <w:rsid w:val="008C3B9D"/>
    <w:rsid w:val="008C3D2F"/>
    <w:rsid w:val="008C46B6"/>
    <w:rsid w:val="008C4A9F"/>
    <w:rsid w:val="008C4B7E"/>
    <w:rsid w:val="008C4C90"/>
    <w:rsid w:val="008C5165"/>
    <w:rsid w:val="008C5202"/>
    <w:rsid w:val="008C5B42"/>
    <w:rsid w:val="008C6485"/>
    <w:rsid w:val="008C6BB1"/>
    <w:rsid w:val="008C6D8D"/>
    <w:rsid w:val="008D0A73"/>
    <w:rsid w:val="008D154C"/>
    <w:rsid w:val="008D15DE"/>
    <w:rsid w:val="008D15FD"/>
    <w:rsid w:val="008D2826"/>
    <w:rsid w:val="008D3848"/>
    <w:rsid w:val="008D3B7A"/>
    <w:rsid w:val="008D42B8"/>
    <w:rsid w:val="008D4B91"/>
    <w:rsid w:val="008D4E4A"/>
    <w:rsid w:val="008D4EE8"/>
    <w:rsid w:val="008D6DE0"/>
    <w:rsid w:val="008D71B3"/>
    <w:rsid w:val="008D77AD"/>
    <w:rsid w:val="008D7FB5"/>
    <w:rsid w:val="008E0055"/>
    <w:rsid w:val="008E1F70"/>
    <w:rsid w:val="008E2039"/>
    <w:rsid w:val="008E2380"/>
    <w:rsid w:val="008E2B49"/>
    <w:rsid w:val="008E2CB2"/>
    <w:rsid w:val="008E3682"/>
    <w:rsid w:val="008E3A34"/>
    <w:rsid w:val="008E3CE2"/>
    <w:rsid w:val="008E3D1E"/>
    <w:rsid w:val="008E53F5"/>
    <w:rsid w:val="008E67C2"/>
    <w:rsid w:val="008E6CE7"/>
    <w:rsid w:val="008E7F72"/>
    <w:rsid w:val="008F0090"/>
    <w:rsid w:val="008F0961"/>
    <w:rsid w:val="008F1856"/>
    <w:rsid w:val="008F1EC7"/>
    <w:rsid w:val="008F3C52"/>
    <w:rsid w:val="008F3CF1"/>
    <w:rsid w:val="008F428A"/>
    <w:rsid w:val="008F436E"/>
    <w:rsid w:val="008F4821"/>
    <w:rsid w:val="008F5754"/>
    <w:rsid w:val="008F705C"/>
    <w:rsid w:val="0090022F"/>
    <w:rsid w:val="00900662"/>
    <w:rsid w:val="00900820"/>
    <w:rsid w:val="0090187C"/>
    <w:rsid w:val="0090344F"/>
    <w:rsid w:val="00903566"/>
    <w:rsid w:val="00903D09"/>
    <w:rsid w:val="009044DB"/>
    <w:rsid w:val="00905D7F"/>
    <w:rsid w:val="009063D5"/>
    <w:rsid w:val="009063D8"/>
    <w:rsid w:val="009071DF"/>
    <w:rsid w:val="009106BE"/>
    <w:rsid w:val="00910A7D"/>
    <w:rsid w:val="00910E4C"/>
    <w:rsid w:val="009112AE"/>
    <w:rsid w:val="009120A4"/>
    <w:rsid w:val="009123A9"/>
    <w:rsid w:val="009131DE"/>
    <w:rsid w:val="00914C81"/>
    <w:rsid w:val="009155E7"/>
    <w:rsid w:val="00915998"/>
    <w:rsid w:val="00916651"/>
    <w:rsid w:val="00916ADB"/>
    <w:rsid w:val="00917A62"/>
    <w:rsid w:val="009201BA"/>
    <w:rsid w:val="009202C3"/>
    <w:rsid w:val="00920561"/>
    <w:rsid w:val="009206A9"/>
    <w:rsid w:val="009207CE"/>
    <w:rsid w:val="00920C6A"/>
    <w:rsid w:val="00920FCE"/>
    <w:rsid w:val="0092136F"/>
    <w:rsid w:val="00921C9E"/>
    <w:rsid w:val="00921FB1"/>
    <w:rsid w:val="00922674"/>
    <w:rsid w:val="00923ED3"/>
    <w:rsid w:val="0092401C"/>
    <w:rsid w:val="00924CA2"/>
    <w:rsid w:val="00925519"/>
    <w:rsid w:val="0092661A"/>
    <w:rsid w:val="00926E51"/>
    <w:rsid w:val="009273CB"/>
    <w:rsid w:val="009277D3"/>
    <w:rsid w:val="00927811"/>
    <w:rsid w:val="009303CE"/>
    <w:rsid w:val="009309C3"/>
    <w:rsid w:val="009312F3"/>
    <w:rsid w:val="00931B2A"/>
    <w:rsid w:val="00932441"/>
    <w:rsid w:val="009324DC"/>
    <w:rsid w:val="00932F7A"/>
    <w:rsid w:val="00933325"/>
    <w:rsid w:val="009337C1"/>
    <w:rsid w:val="009352E9"/>
    <w:rsid w:val="00935B48"/>
    <w:rsid w:val="00936977"/>
    <w:rsid w:val="00936B6A"/>
    <w:rsid w:val="00936C83"/>
    <w:rsid w:val="00936DAD"/>
    <w:rsid w:val="00937BD5"/>
    <w:rsid w:val="00941ABB"/>
    <w:rsid w:val="00941BD5"/>
    <w:rsid w:val="009422FA"/>
    <w:rsid w:val="00942390"/>
    <w:rsid w:val="009425FD"/>
    <w:rsid w:val="009430EC"/>
    <w:rsid w:val="009455B8"/>
    <w:rsid w:val="009457A7"/>
    <w:rsid w:val="00945E4C"/>
    <w:rsid w:val="00945F0D"/>
    <w:rsid w:val="009460CA"/>
    <w:rsid w:val="0094745A"/>
    <w:rsid w:val="00947BF6"/>
    <w:rsid w:val="00950E42"/>
    <w:rsid w:val="00951C78"/>
    <w:rsid w:val="00951FF3"/>
    <w:rsid w:val="009528E1"/>
    <w:rsid w:val="00952E09"/>
    <w:rsid w:val="009531BA"/>
    <w:rsid w:val="00953662"/>
    <w:rsid w:val="00953F41"/>
    <w:rsid w:val="00954FC0"/>
    <w:rsid w:val="00955095"/>
    <w:rsid w:val="009558EE"/>
    <w:rsid w:val="00955DDE"/>
    <w:rsid w:val="00960F8F"/>
    <w:rsid w:val="0096319B"/>
    <w:rsid w:val="0096329D"/>
    <w:rsid w:val="00964768"/>
    <w:rsid w:val="00965978"/>
    <w:rsid w:val="00965D11"/>
    <w:rsid w:val="0097284D"/>
    <w:rsid w:val="00972877"/>
    <w:rsid w:val="00972F0C"/>
    <w:rsid w:val="0097398D"/>
    <w:rsid w:val="00973DA3"/>
    <w:rsid w:val="00974AC5"/>
    <w:rsid w:val="00976000"/>
    <w:rsid w:val="00976CB4"/>
    <w:rsid w:val="009772FC"/>
    <w:rsid w:val="00977821"/>
    <w:rsid w:val="00977F85"/>
    <w:rsid w:val="00980BC4"/>
    <w:rsid w:val="0098135B"/>
    <w:rsid w:val="009813F7"/>
    <w:rsid w:val="00981598"/>
    <w:rsid w:val="00981728"/>
    <w:rsid w:val="00981D1A"/>
    <w:rsid w:val="00983811"/>
    <w:rsid w:val="00984234"/>
    <w:rsid w:val="00984399"/>
    <w:rsid w:val="009856C6"/>
    <w:rsid w:val="009862DD"/>
    <w:rsid w:val="009863D6"/>
    <w:rsid w:val="00986BDF"/>
    <w:rsid w:val="00986ED4"/>
    <w:rsid w:val="0098776D"/>
    <w:rsid w:val="0098782E"/>
    <w:rsid w:val="00987FAE"/>
    <w:rsid w:val="00987FD5"/>
    <w:rsid w:val="00990193"/>
    <w:rsid w:val="009907C2"/>
    <w:rsid w:val="00991495"/>
    <w:rsid w:val="00991D65"/>
    <w:rsid w:val="00991F12"/>
    <w:rsid w:val="00995594"/>
    <w:rsid w:val="0099595F"/>
    <w:rsid w:val="009961B1"/>
    <w:rsid w:val="0099696D"/>
    <w:rsid w:val="009970A1"/>
    <w:rsid w:val="00997A8A"/>
    <w:rsid w:val="009A000B"/>
    <w:rsid w:val="009A09E2"/>
    <w:rsid w:val="009A1B08"/>
    <w:rsid w:val="009A1E3E"/>
    <w:rsid w:val="009A1E8F"/>
    <w:rsid w:val="009A20F1"/>
    <w:rsid w:val="009A2789"/>
    <w:rsid w:val="009A2C01"/>
    <w:rsid w:val="009A36FE"/>
    <w:rsid w:val="009A5A6F"/>
    <w:rsid w:val="009A6235"/>
    <w:rsid w:val="009A7330"/>
    <w:rsid w:val="009A7A75"/>
    <w:rsid w:val="009A7FA0"/>
    <w:rsid w:val="009B01EC"/>
    <w:rsid w:val="009B03FF"/>
    <w:rsid w:val="009B550D"/>
    <w:rsid w:val="009B7D56"/>
    <w:rsid w:val="009B7F14"/>
    <w:rsid w:val="009C023C"/>
    <w:rsid w:val="009C11AE"/>
    <w:rsid w:val="009C3077"/>
    <w:rsid w:val="009C3AA9"/>
    <w:rsid w:val="009C3DDC"/>
    <w:rsid w:val="009C43CB"/>
    <w:rsid w:val="009C485B"/>
    <w:rsid w:val="009C4A0D"/>
    <w:rsid w:val="009C50B8"/>
    <w:rsid w:val="009C5FA8"/>
    <w:rsid w:val="009C684A"/>
    <w:rsid w:val="009D0BCE"/>
    <w:rsid w:val="009D0DE4"/>
    <w:rsid w:val="009D212C"/>
    <w:rsid w:val="009D227A"/>
    <w:rsid w:val="009D2469"/>
    <w:rsid w:val="009D26D3"/>
    <w:rsid w:val="009D2A19"/>
    <w:rsid w:val="009D2B98"/>
    <w:rsid w:val="009D32A1"/>
    <w:rsid w:val="009D338B"/>
    <w:rsid w:val="009D500C"/>
    <w:rsid w:val="009D5436"/>
    <w:rsid w:val="009D5EB0"/>
    <w:rsid w:val="009D70FC"/>
    <w:rsid w:val="009D754B"/>
    <w:rsid w:val="009E2FC7"/>
    <w:rsid w:val="009E331C"/>
    <w:rsid w:val="009E3A0B"/>
    <w:rsid w:val="009E3CE6"/>
    <w:rsid w:val="009E47B6"/>
    <w:rsid w:val="009E54C6"/>
    <w:rsid w:val="009E5991"/>
    <w:rsid w:val="009E5D2D"/>
    <w:rsid w:val="009E5ED8"/>
    <w:rsid w:val="009E5F5F"/>
    <w:rsid w:val="009E66E5"/>
    <w:rsid w:val="009E6751"/>
    <w:rsid w:val="009E6989"/>
    <w:rsid w:val="009E73EB"/>
    <w:rsid w:val="009F04A8"/>
    <w:rsid w:val="009F0F4F"/>
    <w:rsid w:val="009F20A0"/>
    <w:rsid w:val="009F2F1E"/>
    <w:rsid w:val="009F3782"/>
    <w:rsid w:val="009F3F7C"/>
    <w:rsid w:val="009F42D4"/>
    <w:rsid w:val="009F5BAF"/>
    <w:rsid w:val="009F6A64"/>
    <w:rsid w:val="009F77A1"/>
    <w:rsid w:val="009F7806"/>
    <w:rsid w:val="009F7FD9"/>
    <w:rsid w:val="00A0246D"/>
    <w:rsid w:val="00A026AC"/>
    <w:rsid w:val="00A034D5"/>
    <w:rsid w:val="00A03B53"/>
    <w:rsid w:val="00A03DFB"/>
    <w:rsid w:val="00A04138"/>
    <w:rsid w:val="00A045A2"/>
    <w:rsid w:val="00A04C2C"/>
    <w:rsid w:val="00A055D7"/>
    <w:rsid w:val="00A073E0"/>
    <w:rsid w:val="00A10C7C"/>
    <w:rsid w:val="00A11767"/>
    <w:rsid w:val="00A119D5"/>
    <w:rsid w:val="00A12BD6"/>
    <w:rsid w:val="00A159D3"/>
    <w:rsid w:val="00A15A35"/>
    <w:rsid w:val="00A16FB0"/>
    <w:rsid w:val="00A17DEC"/>
    <w:rsid w:val="00A17EA6"/>
    <w:rsid w:val="00A207BA"/>
    <w:rsid w:val="00A21682"/>
    <w:rsid w:val="00A2205A"/>
    <w:rsid w:val="00A23520"/>
    <w:rsid w:val="00A23A0F"/>
    <w:rsid w:val="00A2496C"/>
    <w:rsid w:val="00A24D53"/>
    <w:rsid w:val="00A25406"/>
    <w:rsid w:val="00A25685"/>
    <w:rsid w:val="00A25B18"/>
    <w:rsid w:val="00A25B27"/>
    <w:rsid w:val="00A25EA9"/>
    <w:rsid w:val="00A27169"/>
    <w:rsid w:val="00A30A96"/>
    <w:rsid w:val="00A3134F"/>
    <w:rsid w:val="00A313A6"/>
    <w:rsid w:val="00A32F22"/>
    <w:rsid w:val="00A331EB"/>
    <w:rsid w:val="00A336BF"/>
    <w:rsid w:val="00A34CDE"/>
    <w:rsid w:val="00A3511D"/>
    <w:rsid w:val="00A3537C"/>
    <w:rsid w:val="00A3686D"/>
    <w:rsid w:val="00A36E4B"/>
    <w:rsid w:val="00A37088"/>
    <w:rsid w:val="00A41421"/>
    <w:rsid w:val="00A415A9"/>
    <w:rsid w:val="00A4176E"/>
    <w:rsid w:val="00A41847"/>
    <w:rsid w:val="00A42A8F"/>
    <w:rsid w:val="00A42C6B"/>
    <w:rsid w:val="00A4318B"/>
    <w:rsid w:val="00A44C1D"/>
    <w:rsid w:val="00A45917"/>
    <w:rsid w:val="00A45F93"/>
    <w:rsid w:val="00A46D1F"/>
    <w:rsid w:val="00A4731A"/>
    <w:rsid w:val="00A474A8"/>
    <w:rsid w:val="00A50421"/>
    <w:rsid w:val="00A508FD"/>
    <w:rsid w:val="00A50A13"/>
    <w:rsid w:val="00A51410"/>
    <w:rsid w:val="00A52D8C"/>
    <w:rsid w:val="00A53BC8"/>
    <w:rsid w:val="00A54DE4"/>
    <w:rsid w:val="00A56C8B"/>
    <w:rsid w:val="00A60EA1"/>
    <w:rsid w:val="00A614F8"/>
    <w:rsid w:val="00A61B2D"/>
    <w:rsid w:val="00A62671"/>
    <w:rsid w:val="00A6343D"/>
    <w:rsid w:val="00A63984"/>
    <w:rsid w:val="00A63CF6"/>
    <w:rsid w:val="00A63E4A"/>
    <w:rsid w:val="00A646B4"/>
    <w:rsid w:val="00A64E24"/>
    <w:rsid w:val="00A65338"/>
    <w:rsid w:val="00A66CE5"/>
    <w:rsid w:val="00A66DEB"/>
    <w:rsid w:val="00A6749E"/>
    <w:rsid w:val="00A675E8"/>
    <w:rsid w:val="00A6783E"/>
    <w:rsid w:val="00A67D11"/>
    <w:rsid w:val="00A67E76"/>
    <w:rsid w:val="00A70AE4"/>
    <w:rsid w:val="00A71A7E"/>
    <w:rsid w:val="00A71A87"/>
    <w:rsid w:val="00A7218F"/>
    <w:rsid w:val="00A727B7"/>
    <w:rsid w:val="00A734D4"/>
    <w:rsid w:val="00A73D30"/>
    <w:rsid w:val="00A74A37"/>
    <w:rsid w:val="00A75B2A"/>
    <w:rsid w:val="00A77027"/>
    <w:rsid w:val="00A77D12"/>
    <w:rsid w:val="00A808D8"/>
    <w:rsid w:val="00A818DE"/>
    <w:rsid w:val="00A819DF"/>
    <w:rsid w:val="00A81E9E"/>
    <w:rsid w:val="00A820AF"/>
    <w:rsid w:val="00A8270E"/>
    <w:rsid w:val="00A82B70"/>
    <w:rsid w:val="00A8373B"/>
    <w:rsid w:val="00A83C7A"/>
    <w:rsid w:val="00A84190"/>
    <w:rsid w:val="00A84BF7"/>
    <w:rsid w:val="00A84CDA"/>
    <w:rsid w:val="00A84F2B"/>
    <w:rsid w:val="00A853E3"/>
    <w:rsid w:val="00A85584"/>
    <w:rsid w:val="00A85A59"/>
    <w:rsid w:val="00A871A4"/>
    <w:rsid w:val="00A904C1"/>
    <w:rsid w:val="00A907A3"/>
    <w:rsid w:val="00A90F6B"/>
    <w:rsid w:val="00A91121"/>
    <w:rsid w:val="00A913AB"/>
    <w:rsid w:val="00A9225A"/>
    <w:rsid w:val="00A92464"/>
    <w:rsid w:val="00A928EE"/>
    <w:rsid w:val="00A93516"/>
    <w:rsid w:val="00A93777"/>
    <w:rsid w:val="00A93867"/>
    <w:rsid w:val="00A94BD4"/>
    <w:rsid w:val="00A94F65"/>
    <w:rsid w:val="00A94F85"/>
    <w:rsid w:val="00A950E7"/>
    <w:rsid w:val="00A95994"/>
    <w:rsid w:val="00A9679B"/>
    <w:rsid w:val="00A97E7C"/>
    <w:rsid w:val="00AA0C74"/>
    <w:rsid w:val="00AA1357"/>
    <w:rsid w:val="00AA162D"/>
    <w:rsid w:val="00AA18C0"/>
    <w:rsid w:val="00AA2781"/>
    <w:rsid w:val="00AA31C7"/>
    <w:rsid w:val="00AA3E29"/>
    <w:rsid w:val="00AA5253"/>
    <w:rsid w:val="00AA5321"/>
    <w:rsid w:val="00AA5702"/>
    <w:rsid w:val="00AA59F5"/>
    <w:rsid w:val="00AA61A7"/>
    <w:rsid w:val="00AA6301"/>
    <w:rsid w:val="00AA6E6C"/>
    <w:rsid w:val="00AA7130"/>
    <w:rsid w:val="00AB0E85"/>
    <w:rsid w:val="00AB105D"/>
    <w:rsid w:val="00AB1A8B"/>
    <w:rsid w:val="00AB1DD5"/>
    <w:rsid w:val="00AB1F16"/>
    <w:rsid w:val="00AB22A5"/>
    <w:rsid w:val="00AB4FB2"/>
    <w:rsid w:val="00AB5DA9"/>
    <w:rsid w:val="00AB5F9C"/>
    <w:rsid w:val="00AB79F0"/>
    <w:rsid w:val="00AC0403"/>
    <w:rsid w:val="00AC04A9"/>
    <w:rsid w:val="00AC115E"/>
    <w:rsid w:val="00AC11A6"/>
    <w:rsid w:val="00AC2343"/>
    <w:rsid w:val="00AC319C"/>
    <w:rsid w:val="00AC3BE5"/>
    <w:rsid w:val="00AC44A8"/>
    <w:rsid w:val="00AC48B3"/>
    <w:rsid w:val="00AC4BBE"/>
    <w:rsid w:val="00AC5A77"/>
    <w:rsid w:val="00AC62D4"/>
    <w:rsid w:val="00AC7194"/>
    <w:rsid w:val="00AC741A"/>
    <w:rsid w:val="00AC79D1"/>
    <w:rsid w:val="00AC7EF6"/>
    <w:rsid w:val="00AC7F39"/>
    <w:rsid w:val="00AC7FDA"/>
    <w:rsid w:val="00AD049E"/>
    <w:rsid w:val="00AD04C7"/>
    <w:rsid w:val="00AD1A0B"/>
    <w:rsid w:val="00AD1B5C"/>
    <w:rsid w:val="00AD2209"/>
    <w:rsid w:val="00AD24D9"/>
    <w:rsid w:val="00AD2E73"/>
    <w:rsid w:val="00AD6155"/>
    <w:rsid w:val="00AD67FC"/>
    <w:rsid w:val="00AE1BB7"/>
    <w:rsid w:val="00AE1D82"/>
    <w:rsid w:val="00AE1D8F"/>
    <w:rsid w:val="00AE1F6F"/>
    <w:rsid w:val="00AE3413"/>
    <w:rsid w:val="00AE3E39"/>
    <w:rsid w:val="00AE3FA9"/>
    <w:rsid w:val="00AE4534"/>
    <w:rsid w:val="00AE4E1C"/>
    <w:rsid w:val="00AF0B40"/>
    <w:rsid w:val="00AF11A7"/>
    <w:rsid w:val="00AF1669"/>
    <w:rsid w:val="00AF23D8"/>
    <w:rsid w:val="00AF2FF2"/>
    <w:rsid w:val="00AF300F"/>
    <w:rsid w:val="00AF347B"/>
    <w:rsid w:val="00AF3D4D"/>
    <w:rsid w:val="00AF4778"/>
    <w:rsid w:val="00AF4861"/>
    <w:rsid w:val="00AF519F"/>
    <w:rsid w:val="00AF535C"/>
    <w:rsid w:val="00AF5528"/>
    <w:rsid w:val="00AF5B88"/>
    <w:rsid w:val="00AF5DE4"/>
    <w:rsid w:val="00AF5EAA"/>
    <w:rsid w:val="00AF5F7E"/>
    <w:rsid w:val="00AF7CCC"/>
    <w:rsid w:val="00B00D0E"/>
    <w:rsid w:val="00B00FF1"/>
    <w:rsid w:val="00B01526"/>
    <w:rsid w:val="00B0217C"/>
    <w:rsid w:val="00B046B6"/>
    <w:rsid w:val="00B05841"/>
    <w:rsid w:val="00B065D3"/>
    <w:rsid w:val="00B067B9"/>
    <w:rsid w:val="00B06BD1"/>
    <w:rsid w:val="00B078DE"/>
    <w:rsid w:val="00B07D21"/>
    <w:rsid w:val="00B10E49"/>
    <w:rsid w:val="00B12470"/>
    <w:rsid w:val="00B132DA"/>
    <w:rsid w:val="00B1627D"/>
    <w:rsid w:val="00B1647B"/>
    <w:rsid w:val="00B167BD"/>
    <w:rsid w:val="00B1691B"/>
    <w:rsid w:val="00B16E5E"/>
    <w:rsid w:val="00B17061"/>
    <w:rsid w:val="00B207E4"/>
    <w:rsid w:val="00B20994"/>
    <w:rsid w:val="00B20E40"/>
    <w:rsid w:val="00B22039"/>
    <w:rsid w:val="00B220F3"/>
    <w:rsid w:val="00B22C1D"/>
    <w:rsid w:val="00B23358"/>
    <w:rsid w:val="00B25461"/>
    <w:rsid w:val="00B25567"/>
    <w:rsid w:val="00B25C3B"/>
    <w:rsid w:val="00B25E4F"/>
    <w:rsid w:val="00B26789"/>
    <w:rsid w:val="00B26A10"/>
    <w:rsid w:val="00B27FD6"/>
    <w:rsid w:val="00B30F4C"/>
    <w:rsid w:val="00B33614"/>
    <w:rsid w:val="00B33F1D"/>
    <w:rsid w:val="00B348B2"/>
    <w:rsid w:val="00B34D39"/>
    <w:rsid w:val="00B34E18"/>
    <w:rsid w:val="00B363BE"/>
    <w:rsid w:val="00B3655A"/>
    <w:rsid w:val="00B373E6"/>
    <w:rsid w:val="00B403A5"/>
    <w:rsid w:val="00B406AB"/>
    <w:rsid w:val="00B40F96"/>
    <w:rsid w:val="00B423AB"/>
    <w:rsid w:val="00B43882"/>
    <w:rsid w:val="00B4388F"/>
    <w:rsid w:val="00B44A1E"/>
    <w:rsid w:val="00B44EE5"/>
    <w:rsid w:val="00B5042D"/>
    <w:rsid w:val="00B51314"/>
    <w:rsid w:val="00B51A26"/>
    <w:rsid w:val="00B51B1F"/>
    <w:rsid w:val="00B52962"/>
    <w:rsid w:val="00B52B66"/>
    <w:rsid w:val="00B5411A"/>
    <w:rsid w:val="00B54452"/>
    <w:rsid w:val="00B54E68"/>
    <w:rsid w:val="00B553F3"/>
    <w:rsid w:val="00B55725"/>
    <w:rsid w:val="00B55D14"/>
    <w:rsid w:val="00B55F4F"/>
    <w:rsid w:val="00B56B2F"/>
    <w:rsid w:val="00B57401"/>
    <w:rsid w:val="00B576E5"/>
    <w:rsid w:val="00B579B7"/>
    <w:rsid w:val="00B57AFB"/>
    <w:rsid w:val="00B57EA3"/>
    <w:rsid w:val="00B605D3"/>
    <w:rsid w:val="00B60E9C"/>
    <w:rsid w:val="00B613CF"/>
    <w:rsid w:val="00B613FE"/>
    <w:rsid w:val="00B6152C"/>
    <w:rsid w:val="00B61938"/>
    <w:rsid w:val="00B62BA2"/>
    <w:rsid w:val="00B62F5E"/>
    <w:rsid w:val="00B644B7"/>
    <w:rsid w:val="00B64BB5"/>
    <w:rsid w:val="00B64C15"/>
    <w:rsid w:val="00B676C7"/>
    <w:rsid w:val="00B70957"/>
    <w:rsid w:val="00B70E27"/>
    <w:rsid w:val="00B71436"/>
    <w:rsid w:val="00B714A3"/>
    <w:rsid w:val="00B71D2C"/>
    <w:rsid w:val="00B72104"/>
    <w:rsid w:val="00B729C2"/>
    <w:rsid w:val="00B731E0"/>
    <w:rsid w:val="00B77AB5"/>
    <w:rsid w:val="00B77FB5"/>
    <w:rsid w:val="00B81B8A"/>
    <w:rsid w:val="00B82C0C"/>
    <w:rsid w:val="00B83C40"/>
    <w:rsid w:val="00B840F6"/>
    <w:rsid w:val="00B854C4"/>
    <w:rsid w:val="00B855F7"/>
    <w:rsid w:val="00B86763"/>
    <w:rsid w:val="00B87CA0"/>
    <w:rsid w:val="00B87EC4"/>
    <w:rsid w:val="00B9042D"/>
    <w:rsid w:val="00B90EFE"/>
    <w:rsid w:val="00B910C1"/>
    <w:rsid w:val="00B91A66"/>
    <w:rsid w:val="00B91CDA"/>
    <w:rsid w:val="00B91DE8"/>
    <w:rsid w:val="00B91E45"/>
    <w:rsid w:val="00B92DA3"/>
    <w:rsid w:val="00B933D1"/>
    <w:rsid w:val="00B9399D"/>
    <w:rsid w:val="00B93B6A"/>
    <w:rsid w:val="00B946CC"/>
    <w:rsid w:val="00B9478B"/>
    <w:rsid w:val="00B94D4A"/>
    <w:rsid w:val="00B95D3C"/>
    <w:rsid w:val="00B974D7"/>
    <w:rsid w:val="00B978A9"/>
    <w:rsid w:val="00B97F82"/>
    <w:rsid w:val="00BA07D1"/>
    <w:rsid w:val="00BA07E0"/>
    <w:rsid w:val="00BA0CCB"/>
    <w:rsid w:val="00BA0F6B"/>
    <w:rsid w:val="00BA1833"/>
    <w:rsid w:val="00BA210C"/>
    <w:rsid w:val="00BA3206"/>
    <w:rsid w:val="00BA345D"/>
    <w:rsid w:val="00BA3768"/>
    <w:rsid w:val="00BA50C3"/>
    <w:rsid w:val="00BA53A3"/>
    <w:rsid w:val="00BA588D"/>
    <w:rsid w:val="00BA70B4"/>
    <w:rsid w:val="00BA742F"/>
    <w:rsid w:val="00BA7638"/>
    <w:rsid w:val="00BA780B"/>
    <w:rsid w:val="00BA7A45"/>
    <w:rsid w:val="00BA7BD3"/>
    <w:rsid w:val="00BA7C8A"/>
    <w:rsid w:val="00BB0446"/>
    <w:rsid w:val="00BB080A"/>
    <w:rsid w:val="00BB0917"/>
    <w:rsid w:val="00BB26CA"/>
    <w:rsid w:val="00BB292F"/>
    <w:rsid w:val="00BB3864"/>
    <w:rsid w:val="00BB4335"/>
    <w:rsid w:val="00BB4811"/>
    <w:rsid w:val="00BB57E6"/>
    <w:rsid w:val="00BB61A4"/>
    <w:rsid w:val="00BB670B"/>
    <w:rsid w:val="00BB687C"/>
    <w:rsid w:val="00BC01E5"/>
    <w:rsid w:val="00BC1239"/>
    <w:rsid w:val="00BC16C0"/>
    <w:rsid w:val="00BC2073"/>
    <w:rsid w:val="00BC2685"/>
    <w:rsid w:val="00BC2B2E"/>
    <w:rsid w:val="00BC3912"/>
    <w:rsid w:val="00BC433F"/>
    <w:rsid w:val="00BC468E"/>
    <w:rsid w:val="00BC496B"/>
    <w:rsid w:val="00BC4ED3"/>
    <w:rsid w:val="00BC4FED"/>
    <w:rsid w:val="00BC5348"/>
    <w:rsid w:val="00BC5A19"/>
    <w:rsid w:val="00BC610F"/>
    <w:rsid w:val="00BC666C"/>
    <w:rsid w:val="00BC79E8"/>
    <w:rsid w:val="00BD09A2"/>
    <w:rsid w:val="00BD11DD"/>
    <w:rsid w:val="00BD283A"/>
    <w:rsid w:val="00BD2E55"/>
    <w:rsid w:val="00BD30F8"/>
    <w:rsid w:val="00BD3467"/>
    <w:rsid w:val="00BD3493"/>
    <w:rsid w:val="00BD56C2"/>
    <w:rsid w:val="00BD5B38"/>
    <w:rsid w:val="00BD602B"/>
    <w:rsid w:val="00BD6498"/>
    <w:rsid w:val="00BE05E1"/>
    <w:rsid w:val="00BE0C18"/>
    <w:rsid w:val="00BE0D56"/>
    <w:rsid w:val="00BE157F"/>
    <w:rsid w:val="00BE17BE"/>
    <w:rsid w:val="00BE1906"/>
    <w:rsid w:val="00BE1BD3"/>
    <w:rsid w:val="00BE1F4A"/>
    <w:rsid w:val="00BE27D2"/>
    <w:rsid w:val="00BE2D33"/>
    <w:rsid w:val="00BE2E3F"/>
    <w:rsid w:val="00BE3024"/>
    <w:rsid w:val="00BE3474"/>
    <w:rsid w:val="00BE397E"/>
    <w:rsid w:val="00BE3E8C"/>
    <w:rsid w:val="00BE4062"/>
    <w:rsid w:val="00BE4993"/>
    <w:rsid w:val="00BE5824"/>
    <w:rsid w:val="00BE60AB"/>
    <w:rsid w:val="00BE6373"/>
    <w:rsid w:val="00BE6621"/>
    <w:rsid w:val="00BE6C85"/>
    <w:rsid w:val="00BE775E"/>
    <w:rsid w:val="00BE7D35"/>
    <w:rsid w:val="00BE7FB5"/>
    <w:rsid w:val="00BF0F51"/>
    <w:rsid w:val="00BF0FDB"/>
    <w:rsid w:val="00BF2536"/>
    <w:rsid w:val="00BF26BD"/>
    <w:rsid w:val="00BF3353"/>
    <w:rsid w:val="00BF3E25"/>
    <w:rsid w:val="00BF4B04"/>
    <w:rsid w:val="00BF4B3B"/>
    <w:rsid w:val="00BF50C7"/>
    <w:rsid w:val="00BF5D56"/>
    <w:rsid w:val="00BF68CC"/>
    <w:rsid w:val="00BF7382"/>
    <w:rsid w:val="00BF7FF8"/>
    <w:rsid w:val="00C001DC"/>
    <w:rsid w:val="00C01523"/>
    <w:rsid w:val="00C01788"/>
    <w:rsid w:val="00C02150"/>
    <w:rsid w:val="00C02683"/>
    <w:rsid w:val="00C026B3"/>
    <w:rsid w:val="00C03296"/>
    <w:rsid w:val="00C03429"/>
    <w:rsid w:val="00C03722"/>
    <w:rsid w:val="00C043AF"/>
    <w:rsid w:val="00C05769"/>
    <w:rsid w:val="00C0589D"/>
    <w:rsid w:val="00C07325"/>
    <w:rsid w:val="00C07714"/>
    <w:rsid w:val="00C07A46"/>
    <w:rsid w:val="00C102A3"/>
    <w:rsid w:val="00C10894"/>
    <w:rsid w:val="00C11336"/>
    <w:rsid w:val="00C123BA"/>
    <w:rsid w:val="00C12456"/>
    <w:rsid w:val="00C13937"/>
    <w:rsid w:val="00C14FA9"/>
    <w:rsid w:val="00C16612"/>
    <w:rsid w:val="00C16C97"/>
    <w:rsid w:val="00C17152"/>
    <w:rsid w:val="00C172EA"/>
    <w:rsid w:val="00C173CE"/>
    <w:rsid w:val="00C1741C"/>
    <w:rsid w:val="00C213DD"/>
    <w:rsid w:val="00C21408"/>
    <w:rsid w:val="00C224D0"/>
    <w:rsid w:val="00C22BF0"/>
    <w:rsid w:val="00C22EE1"/>
    <w:rsid w:val="00C2302F"/>
    <w:rsid w:val="00C24218"/>
    <w:rsid w:val="00C24D22"/>
    <w:rsid w:val="00C24D50"/>
    <w:rsid w:val="00C25519"/>
    <w:rsid w:val="00C25C25"/>
    <w:rsid w:val="00C276C9"/>
    <w:rsid w:val="00C32472"/>
    <w:rsid w:val="00C32E57"/>
    <w:rsid w:val="00C33962"/>
    <w:rsid w:val="00C33FBC"/>
    <w:rsid w:val="00C3545E"/>
    <w:rsid w:val="00C35EA1"/>
    <w:rsid w:val="00C3610E"/>
    <w:rsid w:val="00C36BC1"/>
    <w:rsid w:val="00C372BF"/>
    <w:rsid w:val="00C37D39"/>
    <w:rsid w:val="00C4006B"/>
    <w:rsid w:val="00C4033B"/>
    <w:rsid w:val="00C41325"/>
    <w:rsid w:val="00C41499"/>
    <w:rsid w:val="00C425C9"/>
    <w:rsid w:val="00C42BBB"/>
    <w:rsid w:val="00C43AA8"/>
    <w:rsid w:val="00C4486B"/>
    <w:rsid w:val="00C45651"/>
    <w:rsid w:val="00C456B6"/>
    <w:rsid w:val="00C45CF8"/>
    <w:rsid w:val="00C46357"/>
    <w:rsid w:val="00C46AF1"/>
    <w:rsid w:val="00C476B0"/>
    <w:rsid w:val="00C47F44"/>
    <w:rsid w:val="00C506B5"/>
    <w:rsid w:val="00C510BC"/>
    <w:rsid w:val="00C51737"/>
    <w:rsid w:val="00C51B2F"/>
    <w:rsid w:val="00C52C13"/>
    <w:rsid w:val="00C54986"/>
    <w:rsid w:val="00C55B23"/>
    <w:rsid w:val="00C55C93"/>
    <w:rsid w:val="00C55C95"/>
    <w:rsid w:val="00C56663"/>
    <w:rsid w:val="00C56B94"/>
    <w:rsid w:val="00C57628"/>
    <w:rsid w:val="00C57D3E"/>
    <w:rsid w:val="00C604AC"/>
    <w:rsid w:val="00C61AC4"/>
    <w:rsid w:val="00C625A6"/>
    <w:rsid w:val="00C62649"/>
    <w:rsid w:val="00C62BAE"/>
    <w:rsid w:val="00C63A12"/>
    <w:rsid w:val="00C63E88"/>
    <w:rsid w:val="00C63F74"/>
    <w:rsid w:val="00C6482B"/>
    <w:rsid w:val="00C64EB2"/>
    <w:rsid w:val="00C673C8"/>
    <w:rsid w:val="00C67B89"/>
    <w:rsid w:val="00C7074D"/>
    <w:rsid w:val="00C70C43"/>
    <w:rsid w:val="00C7117C"/>
    <w:rsid w:val="00C713FE"/>
    <w:rsid w:val="00C73574"/>
    <w:rsid w:val="00C739AF"/>
    <w:rsid w:val="00C743A3"/>
    <w:rsid w:val="00C748FD"/>
    <w:rsid w:val="00C74CFD"/>
    <w:rsid w:val="00C758E7"/>
    <w:rsid w:val="00C75E75"/>
    <w:rsid w:val="00C764A0"/>
    <w:rsid w:val="00C764A5"/>
    <w:rsid w:val="00C765A9"/>
    <w:rsid w:val="00C768FD"/>
    <w:rsid w:val="00C76FDE"/>
    <w:rsid w:val="00C7799F"/>
    <w:rsid w:val="00C80068"/>
    <w:rsid w:val="00C806D2"/>
    <w:rsid w:val="00C827BF"/>
    <w:rsid w:val="00C832DC"/>
    <w:rsid w:val="00C84609"/>
    <w:rsid w:val="00C84636"/>
    <w:rsid w:val="00C870FC"/>
    <w:rsid w:val="00C93459"/>
    <w:rsid w:val="00C947A1"/>
    <w:rsid w:val="00C950D0"/>
    <w:rsid w:val="00C9553B"/>
    <w:rsid w:val="00C959A2"/>
    <w:rsid w:val="00C96031"/>
    <w:rsid w:val="00C97132"/>
    <w:rsid w:val="00C9755C"/>
    <w:rsid w:val="00C97948"/>
    <w:rsid w:val="00C97D98"/>
    <w:rsid w:val="00CA0B1F"/>
    <w:rsid w:val="00CA132C"/>
    <w:rsid w:val="00CA1512"/>
    <w:rsid w:val="00CA1AD7"/>
    <w:rsid w:val="00CA2558"/>
    <w:rsid w:val="00CA2CF1"/>
    <w:rsid w:val="00CA3749"/>
    <w:rsid w:val="00CA4624"/>
    <w:rsid w:val="00CA4721"/>
    <w:rsid w:val="00CA4EB3"/>
    <w:rsid w:val="00CA56E4"/>
    <w:rsid w:val="00CA5BC7"/>
    <w:rsid w:val="00CA5D42"/>
    <w:rsid w:val="00CA6BA4"/>
    <w:rsid w:val="00CA7F73"/>
    <w:rsid w:val="00CB06B7"/>
    <w:rsid w:val="00CB19C3"/>
    <w:rsid w:val="00CB3021"/>
    <w:rsid w:val="00CB30EB"/>
    <w:rsid w:val="00CB31F9"/>
    <w:rsid w:val="00CB36EF"/>
    <w:rsid w:val="00CB3934"/>
    <w:rsid w:val="00CB4D4D"/>
    <w:rsid w:val="00CB621C"/>
    <w:rsid w:val="00CB670D"/>
    <w:rsid w:val="00CB6962"/>
    <w:rsid w:val="00CC0D68"/>
    <w:rsid w:val="00CC0E93"/>
    <w:rsid w:val="00CC133E"/>
    <w:rsid w:val="00CC1CC6"/>
    <w:rsid w:val="00CC2750"/>
    <w:rsid w:val="00CC3BAF"/>
    <w:rsid w:val="00CC4099"/>
    <w:rsid w:val="00CC4115"/>
    <w:rsid w:val="00CC46B6"/>
    <w:rsid w:val="00CC5B17"/>
    <w:rsid w:val="00CC7D7E"/>
    <w:rsid w:val="00CD02B9"/>
    <w:rsid w:val="00CD0FD7"/>
    <w:rsid w:val="00CD19EC"/>
    <w:rsid w:val="00CD1FB3"/>
    <w:rsid w:val="00CD28A0"/>
    <w:rsid w:val="00CD2E56"/>
    <w:rsid w:val="00CD3424"/>
    <w:rsid w:val="00CD3EDE"/>
    <w:rsid w:val="00CD4483"/>
    <w:rsid w:val="00CD45B2"/>
    <w:rsid w:val="00CD5663"/>
    <w:rsid w:val="00CD593D"/>
    <w:rsid w:val="00CD68D8"/>
    <w:rsid w:val="00CD70F9"/>
    <w:rsid w:val="00CD7303"/>
    <w:rsid w:val="00CD7C95"/>
    <w:rsid w:val="00CE0107"/>
    <w:rsid w:val="00CE0760"/>
    <w:rsid w:val="00CE0F98"/>
    <w:rsid w:val="00CE2160"/>
    <w:rsid w:val="00CE3B9A"/>
    <w:rsid w:val="00CE5DD7"/>
    <w:rsid w:val="00CE604C"/>
    <w:rsid w:val="00CE6E1B"/>
    <w:rsid w:val="00CE7F4E"/>
    <w:rsid w:val="00CF08B1"/>
    <w:rsid w:val="00CF1941"/>
    <w:rsid w:val="00CF1B25"/>
    <w:rsid w:val="00CF227F"/>
    <w:rsid w:val="00CF235E"/>
    <w:rsid w:val="00CF3732"/>
    <w:rsid w:val="00CF49FE"/>
    <w:rsid w:val="00CF4B27"/>
    <w:rsid w:val="00CF51FB"/>
    <w:rsid w:val="00CF56E5"/>
    <w:rsid w:val="00CF5849"/>
    <w:rsid w:val="00CF690A"/>
    <w:rsid w:val="00CF7062"/>
    <w:rsid w:val="00CF7C48"/>
    <w:rsid w:val="00D000A3"/>
    <w:rsid w:val="00D00B4A"/>
    <w:rsid w:val="00D00F5D"/>
    <w:rsid w:val="00D02570"/>
    <w:rsid w:val="00D02775"/>
    <w:rsid w:val="00D03159"/>
    <w:rsid w:val="00D0347A"/>
    <w:rsid w:val="00D03B2E"/>
    <w:rsid w:val="00D03FAF"/>
    <w:rsid w:val="00D0418C"/>
    <w:rsid w:val="00D0533A"/>
    <w:rsid w:val="00D0574D"/>
    <w:rsid w:val="00D05C58"/>
    <w:rsid w:val="00D06572"/>
    <w:rsid w:val="00D06A58"/>
    <w:rsid w:val="00D10B8C"/>
    <w:rsid w:val="00D10E5C"/>
    <w:rsid w:val="00D117CD"/>
    <w:rsid w:val="00D1209B"/>
    <w:rsid w:val="00D12BAC"/>
    <w:rsid w:val="00D138C0"/>
    <w:rsid w:val="00D13B68"/>
    <w:rsid w:val="00D14142"/>
    <w:rsid w:val="00D1457B"/>
    <w:rsid w:val="00D15013"/>
    <w:rsid w:val="00D15120"/>
    <w:rsid w:val="00D16109"/>
    <w:rsid w:val="00D1678C"/>
    <w:rsid w:val="00D171AE"/>
    <w:rsid w:val="00D20942"/>
    <w:rsid w:val="00D20A55"/>
    <w:rsid w:val="00D21AB6"/>
    <w:rsid w:val="00D22330"/>
    <w:rsid w:val="00D2273B"/>
    <w:rsid w:val="00D23B84"/>
    <w:rsid w:val="00D243B9"/>
    <w:rsid w:val="00D24B4A"/>
    <w:rsid w:val="00D24CEF"/>
    <w:rsid w:val="00D26182"/>
    <w:rsid w:val="00D266E3"/>
    <w:rsid w:val="00D268D5"/>
    <w:rsid w:val="00D26B64"/>
    <w:rsid w:val="00D27865"/>
    <w:rsid w:val="00D27B8E"/>
    <w:rsid w:val="00D30C37"/>
    <w:rsid w:val="00D316F5"/>
    <w:rsid w:val="00D31AE9"/>
    <w:rsid w:val="00D31F1F"/>
    <w:rsid w:val="00D32555"/>
    <w:rsid w:val="00D335F5"/>
    <w:rsid w:val="00D338CD"/>
    <w:rsid w:val="00D33E21"/>
    <w:rsid w:val="00D345BF"/>
    <w:rsid w:val="00D348CE"/>
    <w:rsid w:val="00D351F8"/>
    <w:rsid w:val="00D35293"/>
    <w:rsid w:val="00D35796"/>
    <w:rsid w:val="00D35A22"/>
    <w:rsid w:val="00D36669"/>
    <w:rsid w:val="00D36900"/>
    <w:rsid w:val="00D369A3"/>
    <w:rsid w:val="00D36ABE"/>
    <w:rsid w:val="00D36B40"/>
    <w:rsid w:val="00D36E5E"/>
    <w:rsid w:val="00D36EE9"/>
    <w:rsid w:val="00D37E97"/>
    <w:rsid w:val="00D40044"/>
    <w:rsid w:val="00D40737"/>
    <w:rsid w:val="00D40F17"/>
    <w:rsid w:val="00D416F1"/>
    <w:rsid w:val="00D41CDB"/>
    <w:rsid w:val="00D4301F"/>
    <w:rsid w:val="00D4305E"/>
    <w:rsid w:val="00D43823"/>
    <w:rsid w:val="00D43E61"/>
    <w:rsid w:val="00D448B5"/>
    <w:rsid w:val="00D44BD4"/>
    <w:rsid w:val="00D44C8F"/>
    <w:rsid w:val="00D44DB7"/>
    <w:rsid w:val="00D45A0D"/>
    <w:rsid w:val="00D47878"/>
    <w:rsid w:val="00D47A11"/>
    <w:rsid w:val="00D506C9"/>
    <w:rsid w:val="00D52226"/>
    <w:rsid w:val="00D5344C"/>
    <w:rsid w:val="00D538E0"/>
    <w:rsid w:val="00D54034"/>
    <w:rsid w:val="00D5461F"/>
    <w:rsid w:val="00D54659"/>
    <w:rsid w:val="00D54CA1"/>
    <w:rsid w:val="00D54ED1"/>
    <w:rsid w:val="00D54FEE"/>
    <w:rsid w:val="00D550AD"/>
    <w:rsid w:val="00D552FE"/>
    <w:rsid w:val="00D5601A"/>
    <w:rsid w:val="00D578B0"/>
    <w:rsid w:val="00D60585"/>
    <w:rsid w:val="00D6059D"/>
    <w:rsid w:val="00D618AB"/>
    <w:rsid w:val="00D61D4F"/>
    <w:rsid w:val="00D62365"/>
    <w:rsid w:val="00D62B1F"/>
    <w:rsid w:val="00D63CCD"/>
    <w:rsid w:val="00D65211"/>
    <w:rsid w:val="00D657A8"/>
    <w:rsid w:val="00D65A89"/>
    <w:rsid w:val="00D660E3"/>
    <w:rsid w:val="00D67B66"/>
    <w:rsid w:val="00D70770"/>
    <w:rsid w:val="00D70A53"/>
    <w:rsid w:val="00D70AF5"/>
    <w:rsid w:val="00D72FF5"/>
    <w:rsid w:val="00D73656"/>
    <w:rsid w:val="00D739DE"/>
    <w:rsid w:val="00D74C24"/>
    <w:rsid w:val="00D76293"/>
    <w:rsid w:val="00D77595"/>
    <w:rsid w:val="00D77800"/>
    <w:rsid w:val="00D812A4"/>
    <w:rsid w:val="00D8151C"/>
    <w:rsid w:val="00D818BA"/>
    <w:rsid w:val="00D83B34"/>
    <w:rsid w:val="00D83C86"/>
    <w:rsid w:val="00D83EBD"/>
    <w:rsid w:val="00D840E9"/>
    <w:rsid w:val="00D84882"/>
    <w:rsid w:val="00D85BE0"/>
    <w:rsid w:val="00D85F78"/>
    <w:rsid w:val="00D86317"/>
    <w:rsid w:val="00D871E8"/>
    <w:rsid w:val="00D90657"/>
    <w:rsid w:val="00D90D28"/>
    <w:rsid w:val="00D92030"/>
    <w:rsid w:val="00D92362"/>
    <w:rsid w:val="00D92603"/>
    <w:rsid w:val="00D92EC3"/>
    <w:rsid w:val="00D93C84"/>
    <w:rsid w:val="00D93CC9"/>
    <w:rsid w:val="00D93FE8"/>
    <w:rsid w:val="00D94037"/>
    <w:rsid w:val="00D94B5B"/>
    <w:rsid w:val="00D9518E"/>
    <w:rsid w:val="00D95A1B"/>
    <w:rsid w:val="00D96552"/>
    <w:rsid w:val="00D9767E"/>
    <w:rsid w:val="00D977EA"/>
    <w:rsid w:val="00DA1D88"/>
    <w:rsid w:val="00DA390F"/>
    <w:rsid w:val="00DA45F2"/>
    <w:rsid w:val="00DA4823"/>
    <w:rsid w:val="00DA4B29"/>
    <w:rsid w:val="00DA5123"/>
    <w:rsid w:val="00DA568B"/>
    <w:rsid w:val="00DA5C85"/>
    <w:rsid w:val="00DA5DB0"/>
    <w:rsid w:val="00DA6EB4"/>
    <w:rsid w:val="00DA7343"/>
    <w:rsid w:val="00DB0561"/>
    <w:rsid w:val="00DB12BB"/>
    <w:rsid w:val="00DB25B6"/>
    <w:rsid w:val="00DB27E4"/>
    <w:rsid w:val="00DB5A94"/>
    <w:rsid w:val="00DB669D"/>
    <w:rsid w:val="00DB788A"/>
    <w:rsid w:val="00DC0493"/>
    <w:rsid w:val="00DC0781"/>
    <w:rsid w:val="00DC0A3E"/>
    <w:rsid w:val="00DC26FC"/>
    <w:rsid w:val="00DC3851"/>
    <w:rsid w:val="00DC3DE6"/>
    <w:rsid w:val="00DC46C6"/>
    <w:rsid w:val="00DC52A5"/>
    <w:rsid w:val="00DC635D"/>
    <w:rsid w:val="00DC6F6E"/>
    <w:rsid w:val="00DC778A"/>
    <w:rsid w:val="00DD06B7"/>
    <w:rsid w:val="00DD21BA"/>
    <w:rsid w:val="00DD2ED0"/>
    <w:rsid w:val="00DD4D99"/>
    <w:rsid w:val="00DD5399"/>
    <w:rsid w:val="00DD561E"/>
    <w:rsid w:val="00DD7208"/>
    <w:rsid w:val="00DD7240"/>
    <w:rsid w:val="00DD7651"/>
    <w:rsid w:val="00DD781B"/>
    <w:rsid w:val="00DD7D89"/>
    <w:rsid w:val="00DE0503"/>
    <w:rsid w:val="00DE05DE"/>
    <w:rsid w:val="00DE19DE"/>
    <w:rsid w:val="00DE2E31"/>
    <w:rsid w:val="00DE2ED0"/>
    <w:rsid w:val="00DE325F"/>
    <w:rsid w:val="00DE3902"/>
    <w:rsid w:val="00DE469A"/>
    <w:rsid w:val="00DE482A"/>
    <w:rsid w:val="00DE5436"/>
    <w:rsid w:val="00DE5651"/>
    <w:rsid w:val="00DE60FC"/>
    <w:rsid w:val="00DE64C6"/>
    <w:rsid w:val="00DE6C7C"/>
    <w:rsid w:val="00DE74FE"/>
    <w:rsid w:val="00DF016F"/>
    <w:rsid w:val="00DF0638"/>
    <w:rsid w:val="00DF13E3"/>
    <w:rsid w:val="00DF1E04"/>
    <w:rsid w:val="00DF2B5A"/>
    <w:rsid w:val="00DF322B"/>
    <w:rsid w:val="00DF3F8C"/>
    <w:rsid w:val="00DF47B9"/>
    <w:rsid w:val="00DF68B9"/>
    <w:rsid w:val="00DF70D2"/>
    <w:rsid w:val="00DF7146"/>
    <w:rsid w:val="00DF7198"/>
    <w:rsid w:val="00DF7505"/>
    <w:rsid w:val="00E011D1"/>
    <w:rsid w:val="00E01498"/>
    <w:rsid w:val="00E03511"/>
    <w:rsid w:val="00E038BE"/>
    <w:rsid w:val="00E044A8"/>
    <w:rsid w:val="00E04D20"/>
    <w:rsid w:val="00E052D6"/>
    <w:rsid w:val="00E05A77"/>
    <w:rsid w:val="00E063CE"/>
    <w:rsid w:val="00E06CFC"/>
    <w:rsid w:val="00E06D4C"/>
    <w:rsid w:val="00E06F3D"/>
    <w:rsid w:val="00E06F8D"/>
    <w:rsid w:val="00E06FCA"/>
    <w:rsid w:val="00E10265"/>
    <w:rsid w:val="00E10B63"/>
    <w:rsid w:val="00E11993"/>
    <w:rsid w:val="00E11F9C"/>
    <w:rsid w:val="00E12F0F"/>
    <w:rsid w:val="00E136CD"/>
    <w:rsid w:val="00E14AA4"/>
    <w:rsid w:val="00E14ADA"/>
    <w:rsid w:val="00E14FBD"/>
    <w:rsid w:val="00E1551B"/>
    <w:rsid w:val="00E16A7A"/>
    <w:rsid w:val="00E16B63"/>
    <w:rsid w:val="00E17038"/>
    <w:rsid w:val="00E176FA"/>
    <w:rsid w:val="00E221A4"/>
    <w:rsid w:val="00E227FF"/>
    <w:rsid w:val="00E233D1"/>
    <w:rsid w:val="00E25284"/>
    <w:rsid w:val="00E25EB2"/>
    <w:rsid w:val="00E25F51"/>
    <w:rsid w:val="00E25FEA"/>
    <w:rsid w:val="00E26578"/>
    <w:rsid w:val="00E26FB9"/>
    <w:rsid w:val="00E27379"/>
    <w:rsid w:val="00E309D1"/>
    <w:rsid w:val="00E31928"/>
    <w:rsid w:val="00E31E8A"/>
    <w:rsid w:val="00E32A81"/>
    <w:rsid w:val="00E32BA1"/>
    <w:rsid w:val="00E32C56"/>
    <w:rsid w:val="00E3319E"/>
    <w:rsid w:val="00E3338E"/>
    <w:rsid w:val="00E358F8"/>
    <w:rsid w:val="00E35F55"/>
    <w:rsid w:val="00E36824"/>
    <w:rsid w:val="00E36E61"/>
    <w:rsid w:val="00E370BB"/>
    <w:rsid w:val="00E37288"/>
    <w:rsid w:val="00E40042"/>
    <w:rsid w:val="00E408F7"/>
    <w:rsid w:val="00E4183D"/>
    <w:rsid w:val="00E41C68"/>
    <w:rsid w:val="00E41EF7"/>
    <w:rsid w:val="00E42673"/>
    <w:rsid w:val="00E42773"/>
    <w:rsid w:val="00E434C7"/>
    <w:rsid w:val="00E44040"/>
    <w:rsid w:val="00E44AEF"/>
    <w:rsid w:val="00E44BA3"/>
    <w:rsid w:val="00E45768"/>
    <w:rsid w:val="00E45849"/>
    <w:rsid w:val="00E46711"/>
    <w:rsid w:val="00E47231"/>
    <w:rsid w:val="00E47416"/>
    <w:rsid w:val="00E4781E"/>
    <w:rsid w:val="00E47C0C"/>
    <w:rsid w:val="00E47E2C"/>
    <w:rsid w:val="00E50DC9"/>
    <w:rsid w:val="00E51E7F"/>
    <w:rsid w:val="00E521C5"/>
    <w:rsid w:val="00E52CA8"/>
    <w:rsid w:val="00E53092"/>
    <w:rsid w:val="00E539B0"/>
    <w:rsid w:val="00E5426F"/>
    <w:rsid w:val="00E5484A"/>
    <w:rsid w:val="00E54B5A"/>
    <w:rsid w:val="00E54FB5"/>
    <w:rsid w:val="00E55811"/>
    <w:rsid w:val="00E55BDE"/>
    <w:rsid w:val="00E55F8F"/>
    <w:rsid w:val="00E56632"/>
    <w:rsid w:val="00E56AF0"/>
    <w:rsid w:val="00E56B1C"/>
    <w:rsid w:val="00E57C78"/>
    <w:rsid w:val="00E57E16"/>
    <w:rsid w:val="00E60051"/>
    <w:rsid w:val="00E60202"/>
    <w:rsid w:val="00E603EA"/>
    <w:rsid w:val="00E62BE0"/>
    <w:rsid w:val="00E6300B"/>
    <w:rsid w:val="00E64319"/>
    <w:rsid w:val="00E6621C"/>
    <w:rsid w:val="00E67203"/>
    <w:rsid w:val="00E6768D"/>
    <w:rsid w:val="00E7001F"/>
    <w:rsid w:val="00E71263"/>
    <w:rsid w:val="00E72695"/>
    <w:rsid w:val="00E72759"/>
    <w:rsid w:val="00E73532"/>
    <w:rsid w:val="00E7443B"/>
    <w:rsid w:val="00E74CF6"/>
    <w:rsid w:val="00E74D0B"/>
    <w:rsid w:val="00E75952"/>
    <w:rsid w:val="00E75F57"/>
    <w:rsid w:val="00E7696F"/>
    <w:rsid w:val="00E77728"/>
    <w:rsid w:val="00E779CB"/>
    <w:rsid w:val="00E80087"/>
    <w:rsid w:val="00E80365"/>
    <w:rsid w:val="00E8117F"/>
    <w:rsid w:val="00E813F2"/>
    <w:rsid w:val="00E81818"/>
    <w:rsid w:val="00E81850"/>
    <w:rsid w:val="00E8262E"/>
    <w:rsid w:val="00E82A22"/>
    <w:rsid w:val="00E83BD3"/>
    <w:rsid w:val="00E840BD"/>
    <w:rsid w:val="00E841B4"/>
    <w:rsid w:val="00E84883"/>
    <w:rsid w:val="00E84A9C"/>
    <w:rsid w:val="00E84C04"/>
    <w:rsid w:val="00E84F9F"/>
    <w:rsid w:val="00E86042"/>
    <w:rsid w:val="00E865C8"/>
    <w:rsid w:val="00E877CA"/>
    <w:rsid w:val="00E87A7D"/>
    <w:rsid w:val="00E87B68"/>
    <w:rsid w:val="00E922EA"/>
    <w:rsid w:val="00E93774"/>
    <w:rsid w:val="00E9471F"/>
    <w:rsid w:val="00E94C72"/>
    <w:rsid w:val="00E95BBB"/>
    <w:rsid w:val="00E9605B"/>
    <w:rsid w:val="00EA0856"/>
    <w:rsid w:val="00EA12A2"/>
    <w:rsid w:val="00EA1424"/>
    <w:rsid w:val="00EA15CB"/>
    <w:rsid w:val="00EA2FDB"/>
    <w:rsid w:val="00EA3C04"/>
    <w:rsid w:val="00EA3E60"/>
    <w:rsid w:val="00EA4601"/>
    <w:rsid w:val="00EA4FF7"/>
    <w:rsid w:val="00EA6022"/>
    <w:rsid w:val="00EA7487"/>
    <w:rsid w:val="00EA7B36"/>
    <w:rsid w:val="00EB0127"/>
    <w:rsid w:val="00EB04CD"/>
    <w:rsid w:val="00EB0F8F"/>
    <w:rsid w:val="00EB3110"/>
    <w:rsid w:val="00EB31F1"/>
    <w:rsid w:val="00EB3E1F"/>
    <w:rsid w:val="00EB4267"/>
    <w:rsid w:val="00EB57FF"/>
    <w:rsid w:val="00EB5B7D"/>
    <w:rsid w:val="00EB5F96"/>
    <w:rsid w:val="00EB771B"/>
    <w:rsid w:val="00EC01BA"/>
    <w:rsid w:val="00EC0B08"/>
    <w:rsid w:val="00EC0E82"/>
    <w:rsid w:val="00EC11DA"/>
    <w:rsid w:val="00EC1A69"/>
    <w:rsid w:val="00EC34F1"/>
    <w:rsid w:val="00EC49E9"/>
    <w:rsid w:val="00EC4D5E"/>
    <w:rsid w:val="00EC4DCF"/>
    <w:rsid w:val="00EC4EF3"/>
    <w:rsid w:val="00EC5154"/>
    <w:rsid w:val="00EC63EB"/>
    <w:rsid w:val="00EC70FD"/>
    <w:rsid w:val="00EC7836"/>
    <w:rsid w:val="00EC7CB8"/>
    <w:rsid w:val="00ED06B1"/>
    <w:rsid w:val="00ED1D25"/>
    <w:rsid w:val="00ED32A1"/>
    <w:rsid w:val="00ED354B"/>
    <w:rsid w:val="00ED3790"/>
    <w:rsid w:val="00ED3E9A"/>
    <w:rsid w:val="00ED5082"/>
    <w:rsid w:val="00ED64FE"/>
    <w:rsid w:val="00ED698A"/>
    <w:rsid w:val="00ED6FAD"/>
    <w:rsid w:val="00ED7992"/>
    <w:rsid w:val="00ED7B0D"/>
    <w:rsid w:val="00EE0D00"/>
    <w:rsid w:val="00EE2ABF"/>
    <w:rsid w:val="00EE44E4"/>
    <w:rsid w:val="00EE4B93"/>
    <w:rsid w:val="00EE51FC"/>
    <w:rsid w:val="00EE53F0"/>
    <w:rsid w:val="00EE5987"/>
    <w:rsid w:val="00EE5CAC"/>
    <w:rsid w:val="00EE624A"/>
    <w:rsid w:val="00EE63D0"/>
    <w:rsid w:val="00EE6B8E"/>
    <w:rsid w:val="00EE6D5D"/>
    <w:rsid w:val="00EE768E"/>
    <w:rsid w:val="00EF0833"/>
    <w:rsid w:val="00EF1F7C"/>
    <w:rsid w:val="00EF2999"/>
    <w:rsid w:val="00EF3BF2"/>
    <w:rsid w:val="00EF40DD"/>
    <w:rsid w:val="00EF46C6"/>
    <w:rsid w:val="00EF5376"/>
    <w:rsid w:val="00EF53CB"/>
    <w:rsid w:val="00EF6B9A"/>
    <w:rsid w:val="00EF702B"/>
    <w:rsid w:val="00F00565"/>
    <w:rsid w:val="00F007ED"/>
    <w:rsid w:val="00F00AD2"/>
    <w:rsid w:val="00F00CED"/>
    <w:rsid w:val="00F00EB7"/>
    <w:rsid w:val="00F01513"/>
    <w:rsid w:val="00F026E0"/>
    <w:rsid w:val="00F03242"/>
    <w:rsid w:val="00F03859"/>
    <w:rsid w:val="00F0404E"/>
    <w:rsid w:val="00F060F2"/>
    <w:rsid w:val="00F06A28"/>
    <w:rsid w:val="00F073B7"/>
    <w:rsid w:val="00F10037"/>
    <w:rsid w:val="00F10A25"/>
    <w:rsid w:val="00F10A70"/>
    <w:rsid w:val="00F10BB7"/>
    <w:rsid w:val="00F10E61"/>
    <w:rsid w:val="00F1122A"/>
    <w:rsid w:val="00F11F11"/>
    <w:rsid w:val="00F1353A"/>
    <w:rsid w:val="00F1378F"/>
    <w:rsid w:val="00F13A34"/>
    <w:rsid w:val="00F141A2"/>
    <w:rsid w:val="00F144CE"/>
    <w:rsid w:val="00F146A0"/>
    <w:rsid w:val="00F146FD"/>
    <w:rsid w:val="00F15A63"/>
    <w:rsid w:val="00F1639F"/>
    <w:rsid w:val="00F173EE"/>
    <w:rsid w:val="00F17F17"/>
    <w:rsid w:val="00F20078"/>
    <w:rsid w:val="00F204C4"/>
    <w:rsid w:val="00F20A24"/>
    <w:rsid w:val="00F228F3"/>
    <w:rsid w:val="00F22942"/>
    <w:rsid w:val="00F22C29"/>
    <w:rsid w:val="00F22D41"/>
    <w:rsid w:val="00F23ADE"/>
    <w:rsid w:val="00F2446B"/>
    <w:rsid w:val="00F2472C"/>
    <w:rsid w:val="00F24924"/>
    <w:rsid w:val="00F25535"/>
    <w:rsid w:val="00F258D7"/>
    <w:rsid w:val="00F25FEC"/>
    <w:rsid w:val="00F264D9"/>
    <w:rsid w:val="00F2652A"/>
    <w:rsid w:val="00F307F4"/>
    <w:rsid w:val="00F3238C"/>
    <w:rsid w:val="00F32ECA"/>
    <w:rsid w:val="00F33025"/>
    <w:rsid w:val="00F33602"/>
    <w:rsid w:val="00F35011"/>
    <w:rsid w:val="00F35089"/>
    <w:rsid w:val="00F3534E"/>
    <w:rsid w:val="00F36456"/>
    <w:rsid w:val="00F36CAD"/>
    <w:rsid w:val="00F3770A"/>
    <w:rsid w:val="00F40215"/>
    <w:rsid w:val="00F406F9"/>
    <w:rsid w:val="00F4133C"/>
    <w:rsid w:val="00F4193B"/>
    <w:rsid w:val="00F41DAD"/>
    <w:rsid w:val="00F42D5A"/>
    <w:rsid w:val="00F43E0C"/>
    <w:rsid w:val="00F43F36"/>
    <w:rsid w:val="00F458BD"/>
    <w:rsid w:val="00F4698B"/>
    <w:rsid w:val="00F5064D"/>
    <w:rsid w:val="00F51D89"/>
    <w:rsid w:val="00F52ED5"/>
    <w:rsid w:val="00F52F04"/>
    <w:rsid w:val="00F5326B"/>
    <w:rsid w:val="00F545CF"/>
    <w:rsid w:val="00F546A2"/>
    <w:rsid w:val="00F54D11"/>
    <w:rsid w:val="00F54E76"/>
    <w:rsid w:val="00F608FE"/>
    <w:rsid w:val="00F60A4B"/>
    <w:rsid w:val="00F6179E"/>
    <w:rsid w:val="00F61B81"/>
    <w:rsid w:val="00F61E78"/>
    <w:rsid w:val="00F623A8"/>
    <w:rsid w:val="00F62C26"/>
    <w:rsid w:val="00F64C63"/>
    <w:rsid w:val="00F64E88"/>
    <w:rsid w:val="00F65399"/>
    <w:rsid w:val="00F655E2"/>
    <w:rsid w:val="00F657F6"/>
    <w:rsid w:val="00F65BF0"/>
    <w:rsid w:val="00F65C7C"/>
    <w:rsid w:val="00F6611F"/>
    <w:rsid w:val="00F672A3"/>
    <w:rsid w:val="00F6744F"/>
    <w:rsid w:val="00F70094"/>
    <w:rsid w:val="00F70452"/>
    <w:rsid w:val="00F712CB"/>
    <w:rsid w:val="00F716B8"/>
    <w:rsid w:val="00F72070"/>
    <w:rsid w:val="00F720B9"/>
    <w:rsid w:val="00F72EC5"/>
    <w:rsid w:val="00F72EDE"/>
    <w:rsid w:val="00F73396"/>
    <w:rsid w:val="00F76206"/>
    <w:rsid w:val="00F802A7"/>
    <w:rsid w:val="00F80398"/>
    <w:rsid w:val="00F80CB5"/>
    <w:rsid w:val="00F81DAD"/>
    <w:rsid w:val="00F84001"/>
    <w:rsid w:val="00F84807"/>
    <w:rsid w:val="00F84B1D"/>
    <w:rsid w:val="00F85733"/>
    <w:rsid w:val="00F8579A"/>
    <w:rsid w:val="00F87457"/>
    <w:rsid w:val="00F874A5"/>
    <w:rsid w:val="00F87937"/>
    <w:rsid w:val="00F90325"/>
    <w:rsid w:val="00F90677"/>
    <w:rsid w:val="00F91481"/>
    <w:rsid w:val="00F919FB"/>
    <w:rsid w:val="00F91D81"/>
    <w:rsid w:val="00F91EEF"/>
    <w:rsid w:val="00F92530"/>
    <w:rsid w:val="00F925FF"/>
    <w:rsid w:val="00F92949"/>
    <w:rsid w:val="00F94214"/>
    <w:rsid w:val="00F942B8"/>
    <w:rsid w:val="00F9436C"/>
    <w:rsid w:val="00F94E5E"/>
    <w:rsid w:val="00F953EF"/>
    <w:rsid w:val="00F9552D"/>
    <w:rsid w:val="00F9563D"/>
    <w:rsid w:val="00F95B0F"/>
    <w:rsid w:val="00F967D9"/>
    <w:rsid w:val="00F978CE"/>
    <w:rsid w:val="00FA004B"/>
    <w:rsid w:val="00FA0625"/>
    <w:rsid w:val="00FA1347"/>
    <w:rsid w:val="00FA185A"/>
    <w:rsid w:val="00FA24F5"/>
    <w:rsid w:val="00FA2C46"/>
    <w:rsid w:val="00FA2DF8"/>
    <w:rsid w:val="00FA3D30"/>
    <w:rsid w:val="00FA3DB7"/>
    <w:rsid w:val="00FA3F69"/>
    <w:rsid w:val="00FA4051"/>
    <w:rsid w:val="00FA42E4"/>
    <w:rsid w:val="00FA4341"/>
    <w:rsid w:val="00FA59DC"/>
    <w:rsid w:val="00FA690F"/>
    <w:rsid w:val="00FA6FF8"/>
    <w:rsid w:val="00FA73E5"/>
    <w:rsid w:val="00FA748D"/>
    <w:rsid w:val="00FB03AF"/>
    <w:rsid w:val="00FB1199"/>
    <w:rsid w:val="00FB3965"/>
    <w:rsid w:val="00FB3BD6"/>
    <w:rsid w:val="00FB3DA6"/>
    <w:rsid w:val="00FB4D07"/>
    <w:rsid w:val="00FB64BA"/>
    <w:rsid w:val="00FB66A1"/>
    <w:rsid w:val="00FB687D"/>
    <w:rsid w:val="00FC0041"/>
    <w:rsid w:val="00FC090A"/>
    <w:rsid w:val="00FC0A5B"/>
    <w:rsid w:val="00FC14C1"/>
    <w:rsid w:val="00FC15C6"/>
    <w:rsid w:val="00FC1FF7"/>
    <w:rsid w:val="00FC3038"/>
    <w:rsid w:val="00FC3B20"/>
    <w:rsid w:val="00FC3D82"/>
    <w:rsid w:val="00FC4714"/>
    <w:rsid w:val="00FC4CC6"/>
    <w:rsid w:val="00FC4F7B"/>
    <w:rsid w:val="00FC54D4"/>
    <w:rsid w:val="00FC59CA"/>
    <w:rsid w:val="00FC6563"/>
    <w:rsid w:val="00FC7EC9"/>
    <w:rsid w:val="00FD02FC"/>
    <w:rsid w:val="00FD06BC"/>
    <w:rsid w:val="00FD0A6E"/>
    <w:rsid w:val="00FD149B"/>
    <w:rsid w:val="00FD1638"/>
    <w:rsid w:val="00FD20DA"/>
    <w:rsid w:val="00FD3138"/>
    <w:rsid w:val="00FD34F7"/>
    <w:rsid w:val="00FD3780"/>
    <w:rsid w:val="00FD56AD"/>
    <w:rsid w:val="00FD5782"/>
    <w:rsid w:val="00FD57CD"/>
    <w:rsid w:val="00FD5B02"/>
    <w:rsid w:val="00FD7EA9"/>
    <w:rsid w:val="00FE01F8"/>
    <w:rsid w:val="00FE03E1"/>
    <w:rsid w:val="00FE08A2"/>
    <w:rsid w:val="00FE08BB"/>
    <w:rsid w:val="00FE17D0"/>
    <w:rsid w:val="00FE1E6B"/>
    <w:rsid w:val="00FE2E71"/>
    <w:rsid w:val="00FE2F11"/>
    <w:rsid w:val="00FE320A"/>
    <w:rsid w:val="00FE3241"/>
    <w:rsid w:val="00FE3EAE"/>
    <w:rsid w:val="00FE4543"/>
    <w:rsid w:val="00FE6DFD"/>
    <w:rsid w:val="00FE7794"/>
    <w:rsid w:val="00FF1045"/>
    <w:rsid w:val="00FF15C3"/>
    <w:rsid w:val="00FF22E9"/>
    <w:rsid w:val="00FF2677"/>
    <w:rsid w:val="00FF340C"/>
    <w:rsid w:val="00FF391E"/>
    <w:rsid w:val="00FF46A6"/>
    <w:rsid w:val="00FF477B"/>
    <w:rsid w:val="00FF51E8"/>
    <w:rsid w:val="00FF6B4D"/>
    <w:rsid w:val="00FF7BC0"/>
    <w:rsid w:val="01076996"/>
    <w:rsid w:val="010808A4"/>
    <w:rsid w:val="010B55F2"/>
    <w:rsid w:val="010C704D"/>
    <w:rsid w:val="010E477A"/>
    <w:rsid w:val="0125218F"/>
    <w:rsid w:val="012652E4"/>
    <w:rsid w:val="012A6400"/>
    <w:rsid w:val="012E57E6"/>
    <w:rsid w:val="012F3F7C"/>
    <w:rsid w:val="01335C26"/>
    <w:rsid w:val="01386FC7"/>
    <w:rsid w:val="01476081"/>
    <w:rsid w:val="014F03EF"/>
    <w:rsid w:val="015045EB"/>
    <w:rsid w:val="015B279E"/>
    <w:rsid w:val="015C4B9E"/>
    <w:rsid w:val="01644E9B"/>
    <w:rsid w:val="016E39E6"/>
    <w:rsid w:val="01731BAC"/>
    <w:rsid w:val="018102AD"/>
    <w:rsid w:val="01934780"/>
    <w:rsid w:val="019B60BB"/>
    <w:rsid w:val="019D5C23"/>
    <w:rsid w:val="01A22ECF"/>
    <w:rsid w:val="01B028FA"/>
    <w:rsid w:val="01BC0284"/>
    <w:rsid w:val="01C25FAB"/>
    <w:rsid w:val="01CB3A1D"/>
    <w:rsid w:val="01D47101"/>
    <w:rsid w:val="01DC6F37"/>
    <w:rsid w:val="01DD1E9F"/>
    <w:rsid w:val="01DD4553"/>
    <w:rsid w:val="01DD4555"/>
    <w:rsid w:val="01F1403F"/>
    <w:rsid w:val="02113A42"/>
    <w:rsid w:val="021E0600"/>
    <w:rsid w:val="02207AC4"/>
    <w:rsid w:val="0222747D"/>
    <w:rsid w:val="022F10F9"/>
    <w:rsid w:val="023F5263"/>
    <w:rsid w:val="0252328D"/>
    <w:rsid w:val="025242B5"/>
    <w:rsid w:val="025657AD"/>
    <w:rsid w:val="025B2DC4"/>
    <w:rsid w:val="026F51AA"/>
    <w:rsid w:val="028234C4"/>
    <w:rsid w:val="028378E9"/>
    <w:rsid w:val="0284301E"/>
    <w:rsid w:val="028C1C3C"/>
    <w:rsid w:val="02920835"/>
    <w:rsid w:val="029546D3"/>
    <w:rsid w:val="02A3441B"/>
    <w:rsid w:val="02A44D6E"/>
    <w:rsid w:val="02A7568D"/>
    <w:rsid w:val="02D21635"/>
    <w:rsid w:val="02D40054"/>
    <w:rsid w:val="02DD02D5"/>
    <w:rsid w:val="02EE4588"/>
    <w:rsid w:val="02F00F77"/>
    <w:rsid w:val="02F54A26"/>
    <w:rsid w:val="02F91146"/>
    <w:rsid w:val="030169ED"/>
    <w:rsid w:val="030F27A6"/>
    <w:rsid w:val="031352CC"/>
    <w:rsid w:val="031370EA"/>
    <w:rsid w:val="031707C6"/>
    <w:rsid w:val="031B47F2"/>
    <w:rsid w:val="031D326E"/>
    <w:rsid w:val="03202190"/>
    <w:rsid w:val="032D3992"/>
    <w:rsid w:val="033E16E3"/>
    <w:rsid w:val="03401C4A"/>
    <w:rsid w:val="03461BE6"/>
    <w:rsid w:val="034A7C6C"/>
    <w:rsid w:val="035216D9"/>
    <w:rsid w:val="03541446"/>
    <w:rsid w:val="03603336"/>
    <w:rsid w:val="037654D2"/>
    <w:rsid w:val="03784C81"/>
    <w:rsid w:val="03843C99"/>
    <w:rsid w:val="03870807"/>
    <w:rsid w:val="03A34A22"/>
    <w:rsid w:val="03A862B5"/>
    <w:rsid w:val="03B24C65"/>
    <w:rsid w:val="03B43DB9"/>
    <w:rsid w:val="03B66A21"/>
    <w:rsid w:val="03BC74A3"/>
    <w:rsid w:val="03BD4016"/>
    <w:rsid w:val="03CA6F85"/>
    <w:rsid w:val="03CF3660"/>
    <w:rsid w:val="03EE592D"/>
    <w:rsid w:val="03F23DF8"/>
    <w:rsid w:val="03F97814"/>
    <w:rsid w:val="04223B99"/>
    <w:rsid w:val="043A69D0"/>
    <w:rsid w:val="043D49DA"/>
    <w:rsid w:val="04507BDE"/>
    <w:rsid w:val="04545791"/>
    <w:rsid w:val="04631C6B"/>
    <w:rsid w:val="0469372B"/>
    <w:rsid w:val="047D5273"/>
    <w:rsid w:val="04810F95"/>
    <w:rsid w:val="04812937"/>
    <w:rsid w:val="04823FDC"/>
    <w:rsid w:val="048977DC"/>
    <w:rsid w:val="04926589"/>
    <w:rsid w:val="049D629B"/>
    <w:rsid w:val="04A470EA"/>
    <w:rsid w:val="04BB34D3"/>
    <w:rsid w:val="04CB5B04"/>
    <w:rsid w:val="04D62BD6"/>
    <w:rsid w:val="04DE557A"/>
    <w:rsid w:val="04E2096B"/>
    <w:rsid w:val="04EC1467"/>
    <w:rsid w:val="04F335AF"/>
    <w:rsid w:val="04FC51E9"/>
    <w:rsid w:val="050339CA"/>
    <w:rsid w:val="050A25F3"/>
    <w:rsid w:val="051C6BF9"/>
    <w:rsid w:val="052632EC"/>
    <w:rsid w:val="05270B40"/>
    <w:rsid w:val="052B2CBB"/>
    <w:rsid w:val="052B5F01"/>
    <w:rsid w:val="05422333"/>
    <w:rsid w:val="0553065A"/>
    <w:rsid w:val="05534DB9"/>
    <w:rsid w:val="05680863"/>
    <w:rsid w:val="05777F14"/>
    <w:rsid w:val="058544AD"/>
    <w:rsid w:val="058E473B"/>
    <w:rsid w:val="05991F4C"/>
    <w:rsid w:val="05A177A5"/>
    <w:rsid w:val="05A342FF"/>
    <w:rsid w:val="05AB4ECC"/>
    <w:rsid w:val="05B13710"/>
    <w:rsid w:val="05B24156"/>
    <w:rsid w:val="05BD1516"/>
    <w:rsid w:val="05D11D1B"/>
    <w:rsid w:val="05D45872"/>
    <w:rsid w:val="05F11299"/>
    <w:rsid w:val="05F33C0C"/>
    <w:rsid w:val="05FB6D97"/>
    <w:rsid w:val="06023F18"/>
    <w:rsid w:val="06065D69"/>
    <w:rsid w:val="0615494B"/>
    <w:rsid w:val="062B4C4D"/>
    <w:rsid w:val="063821DF"/>
    <w:rsid w:val="064F0EA3"/>
    <w:rsid w:val="065B7836"/>
    <w:rsid w:val="065C3958"/>
    <w:rsid w:val="065C5F97"/>
    <w:rsid w:val="065D175F"/>
    <w:rsid w:val="068721A4"/>
    <w:rsid w:val="069502F1"/>
    <w:rsid w:val="0696261C"/>
    <w:rsid w:val="069914E0"/>
    <w:rsid w:val="06A256E3"/>
    <w:rsid w:val="06A5318F"/>
    <w:rsid w:val="06AF322D"/>
    <w:rsid w:val="06DFD941"/>
    <w:rsid w:val="06E15F8D"/>
    <w:rsid w:val="06E84EFE"/>
    <w:rsid w:val="06EE0437"/>
    <w:rsid w:val="06FB0294"/>
    <w:rsid w:val="070A76BC"/>
    <w:rsid w:val="07105271"/>
    <w:rsid w:val="071D1D74"/>
    <w:rsid w:val="073832D5"/>
    <w:rsid w:val="073F5BA2"/>
    <w:rsid w:val="07414C7E"/>
    <w:rsid w:val="074B1E3A"/>
    <w:rsid w:val="075D4FAB"/>
    <w:rsid w:val="07696929"/>
    <w:rsid w:val="077469B7"/>
    <w:rsid w:val="07751C03"/>
    <w:rsid w:val="078B098C"/>
    <w:rsid w:val="078E4AD3"/>
    <w:rsid w:val="0799647F"/>
    <w:rsid w:val="07A249AA"/>
    <w:rsid w:val="07AD39B1"/>
    <w:rsid w:val="07B730CB"/>
    <w:rsid w:val="07C3346B"/>
    <w:rsid w:val="07C93EFA"/>
    <w:rsid w:val="07CD206E"/>
    <w:rsid w:val="07E34F78"/>
    <w:rsid w:val="07E74062"/>
    <w:rsid w:val="07F13257"/>
    <w:rsid w:val="07F565F7"/>
    <w:rsid w:val="08097377"/>
    <w:rsid w:val="080A5070"/>
    <w:rsid w:val="08162D8B"/>
    <w:rsid w:val="081D0A1F"/>
    <w:rsid w:val="081D1ED8"/>
    <w:rsid w:val="081D4825"/>
    <w:rsid w:val="082660D2"/>
    <w:rsid w:val="082A19BD"/>
    <w:rsid w:val="082A6DEB"/>
    <w:rsid w:val="082F35CE"/>
    <w:rsid w:val="08326375"/>
    <w:rsid w:val="083D177C"/>
    <w:rsid w:val="084F384A"/>
    <w:rsid w:val="08564140"/>
    <w:rsid w:val="085E40BE"/>
    <w:rsid w:val="086A2C7F"/>
    <w:rsid w:val="086B32A9"/>
    <w:rsid w:val="08755AB3"/>
    <w:rsid w:val="087E0887"/>
    <w:rsid w:val="087E26F6"/>
    <w:rsid w:val="08815FB7"/>
    <w:rsid w:val="08870162"/>
    <w:rsid w:val="088C33DD"/>
    <w:rsid w:val="088D4218"/>
    <w:rsid w:val="088D5C9C"/>
    <w:rsid w:val="088E0007"/>
    <w:rsid w:val="088E5CA1"/>
    <w:rsid w:val="088F638C"/>
    <w:rsid w:val="0892382D"/>
    <w:rsid w:val="08933AAC"/>
    <w:rsid w:val="08A059D4"/>
    <w:rsid w:val="08AF6ED1"/>
    <w:rsid w:val="08C87290"/>
    <w:rsid w:val="08D13DE0"/>
    <w:rsid w:val="08D9214F"/>
    <w:rsid w:val="08F5187C"/>
    <w:rsid w:val="09000C3E"/>
    <w:rsid w:val="09061D59"/>
    <w:rsid w:val="09104C35"/>
    <w:rsid w:val="09475E50"/>
    <w:rsid w:val="09486EFA"/>
    <w:rsid w:val="095027E0"/>
    <w:rsid w:val="096C3496"/>
    <w:rsid w:val="09861F72"/>
    <w:rsid w:val="09924720"/>
    <w:rsid w:val="09997458"/>
    <w:rsid w:val="09A56DCB"/>
    <w:rsid w:val="09A63044"/>
    <w:rsid w:val="09A6693F"/>
    <w:rsid w:val="09AA5D42"/>
    <w:rsid w:val="09B072A5"/>
    <w:rsid w:val="09B65DE7"/>
    <w:rsid w:val="09C76744"/>
    <w:rsid w:val="09C8076C"/>
    <w:rsid w:val="09CA5B52"/>
    <w:rsid w:val="09D3475B"/>
    <w:rsid w:val="09E85463"/>
    <w:rsid w:val="09EB375B"/>
    <w:rsid w:val="09EC74C3"/>
    <w:rsid w:val="09EE3D08"/>
    <w:rsid w:val="09F77214"/>
    <w:rsid w:val="0A054DFC"/>
    <w:rsid w:val="0A0A0B10"/>
    <w:rsid w:val="0A0F4B8D"/>
    <w:rsid w:val="0A130B8B"/>
    <w:rsid w:val="0A206DCD"/>
    <w:rsid w:val="0A271A50"/>
    <w:rsid w:val="0A351A06"/>
    <w:rsid w:val="0A3855DA"/>
    <w:rsid w:val="0A3A7CCB"/>
    <w:rsid w:val="0A420A25"/>
    <w:rsid w:val="0A5371A2"/>
    <w:rsid w:val="0A5D68A6"/>
    <w:rsid w:val="0A5F6A6B"/>
    <w:rsid w:val="0A622F41"/>
    <w:rsid w:val="0A6A2F4F"/>
    <w:rsid w:val="0A6B7A80"/>
    <w:rsid w:val="0A7F727B"/>
    <w:rsid w:val="0A8575E4"/>
    <w:rsid w:val="0A88541F"/>
    <w:rsid w:val="0A9271E5"/>
    <w:rsid w:val="0AAC7AB7"/>
    <w:rsid w:val="0AB37467"/>
    <w:rsid w:val="0AD14A5C"/>
    <w:rsid w:val="0AD41965"/>
    <w:rsid w:val="0ADB7F8B"/>
    <w:rsid w:val="0AE00A3F"/>
    <w:rsid w:val="0AE22CEE"/>
    <w:rsid w:val="0AF1513D"/>
    <w:rsid w:val="0AF55C51"/>
    <w:rsid w:val="0AFD602E"/>
    <w:rsid w:val="0B001CE0"/>
    <w:rsid w:val="0B0F388E"/>
    <w:rsid w:val="0B224669"/>
    <w:rsid w:val="0B2B28A6"/>
    <w:rsid w:val="0B5B3E94"/>
    <w:rsid w:val="0B7C3BC0"/>
    <w:rsid w:val="0B907422"/>
    <w:rsid w:val="0BA070E4"/>
    <w:rsid w:val="0BA45AC3"/>
    <w:rsid w:val="0BA52B68"/>
    <w:rsid w:val="0BA83955"/>
    <w:rsid w:val="0BBB6A64"/>
    <w:rsid w:val="0BC402F1"/>
    <w:rsid w:val="0BD065D0"/>
    <w:rsid w:val="0BEC2487"/>
    <w:rsid w:val="0BEE05DC"/>
    <w:rsid w:val="0BEE1526"/>
    <w:rsid w:val="0BF5698D"/>
    <w:rsid w:val="0C0D5CC5"/>
    <w:rsid w:val="0C216FE6"/>
    <w:rsid w:val="0C356DB5"/>
    <w:rsid w:val="0C3628D7"/>
    <w:rsid w:val="0C504C6D"/>
    <w:rsid w:val="0C6C72D5"/>
    <w:rsid w:val="0C72626D"/>
    <w:rsid w:val="0C8729F2"/>
    <w:rsid w:val="0C9D5486"/>
    <w:rsid w:val="0CA47010"/>
    <w:rsid w:val="0CAB57AB"/>
    <w:rsid w:val="0CAD246E"/>
    <w:rsid w:val="0CB100DF"/>
    <w:rsid w:val="0CC05FF7"/>
    <w:rsid w:val="0CDC2475"/>
    <w:rsid w:val="0CEC587E"/>
    <w:rsid w:val="0CED18FD"/>
    <w:rsid w:val="0CF45C17"/>
    <w:rsid w:val="0CFA4F72"/>
    <w:rsid w:val="0CFC7112"/>
    <w:rsid w:val="0D1A3FA7"/>
    <w:rsid w:val="0D1C1E1C"/>
    <w:rsid w:val="0D217821"/>
    <w:rsid w:val="0D2707FD"/>
    <w:rsid w:val="0D2904DA"/>
    <w:rsid w:val="0D2C69B8"/>
    <w:rsid w:val="0D3835BD"/>
    <w:rsid w:val="0D7334F9"/>
    <w:rsid w:val="0D751446"/>
    <w:rsid w:val="0D77372E"/>
    <w:rsid w:val="0D842BC1"/>
    <w:rsid w:val="0D847672"/>
    <w:rsid w:val="0D881B74"/>
    <w:rsid w:val="0D8B166B"/>
    <w:rsid w:val="0D917955"/>
    <w:rsid w:val="0D9A24D6"/>
    <w:rsid w:val="0DA2183D"/>
    <w:rsid w:val="0DA442E1"/>
    <w:rsid w:val="0DC242B4"/>
    <w:rsid w:val="0DC7657A"/>
    <w:rsid w:val="0DCE6F40"/>
    <w:rsid w:val="0DD51357"/>
    <w:rsid w:val="0DD90E42"/>
    <w:rsid w:val="0DDD5596"/>
    <w:rsid w:val="0DDE1E42"/>
    <w:rsid w:val="0DEA7F5D"/>
    <w:rsid w:val="0DF45776"/>
    <w:rsid w:val="0DF71CFF"/>
    <w:rsid w:val="0E0031ED"/>
    <w:rsid w:val="0E120B42"/>
    <w:rsid w:val="0E1441E0"/>
    <w:rsid w:val="0E1C002E"/>
    <w:rsid w:val="0E1C5AFD"/>
    <w:rsid w:val="0E1F515A"/>
    <w:rsid w:val="0E242591"/>
    <w:rsid w:val="0E2D3128"/>
    <w:rsid w:val="0E3C74CF"/>
    <w:rsid w:val="0E3C7AE2"/>
    <w:rsid w:val="0E4A4418"/>
    <w:rsid w:val="0E4F13EF"/>
    <w:rsid w:val="0E5265B0"/>
    <w:rsid w:val="0E612607"/>
    <w:rsid w:val="0E63388A"/>
    <w:rsid w:val="0E64243F"/>
    <w:rsid w:val="0E697A90"/>
    <w:rsid w:val="0E6C1069"/>
    <w:rsid w:val="0E783FCA"/>
    <w:rsid w:val="0E7C0F24"/>
    <w:rsid w:val="0E806581"/>
    <w:rsid w:val="0E8E1C21"/>
    <w:rsid w:val="0E9209EF"/>
    <w:rsid w:val="0EA7474B"/>
    <w:rsid w:val="0EB7536A"/>
    <w:rsid w:val="0EBA14A3"/>
    <w:rsid w:val="0EC651CC"/>
    <w:rsid w:val="0ECC44EF"/>
    <w:rsid w:val="0ED11869"/>
    <w:rsid w:val="0ED839F2"/>
    <w:rsid w:val="0EE44FC3"/>
    <w:rsid w:val="0EE976CE"/>
    <w:rsid w:val="0EEA4BE2"/>
    <w:rsid w:val="0EED12B5"/>
    <w:rsid w:val="0EF754EA"/>
    <w:rsid w:val="0EFF5319"/>
    <w:rsid w:val="0EFF7C94"/>
    <w:rsid w:val="0F0054E2"/>
    <w:rsid w:val="0F233AF7"/>
    <w:rsid w:val="0F3D0D7F"/>
    <w:rsid w:val="0F401CB4"/>
    <w:rsid w:val="0F4036C8"/>
    <w:rsid w:val="0F480978"/>
    <w:rsid w:val="0F4A3960"/>
    <w:rsid w:val="0F4A606A"/>
    <w:rsid w:val="0F58025F"/>
    <w:rsid w:val="0F626038"/>
    <w:rsid w:val="0F6260DB"/>
    <w:rsid w:val="0F914856"/>
    <w:rsid w:val="0F9201BB"/>
    <w:rsid w:val="0F964DF8"/>
    <w:rsid w:val="0FB104C7"/>
    <w:rsid w:val="0FB765C5"/>
    <w:rsid w:val="0FCF23D5"/>
    <w:rsid w:val="0FD50B90"/>
    <w:rsid w:val="0FDC5544"/>
    <w:rsid w:val="0FDE38C8"/>
    <w:rsid w:val="0FE91FED"/>
    <w:rsid w:val="0FFC2ACC"/>
    <w:rsid w:val="10026645"/>
    <w:rsid w:val="100F32BC"/>
    <w:rsid w:val="101A6499"/>
    <w:rsid w:val="101D56FB"/>
    <w:rsid w:val="1026322B"/>
    <w:rsid w:val="102E21B4"/>
    <w:rsid w:val="10321D8F"/>
    <w:rsid w:val="10435802"/>
    <w:rsid w:val="1072280C"/>
    <w:rsid w:val="10796D4E"/>
    <w:rsid w:val="107A6B0B"/>
    <w:rsid w:val="108B5DBD"/>
    <w:rsid w:val="10A216B8"/>
    <w:rsid w:val="10A72FC2"/>
    <w:rsid w:val="10AA2EB4"/>
    <w:rsid w:val="10D37C1B"/>
    <w:rsid w:val="10DA5A84"/>
    <w:rsid w:val="10DC52B4"/>
    <w:rsid w:val="10E0485E"/>
    <w:rsid w:val="10E32D60"/>
    <w:rsid w:val="10E36DA6"/>
    <w:rsid w:val="110379EA"/>
    <w:rsid w:val="11112651"/>
    <w:rsid w:val="11122E96"/>
    <w:rsid w:val="111836EC"/>
    <w:rsid w:val="111A46C6"/>
    <w:rsid w:val="111D546A"/>
    <w:rsid w:val="112559BF"/>
    <w:rsid w:val="1130723F"/>
    <w:rsid w:val="1137605C"/>
    <w:rsid w:val="11486410"/>
    <w:rsid w:val="11546497"/>
    <w:rsid w:val="1154669F"/>
    <w:rsid w:val="115A0E16"/>
    <w:rsid w:val="11914FAF"/>
    <w:rsid w:val="11B622AD"/>
    <w:rsid w:val="11BC64B3"/>
    <w:rsid w:val="11BF5F03"/>
    <w:rsid w:val="11C469DC"/>
    <w:rsid w:val="11C83964"/>
    <w:rsid w:val="11CA3986"/>
    <w:rsid w:val="11D430B2"/>
    <w:rsid w:val="11EA3C9D"/>
    <w:rsid w:val="11EB3DF1"/>
    <w:rsid w:val="120772B1"/>
    <w:rsid w:val="120B0A24"/>
    <w:rsid w:val="1211476F"/>
    <w:rsid w:val="1217736F"/>
    <w:rsid w:val="121807EF"/>
    <w:rsid w:val="12292634"/>
    <w:rsid w:val="122E1B52"/>
    <w:rsid w:val="12311BC8"/>
    <w:rsid w:val="12405BA0"/>
    <w:rsid w:val="124544A3"/>
    <w:rsid w:val="12455343"/>
    <w:rsid w:val="12542E05"/>
    <w:rsid w:val="12573966"/>
    <w:rsid w:val="12657CA7"/>
    <w:rsid w:val="126D5417"/>
    <w:rsid w:val="126F458A"/>
    <w:rsid w:val="12723F3D"/>
    <w:rsid w:val="127B38E1"/>
    <w:rsid w:val="12893AC3"/>
    <w:rsid w:val="128E2E39"/>
    <w:rsid w:val="129236FE"/>
    <w:rsid w:val="129E11D6"/>
    <w:rsid w:val="12A26BAF"/>
    <w:rsid w:val="12A3059B"/>
    <w:rsid w:val="12A47663"/>
    <w:rsid w:val="12AC3D51"/>
    <w:rsid w:val="12B32B77"/>
    <w:rsid w:val="12B504A4"/>
    <w:rsid w:val="12B51CE7"/>
    <w:rsid w:val="12C04A94"/>
    <w:rsid w:val="12C43E5C"/>
    <w:rsid w:val="12CD15E4"/>
    <w:rsid w:val="12D3562C"/>
    <w:rsid w:val="12DF4DBE"/>
    <w:rsid w:val="12E50BB3"/>
    <w:rsid w:val="12EA1E8C"/>
    <w:rsid w:val="12F80669"/>
    <w:rsid w:val="12FD69BA"/>
    <w:rsid w:val="13006F32"/>
    <w:rsid w:val="130D494D"/>
    <w:rsid w:val="13102E9B"/>
    <w:rsid w:val="131E5E73"/>
    <w:rsid w:val="132C26C7"/>
    <w:rsid w:val="136B0E96"/>
    <w:rsid w:val="13744A9A"/>
    <w:rsid w:val="13756CB1"/>
    <w:rsid w:val="138613C8"/>
    <w:rsid w:val="138853DD"/>
    <w:rsid w:val="138D4BF2"/>
    <w:rsid w:val="139212E6"/>
    <w:rsid w:val="13976D46"/>
    <w:rsid w:val="139D085D"/>
    <w:rsid w:val="13A04D91"/>
    <w:rsid w:val="13B5252B"/>
    <w:rsid w:val="13C00D01"/>
    <w:rsid w:val="13C7475D"/>
    <w:rsid w:val="13CA1A61"/>
    <w:rsid w:val="13E30A3A"/>
    <w:rsid w:val="13E507B9"/>
    <w:rsid w:val="13EB21F9"/>
    <w:rsid w:val="13ED4B53"/>
    <w:rsid w:val="13F25AEE"/>
    <w:rsid w:val="13FE61E2"/>
    <w:rsid w:val="140F24CB"/>
    <w:rsid w:val="14101DB7"/>
    <w:rsid w:val="14115ED5"/>
    <w:rsid w:val="141F36D1"/>
    <w:rsid w:val="14255B46"/>
    <w:rsid w:val="14264154"/>
    <w:rsid w:val="14321BD6"/>
    <w:rsid w:val="14325CB1"/>
    <w:rsid w:val="14501B5B"/>
    <w:rsid w:val="14573085"/>
    <w:rsid w:val="145D7C2F"/>
    <w:rsid w:val="146B36CA"/>
    <w:rsid w:val="147A2183"/>
    <w:rsid w:val="14A310D5"/>
    <w:rsid w:val="14A92B5D"/>
    <w:rsid w:val="14AB79CD"/>
    <w:rsid w:val="14BE68ED"/>
    <w:rsid w:val="14C31184"/>
    <w:rsid w:val="14D329FA"/>
    <w:rsid w:val="14E0465D"/>
    <w:rsid w:val="14E05CAA"/>
    <w:rsid w:val="14E5268C"/>
    <w:rsid w:val="14E52D08"/>
    <w:rsid w:val="14ED40C7"/>
    <w:rsid w:val="14EE1F4C"/>
    <w:rsid w:val="14F06D17"/>
    <w:rsid w:val="14F54DD9"/>
    <w:rsid w:val="14F84A87"/>
    <w:rsid w:val="15053593"/>
    <w:rsid w:val="151E44DE"/>
    <w:rsid w:val="152745B4"/>
    <w:rsid w:val="153100E0"/>
    <w:rsid w:val="15325C06"/>
    <w:rsid w:val="15384A9B"/>
    <w:rsid w:val="154A2214"/>
    <w:rsid w:val="154C6CC8"/>
    <w:rsid w:val="15581455"/>
    <w:rsid w:val="15604A8D"/>
    <w:rsid w:val="1564106D"/>
    <w:rsid w:val="15696820"/>
    <w:rsid w:val="156A5117"/>
    <w:rsid w:val="156A5DCF"/>
    <w:rsid w:val="157450FD"/>
    <w:rsid w:val="15757B74"/>
    <w:rsid w:val="15797051"/>
    <w:rsid w:val="157D3325"/>
    <w:rsid w:val="1593213A"/>
    <w:rsid w:val="15BB3E4D"/>
    <w:rsid w:val="15BE343A"/>
    <w:rsid w:val="15BE4623"/>
    <w:rsid w:val="15C87376"/>
    <w:rsid w:val="15CC7805"/>
    <w:rsid w:val="15D636DF"/>
    <w:rsid w:val="15DA0083"/>
    <w:rsid w:val="15DD636C"/>
    <w:rsid w:val="15DF4CC5"/>
    <w:rsid w:val="15F2061C"/>
    <w:rsid w:val="15F96844"/>
    <w:rsid w:val="161154A0"/>
    <w:rsid w:val="161C1497"/>
    <w:rsid w:val="162C6AF9"/>
    <w:rsid w:val="164D2D8C"/>
    <w:rsid w:val="16537A46"/>
    <w:rsid w:val="168460A8"/>
    <w:rsid w:val="16927694"/>
    <w:rsid w:val="169D1801"/>
    <w:rsid w:val="16A2666C"/>
    <w:rsid w:val="16A26C6B"/>
    <w:rsid w:val="16B01C4C"/>
    <w:rsid w:val="16C2246E"/>
    <w:rsid w:val="16CA3D87"/>
    <w:rsid w:val="16D564B9"/>
    <w:rsid w:val="16DA6555"/>
    <w:rsid w:val="16EA2317"/>
    <w:rsid w:val="16F130E9"/>
    <w:rsid w:val="16FA2753"/>
    <w:rsid w:val="17027446"/>
    <w:rsid w:val="17152FFF"/>
    <w:rsid w:val="1717738C"/>
    <w:rsid w:val="17255A22"/>
    <w:rsid w:val="172F64F4"/>
    <w:rsid w:val="17357C29"/>
    <w:rsid w:val="1748710D"/>
    <w:rsid w:val="174C3A04"/>
    <w:rsid w:val="17535197"/>
    <w:rsid w:val="17586754"/>
    <w:rsid w:val="175E78CC"/>
    <w:rsid w:val="17797B1C"/>
    <w:rsid w:val="178D5376"/>
    <w:rsid w:val="17A5481D"/>
    <w:rsid w:val="17AB36EA"/>
    <w:rsid w:val="17AF0C22"/>
    <w:rsid w:val="17BE1E21"/>
    <w:rsid w:val="17C62542"/>
    <w:rsid w:val="17CE5C35"/>
    <w:rsid w:val="17D613CB"/>
    <w:rsid w:val="17D71F29"/>
    <w:rsid w:val="17E7717C"/>
    <w:rsid w:val="17E9248E"/>
    <w:rsid w:val="17EF7DDE"/>
    <w:rsid w:val="1807344C"/>
    <w:rsid w:val="18271574"/>
    <w:rsid w:val="182B1102"/>
    <w:rsid w:val="183710C7"/>
    <w:rsid w:val="18530470"/>
    <w:rsid w:val="1865361E"/>
    <w:rsid w:val="187034A2"/>
    <w:rsid w:val="18743976"/>
    <w:rsid w:val="187477CA"/>
    <w:rsid w:val="18750721"/>
    <w:rsid w:val="187A7FF0"/>
    <w:rsid w:val="18820C52"/>
    <w:rsid w:val="18865551"/>
    <w:rsid w:val="188A4540"/>
    <w:rsid w:val="188B7B07"/>
    <w:rsid w:val="188C3142"/>
    <w:rsid w:val="188C387F"/>
    <w:rsid w:val="1898314B"/>
    <w:rsid w:val="18B2397F"/>
    <w:rsid w:val="18C012BA"/>
    <w:rsid w:val="18CC4295"/>
    <w:rsid w:val="18D60BB4"/>
    <w:rsid w:val="18D9757E"/>
    <w:rsid w:val="18DE40AC"/>
    <w:rsid w:val="18F0478A"/>
    <w:rsid w:val="18FD249C"/>
    <w:rsid w:val="191425C9"/>
    <w:rsid w:val="19171A10"/>
    <w:rsid w:val="193429DB"/>
    <w:rsid w:val="19401B32"/>
    <w:rsid w:val="19410AB4"/>
    <w:rsid w:val="19531867"/>
    <w:rsid w:val="195978D9"/>
    <w:rsid w:val="196719D9"/>
    <w:rsid w:val="196D2FAF"/>
    <w:rsid w:val="196F7BA7"/>
    <w:rsid w:val="1975288F"/>
    <w:rsid w:val="197B7F55"/>
    <w:rsid w:val="199D29D5"/>
    <w:rsid w:val="19A154B8"/>
    <w:rsid w:val="19A35324"/>
    <w:rsid w:val="19A8222D"/>
    <w:rsid w:val="19AD53D3"/>
    <w:rsid w:val="19C57049"/>
    <w:rsid w:val="19CA1AF1"/>
    <w:rsid w:val="19CF69C1"/>
    <w:rsid w:val="19D452EC"/>
    <w:rsid w:val="19D84083"/>
    <w:rsid w:val="19DC675F"/>
    <w:rsid w:val="19DD35A7"/>
    <w:rsid w:val="19ED3253"/>
    <w:rsid w:val="19FB0CBC"/>
    <w:rsid w:val="1A071795"/>
    <w:rsid w:val="1A1C7591"/>
    <w:rsid w:val="1A281470"/>
    <w:rsid w:val="1A2D0134"/>
    <w:rsid w:val="1A387CB7"/>
    <w:rsid w:val="1A3E2CFD"/>
    <w:rsid w:val="1A404921"/>
    <w:rsid w:val="1A480FA9"/>
    <w:rsid w:val="1A534500"/>
    <w:rsid w:val="1A5B201B"/>
    <w:rsid w:val="1A5D7330"/>
    <w:rsid w:val="1A5F7164"/>
    <w:rsid w:val="1A7F69F7"/>
    <w:rsid w:val="1A8E1B30"/>
    <w:rsid w:val="1A8E70F2"/>
    <w:rsid w:val="1A961EAB"/>
    <w:rsid w:val="1AA177EB"/>
    <w:rsid w:val="1AB40B62"/>
    <w:rsid w:val="1AB45857"/>
    <w:rsid w:val="1AB519D0"/>
    <w:rsid w:val="1AB570BD"/>
    <w:rsid w:val="1AC366F5"/>
    <w:rsid w:val="1ACB3239"/>
    <w:rsid w:val="1AEA600F"/>
    <w:rsid w:val="1AEB62F3"/>
    <w:rsid w:val="1AFD20D4"/>
    <w:rsid w:val="1B091FAF"/>
    <w:rsid w:val="1B0B3181"/>
    <w:rsid w:val="1B11745A"/>
    <w:rsid w:val="1B174740"/>
    <w:rsid w:val="1B1B7A5A"/>
    <w:rsid w:val="1B55467D"/>
    <w:rsid w:val="1B564C6C"/>
    <w:rsid w:val="1B5B5744"/>
    <w:rsid w:val="1B5F7E9E"/>
    <w:rsid w:val="1B60319C"/>
    <w:rsid w:val="1B611914"/>
    <w:rsid w:val="1B662BD1"/>
    <w:rsid w:val="1B725ED2"/>
    <w:rsid w:val="1B8C1C34"/>
    <w:rsid w:val="1B8F1CA3"/>
    <w:rsid w:val="1BA11DBE"/>
    <w:rsid w:val="1BAA0869"/>
    <w:rsid w:val="1BAE55EB"/>
    <w:rsid w:val="1BAF329B"/>
    <w:rsid w:val="1BD01F22"/>
    <w:rsid w:val="1BD87DF3"/>
    <w:rsid w:val="1BE0037E"/>
    <w:rsid w:val="1BE16ABE"/>
    <w:rsid w:val="1BF50751"/>
    <w:rsid w:val="1BFA51B1"/>
    <w:rsid w:val="1C047ECA"/>
    <w:rsid w:val="1C181734"/>
    <w:rsid w:val="1C222B4E"/>
    <w:rsid w:val="1C3062FE"/>
    <w:rsid w:val="1C502C91"/>
    <w:rsid w:val="1C6F6EF2"/>
    <w:rsid w:val="1C705992"/>
    <w:rsid w:val="1C8149CE"/>
    <w:rsid w:val="1C820684"/>
    <w:rsid w:val="1C8D39D7"/>
    <w:rsid w:val="1C8E39C5"/>
    <w:rsid w:val="1C973699"/>
    <w:rsid w:val="1CAB564D"/>
    <w:rsid w:val="1CBB2985"/>
    <w:rsid w:val="1CC04588"/>
    <w:rsid w:val="1CC552D4"/>
    <w:rsid w:val="1CCE080A"/>
    <w:rsid w:val="1CDA0309"/>
    <w:rsid w:val="1CEB0135"/>
    <w:rsid w:val="1CEE0795"/>
    <w:rsid w:val="1D0010B6"/>
    <w:rsid w:val="1D09755A"/>
    <w:rsid w:val="1D0C5A92"/>
    <w:rsid w:val="1D1B2419"/>
    <w:rsid w:val="1D23426F"/>
    <w:rsid w:val="1D242F44"/>
    <w:rsid w:val="1D2A68CB"/>
    <w:rsid w:val="1D374A97"/>
    <w:rsid w:val="1D58093E"/>
    <w:rsid w:val="1D6757C6"/>
    <w:rsid w:val="1D7D0D09"/>
    <w:rsid w:val="1D8D60CF"/>
    <w:rsid w:val="1D9438BF"/>
    <w:rsid w:val="1D99389A"/>
    <w:rsid w:val="1DA603A3"/>
    <w:rsid w:val="1DA81177"/>
    <w:rsid w:val="1DAF5CF4"/>
    <w:rsid w:val="1DB4365C"/>
    <w:rsid w:val="1DC662E0"/>
    <w:rsid w:val="1DD12460"/>
    <w:rsid w:val="1DDA2020"/>
    <w:rsid w:val="1DDD0FED"/>
    <w:rsid w:val="1DE71447"/>
    <w:rsid w:val="1DFDB4D0"/>
    <w:rsid w:val="1E0B7FC7"/>
    <w:rsid w:val="1E1042EE"/>
    <w:rsid w:val="1E147B04"/>
    <w:rsid w:val="1E1D4A1C"/>
    <w:rsid w:val="1E305C2A"/>
    <w:rsid w:val="1E320217"/>
    <w:rsid w:val="1E323201"/>
    <w:rsid w:val="1E3F6A5D"/>
    <w:rsid w:val="1E5A0959"/>
    <w:rsid w:val="1E6B2E82"/>
    <w:rsid w:val="1E862E74"/>
    <w:rsid w:val="1E92214E"/>
    <w:rsid w:val="1E942ED7"/>
    <w:rsid w:val="1E987CCE"/>
    <w:rsid w:val="1EBE773D"/>
    <w:rsid w:val="1ECF2ECA"/>
    <w:rsid w:val="1EE367C6"/>
    <w:rsid w:val="1EE96CEB"/>
    <w:rsid w:val="1EFD616A"/>
    <w:rsid w:val="1F1E3AD9"/>
    <w:rsid w:val="1F263229"/>
    <w:rsid w:val="1F354F36"/>
    <w:rsid w:val="1F3C7946"/>
    <w:rsid w:val="1F475813"/>
    <w:rsid w:val="1F4A4B18"/>
    <w:rsid w:val="1F507DE8"/>
    <w:rsid w:val="1F5A060A"/>
    <w:rsid w:val="1F5B0441"/>
    <w:rsid w:val="1F5C0187"/>
    <w:rsid w:val="1F604AD3"/>
    <w:rsid w:val="1F67004F"/>
    <w:rsid w:val="1F723BD9"/>
    <w:rsid w:val="1F7B490B"/>
    <w:rsid w:val="1F86492E"/>
    <w:rsid w:val="1F8C64D0"/>
    <w:rsid w:val="1FA16A75"/>
    <w:rsid w:val="1FA33931"/>
    <w:rsid w:val="1FA4205E"/>
    <w:rsid w:val="1FAC7078"/>
    <w:rsid w:val="1FCF6137"/>
    <w:rsid w:val="1FD278C0"/>
    <w:rsid w:val="1FF27F58"/>
    <w:rsid w:val="1FF474B4"/>
    <w:rsid w:val="1FFB4BF1"/>
    <w:rsid w:val="20006C6D"/>
    <w:rsid w:val="20020FF7"/>
    <w:rsid w:val="20094882"/>
    <w:rsid w:val="2009529F"/>
    <w:rsid w:val="2010376D"/>
    <w:rsid w:val="20144886"/>
    <w:rsid w:val="201B5C14"/>
    <w:rsid w:val="20230897"/>
    <w:rsid w:val="20234A66"/>
    <w:rsid w:val="20295A6F"/>
    <w:rsid w:val="202D1DEC"/>
    <w:rsid w:val="202E67C5"/>
    <w:rsid w:val="203068C2"/>
    <w:rsid w:val="20314101"/>
    <w:rsid w:val="203D48D0"/>
    <w:rsid w:val="20477E33"/>
    <w:rsid w:val="2048197C"/>
    <w:rsid w:val="20576095"/>
    <w:rsid w:val="205D447F"/>
    <w:rsid w:val="205D5582"/>
    <w:rsid w:val="20696FC2"/>
    <w:rsid w:val="206A0849"/>
    <w:rsid w:val="206A094A"/>
    <w:rsid w:val="20706C76"/>
    <w:rsid w:val="20803174"/>
    <w:rsid w:val="20821758"/>
    <w:rsid w:val="20883B5A"/>
    <w:rsid w:val="208918BB"/>
    <w:rsid w:val="208E288A"/>
    <w:rsid w:val="20A66A09"/>
    <w:rsid w:val="20A83220"/>
    <w:rsid w:val="20AC2D76"/>
    <w:rsid w:val="20AD0B0A"/>
    <w:rsid w:val="20BD7651"/>
    <w:rsid w:val="20BF0C96"/>
    <w:rsid w:val="20C01CB9"/>
    <w:rsid w:val="20C42BB1"/>
    <w:rsid w:val="20C8382A"/>
    <w:rsid w:val="20CF15E4"/>
    <w:rsid w:val="20DA787E"/>
    <w:rsid w:val="20DB008A"/>
    <w:rsid w:val="20E40F3C"/>
    <w:rsid w:val="20E57FD0"/>
    <w:rsid w:val="20ED254A"/>
    <w:rsid w:val="20F12E19"/>
    <w:rsid w:val="20F53635"/>
    <w:rsid w:val="20F5558F"/>
    <w:rsid w:val="20F7233F"/>
    <w:rsid w:val="2107311A"/>
    <w:rsid w:val="21085AAA"/>
    <w:rsid w:val="210A3CCF"/>
    <w:rsid w:val="21182985"/>
    <w:rsid w:val="21241733"/>
    <w:rsid w:val="21485046"/>
    <w:rsid w:val="214A5696"/>
    <w:rsid w:val="215858F3"/>
    <w:rsid w:val="215F5D3E"/>
    <w:rsid w:val="2166049C"/>
    <w:rsid w:val="217B3F0D"/>
    <w:rsid w:val="218D45BC"/>
    <w:rsid w:val="21904A92"/>
    <w:rsid w:val="219509FA"/>
    <w:rsid w:val="21952532"/>
    <w:rsid w:val="21A7080E"/>
    <w:rsid w:val="21A9095B"/>
    <w:rsid w:val="21AE4866"/>
    <w:rsid w:val="21B753A5"/>
    <w:rsid w:val="21C353E9"/>
    <w:rsid w:val="21D40771"/>
    <w:rsid w:val="21DE4322"/>
    <w:rsid w:val="21ED538F"/>
    <w:rsid w:val="21F833A7"/>
    <w:rsid w:val="21FB18B6"/>
    <w:rsid w:val="21FD75FA"/>
    <w:rsid w:val="220C30AE"/>
    <w:rsid w:val="221F42A7"/>
    <w:rsid w:val="22232CAB"/>
    <w:rsid w:val="22281BF4"/>
    <w:rsid w:val="222E5D95"/>
    <w:rsid w:val="22370D00"/>
    <w:rsid w:val="224B6635"/>
    <w:rsid w:val="22524277"/>
    <w:rsid w:val="225E003A"/>
    <w:rsid w:val="225E189E"/>
    <w:rsid w:val="226A1E07"/>
    <w:rsid w:val="226B072A"/>
    <w:rsid w:val="228749F9"/>
    <w:rsid w:val="22964F05"/>
    <w:rsid w:val="22982478"/>
    <w:rsid w:val="229E0D7F"/>
    <w:rsid w:val="22BA7F97"/>
    <w:rsid w:val="22BE5AFE"/>
    <w:rsid w:val="22C16616"/>
    <w:rsid w:val="22C57007"/>
    <w:rsid w:val="22D327D6"/>
    <w:rsid w:val="22DF258C"/>
    <w:rsid w:val="22DF5A1A"/>
    <w:rsid w:val="22E96DBD"/>
    <w:rsid w:val="22EA1385"/>
    <w:rsid w:val="22EB7051"/>
    <w:rsid w:val="230B05E0"/>
    <w:rsid w:val="231428C2"/>
    <w:rsid w:val="231E77CA"/>
    <w:rsid w:val="23207DE6"/>
    <w:rsid w:val="232249C0"/>
    <w:rsid w:val="232270FD"/>
    <w:rsid w:val="232965C1"/>
    <w:rsid w:val="232E698C"/>
    <w:rsid w:val="23303AB6"/>
    <w:rsid w:val="2334272C"/>
    <w:rsid w:val="23364B66"/>
    <w:rsid w:val="2345691D"/>
    <w:rsid w:val="234616D6"/>
    <w:rsid w:val="234A0A38"/>
    <w:rsid w:val="234F0D41"/>
    <w:rsid w:val="235826C0"/>
    <w:rsid w:val="23607DE2"/>
    <w:rsid w:val="23622E0D"/>
    <w:rsid w:val="2370458E"/>
    <w:rsid w:val="237154E5"/>
    <w:rsid w:val="237533C2"/>
    <w:rsid w:val="237F439A"/>
    <w:rsid w:val="238233B7"/>
    <w:rsid w:val="23875DC0"/>
    <w:rsid w:val="238E1D8A"/>
    <w:rsid w:val="23902475"/>
    <w:rsid w:val="239A7798"/>
    <w:rsid w:val="23A34D10"/>
    <w:rsid w:val="23B52D23"/>
    <w:rsid w:val="23BB258B"/>
    <w:rsid w:val="23D507D0"/>
    <w:rsid w:val="23DA4C14"/>
    <w:rsid w:val="23E8757D"/>
    <w:rsid w:val="23ED7AFF"/>
    <w:rsid w:val="23F8282F"/>
    <w:rsid w:val="23FF2FF4"/>
    <w:rsid w:val="24037CDB"/>
    <w:rsid w:val="240932EF"/>
    <w:rsid w:val="240E048B"/>
    <w:rsid w:val="240F3CE2"/>
    <w:rsid w:val="24194F95"/>
    <w:rsid w:val="242A056A"/>
    <w:rsid w:val="242C608C"/>
    <w:rsid w:val="242D2462"/>
    <w:rsid w:val="243D2F95"/>
    <w:rsid w:val="244A2439"/>
    <w:rsid w:val="244D724F"/>
    <w:rsid w:val="244E7BD1"/>
    <w:rsid w:val="245931AF"/>
    <w:rsid w:val="245947B1"/>
    <w:rsid w:val="246F1337"/>
    <w:rsid w:val="24785186"/>
    <w:rsid w:val="247B1D5A"/>
    <w:rsid w:val="247E60BF"/>
    <w:rsid w:val="247E7E77"/>
    <w:rsid w:val="24800641"/>
    <w:rsid w:val="2480295E"/>
    <w:rsid w:val="24885842"/>
    <w:rsid w:val="249E4B52"/>
    <w:rsid w:val="24AB1B4F"/>
    <w:rsid w:val="24CE3293"/>
    <w:rsid w:val="24D051CD"/>
    <w:rsid w:val="24E05B4A"/>
    <w:rsid w:val="24EE4661"/>
    <w:rsid w:val="24FF3B8C"/>
    <w:rsid w:val="250377C9"/>
    <w:rsid w:val="250C1F6A"/>
    <w:rsid w:val="251C3C8B"/>
    <w:rsid w:val="252F78DE"/>
    <w:rsid w:val="253013B7"/>
    <w:rsid w:val="25302162"/>
    <w:rsid w:val="25326E25"/>
    <w:rsid w:val="2533715D"/>
    <w:rsid w:val="2538078E"/>
    <w:rsid w:val="253873A2"/>
    <w:rsid w:val="253F1CB6"/>
    <w:rsid w:val="2542534A"/>
    <w:rsid w:val="254450F6"/>
    <w:rsid w:val="255620C2"/>
    <w:rsid w:val="25633427"/>
    <w:rsid w:val="25671259"/>
    <w:rsid w:val="25700689"/>
    <w:rsid w:val="257528DF"/>
    <w:rsid w:val="25A40E76"/>
    <w:rsid w:val="25B67726"/>
    <w:rsid w:val="25BF127A"/>
    <w:rsid w:val="25EC7D04"/>
    <w:rsid w:val="25EC7E94"/>
    <w:rsid w:val="25F0297B"/>
    <w:rsid w:val="2602724B"/>
    <w:rsid w:val="26125217"/>
    <w:rsid w:val="261E1D3D"/>
    <w:rsid w:val="263E265D"/>
    <w:rsid w:val="26542D5F"/>
    <w:rsid w:val="265B5D4C"/>
    <w:rsid w:val="26606FA7"/>
    <w:rsid w:val="26664190"/>
    <w:rsid w:val="266D6452"/>
    <w:rsid w:val="267269EC"/>
    <w:rsid w:val="26830430"/>
    <w:rsid w:val="26996D33"/>
    <w:rsid w:val="269A360B"/>
    <w:rsid w:val="26A93C29"/>
    <w:rsid w:val="26B42D6E"/>
    <w:rsid w:val="26B53ECE"/>
    <w:rsid w:val="26BC087E"/>
    <w:rsid w:val="26C428D3"/>
    <w:rsid w:val="26CD7011"/>
    <w:rsid w:val="26CF7BEC"/>
    <w:rsid w:val="26D31D3D"/>
    <w:rsid w:val="26D344CF"/>
    <w:rsid w:val="26EE4E50"/>
    <w:rsid w:val="26F069AA"/>
    <w:rsid w:val="26F215A7"/>
    <w:rsid w:val="26FC56B6"/>
    <w:rsid w:val="27006E66"/>
    <w:rsid w:val="270121D8"/>
    <w:rsid w:val="27091218"/>
    <w:rsid w:val="272E26D1"/>
    <w:rsid w:val="27317F48"/>
    <w:rsid w:val="27321B7F"/>
    <w:rsid w:val="2740767C"/>
    <w:rsid w:val="27490DAC"/>
    <w:rsid w:val="275F6D2E"/>
    <w:rsid w:val="2767173F"/>
    <w:rsid w:val="27677841"/>
    <w:rsid w:val="276B328D"/>
    <w:rsid w:val="277232D7"/>
    <w:rsid w:val="278E42FF"/>
    <w:rsid w:val="27901AEB"/>
    <w:rsid w:val="279D1605"/>
    <w:rsid w:val="27A02EA3"/>
    <w:rsid w:val="27A23097"/>
    <w:rsid w:val="27B509B2"/>
    <w:rsid w:val="27B86A0A"/>
    <w:rsid w:val="27BF491E"/>
    <w:rsid w:val="27C85CA8"/>
    <w:rsid w:val="27CA3A47"/>
    <w:rsid w:val="27ED24A1"/>
    <w:rsid w:val="27F71841"/>
    <w:rsid w:val="27F956BA"/>
    <w:rsid w:val="27F96860"/>
    <w:rsid w:val="27FA0835"/>
    <w:rsid w:val="27FA7E0C"/>
    <w:rsid w:val="283022F8"/>
    <w:rsid w:val="2832369D"/>
    <w:rsid w:val="28346792"/>
    <w:rsid w:val="284B7BDA"/>
    <w:rsid w:val="285430EB"/>
    <w:rsid w:val="28575F31"/>
    <w:rsid w:val="28646CA2"/>
    <w:rsid w:val="287B4922"/>
    <w:rsid w:val="2895768E"/>
    <w:rsid w:val="289D7142"/>
    <w:rsid w:val="28A57A1A"/>
    <w:rsid w:val="28A60C5D"/>
    <w:rsid w:val="28AB0006"/>
    <w:rsid w:val="28BB05AC"/>
    <w:rsid w:val="28CD3196"/>
    <w:rsid w:val="28D16FB9"/>
    <w:rsid w:val="28D70403"/>
    <w:rsid w:val="28FB65E3"/>
    <w:rsid w:val="291A2C95"/>
    <w:rsid w:val="292260D9"/>
    <w:rsid w:val="29230E6C"/>
    <w:rsid w:val="292A79A7"/>
    <w:rsid w:val="29377DBD"/>
    <w:rsid w:val="29441E34"/>
    <w:rsid w:val="29455AB0"/>
    <w:rsid w:val="294625CF"/>
    <w:rsid w:val="29631EBC"/>
    <w:rsid w:val="29661C8F"/>
    <w:rsid w:val="29781EC7"/>
    <w:rsid w:val="297A5D79"/>
    <w:rsid w:val="297F6DD9"/>
    <w:rsid w:val="298C1931"/>
    <w:rsid w:val="29922FE6"/>
    <w:rsid w:val="29932CBF"/>
    <w:rsid w:val="29944040"/>
    <w:rsid w:val="299D0307"/>
    <w:rsid w:val="29B6569D"/>
    <w:rsid w:val="29BD4B8F"/>
    <w:rsid w:val="29CE434D"/>
    <w:rsid w:val="29E10C37"/>
    <w:rsid w:val="29E517E3"/>
    <w:rsid w:val="29F14770"/>
    <w:rsid w:val="29F96489"/>
    <w:rsid w:val="29FF65A7"/>
    <w:rsid w:val="2A0C3FE2"/>
    <w:rsid w:val="2A0D0899"/>
    <w:rsid w:val="2A13183D"/>
    <w:rsid w:val="2A285CEC"/>
    <w:rsid w:val="2A2B2EF8"/>
    <w:rsid w:val="2A32072A"/>
    <w:rsid w:val="2A351349"/>
    <w:rsid w:val="2A391C4C"/>
    <w:rsid w:val="2A4962A4"/>
    <w:rsid w:val="2A4D410C"/>
    <w:rsid w:val="2A58364C"/>
    <w:rsid w:val="2A5C1303"/>
    <w:rsid w:val="2A634ACF"/>
    <w:rsid w:val="2A6669BA"/>
    <w:rsid w:val="2A956AC3"/>
    <w:rsid w:val="2A9E08DF"/>
    <w:rsid w:val="2A9F4F51"/>
    <w:rsid w:val="2AC043D2"/>
    <w:rsid w:val="2AC13274"/>
    <w:rsid w:val="2AC21312"/>
    <w:rsid w:val="2AC75A91"/>
    <w:rsid w:val="2AD0584D"/>
    <w:rsid w:val="2ADC1B6F"/>
    <w:rsid w:val="2ADD359C"/>
    <w:rsid w:val="2AFC3A9F"/>
    <w:rsid w:val="2B0C398D"/>
    <w:rsid w:val="2B104D22"/>
    <w:rsid w:val="2B141BDE"/>
    <w:rsid w:val="2B20345D"/>
    <w:rsid w:val="2B217A2B"/>
    <w:rsid w:val="2B276EAF"/>
    <w:rsid w:val="2B2F33F9"/>
    <w:rsid w:val="2B3776E3"/>
    <w:rsid w:val="2B454E4A"/>
    <w:rsid w:val="2B49111A"/>
    <w:rsid w:val="2B565E20"/>
    <w:rsid w:val="2B6861B2"/>
    <w:rsid w:val="2B6E280D"/>
    <w:rsid w:val="2B746B21"/>
    <w:rsid w:val="2B75075B"/>
    <w:rsid w:val="2B787B8C"/>
    <w:rsid w:val="2B88437A"/>
    <w:rsid w:val="2B9906CF"/>
    <w:rsid w:val="2B9C2232"/>
    <w:rsid w:val="2BA54F2C"/>
    <w:rsid w:val="2BA86B10"/>
    <w:rsid w:val="2BA90341"/>
    <w:rsid w:val="2BB03A9D"/>
    <w:rsid w:val="2BC93BA1"/>
    <w:rsid w:val="2BCC62B2"/>
    <w:rsid w:val="2BCD020C"/>
    <w:rsid w:val="2BDA4BD6"/>
    <w:rsid w:val="2BEB6DE3"/>
    <w:rsid w:val="2BEF3EE6"/>
    <w:rsid w:val="2BF742F2"/>
    <w:rsid w:val="2BF90600"/>
    <w:rsid w:val="2C043A01"/>
    <w:rsid w:val="2C196254"/>
    <w:rsid w:val="2C1B0A70"/>
    <w:rsid w:val="2C2D4708"/>
    <w:rsid w:val="2C3A4751"/>
    <w:rsid w:val="2C496F03"/>
    <w:rsid w:val="2C4A295C"/>
    <w:rsid w:val="2C4B0BA2"/>
    <w:rsid w:val="2C4B54DC"/>
    <w:rsid w:val="2C723060"/>
    <w:rsid w:val="2C7D2EE3"/>
    <w:rsid w:val="2C82332B"/>
    <w:rsid w:val="2C963638"/>
    <w:rsid w:val="2C9A11C3"/>
    <w:rsid w:val="2C9A25B7"/>
    <w:rsid w:val="2C9B32AA"/>
    <w:rsid w:val="2C9C6143"/>
    <w:rsid w:val="2C9D36C7"/>
    <w:rsid w:val="2CA517C9"/>
    <w:rsid w:val="2CA545E5"/>
    <w:rsid w:val="2CAE51F3"/>
    <w:rsid w:val="2CC402B8"/>
    <w:rsid w:val="2CD25773"/>
    <w:rsid w:val="2CE30FDB"/>
    <w:rsid w:val="2CF31179"/>
    <w:rsid w:val="2CF63BFC"/>
    <w:rsid w:val="2CFD58E8"/>
    <w:rsid w:val="2D09353E"/>
    <w:rsid w:val="2D1724AB"/>
    <w:rsid w:val="2D25766A"/>
    <w:rsid w:val="2D263E4A"/>
    <w:rsid w:val="2D286DF0"/>
    <w:rsid w:val="2D2E48AD"/>
    <w:rsid w:val="2D320A41"/>
    <w:rsid w:val="2D406CBA"/>
    <w:rsid w:val="2D426273"/>
    <w:rsid w:val="2D6A0F1C"/>
    <w:rsid w:val="2D77133E"/>
    <w:rsid w:val="2D795BB7"/>
    <w:rsid w:val="2D82086A"/>
    <w:rsid w:val="2D876477"/>
    <w:rsid w:val="2D891A54"/>
    <w:rsid w:val="2DA25B0D"/>
    <w:rsid w:val="2DAE2B2C"/>
    <w:rsid w:val="2DB14747"/>
    <w:rsid w:val="2DBE5449"/>
    <w:rsid w:val="2DC12199"/>
    <w:rsid w:val="2DCF407D"/>
    <w:rsid w:val="2DDD77FC"/>
    <w:rsid w:val="2DF2759C"/>
    <w:rsid w:val="2DF612AD"/>
    <w:rsid w:val="2E142EC2"/>
    <w:rsid w:val="2E146E10"/>
    <w:rsid w:val="2E180A30"/>
    <w:rsid w:val="2E1C01BD"/>
    <w:rsid w:val="2E1E76C6"/>
    <w:rsid w:val="2E216DB0"/>
    <w:rsid w:val="2E321E30"/>
    <w:rsid w:val="2E3B3926"/>
    <w:rsid w:val="2E400F3C"/>
    <w:rsid w:val="2E424990"/>
    <w:rsid w:val="2E5852AE"/>
    <w:rsid w:val="2E5C3B97"/>
    <w:rsid w:val="2E657392"/>
    <w:rsid w:val="2E67471B"/>
    <w:rsid w:val="2E736072"/>
    <w:rsid w:val="2E786D66"/>
    <w:rsid w:val="2E795D0A"/>
    <w:rsid w:val="2E894691"/>
    <w:rsid w:val="2E906E50"/>
    <w:rsid w:val="2E9A064C"/>
    <w:rsid w:val="2EA0169B"/>
    <w:rsid w:val="2EA0771D"/>
    <w:rsid w:val="2EA636C3"/>
    <w:rsid w:val="2EBF250E"/>
    <w:rsid w:val="2EC102CF"/>
    <w:rsid w:val="2ECF6A3D"/>
    <w:rsid w:val="2ED42E22"/>
    <w:rsid w:val="2EDFDAD8"/>
    <w:rsid w:val="2EF35725"/>
    <w:rsid w:val="2EF52444"/>
    <w:rsid w:val="2F041F69"/>
    <w:rsid w:val="2F081A5A"/>
    <w:rsid w:val="2F102BC8"/>
    <w:rsid w:val="2F123A1E"/>
    <w:rsid w:val="2F240C4F"/>
    <w:rsid w:val="2F280BE2"/>
    <w:rsid w:val="2F2D326E"/>
    <w:rsid w:val="2F2E6B0C"/>
    <w:rsid w:val="2F3944A5"/>
    <w:rsid w:val="2F544789"/>
    <w:rsid w:val="2F5E7E94"/>
    <w:rsid w:val="2F607B7A"/>
    <w:rsid w:val="2F6538DD"/>
    <w:rsid w:val="2F661C27"/>
    <w:rsid w:val="2F8225B6"/>
    <w:rsid w:val="2F8E1A3D"/>
    <w:rsid w:val="2F8E5731"/>
    <w:rsid w:val="2F934DBD"/>
    <w:rsid w:val="2F967065"/>
    <w:rsid w:val="2F9770F4"/>
    <w:rsid w:val="2F990904"/>
    <w:rsid w:val="2F9D19D3"/>
    <w:rsid w:val="2F9E0C4C"/>
    <w:rsid w:val="2FA95EFA"/>
    <w:rsid w:val="2FAD50B5"/>
    <w:rsid w:val="2FB7C5A5"/>
    <w:rsid w:val="2FEB407D"/>
    <w:rsid w:val="2FF04E4A"/>
    <w:rsid w:val="2FFA7504"/>
    <w:rsid w:val="3011493E"/>
    <w:rsid w:val="301214E8"/>
    <w:rsid w:val="301C3E92"/>
    <w:rsid w:val="30366805"/>
    <w:rsid w:val="30442FF9"/>
    <w:rsid w:val="306B7293"/>
    <w:rsid w:val="306E221D"/>
    <w:rsid w:val="307F202A"/>
    <w:rsid w:val="308A4E43"/>
    <w:rsid w:val="308C41E3"/>
    <w:rsid w:val="309C4A92"/>
    <w:rsid w:val="30A91EE4"/>
    <w:rsid w:val="30AB1EAA"/>
    <w:rsid w:val="30B42AA7"/>
    <w:rsid w:val="30B579BF"/>
    <w:rsid w:val="30B73392"/>
    <w:rsid w:val="30B74DCE"/>
    <w:rsid w:val="30BF0B7C"/>
    <w:rsid w:val="30DB7C98"/>
    <w:rsid w:val="30E64771"/>
    <w:rsid w:val="30E81DDA"/>
    <w:rsid w:val="30FA1876"/>
    <w:rsid w:val="31005559"/>
    <w:rsid w:val="3133081A"/>
    <w:rsid w:val="31407874"/>
    <w:rsid w:val="31420E6E"/>
    <w:rsid w:val="314D255C"/>
    <w:rsid w:val="31544A62"/>
    <w:rsid w:val="315E4CCD"/>
    <w:rsid w:val="31615451"/>
    <w:rsid w:val="318719A2"/>
    <w:rsid w:val="3188021E"/>
    <w:rsid w:val="318C1163"/>
    <w:rsid w:val="319765A8"/>
    <w:rsid w:val="31A211BF"/>
    <w:rsid w:val="31A67308"/>
    <w:rsid w:val="31B23A2B"/>
    <w:rsid w:val="31C706C2"/>
    <w:rsid w:val="31C94F4F"/>
    <w:rsid w:val="31C96484"/>
    <w:rsid w:val="31CD0D39"/>
    <w:rsid w:val="31CF77A3"/>
    <w:rsid w:val="31D5525F"/>
    <w:rsid w:val="31DE458A"/>
    <w:rsid w:val="31E63BA8"/>
    <w:rsid w:val="31EE6DCE"/>
    <w:rsid w:val="31F373C5"/>
    <w:rsid w:val="31FE7FEC"/>
    <w:rsid w:val="320C771C"/>
    <w:rsid w:val="32234E0F"/>
    <w:rsid w:val="323239C2"/>
    <w:rsid w:val="323F0729"/>
    <w:rsid w:val="3257645C"/>
    <w:rsid w:val="32591FDE"/>
    <w:rsid w:val="32721F82"/>
    <w:rsid w:val="327B4612"/>
    <w:rsid w:val="327C7DA7"/>
    <w:rsid w:val="327F562A"/>
    <w:rsid w:val="32862569"/>
    <w:rsid w:val="328A454F"/>
    <w:rsid w:val="32910A76"/>
    <w:rsid w:val="32950C82"/>
    <w:rsid w:val="32A512CE"/>
    <w:rsid w:val="32BB3E71"/>
    <w:rsid w:val="32C24D88"/>
    <w:rsid w:val="32DE2A7D"/>
    <w:rsid w:val="32E17C7F"/>
    <w:rsid w:val="32E4633A"/>
    <w:rsid w:val="32F10A57"/>
    <w:rsid w:val="32FD29E5"/>
    <w:rsid w:val="3302191C"/>
    <w:rsid w:val="33134F5A"/>
    <w:rsid w:val="33193630"/>
    <w:rsid w:val="33195E03"/>
    <w:rsid w:val="33257E9C"/>
    <w:rsid w:val="333D0F5B"/>
    <w:rsid w:val="333F32C0"/>
    <w:rsid w:val="33404380"/>
    <w:rsid w:val="33475482"/>
    <w:rsid w:val="334F37BC"/>
    <w:rsid w:val="33533EFC"/>
    <w:rsid w:val="3368392C"/>
    <w:rsid w:val="336E20A7"/>
    <w:rsid w:val="33706145"/>
    <w:rsid w:val="337174EC"/>
    <w:rsid w:val="337E3936"/>
    <w:rsid w:val="339E5351"/>
    <w:rsid w:val="33AA30F8"/>
    <w:rsid w:val="33B65E84"/>
    <w:rsid w:val="33C65A3F"/>
    <w:rsid w:val="33D44600"/>
    <w:rsid w:val="33E21C09"/>
    <w:rsid w:val="33F151B2"/>
    <w:rsid w:val="340302EE"/>
    <w:rsid w:val="340E347F"/>
    <w:rsid w:val="34120080"/>
    <w:rsid w:val="341541A4"/>
    <w:rsid w:val="341969CF"/>
    <w:rsid w:val="34275D10"/>
    <w:rsid w:val="34286A2C"/>
    <w:rsid w:val="343171DE"/>
    <w:rsid w:val="34471AAB"/>
    <w:rsid w:val="34565015"/>
    <w:rsid w:val="34614A0C"/>
    <w:rsid w:val="34684D49"/>
    <w:rsid w:val="34725331"/>
    <w:rsid w:val="347B3DF4"/>
    <w:rsid w:val="347F0281"/>
    <w:rsid w:val="34833D46"/>
    <w:rsid w:val="348736DF"/>
    <w:rsid w:val="348A0D2A"/>
    <w:rsid w:val="34AE09BF"/>
    <w:rsid w:val="34AF214E"/>
    <w:rsid w:val="34B27BBB"/>
    <w:rsid w:val="34BE3F4A"/>
    <w:rsid w:val="34C74ABA"/>
    <w:rsid w:val="34CE48BB"/>
    <w:rsid w:val="34D663EC"/>
    <w:rsid w:val="34F65B1A"/>
    <w:rsid w:val="34F93462"/>
    <w:rsid w:val="35006F7A"/>
    <w:rsid w:val="350C1870"/>
    <w:rsid w:val="35215A91"/>
    <w:rsid w:val="352439E3"/>
    <w:rsid w:val="352C229E"/>
    <w:rsid w:val="35367DE7"/>
    <w:rsid w:val="354515EF"/>
    <w:rsid w:val="35647038"/>
    <w:rsid w:val="3575097A"/>
    <w:rsid w:val="357571A3"/>
    <w:rsid w:val="357C7908"/>
    <w:rsid w:val="35814314"/>
    <w:rsid w:val="358863FF"/>
    <w:rsid w:val="358D2CB9"/>
    <w:rsid w:val="359E4C34"/>
    <w:rsid w:val="35A05A91"/>
    <w:rsid w:val="35AB00CB"/>
    <w:rsid w:val="35AD10DF"/>
    <w:rsid w:val="35BB4583"/>
    <w:rsid w:val="35CD77DA"/>
    <w:rsid w:val="35DC134F"/>
    <w:rsid w:val="35DD1C1A"/>
    <w:rsid w:val="35DE36CB"/>
    <w:rsid w:val="35E72F5B"/>
    <w:rsid w:val="35FE7713"/>
    <w:rsid w:val="36282C7A"/>
    <w:rsid w:val="3634636C"/>
    <w:rsid w:val="36357FBB"/>
    <w:rsid w:val="36444D12"/>
    <w:rsid w:val="364F5C1C"/>
    <w:rsid w:val="3676491F"/>
    <w:rsid w:val="36767BF1"/>
    <w:rsid w:val="36792012"/>
    <w:rsid w:val="367F2712"/>
    <w:rsid w:val="368D1D19"/>
    <w:rsid w:val="36951189"/>
    <w:rsid w:val="36AC5653"/>
    <w:rsid w:val="36B61B94"/>
    <w:rsid w:val="36B93C0B"/>
    <w:rsid w:val="36BC5380"/>
    <w:rsid w:val="36CC7D6E"/>
    <w:rsid w:val="36D237B6"/>
    <w:rsid w:val="36E032BC"/>
    <w:rsid w:val="36EF4E16"/>
    <w:rsid w:val="36F5135A"/>
    <w:rsid w:val="37027494"/>
    <w:rsid w:val="371B72DA"/>
    <w:rsid w:val="372F764D"/>
    <w:rsid w:val="373709E9"/>
    <w:rsid w:val="373A3B58"/>
    <w:rsid w:val="373D426B"/>
    <w:rsid w:val="37436E4E"/>
    <w:rsid w:val="374F103B"/>
    <w:rsid w:val="37572ADC"/>
    <w:rsid w:val="375829B5"/>
    <w:rsid w:val="376A50E9"/>
    <w:rsid w:val="37727F3E"/>
    <w:rsid w:val="379A3B01"/>
    <w:rsid w:val="379B7B61"/>
    <w:rsid w:val="379E5D0A"/>
    <w:rsid w:val="37A33CAD"/>
    <w:rsid w:val="37A83451"/>
    <w:rsid w:val="37A86977"/>
    <w:rsid w:val="37AFA676"/>
    <w:rsid w:val="37C21770"/>
    <w:rsid w:val="37D22D0B"/>
    <w:rsid w:val="37D611D1"/>
    <w:rsid w:val="37D82EF1"/>
    <w:rsid w:val="37E64902"/>
    <w:rsid w:val="37F00918"/>
    <w:rsid w:val="37F13E6F"/>
    <w:rsid w:val="3809111E"/>
    <w:rsid w:val="380A1DF4"/>
    <w:rsid w:val="380F1327"/>
    <w:rsid w:val="381B6C83"/>
    <w:rsid w:val="381C60A9"/>
    <w:rsid w:val="38236D16"/>
    <w:rsid w:val="382C4C11"/>
    <w:rsid w:val="382E34F3"/>
    <w:rsid w:val="38331FCF"/>
    <w:rsid w:val="385C3382"/>
    <w:rsid w:val="38632446"/>
    <w:rsid w:val="38775171"/>
    <w:rsid w:val="387D7634"/>
    <w:rsid w:val="387E47A9"/>
    <w:rsid w:val="388B30C4"/>
    <w:rsid w:val="389D4062"/>
    <w:rsid w:val="38AE5E3F"/>
    <w:rsid w:val="38B620AA"/>
    <w:rsid w:val="38C13FA5"/>
    <w:rsid w:val="38C33EC2"/>
    <w:rsid w:val="38CA7476"/>
    <w:rsid w:val="38D53177"/>
    <w:rsid w:val="38E17D08"/>
    <w:rsid w:val="38E262DA"/>
    <w:rsid w:val="38EC4DBD"/>
    <w:rsid w:val="38EF0766"/>
    <w:rsid w:val="390362C5"/>
    <w:rsid w:val="392118F7"/>
    <w:rsid w:val="39276F80"/>
    <w:rsid w:val="392841C4"/>
    <w:rsid w:val="392F74EA"/>
    <w:rsid w:val="39535FC7"/>
    <w:rsid w:val="396C74B0"/>
    <w:rsid w:val="39735C03"/>
    <w:rsid w:val="398720B8"/>
    <w:rsid w:val="39882115"/>
    <w:rsid w:val="398A2A09"/>
    <w:rsid w:val="39A23DE9"/>
    <w:rsid w:val="39AC54FE"/>
    <w:rsid w:val="39B72321"/>
    <w:rsid w:val="39C742BF"/>
    <w:rsid w:val="39D94DFC"/>
    <w:rsid w:val="39E27CEF"/>
    <w:rsid w:val="39F178B4"/>
    <w:rsid w:val="39F75286"/>
    <w:rsid w:val="3A030DBA"/>
    <w:rsid w:val="3A0A185B"/>
    <w:rsid w:val="3A233BEC"/>
    <w:rsid w:val="3A330C76"/>
    <w:rsid w:val="3A3C6A5B"/>
    <w:rsid w:val="3A4D75D8"/>
    <w:rsid w:val="3A4F2AD7"/>
    <w:rsid w:val="3A555434"/>
    <w:rsid w:val="3A854EFB"/>
    <w:rsid w:val="3A89545E"/>
    <w:rsid w:val="3A8A184A"/>
    <w:rsid w:val="3A8A27F3"/>
    <w:rsid w:val="3A9028C4"/>
    <w:rsid w:val="3A977F2B"/>
    <w:rsid w:val="3A9A1458"/>
    <w:rsid w:val="3AA93D65"/>
    <w:rsid w:val="3AB26D1E"/>
    <w:rsid w:val="3AB36BA1"/>
    <w:rsid w:val="3AC1058F"/>
    <w:rsid w:val="3ACC1847"/>
    <w:rsid w:val="3ADE7B13"/>
    <w:rsid w:val="3AF955A1"/>
    <w:rsid w:val="3B00573A"/>
    <w:rsid w:val="3B076D59"/>
    <w:rsid w:val="3B166E4D"/>
    <w:rsid w:val="3B1B048F"/>
    <w:rsid w:val="3B2800F6"/>
    <w:rsid w:val="3B3101B1"/>
    <w:rsid w:val="3B3963B1"/>
    <w:rsid w:val="3B500F27"/>
    <w:rsid w:val="3B5B1010"/>
    <w:rsid w:val="3B6A2A43"/>
    <w:rsid w:val="3B7D1DBA"/>
    <w:rsid w:val="3B7D2C98"/>
    <w:rsid w:val="3B80097F"/>
    <w:rsid w:val="3B846451"/>
    <w:rsid w:val="3B860938"/>
    <w:rsid w:val="3B8D494B"/>
    <w:rsid w:val="3B9603ED"/>
    <w:rsid w:val="3B985F13"/>
    <w:rsid w:val="3BA415C3"/>
    <w:rsid w:val="3BB223B1"/>
    <w:rsid w:val="3BB6669D"/>
    <w:rsid w:val="3BBC7D2A"/>
    <w:rsid w:val="3BBD5CE8"/>
    <w:rsid w:val="3BC640AE"/>
    <w:rsid w:val="3BC975C9"/>
    <w:rsid w:val="3BD34A46"/>
    <w:rsid w:val="3BD50F16"/>
    <w:rsid w:val="3BD65283"/>
    <w:rsid w:val="3BDB6C3F"/>
    <w:rsid w:val="3BE20430"/>
    <w:rsid w:val="3BF252AA"/>
    <w:rsid w:val="3BFF630D"/>
    <w:rsid w:val="3C017F5D"/>
    <w:rsid w:val="3C1F6635"/>
    <w:rsid w:val="3C2D42CD"/>
    <w:rsid w:val="3C390BD9"/>
    <w:rsid w:val="3C4B11D8"/>
    <w:rsid w:val="3C522439"/>
    <w:rsid w:val="3C590DB1"/>
    <w:rsid w:val="3C597765"/>
    <w:rsid w:val="3C5E4112"/>
    <w:rsid w:val="3C7C2F65"/>
    <w:rsid w:val="3C826D5C"/>
    <w:rsid w:val="3C84770B"/>
    <w:rsid w:val="3C8D219B"/>
    <w:rsid w:val="3C9559E1"/>
    <w:rsid w:val="3CB019A9"/>
    <w:rsid w:val="3CBD363D"/>
    <w:rsid w:val="3CCD3ABD"/>
    <w:rsid w:val="3CE31410"/>
    <w:rsid w:val="3CE3B881"/>
    <w:rsid w:val="3CF333D2"/>
    <w:rsid w:val="3D0A4BEF"/>
    <w:rsid w:val="3D0E53DB"/>
    <w:rsid w:val="3D115D48"/>
    <w:rsid w:val="3D146D13"/>
    <w:rsid w:val="3D1576FD"/>
    <w:rsid w:val="3D1648F9"/>
    <w:rsid w:val="3D190A81"/>
    <w:rsid w:val="3D1D2EED"/>
    <w:rsid w:val="3D231A8D"/>
    <w:rsid w:val="3D267967"/>
    <w:rsid w:val="3D34764B"/>
    <w:rsid w:val="3D365949"/>
    <w:rsid w:val="3D406863"/>
    <w:rsid w:val="3D421874"/>
    <w:rsid w:val="3D4C75D3"/>
    <w:rsid w:val="3D6650A1"/>
    <w:rsid w:val="3D6F5A33"/>
    <w:rsid w:val="3D706FC9"/>
    <w:rsid w:val="3D7278FA"/>
    <w:rsid w:val="3D8B408A"/>
    <w:rsid w:val="3DB95A0E"/>
    <w:rsid w:val="3DC67370"/>
    <w:rsid w:val="3DEF1A73"/>
    <w:rsid w:val="3DF876E0"/>
    <w:rsid w:val="3DFB1DAD"/>
    <w:rsid w:val="3E004E94"/>
    <w:rsid w:val="3E077C6F"/>
    <w:rsid w:val="3E135818"/>
    <w:rsid w:val="3E215442"/>
    <w:rsid w:val="3E235DAD"/>
    <w:rsid w:val="3E32054C"/>
    <w:rsid w:val="3E361D2F"/>
    <w:rsid w:val="3E3E4914"/>
    <w:rsid w:val="3E445CF6"/>
    <w:rsid w:val="3E5550FE"/>
    <w:rsid w:val="3E5B5E69"/>
    <w:rsid w:val="3E642A25"/>
    <w:rsid w:val="3E6A03E4"/>
    <w:rsid w:val="3E7151A3"/>
    <w:rsid w:val="3E741662"/>
    <w:rsid w:val="3E927592"/>
    <w:rsid w:val="3E941E30"/>
    <w:rsid w:val="3E94330A"/>
    <w:rsid w:val="3E99191F"/>
    <w:rsid w:val="3E9C21BE"/>
    <w:rsid w:val="3EA65A1B"/>
    <w:rsid w:val="3EA96564"/>
    <w:rsid w:val="3EAB4C99"/>
    <w:rsid w:val="3EC71B17"/>
    <w:rsid w:val="3ED26DAE"/>
    <w:rsid w:val="3ED96F6F"/>
    <w:rsid w:val="3EDEA2CE"/>
    <w:rsid w:val="3EE508F2"/>
    <w:rsid w:val="3EE50C16"/>
    <w:rsid w:val="3EF77F8C"/>
    <w:rsid w:val="3EFB2F74"/>
    <w:rsid w:val="3EFB6132"/>
    <w:rsid w:val="3EFD1ECB"/>
    <w:rsid w:val="3F1C0717"/>
    <w:rsid w:val="3F277F0F"/>
    <w:rsid w:val="3F282817"/>
    <w:rsid w:val="3F317F00"/>
    <w:rsid w:val="3F325F40"/>
    <w:rsid w:val="3F335D37"/>
    <w:rsid w:val="3F4704F9"/>
    <w:rsid w:val="3F571F1C"/>
    <w:rsid w:val="3F6C3F02"/>
    <w:rsid w:val="3F6D0044"/>
    <w:rsid w:val="3F7342DB"/>
    <w:rsid w:val="3F7F4DF2"/>
    <w:rsid w:val="3F8F74EF"/>
    <w:rsid w:val="3F9758AE"/>
    <w:rsid w:val="3F9B3564"/>
    <w:rsid w:val="3F9E3458"/>
    <w:rsid w:val="3F9E4AB2"/>
    <w:rsid w:val="3F9F32EE"/>
    <w:rsid w:val="3FA04200"/>
    <w:rsid w:val="3FA04D0D"/>
    <w:rsid w:val="3FC608C3"/>
    <w:rsid w:val="3FC92B3F"/>
    <w:rsid w:val="3FCB7791"/>
    <w:rsid w:val="3FE536F1"/>
    <w:rsid w:val="3FE931DA"/>
    <w:rsid w:val="3FEE07F8"/>
    <w:rsid w:val="3FF51B7D"/>
    <w:rsid w:val="3FF81E4E"/>
    <w:rsid w:val="3FFD63BD"/>
    <w:rsid w:val="40081590"/>
    <w:rsid w:val="40127853"/>
    <w:rsid w:val="401C4DD0"/>
    <w:rsid w:val="40420B44"/>
    <w:rsid w:val="40447E78"/>
    <w:rsid w:val="40486F45"/>
    <w:rsid w:val="405376B6"/>
    <w:rsid w:val="40552625"/>
    <w:rsid w:val="40632F94"/>
    <w:rsid w:val="406F21CC"/>
    <w:rsid w:val="40714F85"/>
    <w:rsid w:val="408240C3"/>
    <w:rsid w:val="408D335B"/>
    <w:rsid w:val="408D55F0"/>
    <w:rsid w:val="409C736B"/>
    <w:rsid w:val="409D0C7A"/>
    <w:rsid w:val="40A16456"/>
    <w:rsid w:val="40A64CF8"/>
    <w:rsid w:val="40AA253F"/>
    <w:rsid w:val="40AF1D65"/>
    <w:rsid w:val="40B21A0F"/>
    <w:rsid w:val="40BC68FB"/>
    <w:rsid w:val="40CA51B0"/>
    <w:rsid w:val="40D45C40"/>
    <w:rsid w:val="40E15D8B"/>
    <w:rsid w:val="40E54109"/>
    <w:rsid w:val="40F24ED9"/>
    <w:rsid w:val="40F46F52"/>
    <w:rsid w:val="41133778"/>
    <w:rsid w:val="412726B2"/>
    <w:rsid w:val="41344636"/>
    <w:rsid w:val="41374142"/>
    <w:rsid w:val="413B0D8B"/>
    <w:rsid w:val="414A7C78"/>
    <w:rsid w:val="415377C3"/>
    <w:rsid w:val="41545387"/>
    <w:rsid w:val="415B4DD0"/>
    <w:rsid w:val="416E1A97"/>
    <w:rsid w:val="417017CC"/>
    <w:rsid w:val="417340C5"/>
    <w:rsid w:val="419A412B"/>
    <w:rsid w:val="41AE0DB0"/>
    <w:rsid w:val="41B61083"/>
    <w:rsid w:val="41B63A00"/>
    <w:rsid w:val="41CF111A"/>
    <w:rsid w:val="41D65E78"/>
    <w:rsid w:val="41FB3A4B"/>
    <w:rsid w:val="4205126B"/>
    <w:rsid w:val="42181C69"/>
    <w:rsid w:val="421F18B1"/>
    <w:rsid w:val="424A2E59"/>
    <w:rsid w:val="4259638F"/>
    <w:rsid w:val="42670F7D"/>
    <w:rsid w:val="426B5D9F"/>
    <w:rsid w:val="42821F45"/>
    <w:rsid w:val="42903663"/>
    <w:rsid w:val="429F6131"/>
    <w:rsid w:val="42A66ED2"/>
    <w:rsid w:val="42AE5C3C"/>
    <w:rsid w:val="42AF798E"/>
    <w:rsid w:val="42B21F43"/>
    <w:rsid w:val="42C42A04"/>
    <w:rsid w:val="42D424ED"/>
    <w:rsid w:val="42E842AA"/>
    <w:rsid w:val="42EA2603"/>
    <w:rsid w:val="43056584"/>
    <w:rsid w:val="431534C2"/>
    <w:rsid w:val="43373A47"/>
    <w:rsid w:val="434D1033"/>
    <w:rsid w:val="434F2EB7"/>
    <w:rsid w:val="43532549"/>
    <w:rsid w:val="435412BA"/>
    <w:rsid w:val="435A677B"/>
    <w:rsid w:val="435B0711"/>
    <w:rsid w:val="43617324"/>
    <w:rsid w:val="436F49F9"/>
    <w:rsid w:val="436F5A68"/>
    <w:rsid w:val="43714C97"/>
    <w:rsid w:val="43810DC3"/>
    <w:rsid w:val="43897EE9"/>
    <w:rsid w:val="438A0ED8"/>
    <w:rsid w:val="43925E28"/>
    <w:rsid w:val="43C865EA"/>
    <w:rsid w:val="43CE4820"/>
    <w:rsid w:val="43CF26EE"/>
    <w:rsid w:val="43E40DEF"/>
    <w:rsid w:val="43E75D3B"/>
    <w:rsid w:val="43E96C87"/>
    <w:rsid w:val="43E975BA"/>
    <w:rsid w:val="43EC2ED8"/>
    <w:rsid w:val="43ED3B9C"/>
    <w:rsid w:val="43FB23F6"/>
    <w:rsid w:val="44006AE2"/>
    <w:rsid w:val="44085026"/>
    <w:rsid w:val="4427102D"/>
    <w:rsid w:val="442F4380"/>
    <w:rsid w:val="443A3EEF"/>
    <w:rsid w:val="444C0C7E"/>
    <w:rsid w:val="445902E4"/>
    <w:rsid w:val="447131A4"/>
    <w:rsid w:val="44797320"/>
    <w:rsid w:val="44872FC9"/>
    <w:rsid w:val="44910BE4"/>
    <w:rsid w:val="44967F55"/>
    <w:rsid w:val="44B02520"/>
    <w:rsid w:val="44BB0A5C"/>
    <w:rsid w:val="44CA6719"/>
    <w:rsid w:val="44D94D3D"/>
    <w:rsid w:val="44F625BD"/>
    <w:rsid w:val="44F66F55"/>
    <w:rsid w:val="450C06C6"/>
    <w:rsid w:val="45137691"/>
    <w:rsid w:val="45151D58"/>
    <w:rsid w:val="451D2421"/>
    <w:rsid w:val="45221142"/>
    <w:rsid w:val="45415F72"/>
    <w:rsid w:val="45515308"/>
    <w:rsid w:val="45571BE1"/>
    <w:rsid w:val="455A053D"/>
    <w:rsid w:val="455B0C47"/>
    <w:rsid w:val="455C091E"/>
    <w:rsid w:val="456D21BF"/>
    <w:rsid w:val="45722793"/>
    <w:rsid w:val="45794A59"/>
    <w:rsid w:val="457B6B2E"/>
    <w:rsid w:val="457D7A8F"/>
    <w:rsid w:val="45813EBC"/>
    <w:rsid w:val="458201D1"/>
    <w:rsid w:val="458D344D"/>
    <w:rsid w:val="45960A8A"/>
    <w:rsid w:val="459A4FDE"/>
    <w:rsid w:val="459C0784"/>
    <w:rsid w:val="459D390F"/>
    <w:rsid w:val="459D4546"/>
    <w:rsid w:val="459E7C27"/>
    <w:rsid w:val="45AD551A"/>
    <w:rsid w:val="45BE0C6C"/>
    <w:rsid w:val="45D100EF"/>
    <w:rsid w:val="45D41150"/>
    <w:rsid w:val="45D60A99"/>
    <w:rsid w:val="45E17AA7"/>
    <w:rsid w:val="45F448FC"/>
    <w:rsid w:val="45FE048B"/>
    <w:rsid w:val="460E0332"/>
    <w:rsid w:val="46142D6D"/>
    <w:rsid w:val="46167087"/>
    <w:rsid w:val="461940F5"/>
    <w:rsid w:val="461F1B75"/>
    <w:rsid w:val="4631745E"/>
    <w:rsid w:val="463A7137"/>
    <w:rsid w:val="464219ED"/>
    <w:rsid w:val="46437A98"/>
    <w:rsid w:val="46485C49"/>
    <w:rsid w:val="464E677B"/>
    <w:rsid w:val="46551091"/>
    <w:rsid w:val="4655690D"/>
    <w:rsid w:val="466116C2"/>
    <w:rsid w:val="46662D5B"/>
    <w:rsid w:val="467E0C67"/>
    <w:rsid w:val="468A5FD9"/>
    <w:rsid w:val="468C43BE"/>
    <w:rsid w:val="4695090E"/>
    <w:rsid w:val="4699021E"/>
    <w:rsid w:val="46A7457C"/>
    <w:rsid w:val="46BA0A16"/>
    <w:rsid w:val="46BF2851"/>
    <w:rsid w:val="46C37AEF"/>
    <w:rsid w:val="46C4259E"/>
    <w:rsid w:val="46DB79E3"/>
    <w:rsid w:val="46EE111A"/>
    <w:rsid w:val="46FC37D2"/>
    <w:rsid w:val="470B3522"/>
    <w:rsid w:val="471D58FE"/>
    <w:rsid w:val="47224A95"/>
    <w:rsid w:val="47230FCE"/>
    <w:rsid w:val="472D1E45"/>
    <w:rsid w:val="472D1EC5"/>
    <w:rsid w:val="473A0118"/>
    <w:rsid w:val="473A3BC5"/>
    <w:rsid w:val="47486A7C"/>
    <w:rsid w:val="474B2A19"/>
    <w:rsid w:val="474B420C"/>
    <w:rsid w:val="474D1221"/>
    <w:rsid w:val="474E505D"/>
    <w:rsid w:val="474F7817"/>
    <w:rsid w:val="47565120"/>
    <w:rsid w:val="47605D9C"/>
    <w:rsid w:val="476F0DC2"/>
    <w:rsid w:val="47743CD8"/>
    <w:rsid w:val="477F4BF1"/>
    <w:rsid w:val="479159DF"/>
    <w:rsid w:val="479343F4"/>
    <w:rsid w:val="47A702BB"/>
    <w:rsid w:val="47B01BF6"/>
    <w:rsid w:val="47B82EE9"/>
    <w:rsid w:val="47BA6405"/>
    <w:rsid w:val="47BF06D5"/>
    <w:rsid w:val="47D8509A"/>
    <w:rsid w:val="47D9526F"/>
    <w:rsid w:val="47E2297D"/>
    <w:rsid w:val="47EF7BE9"/>
    <w:rsid w:val="47F3530C"/>
    <w:rsid w:val="480F1305"/>
    <w:rsid w:val="48105706"/>
    <w:rsid w:val="48136A52"/>
    <w:rsid w:val="481523F9"/>
    <w:rsid w:val="481C371A"/>
    <w:rsid w:val="48211341"/>
    <w:rsid w:val="482F7F41"/>
    <w:rsid w:val="483F328D"/>
    <w:rsid w:val="483F7408"/>
    <w:rsid w:val="485111B1"/>
    <w:rsid w:val="486C7CE0"/>
    <w:rsid w:val="487076AD"/>
    <w:rsid w:val="4873106C"/>
    <w:rsid w:val="48734AD3"/>
    <w:rsid w:val="48762BED"/>
    <w:rsid w:val="488A29BD"/>
    <w:rsid w:val="488C3A42"/>
    <w:rsid w:val="48900A59"/>
    <w:rsid w:val="48967746"/>
    <w:rsid w:val="48A503AF"/>
    <w:rsid w:val="48AB05D9"/>
    <w:rsid w:val="48AD4144"/>
    <w:rsid w:val="48B16D5F"/>
    <w:rsid w:val="48BD71F3"/>
    <w:rsid w:val="48BD73BF"/>
    <w:rsid w:val="48BF2D31"/>
    <w:rsid w:val="48D62044"/>
    <w:rsid w:val="48D76906"/>
    <w:rsid w:val="48DC71AD"/>
    <w:rsid w:val="48FA2DA6"/>
    <w:rsid w:val="4900191C"/>
    <w:rsid w:val="49005B9D"/>
    <w:rsid w:val="492A2B09"/>
    <w:rsid w:val="493C7684"/>
    <w:rsid w:val="493D6B47"/>
    <w:rsid w:val="49461D00"/>
    <w:rsid w:val="49531804"/>
    <w:rsid w:val="495F5CDC"/>
    <w:rsid w:val="49607266"/>
    <w:rsid w:val="4967096C"/>
    <w:rsid w:val="496F30A1"/>
    <w:rsid w:val="497F6965"/>
    <w:rsid w:val="49836205"/>
    <w:rsid w:val="49A1105F"/>
    <w:rsid w:val="49A968A3"/>
    <w:rsid w:val="49B039BB"/>
    <w:rsid w:val="49B96EFF"/>
    <w:rsid w:val="49B977D0"/>
    <w:rsid w:val="49CC2A94"/>
    <w:rsid w:val="49CD147E"/>
    <w:rsid w:val="49D20DEA"/>
    <w:rsid w:val="49D6067E"/>
    <w:rsid w:val="49D818CC"/>
    <w:rsid w:val="49E12800"/>
    <w:rsid w:val="49E74FFB"/>
    <w:rsid w:val="49E75AD8"/>
    <w:rsid w:val="49E81C74"/>
    <w:rsid w:val="49F600E5"/>
    <w:rsid w:val="49FF6FCC"/>
    <w:rsid w:val="4A033C29"/>
    <w:rsid w:val="4A0B01F8"/>
    <w:rsid w:val="4A0C6A08"/>
    <w:rsid w:val="4A310B1E"/>
    <w:rsid w:val="4A32131E"/>
    <w:rsid w:val="4A3E5DF0"/>
    <w:rsid w:val="4A403CF1"/>
    <w:rsid w:val="4A425595"/>
    <w:rsid w:val="4A481A6B"/>
    <w:rsid w:val="4A494057"/>
    <w:rsid w:val="4A5128F7"/>
    <w:rsid w:val="4A6125AF"/>
    <w:rsid w:val="4A7C1347"/>
    <w:rsid w:val="4A952F11"/>
    <w:rsid w:val="4AA96F80"/>
    <w:rsid w:val="4AB34B18"/>
    <w:rsid w:val="4AB37338"/>
    <w:rsid w:val="4AB700C6"/>
    <w:rsid w:val="4AB8212E"/>
    <w:rsid w:val="4ABA5CCC"/>
    <w:rsid w:val="4ACE6295"/>
    <w:rsid w:val="4AD27DA5"/>
    <w:rsid w:val="4AF018C8"/>
    <w:rsid w:val="4AF95BC7"/>
    <w:rsid w:val="4B047110"/>
    <w:rsid w:val="4B0B683F"/>
    <w:rsid w:val="4B1B75D7"/>
    <w:rsid w:val="4B375ABB"/>
    <w:rsid w:val="4B482F4A"/>
    <w:rsid w:val="4B4E2B5F"/>
    <w:rsid w:val="4B512E42"/>
    <w:rsid w:val="4B5C51AF"/>
    <w:rsid w:val="4B5F3355"/>
    <w:rsid w:val="4B613CF8"/>
    <w:rsid w:val="4B641714"/>
    <w:rsid w:val="4B69210E"/>
    <w:rsid w:val="4B6E572B"/>
    <w:rsid w:val="4B75001F"/>
    <w:rsid w:val="4B76558C"/>
    <w:rsid w:val="4B7B58D9"/>
    <w:rsid w:val="4B8D11E5"/>
    <w:rsid w:val="4B9565DF"/>
    <w:rsid w:val="4BA24482"/>
    <w:rsid w:val="4BA3600B"/>
    <w:rsid w:val="4BB42955"/>
    <w:rsid w:val="4BB836F9"/>
    <w:rsid w:val="4BBA682A"/>
    <w:rsid w:val="4BBB33BF"/>
    <w:rsid w:val="4BBD4788"/>
    <w:rsid w:val="4BC67DDF"/>
    <w:rsid w:val="4BE77A41"/>
    <w:rsid w:val="4BF34F6A"/>
    <w:rsid w:val="4BF636D3"/>
    <w:rsid w:val="4C080BA9"/>
    <w:rsid w:val="4C114D74"/>
    <w:rsid w:val="4C1218EA"/>
    <w:rsid w:val="4C1F5E21"/>
    <w:rsid w:val="4C2F2358"/>
    <w:rsid w:val="4C310CDE"/>
    <w:rsid w:val="4C377888"/>
    <w:rsid w:val="4C382CDF"/>
    <w:rsid w:val="4C3838E5"/>
    <w:rsid w:val="4C410FF9"/>
    <w:rsid w:val="4C416FC7"/>
    <w:rsid w:val="4C575E8C"/>
    <w:rsid w:val="4C5A775C"/>
    <w:rsid w:val="4C6819CB"/>
    <w:rsid w:val="4C831EDD"/>
    <w:rsid w:val="4C937064"/>
    <w:rsid w:val="4C970887"/>
    <w:rsid w:val="4C9A15D1"/>
    <w:rsid w:val="4C9E35A6"/>
    <w:rsid w:val="4CAE3C13"/>
    <w:rsid w:val="4CBD3A2C"/>
    <w:rsid w:val="4CC9288C"/>
    <w:rsid w:val="4CE03121"/>
    <w:rsid w:val="4CEC3CB0"/>
    <w:rsid w:val="4D091E6F"/>
    <w:rsid w:val="4D0A3D88"/>
    <w:rsid w:val="4D0D12C0"/>
    <w:rsid w:val="4D294E64"/>
    <w:rsid w:val="4D3D7DBA"/>
    <w:rsid w:val="4D560701"/>
    <w:rsid w:val="4D5E411C"/>
    <w:rsid w:val="4D5F2B0E"/>
    <w:rsid w:val="4D664B25"/>
    <w:rsid w:val="4D6E05A2"/>
    <w:rsid w:val="4D7161C2"/>
    <w:rsid w:val="4D7B0E04"/>
    <w:rsid w:val="4D8207D1"/>
    <w:rsid w:val="4D8F1320"/>
    <w:rsid w:val="4DAC0AAC"/>
    <w:rsid w:val="4DAD4DE9"/>
    <w:rsid w:val="4DBC36CE"/>
    <w:rsid w:val="4DD252B5"/>
    <w:rsid w:val="4DD2711C"/>
    <w:rsid w:val="4DDC6134"/>
    <w:rsid w:val="4DDE1EAC"/>
    <w:rsid w:val="4DE77EAC"/>
    <w:rsid w:val="4DFC67D6"/>
    <w:rsid w:val="4DFE5307"/>
    <w:rsid w:val="4E013DEC"/>
    <w:rsid w:val="4E027204"/>
    <w:rsid w:val="4E08619A"/>
    <w:rsid w:val="4E197DEC"/>
    <w:rsid w:val="4E285578"/>
    <w:rsid w:val="4E2F67A0"/>
    <w:rsid w:val="4E483CD6"/>
    <w:rsid w:val="4E5446D1"/>
    <w:rsid w:val="4E593791"/>
    <w:rsid w:val="4E662181"/>
    <w:rsid w:val="4E74200A"/>
    <w:rsid w:val="4E760E14"/>
    <w:rsid w:val="4E7E0AB0"/>
    <w:rsid w:val="4E8F5E32"/>
    <w:rsid w:val="4E943001"/>
    <w:rsid w:val="4E9B031D"/>
    <w:rsid w:val="4EAD187E"/>
    <w:rsid w:val="4EBA179F"/>
    <w:rsid w:val="4ECD63FF"/>
    <w:rsid w:val="4ED3243D"/>
    <w:rsid w:val="4ED82BC1"/>
    <w:rsid w:val="4EE14481"/>
    <w:rsid w:val="4EEE4094"/>
    <w:rsid w:val="4EF31647"/>
    <w:rsid w:val="4EFC2B79"/>
    <w:rsid w:val="4F0A123A"/>
    <w:rsid w:val="4F12082C"/>
    <w:rsid w:val="4F1521FE"/>
    <w:rsid w:val="4F2A6B3F"/>
    <w:rsid w:val="4F2F6737"/>
    <w:rsid w:val="4F324163"/>
    <w:rsid w:val="4F380D1F"/>
    <w:rsid w:val="4F445BA1"/>
    <w:rsid w:val="4F6A090C"/>
    <w:rsid w:val="4F797DC8"/>
    <w:rsid w:val="4F84211F"/>
    <w:rsid w:val="4FA47125"/>
    <w:rsid w:val="4FAF198A"/>
    <w:rsid w:val="4FB15A6D"/>
    <w:rsid w:val="4FB44E50"/>
    <w:rsid w:val="4FC3385A"/>
    <w:rsid w:val="4FC40734"/>
    <w:rsid w:val="4FD73876"/>
    <w:rsid w:val="4FDA1318"/>
    <w:rsid w:val="4FDA66A3"/>
    <w:rsid w:val="4FDC2314"/>
    <w:rsid w:val="4FF11570"/>
    <w:rsid w:val="5000714E"/>
    <w:rsid w:val="501F02F6"/>
    <w:rsid w:val="501F6809"/>
    <w:rsid w:val="50300E1D"/>
    <w:rsid w:val="503B49B6"/>
    <w:rsid w:val="503B5F4F"/>
    <w:rsid w:val="504514D4"/>
    <w:rsid w:val="50455554"/>
    <w:rsid w:val="505377AD"/>
    <w:rsid w:val="505E2AC4"/>
    <w:rsid w:val="506202A8"/>
    <w:rsid w:val="50644DCC"/>
    <w:rsid w:val="50715191"/>
    <w:rsid w:val="5076569F"/>
    <w:rsid w:val="507F1756"/>
    <w:rsid w:val="5085041C"/>
    <w:rsid w:val="50960866"/>
    <w:rsid w:val="50A102E1"/>
    <w:rsid w:val="50A76C30"/>
    <w:rsid w:val="50AD3DB7"/>
    <w:rsid w:val="50B466F3"/>
    <w:rsid w:val="50BF21D9"/>
    <w:rsid w:val="50C26EA6"/>
    <w:rsid w:val="50C31A09"/>
    <w:rsid w:val="50C579CE"/>
    <w:rsid w:val="50CA543E"/>
    <w:rsid w:val="50D63356"/>
    <w:rsid w:val="50E156FB"/>
    <w:rsid w:val="50E44861"/>
    <w:rsid w:val="50E62E8C"/>
    <w:rsid w:val="50FD79D3"/>
    <w:rsid w:val="51015FB3"/>
    <w:rsid w:val="51086CC9"/>
    <w:rsid w:val="51136945"/>
    <w:rsid w:val="51235537"/>
    <w:rsid w:val="51340EB3"/>
    <w:rsid w:val="513601A0"/>
    <w:rsid w:val="51362626"/>
    <w:rsid w:val="513D2030"/>
    <w:rsid w:val="513D2D5E"/>
    <w:rsid w:val="51401A96"/>
    <w:rsid w:val="514467DC"/>
    <w:rsid w:val="51644DBE"/>
    <w:rsid w:val="516A27DF"/>
    <w:rsid w:val="5178215C"/>
    <w:rsid w:val="51843DB4"/>
    <w:rsid w:val="51916993"/>
    <w:rsid w:val="51952198"/>
    <w:rsid w:val="51B945D5"/>
    <w:rsid w:val="51CE565B"/>
    <w:rsid w:val="51F6353C"/>
    <w:rsid w:val="51FC2248"/>
    <w:rsid w:val="51FE79A5"/>
    <w:rsid w:val="520724F1"/>
    <w:rsid w:val="52112B16"/>
    <w:rsid w:val="5213732C"/>
    <w:rsid w:val="521E10FC"/>
    <w:rsid w:val="522F18B4"/>
    <w:rsid w:val="52352437"/>
    <w:rsid w:val="523A74CF"/>
    <w:rsid w:val="524607C7"/>
    <w:rsid w:val="524B7417"/>
    <w:rsid w:val="524F139F"/>
    <w:rsid w:val="524F4C5F"/>
    <w:rsid w:val="525A31D2"/>
    <w:rsid w:val="526D6B40"/>
    <w:rsid w:val="529A036B"/>
    <w:rsid w:val="529D7350"/>
    <w:rsid w:val="52A811B1"/>
    <w:rsid w:val="52AC312D"/>
    <w:rsid w:val="52B25648"/>
    <w:rsid w:val="52BA0658"/>
    <w:rsid w:val="52C406DD"/>
    <w:rsid w:val="52C84DDA"/>
    <w:rsid w:val="52D96550"/>
    <w:rsid w:val="52EE181A"/>
    <w:rsid w:val="52EF78AA"/>
    <w:rsid w:val="52F24402"/>
    <w:rsid w:val="52FA5A32"/>
    <w:rsid w:val="53022AE2"/>
    <w:rsid w:val="53035F10"/>
    <w:rsid w:val="53092BF4"/>
    <w:rsid w:val="530E6FEF"/>
    <w:rsid w:val="5316144A"/>
    <w:rsid w:val="53195734"/>
    <w:rsid w:val="53217BD7"/>
    <w:rsid w:val="532365DB"/>
    <w:rsid w:val="532659A8"/>
    <w:rsid w:val="53276C86"/>
    <w:rsid w:val="533112EB"/>
    <w:rsid w:val="533F26B7"/>
    <w:rsid w:val="533F5782"/>
    <w:rsid w:val="534326FE"/>
    <w:rsid w:val="5349278C"/>
    <w:rsid w:val="534F4F0D"/>
    <w:rsid w:val="53624EA5"/>
    <w:rsid w:val="53671EF8"/>
    <w:rsid w:val="537D5973"/>
    <w:rsid w:val="53A34EDE"/>
    <w:rsid w:val="53AC6719"/>
    <w:rsid w:val="53B4545D"/>
    <w:rsid w:val="53BE6372"/>
    <w:rsid w:val="53C173C2"/>
    <w:rsid w:val="53C20918"/>
    <w:rsid w:val="53C76482"/>
    <w:rsid w:val="53C83F7C"/>
    <w:rsid w:val="53CB0C24"/>
    <w:rsid w:val="53D510B7"/>
    <w:rsid w:val="53DA4EC3"/>
    <w:rsid w:val="53E26336"/>
    <w:rsid w:val="53EC4BF7"/>
    <w:rsid w:val="53EC5BBF"/>
    <w:rsid w:val="53EE1C08"/>
    <w:rsid w:val="53FB664D"/>
    <w:rsid w:val="54022F67"/>
    <w:rsid w:val="5404735A"/>
    <w:rsid w:val="540B0E47"/>
    <w:rsid w:val="54107BDD"/>
    <w:rsid w:val="5430711A"/>
    <w:rsid w:val="543A11F4"/>
    <w:rsid w:val="543D5452"/>
    <w:rsid w:val="544A31C2"/>
    <w:rsid w:val="544F0BE7"/>
    <w:rsid w:val="544F675B"/>
    <w:rsid w:val="54740FF1"/>
    <w:rsid w:val="547E29E6"/>
    <w:rsid w:val="54805AE6"/>
    <w:rsid w:val="54834B25"/>
    <w:rsid w:val="54851463"/>
    <w:rsid w:val="548D5D91"/>
    <w:rsid w:val="54992A02"/>
    <w:rsid w:val="549A0072"/>
    <w:rsid w:val="549E4AC8"/>
    <w:rsid w:val="54A96717"/>
    <w:rsid w:val="54AD5D7A"/>
    <w:rsid w:val="54BB2358"/>
    <w:rsid w:val="54BF1359"/>
    <w:rsid w:val="54C91279"/>
    <w:rsid w:val="54DB62BB"/>
    <w:rsid w:val="54ED347B"/>
    <w:rsid w:val="54EE4DEB"/>
    <w:rsid w:val="54FC7813"/>
    <w:rsid w:val="55054C48"/>
    <w:rsid w:val="5508586F"/>
    <w:rsid w:val="550B7B13"/>
    <w:rsid w:val="551906BC"/>
    <w:rsid w:val="551A5D43"/>
    <w:rsid w:val="551D7A29"/>
    <w:rsid w:val="55222A90"/>
    <w:rsid w:val="552318E1"/>
    <w:rsid w:val="5526071A"/>
    <w:rsid w:val="5527238A"/>
    <w:rsid w:val="554F368F"/>
    <w:rsid w:val="555824FB"/>
    <w:rsid w:val="55645DF6"/>
    <w:rsid w:val="557105E5"/>
    <w:rsid w:val="557868BB"/>
    <w:rsid w:val="557A0D56"/>
    <w:rsid w:val="558203B9"/>
    <w:rsid w:val="55B436F9"/>
    <w:rsid w:val="55CD6CD9"/>
    <w:rsid w:val="55E016F5"/>
    <w:rsid w:val="55E04918"/>
    <w:rsid w:val="55E93AA1"/>
    <w:rsid w:val="56011454"/>
    <w:rsid w:val="56024926"/>
    <w:rsid w:val="560B5981"/>
    <w:rsid w:val="560F5214"/>
    <w:rsid w:val="56196D50"/>
    <w:rsid w:val="561D06B7"/>
    <w:rsid w:val="561D4F61"/>
    <w:rsid w:val="561F5F60"/>
    <w:rsid w:val="56201B4A"/>
    <w:rsid w:val="562B5EAA"/>
    <w:rsid w:val="562E7097"/>
    <w:rsid w:val="56322351"/>
    <w:rsid w:val="563C0220"/>
    <w:rsid w:val="563E034A"/>
    <w:rsid w:val="564152FD"/>
    <w:rsid w:val="56522927"/>
    <w:rsid w:val="56536F61"/>
    <w:rsid w:val="5654556C"/>
    <w:rsid w:val="565B65EF"/>
    <w:rsid w:val="565D1F07"/>
    <w:rsid w:val="56637082"/>
    <w:rsid w:val="566D1CB3"/>
    <w:rsid w:val="56830697"/>
    <w:rsid w:val="569108AF"/>
    <w:rsid w:val="56937137"/>
    <w:rsid w:val="5696131E"/>
    <w:rsid w:val="569923E2"/>
    <w:rsid w:val="569C5B0B"/>
    <w:rsid w:val="569F6CEC"/>
    <w:rsid w:val="56BD216F"/>
    <w:rsid w:val="56C615A6"/>
    <w:rsid w:val="56D74F28"/>
    <w:rsid w:val="56E60023"/>
    <w:rsid w:val="56E861A4"/>
    <w:rsid w:val="56F354BF"/>
    <w:rsid w:val="56FD7EE1"/>
    <w:rsid w:val="5703794C"/>
    <w:rsid w:val="57045D3E"/>
    <w:rsid w:val="57081D47"/>
    <w:rsid w:val="571C2349"/>
    <w:rsid w:val="571F3DA9"/>
    <w:rsid w:val="572A0702"/>
    <w:rsid w:val="572C5F9B"/>
    <w:rsid w:val="572D73F2"/>
    <w:rsid w:val="574D40FA"/>
    <w:rsid w:val="57521044"/>
    <w:rsid w:val="575933DC"/>
    <w:rsid w:val="575A3743"/>
    <w:rsid w:val="57621E06"/>
    <w:rsid w:val="5764796A"/>
    <w:rsid w:val="577138D2"/>
    <w:rsid w:val="5774211A"/>
    <w:rsid w:val="578A4EF7"/>
    <w:rsid w:val="57906E15"/>
    <w:rsid w:val="57962A92"/>
    <w:rsid w:val="57A10A0D"/>
    <w:rsid w:val="57A440EA"/>
    <w:rsid w:val="57A777B2"/>
    <w:rsid w:val="57B123DF"/>
    <w:rsid w:val="57C65A83"/>
    <w:rsid w:val="57D231A5"/>
    <w:rsid w:val="57D63600"/>
    <w:rsid w:val="57E042A9"/>
    <w:rsid w:val="57E90B82"/>
    <w:rsid w:val="57ED258B"/>
    <w:rsid w:val="57F20498"/>
    <w:rsid w:val="57FC4B3F"/>
    <w:rsid w:val="580569F7"/>
    <w:rsid w:val="581B3CFC"/>
    <w:rsid w:val="583552D2"/>
    <w:rsid w:val="583A72CD"/>
    <w:rsid w:val="583C0C10"/>
    <w:rsid w:val="58405084"/>
    <w:rsid w:val="58440318"/>
    <w:rsid w:val="58514C05"/>
    <w:rsid w:val="58574A9B"/>
    <w:rsid w:val="586B02ED"/>
    <w:rsid w:val="586F49FB"/>
    <w:rsid w:val="58795E79"/>
    <w:rsid w:val="58816569"/>
    <w:rsid w:val="589A7E48"/>
    <w:rsid w:val="58C6219F"/>
    <w:rsid w:val="58DD0A90"/>
    <w:rsid w:val="58F1038F"/>
    <w:rsid w:val="59135481"/>
    <w:rsid w:val="59215342"/>
    <w:rsid w:val="59321C53"/>
    <w:rsid w:val="593515ED"/>
    <w:rsid w:val="593908DE"/>
    <w:rsid w:val="594D75ED"/>
    <w:rsid w:val="59551B39"/>
    <w:rsid w:val="595F33D0"/>
    <w:rsid w:val="596315D5"/>
    <w:rsid w:val="59655F5C"/>
    <w:rsid w:val="597B15F1"/>
    <w:rsid w:val="598814AF"/>
    <w:rsid w:val="59A55337"/>
    <w:rsid w:val="59AA17DC"/>
    <w:rsid w:val="59B0256E"/>
    <w:rsid w:val="59B95C88"/>
    <w:rsid w:val="59BC77EE"/>
    <w:rsid w:val="59CB6DA5"/>
    <w:rsid w:val="59CE6A88"/>
    <w:rsid w:val="59E134D2"/>
    <w:rsid w:val="59E86357"/>
    <w:rsid w:val="59FD34EB"/>
    <w:rsid w:val="5A0223E5"/>
    <w:rsid w:val="5A044B35"/>
    <w:rsid w:val="5A1219CC"/>
    <w:rsid w:val="5A1346BE"/>
    <w:rsid w:val="5A177FB6"/>
    <w:rsid w:val="5A1B4616"/>
    <w:rsid w:val="5A2D7EE2"/>
    <w:rsid w:val="5A32556C"/>
    <w:rsid w:val="5A376BAC"/>
    <w:rsid w:val="5A386DE8"/>
    <w:rsid w:val="5A4A1A6B"/>
    <w:rsid w:val="5A4B08F3"/>
    <w:rsid w:val="5A4D0C83"/>
    <w:rsid w:val="5A4D54D5"/>
    <w:rsid w:val="5A607174"/>
    <w:rsid w:val="5A7046DA"/>
    <w:rsid w:val="5A8A3111"/>
    <w:rsid w:val="5A8B1F8E"/>
    <w:rsid w:val="5A902718"/>
    <w:rsid w:val="5A9036D2"/>
    <w:rsid w:val="5A975CC6"/>
    <w:rsid w:val="5A981634"/>
    <w:rsid w:val="5A9908F2"/>
    <w:rsid w:val="5AA10F2F"/>
    <w:rsid w:val="5AAC303B"/>
    <w:rsid w:val="5AB6467D"/>
    <w:rsid w:val="5AB90FF3"/>
    <w:rsid w:val="5AC85292"/>
    <w:rsid w:val="5ACA6381"/>
    <w:rsid w:val="5ACE12BC"/>
    <w:rsid w:val="5AD92379"/>
    <w:rsid w:val="5AEB0EE5"/>
    <w:rsid w:val="5AEB3E5A"/>
    <w:rsid w:val="5AF43E4D"/>
    <w:rsid w:val="5AF75240"/>
    <w:rsid w:val="5AF8132B"/>
    <w:rsid w:val="5B0001F0"/>
    <w:rsid w:val="5B147D21"/>
    <w:rsid w:val="5B195CA0"/>
    <w:rsid w:val="5B3E5344"/>
    <w:rsid w:val="5B432473"/>
    <w:rsid w:val="5B495782"/>
    <w:rsid w:val="5B4B5546"/>
    <w:rsid w:val="5B500ABC"/>
    <w:rsid w:val="5B540F34"/>
    <w:rsid w:val="5B590CE7"/>
    <w:rsid w:val="5B603373"/>
    <w:rsid w:val="5B6C11B2"/>
    <w:rsid w:val="5B77695D"/>
    <w:rsid w:val="5B882560"/>
    <w:rsid w:val="5B8B1D59"/>
    <w:rsid w:val="5BA83AF9"/>
    <w:rsid w:val="5BA87B3B"/>
    <w:rsid w:val="5BA87F9D"/>
    <w:rsid w:val="5BB03C9D"/>
    <w:rsid w:val="5BCD750C"/>
    <w:rsid w:val="5BCE532A"/>
    <w:rsid w:val="5BD20B76"/>
    <w:rsid w:val="5BD516A8"/>
    <w:rsid w:val="5BE013A4"/>
    <w:rsid w:val="5BE31400"/>
    <w:rsid w:val="5BEF7958"/>
    <w:rsid w:val="5BF607A3"/>
    <w:rsid w:val="5BFD5589"/>
    <w:rsid w:val="5BFE3E4D"/>
    <w:rsid w:val="5BFE48ED"/>
    <w:rsid w:val="5C01375F"/>
    <w:rsid w:val="5C0B7510"/>
    <w:rsid w:val="5C160900"/>
    <w:rsid w:val="5C1F154F"/>
    <w:rsid w:val="5C215867"/>
    <w:rsid w:val="5C234C5F"/>
    <w:rsid w:val="5C242605"/>
    <w:rsid w:val="5C410E42"/>
    <w:rsid w:val="5C51168A"/>
    <w:rsid w:val="5C562E9E"/>
    <w:rsid w:val="5C5979DA"/>
    <w:rsid w:val="5C5B13B2"/>
    <w:rsid w:val="5C645C72"/>
    <w:rsid w:val="5C6F4617"/>
    <w:rsid w:val="5C6F59EB"/>
    <w:rsid w:val="5C844566"/>
    <w:rsid w:val="5C8C7F12"/>
    <w:rsid w:val="5C9734BA"/>
    <w:rsid w:val="5CA03E77"/>
    <w:rsid w:val="5CA07402"/>
    <w:rsid w:val="5CB16256"/>
    <w:rsid w:val="5CC05655"/>
    <w:rsid w:val="5CCC1A69"/>
    <w:rsid w:val="5CE21033"/>
    <w:rsid w:val="5CE91878"/>
    <w:rsid w:val="5CF2410F"/>
    <w:rsid w:val="5CF55E4D"/>
    <w:rsid w:val="5D1D08F5"/>
    <w:rsid w:val="5D2B19AD"/>
    <w:rsid w:val="5D2B316E"/>
    <w:rsid w:val="5D2B49E2"/>
    <w:rsid w:val="5D4D66D8"/>
    <w:rsid w:val="5D5723E8"/>
    <w:rsid w:val="5D6053F6"/>
    <w:rsid w:val="5D79513A"/>
    <w:rsid w:val="5D980A8B"/>
    <w:rsid w:val="5D9F6A0C"/>
    <w:rsid w:val="5DA128FF"/>
    <w:rsid w:val="5DA317DF"/>
    <w:rsid w:val="5DB30C34"/>
    <w:rsid w:val="5DB76275"/>
    <w:rsid w:val="5DBE27BA"/>
    <w:rsid w:val="5DCB62A9"/>
    <w:rsid w:val="5DCE7F38"/>
    <w:rsid w:val="5DDD7725"/>
    <w:rsid w:val="5DE050C8"/>
    <w:rsid w:val="5DE34B59"/>
    <w:rsid w:val="5DE9527A"/>
    <w:rsid w:val="5DEC3DB4"/>
    <w:rsid w:val="5DF12ACB"/>
    <w:rsid w:val="5DF36340"/>
    <w:rsid w:val="5DF555C7"/>
    <w:rsid w:val="5DF74000"/>
    <w:rsid w:val="5DF823AA"/>
    <w:rsid w:val="5DFB4DCD"/>
    <w:rsid w:val="5DFB7557"/>
    <w:rsid w:val="5E210059"/>
    <w:rsid w:val="5E217454"/>
    <w:rsid w:val="5E274CDE"/>
    <w:rsid w:val="5E3B4869"/>
    <w:rsid w:val="5E3F6CB3"/>
    <w:rsid w:val="5E4056F0"/>
    <w:rsid w:val="5E4B3A90"/>
    <w:rsid w:val="5E4D1219"/>
    <w:rsid w:val="5E552C9D"/>
    <w:rsid w:val="5E561A3F"/>
    <w:rsid w:val="5E595271"/>
    <w:rsid w:val="5E5C5923"/>
    <w:rsid w:val="5E6F653A"/>
    <w:rsid w:val="5E702A29"/>
    <w:rsid w:val="5E7D58E2"/>
    <w:rsid w:val="5E835AE9"/>
    <w:rsid w:val="5E871370"/>
    <w:rsid w:val="5EB57138"/>
    <w:rsid w:val="5EBD0B42"/>
    <w:rsid w:val="5EE71070"/>
    <w:rsid w:val="5EFD4424"/>
    <w:rsid w:val="5F002391"/>
    <w:rsid w:val="5F08797C"/>
    <w:rsid w:val="5F3E00A5"/>
    <w:rsid w:val="5F5E2447"/>
    <w:rsid w:val="5F685D16"/>
    <w:rsid w:val="5F69435E"/>
    <w:rsid w:val="5F8A4E4F"/>
    <w:rsid w:val="5F9C9B8B"/>
    <w:rsid w:val="5F9F53F6"/>
    <w:rsid w:val="5FB459F4"/>
    <w:rsid w:val="5FB561B6"/>
    <w:rsid w:val="5FCA1866"/>
    <w:rsid w:val="5FCC2F6D"/>
    <w:rsid w:val="5FDE0443"/>
    <w:rsid w:val="5FE3560A"/>
    <w:rsid w:val="5FE66AFF"/>
    <w:rsid w:val="5FE90A3C"/>
    <w:rsid w:val="5FEF231B"/>
    <w:rsid w:val="5FF27165"/>
    <w:rsid w:val="600263CF"/>
    <w:rsid w:val="6004363A"/>
    <w:rsid w:val="600F05EB"/>
    <w:rsid w:val="604C6FB5"/>
    <w:rsid w:val="605250FD"/>
    <w:rsid w:val="605703CA"/>
    <w:rsid w:val="60633969"/>
    <w:rsid w:val="606F52F8"/>
    <w:rsid w:val="607932EA"/>
    <w:rsid w:val="60793315"/>
    <w:rsid w:val="6093090E"/>
    <w:rsid w:val="60A321B8"/>
    <w:rsid w:val="60A61931"/>
    <w:rsid w:val="60AA1DCC"/>
    <w:rsid w:val="60B378D3"/>
    <w:rsid w:val="60B6111C"/>
    <w:rsid w:val="60C9385A"/>
    <w:rsid w:val="60E33349"/>
    <w:rsid w:val="60E95C4B"/>
    <w:rsid w:val="60F43A2B"/>
    <w:rsid w:val="611D0660"/>
    <w:rsid w:val="611E7E6D"/>
    <w:rsid w:val="61206FD7"/>
    <w:rsid w:val="61256A84"/>
    <w:rsid w:val="613F2D07"/>
    <w:rsid w:val="614638BD"/>
    <w:rsid w:val="614B3D68"/>
    <w:rsid w:val="61587639"/>
    <w:rsid w:val="616248A4"/>
    <w:rsid w:val="616404C2"/>
    <w:rsid w:val="616B095C"/>
    <w:rsid w:val="61747FEA"/>
    <w:rsid w:val="61767816"/>
    <w:rsid w:val="61795584"/>
    <w:rsid w:val="61822142"/>
    <w:rsid w:val="618652F6"/>
    <w:rsid w:val="61A95FB0"/>
    <w:rsid w:val="61B11A52"/>
    <w:rsid w:val="61B50D1E"/>
    <w:rsid w:val="61B6417F"/>
    <w:rsid w:val="61B82D04"/>
    <w:rsid w:val="61C20588"/>
    <w:rsid w:val="61C304A2"/>
    <w:rsid w:val="61C348FC"/>
    <w:rsid w:val="61EB32BA"/>
    <w:rsid w:val="61F25ACE"/>
    <w:rsid w:val="61FE7728"/>
    <w:rsid w:val="621F2E18"/>
    <w:rsid w:val="6229690D"/>
    <w:rsid w:val="62364B97"/>
    <w:rsid w:val="624E7EFA"/>
    <w:rsid w:val="62516C98"/>
    <w:rsid w:val="62544314"/>
    <w:rsid w:val="625A6B63"/>
    <w:rsid w:val="625B18C5"/>
    <w:rsid w:val="625F6898"/>
    <w:rsid w:val="626212B1"/>
    <w:rsid w:val="62A15EAD"/>
    <w:rsid w:val="62C03E1E"/>
    <w:rsid w:val="62CD53EA"/>
    <w:rsid w:val="62E8679E"/>
    <w:rsid w:val="62EA2A56"/>
    <w:rsid w:val="62F23E6C"/>
    <w:rsid w:val="62F97DE8"/>
    <w:rsid w:val="62FB6787"/>
    <w:rsid w:val="630454A0"/>
    <w:rsid w:val="63133E9C"/>
    <w:rsid w:val="631344F6"/>
    <w:rsid w:val="6331275F"/>
    <w:rsid w:val="63342DA5"/>
    <w:rsid w:val="63386AE5"/>
    <w:rsid w:val="6343002F"/>
    <w:rsid w:val="635A446B"/>
    <w:rsid w:val="635C49F5"/>
    <w:rsid w:val="63623660"/>
    <w:rsid w:val="63624ED5"/>
    <w:rsid w:val="63731AA6"/>
    <w:rsid w:val="637537B7"/>
    <w:rsid w:val="637F6BB1"/>
    <w:rsid w:val="63957DB0"/>
    <w:rsid w:val="639C572E"/>
    <w:rsid w:val="639C6832"/>
    <w:rsid w:val="63A3147F"/>
    <w:rsid w:val="63AA4377"/>
    <w:rsid w:val="63AC5BCF"/>
    <w:rsid w:val="63B6349B"/>
    <w:rsid w:val="63C94C28"/>
    <w:rsid w:val="63D3147B"/>
    <w:rsid w:val="63DB29A2"/>
    <w:rsid w:val="63DD3D86"/>
    <w:rsid w:val="63E51BA4"/>
    <w:rsid w:val="63E73844"/>
    <w:rsid w:val="63FA2B7C"/>
    <w:rsid w:val="64044608"/>
    <w:rsid w:val="64083F8C"/>
    <w:rsid w:val="64122457"/>
    <w:rsid w:val="641E6F8D"/>
    <w:rsid w:val="64284181"/>
    <w:rsid w:val="642C6BB2"/>
    <w:rsid w:val="6438163B"/>
    <w:rsid w:val="6448431E"/>
    <w:rsid w:val="64533B29"/>
    <w:rsid w:val="646157D2"/>
    <w:rsid w:val="646B2E08"/>
    <w:rsid w:val="6474210B"/>
    <w:rsid w:val="647D3FB5"/>
    <w:rsid w:val="648339A4"/>
    <w:rsid w:val="6487092D"/>
    <w:rsid w:val="649D42AA"/>
    <w:rsid w:val="64A45366"/>
    <w:rsid w:val="64AE696E"/>
    <w:rsid w:val="64B33835"/>
    <w:rsid w:val="64D63485"/>
    <w:rsid w:val="64D75334"/>
    <w:rsid w:val="64E3198C"/>
    <w:rsid w:val="64EC6383"/>
    <w:rsid w:val="64EC7144"/>
    <w:rsid w:val="64ED3FE3"/>
    <w:rsid w:val="64EE1F7F"/>
    <w:rsid w:val="652148E1"/>
    <w:rsid w:val="652E04AA"/>
    <w:rsid w:val="65303A44"/>
    <w:rsid w:val="654C376A"/>
    <w:rsid w:val="6562293D"/>
    <w:rsid w:val="657A2050"/>
    <w:rsid w:val="65855B9E"/>
    <w:rsid w:val="65955981"/>
    <w:rsid w:val="65956E87"/>
    <w:rsid w:val="659700F4"/>
    <w:rsid w:val="659A6DE0"/>
    <w:rsid w:val="65A269FC"/>
    <w:rsid w:val="65A311B7"/>
    <w:rsid w:val="65A55BD6"/>
    <w:rsid w:val="65A9369F"/>
    <w:rsid w:val="65B21C08"/>
    <w:rsid w:val="65B52D98"/>
    <w:rsid w:val="65B76F17"/>
    <w:rsid w:val="65C97631"/>
    <w:rsid w:val="65D976D1"/>
    <w:rsid w:val="65E21C73"/>
    <w:rsid w:val="65E60212"/>
    <w:rsid w:val="65F00576"/>
    <w:rsid w:val="6615212A"/>
    <w:rsid w:val="662D01DE"/>
    <w:rsid w:val="662E3531"/>
    <w:rsid w:val="662F78B0"/>
    <w:rsid w:val="664A156A"/>
    <w:rsid w:val="664E176A"/>
    <w:rsid w:val="66655EA3"/>
    <w:rsid w:val="666D7E19"/>
    <w:rsid w:val="6672008B"/>
    <w:rsid w:val="66780231"/>
    <w:rsid w:val="66840ABD"/>
    <w:rsid w:val="668A2AE4"/>
    <w:rsid w:val="668E420C"/>
    <w:rsid w:val="668E783F"/>
    <w:rsid w:val="668F221A"/>
    <w:rsid w:val="6695160A"/>
    <w:rsid w:val="66986B45"/>
    <w:rsid w:val="669A4D13"/>
    <w:rsid w:val="66A01EAA"/>
    <w:rsid w:val="66AF1BA3"/>
    <w:rsid w:val="66B96FBB"/>
    <w:rsid w:val="66BB37C3"/>
    <w:rsid w:val="66BE34D8"/>
    <w:rsid w:val="66C13CC1"/>
    <w:rsid w:val="66C75760"/>
    <w:rsid w:val="66DD3621"/>
    <w:rsid w:val="66E71979"/>
    <w:rsid w:val="66EB1677"/>
    <w:rsid w:val="66F7667C"/>
    <w:rsid w:val="66FA1A14"/>
    <w:rsid w:val="66FB166D"/>
    <w:rsid w:val="67074B15"/>
    <w:rsid w:val="671247E2"/>
    <w:rsid w:val="67195225"/>
    <w:rsid w:val="671F4718"/>
    <w:rsid w:val="672A557E"/>
    <w:rsid w:val="672B6013"/>
    <w:rsid w:val="67323605"/>
    <w:rsid w:val="6733287C"/>
    <w:rsid w:val="675C6E7A"/>
    <w:rsid w:val="675D4968"/>
    <w:rsid w:val="676A2C42"/>
    <w:rsid w:val="676D271F"/>
    <w:rsid w:val="676E0D27"/>
    <w:rsid w:val="67762BA2"/>
    <w:rsid w:val="677F2529"/>
    <w:rsid w:val="678868E0"/>
    <w:rsid w:val="678F3DBF"/>
    <w:rsid w:val="67996C1B"/>
    <w:rsid w:val="67BB74EE"/>
    <w:rsid w:val="67C71617"/>
    <w:rsid w:val="67C83FEE"/>
    <w:rsid w:val="67D155DA"/>
    <w:rsid w:val="67DF6AF4"/>
    <w:rsid w:val="67E9289A"/>
    <w:rsid w:val="67F03F2D"/>
    <w:rsid w:val="67FB75C4"/>
    <w:rsid w:val="680451CE"/>
    <w:rsid w:val="680B78E9"/>
    <w:rsid w:val="68195859"/>
    <w:rsid w:val="681A742A"/>
    <w:rsid w:val="683B0DFA"/>
    <w:rsid w:val="683B4D3D"/>
    <w:rsid w:val="684921C0"/>
    <w:rsid w:val="684B0085"/>
    <w:rsid w:val="68553D99"/>
    <w:rsid w:val="68663000"/>
    <w:rsid w:val="68684D3C"/>
    <w:rsid w:val="68716CF7"/>
    <w:rsid w:val="687A1A3F"/>
    <w:rsid w:val="68860C23"/>
    <w:rsid w:val="688E0D14"/>
    <w:rsid w:val="6894451A"/>
    <w:rsid w:val="68A82F75"/>
    <w:rsid w:val="68B0223F"/>
    <w:rsid w:val="68BE1841"/>
    <w:rsid w:val="68C1618F"/>
    <w:rsid w:val="68C53F3C"/>
    <w:rsid w:val="68CD20FB"/>
    <w:rsid w:val="68CD35E9"/>
    <w:rsid w:val="68D24B31"/>
    <w:rsid w:val="68D30F84"/>
    <w:rsid w:val="68D43409"/>
    <w:rsid w:val="68EC6D61"/>
    <w:rsid w:val="68F44012"/>
    <w:rsid w:val="690A04EA"/>
    <w:rsid w:val="691E189E"/>
    <w:rsid w:val="69230EAC"/>
    <w:rsid w:val="692613EC"/>
    <w:rsid w:val="692A25C0"/>
    <w:rsid w:val="692E6855"/>
    <w:rsid w:val="693F4385"/>
    <w:rsid w:val="69400376"/>
    <w:rsid w:val="69425157"/>
    <w:rsid w:val="694F7CAA"/>
    <w:rsid w:val="69583FBC"/>
    <w:rsid w:val="69662495"/>
    <w:rsid w:val="696848C8"/>
    <w:rsid w:val="698003E4"/>
    <w:rsid w:val="69842E6C"/>
    <w:rsid w:val="69862F22"/>
    <w:rsid w:val="698D3FF3"/>
    <w:rsid w:val="698E532B"/>
    <w:rsid w:val="699911C9"/>
    <w:rsid w:val="6999692C"/>
    <w:rsid w:val="69A535C6"/>
    <w:rsid w:val="69C05B16"/>
    <w:rsid w:val="69EC57C9"/>
    <w:rsid w:val="69FBB98E"/>
    <w:rsid w:val="69FD3B84"/>
    <w:rsid w:val="6A1742F3"/>
    <w:rsid w:val="6A1E409E"/>
    <w:rsid w:val="6A1E683A"/>
    <w:rsid w:val="6A2709C4"/>
    <w:rsid w:val="6A4634E3"/>
    <w:rsid w:val="6A4E064A"/>
    <w:rsid w:val="6A507310"/>
    <w:rsid w:val="6A507835"/>
    <w:rsid w:val="6A575068"/>
    <w:rsid w:val="6A581B83"/>
    <w:rsid w:val="6A5E2449"/>
    <w:rsid w:val="6A6D488B"/>
    <w:rsid w:val="6A715D93"/>
    <w:rsid w:val="6A862E29"/>
    <w:rsid w:val="6A8E6E81"/>
    <w:rsid w:val="6A902328"/>
    <w:rsid w:val="6A9040D6"/>
    <w:rsid w:val="6AAA7743"/>
    <w:rsid w:val="6AAB442E"/>
    <w:rsid w:val="6AAC720F"/>
    <w:rsid w:val="6AB329D0"/>
    <w:rsid w:val="6AB34481"/>
    <w:rsid w:val="6ABF2A53"/>
    <w:rsid w:val="6AC67AF8"/>
    <w:rsid w:val="6AD83739"/>
    <w:rsid w:val="6ADA0B48"/>
    <w:rsid w:val="6AE90779"/>
    <w:rsid w:val="6AF26213"/>
    <w:rsid w:val="6AF66314"/>
    <w:rsid w:val="6B032E79"/>
    <w:rsid w:val="6B0968D4"/>
    <w:rsid w:val="6B0A1E3A"/>
    <w:rsid w:val="6B0B7EAC"/>
    <w:rsid w:val="6B280A91"/>
    <w:rsid w:val="6B4275F9"/>
    <w:rsid w:val="6B552F4C"/>
    <w:rsid w:val="6B5A2D35"/>
    <w:rsid w:val="6B601211"/>
    <w:rsid w:val="6B6246E3"/>
    <w:rsid w:val="6B687E6D"/>
    <w:rsid w:val="6B7066B7"/>
    <w:rsid w:val="6B7838A4"/>
    <w:rsid w:val="6B802A1D"/>
    <w:rsid w:val="6BA11A56"/>
    <w:rsid w:val="6BB33DF4"/>
    <w:rsid w:val="6BB3780E"/>
    <w:rsid w:val="6BB609DF"/>
    <w:rsid w:val="6BBF2AA1"/>
    <w:rsid w:val="6BC82C13"/>
    <w:rsid w:val="6BCA33FA"/>
    <w:rsid w:val="6BCD3C18"/>
    <w:rsid w:val="6BD15C73"/>
    <w:rsid w:val="6BD236A7"/>
    <w:rsid w:val="6BD46135"/>
    <w:rsid w:val="6BD90B9F"/>
    <w:rsid w:val="6BE31E87"/>
    <w:rsid w:val="6BEA8DA2"/>
    <w:rsid w:val="6BF155AC"/>
    <w:rsid w:val="6BFA4F2A"/>
    <w:rsid w:val="6C032E01"/>
    <w:rsid w:val="6C064B0A"/>
    <w:rsid w:val="6C0839CD"/>
    <w:rsid w:val="6C0C1C90"/>
    <w:rsid w:val="6C0D4FBE"/>
    <w:rsid w:val="6C0E7675"/>
    <w:rsid w:val="6C435F62"/>
    <w:rsid w:val="6C440641"/>
    <w:rsid w:val="6C5B198C"/>
    <w:rsid w:val="6C6860A0"/>
    <w:rsid w:val="6C743130"/>
    <w:rsid w:val="6C9869AB"/>
    <w:rsid w:val="6C990C0E"/>
    <w:rsid w:val="6CA65E33"/>
    <w:rsid w:val="6CAB295F"/>
    <w:rsid w:val="6CB00A5F"/>
    <w:rsid w:val="6CBD1686"/>
    <w:rsid w:val="6CC53F8B"/>
    <w:rsid w:val="6CDC694D"/>
    <w:rsid w:val="6CE01F59"/>
    <w:rsid w:val="6CE27E68"/>
    <w:rsid w:val="6CEB2AEF"/>
    <w:rsid w:val="6CED2D37"/>
    <w:rsid w:val="6CF50B68"/>
    <w:rsid w:val="6CF8506C"/>
    <w:rsid w:val="6CFB72BE"/>
    <w:rsid w:val="6D215D48"/>
    <w:rsid w:val="6D242BC0"/>
    <w:rsid w:val="6D321460"/>
    <w:rsid w:val="6D4035E1"/>
    <w:rsid w:val="6D4318D3"/>
    <w:rsid w:val="6D4600F5"/>
    <w:rsid w:val="6D4951A6"/>
    <w:rsid w:val="6D502E42"/>
    <w:rsid w:val="6D5169DA"/>
    <w:rsid w:val="6D565BF0"/>
    <w:rsid w:val="6D76721E"/>
    <w:rsid w:val="6D7E2478"/>
    <w:rsid w:val="6D883092"/>
    <w:rsid w:val="6DA2484C"/>
    <w:rsid w:val="6DB50BF3"/>
    <w:rsid w:val="6DB63149"/>
    <w:rsid w:val="6DC87173"/>
    <w:rsid w:val="6DC876C5"/>
    <w:rsid w:val="6DD50548"/>
    <w:rsid w:val="6DDB6F3C"/>
    <w:rsid w:val="6DE20396"/>
    <w:rsid w:val="6DE22E9A"/>
    <w:rsid w:val="6E121B02"/>
    <w:rsid w:val="6E13784C"/>
    <w:rsid w:val="6E1556F6"/>
    <w:rsid w:val="6E2B4F8C"/>
    <w:rsid w:val="6E3B2CDE"/>
    <w:rsid w:val="6E3E4A79"/>
    <w:rsid w:val="6E4151B3"/>
    <w:rsid w:val="6E442E8D"/>
    <w:rsid w:val="6E531D00"/>
    <w:rsid w:val="6E627D67"/>
    <w:rsid w:val="6E7C0E87"/>
    <w:rsid w:val="6E7D06A1"/>
    <w:rsid w:val="6E830884"/>
    <w:rsid w:val="6E831BF7"/>
    <w:rsid w:val="6E88787E"/>
    <w:rsid w:val="6E8B7040"/>
    <w:rsid w:val="6E8B7F9A"/>
    <w:rsid w:val="6EA529CB"/>
    <w:rsid w:val="6EB129C6"/>
    <w:rsid w:val="6EC72090"/>
    <w:rsid w:val="6ED529FF"/>
    <w:rsid w:val="6EE64A25"/>
    <w:rsid w:val="6EF262F8"/>
    <w:rsid w:val="6EF60E24"/>
    <w:rsid w:val="6F1B40FD"/>
    <w:rsid w:val="6F3326C8"/>
    <w:rsid w:val="6F385944"/>
    <w:rsid w:val="6F3F60CB"/>
    <w:rsid w:val="6F4F0CE9"/>
    <w:rsid w:val="6F60051B"/>
    <w:rsid w:val="6F6136F7"/>
    <w:rsid w:val="6F686247"/>
    <w:rsid w:val="6F7135B5"/>
    <w:rsid w:val="6FA5711E"/>
    <w:rsid w:val="6FAB3715"/>
    <w:rsid w:val="6FC767EC"/>
    <w:rsid w:val="6FCA58ED"/>
    <w:rsid w:val="6FD710BD"/>
    <w:rsid w:val="6FDD69C6"/>
    <w:rsid w:val="6FE0165C"/>
    <w:rsid w:val="6FE71E51"/>
    <w:rsid w:val="6FE77D3D"/>
    <w:rsid w:val="6FF44F37"/>
    <w:rsid w:val="6FFC02AC"/>
    <w:rsid w:val="70032389"/>
    <w:rsid w:val="700C35DB"/>
    <w:rsid w:val="70125D44"/>
    <w:rsid w:val="70147B74"/>
    <w:rsid w:val="70163061"/>
    <w:rsid w:val="701726A8"/>
    <w:rsid w:val="701E03CE"/>
    <w:rsid w:val="702B03B3"/>
    <w:rsid w:val="703450A7"/>
    <w:rsid w:val="703A0C40"/>
    <w:rsid w:val="704B3771"/>
    <w:rsid w:val="70617C6D"/>
    <w:rsid w:val="707B231B"/>
    <w:rsid w:val="708C3591"/>
    <w:rsid w:val="708F78D3"/>
    <w:rsid w:val="70944A92"/>
    <w:rsid w:val="70974443"/>
    <w:rsid w:val="70A32972"/>
    <w:rsid w:val="70A4144C"/>
    <w:rsid w:val="70AA56CC"/>
    <w:rsid w:val="70AD3386"/>
    <w:rsid w:val="70B34237"/>
    <w:rsid w:val="70B5168A"/>
    <w:rsid w:val="70C76378"/>
    <w:rsid w:val="70D27A9E"/>
    <w:rsid w:val="70D70CB1"/>
    <w:rsid w:val="70EB02B8"/>
    <w:rsid w:val="70EF0FBF"/>
    <w:rsid w:val="71002FC0"/>
    <w:rsid w:val="7104794B"/>
    <w:rsid w:val="71123A97"/>
    <w:rsid w:val="71174B27"/>
    <w:rsid w:val="711C1EBB"/>
    <w:rsid w:val="71221CC7"/>
    <w:rsid w:val="71246E6A"/>
    <w:rsid w:val="71273394"/>
    <w:rsid w:val="7128740E"/>
    <w:rsid w:val="712934A8"/>
    <w:rsid w:val="71384D42"/>
    <w:rsid w:val="7141458E"/>
    <w:rsid w:val="71450112"/>
    <w:rsid w:val="714B49E5"/>
    <w:rsid w:val="714F2AF4"/>
    <w:rsid w:val="715446B8"/>
    <w:rsid w:val="71582C8E"/>
    <w:rsid w:val="715B5CCB"/>
    <w:rsid w:val="71665B90"/>
    <w:rsid w:val="71687B5B"/>
    <w:rsid w:val="71731FAC"/>
    <w:rsid w:val="717958C4"/>
    <w:rsid w:val="717961F6"/>
    <w:rsid w:val="717B21BF"/>
    <w:rsid w:val="71815616"/>
    <w:rsid w:val="718F50E7"/>
    <w:rsid w:val="719432AE"/>
    <w:rsid w:val="71970711"/>
    <w:rsid w:val="719E47EE"/>
    <w:rsid w:val="71A60683"/>
    <w:rsid w:val="71AB6C13"/>
    <w:rsid w:val="71B608C6"/>
    <w:rsid w:val="71BC5494"/>
    <w:rsid w:val="71BC7EA6"/>
    <w:rsid w:val="71CF3F63"/>
    <w:rsid w:val="71DF48B2"/>
    <w:rsid w:val="71E17265"/>
    <w:rsid w:val="71E511AB"/>
    <w:rsid w:val="71F3429C"/>
    <w:rsid w:val="71F4717F"/>
    <w:rsid w:val="72077373"/>
    <w:rsid w:val="7210143E"/>
    <w:rsid w:val="722436FE"/>
    <w:rsid w:val="72261FA8"/>
    <w:rsid w:val="72263DF8"/>
    <w:rsid w:val="7227225B"/>
    <w:rsid w:val="722B0957"/>
    <w:rsid w:val="723F26E4"/>
    <w:rsid w:val="724847D9"/>
    <w:rsid w:val="724E43C8"/>
    <w:rsid w:val="727B4199"/>
    <w:rsid w:val="72805EDE"/>
    <w:rsid w:val="72930C07"/>
    <w:rsid w:val="7294672D"/>
    <w:rsid w:val="72AB1A34"/>
    <w:rsid w:val="72B87F0B"/>
    <w:rsid w:val="72C2329A"/>
    <w:rsid w:val="72CA0ED5"/>
    <w:rsid w:val="72CA4326"/>
    <w:rsid w:val="72D212B0"/>
    <w:rsid w:val="72D24741"/>
    <w:rsid w:val="72E6342D"/>
    <w:rsid w:val="72F0605A"/>
    <w:rsid w:val="73096499"/>
    <w:rsid w:val="730D1B08"/>
    <w:rsid w:val="730D7C0B"/>
    <w:rsid w:val="731A661E"/>
    <w:rsid w:val="731D57BC"/>
    <w:rsid w:val="73216213"/>
    <w:rsid w:val="732756DF"/>
    <w:rsid w:val="73323A88"/>
    <w:rsid w:val="733521B4"/>
    <w:rsid w:val="734C5E3C"/>
    <w:rsid w:val="734F3A20"/>
    <w:rsid w:val="736969DC"/>
    <w:rsid w:val="737358CB"/>
    <w:rsid w:val="73770529"/>
    <w:rsid w:val="737A0E50"/>
    <w:rsid w:val="73876CCF"/>
    <w:rsid w:val="738C51D9"/>
    <w:rsid w:val="73A62487"/>
    <w:rsid w:val="73A71D64"/>
    <w:rsid w:val="73B16DBC"/>
    <w:rsid w:val="73B2202A"/>
    <w:rsid w:val="73B560F2"/>
    <w:rsid w:val="73C94EFB"/>
    <w:rsid w:val="73FB2066"/>
    <w:rsid w:val="73FE3A66"/>
    <w:rsid w:val="74026F0A"/>
    <w:rsid w:val="7428498C"/>
    <w:rsid w:val="743323E4"/>
    <w:rsid w:val="74435BA3"/>
    <w:rsid w:val="7446688F"/>
    <w:rsid w:val="74476234"/>
    <w:rsid w:val="744F4CF2"/>
    <w:rsid w:val="74511BDF"/>
    <w:rsid w:val="745253E2"/>
    <w:rsid w:val="745431AE"/>
    <w:rsid w:val="746A0BA0"/>
    <w:rsid w:val="74756F18"/>
    <w:rsid w:val="747B7DCE"/>
    <w:rsid w:val="748274A4"/>
    <w:rsid w:val="748533AD"/>
    <w:rsid w:val="7486202F"/>
    <w:rsid w:val="748C1E52"/>
    <w:rsid w:val="74901FC1"/>
    <w:rsid w:val="74950DDB"/>
    <w:rsid w:val="749D5815"/>
    <w:rsid w:val="749F63C8"/>
    <w:rsid w:val="749F675B"/>
    <w:rsid w:val="74A4589B"/>
    <w:rsid w:val="74A62255"/>
    <w:rsid w:val="74B43D03"/>
    <w:rsid w:val="74CB4482"/>
    <w:rsid w:val="74CF193F"/>
    <w:rsid w:val="74D901BD"/>
    <w:rsid w:val="74DA7357"/>
    <w:rsid w:val="74DD07EE"/>
    <w:rsid w:val="74E27C24"/>
    <w:rsid w:val="74E93516"/>
    <w:rsid w:val="74EA7914"/>
    <w:rsid w:val="74F37EB3"/>
    <w:rsid w:val="75120DEE"/>
    <w:rsid w:val="751A5610"/>
    <w:rsid w:val="751D4534"/>
    <w:rsid w:val="75232716"/>
    <w:rsid w:val="75253449"/>
    <w:rsid w:val="753A35BC"/>
    <w:rsid w:val="75580207"/>
    <w:rsid w:val="75581C94"/>
    <w:rsid w:val="75666C30"/>
    <w:rsid w:val="757F15CD"/>
    <w:rsid w:val="759B577F"/>
    <w:rsid w:val="759E2767"/>
    <w:rsid w:val="75A309D7"/>
    <w:rsid w:val="75A44ED9"/>
    <w:rsid w:val="75B4E2DA"/>
    <w:rsid w:val="75B73E06"/>
    <w:rsid w:val="75B74C0D"/>
    <w:rsid w:val="75C96BD9"/>
    <w:rsid w:val="75E17EDC"/>
    <w:rsid w:val="75E311CF"/>
    <w:rsid w:val="75FD0E1E"/>
    <w:rsid w:val="75FD3316"/>
    <w:rsid w:val="7607620D"/>
    <w:rsid w:val="760856AA"/>
    <w:rsid w:val="76185517"/>
    <w:rsid w:val="762A2EB7"/>
    <w:rsid w:val="762B4C2B"/>
    <w:rsid w:val="76332893"/>
    <w:rsid w:val="76474BC0"/>
    <w:rsid w:val="764D4A60"/>
    <w:rsid w:val="767D76DD"/>
    <w:rsid w:val="76843A60"/>
    <w:rsid w:val="76871A02"/>
    <w:rsid w:val="76937428"/>
    <w:rsid w:val="769D05CC"/>
    <w:rsid w:val="76C01248"/>
    <w:rsid w:val="76CD1B94"/>
    <w:rsid w:val="76D75A67"/>
    <w:rsid w:val="76E733E3"/>
    <w:rsid w:val="76F00CA1"/>
    <w:rsid w:val="770637AB"/>
    <w:rsid w:val="77072225"/>
    <w:rsid w:val="770972AE"/>
    <w:rsid w:val="770C0F88"/>
    <w:rsid w:val="77111A2B"/>
    <w:rsid w:val="771C3BB7"/>
    <w:rsid w:val="77211AF7"/>
    <w:rsid w:val="772163E0"/>
    <w:rsid w:val="7722255A"/>
    <w:rsid w:val="77252502"/>
    <w:rsid w:val="77286F61"/>
    <w:rsid w:val="77360F8F"/>
    <w:rsid w:val="77373BE1"/>
    <w:rsid w:val="77471FC0"/>
    <w:rsid w:val="77532EFC"/>
    <w:rsid w:val="775B1489"/>
    <w:rsid w:val="77722902"/>
    <w:rsid w:val="77732196"/>
    <w:rsid w:val="778F6C7A"/>
    <w:rsid w:val="779F7413"/>
    <w:rsid w:val="77A37B32"/>
    <w:rsid w:val="77A5019B"/>
    <w:rsid w:val="77BA434F"/>
    <w:rsid w:val="77CA6363"/>
    <w:rsid w:val="77CB4EC7"/>
    <w:rsid w:val="77CE0877"/>
    <w:rsid w:val="77DD2AD3"/>
    <w:rsid w:val="77E210BE"/>
    <w:rsid w:val="77E430B4"/>
    <w:rsid w:val="77E97209"/>
    <w:rsid w:val="77EC179E"/>
    <w:rsid w:val="77F57C6E"/>
    <w:rsid w:val="780A6AC1"/>
    <w:rsid w:val="780C7873"/>
    <w:rsid w:val="78125CE3"/>
    <w:rsid w:val="7817562D"/>
    <w:rsid w:val="781F6CA4"/>
    <w:rsid w:val="782331CB"/>
    <w:rsid w:val="783562BD"/>
    <w:rsid w:val="78373157"/>
    <w:rsid w:val="7840538D"/>
    <w:rsid w:val="78422F34"/>
    <w:rsid w:val="7846114C"/>
    <w:rsid w:val="785965AE"/>
    <w:rsid w:val="78660FEE"/>
    <w:rsid w:val="787C038B"/>
    <w:rsid w:val="788063FB"/>
    <w:rsid w:val="7883427F"/>
    <w:rsid w:val="78900CD3"/>
    <w:rsid w:val="78994F34"/>
    <w:rsid w:val="789C633C"/>
    <w:rsid w:val="78B13B95"/>
    <w:rsid w:val="78B2489D"/>
    <w:rsid w:val="78B33757"/>
    <w:rsid w:val="78C37D61"/>
    <w:rsid w:val="78CC2AD4"/>
    <w:rsid w:val="78E11786"/>
    <w:rsid w:val="79003693"/>
    <w:rsid w:val="79097A2C"/>
    <w:rsid w:val="790E4A9C"/>
    <w:rsid w:val="790E5EC0"/>
    <w:rsid w:val="7918402D"/>
    <w:rsid w:val="791A245E"/>
    <w:rsid w:val="791A4F4D"/>
    <w:rsid w:val="79227DA9"/>
    <w:rsid w:val="792C05DA"/>
    <w:rsid w:val="79341AA1"/>
    <w:rsid w:val="793B5349"/>
    <w:rsid w:val="794B066F"/>
    <w:rsid w:val="794F0633"/>
    <w:rsid w:val="794F1FE8"/>
    <w:rsid w:val="79506902"/>
    <w:rsid w:val="79516C80"/>
    <w:rsid w:val="79542DA5"/>
    <w:rsid w:val="7955618E"/>
    <w:rsid w:val="796103AA"/>
    <w:rsid w:val="796210EE"/>
    <w:rsid w:val="79967C05"/>
    <w:rsid w:val="7999534F"/>
    <w:rsid w:val="799C53CE"/>
    <w:rsid w:val="799E51DE"/>
    <w:rsid w:val="79AB4A88"/>
    <w:rsid w:val="79B23DF7"/>
    <w:rsid w:val="79C10A90"/>
    <w:rsid w:val="79C335DC"/>
    <w:rsid w:val="79C5518B"/>
    <w:rsid w:val="79CE527A"/>
    <w:rsid w:val="79D54918"/>
    <w:rsid w:val="79EE0AC4"/>
    <w:rsid w:val="79F2462C"/>
    <w:rsid w:val="79F41C32"/>
    <w:rsid w:val="79FD5406"/>
    <w:rsid w:val="7A244007"/>
    <w:rsid w:val="7A2D0B17"/>
    <w:rsid w:val="7A363267"/>
    <w:rsid w:val="7A3C1FDB"/>
    <w:rsid w:val="7A487761"/>
    <w:rsid w:val="7A5C3DCA"/>
    <w:rsid w:val="7A604CAE"/>
    <w:rsid w:val="7A7350F8"/>
    <w:rsid w:val="7A7E5352"/>
    <w:rsid w:val="7A85581B"/>
    <w:rsid w:val="7A856B1B"/>
    <w:rsid w:val="7A96671B"/>
    <w:rsid w:val="7AB27650"/>
    <w:rsid w:val="7AC455D1"/>
    <w:rsid w:val="7ADC1F50"/>
    <w:rsid w:val="7AE64636"/>
    <w:rsid w:val="7AFD6F4E"/>
    <w:rsid w:val="7B161095"/>
    <w:rsid w:val="7B1A2DE0"/>
    <w:rsid w:val="7B1D3E49"/>
    <w:rsid w:val="7B205002"/>
    <w:rsid w:val="7B213C07"/>
    <w:rsid w:val="7B275C69"/>
    <w:rsid w:val="7B296573"/>
    <w:rsid w:val="7B297965"/>
    <w:rsid w:val="7B555B44"/>
    <w:rsid w:val="7B557D9F"/>
    <w:rsid w:val="7B57664C"/>
    <w:rsid w:val="7B58479C"/>
    <w:rsid w:val="7B5C301C"/>
    <w:rsid w:val="7B703CB5"/>
    <w:rsid w:val="7B7648FF"/>
    <w:rsid w:val="7B782230"/>
    <w:rsid w:val="7B8225E6"/>
    <w:rsid w:val="7B894E3E"/>
    <w:rsid w:val="7B8B04AE"/>
    <w:rsid w:val="7B970E9A"/>
    <w:rsid w:val="7B9C4BE3"/>
    <w:rsid w:val="7BC05AFF"/>
    <w:rsid w:val="7BDB1A24"/>
    <w:rsid w:val="7BE022F7"/>
    <w:rsid w:val="7BE65394"/>
    <w:rsid w:val="7BE8267D"/>
    <w:rsid w:val="7BEC6663"/>
    <w:rsid w:val="7BF62BDD"/>
    <w:rsid w:val="7C167B79"/>
    <w:rsid w:val="7C1E3C37"/>
    <w:rsid w:val="7C1E4152"/>
    <w:rsid w:val="7C261B77"/>
    <w:rsid w:val="7C281361"/>
    <w:rsid w:val="7C2C34B4"/>
    <w:rsid w:val="7C3A06D8"/>
    <w:rsid w:val="7C3A20F4"/>
    <w:rsid w:val="7C3E6936"/>
    <w:rsid w:val="7C4168FB"/>
    <w:rsid w:val="7C440A8D"/>
    <w:rsid w:val="7C4B213C"/>
    <w:rsid w:val="7C5028AA"/>
    <w:rsid w:val="7C532227"/>
    <w:rsid w:val="7C6E063B"/>
    <w:rsid w:val="7C7071F7"/>
    <w:rsid w:val="7C976015"/>
    <w:rsid w:val="7C9903AF"/>
    <w:rsid w:val="7CA91F25"/>
    <w:rsid w:val="7CB550F1"/>
    <w:rsid w:val="7CB63E70"/>
    <w:rsid w:val="7CCC7A54"/>
    <w:rsid w:val="7CCF338F"/>
    <w:rsid w:val="7CD179A1"/>
    <w:rsid w:val="7CD713E9"/>
    <w:rsid w:val="7CDF1950"/>
    <w:rsid w:val="7CE04222"/>
    <w:rsid w:val="7CE16040"/>
    <w:rsid w:val="7CF32CDA"/>
    <w:rsid w:val="7CF45F27"/>
    <w:rsid w:val="7CFE7CBB"/>
    <w:rsid w:val="7D2A3588"/>
    <w:rsid w:val="7D331C06"/>
    <w:rsid w:val="7D344D95"/>
    <w:rsid w:val="7D442397"/>
    <w:rsid w:val="7D4C0330"/>
    <w:rsid w:val="7D6B0893"/>
    <w:rsid w:val="7D6F5336"/>
    <w:rsid w:val="7D7004C3"/>
    <w:rsid w:val="7D717F05"/>
    <w:rsid w:val="7D766CDB"/>
    <w:rsid w:val="7D775AAA"/>
    <w:rsid w:val="7D79662F"/>
    <w:rsid w:val="7D7E154B"/>
    <w:rsid w:val="7D7F38B3"/>
    <w:rsid w:val="7DA42C3B"/>
    <w:rsid w:val="7DA97BBC"/>
    <w:rsid w:val="7DAC1614"/>
    <w:rsid w:val="7DAE5DAB"/>
    <w:rsid w:val="7DAF0B84"/>
    <w:rsid w:val="7DB00373"/>
    <w:rsid w:val="7DB10E8C"/>
    <w:rsid w:val="7DC637C7"/>
    <w:rsid w:val="7DD32800"/>
    <w:rsid w:val="7DDE53AB"/>
    <w:rsid w:val="7DE91126"/>
    <w:rsid w:val="7DF82DE9"/>
    <w:rsid w:val="7E137986"/>
    <w:rsid w:val="7E153C7E"/>
    <w:rsid w:val="7E174473"/>
    <w:rsid w:val="7E24305B"/>
    <w:rsid w:val="7E292C2B"/>
    <w:rsid w:val="7E2D1F10"/>
    <w:rsid w:val="7E340073"/>
    <w:rsid w:val="7E523952"/>
    <w:rsid w:val="7E705902"/>
    <w:rsid w:val="7E736537"/>
    <w:rsid w:val="7E822DD2"/>
    <w:rsid w:val="7E851554"/>
    <w:rsid w:val="7E8B0477"/>
    <w:rsid w:val="7E9C0BA3"/>
    <w:rsid w:val="7E9E4650"/>
    <w:rsid w:val="7EA511A8"/>
    <w:rsid w:val="7EA822E3"/>
    <w:rsid w:val="7EB32B5A"/>
    <w:rsid w:val="7EB63A45"/>
    <w:rsid w:val="7EC3454F"/>
    <w:rsid w:val="7EC8089D"/>
    <w:rsid w:val="7ED8271D"/>
    <w:rsid w:val="7ED927D1"/>
    <w:rsid w:val="7EE11BF3"/>
    <w:rsid w:val="7EE363F9"/>
    <w:rsid w:val="7F00198B"/>
    <w:rsid w:val="7F0424FD"/>
    <w:rsid w:val="7F0C37C9"/>
    <w:rsid w:val="7F183B53"/>
    <w:rsid w:val="7F201A75"/>
    <w:rsid w:val="7F355E58"/>
    <w:rsid w:val="7F3979C1"/>
    <w:rsid w:val="7F3D45DA"/>
    <w:rsid w:val="7F460387"/>
    <w:rsid w:val="7F460FAA"/>
    <w:rsid w:val="7F4B5075"/>
    <w:rsid w:val="7F4F5027"/>
    <w:rsid w:val="7F5A0A23"/>
    <w:rsid w:val="7F6A2CF0"/>
    <w:rsid w:val="7F76516F"/>
    <w:rsid w:val="7F801634"/>
    <w:rsid w:val="7F8D504A"/>
    <w:rsid w:val="7F963EAF"/>
    <w:rsid w:val="7F9E32FA"/>
    <w:rsid w:val="7FAC1FAB"/>
    <w:rsid w:val="7FAD435E"/>
    <w:rsid w:val="7FBC547C"/>
    <w:rsid w:val="7FBD2D6E"/>
    <w:rsid w:val="7FC01AAD"/>
    <w:rsid w:val="7FCE14D1"/>
    <w:rsid w:val="7FD41222"/>
    <w:rsid w:val="7FD80ACD"/>
    <w:rsid w:val="7FD85F58"/>
    <w:rsid w:val="7FDB19D7"/>
    <w:rsid w:val="7FDB5880"/>
    <w:rsid w:val="7FDB9E71"/>
    <w:rsid w:val="7FF54CAF"/>
    <w:rsid w:val="7FFC5DC8"/>
    <w:rsid w:val="7FFFC8A3"/>
    <w:rsid w:val="97BB75A3"/>
    <w:rsid w:val="9B7E1F80"/>
    <w:rsid w:val="B7FB9546"/>
    <w:rsid w:val="BDFE0116"/>
    <w:rsid w:val="BEEF968F"/>
    <w:rsid w:val="BFFF2BD9"/>
    <w:rsid w:val="BFFFAB68"/>
    <w:rsid w:val="D5591157"/>
    <w:rsid w:val="DCFC4430"/>
    <w:rsid w:val="E7B13DD1"/>
    <w:rsid w:val="EBBBC65F"/>
    <w:rsid w:val="EFF2418C"/>
    <w:rsid w:val="F6BD4D88"/>
    <w:rsid w:val="F9785D81"/>
    <w:rsid w:val="FC5F957C"/>
    <w:rsid w:val="FDF52BB1"/>
    <w:rsid w:val="FDF73A68"/>
    <w:rsid w:val="FEEF2F4D"/>
    <w:rsid w:val="FEFD7AF6"/>
    <w:rsid w:val="FEFFEACB"/>
    <w:rsid w:val="FF5F0D6A"/>
    <w:rsid w:val="FF7F447B"/>
    <w:rsid w:val="FFE7387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18"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99" w:semiHidden="0" w:name="index 1"/>
    <w:lsdException w:qFormat="1" w:uiPriority="99" w:semiHidden="0" w:name="index 2"/>
    <w:lsdException w:qFormat="1" w:uiPriority="99" w:semiHidden="0" w:name="index 3"/>
    <w:lsdException w:qFormat="1" w:uiPriority="99" w:semiHidden="0" w:name="index 4"/>
    <w:lsdException w:qFormat="1" w:uiPriority="99" w:semiHidden="0" w:name="index 5"/>
    <w:lsdException w:qFormat="1" w:uiPriority="99" w:semiHidden="0" w:name="index 6"/>
    <w:lsdException w:qFormat="1" w:uiPriority="99" w:semiHidden="0" w:name="index 7"/>
    <w:lsdException w:qFormat="1" w:uiPriority="99" w:semiHidden="0" w:name="index 8"/>
    <w:lsdException w:qFormat="1" w:uiPriority="99"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qFormat="1" w:uiPriority="99" w:semiHidden="0" w:name="index heading"/>
    <w:lsdException w:qFormat="1" w:unhideWhenUsed="0" w:uiPriority="0" w:semiHidden="0" w:name="caption"/>
    <w:lsdException w:qFormat="1"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qFormat="1" w:uiPriority="99" w:semiHidden="0" w:name="line number"/>
    <w:lsdException w:qFormat="1" w:uiPriority="99" w:semiHidden="0" w:name="page number"/>
    <w:lsdException w:unhideWhenUsed="0" w:uiPriority="0" w:semiHidden="0" w:name="endnote reference"/>
    <w:lsdException w:qFormat="1" w:uiPriority="99" w:semiHidden="0" w:name="endnote text"/>
    <w:lsdException w:qFormat="1" w:uiPriority="99" w:semiHidden="0" w:name="table of authorities"/>
    <w:lsdException w:unhideWhenUsed="0" w:uiPriority="0" w:semiHidden="0" w:name="macro"/>
    <w:lsdException w:qFormat="1" w:uiPriority="99" w:semiHidden="0" w:name="toa heading"/>
    <w:lsdException w:qFormat="1" w:uiPriority="99" w:semiHidden="0" w:name="List"/>
    <w:lsdException w:qFormat="1" w:uiPriority="1" w:semiHidden="0" w:name="List Bullet"/>
    <w:lsdException w:qFormat="1" w:uiPriority="1" w:semiHidden="0" w:name="List Number"/>
    <w:lsdException w:qFormat="1" w:uiPriority="99" w:semiHidden="0" w:name="List 2"/>
    <w:lsdException w:qFormat="1" w:uiPriority="99" w:semiHidden="0" w:name="List 3"/>
    <w:lsdException w:qFormat="1" w:uiPriority="99" w:semiHidden="0" w:name="List 4"/>
    <w:lsdException w:qFormat="1" w:uiPriority="99" w:semiHidden="0" w:name="List 5"/>
    <w:lsdException w:qFormat="1" w:uiPriority="99" w:semiHidden="0" w:name="List Bullet 2"/>
    <w:lsdException w:qFormat="1" w:uiPriority="99" w:semiHidden="0" w:name="List Bullet 3"/>
    <w:lsdException w:qFormat="1" w:uiPriority="99" w:semiHidden="0" w:name="List Bullet 4"/>
    <w:lsdException w:qFormat="1" w:uiPriority="99" w:semiHidden="0" w:name="List Bullet 5"/>
    <w:lsdException w:qFormat="1" w:uiPriority="1" w:semiHidden="0" w:name="List Number 2"/>
    <w:lsdException w:qFormat="1" w:uiPriority="18" w:semiHidden="0" w:name="List Number 3"/>
    <w:lsdException w:qFormat="1" w:uiPriority="18" w:semiHidden="0" w:name="List Number 4"/>
    <w:lsdException w:qFormat="1" w:uiPriority="18" w:semiHidden="0" w:name="List Number 5"/>
    <w:lsdException w:qFormat="1" w:unhideWhenUsed="0" w:uiPriority="10" w:semiHidden="0" w:name="Title"/>
    <w:lsdException w:qFormat="1" w:uiPriority="99" w:semiHidden="0" w:name="Closing"/>
    <w:lsdException w:qFormat="1" w:uiPriority="20" w:semiHidden="0" w:name="Signature"/>
    <w:lsdException w:qFormat="1" w:uiPriority="1" w:name="Default Paragraph Font"/>
    <w:lsdException w:qFormat="1" w:uiPriority="99" w:semiHidden="0" w:name="Body Text"/>
    <w:lsdException w:qFormat="1" w:uiPriority="0" w:semiHidden="0" w:name="Body Text Indent"/>
    <w:lsdException w:qFormat="1" w:uiPriority="99" w:semiHidden="0" w:name="List Continue"/>
    <w:lsdException w:qFormat="1" w:uiPriority="99" w:semiHidden="0" w:name="List Continue 2"/>
    <w:lsdException w:qFormat="1" w:uiPriority="99" w:semiHidden="0" w:name="List Continue 3"/>
    <w:lsdException w:qFormat="1" w:uiPriority="99" w:semiHidden="0" w:name="List Continue 4"/>
    <w:lsdException w:qFormat="1" w:uiPriority="99" w:semiHidden="0" w:name="List Continue 5"/>
    <w:lsdException w:unhideWhenUsed="0" w:uiPriority="0" w:semiHidden="0" w:name="Message Header"/>
    <w:lsdException w:qFormat="1" w:unhideWhenUsed="0" w:uiPriority="11" w:semiHidden="0" w:name="Subtitle"/>
    <w:lsdException w:qFormat="1" w:uiPriority="99" w:semiHidden="0" w:name="Salutation"/>
    <w:lsdException w:qFormat="1" w:uiPriority="99" w:semiHidden="0" w:name="Date"/>
    <w:lsdException w:qFormat="1" w:unhideWhenUsed="0" w:uiPriority="0" w:semiHidden="0" w:name="Body Text First Indent"/>
    <w:lsdException w:qFormat="1" w:unhideWhenUsed="0" w:uiPriority="0" w:semiHidden="0" w:name="Body Text First Indent 2"/>
    <w:lsdException w:qFormat="1" w:uiPriority="99" w:semiHidden="0" w:name="Note Heading"/>
    <w:lsdException w:qFormat="1" w:uiPriority="99" w:semiHidden="0" w:name="Body Text 2"/>
    <w:lsdException w:qFormat="1" w:uiPriority="99" w:semiHidden="0" w:name="Body Text 3"/>
    <w:lsdException w:qFormat="1" w:uiPriority="99" w:semiHidden="0" w:name="Body Text Indent 2"/>
    <w:lsdException w:qFormat="1" w:uiPriority="99" w:semiHidden="0" w:name="Body Text Indent 3"/>
    <w:lsdException w:unhideWhenUsed="0" w:uiPriority="0" w:semiHidden="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iPriority="99" w:semiHidden="0" w:name="Plain Text"/>
    <w:lsdException w:qFormat="1" w:uiPriority="99" w:semiHidden="0" w:name="E-mail Signature"/>
    <w:lsdException w:qFormat="1" w:unhideWhenUsed="0" w:uiPriority="0" w:semiHidden="0" w:name="Normal (Web)"/>
    <w:lsdException w:unhideWhenUsed="0" w:uiPriority="0" w:semiHidden="0" w:name="HTML Acronym"/>
    <w:lsdException w:qFormat="1" w:uiPriority="99" w:semiHidden="0"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qFormat="1" w:uiPriority="99" w:semiHidden="0" w:name="HTML Preformatted"/>
    <w:lsdException w:qFormat="1" w:uiPriority="0" w:semiHidden="0" w:name="HTML Sample"/>
    <w:lsdException w:qFormat="1" w:uiPriority="99" w:semiHidden="0" w:name="HTML Typewriter"/>
    <w:lsdException w:qFormat="1" w:uiPriority="99" w:semiHidden="0" w:name="HTML Variable"/>
    <w:lsdException w:qFormat="1" w:uiPriority="99" w:name="Normal Table"/>
    <w:lsdException w:qFormat="1" w:uiPriority="99" w:semiHidden="0" w:name="annotation subject"/>
    <w:lsdException w:qFormat="1" w:uiPriority="99" w:semiHidden="0" w:name="Table Simple 1"/>
    <w:lsdException w:qFormat="1" w:uiPriority="99" w:semiHidden="0" w:name="Table Simple 2"/>
    <w:lsdException w:qFormat="1" w:uiPriority="99" w:semiHidden="0" w:name="Table Simple 3"/>
    <w:lsdException w:qFormat="1" w:uiPriority="99" w:semiHidden="0" w:name="Table Classic 1"/>
    <w:lsdException w:qFormat="1" w:uiPriority="99" w:semiHidden="0" w:name="Table Classic 2"/>
    <w:lsdException w:qFormat="1" w:uiPriority="99" w:semiHidden="0" w:name="Table Classic 3"/>
    <w:lsdException w:qFormat="1" w:uiPriority="99" w:semiHidden="0" w:name="Table Classic 4"/>
    <w:lsdException w:qFormat="1" w:uiPriority="99" w:semiHidden="0" w:name="Table Colorful 1"/>
    <w:lsdException w:qFormat="1" w:uiPriority="99" w:semiHidden="0" w:name="Table Colorful 2"/>
    <w:lsdException w:qFormat="1" w:uiPriority="99" w:semiHidden="0" w:name="Table Colorful 3"/>
    <w:lsdException w:uiPriority="0" w:name="Table Columns 1"/>
    <w:lsdException w:uiPriority="0" w:name="Table Columns 2"/>
    <w:lsdException w:uiPriority="0" w:name="Table Columns 3"/>
    <w:lsdException w:uiPriority="0" w:name="Table Columns 4"/>
    <w:lsdException w:uiPriority="0" w:name="Table Columns 5"/>
    <w:lsdException w:qFormat="1" w:uiPriority="99" w:semiHidden="0" w:name="Table Grid 1"/>
    <w:lsdException w:qFormat="1" w:uiPriority="99" w:semiHidden="0" w:name="Table Grid 2"/>
    <w:lsdException w:qFormat="1" w:uiPriority="99" w:semiHidden="0" w:name="Table Grid 3"/>
    <w:lsdException w:qFormat="1" w:uiPriority="99" w:semiHidden="0" w:name="Table Grid 4"/>
    <w:lsdException w:qFormat="1" w:uiPriority="99" w:semiHidden="0" w:name="Table Grid 5"/>
    <w:lsdException w:qFormat="1" w:uiPriority="99" w:semiHidden="0" w:name="Table Grid 6"/>
    <w:lsdException w:qFormat="1" w:uiPriority="99" w:semiHidden="0" w:name="Table Grid 7"/>
    <w:lsdException w:qFormat="1" w:uiPriority="99" w:semiHidden="0" w:name="Table Grid 8"/>
    <w:lsdException w:qFormat="1" w:uiPriority="99" w:semiHidden="0" w:name="Table List 1"/>
    <w:lsdException w:qFormat="1" w:uiPriority="99" w:semiHidden="0" w:name="Table List 2"/>
    <w:lsdException w:qFormat="1" w:uiPriority="99" w:semiHidden="0" w:name="Table List 3"/>
    <w:lsdException w:qFormat="1" w:uiPriority="99" w:semiHidden="0" w:name="Table List 4"/>
    <w:lsdException w:qFormat="1" w:uiPriority="99" w:semiHidden="0" w:name="Table List 5"/>
    <w:lsdException w:qFormat="1" w:uiPriority="99" w:semiHidden="0" w:name="Table List 6"/>
    <w:lsdException w:qFormat="1" w:uiPriority="99" w:semiHidden="0" w:name="Table List 7"/>
    <w:lsdException w:qFormat="1" w:uiPriority="99" w:semiHidden="0" w:name="Table List 8"/>
    <w:lsdException w:uiPriority="0" w:name="Table 3D effects 1"/>
    <w:lsdException w:uiPriority="0" w:name="Table 3D effects 2"/>
    <w:lsdException w:uiPriority="0" w:name="Table 3D effects 3"/>
    <w:lsdException w:qFormat="1" w:uiPriority="99" w:semiHidden="0" w:name="Table Contemporary"/>
    <w:lsdException w:qFormat="1" w:uiPriority="99" w:semiHidden="0" w:name="Table Elegant"/>
    <w:lsdException w:qFormat="1" w:uiPriority="99" w:semiHidden="0" w:name="Table Professional"/>
    <w:lsdException w:qFormat="1" w:uiPriority="99" w:semiHidden="0" w:name="Table Subtle 1"/>
    <w:lsdException w:qFormat="1" w:uiPriority="99" w:semiHidden="0" w:name="Table Subtle 2"/>
    <w:lsdException w:qFormat="1" w:uiPriority="99" w:semiHidden="0" w:name="Table Web 1"/>
    <w:lsdException w:qFormat="1" w:uiPriority="99" w:semiHidden="0" w:name="Table Web 2"/>
    <w:lsdException w:qFormat="1" w:uiPriority="99" w:semiHidden="0" w:name="Table Web 3"/>
    <w:lsdException w:qFormat="1" w:unhideWhenUsed="0" w:uiPriority="99" w:semiHidden="0" w:name="Balloon Text"/>
    <w:lsdException w:qFormat="1" w:unhideWhenUsed="0" w:uiPriority="0" w:semiHidden="0" w:name="Table Grid"/>
    <w:lsdException w:qFormat="1"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Cambria" w:hAnsi="Cambria" w:eastAsia="微软雅黑" w:cs="Times New Roman"/>
      <w:kern w:val="20"/>
      <w:sz w:val="21"/>
      <w:lang w:val="zh-CN" w:eastAsia="zh-CN" w:bidi="ar-SA"/>
    </w:rPr>
  </w:style>
  <w:style w:type="paragraph" w:styleId="2">
    <w:name w:val="heading 1"/>
    <w:basedOn w:val="1"/>
    <w:next w:val="1"/>
    <w:link w:val="134"/>
    <w:qFormat/>
    <w:uiPriority w:val="9"/>
    <w:pPr>
      <w:pageBreakBefore/>
      <w:numPr>
        <w:ilvl w:val="0"/>
        <w:numId w:val="1"/>
      </w:numPr>
      <w:tabs>
        <w:tab w:val="left" w:pos="0"/>
      </w:tabs>
      <w:spacing w:line="560" w:lineRule="exact"/>
      <w:jc w:val="center"/>
      <w:outlineLvl w:val="0"/>
    </w:pPr>
    <w:rPr>
      <w:rFonts w:ascii="Times New Roman" w:hAnsi="Times New Roman" w:eastAsia="黑体"/>
      <w:color w:val="000000"/>
      <w:sz w:val="44"/>
      <w:szCs w:val="22"/>
    </w:rPr>
  </w:style>
  <w:style w:type="paragraph" w:styleId="3">
    <w:name w:val="heading 2"/>
    <w:basedOn w:val="1"/>
    <w:next w:val="1"/>
    <w:link w:val="135"/>
    <w:qFormat/>
    <w:uiPriority w:val="0"/>
    <w:pPr>
      <w:numPr>
        <w:ilvl w:val="1"/>
        <w:numId w:val="1"/>
      </w:numPr>
      <w:tabs>
        <w:tab w:val="left" w:pos="0"/>
      </w:tabs>
      <w:snapToGrid w:val="0"/>
      <w:spacing w:before="50" w:beforeLines="50" w:after="50" w:line="360" w:lineRule="auto"/>
      <w:ind w:left="0" w:firstLine="0"/>
      <w:outlineLvl w:val="1"/>
    </w:pPr>
    <w:rPr>
      <w:rFonts w:ascii="Times New Roman" w:hAnsi="Times New Roman" w:eastAsia="黑体"/>
      <w:color w:val="000000"/>
      <w:sz w:val="32"/>
      <w:szCs w:val="21"/>
    </w:rPr>
  </w:style>
  <w:style w:type="paragraph" w:styleId="4">
    <w:name w:val="heading 3"/>
    <w:basedOn w:val="1"/>
    <w:next w:val="1"/>
    <w:link w:val="136"/>
    <w:qFormat/>
    <w:uiPriority w:val="0"/>
    <w:pPr>
      <w:keepNext/>
      <w:keepLines/>
      <w:numPr>
        <w:ilvl w:val="2"/>
        <w:numId w:val="1"/>
      </w:numPr>
      <w:tabs>
        <w:tab w:val="left" w:pos="0"/>
      </w:tabs>
      <w:spacing w:before="120" w:beforeLines="50" w:line="360" w:lineRule="auto"/>
      <w:jc w:val="both"/>
      <w:outlineLvl w:val="2"/>
    </w:pPr>
    <w:rPr>
      <w:rFonts w:ascii="Times New Roman" w:hAnsi="Times New Roman" w:eastAsia="黑体"/>
      <w:bCs/>
      <w:color w:val="000000"/>
      <w:sz w:val="24"/>
      <w:szCs w:val="24"/>
    </w:rPr>
  </w:style>
  <w:style w:type="paragraph" w:styleId="5">
    <w:name w:val="heading 4"/>
    <w:basedOn w:val="1"/>
    <w:next w:val="1"/>
    <w:link w:val="137"/>
    <w:qFormat/>
    <w:uiPriority w:val="18"/>
    <w:pPr>
      <w:keepNext/>
      <w:keepLines/>
      <w:numPr>
        <w:ilvl w:val="3"/>
        <w:numId w:val="1"/>
      </w:numPr>
      <w:outlineLvl w:val="3"/>
    </w:pPr>
    <w:rPr>
      <w:rFonts w:ascii="Times New Roman" w:hAnsi="Times New Roman" w:eastAsia="宋体"/>
      <w:bCs/>
      <w:iCs/>
    </w:rPr>
  </w:style>
  <w:style w:type="paragraph" w:styleId="6">
    <w:name w:val="heading 5"/>
    <w:basedOn w:val="1"/>
    <w:next w:val="1"/>
    <w:link w:val="138"/>
    <w:qFormat/>
    <w:uiPriority w:val="9"/>
    <w:pPr>
      <w:keepNext/>
      <w:keepLines/>
      <w:numPr>
        <w:ilvl w:val="4"/>
        <w:numId w:val="1"/>
      </w:numPr>
      <w:outlineLvl w:val="4"/>
    </w:pPr>
    <w:rPr>
      <w:rFonts w:ascii="Times New Roman" w:hAnsi="Times New Roman" w:eastAsia="宋体"/>
      <w:bCs/>
      <w:szCs w:val="28"/>
    </w:rPr>
  </w:style>
  <w:style w:type="paragraph" w:styleId="7">
    <w:name w:val="heading 6"/>
    <w:basedOn w:val="1"/>
    <w:next w:val="1"/>
    <w:link w:val="139"/>
    <w:qFormat/>
    <w:uiPriority w:val="9"/>
    <w:pPr>
      <w:keepNext/>
      <w:keepLines/>
      <w:numPr>
        <w:ilvl w:val="5"/>
        <w:numId w:val="1"/>
      </w:numPr>
      <w:outlineLvl w:val="5"/>
    </w:pPr>
    <w:rPr>
      <w:rFonts w:ascii="Times New Roman" w:hAnsi="Times New Roman" w:eastAsia="宋体"/>
      <w:bCs/>
      <w:szCs w:val="24"/>
    </w:rPr>
  </w:style>
  <w:style w:type="paragraph" w:styleId="8">
    <w:name w:val="heading 7"/>
    <w:basedOn w:val="1"/>
    <w:next w:val="1"/>
    <w:link w:val="140"/>
    <w:qFormat/>
    <w:uiPriority w:val="9"/>
    <w:pPr>
      <w:keepNext/>
      <w:keepLines/>
      <w:numPr>
        <w:ilvl w:val="6"/>
        <w:numId w:val="1"/>
      </w:numPr>
      <w:spacing w:before="240" w:after="64" w:line="320" w:lineRule="auto"/>
      <w:outlineLvl w:val="6"/>
    </w:pPr>
    <w:rPr>
      <w:b/>
      <w:bCs/>
      <w:sz w:val="24"/>
      <w:szCs w:val="24"/>
    </w:rPr>
  </w:style>
  <w:style w:type="paragraph" w:styleId="9">
    <w:name w:val="heading 8"/>
    <w:basedOn w:val="1"/>
    <w:next w:val="1"/>
    <w:link w:val="141"/>
    <w:qFormat/>
    <w:uiPriority w:val="9"/>
    <w:pPr>
      <w:keepNext/>
      <w:keepLines/>
      <w:numPr>
        <w:ilvl w:val="7"/>
        <w:numId w:val="1"/>
      </w:numPr>
      <w:spacing w:before="240" w:after="64" w:line="320" w:lineRule="auto"/>
      <w:outlineLvl w:val="7"/>
    </w:pPr>
    <w:rPr>
      <w:rFonts w:ascii="Calibri Light" w:hAnsi="Calibri Light" w:eastAsia="宋体"/>
      <w:sz w:val="24"/>
      <w:szCs w:val="24"/>
    </w:rPr>
  </w:style>
  <w:style w:type="paragraph" w:styleId="10">
    <w:name w:val="heading 9"/>
    <w:basedOn w:val="1"/>
    <w:next w:val="1"/>
    <w:link w:val="142"/>
    <w:qFormat/>
    <w:uiPriority w:val="9"/>
    <w:pPr>
      <w:keepNext/>
      <w:keepLines/>
      <w:numPr>
        <w:ilvl w:val="8"/>
        <w:numId w:val="1"/>
      </w:numPr>
      <w:spacing w:before="240" w:after="64" w:line="320" w:lineRule="auto"/>
      <w:outlineLvl w:val="8"/>
    </w:pPr>
    <w:rPr>
      <w:rFonts w:ascii="Calibri Light" w:hAnsi="Calibri Light" w:eastAsia="宋体"/>
      <w:szCs w:val="21"/>
    </w:rPr>
  </w:style>
  <w:style w:type="character" w:default="1" w:styleId="118">
    <w:name w:val="Default Paragraph Font"/>
    <w:semiHidden/>
    <w:unhideWhenUsed/>
    <w:qFormat/>
    <w:uiPriority w:val="1"/>
  </w:style>
  <w:style w:type="table" w:default="1" w:styleId="81">
    <w:name w:val="Normal Table"/>
    <w:semiHidden/>
    <w:unhideWhenUsed/>
    <w:qFormat/>
    <w:uiPriority w:val="99"/>
    <w:tblPr>
      <w:tblCellMar>
        <w:top w:w="0" w:type="dxa"/>
        <w:left w:w="108" w:type="dxa"/>
        <w:bottom w:w="0" w:type="dxa"/>
        <w:right w:w="108" w:type="dxa"/>
      </w:tblCellMar>
    </w:tblPr>
  </w:style>
  <w:style w:type="paragraph" w:styleId="11">
    <w:name w:val="List 3"/>
    <w:basedOn w:val="1"/>
    <w:unhideWhenUsed/>
    <w:qFormat/>
    <w:uiPriority w:val="99"/>
    <w:pPr>
      <w:ind w:left="1080" w:hanging="360"/>
      <w:contextualSpacing/>
    </w:pPr>
    <w:rPr>
      <w:color w:val="595959"/>
    </w:rPr>
  </w:style>
  <w:style w:type="paragraph" w:styleId="12">
    <w:name w:val="toc 7"/>
    <w:basedOn w:val="1"/>
    <w:next w:val="1"/>
    <w:unhideWhenUsed/>
    <w:qFormat/>
    <w:uiPriority w:val="39"/>
    <w:pPr>
      <w:widowControl w:val="0"/>
      <w:ind w:left="2520" w:leftChars="1200"/>
      <w:jc w:val="both"/>
    </w:pPr>
    <w:rPr>
      <w:rFonts w:ascii="Calibri" w:hAnsi="Calibri" w:eastAsia="宋体"/>
      <w:kern w:val="2"/>
      <w:szCs w:val="22"/>
      <w:lang w:val="en-US"/>
    </w:rPr>
  </w:style>
  <w:style w:type="paragraph" w:styleId="13">
    <w:name w:val="List Number 2"/>
    <w:basedOn w:val="1"/>
    <w:unhideWhenUsed/>
    <w:qFormat/>
    <w:uiPriority w:val="1"/>
    <w:pPr>
      <w:numPr>
        <w:ilvl w:val="1"/>
        <w:numId w:val="2"/>
      </w:numPr>
      <w:ind w:left="431" w:hanging="431"/>
      <w:contextualSpacing/>
    </w:pPr>
    <w:rPr>
      <w:color w:val="595959"/>
    </w:rPr>
  </w:style>
  <w:style w:type="paragraph" w:styleId="14">
    <w:name w:val="table of authorities"/>
    <w:basedOn w:val="1"/>
    <w:next w:val="1"/>
    <w:unhideWhenUsed/>
    <w:qFormat/>
    <w:uiPriority w:val="99"/>
    <w:pPr>
      <w:ind w:left="220" w:hanging="220"/>
    </w:pPr>
    <w:rPr>
      <w:color w:val="595959"/>
    </w:rPr>
  </w:style>
  <w:style w:type="paragraph" w:styleId="15">
    <w:name w:val="Note Heading"/>
    <w:basedOn w:val="1"/>
    <w:next w:val="1"/>
    <w:link w:val="143"/>
    <w:unhideWhenUsed/>
    <w:qFormat/>
    <w:uiPriority w:val="99"/>
    <w:rPr>
      <w:color w:val="595959"/>
      <w:sz w:val="20"/>
    </w:rPr>
  </w:style>
  <w:style w:type="paragraph" w:styleId="16">
    <w:name w:val="List Bullet 4"/>
    <w:basedOn w:val="1"/>
    <w:unhideWhenUsed/>
    <w:qFormat/>
    <w:uiPriority w:val="99"/>
    <w:pPr>
      <w:numPr>
        <w:ilvl w:val="0"/>
        <w:numId w:val="3"/>
      </w:numPr>
      <w:contextualSpacing/>
    </w:pPr>
    <w:rPr>
      <w:color w:val="595959"/>
    </w:rPr>
  </w:style>
  <w:style w:type="paragraph" w:styleId="17">
    <w:name w:val="index 8"/>
    <w:basedOn w:val="1"/>
    <w:next w:val="1"/>
    <w:unhideWhenUsed/>
    <w:qFormat/>
    <w:uiPriority w:val="99"/>
    <w:pPr>
      <w:ind w:left="1760" w:hanging="220"/>
    </w:pPr>
    <w:rPr>
      <w:color w:val="595959"/>
    </w:rPr>
  </w:style>
  <w:style w:type="paragraph" w:styleId="18">
    <w:name w:val="E-mail Signature"/>
    <w:basedOn w:val="1"/>
    <w:link w:val="144"/>
    <w:unhideWhenUsed/>
    <w:qFormat/>
    <w:uiPriority w:val="99"/>
    <w:rPr>
      <w:color w:val="595959"/>
      <w:sz w:val="20"/>
    </w:rPr>
  </w:style>
  <w:style w:type="paragraph" w:styleId="19">
    <w:name w:val="List Number"/>
    <w:basedOn w:val="1"/>
    <w:unhideWhenUsed/>
    <w:qFormat/>
    <w:uiPriority w:val="1"/>
    <w:pPr>
      <w:numPr>
        <w:ilvl w:val="2"/>
        <w:numId w:val="2"/>
      </w:numPr>
      <w:ind w:left="357" w:hanging="357"/>
      <w:contextualSpacing/>
    </w:pPr>
    <w:rPr>
      <w:color w:val="595959"/>
    </w:rPr>
  </w:style>
  <w:style w:type="paragraph" w:styleId="20">
    <w:name w:val="caption"/>
    <w:basedOn w:val="1"/>
    <w:next w:val="1"/>
    <w:qFormat/>
    <w:uiPriority w:val="0"/>
    <w:rPr>
      <w:rFonts w:ascii="Arial" w:hAnsi="Arial" w:eastAsia="黑体"/>
      <w:kern w:val="0"/>
      <w:sz w:val="20"/>
    </w:rPr>
  </w:style>
  <w:style w:type="paragraph" w:styleId="21">
    <w:name w:val="index 5"/>
    <w:basedOn w:val="1"/>
    <w:next w:val="1"/>
    <w:unhideWhenUsed/>
    <w:qFormat/>
    <w:uiPriority w:val="99"/>
    <w:pPr>
      <w:ind w:left="1100" w:hanging="220"/>
    </w:pPr>
    <w:rPr>
      <w:color w:val="595959"/>
    </w:rPr>
  </w:style>
  <w:style w:type="paragraph" w:styleId="22">
    <w:name w:val="List Bullet"/>
    <w:basedOn w:val="1"/>
    <w:unhideWhenUsed/>
    <w:qFormat/>
    <w:uiPriority w:val="1"/>
    <w:pPr>
      <w:numPr>
        <w:ilvl w:val="0"/>
        <w:numId w:val="4"/>
      </w:numPr>
      <w:spacing w:after="40"/>
    </w:pPr>
    <w:rPr>
      <w:color w:val="595959"/>
    </w:rPr>
  </w:style>
  <w:style w:type="paragraph" w:styleId="23">
    <w:name w:val="Document Map"/>
    <w:basedOn w:val="1"/>
    <w:link w:val="145"/>
    <w:unhideWhenUsed/>
    <w:qFormat/>
    <w:uiPriority w:val="99"/>
    <w:rPr>
      <w:rFonts w:ascii="Tahoma" w:hAnsi="Tahoma" w:eastAsia="Times New Roman"/>
      <w:color w:val="595959"/>
      <w:sz w:val="16"/>
    </w:rPr>
  </w:style>
  <w:style w:type="paragraph" w:styleId="24">
    <w:name w:val="toa heading"/>
    <w:basedOn w:val="1"/>
    <w:next w:val="1"/>
    <w:unhideWhenUsed/>
    <w:qFormat/>
    <w:uiPriority w:val="99"/>
    <w:pPr>
      <w:spacing w:before="120"/>
    </w:pPr>
    <w:rPr>
      <w:rFonts w:ascii="Calibri" w:hAnsi="Calibri" w:eastAsia="宋体" w:cs="Arial"/>
      <w:b/>
      <w:bCs/>
      <w:color w:val="595959"/>
      <w:sz w:val="24"/>
    </w:rPr>
  </w:style>
  <w:style w:type="paragraph" w:styleId="25">
    <w:name w:val="annotation text"/>
    <w:basedOn w:val="1"/>
    <w:link w:val="146"/>
    <w:qFormat/>
    <w:uiPriority w:val="0"/>
  </w:style>
  <w:style w:type="paragraph" w:styleId="26">
    <w:name w:val="index 6"/>
    <w:basedOn w:val="1"/>
    <w:next w:val="1"/>
    <w:unhideWhenUsed/>
    <w:qFormat/>
    <w:uiPriority w:val="99"/>
    <w:pPr>
      <w:ind w:left="1320" w:hanging="220"/>
    </w:pPr>
    <w:rPr>
      <w:color w:val="595959"/>
    </w:rPr>
  </w:style>
  <w:style w:type="paragraph" w:styleId="27">
    <w:name w:val="Salutation"/>
    <w:basedOn w:val="1"/>
    <w:next w:val="1"/>
    <w:link w:val="147"/>
    <w:unhideWhenUsed/>
    <w:qFormat/>
    <w:uiPriority w:val="99"/>
    <w:rPr>
      <w:color w:val="595959"/>
      <w:sz w:val="20"/>
    </w:rPr>
  </w:style>
  <w:style w:type="paragraph" w:styleId="28">
    <w:name w:val="Body Text 3"/>
    <w:basedOn w:val="1"/>
    <w:link w:val="148"/>
    <w:unhideWhenUsed/>
    <w:qFormat/>
    <w:uiPriority w:val="99"/>
    <w:pPr>
      <w:spacing w:after="120"/>
    </w:pPr>
    <w:rPr>
      <w:color w:val="595959"/>
      <w:sz w:val="16"/>
    </w:rPr>
  </w:style>
  <w:style w:type="paragraph" w:styleId="29">
    <w:name w:val="Closing"/>
    <w:basedOn w:val="1"/>
    <w:link w:val="149"/>
    <w:unhideWhenUsed/>
    <w:qFormat/>
    <w:uiPriority w:val="99"/>
    <w:pPr>
      <w:ind w:left="4320"/>
    </w:pPr>
    <w:rPr>
      <w:color w:val="595959"/>
      <w:sz w:val="20"/>
    </w:rPr>
  </w:style>
  <w:style w:type="paragraph" w:styleId="30">
    <w:name w:val="List Bullet 3"/>
    <w:basedOn w:val="1"/>
    <w:unhideWhenUsed/>
    <w:qFormat/>
    <w:uiPriority w:val="99"/>
    <w:pPr>
      <w:numPr>
        <w:ilvl w:val="0"/>
        <w:numId w:val="5"/>
      </w:numPr>
      <w:contextualSpacing/>
    </w:pPr>
    <w:rPr>
      <w:color w:val="595959"/>
    </w:rPr>
  </w:style>
  <w:style w:type="paragraph" w:styleId="31">
    <w:name w:val="Body Text"/>
    <w:basedOn w:val="1"/>
    <w:next w:val="1"/>
    <w:link w:val="133"/>
    <w:unhideWhenUsed/>
    <w:qFormat/>
    <w:uiPriority w:val="99"/>
    <w:pPr>
      <w:spacing w:after="120"/>
    </w:pPr>
    <w:rPr>
      <w:color w:val="595959"/>
      <w:sz w:val="20"/>
    </w:rPr>
  </w:style>
  <w:style w:type="paragraph" w:styleId="32">
    <w:name w:val="Body Text Indent"/>
    <w:basedOn w:val="1"/>
    <w:link w:val="150"/>
    <w:unhideWhenUsed/>
    <w:qFormat/>
    <w:uiPriority w:val="0"/>
    <w:pPr>
      <w:spacing w:after="120"/>
      <w:ind w:left="360"/>
    </w:pPr>
    <w:rPr>
      <w:color w:val="595959"/>
    </w:rPr>
  </w:style>
  <w:style w:type="paragraph" w:styleId="33">
    <w:name w:val="List Number 3"/>
    <w:basedOn w:val="1"/>
    <w:unhideWhenUsed/>
    <w:qFormat/>
    <w:uiPriority w:val="18"/>
    <w:pPr>
      <w:ind w:left="792" w:hanging="360"/>
      <w:contextualSpacing/>
    </w:pPr>
    <w:rPr>
      <w:color w:val="595959"/>
    </w:rPr>
  </w:style>
  <w:style w:type="paragraph" w:styleId="34">
    <w:name w:val="List 2"/>
    <w:basedOn w:val="1"/>
    <w:unhideWhenUsed/>
    <w:qFormat/>
    <w:uiPriority w:val="99"/>
    <w:pPr>
      <w:ind w:left="720" w:hanging="360"/>
      <w:contextualSpacing/>
    </w:pPr>
    <w:rPr>
      <w:color w:val="595959"/>
    </w:rPr>
  </w:style>
  <w:style w:type="paragraph" w:styleId="35">
    <w:name w:val="List Continue"/>
    <w:basedOn w:val="1"/>
    <w:unhideWhenUsed/>
    <w:qFormat/>
    <w:uiPriority w:val="99"/>
    <w:pPr>
      <w:spacing w:after="120"/>
      <w:ind w:left="360"/>
      <w:contextualSpacing/>
    </w:pPr>
    <w:rPr>
      <w:color w:val="595959"/>
    </w:rPr>
  </w:style>
  <w:style w:type="paragraph" w:styleId="36">
    <w:name w:val="List Bullet 2"/>
    <w:basedOn w:val="1"/>
    <w:unhideWhenUsed/>
    <w:qFormat/>
    <w:uiPriority w:val="99"/>
    <w:pPr>
      <w:numPr>
        <w:ilvl w:val="0"/>
        <w:numId w:val="6"/>
      </w:numPr>
      <w:contextualSpacing/>
    </w:pPr>
    <w:rPr>
      <w:color w:val="595959"/>
    </w:rPr>
  </w:style>
  <w:style w:type="paragraph" w:styleId="37">
    <w:name w:val="HTML Address"/>
    <w:basedOn w:val="1"/>
    <w:link w:val="151"/>
    <w:unhideWhenUsed/>
    <w:qFormat/>
    <w:uiPriority w:val="99"/>
    <w:rPr>
      <w:i/>
      <w:iCs/>
      <w:color w:val="595959"/>
      <w:sz w:val="20"/>
    </w:rPr>
  </w:style>
  <w:style w:type="paragraph" w:styleId="38">
    <w:name w:val="index 4"/>
    <w:basedOn w:val="1"/>
    <w:next w:val="1"/>
    <w:unhideWhenUsed/>
    <w:qFormat/>
    <w:uiPriority w:val="99"/>
    <w:pPr>
      <w:ind w:left="880" w:hanging="220"/>
    </w:pPr>
    <w:rPr>
      <w:color w:val="595959"/>
    </w:rPr>
  </w:style>
  <w:style w:type="paragraph" w:styleId="39">
    <w:name w:val="toc 5"/>
    <w:basedOn w:val="1"/>
    <w:next w:val="1"/>
    <w:unhideWhenUsed/>
    <w:qFormat/>
    <w:uiPriority w:val="39"/>
    <w:pPr>
      <w:widowControl w:val="0"/>
      <w:ind w:left="1680" w:leftChars="800"/>
      <w:jc w:val="both"/>
    </w:pPr>
    <w:rPr>
      <w:rFonts w:ascii="Calibri" w:hAnsi="Calibri" w:eastAsia="宋体"/>
      <w:kern w:val="2"/>
      <w:szCs w:val="22"/>
      <w:lang w:val="en-US"/>
    </w:rPr>
  </w:style>
  <w:style w:type="paragraph" w:styleId="40">
    <w:name w:val="toc 3"/>
    <w:basedOn w:val="1"/>
    <w:next w:val="1"/>
    <w:qFormat/>
    <w:uiPriority w:val="39"/>
    <w:pPr>
      <w:tabs>
        <w:tab w:val="left" w:pos="840"/>
        <w:tab w:val="left" w:pos="1470"/>
        <w:tab w:val="right" w:leader="dot" w:pos="8835"/>
      </w:tabs>
      <w:ind w:left="300" w:leftChars="300"/>
    </w:pPr>
    <w:rPr>
      <w:rFonts w:eastAsia="宋体"/>
    </w:rPr>
  </w:style>
  <w:style w:type="paragraph" w:styleId="41">
    <w:name w:val="Plain Text"/>
    <w:basedOn w:val="1"/>
    <w:link w:val="152"/>
    <w:unhideWhenUsed/>
    <w:qFormat/>
    <w:uiPriority w:val="99"/>
    <w:rPr>
      <w:rFonts w:ascii="Consolas" w:hAnsi="Consolas" w:eastAsia="Times New Roman"/>
      <w:color w:val="595959"/>
      <w:sz w:val="20"/>
    </w:rPr>
  </w:style>
  <w:style w:type="paragraph" w:styleId="42">
    <w:name w:val="List Bullet 5"/>
    <w:basedOn w:val="1"/>
    <w:unhideWhenUsed/>
    <w:qFormat/>
    <w:uiPriority w:val="99"/>
    <w:pPr>
      <w:numPr>
        <w:ilvl w:val="0"/>
        <w:numId w:val="7"/>
      </w:numPr>
      <w:contextualSpacing/>
    </w:pPr>
    <w:rPr>
      <w:color w:val="595959"/>
    </w:rPr>
  </w:style>
  <w:style w:type="paragraph" w:styleId="43">
    <w:name w:val="List Number 4"/>
    <w:basedOn w:val="1"/>
    <w:unhideWhenUsed/>
    <w:qFormat/>
    <w:uiPriority w:val="18"/>
    <w:pPr>
      <w:numPr>
        <w:ilvl w:val="3"/>
        <w:numId w:val="2"/>
      </w:numPr>
      <w:contextualSpacing/>
    </w:pPr>
    <w:rPr>
      <w:color w:val="595959"/>
    </w:rPr>
  </w:style>
  <w:style w:type="paragraph" w:styleId="44">
    <w:name w:val="toc 8"/>
    <w:basedOn w:val="1"/>
    <w:next w:val="1"/>
    <w:unhideWhenUsed/>
    <w:qFormat/>
    <w:uiPriority w:val="39"/>
    <w:pPr>
      <w:widowControl w:val="0"/>
      <w:ind w:left="2940" w:leftChars="1400"/>
      <w:jc w:val="both"/>
    </w:pPr>
    <w:rPr>
      <w:rFonts w:ascii="Calibri" w:hAnsi="Calibri" w:eastAsia="宋体"/>
      <w:kern w:val="2"/>
      <w:szCs w:val="22"/>
      <w:lang w:val="en-US"/>
    </w:rPr>
  </w:style>
  <w:style w:type="paragraph" w:styleId="45">
    <w:name w:val="index 3"/>
    <w:basedOn w:val="1"/>
    <w:next w:val="1"/>
    <w:unhideWhenUsed/>
    <w:qFormat/>
    <w:uiPriority w:val="99"/>
    <w:pPr>
      <w:ind w:left="660" w:hanging="220"/>
    </w:pPr>
    <w:rPr>
      <w:color w:val="595959"/>
    </w:rPr>
  </w:style>
  <w:style w:type="paragraph" w:styleId="46">
    <w:name w:val="Date"/>
    <w:basedOn w:val="1"/>
    <w:next w:val="1"/>
    <w:link w:val="153"/>
    <w:unhideWhenUsed/>
    <w:qFormat/>
    <w:uiPriority w:val="99"/>
    <w:rPr>
      <w:color w:val="595959"/>
      <w:sz w:val="20"/>
    </w:rPr>
  </w:style>
  <w:style w:type="paragraph" w:styleId="47">
    <w:name w:val="Body Text Indent 2"/>
    <w:basedOn w:val="1"/>
    <w:link w:val="154"/>
    <w:unhideWhenUsed/>
    <w:qFormat/>
    <w:uiPriority w:val="99"/>
    <w:pPr>
      <w:spacing w:after="120" w:line="480" w:lineRule="auto"/>
      <w:ind w:left="360"/>
    </w:pPr>
    <w:rPr>
      <w:color w:val="595959"/>
      <w:sz w:val="20"/>
    </w:rPr>
  </w:style>
  <w:style w:type="paragraph" w:styleId="48">
    <w:name w:val="endnote text"/>
    <w:basedOn w:val="1"/>
    <w:link w:val="155"/>
    <w:unhideWhenUsed/>
    <w:qFormat/>
    <w:uiPriority w:val="99"/>
    <w:rPr>
      <w:color w:val="595959"/>
      <w:sz w:val="20"/>
    </w:rPr>
  </w:style>
  <w:style w:type="paragraph" w:styleId="49">
    <w:name w:val="List Continue 5"/>
    <w:basedOn w:val="1"/>
    <w:unhideWhenUsed/>
    <w:qFormat/>
    <w:uiPriority w:val="99"/>
    <w:pPr>
      <w:spacing w:after="120"/>
      <w:ind w:left="1800"/>
      <w:contextualSpacing/>
    </w:pPr>
    <w:rPr>
      <w:color w:val="595959"/>
    </w:rPr>
  </w:style>
  <w:style w:type="paragraph" w:styleId="50">
    <w:name w:val="Balloon Text"/>
    <w:basedOn w:val="1"/>
    <w:link w:val="156"/>
    <w:qFormat/>
    <w:uiPriority w:val="99"/>
    <w:rPr>
      <w:sz w:val="18"/>
      <w:szCs w:val="18"/>
    </w:rPr>
  </w:style>
  <w:style w:type="paragraph" w:styleId="51">
    <w:name w:val="footer"/>
    <w:basedOn w:val="1"/>
    <w:link w:val="157"/>
    <w:unhideWhenUsed/>
    <w:qFormat/>
    <w:uiPriority w:val="99"/>
    <w:pPr>
      <w:pBdr>
        <w:top w:val="single" w:color="B1C0CD" w:sz="4" w:space="6"/>
        <w:left w:val="single" w:color="FFFFFF" w:sz="4" w:space="20"/>
        <w:right w:val="single" w:color="FFFFFF" w:sz="2" w:space="20"/>
      </w:pBdr>
    </w:pPr>
    <w:rPr>
      <w:color w:val="595959"/>
    </w:rPr>
  </w:style>
  <w:style w:type="paragraph" w:styleId="52">
    <w:name w:val="header"/>
    <w:basedOn w:val="1"/>
    <w:link w:val="158"/>
    <w:unhideWhenUsed/>
    <w:qFormat/>
    <w:uiPriority w:val="99"/>
    <w:pPr>
      <w:tabs>
        <w:tab w:val="center" w:pos="4680"/>
        <w:tab w:val="right" w:pos="9360"/>
      </w:tabs>
    </w:pPr>
    <w:rPr>
      <w:color w:val="595959"/>
    </w:rPr>
  </w:style>
  <w:style w:type="paragraph" w:styleId="53">
    <w:name w:val="Signature"/>
    <w:basedOn w:val="1"/>
    <w:link w:val="159"/>
    <w:unhideWhenUsed/>
    <w:qFormat/>
    <w:uiPriority w:val="20"/>
    <w:pPr>
      <w:spacing w:before="720" w:line="312" w:lineRule="auto"/>
      <w:contextualSpacing/>
    </w:pPr>
    <w:rPr>
      <w:color w:val="595959"/>
      <w:sz w:val="20"/>
    </w:rPr>
  </w:style>
  <w:style w:type="paragraph" w:styleId="54">
    <w:name w:val="toc 1"/>
    <w:basedOn w:val="1"/>
    <w:next w:val="1"/>
    <w:qFormat/>
    <w:uiPriority w:val="39"/>
    <w:pPr>
      <w:tabs>
        <w:tab w:val="left" w:pos="420"/>
        <w:tab w:val="right" w:leader="dot" w:pos="8835"/>
      </w:tabs>
    </w:pPr>
    <w:rPr>
      <w:rFonts w:eastAsia="宋体"/>
    </w:rPr>
  </w:style>
  <w:style w:type="paragraph" w:styleId="55">
    <w:name w:val="List Continue 4"/>
    <w:basedOn w:val="1"/>
    <w:unhideWhenUsed/>
    <w:qFormat/>
    <w:uiPriority w:val="99"/>
    <w:pPr>
      <w:spacing w:after="120"/>
      <w:ind w:left="1440"/>
      <w:contextualSpacing/>
    </w:pPr>
    <w:rPr>
      <w:color w:val="595959"/>
    </w:rPr>
  </w:style>
  <w:style w:type="paragraph" w:styleId="56">
    <w:name w:val="toc 4"/>
    <w:basedOn w:val="1"/>
    <w:next w:val="1"/>
    <w:unhideWhenUsed/>
    <w:qFormat/>
    <w:uiPriority w:val="39"/>
    <w:pPr>
      <w:widowControl w:val="0"/>
      <w:ind w:left="1260" w:leftChars="600"/>
      <w:jc w:val="both"/>
    </w:pPr>
    <w:rPr>
      <w:rFonts w:ascii="Calibri" w:hAnsi="Calibri" w:eastAsia="宋体"/>
      <w:kern w:val="2"/>
      <w:szCs w:val="22"/>
      <w:lang w:val="en-US"/>
    </w:rPr>
  </w:style>
  <w:style w:type="paragraph" w:styleId="57">
    <w:name w:val="index heading"/>
    <w:basedOn w:val="1"/>
    <w:next w:val="58"/>
    <w:unhideWhenUsed/>
    <w:qFormat/>
    <w:uiPriority w:val="99"/>
    <w:rPr>
      <w:rFonts w:ascii="Calibri" w:hAnsi="Calibri" w:eastAsia="宋体" w:cs="Arial"/>
      <w:b/>
      <w:bCs/>
      <w:color w:val="595959"/>
    </w:rPr>
  </w:style>
  <w:style w:type="paragraph" w:styleId="58">
    <w:name w:val="index 1"/>
    <w:basedOn w:val="1"/>
    <w:next w:val="1"/>
    <w:qFormat/>
    <w:uiPriority w:val="99"/>
  </w:style>
  <w:style w:type="paragraph" w:styleId="59">
    <w:name w:val="Subtitle"/>
    <w:basedOn w:val="1"/>
    <w:next w:val="1"/>
    <w:link w:val="160"/>
    <w:qFormat/>
    <w:uiPriority w:val="11"/>
    <w:pPr>
      <w:ind w:left="432" w:right="1080"/>
    </w:pPr>
    <w:rPr>
      <w:rFonts w:ascii="Calibri" w:hAnsi="Calibri" w:eastAsia="宋体"/>
      <w:caps/>
      <w:color w:val="7E97AD"/>
      <w:sz w:val="56"/>
    </w:rPr>
  </w:style>
  <w:style w:type="paragraph" w:styleId="60">
    <w:name w:val="List Number 5"/>
    <w:basedOn w:val="1"/>
    <w:unhideWhenUsed/>
    <w:qFormat/>
    <w:uiPriority w:val="18"/>
    <w:pPr>
      <w:numPr>
        <w:ilvl w:val="4"/>
        <w:numId w:val="2"/>
      </w:numPr>
      <w:contextualSpacing/>
    </w:pPr>
    <w:rPr>
      <w:color w:val="595959"/>
    </w:rPr>
  </w:style>
  <w:style w:type="paragraph" w:styleId="61">
    <w:name w:val="List"/>
    <w:basedOn w:val="1"/>
    <w:unhideWhenUsed/>
    <w:qFormat/>
    <w:uiPriority w:val="99"/>
    <w:pPr>
      <w:ind w:left="360" w:hanging="360"/>
      <w:contextualSpacing/>
    </w:pPr>
    <w:rPr>
      <w:color w:val="595959"/>
    </w:rPr>
  </w:style>
  <w:style w:type="paragraph" w:styleId="62">
    <w:name w:val="toc 6"/>
    <w:basedOn w:val="1"/>
    <w:next w:val="1"/>
    <w:unhideWhenUsed/>
    <w:qFormat/>
    <w:uiPriority w:val="39"/>
    <w:pPr>
      <w:widowControl w:val="0"/>
      <w:ind w:left="2100" w:leftChars="1000"/>
      <w:jc w:val="both"/>
    </w:pPr>
    <w:rPr>
      <w:rFonts w:ascii="Calibri" w:hAnsi="Calibri" w:eastAsia="宋体"/>
      <w:kern w:val="2"/>
      <w:szCs w:val="22"/>
      <w:lang w:val="en-US"/>
    </w:rPr>
  </w:style>
  <w:style w:type="paragraph" w:styleId="63">
    <w:name w:val="List 5"/>
    <w:basedOn w:val="1"/>
    <w:unhideWhenUsed/>
    <w:qFormat/>
    <w:uiPriority w:val="99"/>
    <w:pPr>
      <w:ind w:left="1800" w:hanging="360"/>
      <w:contextualSpacing/>
    </w:pPr>
    <w:rPr>
      <w:color w:val="595959"/>
    </w:rPr>
  </w:style>
  <w:style w:type="paragraph" w:styleId="64">
    <w:name w:val="Body Text Indent 3"/>
    <w:basedOn w:val="1"/>
    <w:link w:val="161"/>
    <w:unhideWhenUsed/>
    <w:qFormat/>
    <w:uiPriority w:val="99"/>
    <w:pPr>
      <w:spacing w:after="120"/>
      <w:ind w:left="360"/>
    </w:pPr>
    <w:rPr>
      <w:color w:val="595959"/>
      <w:sz w:val="16"/>
    </w:rPr>
  </w:style>
  <w:style w:type="paragraph" w:styleId="65">
    <w:name w:val="index 7"/>
    <w:basedOn w:val="1"/>
    <w:next w:val="1"/>
    <w:unhideWhenUsed/>
    <w:qFormat/>
    <w:uiPriority w:val="99"/>
    <w:pPr>
      <w:ind w:left="1540" w:hanging="220"/>
    </w:pPr>
    <w:rPr>
      <w:color w:val="595959"/>
    </w:rPr>
  </w:style>
  <w:style w:type="paragraph" w:styleId="66">
    <w:name w:val="index 9"/>
    <w:basedOn w:val="1"/>
    <w:next w:val="1"/>
    <w:unhideWhenUsed/>
    <w:qFormat/>
    <w:uiPriority w:val="99"/>
    <w:pPr>
      <w:ind w:left="1980" w:hanging="220"/>
    </w:pPr>
    <w:rPr>
      <w:color w:val="595959"/>
    </w:rPr>
  </w:style>
  <w:style w:type="paragraph" w:styleId="67">
    <w:name w:val="table of figures"/>
    <w:basedOn w:val="1"/>
    <w:next w:val="1"/>
    <w:unhideWhenUsed/>
    <w:qFormat/>
    <w:uiPriority w:val="99"/>
    <w:rPr>
      <w:color w:val="595959"/>
    </w:rPr>
  </w:style>
  <w:style w:type="paragraph" w:styleId="68">
    <w:name w:val="toc 2"/>
    <w:basedOn w:val="1"/>
    <w:next w:val="1"/>
    <w:qFormat/>
    <w:uiPriority w:val="39"/>
    <w:pPr>
      <w:tabs>
        <w:tab w:val="left" w:pos="840"/>
        <w:tab w:val="right" w:leader="dot" w:pos="8835"/>
      </w:tabs>
      <w:ind w:left="200" w:leftChars="200"/>
    </w:pPr>
    <w:rPr>
      <w:rFonts w:eastAsia="宋体"/>
    </w:rPr>
  </w:style>
  <w:style w:type="paragraph" w:styleId="69">
    <w:name w:val="toc 9"/>
    <w:basedOn w:val="1"/>
    <w:next w:val="1"/>
    <w:unhideWhenUsed/>
    <w:qFormat/>
    <w:uiPriority w:val="39"/>
    <w:pPr>
      <w:widowControl w:val="0"/>
      <w:ind w:left="3360" w:leftChars="1600"/>
      <w:jc w:val="both"/>
    </w:pPr>
    <w:rPr>
      <w:rFonts w:ascii="Calibri" w:hAnsi="Calibri" w:eastAsia="宋体"/>
      <w:kern w:val="2"/>
      <w:szCs w:val="22"/>
      <w:lang w:val="en-US"/>
    </w:rPr>
  </w:style>
  <w:style w:type="paragraph" w:styleId="70">
    <w:name w:val="Body Text 2"/>
    <w:basedOn w:val="1"/>
    <w:link w:val="162"/>
    <w:unhideWhenUsed/>
    <w:qFormat/>
    <w:uiPriority w:val="99"/>
    <w:pPr>
      <w:spacing w:after="120" w:line="480" w:lineRule="auto"/>
    </w:pPr>
    <w:rPr>
      <w:color w:val="595959"/>
      <w:sz w:val="20"/>
    </w:rPr>
  </w:style>
  <w:style w:type="paragraph" w:styleId="71">
    <w:name w:val="List 4"/>
    <w:basedOn w:val="1"/>
    <w:unhideWhenUsed/>
    <w:qFormat/>
    <w:uiPriority w:val="99"/>
    <w:pPr>
      <w:ind w:left="1440" w:hanging="360"/>
      <w:contextualSpacing/>
    </w:pPr>
    <w:rPr>
      <w:color w:val="595959"/>
    </w:rPr>
  </w:style>
  <w:style w:type="paragraph" w:styleId="72">
    <w:name w:val="List Continue 2"/>
    <w:basedOn w:val="1"/>
    <w:unhideWhenUsed/>
    <w:qFormat/>
    <w:uiPriority w:val="99"/>
    <w:pPr>
      <w:spacing w:after="120"/>
      <w:ind w:left="720"/>
      <w:contextualSpacing/>
    </w:pPr>
    <w:rPr>
      <w:color w:val="595959"/>
    </w:rPr>
  </w:style>
  <w:style w:type="paragraph" w:styleId="73">
    <w:name w:val="HTML Preformatted"/>
    <w:basedOn w:val="1"/>
    <w:link w:val="163"/>
    <w:unhideWhenUsed/>
    <w:qFormat/>
    <w:uiPriority w:val="99"/>
    <w:rPr>
      <w:rFonts w:ascii="Consolas" w:hAnsi="Consolas" w:eastAsia="Times New Roman"/>
      <w:color w:val="595959"/>
      <w:sz w:val="20"/>
    </w:rPr>
  </w:style>
  <w:style w:type="paragraph" w:styleId="74">
    <w:name w:val="Normal (Web)"/>
    <w:basedOn w:val="1"/>
    <w:qFormat/>
    <w:uiPriority w:val="0"/>
    <w:pPr>
      <w:widowControl w:val="0"/>
      <w:spacing w:beforeAutospacing="1" w:afterAutospacing="1"/>
    </w:pPr>
    <w:rPr>
      <w:rFonts w:ascii="Calibri" w:hAnsi="Calibri" w:eastAsia="宋体"/>
      <w:kern w:val="0"/>
      <w:sz w:val="24"/>
      <w:szCs w:val="24"/>
      <w:lang w:val="en-US"/>
    </w:rPr>
  </w:style>
  <w:style w:type="paragraph" w:styleId="75">
    <w:name w:val="List Continue 3"/>
    <w:basedOn w:val="1"/>
    <w:unhideWhenUsed/>
    <w:qFormat/>
    <w:uiPriority w:val="99"/>
    <w:pPr>
      <w:spacing w:after="120"/>
      <w:ind w:left="1080"/>
      <w:contextualSpacing/>
    </w:pPr>
    <w:rPr>
      <w:color w:val="595959"/>
    </w:rPr>
  </w:style>
  <w:style w:type="paragraph" w:styleId="76">
    <w:name w:val="index 2"/>
    <w:basedOn w:val="1"/>
    <w:next w:val="1"/>
    <w:unhideWhenUsed/>
    <w:qFormat/>
    <w:uiPriority w:val="99"/>
    <w:pPr>
      <w:ind w:left="440" w:hanging="220"/>
    </w:pPr>
    <w:rPr>
      <w:color w:val="595959"/>
    </w:rPr>
  </w:style>
  <w:style w:type="paragraph" w:styleId="77">
    <w:name w:val="Title"/>
    <w:basedOn w:val="1"/>
    <w:next w:val="1"/>
    <w:link w:val="164"/>
    <w:qFormat/>
    <w:uiPriority w:val="10"/>
    <w:pPr>
      <w:pBdr>
        <w:top w:val="single" w:color="7E97AD" w:sz="4" w:space="16"/>
        <w:left w:val="single" w:color="7E97AD" w:sz="4" w:space="20"/>
        <w:bottom w:val="single" w:color="7E97AD" w:sz="4" w:space="16"/>
        <w:right w:val="single" w:color="7E97AD" w:sz="4" w:space="20"/>
      </w:pBdr>
      <w:shd w:val="clear" w:color="auto" w:fill="7E97AD"/>
      <w:spacing w:after="240" w:line="204" w:lineRule="auto"/>
      <w:ind w:left="432" w:right="432"/>
    </w:pPr>
    <w:rPr>
      <w:rFonts w:ascii="Calibri" w:hAnsi="Calibri" w:eastAsia="宋体"/>
      <w:caps/>
      <w:color w:val="FFFFFF"/>
      <w:kern w:val="28"/>
      <w:sz w:val="72"/>
    </w:rPr>
  </w:style>
  <w:style w:type="paragraph" w:styleId="78">
    <w:name w:val="annotation subject"/>
    <w:basedOn w:val="25"/>
    <w:next w:val="25"/>
    <w:link w:val="165"/>
    <w:unhideWhenUsed/>
    <w:qFormat/>
    <w:uiPriority w:val="99"/>
    <w:rPr>
      <w:b/>
      <w:bCs/>
      <w:color w:val="000000"/>
    </w:rPr>
  </w:style>
  <w:style w:type="paragraph" w:styleId="79">
    <w:name w:val="Body Text First Indent"/>
    <w:basedOn w:val="31"/>
    <w:link w:val="415"/>
    <w:qFormat/>
    <w:uiPriority w:val="0"/>
    <w:pPr>
      <w:ind w:firstLine="420" w:firstLineChars="100"/>
    </w:pPr>
    <w:rPr>
      <w:rFonts w:eastAsia="宋体"/>
      <w:color w:val="auto"/>
      <w:sz w:val="21"/>
    </w:rPr>
  </w:style>
  <w:style w:type="paragraph" w:styleId="80">
    <w:name w:val="Body Text First Indent 2"/>
    <w:basedOn w:val="32"/>
    <w:link w:val="166"/>
    <w:qFormat/>
    <w:uiPriority w:val="0"/>
    <w:pPr>
      <w:tabs>
        <w:tab w:val="left" w:pos="480"/>
      </w:tabs>
      <w:ind w:firstLine="420" w:firstLineChars="200"/>
    </w:pPr>
    <w:rPr>
      <w:rFonts w:ascii="Calibri" w:hAnsi="Calibri"/>
      <w:kern w:val="0"/>
      <w:szCs w:val="22"/>
    </w:rPr>
  </w:style>
  <w:style w:type="table" w:styleId="82">
    <w:name w:val="Table Grid"/>
    <w:basedOn w:val="81"/>
    <w:qFormat/>
    <w:uiPriority w:val="0"/>
    <w:rPr>
      <w:rFonts w:ascii="Cambria" w:hAnsi="Cambria" w:eastAsia="黑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83">
    <w:name w:val="Table Theme"/>
    <w:basedOn w:val="81"/>
    <w:unhideWhenUsed/>
    <w:qFormat/>
    <w:uiPriority w:val="99"/>
    <w:pPr>
      <w:spacing w:line="300" w:lineRule="auto"/>
    </w:pPr>
    <w:rPr>
      <w:rFonts w:ascii="Cambria" w:hAnsi="Cambria" w:eastAsia="黑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84">
    <w:name w:val="Table Colorful 1"/>
    <w:basedOn w:val="81"/>
    <w:unhideWhenUsed/>
    <w:qFormat/>
    <w:uiPriority w:val="99"/>
    <w:pPr>
      <w:spacing w:line="300" w:lineRule="auto"/>
    </w:pPr>
    <w:rPr>
      <w:rFonts w:ascii="Cambria" w:hAnsi="Cambria" w:eastAsia="黑体"/>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rFonts w:cs="Cambria"/>
        <w:b/>
        <w:bCs/>
        <w:i/>
        <w:iCs/>
      </w:rPr>
      <w:tblPr/>
      <w:tcPr>
        <w:tcBorders>
          <w:top w:val="nil"/>
          <w:left w:val="nil"/>
          <w:bottom w:val="nil"/>
          <w:right w:val="nil"/>
          <w:insideH w:val="nil"/>
          <w:insideV w:val="nil"/>
          <w:tl2br w:val="nil"/>
          <w:tr2bl w:val="nil"/>
        </w:tcBorders>
        <w:shd w:val="solid" w:color="000000" w:fill="FFFFFF"/>
      </w:tcPr>
    </w:tblStylePr>
    <w:tblStylePr w:type="firstCol">
      <w:rPr>
        <w:rFonts w:cs="Cambria"/>
        <w:b/>
        <w:bCs/>
        <w:i/>
        <w:iCs/>
      </w:rPr>
      <w:tblPr/>
      <w:tcPr>
        <w:tcBorders>
          <w:top w:val="nil"/>
          <w:left w:val="nil"/>
          <w:bottom w:val="nil"/>
          <w:right w:val="nil"/>
          <w:insideH w:val="nil"/>
          <w:insideV w:val="nil"/>
          <w:tl2br w:val="nil"/>
          <w:tr2bl w:val="nil"/>
        </w:tcBorders>
        <w:shd w:val="solid" w:color="000080" w:fill="FFFFFF"/>
      </w:tcPr>
    </w:tblStylePr>
    <w:tblStylePr w:type="nwCell">
      <w:rPr>
        <w:rFonts w:cs="Cambria"/>
      </w:rPr>
      <w:tblPr/>
      <w:tcPr>
        <w:tcBorders>
          <w:top w:val="nil"/>
          <w:left w:val="nil"/>
          <w:bottom w:val="nil"/>
          <w:right w:val="nil"/>
          <w:insideH w:val="nil"/>
          <w:insideV w:val="nil"/>
          <w:tl2br w:val="nil"/>
          <w:tr2bl w:val="nil"/>
        </w:tcBorders>
        <w:shd w:val="solid" w:color="000000" w:fill="FFFFFF"/>
      </w:tcPr>
    </w:tblStylePr>
    <w:tblStylePr w:type="swCell">
      <w:rPr>
        <w:rFonts w:cs="Cambria"/>
        <w:b/>
        <w:bCs/>
        <w:i w:val="0"/>
        <w:iCs w:val="0"/>
      </w:rPr>
      <w:tblPr/>
      <w:tcPr>
        <w:tcBorders>
          <w:top w:val="nil"/>
          <w:left w:val="nil"/>
          <w:bottom w:val="nil"/>
          <w:right w:val="nil"/>
          <w:insideH w:val="nil"/>
          <w:insideV w:val="nil"/>
          <w:tl2br w:val="nil"/>
          <w:tr2bl w:val="nil"/>
        </w:tcBorders>
      </w:tcPr>
    </w:tblStylePr>
  </w:style>
  <w:style w:type="table" w:styleId="85">
    <w:name w:val="Table Colorful 2"/>
    <w:basedOn w:val="81"/>
    <w:unhideWhenUsed/>
    <w:qFormat/>
    <w:uiPriority w:val="99"/>
    <w:pPr>
      <w:spacing w:line="300" w:lineRule="auto"/>
    </w:pPr>
    <w:rPr>
      <w:rFonts w:ascii="Cambria" w:hAnsi="Cambria" w:eastAsia="黑体"/>
    </w:rPr>
    <w:tblPr>
      <w:tblBorders>
        <w:bottom w:val="single" w:color="000000" w:sz="12" w:space="0"/>
      </w:tblBorders>
    </w:tblPr>
    <w:tcPr>
      <w:shd w:val="pct20" w:color="FFFF00" w:fill="FFFFFF"/>
    </w:tcPr>
    <w:tblStylePr w:type="firstRow">
      <w:rPr>
        <w:rFonts w:cs="Cambria"/>
        <w:b/>
        <w:bCs/>
        <w:i/>
        <w:iCs/>
        <w:color w:val="FFFFFF"/>
      </w:rPr>
      <w:tblPr/>
      <w:tcPr>
        <w:tcBorders>
          <w:top w:val="nil"/>
          <w:left w:val="single" w:color="000000" w:sz="12" w:space="0"/>
          <w:bottom w:val="nil"/>
          <w:right w:val="nil"/>
          <w:insideH w:val="nil"/>
          <w:insideV w:val="nil"/>
          <w:tl2br w:val="nil"/>
          <w:tr2bl w:val="nil"/>
        </w:tcBorders>
        <w:shd w:val="solid" w:color="800000" w:fill="FFFFFF"/>
      </w:tcPr>
    </w:tblStylePr>
    <w:tblStylePr w:type="firstCol">
      <w:rPr>
        <w:rFonts w:cs="Cambria"/>
        <w:b/>
        <w:bCs/>
        <w:i/>
        <w:iCs/>
      </w:rPr>
      <w:tblPr/>
      <w:tcPr>
        <w:tcBorders>
          <w:top w:val="nil"/>
          <w:left w:val="nil"/>
          <w:bottom w:val="nil"/>
          <w:right w:val="nil"/>
          <w:insideH w:val="nil"/>
          <w:insideV w:val="nil"/>
          <w:tl2br w:val="nil"/>
          <w:tr2bl w:val="nil"/>
        </w:tcBorders>
      </w:tcPr>
    </w:tblStylePr>
    <w:tblStylePr w:type="lastCol">
      <w:rPr>
        <w:rFonts w:cs="Cambria"/>
      </w:rPr>
      <w:tblPr/>
      <w:tcPr>
        <w:tcBorders>
          <w:top w:val="nil"/>
          <w:left w:val="nil"/>
          <w:bottom w:val="nil"/>
          <w:right w:val="nil"/>
          <w:insideH w:val="nil"/>
          <w:insideV w:val="nil"/>
          <w:tl2br w:val="nil"/>
          <w:tr2bl w:val="nil"/>
        </w:tcBorders>
        <w:shd w:val="solid" w:color="C0C0C0" w:fill="FFFFFF"/>
      </w:tcPr>
    </w:tblStylePr>
    <w:tblStylePr w:type="swCell">
      <w:rPr>
        <w:rFonts w:cs="Cambria"/>
        <w:b/>
        <w:bCs/>
        <w:i w:val="0"/>
        <w:iCs w:val="0"/>
      </w:rPr>
      <w:tblPr/>
      <w:tcPr>
        <w:tcBorders>
          <w:top w:val="nil"/>
          <w:left w:val="nil"/>
          <w:bottom w:val="nil"/>
          <w:right w:val="nil"/>
          <w:insideH w:val="nil"/>
          <w:insideV w:val="nil"/>
          <w:tl2br w:val="nil"/>
          <w:tr2bl w:val="nil"/>
        </w:tcBorders>
      </w:tcPr>
    </w:tblStylePr>
  </w:style>
  <w:style w:type="table" w:styleId="86">
    <w:name w:val="Table Colorful 3"/>
    <w:basedOn w:val="81"/>
    <w:unhideWhenUsed/>
    <w:qFormat/>
    <w:uiPriority w:val="99"/>
    <w:pPr>
      <w:spacing w:line="300" w:lineRule="auto"/>
    </w:pPr>
    <w:rPr>
      <w:rFonts w:ascii="Cambria" w:hAnsi="Cambria" w:eastAsia="黑体"/>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rPr>
        <w:rFonts w:cs="Cambria"/>
      </w:rPr>
      <w:tblPr/>
      <w:tcPr>
        <w:tcBorders>
          <w:top w:val="nil"/>
          <w:left w:val="single" w:color="000000" w:sz="6" w:space="0"/>
          <w:bottom w:val="nil"/>
          <w:right w:val="nil"/>
          <w:insideH w:val="nil"/>
          <w:insideV w:val="nil"/>
          <w:tl2br w:val="nil"/>
          <w:tr2bl w:val="nil"/>
        </w:tcBorders>
        <w:shd w:val="solid" w:color="008080" w:fill="FFFFFF"/>
      </w:tcPr>
    </w:tblStylePr>
    <w:tblStylePr w:type="firstCol">
      <w:rPr>
        <w:rFonts w:cs="Cambria"/>
      </w:rPr>
      <w:tblPr/>
      <w:tcPr>
        <w:tcBorders>
          <w:top w:val="nil"/>
          <w:left w:val="nil"/>
          <w:bottom w:val="single" w:color="000000" w:sz="36" w:space="0"/>
          <w:right w:val="single" w:color="000000" w:sz="6" w:space="0"/>
          <w:insideH w:val="nil"/>
          <w:insideV w:val="nil"/>
          <w:tl2br w:val="nil"/>
          <w:tr2bl w:val="nil"/>
        </w:tcBorders>
        <w:shd w:val="solid" w:color="008080" w:fill="FFFFFF"/>
      </w:tcPr>
    </w:tblStylePr>
    <w:tblStylePr w:type="nwCell">
      <w:rPr>
        <w:rFonts w:cs="Cambria"/>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87">
    <w:name w:val="Table Elegant"/>
    <w:basedOn w:val="81"/>
    <w:unhideWhenUsed/>
    <w:qFormat/>
    <w:uiPriority w:val="99"/>
    <w:pPr>
      <w:spacing w:line="300" w:lineRule="auto"/>
    </w:pPr>
    <w:rPr>
      <w:rFonts w:ascii="Cambria" w:hAnsi="Cambria" w:eastAsia="黑体"/>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blStylePr w:type="firstRow">
      <w:rPr>
        <w:rFonts w:cs="Cambria"/>
        <w:caps/>
        <w:color w:val="auto"/>
      </w:rPr>
      <w:tblPr/>
      <w:tcPr>
        <w:tcBorders>
          <w:top w:val="nil"/>
          <w:left w:val="nil"/>
          <w:bottom w:val="nil"/>
          <w:right w:val="nil"/>
          <w:insideH w:val="nil"/>
          <w:insideV w:val="nil"/>
          <w:tl2br w:val="nil"/>
          <w:tr2bl w:val="nil"/>
        </w:tcBorders>
      </w:tcPr>
    </w:tblStylePr>
  </w:style>
  <w:style w:type="table" w:styleId="88">
    <w:name w:val="Table Classic 1"/>
    <w:basedOn w:val="81"/>
    <w:unhideWhenUsed/>
    <w:qFormat/>
    <w:uiPriority w:val="99"/>
    <w:pPr>
      <w:spacing w:line="300" w:lineRule="auto"/>
    </w:pPr>
    <w:rPr>
      <w:rFonts w:ascii="Cambria" w:hAnsi="Cambria" w:eastAsia="黑体"/>
    </w:rPr>
    <w:tblPr>
      <w:tblBorders>
        <w:top w:val="single" w:color="000000" w:sz="12" w:space="0"/>
        <w:bottom w:val="single" w:color="000000" w:sz="12" w:space="0"/>
      </w:tblBorders>
    </w:tblPr>
    <w:tblStylePr w:type="firstRow">
      <w:rPr>
        <w:rFonts w:cs="Cambria"/>
        <w:i/>
        <w:iCs/>
      </w:rPr>
      <w:tblPr/>
      <w:tcPr>
        <w:tcBorders>
          <w:top w:val="nil"/>
          <w:left w:val="single" w:color="000000" w:sz="6" w:space="0"/>
          <w:bottom w:val="nil"/>
          <w:right w:val="nil"/>
          <w:insideH w:val="nil"/>
          <w:insideV w:val="nil"/>
          <w:tl2br w:val="nil"/>
          <w:tr2bl w:val="nil"/>
        </w:tcBorders>
      </w:tcPr>
    </w:tblStylePr>
    <w:tblStylePr w:type="lastRow">
      <w:rPr>
        <w:rFonts w:cs="Cambria"/>
        <w:color w:val="auto"/>
      </w:rPr>
      <w:tblPr/>
      <w:tcPr>
        <w:tcBorders>
          <w:top w:val="single" w:color="000000" w:sz="6" w:space="0"/>
          <w:left w:val="nil"/>
          <w:bottom w:val="nil"/>
          <w:right w:val="nil"/>
          <w:insideH w:val="nil"/>
          <w:insideV w:val="nil"/>
          <w:tl2br w:val="nil"/>
          <w:tr2bl w:val="nil"/>
        </w:tcBorders>
      </w:tcPr>
    </w:tblStylePr>
    <w:tblStylePr w:type="firstCol">
      <w:rPr>
        <w:rFonts w:cs="Cambria"/>
      </w:rPr>
      <w:tblPr/>
      <w:tcPr>
        <w:tcBorders>
          <w:top w:val="nil"/>
          <w:left w:val="nil"/>
          <w:bottom w:val="nil"/>
          <w:right w:val="single" w:color="000000" w:sz="6" w:space="0"/>
          <w:insideH w:val="nil"/>
          <w:insideV w:val="nil"/>
          <w:tl2br w:val="nil"/>
          <w:tr2bl w:val="nil"/>
        </w:tcBorders>
      </w:tcPr>
    </w:tblStylePr>
    <w:tblStylePr w:type="neCell">
      <w:rPr>
        <w:rFonts w:cs="Cambria"/>
        <w:b/>
        <w:bCs/>
        <w:i w:val="0"/>
        <w:iCs w:val="0"/>
      </w:rPr>
      <w:tblPr/>
      <w:tcPr>
        <w:tcBorders>
          <w:top w:val="nil"/>
          <w:left w:val="nil"/>
          <w:bottom w:val="nil"/>
          <w:right w:val="nil"/>
          <w:insideH w:val="nil"/>
          <w:insideV w:val="nil"/>
          <w:tl2br w:val="nil"/>
          <w:tr2bl w:val="nil"/>
        </w:tcBorders>
      </w:tcPr>
    </w:tblStylePr>
    <w:tblStylePr w:type="swCell">
      <w:rPr>
        <w:rFonts w:cs="Cambria"/>
        <w:b/>
        <w:bCs/>
      </w:rPr>
      <w:tblPr/>
      <w:tcPr>
        <w:tcBorders>
          <w:top w:val="nil"/>
          <w:left w:val="nil"/>
          <w:bottom w:val="nil"/>
          <w:right w:val="nil"/>
          <w:insideH w:val="nil"/>
          <w:insideV w:val="nil"/>
          <w:tl2br w:val="nil"/>
          <w:tr2bl w:val="nil"/>
        </w:tcBorders>
      </w:tcPr>
    </w:tblStylePr>
  </w:style>
  <w:style w:type="table" w:styleId="89">
    <w:name w:val="Table Classic 2"/>
    <w:basedOn w:val="81"/>
    <w:unhideWhenUsed/>
    <w:qFormat/>
    <w:uiPriority w:val="99"/>
    <w:pPr>
      <w:spacing w:line="300" w:lineRule="auto"/>
    </w:pPr>
    <w:rPr>
      <w:rFonts w:ascii="Cambria" w:hAnsi="Cambria" w:eastAsia="黑体"/>
    </w:rPr>
    <w:tblPr>
      <w:tblBorders>
        <w:top w:val="single" w:color="000000" w:sz="12" w:space="0"/>
        <w:bottom w:val="single" w:color="000000" w:sz="12" w:space="0"/>
      </w:tblBorders>
    </w:tblPr>
    <w:tblStylePr w:type="firstRow">
      <w:rPr>
        <w:rFonts w:cs="Cambria"/>
        <w:color w:val="FFFFFF"/>
      </w:rPr>
      <w:tblPr/>
      <w:tcPr>
        <w:tcBorders>
          <w:top w:val="nil"/>
          <w:left w:val="single" w:color="000000" w:sz="6" w:space="0"/>
          <w:bottom w:val="nil"/>
          <w:right w:val="nil"/>
          <w:insideH w:val="nil"/>
          <w:insideV w:val="nil"/>
          <w:tl2br w:val="nil"/>
          <w:tr2bl w:val="nil"/>
        </w:tcBorders>
        <w:shd w:val="solid" w:color="800080" w:fill="FFFFFF"/>
      </w:tcPr>
    </w:tblStylePr>
    <w:tblStylePr w:type="lastRow">
      <w:rPr>
        <w:rFonts w:cs="Cambria"/>
      </w:rPr>
      <w:tblPr/>
      <w:tcPr>
        <w:tcBorders>
          <w:top w:val="single" w:color="000000" w:sz="6" w:space="0"/>
          <w:left w:val="nil"/>
          <w:bottom w:val="nil"/>
          <w:right w:val="nil"/>
          <w:insideH w:val="nil"/>
          <w:insideV w:val="nil"/>
          <w:tl2br w:val="nil"/>
          <w:tr2bl w:val="nil"/>
        </w:tcBorders>
      </w:tcPr>
    </w:tblStylePr>
    <w:tblStylePr w:type="firstCol">
      <w:rPr>
        <w:rFonts w:cs="Cambria"/>
        <w:b/>
        <w:bCs/>
      </w:rPr>
      <w:tblPr/>
      <w:tcPr>
        <w:tcBorders>
          <w:top w:val="nil"/>
          <w:left w:val="nil"/>
          <w:bottom w:val="nil"/>
          <w:right w:val="nil"/>
          <w:insideH w:val="nil"/>
          <w:insideV w:val="nil"/>
          <w:tl2br w:val="nil"/>
          <w:tr2bl w:val="nil"/>
        </w:tcBorders>
        <w:shd w:val="solid" w:color="C0C0C0" w:fill="FFFFFF"/>
      </w:tcPr>
    </w:tblStylePr>
    <w:tblStylePr w:type="neCell">
      <w:rPr>
        <w:rFonts w:cs="Cambria"/>
        <w:b/>
        <w:bCs/>
      </w:rPr>
      <w:tblPr/>
      <w:tcPr>
        <w:tcBorders>
          <w:top w:val="nil"/>
          <w:left w:val="nil"/>
          <w:bottom w:val="nil"/>
          <w:right w:val="nil"/>
          <w:insideH w:val="nil"/>
          <w:insideV w:val="nil"/>
          <w:tl2br w:val="nil"/>
          <w:tr2bl w:val="nil"/>
        </w:tcBorders>
      </w:tcPr>
    </w:tblStylePr>
    <w:tblStylePr w:type="nwCell">
      <w:rPr>
        <w:rFonts w:cs="Cambria"/>
      </w:rPr>
      <w:tblPr/>
      <w:tcPr>
        <w:tcBorders>
          <w:top w:val="nil"/>
          <w:left w:val="nil"/>
          <w:bottom w:val="nil"/>
          <w:right w:val="nil"/>
          <w:insideH w:val="nil"/>
          <w:insideV w:val="nil"/>
          <w:tl2br w:val="nil"/>
          <w:tr2bl w:val="nil"/>
        </w:tcBorders>
        <w:shd w:val="solid" w:color="800080" w:fill="FFFFFF"/>
      </w:tcPr>
    </w:tblStylePr>
    <w:tblStylePr w:type="swCell">
      <w:rPr>
        <w:rFonts w:cs="Cambria"/>
        <w:color w:val="000080"/>
      </w:rPr>
      <w:tblPr/>
      <w:tcPr>
        <w:tcBorders>
          <w:top w:val="nil"/>
          <w:left w:val="nil"/>
          <w:bottom w:val="nil"/>
          <w:right w:val="nil"/>
          <w:insideH w:val="nil"/>
          <w:insideV w:val="nil"/>
          <w:tl2br w:val="nil"/>
          <w:tr2bl w:val="nil"/>
        </w:tcBorders>
      </w:tcPr>
    </w:tblStylePr>
  </w:style>
  <w:style w:type="table" w:styleId="90">
    <w:name w:val="Table Classic 3"/>
    <w:basedOn w:val="81"/>
    <w:unhideWhenUsed/>
    <w:qFormat/>
    <w:uiPriority w:val="99"/>
    <w:pPr>
      <w:spacing w:line="300" w:lineRule="auto"/>
    </w:pPr>
    <w:rPr>
      <w:rFonts w:ascii="Cambria" w:hAnsi="Cambria" w:eastAsia="黑体"/>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rFonts w:cs="Cambria"/>
        <w:b/>
        <w:bCs/>
        <w:i/>
        <w:iCs/>
        <w:color w:val="FFFFFF"/>
      </w:rPr>
      <w:tblPr/>
      <w:tcPr>
        <w:tcBorders>
          <w:top w:val="nil"/>
          <w:left w:val="single" w:color="000000" w:sz="6" w:space="0"/>
          <w:bottom w:val="nil"/>
          <w:right w:val="nil"/>
          <w:insideH w:val="nil"/>
          <w:insideV w:val="nil"/>
          <w:tl2br w:val="nil"/>
          <w:tr2bl w:val="nil"/>
        </w:tcBorders>
        <w:shd w:val="solid" w:color="000080" w:fill="FFFFFF"/>
      </w:tcPr>
    </w:tblStylePr>
    <w:tblStylePr w:type="lastRow">
      <w:rPr>
        <w:rFonts w:cs="Cambria"/>
        <w:color w:val="000080"/>
      </w:rPr>
      <w:tblPr/>
      <w:tcPr>
        <w:tcBorders>
          <w:top w:val="single" w:color="000000" w:sz="12" w:space="0"/>
          <w:left w:val="nil"/>
          <w:bottom w:val="nil"/>
          <w:right w:val="nil"/>
          <w:insideH w:val="nil"/>
          <w:insideV w:val="nil"/>
          <w:tl2br w:val="nil"/>
          <w:tr2bl w:val="nil"/>
        </w:tcBorders>
        <w:shd w:val="solid" w:color="FFFFFF" w:fill="FFFFFF"/>
      </w:tcPr>
    </w:tblStylePr>
    <w:tblStylePr w:type="firstCol">
      <w:rPr>
        <w:rFonts w:cs="Cambria"/>
        <w:b/>
        <w:bCs/>
        <w:color w:val="000000"/>
      </w:rPr>
      <w:tblPr/>
      <w:tcPr>
        <w:tcBorders>
          <w:top w:val="nil"/>
          <w:left w:val="nil"/>
          <w:bottom w:val="nil"/>
          <w:right w:val="nil"/>
          <w:insideH w:val="nil"/>
          <w:insideV w:val="nil"/>
          <w:tl2br w:val="nil"/>
          <w:tr2bl w:val="nil"/>
        </w:tcBorders>
      </w:tcPr>
    </w:tblStylePr>
  </w:style>
  <w:style w:type="table" w:styleId="91">
    <w:name w:val="Table Classic 4"/>
    <w:basedOn w:val="81"/>
    <w:unhideWhenUsed/>
    <w:qFormat/>
    <w:uiPriority w:val="99"/>
    <w:pPr>
      <w:spacing w:line="300" w:lineRule="auto"/>
    </w:pPr>
    <w:rPr>
      <w:rFonts w:ascii="Cambria" w:hAnsi="Cambria" w:eastAsia="黑体"/>
    </w:rPr>
    <w:tblPr>
      <w:tblBorders>
        <w:top w:val="single" w:color="000000" w:sz="12" w:space="0"/>
        <w:left w:val="single" w:color="000000" w:sz="6" w:space="0"/>
        <w:bottom w:val="single" w:color="000000" w:sz="12" w:space="0"/>
        <w:right w:val="single" w:color="000000" w:sz="6" w:space="0"/>
      </w:tblBorders>
    </w:tblPr>
    <w:tblStylePr w:type="firstRow">
      <w:rPr>
        <w:rFonts w:cs="Cambria"/>
        <w:b/>
        <w:bCs/>
        <w:i/>
        <w:iCs/>
        <w:color w:val="FFFFFF"/>
      </w:rPr>
      <w:tblPr/>
      <w:tcPr>
        <w:tcBorders>
          <w:top w:val="nil"/>
          <w:left w:val="single" w:color="000000" w:sz="6" w:space="0"/>
          <w:bottom w:val="nil"/>
          <w:right w:val="nil"/>
          <w:insideH w:val="nil"/>
          <w:insideV w:val="nil"/>
          <w:tl2br w:val="nil"/>
          <w:tr2bl w:val="nil"/>
        </w:tcBorders>
        <w:shd w:val="pct50" w:color="000080" w:fill="FFFFFF"/>
      </w:tcPr>
    </w:tblStylePr>
    <w:tblStylePr w:type="lastRow">
      <w:rPr>
        <w:rFonts w:cs="Cambria"/>
        <w:color w:val="000080"/>
      </w:rPr>
      <w:tblPr/>
      <w:tcPr>
        <w:tcBorders>
          <w:top w:val="nil"/>
          <w:left w:val="single" w:color="000000" w:sz="6" w:space="0"/>
          <w:bottom w:val="nil"/>
          <w:right w:val="nil"/>
          <w:insideH w:val="nil"/>
          <w:insideV w:val="nil"/>
          <w:tl2br w:val="nil"/>
          <w:tr2bl w:val="nil"/>
        </w:tcBorders>
        <w:shd w:val="pct50" w:color="000000" w:fill="FFFFFF"/>
      </w:tcPr>
    </w:tblStylePr>
    <w:tblStylePr w:type="firstCol">
      <w:rPr>
        <w:rFonts w:cs="Cambria"/>
        <w:b/>
        <w:bCs/>
      </w:rPr>
      <w:tblPr/>
      <w:tcPr>
        <w:tcBorders>
          <w:top w:val="nil"/>
          <w:left w:val="nil"/>
          <w:bottom w:val="nil"/>
          <w:right w:val="nil"/>
          <w:insideH w:val="nil"/>
          <w:insideV w:val="nil"/>
          <w:tl2br w:val="nil"/>
          <w:tr2bl w:val="nil"/>
        </w:tcBorders>
      </w:tcPr>
    </w:tblStylePr>
    <w:tblStylePr w:type="nwCell">
      <w:rPr>
        <w:rFonts w:cs="Cambria"/>
        <w:b/>
        <w:bCs/>
      </w:rPr>
      <w:tblPr/>
      <w:tcPr>
        <w:tcBorders>
          <w:top w:val="nil"/>
          <w:left w:val="nil"/>
          <w:bottom w:val="nil"/>
          <w:right w:val="nil"/>
          <w:insideH w:val="nil"/>
          <w:insideV w:val="nil"/>
          <w:tl2br w:val="nil"/>
          <w:tr2bl w:val="nil"/>
        </w:tcBorders>
      </w:tcPr>
    </w:tblStylePr>
    <w:tblStylePr w:type="swCell">
      <w:rPr>
        <w:rFonts w:cs="Cambria"/>
        <w:color w:val="000080"/>
      </w:rPr>
      <w:tblPr/>
      <w:tcPr>
        <w:tcBorders>
          <w:top w:val="nil"/>
          <w:left w:val="nil"/>
          <w:bottom w:val="nil"/>
          <w:right w:val="nil"/>
          <w:insideH w:val="nil"/>
          <w:insideV w:val="nil"/>
          <w:tl2br w:val="nil"/>
          <w:tr2bl w:val="nil"/>
        </w:tcBorders>
      </w:tcPr>
    </w:tblStylePr>
  </w:style>
  <w:style w:type="table" w:styleId="92">
    <w:name w:val="Table Simple 1"/>
    <w:basedOn w:val="81"/>
    <w:unhideWhenUsed/>
    <w:qFormat/>
    <w:uiPriority w:val="99"/>
    <w:pPr>
      <w:spacing w:line="300" w:lineRule="auto"/>
    </w:pPr>
    <w:rPr>
      <w:rFonts w:ascii="Cambria" w:hAnsi="Cambria" w:eastAsia="黑体"/>
    </w:rPr>
    <w:tblPr>
      <w:tblBorders>
        <w:top w:val="single" w:color="008000" w:sz="12" w:space="0"/>
        <w:bottom w:val="single" w:color="008000" w:sz="12" w:space="0"/>
      </w:tblBorders>
    </w:tblPr>
    <w:tblStylePr w:type="firstRow">
      <w:rPr>
        <w:rFonts w:cs="Cambria"/>
      </w:rPr>
      <w:tblPr/>
      <w:tcPr>
        <w:tcBorders>
          <w:top w:val="nil"/>
          <w:left w:val="single" w:color="008000" w:sz="6" w:space="0"/>
          <w:bottom w:val="nil"/>
          <w:right w:val="nil"/>
          <w:insideH w:val="nil"/>
          <w:insideV w:val="nil"/>
          <w:tl2br w:val="nil"/>
          <w:tr2bl w:val="nil"/>
        </w:tcBorders>
      </w:tcPr>
    </w:tblStylePr>
    <w:tblStylePr w:type="lastRow">
      <w:rPr>
        <w:rFonts w:cs="Cambria"/>
      </w:rPr>
      <w:tblPr/>
      <w:tcPr>
        <w:tcBorders>
          <w:top w:val="single" w:color="008000" w:sz="6" w:space="0"/>
          <w:left w:val="nil"/>
          <w:bottom w:val="nil"/>
          <w:right w:val="nil"/>
          <w:insideH w:val="nil"/>
          <w:insideV w:val="nil"/>
          <w:tl2br w:val="nil"/>
          <w:tr2bl w:val="nil"/>
        </w:tcBorders>
      </w:tcPr>
    </w:tblStylePr>
  </w:style>
  <w:style w:type="table" w:styleId="93">
    <w:name w:val="Table Simple 2"/>
    <w:basedOn w:val="81"/>
    <w:unhideWhenUsed/>
    <w:qFormat/>
    <w:uiPriority w:val="99"/>
    <w:pPr>
      <w:spacing w:line="300" w:lineRule="auto"/>
    </w:pPr>
    <w:rPr>
      <w:rFonts w:ascii="Cambria" w:hAnsi="Cambria" w:eastAsia="黑体"/>
    </w:rPr>
    <w:tblPr/>
    <w:tblStylePr w:type="firstRow">
      <w:rPr>
        <w:rFonts w:cs="Cambria"/>
        <w:b/>
        <w:bCs/>
      </w:rPr>
      <w:tblPr/>
      <w:tcPr>
        <w:tcBorders>
          <w:top w:val="nil"/>
          <w:left w:val="single" w:color="000000" w:sz="12" w:space="0"/>
          <w:bottom w:val="nil"/>
          <w:right w:val="nil"/>
          <w:insideH w:val="nil"/>
          <w:insideV w:val="nil"/>
          <w:tl2br w:val="nil"/>
          <w:tr2bl w:val="nil"/>
        </w:tcBorders>
      </w:tcPr>
    </w:tblStylePr>
    <w:tblStylePr w:type="lastRow">
      <w:rPr>
        <w:rFonts w:cs="Cambria"/>
        <w:b/>
        <w:bCs/>
        <w:color w:val="auto"/>
      </w:rPr>
      <w:tblPr/>
      <w:tcPr>
        <w:tcBorders>
          <w:top w:val="single" w:color="000000" w:sz="6" w:space="0"/>
          <w:left w:val="nil"/>
          <w:bottom w:val="nil"/>
          <w:right w:val="nil"/>
          <w:insideH w:val="nil"/>
          <w:insideV w:val="nil"/>
          <w:tl2br w:val="nil"/>
          <w:tr2bl w:val="nil"/>
        </w:tcBorders>
      </w:tcPr>
    </w:tblStylePr>
    <w:tblStylePr w:type="firstCol">
      <w:rPr>
        <w:rFonts w:cs="Cambria"/>
        <w:b/>
        <w:bCs/>
      </w:rPr>
      <w:tblPr/>
      <w:tcPr>
        <w:tcBorders>
          <w:top w:val="nil"/>
          <w:left w:val="nil"/>
          <w:bottom w:val="nil"/>
          <w:right w:val="single" w:color="000000" w:sz="12" w:space="0"/>
          <w:insideH w:val="nil"/>
          <w:insideV w:val="nil"/>
          <w:tl2br w:val="nil"/>
          <w:tr2bl w:val="nil"/>
        </w:tcBorders>
      </w:tcPr>
    </w:tblStylePr>
    <w:tblStylePr w:type="lastCol">
      <w:rPr>
        <w:rFonts w:cs="Cambria"/>
        <w:b/>
        <w:bCs/>
      </w:rPr>
      <w:tblPr/>
      <w:tcPr>
        <w:tcBorders>
          <w:top w:val="nil"/>
          <w:left w:val="nil"/>
          <w:bottom w:val="single" w:color="000000" w:sz="6" w:space="0"/>
          <w:right w:val="nil"/>
          <w:insideH w:val="nil"/>
          <w:insideV w:val="nil"/>
          <w:tl2br w:val="nil"/>
          <w:tr2bl w:val="nil"/>
        </w:tcBorders>
      </w:tcPr>
    </w:tblStylePr>
    <w:tblStylePr w:type="neCell">
      <w:rPr>
        <w:rFonts w:cs="Cambria"/>
        <w:b/>
        <w:bCs/>
      </w:rPr>
      <w:tblPr/>
      <w:tcPr>
        <w:tcBorders>
          <w:top w:val="nil"/>
          <w:left w:val="nil"/>
          <w:bottom w:val="nil"/>
          <w:right w:val="nil"/>
          <w:insideH w:val="nil"/>
          <w:insideV w:val="nil"/>
          <w:tl2br w:val="nil"/>
          <w:tr2bl w:val="nil"/>
        </w:tcBorders>
      </w:tcPr>
    </w:tblStylePr>
    <w:tblStylePr w:type="swCell">
      <w:rPr>
        <w:rFonts w:cs="Cambria"/>
        <w:b/>
        <w:bCs/>
      </w:rPr>
      <w:tblPr/>
      <w:tcPr>
        <w:tcBorders>
          <w:top w:val="nil"/>
          <w:left w:val="nil"/>
          <w:bottom w:val="nil"/>
          <w:right w:val="nil"/>
          <w:insideH w:val="nil"/>
          <w:insideV w:val="nil"/>
          <w:tl2br w:val="nil"/>
          <w:tr2bl w:val="nil"/>
        </w:tcBorders>
      </w:tcPr>
    </w:tblStylePr>
  </w:style>
  <w:style w:type="table" w:styleId="94">
    <w:name w:val="Table Simple 3"/>
    <w:basedOn w:val="81"/>
    <w:unhideWhenUsed/>
    <w:qFormat/>
    <w:uiPriority w:val="99"/>
    <w:pPr>
      <w:spacing w:line="300" w:lineRule="auto"/>
    </w:pPr>
    <w:rPr>
      <w:rFonts w:ascii="Cambria" w:hAnsi="Cambria" w:eastAsia="黑体"/>
    </w:rPr>
    <w:tblPr>
      <w:tblBorders>
        <w:top w:val="single" w:color="000000" w:sz="12" w:space="0"/>
        <w:left w:val="single" w:color="000000" w:sz="12" w:space="0"/>
        <w:bottom w:val="single" w:color="000000" w:sz="12" w:space="0"/>
        <w:right w:val="single" w:color="000000" w:sz="12" w:space="0"/>
      </w:tblBorders>
    </w:tblPr>
    <w:tblStylePr w:type="firstRow">
      <w:rPr>
        <w:rFonts w:cs="Cambria"/>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95">
    <w:name w:val="Table Subtle 1"/>
    <w:basedOn w:val="81"/>
    <w:unhideWhenUsed/>
    <w:qFormat/>
    <w:uiPriority w:val="99"/>
    <w:pPr>
      <w:spacing w:line="300" w:lineRule="auto"/>
    </w:pPr>
    <w:rPr>
      <w:rFonts w:ascii="Cambria" w:hAnsi="Cambria" w:eastAsia="黑体"/>
    </w:rPr>
    <w:tblPr>
      <w:tblStyleRowBandSize w:val="1"/>
    </w:tblPr>
    <w:tblStylePr w:type="firstRow">
      <w:rPr>
        <w:rFonts w:cs="Cambria"/>
      </w:rPr>
      <w:tblPr/>
      <w:tcPr>
        <w:tcBorders>
          <w:top w:val="single" w:color="000000" w:sz="6" w:space="0"/>
          <w:left w:val="single" w:color="000000" w:sz="12" w:space="0"/>
          <w:bottom w:val="nil"/>
          <w:right w:val="nil"/>
          <w:insideH w:val="nil"/>
          <w:insideV w:val="nil"/>
          <w:tl2br w:val="nil"/>
          <w:tr2bl w:val="nil"/>
        </w:tcBorders>
      </w:tcPr>
    </w:tblStylePr>
    <w:tblStylePr w:type="lastRow">
      <w:rPr>
        <w:rFonts w:cs="Cambria"/>
      </w:rPr>
      <w:tbl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Cambria"/>
      </w:rPr>
      <w:tblPr/>
      <w:tcPr>
        <w:tcBorders>
          <w:top w:val="nil"/>
          <w:left w:val="nil"/>
          <w:bottom w:val="nil"/>
          <w:right w:val="single" w:color="000000" w:sz="12" w:space="0"/>
          <w:insideH w:val="nil"/>
          <w:insideV w:val="nil"/>
          <w:tl2br w:val="nil"/>
          <w:tr2bl w:val="nil"/>
        </w:tcBorders>
      </w:tcPr>
    </w:tblStylePr>
    <w:tblStylePr w:type="lastCol">
      <w:rPr>
        <w:rFonts w:cs="Cambria"/>
      </w:rPr>
      <w:tblPr/>
      <w:tcPr>
        <w:tcBorders>
          <w:top w:val="nil"/>
          <w:left w:val="nil"/>
          <w:bottom w:val="single" w:color="000000" w:sz="12" w:space="0"/>
          <w:right w:val="nil"/>
          <w:insideH w:val="nil"/>
          <w:insideV w:val="nil"/>
          <w:tl2br w:val="nil"/>
          <w:tr2bl w:val="nil"/>
        </w:tcBorders>
      </w:tcPr>
    </w:tblStylePr>
    <w:tblStylePr w:type="band1Horz">
      <w:rPr>
        <w:rFonts w:cs="Cambria"/>
      </w:rPr>
      <w:tblPr/>
      <w:tcPr>
        <w:tcBorders>
          <w:top w:val="nil"/>
          <w:left w:val="single" w:color="000000" w:sz="6" w:space="0"/>
          <w:bottom w:val="nil"/>
          <w:right w:val="nil"/>
          <w:insideH w:val="nil"/>
          <w:insideV w:val="nil"/>
          <w:tl2br w:val="nil"/>
          <w:tr2bl w:val="nil"/>
        </w:tcBorders>
        <w:shd w:val="pct25" w:color="808000" w:fill="FFFFFF"/>
      </w:tcPr>
    </w:tblStylePr>
    <w:tblStylePr w:type="neCell">
      <w:rPr>
        <w:rFonts w:cs="Cambria"/>
        <w:b/>
        <w:bCs/>
      </w:rPr>
      <w:tblPr/>
      <w:tcPr>
        <w:tcBorders>
          <w:top w:val="nil"/>
          <w:left w:val="nil"/>
          <w:bottom w:val="nil"/>
          <w:right w:val="nil"/>
          <w:insideH w:val="nil"/>
          <w:insideV w:val="nil"/>
          <w:tl2br w:val="nil"/>
          <w:tr2bl w:val="nil"/>
        </w:tcBorders>
      </w:tcPr>
    </w:tblStylePr>
    <w:tblStylePr w:type="swCell">
      <w:rPr>
        <w:rFonts w:cs="Cambria"/>
        <w:b/>
        <w:bCs/>
      </w:rPr>
      <w:tblPr/>
      <w:tcPr>
        <w:tcBorders>
          <w:top w:val="nil"/>
          <w:left w:val="nil"/>
          <w:bottom w:val="nil"/>
          <w:right w:val="nil"/>
          <w:insideH w:val="nil"/>
          <w:insideV w:val="nil"/>
          <w:tl2br w:val="nil"/>
          <w:tr2bl w:val="nil"/>
        </w:tcBorders>
      </w:tcPr>
    </w:tblStylePr>
  </w:style>
  <w:style w:type="table" w:styleId="96">
    <w:name w:val="Table Subtle 2"/>
    <w:basedOn w:val="81"/>
    <w:unhideWhenUsed/>
    <w:qFormat/>
    <w:uiPriority w:val="99"/>
    <w:pPr>
      <w:spacing w:line="300" w:lineRule="auto"/>
    </w:pPr>
    <w:rPr>
      <w:rFonts w:ascii="Cambria" w:hAnsi="Cambria" w:eastAsia="黑体"/>
    </w:rPr>
    <w:tblPr>
      <w:tblBorders>
        <w:left w:val="single" w:color="000000" w:sz="6" w:space="0"/>
        <w:right w:val="single" w:color="000000" w:sz="6" w:space="0"/>
      </w:tblBorders>
    </w:tblPr>
    <w:tblStylePr w:type="firstRow">
      <w:rPr>
        <w:rFonts w:cs="Cambria"/>
      </w:rPr>
      <w:tblPr/>
      <w:tcPr>
        <w:tcBorders>
          <w:top w:val="nil"/>
          <w:left w:val="single" w:color="000000" w:sz="12" w:space="0"/>
          <w:bottom w:val="nil"/>
          <w:right w:val="nil"/>
          <w:insideH w:val="nil"/>
          <w:insideV w:val="nil"/>
          <w:tl2br w:val="nil"/>
          <w:tr2bl w:val="nil"/>
        </w:tcBorders>
      </w:tcPr>
    </w:tblStylePr>
    <w:tblStylePr w:type="lastRow">
      <w:rPr>
        <w:rFonts w:cs="Cambria"/>
      </w:rPr>
      <w:tblPr/>
      <w:tcPr>
        <w:tcBorders>
          <w:top w:val="single" w:color="000000" w:sz="12" w:space="0"/>
          <w:left w:val="nil"/>
          <w:bottom w:val="nil"/>
          <w:right w:val="nil"/>
          <w:insideH w:val="nil"/>
          <w:insideV w:val="nil"/>
          <w:tl2br w:val="nil"/>
          <w:tr2bl w:val="nil"/>
        </w:tcBorders>
      </w:tcPr>
    </w:tblStylePr>
    <w:tblStylePr w:type="firstCol">
      <w:rPr>
        <w:rFonts w:cs="Cambria"/>
      </w:rPr>
      <w:tblPr/>
      <w:tcPr>
        <w:tcBorders>
          <w:top w:val="nil"/>
          <w:left w:val="nil"/>
          <w:bottom w:val="nil"/>
          <w:right w:val="single" w:color="000000" w:sz="12" w:space="0"/>
          <w:insideH w:val="nil"/>
          <w:insideV w:val="nil"/>
          <w:tl2br w:val="nil"/>
          <w:tr2bl w:val="nil"/>
        </w:tcBorders>
        <w:shd w:val="pct25" w:color="008000" w:fill="FFFFFF"/>
      </w:tcPr>
    </w:tblStylePr>
    <w:tblStylePr w:type="lastCol">
      <w:rPr>
        <w:rFonts w:cs="Cambria"/>
      </w:rPr>
      <w:tblPr/>
      <w:tcPr>
        <w:tcBorders>
          <w:top w:val="nil"/>
          <w:left w:val="nil"/>
          <w:bottom w:val="single" w:color="000000" w:sz="12" w:space="0"/>
          <w:right w:val="nil"/>
          <w:insideH w:val="nil"/>
          <w:insideV w:val="nil"/>
          <w:tl2br w:val="nil"/>
          <w:tr2bl w:val="nil"/>
        </w:tcBorders>
        <w:shd w:val="pct25" w:color="808000" w:fill="FFFFFF"/>
      </w:tcPr>
    </w:tblStylePr>
    <w:tblStylePr w:type="neCell">
      <w:rPr>
        <w:rFonts w:cs="Cambria"/>
        <w:b/>
        <w:bCs/>
      </w:rPr>
      <w:tblPr/>
      <w:tcPr>
        <w:tcBorders>
          <w:top w:val="nil"/>
          <w:left w:val="nil"/>
          <w:bottom w:val="nil"/>
          <w:right w:val="nil"/>
          <w:insideH w:val="nil"/>
          <w:insideV w:val="nil"/>
          <w:tl2br w:val="nil"/>
          <w:tr2bl w:val="nil"/>
        </w:tcBorders>
      </w:tcPr>
    </w:tblStylePr>
    <w:tblStylePr w:type="swCell">
      <w:rPr>
        <w:rFonts w:cs="Cambria"/>
        <w:b/>
        <w:bCs/>
      </w:rPr>
      <w:tblPr/>
      <w:tcPr>
        <w:tcBorders>
          <w:top w:val="nil"/>
          <w:left w:val="nil"/>
          <w:bottom w:val="nil"/>
          <w:right w:val="nil"/>
          <w:insideH w:val="nil"/>
          <w:insideV w:val="nil"/>
          <w:tl2br w:val="nil"/>
          <w:tr2bl w:val="nil"/>
        </w:tcBorders>
      </w:tcPr>
    </w:tblStylePr>
  </w:style>
  <w:style w:type="table" w:styleId="97">
    <w:name w:val="Table List 1"/>
    <w:basedOn w:val="81"/>
    <w:unhideWhenUsed/>
    <w:qFormat/>
    <w:uiPriority w:val="99"/>
    <w:pPr>
      <w:spacing w:line="300" w:lineRule="auto"/>
    </w:pPr>
    <w:rPr>
      <w:rFonts w:ascii="Cambria" w:hAnsi="Cambria" w:eastAsia="黑体"/>
    </w:rPr>
    <w:tblPr>
      <w:tblBorders>
        <w:top w:val="single" w:color="008080" w:sz="12" w:space="0"/>
        <w:left w:val="single" w:color="008080" w:sz="6" w:space="0"/>
        <w:bottom w:val="single" w:color="008080" w:sz="12" w:space="0"/>
        <w:right w:val="single" w:color="008080" w:sz="6" w:space="0"/>
      </w:tblBorders>
    </w:tblPr>
    <w:tblStylePr w:type="firstRow">
      <w:rPr>
        <w:rFonts w:cs="Cambria"/>
        <w:b/>
        <w:bCs/>
        <w:i/>
        <w:iCs/>
        <w:color w:val="800000"/>
      </w:rPr>
      <w:tblPr/>
      <w:tcPr>
        <w:tcBorders>
          <w:top w:val="nil"/>
          <w:left w:val="single" w:color="000000" w:sz="6" w:space="0"/>
          <w:bottom w:val="nil"/>
          <w:right w:val="nil"/>
          <w:insideH w:val="nil"/>
          <w:insideV w:val="nil"/>
          <w:tl2br w:val="nil"/>
          <w:tr2bl w:val="nil"/>
        </w:tcBorders>
        <w:shd w:val="solid" w:color="C0C0C0" w:fill="FFFFFF"/>
      </w:tcPr>
    </w:tblStylePr>
    <w:tblStylePr w:type="lastRow">
      <w:rPr>
        <w:rFonts w:cs="Cambria"/>
      </w:rPr>
      <w:tblPr/>
      <w:tcPr>
        <w:tcBorders>
          <w:top w:val="single" w:color="000000" w:sz="6" w:space="0"/>
          <w:left w:val="nil"/>
          <w:bottom w:val="nil"/>
          <w:right w:val="nil"/>
          <w:insideH w:val="nil"/>
          <w:insideV w:val="nil"/>
          <w:tl2br w:val="nil"/>
          <w:tr2bl w:val="nil"/>
        </w:tcBorders>
      </w:tcPr>
    </w:tblStylePr>
    <w:tblStylePr w:type="band1Horz">
      <w:rPr>
        <w:rFonts w:cs="Cambria"/>
        <w:color w:val="auto"/>
      </w:rPr>
      <w:tblPr/>
      <w:tcPr>
        <w:tcBorders>
          <w:top w:val="nil"/>
          <w:left w:val="nil"/>
          <w:bottom w:val="nil"/>
          <w:right w:val="nil"/>
          <w:insideH w:val="nil"/>
          <w:insideV w:val="nil"/>
          <w:tl2br w:val="nil"/>
          <w:tr2bl w:val="nil"/>
        </w:tcBorders>
        <w:shd w:val="solid" w:color="C0C0C0" w:fill="FFFFFF"/>
      </w:tcPr>
    </w:tblStylePr>
    <w:tblStylePr w:type="band2Horz">
      <w:rPr>
        <w:rFonts w:cs="Cambria"/>
        <w:color w:val="auto"/>
      </w:rPr>
      <w:tblPr/>
      <w:tcPr>
        <w:tcBorders>
          <w:top w:val="nil"/>
          <w:left w:val="nil"/>
          <w:bottom w:val="nil"/>
          <w:right w:val="nil"/>
          <w:insideH w:val="nil"/>
          <w:insideV w:val="nil"/>
          <w:tl2br w:val="nil"/>
          <w:tr2bl w:val="nil"/>
        </w:tcBorders>
      </w:tcPr>
    </w:tblStylePr>
    <w:tblStylePr w:type="swCell">
      <w:rPr>
        <w:rFonts w:cs="Cambria"/>
        <w:b/>
        <w:bCs/>
      </w:rPr>
      <w:tblPr/>
      <w:tcPr>
        <w:tcBorders>
          <w:top w:val="nil"/>
          <w:left w:val="nil"/>
          <w:bottom w:val="nil"/>
          <w:right w:val="nil"/>
          <w:insideH w:val="nil"/>
          <w:insideV w:val="nil"/>
          <w:tl2br w:val="nil"/>
          <w:tr2bl w:val="nil"/>
        </w:tcBorders>
      </w:tcPr>
    </w:tblStylePr>
  </w:style>
  <w:style w:type="table" w:styleId="98">
    <w:name w:val="Table List 2"/>
    <w:basedOn w:val="81"/>
    <w:unhideWhenUsed/>
    <w:qFormat/>
    <w:uiPriority w:val="99"/>
    <w:pPr>
      <w:spacing w:line="300" w:lineRule="auto"/>
    </w:pPr>
    <w:rPr>
      <w:rFonts w:ascii="Cambria" w:hAnsi="Cambria" w:eastAsia="黑体"/>
    </w:rPr>
    <w:tblPr>
      <w:tblBorders>
        <w:bottom w:val="single" w:color="808080" w:sz="12" w:space="0"/>
      </w:tblBorders>
    </w:tblPr>
    <w:tblStylePr w:type="firstRow">
      <w:rPr>
        <w:rFonts w:cs="Cambria"/>
        <w:b/>
        <w:bCs/>
        <w:color w:val="FFFFFF"/>
      </w:rPr>
      <w:tblPr/>
      <w:tcPr>
        <w:tcBorders>
          <w:top w:val="nil"/>
          <w:left w:val="single" w:color="000000" w:sz="6" w:space="0"/>
          <w:bottom w:val="nil"/>
          <w:right w:val="nil"/>
          <w:insideH w:val="nil"/>
          <w:insideV w:val="nil"/>
          <w:tl2br w:val="nil"/>
          <w:tr2bl w:val="nil"/>
        </w:tcBorders>
        <w:shd w:val="pct75" w:color="008080" w:fill="008000"/>
      </w:tcPr>
    </w:tblStylePr>
    <w:tblStylePr w:type="lastRow">
      <w:rPr>
        <w:rFonts w:cs="Cambria"/>
      </w:rPr>
      <w:tblPr/>
      <w:tcPr>
        <w:tcBorders>
          <w:top w:val="single" w:color="000000" w:sz="6" w:space="0"/>
          <w:left w:val="nil"/>
          <w:bottom w:val="nil"/>
          <w:right w:val="nil"/>
          <w:insideH w:val="nil"/>
          <w:insideV w:val="nil"/>
          <w:tl2br w:val="nil"/>
          <w:tr2bl w:val="nil"/>
        </w:tcBorders>
      </w:tcPr>
    </w:tblStylePr>
    <w:tblStylePr w:type="band1Horz">
      <w:rPr>
        <w:rFonts w:cs="Cambria"/>
        <w:color w:val="auto"/>
      </w:rPr>
      <w:tblPr/>
      <w:tcPr>
        <w:tcBorders>
          <w:top w:val="nil"/>
          <w:left w:val="nil"/>
          <w:bottom w:val="nil"/>
          <w:right w:val="nil"/>
          <w:insideH w:val="nil"/>
          <w:insideV w:val="nil"/>
          <w:tl2br w:val="nil"/>
          <w:tr2bl w:val="nil"/>
        </w:tcBorders>
        <w:shd w:val="pct20" w:color="00FF00" w:fill="FFFFFF"/>
      </w:tcPr>
    </w:tblStylePr>
    <w:tblStylePr w:type="band2Horz">
      <w:rPr>
        <w:rFonts w:cs="Cambria"/>
        <w:color w:val="auto"/>
      </w:rPr>
      <w:tblPr/>
      <w:tcPr>
        <w:tcBorders>
          <w:top w:val="nil"/>
          <w:left w:val="nil"/>
          <w:bottom w:val="nil"/>
          <w:right w:val="nil"/>
          <w:insideH w:val="nil"/>
          <w:insideV w:val="nil"/>
          <w:tl2br w:val="nil"/>
          <w:tr2bl w:val="nil"/>
        </w:tcBorders>
      </w:tcPr>
    </w:tblStylePr>
    <w:tblStylePr w:type="swCell">
      <w:rPr>
        <w:rFonts w:cs="Cambria"/>
        <w:b/>
        <w:bCs/>
      </w:rPr>
      <w:tblPr/>
      <w:tcPr>
        <w:tcBorders>
          <w:top w:val="nil"/>
          <w:left w:val="nil"/>
          <w:bottom w:val="nil"/>
          <w:right w:val="nil"/>
          <w:insideH w:val="nil"/>
          <w:insideV w:val="nil"/>
          <w:tl2br w:val="nil"/>
          <w:tr2bl w:val="nil"/>
        </w:tcBorders>
      </w:tcPr>
    </w:tblStylePr>
  </w:style>
  <w:style w:type="table" w:styleId="99">
    <w:name w:val="Table List 3"/>
    <w:basedOn w:val="81"/>
    <w:unhideWhenUsed/>
    <w:qFormat/>
    <w:uiPriority w:val="99"/>
    <w:pPr>
      <w:spacing w:line="300" w:lineRule="auto"/>
    </w:pPr>
    <w:rPr>
      <w:rFonts w:ascii="Cambria" w:hAnsi="Cambria" w:eastAsia="黑体"/>
    </w:rPr>
    <w:tblPr>
      <w:tblBorders>
        <w:top w:val="single" w:color="000000" w:sz="12" w:space="0"/>
        <w:bottom w:val="single" w:color="000000" w:sz="12" w:space="0"/>
        <w:insideH w:val="single" w:color="000000" w:sz="6" w:space="0"/>
      </w:tblBorders>
    </w:tblPr>
    <w:tblStylePr w:type="firstRow">
      <w:rPr>
        <w:rFonts w:cs="Cambria"/>
        <w:b/>
        <w:bCs/>
        <w:color w:val="000080"/>
      </w:rPr>
      <w:tblPr/>
      <w:tcPr>
        <w:tcBorders>
          <w:top w:val="nil"/>
          <w:left w:val="single" w:color="000000" w:sz="12" w:space="0"/>
          <w:bottom w:val="nil"/>
          <w:right w:val="nil"/>
          <w:insideH w:val="nil"/>
          <w:insideV w:val="nil"/>
          <w:tl2br w:val="nil"/>
          <w:tr2bl w:val="nil"/>
        </w:tcBorders>
      </w:tcPr>
    </w:tblStylePr>
    <w:tblStylePr w:type="lastRow">
      <w:rPr>
        <w:rFonts w:cs="Cambria"/>
      </w:rPr>
      <w:tblPr/>
      <w:tcPr>
        <w:tcBorders>
          <w:top w:val="single" w:color="000000" w:sz="12" w:space="0"/>
          <w:left w:val="nil"/>
          <w:bottom w:val="nil"/>
          <w:right w:val="nil"/>
          <w:insideH w:val="nil"/>
          <w:insideV w:val="nil"/>
          <w:tl2br w:val="nil"/>
          <w:tr2bl w:val="nil"/>
        </w:tcBorders>
      </w:tcPr>
    </w:tblStylePr>
    <w:tblStylePr w:type="swCell">
      <w:rPr>
        <w:rFonts w:cs="Cambria"/>
        <w:i/>
        <w:iCs/>
        <w:color w:val="000080"/>
      </w:rPr>
      <w:tblPr/>
      <w:tcPr>
        <w:tcBorders>
          <w:top w:val="nil"/>
          <w:left w:val="nil"/>
          <w:bottom w:val="nil"/>
          <w:right w:val="nil"/>
          <w:insideH w:val="nil"/>
          <w:insideV w:val="nil"/>
          <w:tl2br w:val="nil"/>
          <w:tr2bl w:val="nil"/>
        </w:tcBorders>
      </w:tcPr>
    </w:tblStylePr>
  </w:style>
  <w:style w:type="table" w:styleId="100">
    <w:name w:val="Table List 4"/>
    <w:basedOn w:val="81"/>
    <w:unhideWhenUsed/>
    <w:qFormat/>
    <w:uiPriority w:val="99"/>
    <w:pPr>
      <w:spacing w:line="300" w:lineRule="auto"/>
    </w:pPr>
    <w:rPr>
      <w:rFonts w:ascii="Cambria" w:hAnsi="Cambria" w:eastAsia="黑体"/>
    </w:rPr>
    <w:tblPr>
      <w:tblBorders>
        <w:top w:val="single" w:color="000000" w:sz="12" w:space="0"/>
        <w:left w:val="single" w:color="000000" w:sz="12" w:space="0"/>
        <w:bottom w:val="single" w:color="000000" w:sz="12" w:space="0"/>
        <w:right w:val="single" w:color="000000" w:sz="12" w:space="0"/>
        <w:insideH w:val="single" w:color="000000" w:sz="6" w:space="0"/>
      </w:tblBorders>
    </w:tblPr>
    <w:tblStylePr w:type="firstRow">
      <w:rPr>
        <w:rFonts w:cs="Cambria"/>
        <w:b/>
        <w:bCs/>
        <w:color w:val="FFFFFF"/>
      </w:rPr>
      <w:tblPr/>
      <w:tcPr>
        <w:tcBorders>
          <w:top w:val="nil"/>
          <w:left w:val="single" w:color="000000" w:sz="12" w:space="0"/>
          <w:bottom w:val="nil"/>
          <w:right w:val="nil"/>
          <w:insideH w:val="nil"/>
          <w:insideV w:val="nil"/>
          <w:tl2br w:val="nil"/>
          <w:tr2bl w:val="nil"/>
        </w:tcBorders>
        <w:shd w:val="solid" w:color="808080" w:fill="FFFFFF"/>
      </w:tcPr>
    </w:tblStylePr>
  </w:style>
  <w:style w:type="table" w:styleId="101">
    <w:name w:val="Table List 5"/>
    <w:basedOn w:val="81"/>
    <w:unhideWhenUsed/>
    <w:qFormat/>
    <w:uiPriority w:val="99"/>
    <w:pPr>
      <w:spacing w:line="300" w:lineRule="auto"/>
    </w:pPr>
    <w:rPr>
      <w:rFonts w:ascii="Cambria" w:hAnsi="Cambria" w:eastAsia="黑体"/>
    </w:rPr>
    <w:tblPr>
      <w:tblBorders>
        <w:top w:val="single" w:color="000000" w:sz="6" w:space="0"/>
        <w:left w:val="single" w:color="000000" w:sz="6" w:space="0"/>
        <w:bottom w:val="single" w:color="000000" w:sz="6" w:space="0"/>
        <w:right w:val="single" w:color="000000" w:sz="6" w:space="0"/>
        <w:insideH w:val="single" w:color="000000" w:sz="6" w:space="0"/>
      </w:tblBorders>
    </w:tblPr>
    <w:tblStylePr w:type="firstRow">
      <w:rPr>
        <w:rFonts w:cs="Cambria"/>
        <w:b/>
        <w:bCs/>
      </w:rPr>
      <w:tblPr/>
      <w:tcPr>
        <w:tcBorders>
          <w:top w:val="nil"/>
          <w:left w:val="single" w:color="000000" w:sz="12" w:space="0"/>
          <w:bottom w:val="nil"/>
          <w:right w:val="nil"/>
          <w:insideH w:val="nil"/>
          <w:insideV w:val="nil"/>
          <w:tl2br w:val="nil"/>
          <w:tr2bl w:val="nil"/>
        </w:tcBorders>
      </w:tcPr>
    </w:tblStylePr>
    <w:tblStylePr w:type="firstCol">
      <w:rPr>
        <w:rFonts w:cs="Cambria"/>
        <w:b/>
        <w:bCs/>
      </w:rPr>
      <w:tblPr/>
      <w:tcPr>
        <w:tcBorders>
          <w:top w:val="nil"/>
          <w:left w:val="nil"/>
          <w:bottom w:val="nil"/>
          <w:right w:val="nil"/>
          <w:insideH w:val="nil"/>
          <w:insideV w:val="nil"/>
          <w:tl2br w:val="nil"/>
          <w:tr2bl w:val="nil"/>
        </w:tcBorders>
      </w:tcPr>
    </w:tblStylePr>
  </w:style>
  <w:style w:type="table" w:styleId="102">
    <w:name w:val="Table List 6"/>
    <w:basedOn w:val="81"/>
    <w:unhideWhenUsed/>
    <w:qFormat/>
    <w:uiPriority w:val="99"/>
    <w:pPr>
      <w:spacing w:line="300" w:lineRule="auto"/>
    </w:pPr>
    <w:rPr>
      <w:rFonts w:ascii="Cambria" w:hAnsi="Cambria" w:eastAsia="黑体"/>
    </w:r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rFonts w:cs="Cambria"/>
        <w:b/>
        <w:bCs/>
      </w:rPr>
      <w:tblPr/>
      <w:tcPr>
        <w:tcBorders>
          <w:top w:val="nil"/>
          <w:left w:val="single" w:color="000000" w:sz="12" w:space="0"/>
          <w:bottom w:val="nil"/>
          <w:right w:val="nil"/>
          <w:insideH w:val="nil"/>
          <w:insideV w:val="nil"/>
          <w:tl2br w:val="nil"/>
          <w:tr2bl w:val="nil"/>
        </w:tcBorders>
      </w:tcPr>
    </w:tblStylePr>
    <w:tblStylePr w:type="firstCol">
      <w:rPr>
        <w:rFonts w:cs="Cambria"/>
        <w:b/>
        <w:bCs/>
      </w:rPr>
      <w:tblPr/>
      <w:tcPr>
        <w:tcBorders>
          <w:top w:val="nil"/>
          <w:left w:val="nil"/>
          <w:bottom w:val="nil"/>
          <w:right w:val="single" w:color="000000" w:sz="12" w:space="0"/>
          <w:insideH w:val="nil"/>
          <w:insideV w:val="nil"/>
          <w:tl2br w:val="nil"/>
          <w:tr2bl w:val="nil"/>
        </w:tcBorders>
      </w:tcPr>
    </w:tblStylePr>
    <w:tblStylePr w:type="band1Horz">
      <w:rPr>
        <w:rFonts w:cs="Cambria"/>
      </w:rPr>
      <w:tblPr/>
      <w:tcPr>
        <w:tcBorders>
          <w:top w:val="nil"/>
          <w:left w:val="nil"/>
          <w:bottom w:val="nil"/>
          <w:right w:val="nil"/>
          <w:insideH w:val="nil"/>
          <w:insideV w:val="nil"/>
          <w:tl2br w:val="nil"/>
          <w:tr2bl w:val="nil"/>
        </w:tcBorders>
        <w:shd w:val="pct25" w:color="000000" w:fill="FFFFFF"/>
      </w:tcPr>
    </w:tblStylePr>
    <w:tblStylePr w:type="nwCell">
      <w:rPr>
        <w:rFonts w:cs="Cambria"/>
      </w:rPr>
      <w:tblPr/>
      <w:tcPr>
        <w:tcBorders>
          <w:top w:val="nil"/>
          <w:left w:val="nil"/>
          <w:bottom w:val="nil"/>
          <w:right w:val="nil"/>
          <w:insideH w:val="nil"/>
          <w:insideV w:val="nil"/>
          <w:tl2br w:val="single" w:color="000000" w:sz="6" w:space="0"/>
          <w:tr2bl w:val="nil"/>
        </w:tcBorders>
      </w:tcPr>
    </w:tblStylePr>
  </w:style>
  <w:style w:type="table" w:styleId="103">
    <w:name w:val="Table List 7"/>
    <w:basedOn w:val="81"/>
    <w:unhideWhenUsed/>
    <w:qFormat/>
    <w:uiPriority w:val="99"/>
    <w:pPr>
      <w:spacing w:line="300" w:lineRule="auto"/>
    </w:pPr>
    <w:rPr>
      <w:rFonts w:ascii="Cambria" w:hAnsi="Cambria" w:eastAsia="黑体"/>
    </w:r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rFonts w:cs="Cambria"/>
        <w:b/>
        <w:bCs/>
      </w:rPr>
      <w:tblPr/>
      <w:tcPr>
        <w:tcBorders>
          <w:top w:val="nil"/>
          <w:left w:val="single" w:color="008000" w:sz="12" w:space="0"/>
          <w:bottom w:val="nil"/>
          <w:right w:val="nil"/>
          <w:insideH w:val="nil"/>
          <w:insideV w:val="nil"/>
          <w:tl2br w:val="nil"/>
          <w:tr2bl w:val="nil"/>
        </w:tcBorders>
        <w:shd w:val="solid" w:color="C0C0C0" w:fill="FFFFFF"/>
      </w:tcPr>
    </w:tblStylePr>
    <w:tblStylePr w:type="lastRow">
      <w:rPr>
        <w:rFonts w:cs="Cambria"/>
        <w:b/>
        <w:bCs/>
      </w:rPr>
      <w:tblPr/>
      <w:tcPr>
        <w:tcBorders>
          <w:top w:val="single" w:color="008000" w:sz="12" w:space="0"/>
          <w:left w:val="nil"/>
          <w:bottom w:val="nil"/>
          <w:right w:val="nil"/>
          <w:insideH w:val="nil"/>
          <w:insideV w:val="nil"/>
          <w:tl2br w:val="nil"/>
          <w:tr2bl w:val="nil"/>
        </w:tcBorders>
      </w:tcPr>
    </w:tblStylePr>
    <w:tblStylePr w:type="firstCol">
      <w:rPr>
        <w:rFonts w:cs="Cambria"/>
        <w:b/>
        <w:bCs/>
      </w:rPr>
      <w:tblPr/>
      <w:tcPr>
        <w:tcBorders>
          <w:top w:val="nil"/>
          <w:left w:val="nil"/>
          <w:bottom w:val="nil"/>
          <w:right w:val="nil"/>
          <w:insideH w:val="nil"/>
          <w:insideV w:val="nil"/>
          <w:tl2br w:val="nil"/>
          <w:tr2bl w:val="nil"/>
        </w:tcBorders>
      </w:tcPr>
    </w:tblStylePr>
    <w:tblStylePr w:type="lastCol">
      <w:rPr>
        <w:rFonts w:cs="Cambria"/>
        <w:b/>
        <w:bCs/>
      </w:rPr>
      <w:tblPr/>
      <w:tcPr>
        <w:tcBorders>
          <w:top w:val="nil"/>
          <w:left w:val="nil"/>
          <w:bottom w:val="nil"/>
          <w:right w:val="nil"/>
          <w:insideH w:val="nil"/>
          <w:insideV w:val="nil"/>
          <w:tl2br w:val="nil"/>
          <w:tr2bl w:val="nil"/>
        </w:tcBorders>
      </w:tcPr>
    </w:tblStylePr>
    <w:tblStylePr w:type="band1Horz">
      <w:rPr>
        <w:rFonts w:cs="Cambria"/>
        <w:color w:val="auto"/>
      </w:rPr>
      <w:tblPr/>
      <w:tcPr>
        <w:tcBorders>
          <w:top w:val="nil"/>
          <w:left w:val="nil"/>
          <w:bottom w:val="nil"/>
          <w:right w:val="nil"/>
          <w:insideH w:val="nil"/>
          <w:insideV w:val="nil"/>
          <w:tl2br w:val="nil"/>
          <w:tr2bl w:val="nil"/>
        </w:tcBorders>
        <w:shd w:val="pct20" w:color="000000" w:fill="FFFFFF"/>
      </w:tcPr>
    </w:tblStylePr>
    <w:tblStylePr w:type="band2Horz">
      <w:rPr>
        <w:rFonts w:cs="Cambria"/>
      </w:rPr>
      <w:tblPr/>
      <w:tcPr>
        <w:tcBorders>
          <w:top w:val="nil"/>
          <w:left w:val="nil"/>
          <w:bottom w:val="nil"/>
          <w:right w:val="nil"/>
          <w:insideH w:val="nil"/>
          <w:insideV w:val="nil"/>
          <w:tl2br w:val="nil"/>
          <w:tr2bl w:val="nil"/>
        </w:tcBorders>
        <w:shd w:val="pct25" w:color="FFFF00" w:fill="FFFFFF"/>
      </w:tcPr>
    </w:tblStylePr>
  </w:style>
  <w:style w:type="table" w:styleId="104">
    <w:name w:val="Table List 8"/>
    <w:basedOn w:val="81"/>
    <w:unhideWhenUsed/>
    <w:qFormat/>
    <w:uiPriority w:val="99"/>
    <w:pPr>
      <w:spacing w:line="300" w:lineRule="auto"/>
    </w:pPr>
    <w:rPr>
      <w:rFonts w:ascii="Cambria" w:hAnsi="Cambria" w:eastAsia="黑体"/>
    </w:r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rFonts w:cs="Cambria"/>
        <w:b/>
        <w:bCs/>
        <w:i/>
        <w:iCs/>
      </w:rPr>
      <w:tblPr/>
      <w:tcPr>
        <w:tcBorders>
          <w:top w:val="nil"/>
          <w:left w:val="single" w:color="000000" w:sz="6" w:space="0"/>
          <w:bottom w:val="nil"/>
          <w:right w:val="nil"/>
          <w:insideH w:val="nil"/>
          <w:insideV w:val="nil"/>
          <w:tl2br w:val="nil"/>
          <w:tr2bl w:val="nil"/>
        </w:tcBorders>
        <w:shd w:val="solid" w:color="FFFF00" w:fill="FFFFFF"/>
      </w:tcPr>
    </w:tblStylePr>
    <w:tblStylePr w:type="lastRow">
      <w:rPr>
        <w:rFonts w:cs="Cambria"/>
        <w:b/>
        <w:bCs/>
      </w:rPr>
      <w:tblPr/>
      <w:tcPr>
        <w:tcBorders>
          <w:top w:val="single" w:color="000000" w:sz="6" w:space="0"/>
          <w:left w:val="nil"/>
          <w:bottom w:val="nil"/>
          <w:right w:val="nil"/>
          <w:insideH w:val="nil"/>
          <w:insideV w:val="nil"/>
          <w:tl2br w:val="nil"/>
          <w:tr2bl w:val="nil"/>
        </w:tcBorders>
      </w:tcPr>
    </w:tblStylePr>
    <w:tblStylePr w:type="firstCol">
      <w:rPr>
        <w:rFonts w:cs="Cambria"/>
        <w:b/>
        <w:bCs/>
      </w:rPr>
      <w:tblPr/>
      <w:tcPr>
        <w:tcBorders>
          <w:top w:val="nil"/>
          <w:left w:val="nil"/>
          <w:bottom w:val="nil"/>
          <w:right w:val="nil"/>
          <w:insideH w:val="nil"/>
          <w:insideV w:val="nil"/>
          <w:tl2br w:val="nil"/>
          <w:tr2bl w:val="nil"/>
        </w:tcBorders>
      </w:tcPr>
    </w:tblStylePr>
    <w:tblStylePr w:type="lastCol">
      <w:rPr>
        <w:rFonts w:cs="Cambria"/>
        <w:b/>
        <w:bCs/>
      </w:rPr>
      <w:tblPr/>
      <w:tcPr>
        <w:tcBorders>
          <w:top w:val="nil"/>
          <w:left w:val="nil"/>
          <w:bottom w:val="nil"/>
          <w:right w:val="nil"/>
          <w:insideH w:val="nil"/>
          <w:insideV w:val="nil"/>
          <w:tl2br w:val="nil"/>
          <w:tr2bl w:val="nil"/>
        </w:tcBorders>
      </w:tcPr>
    </w:tblStylePr>
    <w:tblStylePr w:type="band1Horz">
      <w:rPr>
        <w:rFonts w:cs="Cambria"/>
        <w:color w:val="auto"/>
      </w:rPr>
      <w:tblPr/>
      <w:tcPr>
        <w:tcBorders>
          <w:top w:val="nil"/>
          <w:left w:val="nil"/>
          <w:bottom w:val="nil"/>
          <w:right w:val="nil"/>
          <w:insideH w:val="nil"/>
          <w:insideV w:val="nil"/>
          <w:tl2br w:val="nil"/>
          <w:tr2bl w:val="nil"/>
        </w:tcBorders>
        <w:shd w:val="pct25" w:color="FFFF00" w:fill="FFFFFF"/>
      </w:tcPr>
    </w:tblStylePr>
    <w:tblStylePr w:type="band2Horz">
      <w:rPr>
        <w:rFonts w:cs="Cambria"/>
      </w:rPr>
      <w:tblPr/>
      <w:tcPr>
        <w:tcBorders>
          <w:top w:val="nil"/>
          <w:left w:val="nil"/>
          <w:bottom w:val="nil"/>
          <w:right w:val="nil"/>
          <w:insideH w:val="nil"/>
          <w:insideV w:val="nil"/>
          <w:tl2br w:val="nil"/>
          <w:tr2bl w:val="nil"/>
        </w:tcBorders>
        <w:shd w:val="pct50" w:color="FF0000" w:fill="FFFFFF"/>
      </w:tcPr>
    </w:tblStylePr>
    <w:tblStylePr w:type="nwCell">
      <w:rPr>
        <w:rFonts w:cs="Cambria"/>
      </w:rPr>
      <w:tblPr/>
      <w:tcPr>
        <w:tcBorders>
          <w:top w:val="nil"/>
          <w:left w:val="nil"/>
          <w:bottom w:val="nil"/>
          <w:right w:val="nil"/>
          <w:insideH w:val="nil"/>
          <w:insideV w:val="nil"/>
          <w:tl2br w:val="single" w:color="auto" w:sz="6" w:space="0"/>
          <w:tr2bl w:val="nil"/>
        </w:tcBorders>
      </w:tcPr>
    </w:tblStylePr>
  </w:style>
  <w:style w:type="table" w:styleId="105">
    <w:name w:val="Table Contemporary"/>
    <w:basedOn w:val="81"/>
    <w:unhideWhenUsed/>
    <w:qFormat/>
    <w:uiPriority w:val="99"/>
    <w:pPr>
      <w:spacing w:line="300" w:lineRule="auto"/>
    </w:pPr>
    <w:rPr>
      <w:rFonts w:ascii="Cambria" w:hAnsi="Cambria" w:eastAsia="黑体"/>
    </w:rPr>
    <w:tblPr>
      <w:tblBorders>
        <w:insideH w:val="single" w:color="FFFFFF" w:sz="18" w:space="0"/>
        <w:insideV w:val="single" w:color="FFFFFF" w:sz="18" w:space="0"/>
      </w:tblBorders>
    </w:tblPr>
    <w:tblStylePr w:type="firstRow">
      <w:rPr>
        <w:rFonts w:cs="Cambria"/>
        <w:b/>
        <w:bCs/>
        <w:color w:val="auto"/>
      </w:rPr>
      <w:tblPr/>
      <w:tcPr>
        <w:tcBorders>
          <w:top w:val="nil"/>
          <w:left w:val="nil"/>
          <w:bottom w:val="nil"/>
          <w:right w:val="nil"/>
          <w:insideH w:val="nil"/>
          <w:insideV w:val="nil"/>
          <w:tl2br w:val="nil"/>
          <w:tr2bl w:val="nil"/>
        </w:tcBorders>
        <w:shd w:val="pct20" w:color="000000" w:fill="FFFFFF"/>
      </w:tcPr>
    </w:tblStylePr>
    <w:tblStylePr w:type="band1Horz">
      <w:rPr>
        <w:rFonts w:cs="Cambria"/>
        <w:color w:val="auto"/>
      </w:rPr>
      <w:tblPr/>
      <w:tcPr>
        <w:tcBorders>
          <w:top w:val="nil"/>
          <w:left w:val="nil"/>
          <w:bottom w:val="nil"/>
          <w:right w:val="nil"/>
          <w:insideH w:val="nil"/>
          <w:insideV w:val="nil"/>
          <w:tl2br w:val="nil"/>
          <w:tr2bl w:val="nil"/>
        </w:tcBorders>
        <w:shd w:val="pct5" w:color="000000" w:fill="FFFFFF"/>
      </w:tcPr>
    </w:tblStylePr>
    <w:tblStylePr w:type="band2Horz">
      <w:rPr>
        <w:rFonts w:cs="Cambria"/>
        <w:color w:val="auto"/>
      </w:rPr>
      <w:tblPr/>
      <w:tcPr>
        <w:tcBorders>
          <w:top w:val="nil"/>
          <w:left w:val="nil"/>
          <w:bottom w:val="nil"/>
          <w:right w:val="nil"/>
          <w:insideH w:val="nil"/>
          <w:insideV w:val="nil"/>
          <w:tl2br w:val="nil"/>
          <w:tr2bl w:val="nil"/>
        </w:tcBorders>
        <w:shd w:val="pct20" w:color="000000" w:fill="FFFFFF"/>
      </w:tcPr>
    </w:tblStylePr>
  </w:style>
  <w:style w:type="table" w:styleId="106">
    <w:name w:val="Table Grid 1"/>
    <w:basedOn w:val="81"/>
    <w:unhideWhenUsed/>
    <w:qFormat/>
    <w:uiPriority w:val="99"/>
    <w:pPr>
      <w:spacing w:line="300" w:lineRule="auto"/>
    </w:pPr>
    <w:rPr>
      <w:rFonts w:ascii="Cambria" w:hAnsi="Cambria" w:eastAsia="黑体"/>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StylePr w:type="lastRow">
      <w:rPr>
        <w:rFonts w:cs="Cambria"/>
        <w:i/>
        <w:iCs/>
      </w:rPr>
      <w:tblPr/>
      <w:tcPr>
        <w:tcBorders>
          <w:top w:val="nil"/>
          <w:left w:val="nil"/>
          <w:bottom w:val="nil"/>
          <w:right w:val="nil"/>
          <w:insideH w:val="nil"/>
          <w:insideV w:val="nil"/>
          <w:tl2br w:val="nil"/>
          <w:tr2bl w:val="nil"/>
        </w:tcBorders>
      </w:tcPr>
    </w:tblStylePr>
    <w:tblStylePr w:type="lastCol">
      <w:rPr>
        <w:rFonts w:cs="Cambria"/>
        <w:i/>
        <w:iCs/>
      </w:rPr>
      <w:tblPr/>
      <w:tcPr>
        <w:tcBorders>
          <w:top w:val="nil"/>
          <w:left w:val="nil"/>
          <w:bottom w:val="nil"/>
          <w:right w:val="nil"/>
          <w:insideH w:val="nil"/>
          <w:insideV w:val="nil"/>
          <w:tl2br w:val="nil"/>
          <w:tr2bl w:val="nil"/>
        </w:tcBorders>
      </w:tcPr>
    </w:tblStylePr>
    <w:tblStylePr w:type="nwCell">
      <w:rPr>
        <w:rFonts w:cs="Cambria"/>
      </w:rPr>
      <w:tblPr/>
      <w:tcPr>
        <w:tcBorders>
          <w:top w:val="nil"/>
          <w:left w:val="nil"/>
          <w:bottom w:val="nil"/>
          <w:right w:val="nil"/>
          <w:insideH w:val="nil"/>
          <w:insideV w:val="nil"/>
          <w:tl2br w:val="single" w:color="000000" w:sz="6" w:space="0"/>
          <w:tr2bl w:val="nil"/>
        </w:tcBorders>
      </w:tcPr>
    </w:tblStylePr>
  </w:style>
  <w:style w:type="table" w:styleId="107">
    <w:name w:val="Table Grid 2"/>
    <w:basedOn w:val="81"/>
    <w:unhideWhenUsed/>
    <w:qFormat/>
    <w:uiPriority w:val="99"/>
    <w:pPr>
      <w:spacing w:line="300" w:lineRule="auto"/>
    </w:pPr>
    <w:rPr>
      <w:rFonts w:ascii="Cambria" w:hAnsi="Cambria" w:eastAsia="黑体"/>
    </w:rPr>
    <w:tblPr>
      <w:tblBorders>
        <w:insideH w:val="single" w:color="000000" w:sz="6" w:space="0"/>
        <w:insideV w:val="single" w:color="000000" w:sz="6" w:space="0"/>
      </w:tblBorders>
    </w:tblPr>
    <w:tblStylePr w:type="firstRow">
      <w:rPr>
        <w:rFonts w:cs="Cambria"/>
        <w:b/>
        <w:bCs/>
      </w:rPr>
      <w:tblPr/>
      <w:tcPr>
        <w:tcBorders>
          <w:top w:val="nil"/>
          <w:left w:val="nil"/>
          <w:bottom w:val="nil"/>
          <w:right w:val="nil"/>
          <w:insideH w:val="nil"/>
          <w:insideV w:val="nil"/>
          <w:tl2br w:val="nil"/>
          <w:tr2bl w:val="nil"/>
        </w:tcBorders>
      </w:tcPr>
    </w:tblStylePr>
    <w:tblStylePr w:type="lastRow">
      <w:rPr>
        <w:rFonts w:cs="Cambria"/>
        <w:b/>
        <w:bCs/>
      </w:rPr>
      <w:tblPr/>
      <w:tcPr>
        <w:tcBorders>
          <w:top w:val="single" w:color="000000" w:sz="6" w:space="0"/>
          <w:left w:val="nil"/>
          <w:bottom w:val="nil"/>
          <w:right w:val="nil"/>
          <w:insideH w:val="nil"/>
          <w:insideV w:val="nil"/>
          <w:tl2br w:val="nil"/>
          <w:tr2bl w:val="nil"/>
        </w:tcBorders>
      </w:tcPr>
    </w:tblStylePr>
    <w:tblStylePr w:type="firstCol">
      <w:rPr>
        <w:rFonts w:cs="Cambria"/>
        <w:b/>
        <w:bCs/>
      </w:rPr>
      <w:tblPr/>
      <w:tcPr>
        <w:tcBorders>
          <w:top w:val="nil"/>
          <w:left w:val="nil"/>
          <w:bottom w:val="nil"/>
          <w:right w:val="nil"/>
          <w:insideH w:val="nil"/>
          <w:insideV w:val="nil"/>
          <w:tl2br w:val="nil"/>
          <w:tr2bl w:val="nil"/>
        </w:tcBorders>
      </w:tcPr>
    </w:tblStylePr>
    <w:tblStylePr w:type="lastCol">
      <w:rPr>
        <w:rFonts w:cs="Cambria"/>
        <w:b/>
        <w:bCs/>
      </w:rPr>
      <w:tblPr/>
      <w:tcPr>
        <w:tcBorders>
          <w:top w:val="nil"/>
          <w:left w:val="nil"/>
          <w:bottom w:val="nil"/>
          <w:right w:val="nil"/>
          <w:insideH w:val="nil"/>
          <w:insideV w:val="nil"/>
          <w:tl2br w:val="nil"/>
          <w:tr2bl w:val="nil"/>
        </w:tcBorders>
      </w:tcPr>
    </w:tblStylePr>
  </w:style>
  <w:style w:type="table" w:styleId="108">
    <w:name w:val="Table Grid 3"/>
    <w:basedOn w:val="81"/>
    <w:unhideWhenUsed/>
    <w:qFormat/>
    <w:uiPriority w:val="99"/>
    <w:pPr>
      <w:spacing w:line="300" w:lineRule="auto"/>
    </w:pPr>
    <w:rPr>
      <w:rFonts w:ascii="Cambria" w:hAnsi="Cambria" w:eastAsia="黑体"/>
    </w:rPr>
    <w:tblPr>
      <w:tblBorders>
        <w:top w:val="single" w:color="000000" w:sz="6" w:space="0"/>
        <w:left w:val="single" w:color="000000" w:sz="12" w:space="0"/>
        <w:bottom w:val="single" w:color="000000" w:sz="6" w:space="0"/>
        <w:right w:val="single" w:color="000000" w:sz="12" w:space="0"/>
        <w:insideV w:val="single" w:color="000000" w:sz="6" w:space="0"/>
      </w:tblBorders>
    </w:tblPr>
    <w:tblStylePr w:type="firstRow">
      <w:rPr>
        <w:rFonts w:cs="Cambria"/>
      </w:rPr>
      <w:tblPr/>
      <w:tcPr>
        <w:tcBorders>
          <w:top w:val="nil"/>
          <w:left w:val="single" w:color="000000" w:sz="6" w:space="0"/>
          <w:bottom w:val="nil"/>
          <w:right w:val="nil"/>
          <w:insideH w:val="nil"/>
          <w:insideV w:val="nil"/>
          <w:tl2br w:val="nil"/>
          <w:tr2bl w:val="nil"/>
        </w:tcBorders>
        <w:shd w:val="pct30" w:color="FFFF00" w:fill="FFFFFF"/>
      </w:tcPr>
    </w:tblStylePr>
    <w:tblStylePr w:type="lastRow">
      <w:rPr>
        <w:rFonts w:cs="Cambria"/>
        <w:b/>
        <w:bCs/>
      </w:rPr>
      <w:tblPr/>
      <w:tcPr>
        <w:tcBorders>
          <w:top w:val="nil"/>
          <w:left w:val="nil"/>
          <w:bottom w:val="nil"/>
          <w:right w:val="nil"/>
          <w:insideH w:val="nil"/>
          <w:insideV w:val="nil"/>
          <w:tl2br w:val="nil"/>
          <w:tr2bl w:val="nil"/>
        </w:tcBorders>
      </w:tcPr>
    </w:tblStylePr>
    <w:tblStylePr w:type="lastCol">
      <w:rPr>
        <w:rFonts w:cs="Cambria"/>
        <w:b/>
        <w:bCs/>
      </w:rPr>
      <w:tblPr/>
      <w:tcPr>
        <w:tcBorders>
          <w:top w:val="nil"/>
          <w:left w:val="nil"/>
          <w:bottom w:val="nil"/>
          <w:right w:val="nil"/>
          <w:insideH w:val="nil"/>
          <w:insideV w:val="nil"/>
          <w:tl2br w:val="nil"/>
          <w:tr2bl w:val="nil"/>
        </w:tcBorders>
      </w:tcPr>
    </w:tblStylePr>
    <w:tblStylePr w:type="nwCell">
      <w:rPr>
        <w:rFonts w:cs="Cambria"/>
      </w:rPr>
      <w:tblPr/>
      <w:tcPr>
        <w:tcBorders>
          <w:top w:val="nil"/>
          <w:left w:val="nil"/>
          <w:bottom w:val="nil"/>
          <w:right w:val="nil"/>
          <w:insideH w:val="nil"/>
          <w:insideV w:val="nil"/>
          <w:tl2br w:val="single" w:color="000000" w:sz="6" w:space="0"/>
          <w:tr2bl w:val="nil"/>
        </w:tcBorders>
      </w:tcPr>
    </w:tblStylePr>
  </w:style>
  <w:style w:type="table" w:styleId="109">
    <w:name w:val="Table Grid 4"/>
    <w:basedOn w:val="81"/>
    <w:unhideWhenUsed/>
    <w:qFormat/>
    <w:uiPriority w:val="99"/>
    <w:pPr>
      <w:spacing w:line="300" w:lineRule="auto"/>
    </w:pPr>
    <w:rPr>
      <w:rFonts w:ascii="Cambria" w:hAnsi="Cambria" w:eastAsia="黑体"/>
    </w:rPr>
    <w:tblPr>
      <w:tblBorders>
        <w:left w:val="single" w:color="000000" w:sz="12" w:space="0"/>
        <w:right w:val="single" w:color="000000" w:sz="12" w:space="0"/>
        <w:insideH w:val="single" w:color="000000" w:sz="6" w:space="0"/>
        <w:insideV w:val="single" w:color="000000" w:sz="6" w:space="0"/>
      </w:tblBorders>
    </w:tblPr>
    <w:tblStylePr w:type="firstRow">
      <w:rPr>
        <w:rFonts w:cs="Cambria"/>
        <w:color w:val="auto"/>
      </w:rPr>
      <w:tblPr/>
      <w:tcPr>
        <w:tcBorders>
          <w:top w:val="nil"/>
          <w:left w:val="single" w:color="000000" w:sz="6" w:space="0"/>
          <w:bottom w:val="nil"/>
          <w:right w:val="nil"/>
          <w:insideH w:val="nil"/>
          <w:insideV w:val="nil"/>
          <w:tl2br w:val="nil"/>
          <w:tr2bl w:val="nil"/>
        </w:tcBorders>
        <w:shd w:val="pct30" w:color="FFFF00" w:fill="FFFFFF"/>
      </w:tcPr>
    </w:tblStylePr>
    <w:tblStylePr w:type="lastRow">
      <w:rPr>
        <w:rFonts w:cs="Cambria"/>
        <w:b/>
        <w:bCs/>
        <w:color w:val="auto"/>
      </w:rPr>
      <w:tblPr/>
      <w:tcPr>
        <w:tcBorders>
          <w:top w:val="single" w:color="000000" w:sz="6" w:space="0"/>
          <w:left w:val="nil"/>
          <w:bottom w:val="nil"/>
          <w:right w:val="nil"/>
          <w:insideH w:val="nil"/>
          <w:insideV w:val="nil"/>
          <w:tl2br w:val="nil"/>
          <w:tr2bl w:val="nil"/>
        </w:tcBorders>
        <w:shd w:val="pct30" w:color="FFFF00" w:fill="FFFFFF"/>
      </w:tcPr>
    </w:tblStylePr>
    <w:tblStylePr w:type="lastCol">
      <w:rPr>
        <w:rFonts w:cs="Cambria"/>
        <w:b/>
        <w:bCs/>
        <w:color w:val="auto"/>
      </w:rPr>
      <w:tblPr/>
      <w:tcPr>
        <w:tcBorders>
          <w:top w:val="nil"/>
          <w:left w:val="nil"/>
          <w:bottom w:val="nil"/>
          <w:right w:val="nil"/>
          <w:insideH w:val="nil"/>
          <w:insideV w:val="nil"/>
          <w:tl2br w:val="nil"/>
          <w:tr2bl w:val="nil"/>
        </w:tcBorders>
      </w:tcPr>
    </w:tblStylePr>
  </w:style>
  <w:style w:type="table" w:styleId="110">
    <w:name w:val="Table Grid 5"/>
    <w:basedOn w:val="81"/>
    <w:unhideWhenUsed/>
    <w:qFormat/>
    <w:uiPriority w:val="99"/>
    <w:pPr>
      <w:spacing w:line="300" w:lineRule="auto"/>
    </w:pPr>
    <w:rPr>
      <w:rFonts w:ascii="Cambria" w:hAnsi="Cambria" w:eastAsia="黑体"/>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blStylePr w:type="firstRow">
      <w:rPr>
        <w:rFonts w:cs="Cambria"/>
      </w:rPr>
      <w:tblPr/>
      <w:tcPr>
        <w:tcBorders>
          <w:top w:val="nil"/>
          <w:left w:val="single" w:color="000000" w:sz="12" w:space="0"/>
          <w:bottom w:val="nil"/>
          <w:right w:val="nil"/>
          <w:insideH w:val="nil"/>
          <w:insideV w:val="nil"/>
          <w:tl2br w:val="nil"/>
          <w:tr2bl w:val="nil"/>
        </w:tcBorders>
      </w:tcPr>
    </w:tblStylePr>
    <w:tblStylePr w:type="lastRow">
      <w:rPr>
        <w:rFonts w:cs="Cambria"/>
        <w:b/>
        <w:bCs/>
      </w:rPr>
      <w:tblPr/>
      <w:tcPr>
        <w:tcBorders>
          <w:top w:val="nil"/>
          <w:left w:val="nil"/>
          <w:bottom w:val="nil"/>
          <w:right w:val="nil"/>
          <w:insideH w:val="nil"/>
          <w:insideV w:val="nil"/>
          <w:tl2br w:val="nil"/>
          <w:tr2bl w:val="nil"/>
        </w:tcBorders>
      </w:tcPr>
    </w:tblStylePr>
    <w:tblStylePr w:type="lastCol">
      <w:rPr>
        <w:rFonts w:cs="Cambria"/>
        <w:b/>
        <w:bCs/>
      </w:rPr>
      <w:tblPr/>
      <w:tcPr>
        <w:tcBorders>
          <w:top w:val="nil"/>
          <w:left w:val="nil"/>
          <w:bottom w:val="nil"/>
          <w:right w:val="nil"/>
          <w:insideH w:val="nil"/>
          <w:insideV w:val="nil"/>
          <w:tl2br w:val="nil"/>
          <w:tr2bl w:val="nil"/>
        </w:tcBorders>
      </w:tcPr>
    </w:tblStylePr>
    <w:tblStylePr w:type="nwCell">
      <w:rPr>
        <w:rFonts w:cs="Cambria"/>
      </w:rPr>
      <w:tblPr/>
      <w:tcPr>
        <w:tcBorders>
          <w:top w:val="nil"/>
          <w:left w:val="nil"/>
          <w:bottom w:val="nil"/>
          <w:right w:val="nil"/>
          <w:insideH w:val="nil"/>
          <w:insideV w:val="nil"/>
          <w:tl2br w:val="single" w:color="000000" w:sz="6" w:space="0"/>
          <w:tr2bl w:val="nil"/>
        </w:tcBorders>
      </w:tcPr>
    </w:tblStylePr>
  </w:style>
  <w:style w:type="table" w:styleId="111">
    <w:name w:val="Table Grid 6"/>
    <w:basedOn w:val="81"/>
    <w:unhideWhenUsed/>
    <w:qFormat/>
    <w:uiPriority w:val="99"/>
    <w:pPr>
      <w:spacing w:line="300" w:lineRule="auto"/>
    </w:pPr>
    <w:rPr>
      <w:rFonts w:ascii="Cambria" w:hAnsi="Cambria" w:eastAsia="黑体"/>
    </w:rPr>
    <w:tblPr>
      <w:tblBorders>
        <w:top w:val="single" w:color="000000" w:sz="12" w:space="0"/>
        <w:left w:val="single" w:color="000000" w:sz="12" w:space="0"/>
        <w:bottom w:val="single" w:color="000000" w:sz="12" w:space="0"/>
        <w:right w:val="single" w:color="000000" w:sz="12" w:space="0"/>
        <w:insideV w:val="single" w:color="000000" w:sz="6" w:space="0"/>
      </w:tblBorders>
    </w:tblPr>
    <w:tblStylePr w:type="firstRow">
      <w:rPr>
        <w:rFonts w:cs="Cambria"/>
        <w:b/>
        <w:bCs/>
      </w:rPr>
      <w:tblPr/>
      <w:tcPr>
        <w:tcBorders>
          <w:top w:val="nil"/>
          <w:left w:val="single" w:color="000000" w:sz="6" w:space="0"/>
          <w:bottom w:val="nil"/>
          <w:right w:val="nil"/>
          <w:insideH w:val="nil"/>
          <w:insideV w:val="nil"/>
          <w:tl2br w:val="nil"/>
          <w:tr2bl w:val="nil"/>
        </w:tcBorders>
      </w:tcPr>
    </w:tblStylePr>
    <w:tblStylePr w:type="lastRow">
      <w:rPr>
        <w:rFonts w:cs="Cambria"/>
        <w:color w:val="auto"/>
      </w:rPr>
      <w:tblPr/>
      <w:tcPr>
        <w:tcBorders>
          <w:top w:val="single" w:color="000000" w:sz="6" w:space="0"/>
          <w:left w:val="nil"/>
          <w:bottom w:val="nil"/>
          <w:right w:val="nil"/>
          <w:insideH w:val="nil"/>
          <w:insideV w:val="nil"/>
          <w:tl2br w:val="nil"/>
          <w:tr2bl w:val="nil"/>
        </w:tcBorders>
      </w:tcPr>
    </w:tblStylePr>
    <w:tblStylePr w:type="firstCol">
      <w:rPr>
        <w:rFonts w:cs="Cambria"/>
        <w:b/>
        <w:bCs/>
      </w:rPr>
      <w:tblPr/>
      <w:tcPr>
        <w:tcBorders>
          <w:top w:val="nil"/>
          <w:left w:val="nil"/>
          <w:bottom w:val="nil"/>
          <w:right w:val="nil"/>
          <w:insideH w:val="nil"/>
          <w:insideV w:val="nil"/>
          <w:tl2br w:val="nil"/>
          <w:tr2bl w:val="nil"/>
        </w:tcBorders>
      </w:tcPr>
    </w:tblStylePr>
    <w:tblStylePr w:type="nwCell">
      <w:rPr>
        <w:rFonts w:cs="Cambria"/>
      </w:rPr>
      <w:tblPr/>
      <w:tcPr>
        <w:tcBorders>
          <w:top w:val="nil"/>
          <w:left w:val="nil"/>
          <w:bottom w:val="nil"/>
          <w:right w:val="nil"/>
          <w:insideH w:val="nil"/>
          <w:insideV w:val="nil"/>
          <w:tl2br w:val="single" w:color="000000" w:sz="6" w:space="0"/>
          <w:tr2bl w:val="nil"/>
        </w:tcBorders>
      </w:tcPr>
    </w:tblStylePr>
  </w:style>
  <w:style w:type="table" w:styleId="112">
    <w:name w:val="Table Grid 7"/>
    <w:basedOn w:val="81"/>
    <w:unhideWhenUsed/>
    <w:qFormat/>
    <w:uiPriority w:val="99"/>
    <w:pPr>
      <w:spacing w:line="300" w:lineRule="auto"/>
    </w:pPr>
    <w:rPr>
      <w:rFonts w:ascii="Cambria" w:hAnsi="Cambria" w:eastAsia="黑体"/>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blStylePr w:type="firstRow">
      <w:rPr>
        <w:rFonts w:cs="Cambria"/>
        <w:b w:val="0"/>
        <w:bCs w:val="0"/>
      </w:rPr>
      <w:tblPr/>
      <w:tcPr>
        <w:tcBorders>
          <w:top w:val="nil"/>
          <w:left w:val="single" w:color="000000" w:sz="12" w:space="0"/>
          <w:bottom w:val="nil"/>
          <w:right w:val="nil"/>
          <w:insideH w:val="nil"/>
          <w:insideV w:val="nil"/>
          <w:tl2br w:val="nil"/>
          <w:tr2bl w:val="nil"/>
        </w:tcBorders>
      </w:tcPr>
    </w:tblStylePr>
    <w:tblStylePr w:type="lastRow">
      <w:rPr>
        <w:rFonts w:cs="Cambria"/>
        <w:b w:val="0"/>
        <w:bCs w:val="0"/>
      </w:rPr>
      <w:tblPr/>
      <w:tcPr>
        <w:tcBorders>
          <w:top w:val="single" w:color="000000" w:sz="6" w:space="0"/>
          <w:left w:val="nil"/>
          <w:bottom w:val="nil"/>
          <w:right w:val="nil"/>
          <w:insideH w:val="nil"/>
          <w:insideV w:val="nil"/>
          <w:tl2br w:val="nil"/>
          <w:tr2bl w:val="nil"/>
        </w:tcBorders>
      </w:tcPr>
    </w:tblStylePr>
    <w:tblStylePr w:type="firstCol">
      <w:rPr>
        <w:rFonts w:cs="Cambria"/>
        <w:b w:val="0"/>
        <w:bCs w:val="0"/>
      </w:rPr>
      <w:tblPr/>
      <w:tcPr>
        <w:tcBorders>
          <w:top w:val="nil"/>
          <w:left w:val="nil"/>
          <w:bottom w:val="nil"/>
          <w:right w:val="nil"/>
          <w:insideH w:val="nil"/>
          <w:insideV w:val="nil"/>
          <w:tl2br w:val="nil"/>
          <w:tr2bl w:val="nil"/>
        </w:tcBorders>
      </w:tcPr>
    </w:tblStylePr>
    <w:tblStylePr w:type="lastCol">
      <w:rPr>
        <w:rFonts w:cs="Cambria"/>
        <w:b w:val="0"/>
        <w:bCs w:val="0"/>
      </w:rPr>
      <w:tblPr/>
      <w:tcPr>
        <w:tcBorders>
          <w:top w:val="nil"/>
          <w:left w:val="nil"/>
          <w:bottom w:val="nil"/>
          <w:right w:val="nil"/>
          <w:insideH w:val="nil"/>
          <w:insideV w:val="nil"/>
          <w:tl2br w:val="nil"/>
          <w:tr2bl w:val="nil"/>
        </w:tcBorders>
      </w:tcPr>
    </w:tblStylePr>
    <w:tblStylePr w:type="nwCell">
      <w:rPr>
        <w:rFonts w:cs="Cambria"/>
      </w:rPr>
      <w:tblPr/>
      <w:tcPr>
        <w:tcBorders>
          <w:top w:val="nil"/>
          <w:left w:val="nil"/>
          <w:bottom w:val="nil"/>
          <w:right w:val="nil"/>
          <w:insideH w:val="nil"/>
          <w:insideV w:val="nil"/>
          <w:tl2br w:val="single" w:color="000000" w:sz="6" w:space="0"/>
          <w:tr2bl w:val="nil"/>
        </w:tcBorders>
      </w:tcPr>
    </w:tblStylePr>
  </w:style>
  <w:style w:type="table" w:styleId="113">
    <w:name w:val="Table Grid 8"/>
    <w:basedOn w:val="81"/>
    <w:unhideWhenUsed/>
    <w:qFormat/>
    <w:uiPriority w:val="99"/>
    <w:pPr>
      <w:spacing w:line="300" w:lineRule="auto"/>
    </w:pPr>
    <w:rPr>
      <w:rFonts w:ascii="Cambria" w:hAnsi="Cambria" w:eastAsia="黑体"/>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blStylePr w:type="firstRow">
      <w:rPr>
        <w:rFonts w:cs="Cambria"/>
        <w:b/>
        <w:bCs/>
        <w:color w:val="FFFFFF"/>
      </w:rPr>
      <w:tblPr/>
      <w:tcPr>
        <w:tcBorders>
          <w:top w:val="nil"/>
          <w:left w:val="nil"/>
          <w:bottom w:val="nil"/>
          <w:right w:val="nil"/>
          <w:insideH w:val="nil"/>
          <w:insideV w:val="nil"/>
          <w:tl2br w:val="nil"/>
          <w:tr2bl w:val="nil"/>
        </w:tcBorders>
        <w:shd w:val="solid" w:color="000080" w:fill="FFFFFF"/>
      </w:tcPr>
    </w:tblStylePr>
    <w:tblStylePr w:type="lastRow">
      <w:rPr>
        <w:rFonts w:cs="Cambria"/>
        <w:b/>
        <w:bCs/>
        <w:color w:val="auto"/>
      </w:rPr>
      <w:tblPr/>
      <w:tcPr>
        <w:tcBorders>
          <w:top w:val="nil"/>
          <w:left w:val="nil"/>
          <w:bottom w:val="nil"/>
          <w:right w:val="nil"/>
          <w:insideH w:val="nil"/>
          <w:insideV w:val="nil"/>
          <w:tl2br w:val="nil"/>
          <w:tr2bl w:val="nil"/>
        </w:tcBorders>
      </w:tcPr>
    </w:tblStylePr>
    <w:tblStylePr w:type="lastCol">
      <w:rPr>
        <w:rFonts w:cs="Cambria"/>
        <w:b/>
        <w:bCs/>
        <w:color w:val="auto"/>
      </w:rPr>
      <w:tblPr/>
      <w:tcPr>
        <w:tcBorders>
          <w:top w:val="nil"/>
          <w:left w:val="nil"/>
          <w:bottom w:val="nil"/>
          <w:right w:val="nil"/>
          <w:insideH w:val="nil"/>
          <w:insideV w:val="nil"/>
          <w:tl2br w:val="nil"/>
          <w:tr2bl w:val="nil"/>
        </w:tcBorders>
      </w:tcPr>
    </w:tblStylePr>
  </w:style>
  <w:style w:type="table" w:styleId="114">
    <w:name w:val="Table Web 1"/>
    <w:basedOn w:val="81"/>
    <w:unhideWhenUsed/>
    <w:qFormat/>
    <w:uiPriority w:val="99"/>
    <w:pPr>
      <w:spacing w:line="300" w:lineRule="auto"/>
    </w:pPr>
    <w:rPr>
      <w:rFonts w:ascii="Cambria" w:hAnsi="Cambria" w:eastAsia="黑体"/>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blStylePr w:type="firstRow">
      <w:rPr>
        <w:rFonts w:cs="Cambria"/>
        <w:color w:val="auto"/>
      </w:rPr>
      <w:tblPr/>
      <w:tcPr>
        <w:tcBorders>
          <w:top w:val="nil"/>
          <w:left w:val="nil"/>
          <w:bottom w:val="nil"/>
          <w:right w:val="nil"/>
          <w:insideH w:val="nil"/>
          <w:insideV w:val="nil"/>
          <w:tl2br w:val="nil"/>
          <w:tr2bl w:val="nil"/>
        </w:tcBorders>
      </w:tcPr>
    </w:tblStylePr>
  </w:style>
  <w:style w:type="table" w:styleId="115">
    <w:name w:val="Table Web 2"/>
    <w:basedOn w:val="81"/>
    <w:unhideWhenUsed/>
    <w:qFormat/>
    <w:uiPriority w:val="99"/>
    <w:pPr>
      <w:spacing w:line="300" w:lineRule="auto"/>
    </w:pPr>
    <w:rPr>
      <w:rFonts w:ascii="Cambria" w:hAnsi="Cambria" w:eastAsia="黑体"/>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blStylePr w:type="firstRow">
      <w:rPr>
        <w:rFonts w:cs="Cambria"/>
        <w:color w:val="auto"/>
      </w:rPr>
      <w:tblPr/>
      <w:tcPr>
        <w:tcBorders>
          <w:top w:val="nil"/>
          <w:left w:val="nil"/>
          <w:bottom w:val="nil"/>
          <w:right w:val="nil"/>
          <w:insideH w:val="nil"/>
          <w:insideV w:val="nil"/>
          <w:tl2br w:val="nil"/>
          <w:tr2bl w:val="nil"/>
        </w:tcBorders>
      </w:tcPr>
    </w:tblStylePr>
  </w:style>
  <w:style w:type="table" w:styleId="116">
    <w:name w:val="Table Web 3"/>
    <w:basedOn w:val="81"/>
    <w:unhideWhenUsed/>
    <w:qFormat/>
    <w:uiPriority w:val="99"/>
    <w:pPr>
      <w:spacing w:line="300" w:lineRule="auto"/>
    </w:pPr>
    <w:rPr>
      <w:rFonts w:ascii="Cambria" w:hAnsi="Cambria" w:eastAsia="黑体"/>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blStylePr w:type="firstRow">
      <w:rPr>
        <w:rFonts w:cs="Cambria"/>
        <w:color w:val="auto"/>
      </w:rPr>
      <w:tblPr/>
      <w:tcPr>
        <w:tcBorders>
          <w:top w:val="nil"/>
          <w:left w:val="nil"/>
          <w:bottom w:val="nil"/>
          <w:right w:val="nil"/>
          <w:insideH w:val="nil"/>
          <w:insideV w:val="nil"/>
          <w:tl2br w:val="nil"/>
          <w:tr2bl w:val="nil"/>
        </w:tcBorders>
      </w:tcPr>
    </w:tblStylePr>
  </w:style>
  <w:style w:type="table" w:styleId="117">
    <w:name w:val="Table Professional"/>
    <w:basedOn w:val="81"/>
    <w:unhideWhenUsed/>
    <w:qFormat/>
    <w:uiPriority w:val="99"/>
    <w:pPr>
      <w:spacing w:line="300" w:lineRule="auto"/>
    </w:pPr>
    <w:rPr>
      <w:rFonts w:ascii="Cambria" w:hAnsi="Cambria" w:eastAsia="黑体"/>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StylePr w:type="firstRow">
      <w:rPr>
        <w:rFonts w:cs="Cambria"/>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119">
    <w:name w:val="Strong"/>
    <w:qFormat/>
    <w:uiPriority w:val="22"/>
    <w:rPr>
      <w:b/>
      <w:bCs/>
    </w:rPr>
  </w:style>
  <w:style w:type="character" w:styleId="120">
    <w:name w:val="page number"/>
    <w:unhideWhenUsed/>
    <w:qFormat/>
    <w:uiPriority w:val="99"/>
    <w:rPr>
      <w:rFonts w:cs="Times New Roman"/>
    </w:rPr>
  </w:style>
  <w:style w:type="character" w:styleId="121">
    <w:name w:val="FollowedHyperlink"/>
    <w:unhideWhenUsed/>
    <w:qFormat/>
    <w:uiPriority w:val="99"/>
    <w:rPr>
      <w:color w:val="954F72"/>
      <w:u w:val="single"/>
    </w:rPr>
  </w:style>
  <w:style w:type="character" w:styleId="122">
    <w:name w:val="Emphasis"/>
    <w:qFormat/>
    <w:uiPriority w:val="20"/>
  </w:style>
  <w:style w:type="character" w:styleId="123">
    <w:name w:val="line number"/>
    <w:unhideWhenUsed/>
    <w:qFormat/>
    <w:uiPriority w:val="99"/>
    <w:rPr>
      <w:rFonts w:cs="Times New Roman"/>
    </w:rPr>
  </w:style>
  <w:style w:type="character" w:styleId="124">
    <w:name w:val="HTML Definition"/>
    <w:unhideWhenUsed/>
    <w:qFormat/>
    <w:uiPriority w:val="99"/>
  </w:style>
  <w:style w:type="character" w:styleId="125">
    <w:name w:val="HTML Typewriter"/>
    <w:unhideWhenUsed/>
    <w:qFormat/>
    <w:uiPriority w:val="99"/>
    <w:rPr>
      <w:rFonts w:ascii="Consolas" w:hAnsi="Consolas" w:eastAsia="Times New Roman"/>
      <w:sz w:val="20"/>
    </w:rPr>
  </w:style>
  <w:style w:type="character" w:styleId="126">
    <w:name w:val="HTML Variable"/>
    <w:unhideWhenUsed/>
    <w:qFormat/>
    <w:uiPriority w:val="99"/>
  </w:style>
  <w:style w:type="character" w:styleId="127">
    <w:name w:val="Hyperlink"/>
    <w:unhideWhenUsed/>
    <w:qFormat/>
    <w:uiPriority w:val="99"/>
    <w:rPr>
      <w:color w:val="0563C1"/>
      <w:u w:val="single"/>
    </w:rPr>
  </w:style>
  <w:style w:type="character" w:styleId="128">
    <w:name w:val="HTML Code"/>
    <w:unhideWhenUsed/>
    <w:qFormat/>
    <w:uiPriority w:val="99"/>
    <w:rPr>
      <w:rFonts w:ascii="Consolas" w:hAnsi="Consolas" w:eastAsia="Times New Roman"/>
      <w:sz w:val="20"/>
    </w:rPr>
  </w:style>
  <w:style w:type="character" w:styleId="129">
    <w:name w:val="annotation reference"/>
    <w:unhideWhenUsed/>
    <w:qFormat/>
    <w:uiPriority w:val="99"/>
    <w:rPr>
      <w:sz w:val="21"/>
    </w:rPr>
  </w:style>
  <w:style w:type="character" w:styleId="130">
    <w:name w:val="HTML Cite"/>
    <w:unhideWhenUsed/>
    <w:qFormat/>
    <w:uiPriority w:val="99"/>
  </w:style>
  <w:style w:type="character" w:styleId="131">
    <w:name w:val="HTML Keyboard"/>
    <w:unhideWhenUsed/>
    <w:qFormat/>
    <w:uiPriority w:val="99"/>
    <w:rPr>
      <w:rFonts w:ascii="Consolas" w:hAnsi="Consolas" w:eastAsia="Times New Roman"/>
      <w:sz w:val="20"/>
    </w:rPr>
  </w:style>
  <w:style w:type="character" w:styleId="132">
    <w:name w:val="HTML Sample"/>
    <w:unhideWhenUsed/>
    <w:qFormat/>
    <w:uiPriority w:val="0"/>
    <w:rPr>
      <w:rFonts w:hint="default" w:ascii="serif" w:hAnsi="serif" w:eastAsia="serif" w:cs="serif"/>
      <w:sz w:val="21"/>
      <w:szCs w:val="21"/>
    </w:rPr>
  </w:style>
  <w:style w:type="character" w:customStyle="1" w:styleId="133">
    <w:name w:val="正文文本 字符"/>
    <w:link w:val="31"/>
    <w:qFormat/>
    <w:uiPriority w:val="99"/>
    <w:rPr>
      <w:rFonts w:ascii="Cambria" w:hAnsi="Cambria" w:eastAsia="微软雅黑"/>
      <w:color w:val="595959"/>
      <w:kern w:val="20"/>
      <w:lang w:val="zh-CN"/>
    </w:rPr>
  </w:style>
  <w:style w:type="character" w:customStyle="1" w:styleId="134">
    <w:name w:val="标题 1 字符"/>
    <w:link w:val="2"/>
    <w:qFormat/>
    <w:uiPriority w:val="9"/>
    <w:rPr>
      <w:rFonts w:eastAsia="黑体"/>
      <w:color w:val="000000"/>
      <w:kern w:val="20"/>
      <w:sz w:val="44"/>
      <w:szCs w:val="22"/>
      <w:lang w:val="zh-CN"/>
    </w:rPr>
  </w:style>
  <w:style w:type="character" w:customStyle="1" w:styleId="135">
    <w:name w:val="标题 2 字符1"/>
    <w:link w:val="3"/>
    <w:qFormat/>
    <w:uiPriority w:val="0"/>
    <w:rPr>
      <w:rFonts w:eastAsia="黑体"/>
      <w:color w:val="000000"/>
      <w:kern w:val="20"/>
      <w:sz w:val="32"/>
      <w:szCs w:val="21"/>
      <w:lang w:val="zh-CN"/>
    </w:rPr>
  </w:style>
  <w:style w:type="character" w:customStyle="1" w:styleId="136">
    <w:name w:val="标题 3 字符1"/>
    <w:link w:val="4"/>
    <w:qFormat/>
    <w:uiPriority w:val="0"/>
    <w:rPr>
      <w:rFonts w:eastAsia="黑体"/>
      <w:bCs/>
      <w:color w:val="000000"/>
      <w:kern w:val="20"/>
      <w:sz w:val="24"/>
      <w:szCs w:val="24"/>
      <w:lang w:val="zh-CN"/>
    </w:rPr>
  </w:style>
  <w:style w:type="character" w:customStyle="1" w:styleId="137">
    <w:name w:val="标题 4 字符"/>
    <w:link w:val="5"/>
    <w:qFormat/>
    <w:uiPriority w:val="18"/>
    <w:rPr>
      <w:bCs/>
      <w:iCs/>
      <w:kern w:val="20"/>
      <w:sz w:val="21"/>
      <w:lang w:val="zh-CN"/>
    </w:rPr>
  </w:style>
  <w:style w:type="character" w:customStyle="1" w:styleId="138">
    <w:name w:val="标题 5 字符1"/>
    <w:link w:val="6"/>
    <w:qFormat/>
    <w:uiPriority w:val="9"/>
    <w:rPr>
      <w:bCs/>
      <w:kern w:val="20"/>
      <w:sz w:val="21"/>
      <w:szCs w:val="28"/>
      <w:lang w:val="zh-CN"/>
    </w:rPr>
  </w:style>
  <w:style w:type="character" w:customStyle="1" w:styleId="139">
    <w:name w:val="标题 6 字符1"/>
    <w:link w:val="7"/>
    <w:qFormat/>
    <w:uiPriority w:val="9"/>
    <w:rPr>
      <w:bCs/>
      <w:kern w:val="20"/>
      <w:sz w:val="21"/>
      <w:szCs w:val="24"/>
      <w:lang w:val="zh-CN"/>
    </w:rPr>
  </w:style>
  <w:style w:type="character" w:customStyle="1" w:styleId="140">
    <w:name w:val="标题 7 字符1"/>
    <w:link w:val="8"/>
    <w:qFormat/>
    <w:uiPriority w:val="9"/>
    <w:rPr>
      <w:rFonts w:ascii="Cambria" w:hAnsi="Cambria" w:eastAsia="微软雅黑"/>
      <w:b/>
      <w:bCs/>
      <w:kern w:val="20"/>
      <w:sz w:val="24"/>
      <w:szCs w:val="24"/>
      <w:lang w:val="zh-CN"/>
    </w:rPr>
  </w:style>
  <w:style w:type="character" w:customStyle="1" w:styleId="141">
    <w:name w:val="标题 8 字符1"/>
    <w:link w:val="9"/>
    <w:qFormat/>
    <w:uiPriority w:val="9"/>
    <w:rPr>
      <w:rFonts w:ascii="Calibri Light" w:hAnsi="Calibri Light"/>
      <w:kern w:val="20"/>
      <w:sz w:val="24"/>
      <w:szCs w:val="24"/>
      <w:lang w:val="zh-CN"/>
    </w:rPr>
  </w:style>
  <w:style w:type="character" w:customStyle="1" w:styleId="142">
    <w:name w:val="标题 9 字符1"/>
    <w:link w:val="10"/>
    <w:qFormat/>
    <w:uiPriority w:val="9"/>
    <w:rPr>
      <w:rFonts w:ascii="Calibri Light" w:hAnsi="Calibri Light"/>
      <w:kern w:val="20"/>
      <w:sz w:val="21"/>
      <w:szCs w:val="21"/>
      <w:lang w:val="zh-CN"/>
    </w:rPr>
  </w:style>
  <w:style w:type="character" w:customStyle="1" w:styleId="143">
    <w:name w:val="注释标题 字符"/>
    <w:link w:val="15"/>
    <w:qFormat/>
    <w:uiPriority w:val="99"/>
    <w:rPr>
      <w:rFonts w:ascii="Cambria" w:hAnsi="Cambria" w:eastAsia="微软雅黑"/>
      <w:color w:val="595959"/>
      <w:kern w:val="20"/>
      <w:lang w:val="zh-CN"/>
    </w:rPr>
  </w:style>
  <w:style w:type="character" w:customStyle="1" w:styleId="144">
    <w:name w:val="电子邮件签名 字符"/>
    <w:link w:val="18"/>
    <w:qFormat/>
    <w:uiPriority w:val="99"/>
    <w:rPr>
      <w:rFonts w:ascii="Cambria" w:hAnsi="Cambria" w:eastAsia="微软雅黑"/>
      <w:color w:val="595959"/>
      <w:kern w:val="20"/>
      <w:lang w:val="zh-CN"/>
    </w:rPr>
  </w:style>
  <w:style w:type="character" w:customStyle="1" w:styleId="145">
    <w:name w:val="文档结构图 字符"/>
    <w:link w:val="23"/>
    <w:qFormat/>
    <w:uiPriority w:val="99"/>
    <w:rPr>
      <w:rFonts w:ascii="Tahoma" w:hAnsi="Tahoma" w:eastAsia="Times New Roman"/>
      <w:color w:val="595959"/>
      <w:kern w:val="20"/>
      <w:sz w:val="16"/>
      <w:lang w:val="zh-CN"/>
    </w:rPr>
  </w:style>
  <w:style w:type="character" w:customStyle="1" w:styleId="146">
    <w:name w:val="批注文字 字符"/>
    <w:link w:val="25"/>
    <w:qFormat/>
    <w:uiPriority w:val="0"/>
    <w:rPr>
      <w:rFonts w:ascii="Cambria" w:hAnsi="Cambria" w:eastAsia="微软雅黑"/>
      <w:kern w:val="20"/>
      <w:sz w:val="21"/>
      <w:lang w:val="zh-CN"/>
    </w:rPr>
  </w:style>
  <w:style w:type="character" w:customStyle="1" w:styleId="147">
    <w:name w:val="称呼 字符"/>
    <w:link w:val="27"/>
    <w:qFormat/>
    <w:uiPriority w:val="99"/>
    <w:rPr>
      <w:rFonts w:ascii="Cambria" w:hAnsi="Cambria" w:eastAsia="微软雅黑"/>
      <w:color w:val="595959"/>
      <w:kern w:val="20"/>
      <w:lang w:val="zh-CN"/>
    </w:rPr>
  </w:style>
  <w:style w:type="character" w:customStyle="1" w:styleId="148">
    <w:name w:val="正文文本 3 字符"/>
    <w:link w:val="28"/>
    <w:qFormat/>
    <w:uiPriority w:val="99"/>
    <w:rPr>
      <w:rFonts w:ascii="Cambria" w:hAnsi="Cambria" w:eastAsia="微软雅黑"/>
      <w:color w:val="595959"/>
      <w:kern w:val="20"/>
      <w:sz w:val="16"/>
      <w:lang w:val="zh-CN"/>
    </w:rPr>
  </w:style>
  <w:style w:type="character" w:customStyle="1" w:styleId="149">
    <w:name w:val="结束语 字符"/>
    <w:link w:val="29"/>
    <w:qFormat/>
    <w:uiPriority w:val="99"/>
    <w:rPr>
      <w:rFonts w:ascii="Cambria" w:hAnsi="Cambria" w:eastAsia="微软雅黑"/>
      <w:color w:val="595959"/>
      <w:kern w:val="20"/>
      <w:lang w:val="zh-CN"/>
    </w:rPr>
  </w:style>
  <w:style w:type="character" w:customStyle="1" w:styleId="150">
    <w:name w:val="正文文本缩进 字符1"/>
    <w:link w:val="32"/>
    <w:qFormat/>
    <w:uiPriority w:val="0"/>
    <w:rPr>
      <w:rFonts w:ascii="Cambria" w:hAnsi="Cambria" w:eastAsia="微软雅黑"/>
      <w:color w:val="595959"/>
      <w:kern w:val="20"/>
      <w:sz w:val="21"/>
      <w:lang w:val="zh-CN"/>
    </w:rPr>
  </w:style>
  <w:style w:type="character" w:customStyle="1" w:styleId="151">
    <w:name w:val="HTML 地址 字符"/>
    <w:link w:val="37"/>
    <w:qFormat/>
    <w:uiPriority w:val="99"/>
    <w:rPr>
      <w:rFonts w:ascii="Cambria" w:hAnsi="Cambria" w:eastAsia="微软雅黑"/>
      <w:i/>
      <w:iCs/>
      <w:color w:val="595959"/>
      <w:kern w:val="20"/>
      <w:lang w:val="zh-CN"/>
    </w:rPr>
  </w:style>
  <w:style w:type="character" w:customStyle="1" w:styleId="152">
    <w:name w:val="纯文本 字符"/>
    <w:link w:val="41"/>
    <w:qFormat/>
    <w:uiPriority w:val="99"/>
    <w:rPr>
      <w:rFonts w:ascii="Consolas" w:hAnsi="Consolas" w:eastAsia="Times New Roman"/>
      <w:color w:val="595959"/>
      <w:kern w:val="20"/>
      <w:lang w:val="zh-CN"/>
    </w:rPr>
  </w:style>
  <w:style w:type="character" w:customStyle="1" w:styleId="153">
    <w:name w:val="日期 字符"/>
    <w:link w:val="46"/>
    <w:qFormat/>
    <w:uiPriority w:val="99"/>
    <w:rPr>
      <w:rFonts w:ascii="Cambria" w:hAnsi="Cambria" w:eastAsia="微软雅黑"/>
      <w:color w:val="595959"/>
      <w:kern w:val="20"/>
      <w:lang w:val="zh-CN"/>
    </w:rPr>
  </w:style>
  <w:style w:type="character" w:customStyle="1" w:styleId="154">
    <w:name w:val="正文文本缩进 2 字符"/>
    <w:link w:val="47"/>
    <w:qFormat/>
    <w:uiPriority w:val="99"/>
    <w:rPr>
      <w:rFonts w:ascii="Cambria" w:hAnsi="Cambria" w:eastAsia="微软雅黑"/>
      <w:color w:val="595959"/>
      <w:kern w:val="20"/>
      <w:lang w:val="zh-CN"/>
    </w:rPr>
  </w:style>
  <w:style w:type="character" w:customStyle="1" w:styleId="155">
    <w:name w:val="尾注文本 字符"/>
    <w:link w:val="48"/>
    <w:qFormat/>
    <w:uiPriority w:val="99"/>
    <w:rPr>
      <w:rFonts w:ascii="Cambria" w:hAnsi="Cambria" w:eastAsia="微软雅黑"/>
      <w:color w:val="595959"/>
      <w:kern w:val="20"/>
      <w:lang w:val="zh-CN"/>
    </w:rPr>
  </w:style>
  <w:style w:type="character" w:customStyle="1" w:styleId="156">
    <w:name w:val="批注框文本 字符1"/>
    <w:link w:val="50"/>
    <w:qFormat/>
    <w:uiPriority w:val="99"/>
    <w:rPr>
      <w:rFonts w:ascii="Cambria" w:hAnsi="Cambria" w:eastAsia="微软雅黑"/>
      <w:kern w:val="20"/>
      <w:sz w:val="18"/>
      <w:szCs w:val="18"/>
      <w:lang w:val="zh-CN"/>
    </w:rPr>
  </w:style>
  <w:style w:type="character" w:customStyle="1" w:styleId="157">
    <w:name w:val="页脚 字符1"/>
    <w:link w:val="51"/>
    <w:qFormat/>
    <w:uiPriority w:val="99"/>
    <w:rPr>
      <w:rFonts w:ascii="Cambria" w:hAnsi="Cambria" w:eastAsia="微软雅黑"/>
      <w:color w:val="595959"/>
      <w:kern w:val="20"/>
      <w:sz w:val="21"/>
      <w:lang w:val="zh-CN"/>
    </w:rPr>
  </w:style>
  <w:style w:type="character" w:customStyle="1" w:styleId="158">
    <w:name w:val="页眉 字符1"/>
    <w:link w:val="52"/>
    <w:qFormat/>
    <w:uiPriority w:val="99"/>
    <w:rPr>
      <w:rFonts w:ascii="Cambria" w:hAnsi="Cambria" w:eastAsia="微软雅黑"/>
      <w:color w:val="595959"/>
      <w:kern w:val="20"/>
      <w:sz w:val="21"/>
      <w:lang w:val="zh-CN"/>
    </w:rPr>
  </w:style>
  <w:style w:type="character" w:customStyle="1" w:styleId="159">
    <w:name w:val="签名 字符"/>
    <w:link w:val="53"/>
    <w:qFormat/>
    <w:uiPriority w:val="20"/>
    <w:rPr>
      <w:rFonts w:ascii="Cambria" w:hAnsi="Cambria" w:eastAsia="微软雅黑"/>
      <w:color w:val="595959"/>
      <w:kern w:val="20"/>
      <w:lang w:val="zh-CN"/>
    </w:rPr>
  </w:style>
  <w:style w:type="character" w:customStyle="1" w:styleId="160">
    <w:name w:val="副标题 字符"/>
    <w:link w:val="59"/>
    <w:qFormat/>
    <w:uiPriority w:val="11"/>
    <w:rPr>
      <w:rFonts w:ascii="Calibri" w:hAnsi="Calibri"/>
      <w:caps/>
      <w:color w:val="7E97AD"/>
      <w:kern w:val="20"/>
      <w:sz w:val="56"/>
      <w:lang w:val="zh-CN"/>
    </w:rPr>
  </w:style>
  <w:style w:type="character" w:customStyle="1" w:styleId="161">
    <w:name w:val="正文文本缩进 3 字符"/>
    <w:link w:val="64"/>
    <w:qFormat/>
    <w:uiPriority w:val="99"/>
    <w:rPr>
      <w:rFonts w:ascii="Cambria" w:hAnsi="Cambria" w:eastAsia="微软雅黑"/>
      <w:color w:val="595959"/>
      <w:kern w:val="20"/>
      <w:sz w:val="16"/>
      <w:lang w:val="zh-CN"/>
    </w:rPr>
  </w:style>
  <w:style w:type="character" w:customStyle="1" w:styleId="162">
    <w:name w:val="正文文本 2 字符"/>
    <w:link w:val="70"/>
    <w:qFormat/>
    <w:uiPriority w:val="99"/>
    <w:rPr>
      <w:rFonts w:ascii="Cambria" w:hAnsi="Cambria" w:eastAsia="微软雅黑"/>
      <w:color w:val="595959"/>
      <w:kern w:val="20"/>
      <w:lang w:val="zh-CN"/>
    </w:rPr>
  </w:style>
  <w:style w:type="character" w:customStyle="1" w:styleId="163">
    <w:name w:val="HTML 预设格式 字符"/>
    <w:link w:val="73"/>
    <w:qFormat/>
    <w:uiPriority w:val="99"/>
    <w:rPr>
      <w:rFonts w:ascii="Consolas" w:hAnsi="Consolas" w:eastAsia="Times New Roman"/>
      <w:color w:val="595959"/>
      <w:kern w:val="20"/>
      <w:lang w:val="zh-CN"/>
    </w:rPr>
  </w:style>
  <w:style w:type="character" w:customStyle="1" w:styleId="164">
    <w:name w:val="标题 字符"/>
    <w:link w:val="77"/>
    <w:qFormat/>
    <w:uiPriority w:val="10"/>
    <w:rPr>
      <w:rFonts w:ascii="Calibri" w:hAnsi="Calibri"/>
      <w:caps/>
      <w:color w:val="FFFFFF"/>
      <w:kern w:val="28"/>
      <w:sz w:val="72"/>
      <w:shd w:val="clear" w:color="auto" w:fill="7E97AD"/>
      <w:lang w:val="zh-CN"/>
    </w:rPr>
  </w:style>
  <w:style w:type="character" w:customStyle="1" w:styleId="165">
    <w:name w:val="批注主题 字符"/>
    <w:link w:val="78"/>
    <w:qFormat/>
    <w:uiPriority w:val="99"/>
    <w:rPr>
      <w:rFonts w:ascii="Cambria" w:hAnsi="Cambria" w:eastAsia="微软雅黑"/>
      <w:b/>
      <w:bCs/>
      <w:color w:val="000000"/>
      <w:kern w:val="20"/>
      <w:sz w:val="21"/>
      <w:lang w:val="zh-CN"/>
    </w:rPr>
  </w:style>
  <w:style w:type="character" w:customStyle="1" w:styleId="166">
    <w:name w:val="正文首行缩进 2 字符"/>
    <w:link w:val="80"/>
    <w:qFormat/>
    <w:uiPriority w:val="0"/>
    <w:rPr>
      <w:rFonts w:ascii="Calibri" w:hAnsi="Calibri" w:eastAsia="微软雅黑"/>
      <w:color w:val="595959"/>
      <w:sz w:val="21"/>
      <w:szCs w:val="22"/>
      <w:lang w:val="zh-CN"/>
    </w:rPr>
  </w:style>
  <w:style w:type="character" w:customStyle="1" w:styleId="167">
    <w:name w:val="正文文本第一缩进 2 字符"/>
    <w:link w:val="168"/>
    <w:qFormat/>
    <w:locked/>
    <w:uiPriority w:val="99"/>
    <w:rPr>
      <w:rFonts w:ascii="Cambria" w:hAnsi="Cambria" w:eastAsia="微软雅黑"/>
      <w:color w:val="595959"/>
      <w:kern w:val="20"/>
      <w:lang w:val="zh-CN"/>
    </w:rPr>
  </w:style>
  <w:style w:type="paragraph" w:customStyle="1" w:styleId="168">
    <w:name w:val="正文文本第一缩进 2"/>
    <w:basedOn w:val="32"/>
    <w:link w:val="167"/>
    <w:unhideWhenUsed/>
    <w:qFormat/>
    <w:uiPriority w:val="99"/>
    <w:pPr>
      <w:spacing w:after="200"/>
      <w:ind w:firstLine="360"/>
    </w:pPr>
    <w:rPr>
      <w:sz w:val="20"/>
    </w:rPr>
  </w:style>
  <w:style w:type="character" w:customStyle="1" w:styleId="169">
    <w:name w:val="text"/>
    <w:qFormat/>
    <w:uiPriority w:val="0"/>
  </w:style>
  <w:style w:type="character" w:customStyle="1" w:styleId="170">
    <w:name w:val="标题 7 字符"/>
    <w:qFormat/>
    <w:uiPriority w:val="9"/>
    <w:rPr>
      <w:rFonts w:ascii="Calibri" w:hAnsi="Calibri" w:eastAsia="宋体" w:cs="Arial"/>
      <w:i/>
      <w:iCs/>
      <w:color w:val="404040"/>
      <w:kern w:val="20"/>
      <w:szCs w:val="20"/>
      <w:lang w:val="zh-CN"/>
    </w:rPr>
  </w:style>
  <w:style w:type="character" w:customStyle="1" w:styleId="171">
    <w:name w:val="占位符文本1"/>
    <w:semiHidden/>
    <w:qFormat/>
    <w:uiPriority w:val="99"/>
    <w:rPr>
      <w:color w:val="808080"/>
    </w:rPr>
  </w:style>
  <w:style w:type="character" w:customStyle="1" w:styleId="172">
    <w:name w:val="标题 8 字符"/>
    <w:qFormat/>
    <w:uiPriority w:val="9"/>
    <w:rPr>
      <w:rFonts w:ascii="Calibri" w:hAnsi="Calibri" w:eastAsia="宋体" w:cs="Arial"/>
      <w:color w:val="404040"/>
      <w:kern w:val="20"/>
      <w:szCs w:val="20"/>
      <w:lang w:val="zh-CN"/>
    </w:rPr>
  </w:style>
  <w:style w:type="character" w:customStyle="1" w:styleId="173">
    <w:name w:val="icon"/>
    <w:qFormat/>
    <w:uiPriority w:val="0"/>
  </w:style>
  <w:style w:type="character" w:customStyle="1" w:styleId="174">
    <w:name w:val="批注文字 字符1"/>
    <w:semiHidden/>
    <w:qFormat/>
    <w:uiPriority w:val="99"/>
    <w:rPr>
      <w:rFonts w:eastAsia="微软雅黑"/>
      <w:color w:val="595959"/>
      <w:kern w:val="20"/>
      <w:sz w:val="21"/>
      <w:lang w:val="zh-CN"/>
    </w:rPr>
  </w:style>
  <w:style w:type="character" w:customStyle="1" w:styleId="175">
    <w:name w:val="列出段落 字符1"/>
    <w:link w:val="176"/>
    <w:qFormat/>
    <w:uiPriority w:val="0"/>
    <w:rPr>
      <w:rFonts w:ascii="Cambria" w:hAnsi="Cambria" w:eastAsia="微软雅黑"/>
      <w:color w:val="595959"/>
      <w:kern w:val="20"/>
      <w:sz w:val="21"/>
      <w:lang w:val="zh-CN"/>
    </w:rPr>
  </w:style>
  <w:style w:type="paragraph" w:styleId="176">
    <w:name w:val="List Paragraph"/>
    <w:basedOn w:val="1"/>
    <w:link w:val="175"/>
    <w:qFormat/>
    <w:uiPriority w:val="99"/>
    <w:pPr>
      <w:ind w:left="720"/>
      <w:contextualSpacing/>
    </w:pPr>
    <w:rPr>
      <w:color w:val="595959"/>
    </w:rPr>
  </w:style>
  <w:style w:type="character" w:customStyle="1" w:styleId="177">
    <w:name w:val="标题 5 字符"/>
    <w:qFormat/>
    <w:uiPriority w:val="9"/>
    <w:rPr>
      <w:rFonts w:ascii="Calibri" w:hAnsi="Calibri" w:eastAsia="宋体" w:cs="Arial"/>
      <w:color w:val="7E97AD"/>
      <w:kern w:val="20"/>
      <w:szCs w:val="20"/>
      <w:lang w:val="zh-CN"/>
    </w:rPr>
  </w:style>
  <w:style w:type="character" w:customStyle="1" w:styleId="178">
    <w:name w:val="重要引言字符"/>
    <w:link w:val="179"/>
    <w:qFormat/>
    <w:locked/>
    <w:uiPriority w:val="30"/>
    <w:rPr>
      <w:rFonts w:ascii="Cambria" w:hAnsi="Cambria" w:eastAsia="微软雅黑"/>
      <w:b/>
      <w:bCs/>
      <w:i/>
      <w:iCs/>
      <w:color w:val="7E97AD"/>
      <w:kern w:val="20"/>
      <w:lang w:val="zh-CN"/>
    </w:rPr>
  </w:style>
  <w:style w:type="paragraph" w:customStyle="1" w:styleId="179">
    <w:name w:val="重要引言"/>
    <w:basedOn w:val="1"/>
    <w:next w:val="1"/>
    <w:link w:val="178"/>
    <w:unhideWhenUsed/>
    <w:qFormat/>
    <w:uiPriority w:val="30"/>
    <w:pPr>
      <w:pBdr>
        <w:bottom w:val="single" w:color="7E97AD" w:sz="4" w:space="4"/>
      </w:pBdr>
      <w:spacing w:before="200" w:after="280"/>
      <w:ind w:left="936" w:right="936"/>
    </w:pPr>
    <w:rPr>
      <w:b/>
      <w:bCs/>
      <w:i/>
      <w:iCs/>
      <w:color w:val="7E97AD"/>
      <w:sz w:val="20"/>
    </w:rPr>
  </w:style>
  <w:style w:type="character" w:customStyle="1" w:styleId="180">
    <w:name w:val="lemmawgt-lemmatitle-title1"/>
    <w:qFormat/>
    <w:uiPriority w:val="0"/>
  </w:style>
  <w:style w:type="character" w:customStyle="1" w:styleId="181">
    <w:name w:val="备注文本字符"/>
    <w:link w:val="182"/>
    <w:qFormat/>
    <w:locked/>
    <w:uiPriority w:val="99"/>
    <w:rPr>
      <w:rFonts w:ascii="Cambria" w:hAnsi="Cambria" w:eastAsia="微软雅黑"/>
      <w:color w:val="595959"/>
      <w:kern w:val="20"/>
      <w:lang w:val="zh-CN"/>
    </w:rPr>
  </w:style>
  <w:style w:type="paragraph" w:customStyle="1" w:styleId="182">
    <w:name w:val="注释文本"/>
    <w:basedOn w:val="1"/>
    <w:link w:val="181"/>
    <w:unhideWhenUsed/>
    <w:qFormat/>
    <w:uiPriority w:val="99"/>
    <w:rPr>
      <w:color w:val="595959"/>
      <w:sz w:val="20"/>
    </w:rPr>
  </w:style>
  <w:style w:type="character" w:customStyle="1" w:styleId="183">
    <w:name w:val="列出段落 字符"/>
    <w:qFormat/>
    <w:uiPriority w:val="0"/>
    <w:rPr>
      <w:rFonts w:ascii="Cambria" w:hAnsi="Cambria" w:eastAsia="微软雅黑"/>
      <w:kern w:val="20"/>
      <w:sz w:val="21"/>
      <w:lang w:val="zh-CN"/>
    </w:rPr>
  </w:style>
  <w:style w:type="character" w:customStyle="1" w:styleId="184">
    <w:name w:val="标题 9 字符"/>
    <w:qFormat/>
    <w:uiPriority w:val="9"/>
    <w:rPr>
      <w:rFonts w:ascii="Calibri" w:hAnsi="Calibri" w:eastAsia="宋体" w:cs="Arial"/>
      <w:i/>
      <w:iCs/>
      <w:color w:val="404040"/>
      <w:kern w:val="20"/>
      <w:szCs w:val="20"/>
      <w:lang w:val="zh-CN"/>
    </w:rPr>
  </w:style>
  <w:style w:type="character" w:customStyle="1" w:styleId="185">
    <w:name w:val="font61"/>
    <w:qFormat/>
    <w:uiPriority w:val="0"/>
    <w:rPr>
      <w:rFonts w:hint="eastAsia" w:ascii="宋体" w:hAnsi="宋体" w:eastAsia="宋体" w:cs="宋体"/>
      <w:color w:val="000000"/>
      <w:sz w:val="21"/>
      <w:szCs w:val="21"/>
      <w:u w:val="none"/>
    </w:rPr>
  </w:style>
  <w:style w:type="character" w:customStyle="1" w:styleId="186">
    <w:name w:val="正文文本第一缩进字符"/>
    <w:link w:val="187"/>
    <w:qFormat/>
    <w:locked/>
    <w:uiPriority w:val="99"/>
    <w:rPr>
      <w:rFonts w:ascii="Cambria" w:hAnsi="Cambria" w:eastAsia="微软雅黑"/>
      <w:color w:val="595959"/>
      <w:kern w:val="20"/>
      <w:lang w:val="zh-CN"/>
    </w:rPr>
  </w:style>
  <w:style w:type="paragraph" w:customStyle="1" w:styleId="187">
    <w:name w:val="正文文本第一缩进"/>
    <w:basedOn w:val="31"/>
    <w:link w:val="186"/>
    <w:unhideWhenUsed/>
    <w:qFormat/>
    <w:uiPriority w:val="99"/>
    <w:pPr>
      <w:spacing w:after="200"/>
      <w:ind w:firstLine="360"/>
    </w:pPr>
  </w:style>
  <w:style w:type="character" w:customStyle="1" w:styleId="188">
    <w:name w:val="页脚参考线"/>
    <w:unhideWhenUsed/>
    <w:qFormat/>
    <w:uiPriority w:val="99"/>
    <w:rPr>
      <w:vertAlign w:val="superscript"/>
    </w:rPr>
  </w:style>
  <w:style w:type="character" w:customStyle="1" w:styleId="189">
    <w:name w:val="active"/>
    <w:qFormat/>
    <w:uiPriority w:val="0"/>
    <w:rPr>
      <w:shd w:val="clear" w:color="auto" w:fill="FFFFFF"/>
    </w:rPr>
  </w:style>
  <w:style w:type="character" w:customStyle="1" w:styleId="190">
    <w:name w:val="标题 2 字符"/>
    <w:qFormat/>
    <w:uiPriority w:val="0"/>
    <w:rPr>
      <w:rFonts w:ascii="微软雅黑" w:hAnsi="微软雅黑" w:eastAsia="微软雅黑"/>
      <w:b/>
      <w:kern w:val="20"/>
      <w:sz w:val="21"/>
      <w:lang w:val="zh-CN"/>
    </w:rPr>
  </w:style>
  <w:style w:type="character" w:customStyle="1" w:styleId="191">
    <w:name w:val="书名"/>
    <w:unhideWhenUsed/>
    <w:qFormat/>
    <w:uiPriority w:val="33"/>
    <w:rPr>
      <w:b/>
      <w:smallCaps/>
      <w:spacing w:val="5"/>
    </w:rPr>
  </w:style>
  <w:style w:type="character" w:customStyle="1" w:styleId="192">
    <w:name w:val="标题 6 字符"/>
    <w:qFormat/>
    <w:uiPriority w:val="9"/>
    <w:rPr>
      <w:rFonts w:ascii="Calibri" w:hAnsi="Calibri" w:eastAsia="宋体" w:cs="Arial"/>
      <w:i/>
      <w:iCs/>
      <w:color w:val="7E97AD"/>
      <w:kern w:val="20"/>
      <w:szCs w:val="20"/>
      <w:lang w:val="zh-CN"/>
    </w:rPr>
  </w:style>
  <w:style w:type="character" w:customStyle="1" w:styleId="193">
    <w:name w:val="重要强调"/>
    <w:unhideWhenUsed/>
    <w:qFormat/>
    <w:uiPriority w:val="21"/>
    <w:rPr>
      <w:b/>
      <w:i/>
      <w:color w:val="7E97AD"/>
    </w:rPr>
  </w:style>
  <w:style w:type="character" w:customStyle="1" w:styleId="194">
    <w:name w:val="已访问的超链接1"/>
    <w:unhideWhenUsed/>
    <w:qFormat/>
    <w:uiPriority w:val="99"/>
    <w:rPr>
      <w:color w:val="969696"/>
      <w:u w:val="single"/>
    </w:rPr>
  </w:style>
  <w:style w:type="character" w:customStyle="1" w:styleId="195">
    <w:name w:val="引言字符"/>
    <w:link w:val="196"/>
    <w:qFormat/>
    <w:locked/>
    <w:uiPriority w:val="9"/>
    <w:rPr>
      <w:rFonts w:ascii="Cambria" w:hAnsi="Cambria" w:eastAsia="微软雅黑"/>
      <w:i/>
      <w:iCs/>
      <w:color w:val="7E97AD"/>
      <w:kern w:val="20"/>
      <w:sz w:val="28"/>
      <w:lang w:val="zh-CN"/>
    </w:rPr>
  </w:style>
  <w:style w:type="paragraph" w:customStyle="1" w:styleId="196">
    <w:name w:val="引言"/>
    <w:basedOn w:val="1"/>
    <w:next w:val="1"/>
    <w:link w:val="195"/>
    <w:unhideWhenUsed/>
    <w:qFormat/>
    <w:uiPriority w:val="9"/>
    <w:pPr>
      <w:spacing w:before="240" w:after="240"/>
      <w:ind w:left="720" w:right="720"/>
    </w:pPr>
    <w:rPr>
      <w:i/>
      <w:iCs/>
      <w:color w:val="7E97AD"/>
      <w:sz w:val="28"/>
    </w:rPr>
  </w:style>
  <w:style w:type="character" w:customStyle="1" w:styleId="197">
    <w:name w:val="尾注参考线"/>
    <w:unhideWhenUsed/>
    <w:qFormat/>
    <w:uiPriority w:val="99"/>
    <w:rPr>
      <w:vertAlign w:val="superscript"/>
    </w:rPr>
  </w:style>
  <w:style w:type="character" w:customStyle="1" w:styleId="198">
    <w:name w:val="无间距字符"/>
    <w:link w:val="199"/>
    <w:qFormat/>
    <w:locked/>
    <w:uiPriority w:val="1"/>
    <w:rPr>
      <w:rFonts w:ascii="Cambria" w:hAnsi="Cambria" w:eastAsia="黑体"/>
      <w:color w:val="595959"/>
      <w:lang w:val="zh-CN" w:eastAsia="zh-CN" w:bidi="ar-SA"/>
    </w:rPr>
  </w:style>
  <w:style w:type="paragraph" w:customStyle="1" w:styleId="199">
    <w:name w:val="无间距"/>
    <w:link w:val="198"/>
    <w:qFormat/>
    <w:uiPriority w:val="1"/>
    <w:pPr>
      <w:spacing w:before="40"/>
    </w:pPr>
    <w:rPr>
      <w:rFonts w:ascii="Cambria" w:hAnsi="Cambria" w:eastAsia="黑体" w:cs="Times New Roman"/>
      <w:color w:val="595959"/>
      <w:lang w:val="zh-CN" w:eastAsia="zh-CN" w:bidi="ar-SA"/>
    </w:rPr>
  </w:style>
  <w:style w:type="character" w:customStyle="1" w:styleId="200">
    <w:name w:val="页脚 字符"/>
    <w:qFormat/>
    <w:uiPriority w:val="99"/>
    <w:rPr>
      <w:rFonts w:ascii="Cambria" w:hAnsi="Cambria" w:eastAsia="微软雅黑" w:cs="Times New Roman"/>
      <w:color w:val="595959"/>
      <w:kern w:val="20"/>
      <w:szCs w:val="20"/>
      <w:lang w:val="zh-CN"/>
    </w:rPr>
  </w:style>
  <w:style w:type="character" w:customStyle="1" w:styleId="201">
    <w:name w:val="注释引用"/>
    <w:unhideWhenUsed/>
    <w:qFormat/>
    <w:uiPriority w:val="99"/>
    <w:rPr>
      <w:sz w:val="16"/>
    </w:rPr>
  </w:style>
  <w:style w:type="character" w:customStyle="1" w:styleId="202">
    <w:name w:val="_Style 200"/>
    <w:unhideWhenUsed/>
    <w:qFormat/>
    <w:uiPriority w:val="99"/>
    <w:rPr>
      <w:color w:val="605E5C"/>
      <w:shd w:val="clear" w:color="auto" w:fill="E1DFDD"/>
    </w:rPr>
  </w:style>
  <w:style w:type="character" w:customStyle="1" w:styleId="203">
    <w:name w:val="fontstrikethrough"/>
    <w:qFormat/>
    <w:uiPriority w:val="0"/>
    <w:rPr>
      <w:strike/>
    </w:rPr>
  </w:style>
  <w:style w:type="character" w:customStyle="1" w:styleId="204">
    <w:name w:val="页眉 字符"/>
    <w:qFormat/>
    <w:uiPriority w:val="99"/>
    <w:rPr>
      <w:rFonts w:ascii="Cambria" w:hAnsi="Cambria" w:eastAsia="微软雅黑" w:cs="Times New Roman"/>
      <w:color w:val="595959"/>
      <w:kern w:val="20"/>
      <w:szCs w:val="20"/>
      <w:lang w:val="zh-CN"/>
    </w:rPr>
  </w:style>
  <w:style w:type="character" w:customStyle="1" w:styleId="205">
    <w:name w:val="正文文本缩进 字符"/>
    <w:qFormat/>
    <w:uiPriority w:val="0"/>
    <w:rPr>
      <w:rFonts w:ascii="Cambria" w:hAnsi="Cambria" w:eastAsia="微软雅黑" w:cs="Times New Roman"/>
      <w:color w:val="595959"/>
      <w:kern w:val="20"/>
      <w:szCs w:val="20"/>
      <w:lang w:val="zh-CN"/>
    </w:rPr>
  </w:style>
  <w:style w:type="character" w:customStyle="1" w:styleId="206">
    <w:name w:val="HTML 缩写词"/>
    <w:unhideWhenUsed/>
    <w:qFormat/>
    <w:uiPriority w:val="99"/>
    <w:rPr>
      <w:rFonts w:cs="Times New Roman"/>
    </w:rPr>
  </w:style>
  <w:style w:type="character" w:customStyle="1" w:styleId="207">
    <w:name w:val="消息头字符"/>
    <w:link w:val="208"/>
    <w:qFormat/>
    <w:locked/>
    <w:uiPriority w:val="99"/>
    <w:rPr>
      <w:rFonts w:ascii="Calibri" w:hAnsi="Calibri"/>
      <w:color w:val="595959"/>
      <w:kern w:val="20"/>
      <w:sz w:val="24"/>
      <w:shd w:val="pct20" w:color="auto" w:fill="auto"/>
      <w:lang w:val="zh-CN"/>
    </w:rPr>
  </w:style>
  <w:style w:type="paragraph" w:customStyle="1" w:styleId="208">
    <w:name w:val="消息头"/>
    <w:basedOn w:val="1"/>
    <w:link w:val="207"/>
    <w:unhideWhenUsed/>
    <w:qFormat/>
    <w:uiPriority w:val="99"/>
    <w:pPr>
      <w:pBdr>
        <w:top w:val="single" w:color="auto" w:sz="6" w:space="1"/>
        <w:left w:val="single" w:color="auto" w:sz="6" w:space="1"/>
        <w:bottom w:val="single" w:color="auto" w:sz="6" w:space="1"/>
        <w:right w:val="single" w:color="auto" w:sz="6" w:space="1"/>
      </w:pBdr>
      <w:shd w:val="pct20" w:color="auto" w:fill="auto"/>
      <w:ind w:left="1080" w:hanging="1080"/>
    </w:pPr>
    <w:rPr>
      <w:rFonts w:ascii="Calibri" w:hAnsi="Calibri" w:eastAsia="宋体"/>
      <w:color w:val="595959"/>
      <w:sz w:val="24"/>
    </w:rPr>
  </w:style>
  <w:style w:type="character" w:customStyle="1" w:styleId="209">
    <w:name w:val="备注主题字符"/>
    <w:link w:val="210"/>
    <w:qFormat/>
    <w:locked/>
    <w:uiPriority w:val="99"/>
    <w:rPr>
      <w:rFonts w:ascii="Cambria" w:hAnsi="Cambria" w:eastAsia="微软雅黑"/>
      <w:b/>
      <w:bCs/>
      <w:color w:val="595959"/>
      <w:kern w:val="20"/>
      <w:lang w:val="zh-CN"/>
    </w:rPr>
  </w:style>
  <w:style w:type="paragraph" w:customStyle="1" w:styleId="210">
    <w:name w:val="注释主题"/>
    <w:basedOn w:val="182"/>
    <w:next w:val="182"/>
    <w:link w:val="209"/>
    <w:unhideWhenUsed/>
    <w:qFormat/>
    <w:uiPriority w:val="99"/>
    <w:rPr>
      <w:b/>
      <w:bCs/>
    </w:rPr>
  </w:style>
  <w:style w:type="character" w:customStyle="1" w:styleId="211">
    <w:name w:val="访问过的超链接1"/>
    <w:unhideWhenUsed/>
    <w:qFormat/>
    <w:uiPriority w:val="99"/>
    <w:rPr>
      <w:rFonts w:cs="Times New Roman"/>
      <w:color w:val="800080"/>
      <w:u w:val="single"/>
    </w:rPr>
  </w:style>
  <w:style w:type="character" w:customStyle="1" w:styleId="212">
    <w:name w:val="font51"/>
    <w:qFormat/>
    <w:uiPriority w:val="0"/>
    <w:rPr>
      <w:rFonts w:hint="default" w:ascii="Times New Roman" w:hAnsi="Times New Roman" w:cs="Times New Roman"/>
      <w:color w:val="000000"/>
      <w:sz w:val="21"/>
      <w:szCs w:val="21"/>
      <w:u w:val="none"/>
    </w:rPr>
  </w:style>
  <w:style w:type="character" w:customStyle="1" w:styleId="213">
    <w:name w:val="宏文本字符"/>
    <w:link w:val="214"/>
    <w:qFormat/>
    <w:locked/>
    <w:uiPriority w:val="99"/>
    <w:rPr>
      <w:rFonts w:ascii="Consolas" w:hAnsi="Consolas" w:eastAsia="Times New Roman" w:cs="Consolas"/>
      <w:color w:val="595959"/>
      <w:lang w:val="zh-CN" w:eastAsia="zh-CN" w:bidi="ar-SA"/>
    </w:rPr>
  </w:style>
  <w:style w:type="paragraph" w:customStyle="1" w:styleId="214">
    <w:name w:val="宏"/>
    <w:link w:val="213"/>
    <w:unhideWhenUsed/>
    <w:qFormat/>
    <w:uiPriority w:val="99"/>
    <w:pPr>
      <w:tabs>
        <w:tab w:val="left" w:pos="480"/>
        <w:tab w:val="left" w:pos="960"/>
        <w:tab w:val="left" w:pos="1440"/>
        <w:tab w:val="left" w:pos="1920"/>
        <w:tab w:val="left" w:pos="2400"/>
        <w:tab w:val="left" w:pos="2880"/>
        <w:tab w:val="left" w:pos="3360"/>
        <w:tab w:val="left" w:pos="3840"/>
        <w:tab w:val="left" w:pos="4320"/>
      </w:tabs>
      <w:spacing w:before="40" w:line="300" w:lineRule="auto"/>
    </w:pPr>
    <w:rPr>
      <w:rFonts w:ascii="Consolas" w:hAnsi="Consolas" w:eastAsia="Times New Roman" w:cs="Consolas"/>
      <w:color w:val="595959"/>
      <w:lang w:val="zh-CN" w:eastAsia="zh-CN" w:bidi="ar-SA"/>
    </w:rPr>
  </w:style>
  <w:style w:type="character" w:customStyle="1" w:styleId="215">
    <w:name w:val="页脚文本字符"/>
    <w:link w:val="216"/>
    <w:qFormat/>
    <w:locked/>
    <w:uiPriority w:val="99"/>
    <w:rPr>
      <w:rFonts w:ascii="Cambria" w:hAnsi="Cambria" w:eastAsia="微软雅黑"/>
      <w:color w:val="595959"/>
      <w:kern w:val="20"/>
      <w:lang w:val="zh-CN"/>
    </w:rPr>
  </w:style>
  <w:style w:type="paragraph" w:customStyle="1" w:styleId="216">
    <w:name w:val="页脚文本"/>
    <w:basedOn w:val="1"/>
    <w:link w:val="215"/>
    <w:unhideWhenUsed/>
    <w:qFormat/>
    <w:uiPriority w:val="99"/>
    <w:rPr>
      <w:color w:val="595959"/>
      <w:sz w:val="20"/>
    </w:rPr>
  </w:style>
  <w:style w:type="character" w:customStyle="1" w:styleId="217">
    <w:name w:val="HTML 示例"/>
    <w:unhideWhenUsed/>
    <w:qFormat/>
    <w:uiPriority w:val="99"/>
    <w:rPr>
      <w:rFonts w:ascii="Consolas" w:hAnsi="Consolas" w:eastAsia="Times New Roman"/>
      <w:sz w:val="24"/>
    </w:rPr>
  </w:style>
  <w:style w:type="character" w:customStyle="1" w:styleId="218">
    <w:name w:val="重要参考资料"/>
    <w:unhideWhenUsed/>
    <w:qFormat/>
    <w:uiPriority w:val="32"/>
    <w:rPr>
      <w:b/>
      <w:smallCaps/>
      <w:color w:val="CC8E60"/>
      <w:spacing w:val="5"/>
      <w:u w:val="single"/>
    </w:rPr>
  </w:style>
  <w:style w:type="character" w:customStyle="1" w:styleId="219">
    <w:name w:val="批注框文本 字符"/>
    <w:qFormat/>
    <w:uiPriority w:val="99"/>
    <w:rPr>
      <w:rFonts w:ascii="Tahoma" w:hAnsi="Tahoma" w:eastAsia="Times New Roman" w:cs="Tahoma"/>
      <w:color w:val="595959"/>
      <w:kern w:val="20"/>
      <w:sz w:val="16"/>
      <w:szCs w:val="20"/>
      <w:lang w:val="zh-CN"/>
    </w:rPr>
  </w:style>
  <w:style w:type="character" w:customStyle="1" w:styleId="220">
    <w:name w:val="增强"/>
    <w:unhideWhenUsed/>
    <w:qFormat/>
    <w:uiPriority w:val="1"/>
    <w:rPr>
      <w:b/>
    </w:rPr>
  </w:style>
  <w:style w:type="character" w:customStyle="1" w:styleId="221">
    <w:name w:val="hover15"/>
    <w:qFormat/>
    <w:uiPriority w:val="0"/>
    <w:rPr>
      <w:bdr w:val="single" w:color="999999" w:sz="6" w:space="0"/>
    </w:rPr>
  </w:style>
  <w:style w:type="character" w:customStyle="1" w:styleId="222">
    <w:name w:val="px_10"/>
    <w:qFormat/>
    <w:uiPriority w:val="0"/>
    <w:rPr>
      <w:rFonts w:hint="default"/>
    </w:rPr>
  </w:style>
  <w:style w:type="character" w:customStyle="1" w:styleId="223">
    <w:name w:val="标题 3 字符"/>
    <w:qFormat/>
    <w:uiPriority w:val="0"/>
    <w:rPr>
      <w:rFonts w:ascii="宋体" w:hAnsi="宋体"/>
      <w:b/>
      <w:bCs/>
      <w:color w:val="000000"/>
      <w:kern w:val="20"/>
      <w:sz w:val="24"/>
      <w:szCs w:val="28"/>
      <w:lang w:val="zh-CN"/>
    </w:rPr>
  </w:style>
  <w:style w:type="character" w:customStyle="1" w:styleId="224">
    <w:name w:val="次要参考资料"/>
    <w:unhideWhenUsed/>
    <w:qFormat/>
    <w:uiPriority w:val="31"/>
    <w:rPr>
      <w:smallCaps/>
      <w:color w:val="CC8E60"/>
      <w:u w:val="single"/>
    </w:rPr>
  </w:style>
  <w:style w:type="character" w:customStyle="1" w:styleId="225">
    <w:name w:val="次要强调"/>
    <w:unhideWhenUsed/>
    <w:qFormat/>
    <w:uiPriority w:val="19"/>
    <w:rPr>
      <w:i/>
      <w:color w:val="7F7F7F"/>
    </w:rPr>
  </w:style>
  <w:style w:type="character" w:customStyle="1" w:styleId="226">
    <w:name w:val="fontborder"/>
    <w:qFormat/>
    <w:uiPriority w:val="0"/>
    <w:rPr>
      <w:color w:val="333333"/>
      <w:sz w:val="16"/>
      <w:szCs w:val="16"/>
      <w:u w:val="single"/>
      <w:bdr w:val="single" w:color="000000" w:sz="4" w:space="0"/>
    </w:rPr>
  </w:style>
  <w:style w:type="character" w:customStyle="1" w:styleId="227">
    <w:name w:val="active1"/>
    <w:qFormat/>
    <w:uiPriority w:val="0"/>
    <w:rPr>
      <w:shd w:val="clear" w:color="auto" w:fill="FFFFFF"/>
    </w:rPr>
  </w:style>
  <w:style w:type="paragraph" w:customStyle="1" w:styleId="228">
    <w:name w:val="页眉阴影"/>
    <w:basedOn w:val="1"/>
    <w:qFormat/>
    <w:uiPriority w:val="99"/>
    <w:pPr>
      <w:pBdr>
        <w:top w:val="single" w:color="7E97AD" w:sz="2" w:space="6"/>
        <w:left w:val="single" w:color="7E97AD" w:sz="2" w:space="20"/>
        <w:bottom w:val="single" w:color="7E97AD" w:sz="2" w:space="6"/>
        <w:right w:val="single" w:color="7E97AD" w:sz="2" w:space="20"/>
      </w:pBdr>
      <w:shd w:val="clear" w:color="auto" w:fill="7E97AD"/>
    </w:pPr>
    <w:rPr>
      <w:rFonts w:ascii="Calibri" w:hAnsi="Calibri" w:eastAsia="宋体" w:cs="Arial"/>
      <w:caps/>
      <w:color w:val="FFFFFF"/>
      <w:sz w:val="40"/>
    </w:rPr>
  </w:style>
  <w:style w:type="paragraph" w:customStyle="1" w:styleId="229">
    <w:name w:val="表格反转标题"/>
    <w:basedOn w:val="1"/>
    <w:qFormat/>
    <w:uiPriority w:val="10"/>
    <w:pPr>
      <w:spacing w:after="40"/>
      <w:ind w:left="144" w:right="144"/>
    </w:pPr>
    <w:rPr>
      <w:rFonts w:ascii="Calibri" w:hAnsi="Calibri" w:eastAsia="宋体" w:cs="Arial"/>
      <w:caps/>
      <w:color w:val="FFFFFF"/>
      <w:sz w:val="24"/>
    </w:rPr>
  </w:style>
  <w:style w:type="paragraph" w:customStyle="1" w:styleId="230">
    <w:name w:val="目录标题"/>
    <w:basedOn w:val="2"/>
    <w:next w:val="1"/>
    <w:unhideWhenUsed/>
    <w:qFormat/>
    <w:uiPriority w:val="39"/>
    <w:pPr>
      <w:numPr>
        <w:numId w:val="0"/>
      </w:numPr>
      <w:tabs>
        <w:tab w:val="clear" w:pos="0"/>
      </w:tabs>
      <w:spacing w:beforeLines="1000" w:after="360" w:line="240" w:lineRule="auto"/>
      <w:jc w:val="left"/>
      <w:outlineLvl w:val="9"/>
    </w:pPr>
    <w:rPr>
      <w:rFonts w:ascii="Cambria" w:hAnsi="Cambria" w:eastAsia="微软雅黑"/>
      <w:color w:val="595959"/>
      <w:sz w:val="36"/>
      <w:szCs w:val="20"/>
    </w:rPr>
  </w:style>
  <w:style w:type="paragraph" w:customStyle="1" w:styleId="231">
    <w:name w:val="列表段落1"/>
    <w:basedOn w:val="1"/>
    <w:unhideWhenUsed/>
    <w:qFormat/>
    <w:uiPriority w:val="0"/>
    <w:pPr>
      <w:ind w:left="720"/>
      <w:contextualSpacing/>
    </w:pPr>
    <w:rPr>
      <w:color w:val="595959"/>
    </w:rPr>
  </w:style>
  <w:style w:type="paragraph" w:customStyle="1" w:styleId="232">
    <w:name w:val="Table Text"/>
    <w:qFormat/>
    <w:uiPriority w:val="0"/>
    <w:pPr>
      <w:tabs>
        <w:tab w:val="decimal" w:pos="0"/>
      </w:tabs>
    </w:pPr>
    <w:rPr>
      <w:rFonts w:ascii="Arial" w:hAnsi="Arial" w:eastAsia="宋体" w:cs="Times New Roman"/>
      <w:sz w:val="21"/>
      <w:szCs w:val="21"/>
      <w:lang w:val="en-US" w:eastAsia="zh-CN" w:bidi="ar-SA"/>
    </w:rPr>
  </w:style>
  <w:style w:type="paragraph" w:customStyle="1" w:styleId="233">
    <w:name w:val="列出段落3"/>
    <w:basedOn w:val="1"/>
    <w:unhideWhenUsed/>
    <w:qFormat/>
    <w:uiPriority w:val="99"/>
    <w:pPr>
      <w:ind w:firstLine="420" w:firstLineChars="200"/>
    </w:pPr>
  </w:style>
  <w:style w:type="paragraph" w:customStyle="1" w:styleId="234">
    <w:name w:val="Table Paragraph"/>
    <w:basedOn w:val="1"/>
    <w:qFormat/>
    <w:uiPriority w:val="1"/>
    <w:pPr>
      <w:widowControl w:val="0"/>
      <w:autoSpaceDE w:val="0"/>
      <w:autoSpaceDN w:val="0"/>
    </w:pPr>
    <w:rPr>
      <w:rFonts w:ascii="宋体" w:hAnsi="宋体" w:eastAsia="宋体" w:cs="宋体"/>
      <w:kern w:val="0"/>
      <w:sz w:val="22"/>
      <w:szCs w:val="22"/>
      <w:lang w:bidi="zh-CN"/>
    </w:rPr>
  </w:style>
  <w:style w:type="paragraph" w:customStyle="1" w:styleId="235">
    <w:name w:val="列出段落1"/>
    <w:basedOn w:val="1"/>
    <w:qFormat/>
    <w:uiPriority w:val="0"/>
    <w:pPr>
      <w:keepNext/>
      <w:keepLines/>
      <w:tabs>
        <w:tab w:val="left" w:pos="0"/>
      </w:tabs>
      <w:spacing w:after="120" w:afterLines="50"/>
      <w:ind w:left="709"/>
      <w:jc w:val="both"/>
    </w:pPr>
    <w:rPr>
      <w:rFonts w:ascii="Times New Roman" w:hAnsi="Times New Roman" w:eastAsia="宋体"/>
      <w:color w:val="000000"/>
    </w:rPr>
  </w:style>
  <w:style w:type="paragraph" w:customStyle="1" w:styleId="236">
    <w:name w:val="列出段落4"/>
    <w:basedOn w:val="1"/>
    <w:qFormat/>
    <w:uiPriority w:val="34"/>
    <w:pPr>
      <w:ind w:firstLine="420" w:firstLineChars="200"/>
    </w:pPr>
  </w:style>
  <w:style w:type="paragraph" w:customStyle="1" w:styleId="237">
    <w:name w:val="正常 (Web)"/>
    <w:basedOn w:val="1"/>
    <w:unhideWhenUsed/>
    <w:qFormat/>
    <w:uiPriority w:val="99"/>
    <w:rPr>
      <w:rFonts w:ascii="Times New Roman" w:hAnsi="Times New Roman" w:eastAsia="黑体"/>
      <w:color w:val="595959"/>
      <w:sz w:val="24"/>
    </w:rPr>
  </w:style>
  <w:style w:type="paragraph" w:customStyle="1" w:styleId="238">
    <w:name w:val="标题5"/>
    <w:basedOn w:val="1"/>
    <w:qFormat/>
    <w:uiPriority w:val="0"/>
    <w:pPr>
      <w:widowControl w:val="0"/>
      <w:numPr>
        <w:ilvl w:val="0"/>
        <w:numId w:val="8"/>
      </w:numPr>
      <w:spacing w:before="100" w:beforeAutospacing="1" w:after="100" w:afterAutospacing="1"/>
      <w:jc w:val="both"/>
      <w:outlineLvl w:val="4"/>
    </w:pPr>
    <w:rPr>
      <w:rFonts w:ascii="Times New Roman" w:hAnsi="Times New Roman" w:eastAsia="宋体"/>
      <w:kern w:val="2"/>
      <w:szCs w:val="24"/>
      <w:lang w:val="en-US"/>
    </w:rPr>
  </w:style>
  <w:style w:type="paragraph" w:customStyle="1" w:styleId="239">
    <w:name w:val="表格标题"/>
    <w:basedOn w:val="1"/>
    <w:qFormat/>
    <w:uiPriority w:val="10"/>
    <w:pPr>
      <w:keepNext/>
      <w:pBdr>
        <w:top w:val="single" w:color="7E97AD" w:sz="4" w:space="1"/>
        <w:left w:val="single" w:color="7E97AD" w:sz="4" w:space="6"/>
        <w:bottom w:val="single" w:color="7E97AD" w:sz="4" w:space="2"/>
        <w:right w:val="single" w:color="7E97AD" w:sz="4" w:space="6"/>
      </w:pBdr>
      <w:shd w:val="clear" w:color="auto" w:fill="7E97AD"/>
      <w:spacing w:before="160"/>
      <w:ind w:left="144" w:right="144"/>
    </w:pPr>
    <w:rPr>
      <w:rFonts w:ascii="Calibri" w:hAnsi="Calibri" w:eastAsia="宋体" w:cs="Arial"/>
      <w:caps/>
      <w:color w:val="FFFFFF"/>
      <w:sz w:val="24"/>
    </w:rPr>
  </w:style>
  <w:style w:type="paragraph" w:customStyle="1" w:styleId="240">
    <w:name w:val="信封地址"/>
    <w:basedOn w:val="1"/>
    <w:unhideWhenUsed/>
    <w:qFormat/>
    <w:uiPriority w:val="99"/>
    <w:pPr>
      <w:framePr w:w="7920" w:h="1980" w:hRule="exact" w:hSpace="180" w:wrap="around" w:vAnchor="margin" w:hAnchor="page" w:xAlign="center" w:yAlign="bottom"/>
      <w:ind w:left="2880"/>
    </w:pPr>
    <w:rPr>
      <w:rFonts w:ascii="Calibri" w:hAnsi="Calibri" w:eastAsia="宋体" w:cs="Arial"/>
      <w:color w:val="595959"/>
      <w:sz w:val="24"/>
    </w:rPr>
  </w:style>
  <w:style w:type="paragraph" w:customStyle="1" w:styleId="241">
    <w:name w:val="WPSOffice手动目录 1"/>
    <w:qFormat/>
    <w:uiPriority w:val="0"/>
    <w:rPr>
      <w:rFonts w:ascii="Times New Roman" w:hAnsi="Times New Roman" w:eastAsia="宋体" w:cs="Times New Roman"/>
      <w:lang w:val="en-US" w:eastAsia="zh-CN" w:bidi="ar-SA"/>
    </w:rPr>
  </w:style>
  <w:style w:type="paragraph" w:customStyle="1" w:styleId="242">
    <w:name w:val="章标题"/>
    <w:next w:val="243"/>
    <w:qFormat/>
    <w:uiPriority w:val="0"/>
    <w:pPr>
      <w:numPr>
        <w:ilvl w:val="1"/>
        <w:numId w:val="9"/>
      </w:numPr>
      <w:spacing w:beforeLines="50" w:afterLines="50"/>
      <w:jc w:val="both"/>
      <w:outlineLvl w:val="1"/>
    </w:pPr>
    <w:rPr>
      <w:rFonts w:ascii="黑体" w:hAnsi="Times New Roman" w:eastAsia="黑体" w:cs="Times New Roman"/>
      <w:sz w:val="21"/>
      <w:lang w:val="en-US" w:eastAsia="zh-CN" w:bidi="ar-SA"/>
    </w:rPr>
  </w:style>
  <w:style w:type="paragraph" w:customStyle="1" w:styleId="243">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44">
    <w:name w:val="Default"/>
    <w:qFormat/>
    <w:uiPriority w:val="0"/>
    <w:pPr>
      <w:widowControl w:val="0"/>
      <w:autoSpaceDE w:val="0"/>
      <w:autoSpaceDN w:val="0"/>
      <w:adjustRightInd w:val="0"/>
    </w:pPr>
    <w:rPr>
      <w:rFonts w:ascii="微软雅黑" w:hAnsi="微软雅黑" w:eastAsia="宋体" w:cs="微软雅黑"/>
      <w:color w:val="000000"/>
      <w:sz w:val="24"/>
      <w:szCs w:val="24"/>
      <w:lang w:val="en-US" w:eastAsia="zh-CN" w:bidi="ar-SA"/>
    </w:rPr>
  </w:style>
  <w:style w:type="paragraph" w:customStyle="1" w:styleId="245">
    <w:name w:val="正常缩进"/>
    <w:basedOn w:val="1"/>
    <w:unhideWhenUsed/>
    <w:qFormat/>
    <w:uiPriority w:val="99"/>
    <w:pPr>
      <w:ind w:left="720"/>
    </w:pPr>
    <w:rPr>
      <w:color w:val="595959"/>
    </w:rPr>
  </w:style>
  <w:style w:type="paragraph" w:customStyle="1" w:styleId="246">
    <w:name w:val="样式 标题 2 + 宋体 五号 非加粗 黑色"/>
    <w:basedOn w:val="3"/>
    <w:qFormat/>
    <w:uiPriority w:val="0"/>
    <w:pPr>
      <w:widowControl w:val="0"/>
      <w:numPr>
        <w:ilvl w:val="0"/>
        <w:numId w:val="0"/>
      </w:numPr>
      <w:tabs>
        <w:tab w:val="clear" w:pos="0"/>
      </w:tabs>
      <w:snapToGrid/>
      <w:spacing w:before="260" w:beforeLines="0" w:after="260" w:line="416" w:lineRule="atLeast"/>
      <w:ind w:left="240"/>
    </w:pPr>
    <w:rPr>
      <w:rFonts w:ascii="宋体" w:hAnsi="宋体" w:eastAsia="宋体"/>
      <w:b/>
      <w:caps/>
      <w:color w:val="auto"/>
      <w:kern w:val="2"/>
      <w:sz w:val="21"/>
      <w:szCs w:val="32"/>
      <w:lang w:val="en-US"/>
    </w:rPr>
  </w:style>
  <w:style w:type="paragraph" w:customStyle="1" w:styleId="247">
    <w:name w:val="书目1"/>
    <w:basedOn w:val="1"/>
    <w:next w:val="1"/>
    <w:unhideWhenUsed/>
    <w:qFormat/>
    <w:uiPriority w:val="37"/>
    <w:rPr>
      <w:color w:val="595959"/>
    </w:rPr>
  </w:style>
  <w:style w:type="paragraph" w:customStyle="1" w:styleId="248">
    <w:name w:val="描述"/>
    <w:basedOn w:val="1"/>
    <w:next w:val="1"/>
    <w:unhideWhenUsed/>
    <w:qFormat/>
    <w:uiPriority w:val="35"/>
    <w:rPr>
      <w:b/>
      <w:bCs/>
      <w:color w:val="7E97AD"/>
      <w:sz w:val="18"/>
    </w:rPr>
  </w:style>
  <w:style w:type="paragraph" w:customStyle="1" w:styleId="249">
    <w:name w:val="样式6"/>
    <w:basedOn w:val="1"/>
    <w:qFormat/>
    <w:uiPriority w:val="0"/>
    <w:pPr>
      <w:tabs>
        <w:tab w:val="left" w:pos="0"/>
      </w:tabs>
      <w:ind w:firstLine="420" w:firstLineChars="200"/>
      <w:jc w:val="both"/>
    </w:pPr>
    <w:rPr>
      <w:rFonts w:ascii="宋体" w:hAnsi="宋体" w:eastAsia="宋体"/>
      <w:szCs w:val="21"/>
    </w:rPr>
  </w:style>
  <w:style w:type="paragraph" w:customStyle="1" w:styleId="250">
    <w:name w:val="p18"/>
    <w:basedOn w:val="1"/>
    <w:qFormat/>
    <w:uiPriority w:val="0"/>
    <w:pPr>
      <w:ind w:left="709" w:hanging="709"/>
      <w:jc w:val="both"/>
    </w:pPr>
    <w:rPr>
      <w:rFonts w:ascii="宋体" w:hAnsi="宋体" w:eastAsia="宋体" w:cs="宋体"/>
      <w:kern w:val="0"/>
      <w:szCs w:val="21"/>
      <w:lang w:val="en-US"/>
    </w:rPr>
  </w:style>
  <w:style w:type="paragraph" w:customStyle="1" w:styleId="251">
    <w:name w:val="一级条标题"/>
    <w:basedOn w:val="242"/>
    <w:next w:val="243"/>
    <w:qFormat/>
    <w:uiPriority w:val="0"/>
    <w:pPr>
      <w:numPr>
        <w:ilvl w:val="2"/>
      </w:numPr>
      <w:spacing w:beforeLines="0" w:afterLines="0"/>
      <w:outlineLvl w:val="2"/>
    </w:pPr>
  </w:style>
  <w:style w:type="paragraph" w:customStyle="1" w:styleId="252">
    <w:name w:val="_Style 250"/>
    <w:basedOn w:val="2"/>
    <w:next w:val="1"/>
    <w:qFormat/>
    <w:uiPriority w:val="39"/>
    <w:pPr>
      <w:keepNext/>
      <w:keepLines/>
      <w:pageBreakBefore w:val="0"/>
      <w:spacing w:before="240" w:line="259" w:lineRule="auto"/>
      <w:jc w:val="left"/>
      <w:outlineLvl w:val="9"/>
    </w:pPr>
    <w:rPr>
      <w:rFonts w:ascii="Calibri Light" w:hAnsi="Calibri Light" w:eastAsia="宋体"/>
      <w:color w:val="2E74B5"/>
      <w:kern w:val="0"/>
      <w:sz w:val="32"/>
      <w:szCs w:val="32"/>
      <w:lang w:val="en-US"/>
    </w:rPr>
  </w:style>
  <w:style w:type="paragraph" w:customStyle="1" w:styleId="253">
    <w:name w:val="中等深浅网格 1 - 强调文字颜色 21"/>
    <w:basedOn w:val="1"/>
    <w:qFormat/>
    <w:uiPriority w:val="0"/>
    <w:pPr>
      <w:spacing w:line="360" w:lineRule="auto"/>
      <w:ind w:firstLine="420" w:firstLineChars="200"/>
    </w:pPr>
    <w:rPr>
      <w:rFonts w:ascii="Calibri" w:hAnsi="Calibri"/>
      <w:szCs w:val="22"/>
    </w:rPr>
  </w:style>
  <w:style w:type="paragraph" w:customStyle="1" w:styleId="254">
    <w:name w:val="二级条标题"/>
    <w:basedOn w:val="251"/>
    <w:next w:val="243"/>
    <w:qFormat/>
    <w:uiPriority w:val="0"/>
    <w:pPr>
      <w:numPr>
        <w:ilvl w:val="3"/>
      </w:numPr>
      <w:outlineLvl w:val="3"/>
    </w:pPr>
  </w:style>
  <w:style w:type="paragraph" w:customStyle="1" w:styleId="255">
    <w:name w:val="纯文本4"/>
    <w:basedOn w:val="1"/>
    <w:qFormat/>
    <w:uiPriority w:val="0"/>
    <w:pPr>
      <w:widowControl w:val="0"/>
      <w:adjustRightInd w:val="0"/>
      <w:spacing w:line="360" w:lineRule="atLeast"/>
    </w:pPr>
    <w:rPr>
      <w:rFonts w:ascii="宋体" w:hAnsi="Courier New" w:eastAsia="宋体"/>
      <w:kern w:val="0"/>
      <w:szCs w:val="21"/>
      <w:lang w:val="en-US"/>
    </w:rPr>
  </w:style>
  <w:style w:type="paragraph" w:customStyle="1" w:styleId="256">
    <w:name w:val="信封寄信人地址"/>
    <w:basedOn w:val="1"/>
    <w:unhideWhenUsed/>
    <w:qFormat/>
    <w:uiPriority w:val="99"/>
    <w:rPr>
      <w:rFonts w:ascii="Calibri" w:hAnsi="Calibri" w:eastAsia="宋体" w:cs="Arial"/>
      <w:color w:val="595959"/>
    </w:rPr>
  </w:style>
  <w:style w:type="paragraph" w:customStyle="1" w:styleId="257">
    <w:name w:val="纯文本3"/>
    <w:basedOn w:val="1"/>
    <w:qFormat/>
    <w:uiPriority w:val="0"/>
    <w:rPr>
      <w:rFonts w:ascii="宋体" w:hAnsi="Courier New" w:cs="Helv"/>
      <w:szCs w:val="21"/>
    </w:rPr>
  </w:style>
  <w:style w:type="paragraph" w:customStyle="1" w:styleId="258">
    <w:name w:val="TOC 标题1"/>
    <w:basedOn w:val="2"/>
    <w:next w:val="1"/>
    <w:unhideWhenUsed/>
    <w:qFormat/>
    <w:uiPriority w:val="39"/>
    <w:pPr>
      <w:keepNext/>
      <w:keepLines/>
      <w:pageBreakBefore w:val="0"/>
      <w:spacing w:before="480" w:line="276" w:lineRule="auto"/>
      <w:jc w:val="left"/>
      <w:outlineLvl w:val="9"/>
    </w:pPr>
    <w:rPr>
      <w:rFonts w:ascii="Calibri Light" w:hAnsi="Calibri Light" w:eastAsia="宋体"/>
      <w:b/>
      <w:bCs/>
      <w:color w:val="2E75B5"/>
      <w:kern w:val="0"/>
      <w:sz w:val="28"/>
      <w:szCs w:val="28"/>
      <w:lang w:val="en-US"/>
    </w:rPr>
  </w:style>
  <w:style w:type="paragraph" w:customStyle="1" w:styleId="259">
    <w:name w:val="表格文字"/>
    <w:basedOn w:val="1"/>
    <w:qFormat/>
    <w:uiPriority w:val="10"/>
    <w:pPr>
      <w:spacing w:before="60" w:after="60"/>
      <w:ind w:left="144" w:right="144"/>
    </w:pPr>
    <w:rPr>
      <w:color w:val="595959"/>
    </w:rPr>
  </w:style>
  <w:style w:type="paragraph" w:customStyle="1" w:styleId="260">
    <w:name w:val="列出段落2"/>
    <w:basedOn w:val="1"/>
    <w:qFormat/>
    <w:uiPriority w:val="99"/>
    <w:pPr>
      <w:ind w:firstLine="420" w:firstLineChars="200"/>
    </w:pPr>
    <w:rPr>
      <w:color w:val="595959"/>
    </w:rPr>
  </w:style>
  <w:style w:type="paragraph" w:customStyle="1" w:styleId="261">
    <w:name w:val="表内文字"/>
    <w:basedOn w:val="1"/>
    <w:qFormat/>
    <w:uiPriority w:val="0"/>
    <w:pPr>
      <w:widowControl w:val="0"/>
      <w:snapToGrid w:val="0"/>
      <w:spacing w:before="50" w:after="50"/>
      <w:jc w:val="center"/>
    </w:pPr>
    <w:rPr>
      <w:rFonts w:ascii="仿宋_GB2312" w:hAnsi="宋体" w:eastAsia="宋体"/>
      <w:b/>
      <w:color w:val="000000"/>
      <w:kern w:val="2"/>
      <w:szCs w:val="32"/>
      <w:lang w:val="en-US"/>
    </w:rPr>
  </w:style>
  <w:style w:type="paragraph" w:customStyle="1" w:styleId="262">
    <w:name w:val="列出段落5"/>
    <w:basedOn w:val="1"/>
    <w:semiHidden/>
    <w:qFormat/>
    <w:uiPriority w:val="99"/>
    <w:pPr>
      <w:ind w:firstLine="420" w:firstLineChars="200"/>
    </w:pPr>
  </w:style>
  <w:style w:type="paragraph" w:customStyle="1" w:styleId="263">
    <w:name w:val="其余内容"/>
    <w:basedOn w:val="1"/>
    <w:qFormat/>
    <w:uiPriority w:val="0"/>
    <w:pPr>
      <w:spacing w:before="156" w:after="156" w:line="360" w:lineRule="auto"/>
      <w:ind w:firstLine="372" w:firstLineChars="177"/>
    </w:pPr>
    <w:rPr>
      <w:rFonts w:ascii="宋体" w:hAnsi="宋体"/>
      <w:kern w:val="0"/>
      <w:sz w:val="20"/>
      <w:szCs w:val="21"/>
    </w:rPr>
  </w:style>
  <w:style w:type="paragraph" w:customStyle="1" w:styleId="264">
    <w:name w:val="p17"/>
    <w:basedOn w:val="1"/>
    <w:qFormat/>
    <w:uiPriority w:val="0"/>
    <w:pPr>
      <w:jc w:val="both"/>
    </w:pPr>
    <w:rPr>
      <w:rFonts w:ascii="宋体" w:hAnsi="宋体" w:eastAsia="宋体" w:cs="宋体"/>
      <w:kern w:val="0"/>
      <w:szCs w:val="21"/>
      <w:lang w:val="en-US"/>
    </w:rPr>
  </w:style>
  <w:style w:type="paragraph" w:customStyle="1" w:styleId="265">
    <w:name w:val="lemmawgt-lemmatitle-title"/>
    <w:basedOn w:val="1"/>
    <w:qFormat/>
    <w:uiPriority w:val="0"/>
    <w:pPr>
      <w:spacing w:after="60"/>
    </w:pPr>
    <w:rPr>
      <w:kern w:val="0"/>
      <w:lang w:val="en-US"/>
    </w:rPr>
  </w:style>
  <w:style w:type="paragraph" w:customStyle="1" w:styleId="266">
    <w:name w:val="表格"/>
    <w:basedOn w:val="1"/>
    <w:qFormat/>
    <w:uiPriority w:val="0"/>
    <w:pPr>
      <w:jc w:val="center"/>
    </w:pPr>
    <w:rPr>
      <w:rFonts w:ascii="Calibri" w:hAnsi="Calibri" w:eastAsia="宋体"/>
    </w:rPr>
  </w:style>
  <w:style w:type="paragraph" w:customStyle="1" w:styleId="267">
    <w:name w:val="公司信息"/>
    <w:basedOn w:val="1"/>
    <w:qFormat/>
    <w:uiPriority w:val="2"/>
    <w:pPr>
      <w:spacing w:after="40"/>
    </w:pPr>
    <w:rPr>
      <w:color w:val="595959"/>
    </w:rPr>
  </w:style>
  <w:style w:type="paragraph" w:customStyle="1" w:styleId="268">
    <w:name w:val="列出段落6"/>
    <w:basedOn w:val="1"/>
    <w:qFormat/>
    <w:uiPriority w:val="0"/>
    <w:pPr>
      <w:ind w:firstLine="420" w:firstLineChars="200"/>
    </w:pPr>
  </w:style>
  <w:style w:type="paragraph" w:customStyle="1" w:styleId="269">
    <w:name w:val="样式1"/>
    <w:basedOn w:val="1"/>
    <w:qFormat/>
    <w:uiPriority w:val="0"/>
    <w:pPr>
      <w:widowControl w:val="0"/>
      <w:numPr>
        <w:ilvl w:val="0"/>
        <w:numId w:val="10"/>
      </w:numPr>
      <w:jc w:val="both"/>
    </w:pPr>
    <w:rPr>
      <w:rFonts w:ascii="宋体" w:hAnsi="宋体" w:eastAsia="宋体"/>
      <w:kern w:val="2"/>
      <w:szCs w:val="21"/>
      <w:lang w:val="en-US"/>
    </w:rPr>
  </w:style>
  <w:style w:type="paragraph" w:customStyle="1" w:styleId="270">
    <w:name w:val="p0"/>
    <w:basedOn w:val="1"/>
    <w:qFormat/>
    <w:uiPriority w:val="0"/>
    <w:pPr>
      <w:jc w:val="both"/>
    </w:pPr>
    <w:rPr>
      <w:rFonts w:ascii="Times New Roman" w:hAnsi="Times New Roman" w:eastAsia="宋体"/>
      <w:kern w:val="0"/>
      <w:szCs w:val="21"/>
      <w:lang w:val="en-US"/>
    </w:rPr>
  </w:style>
  <w:style w:type="paragraph" w:customStyle="1" w:styleId="271">
    <w:name w:val="修订1"/>
    <w:semiHidden/>
    <w:qFormat/>
    <w:uiPriority w:val="99"/>
    <w:rPr>
      <w:rFonts w:ascii="Cambria" w:hAnsi="Cambria" w:eastAsia="微软雅黑" w:cs="Times New Roman"/>
      <w:color w:val="000000"/>
      <w:kern w:val="20"/>
      <w:sz w:val="21"/>
      <w:lang w:val="zh-CN" w:eastAsia="zh-CN" w:bidi="ar-SA"/>
    </w:rPr>
  </w:style>
  <w:style w:type="paragraph" w:customStyle="1" w:styleId="272">
    <w:name w:val="摘要"/>
    <w:basedOn w:val="1"/>
    <w:qFormat/>
    <w:uiPriority w:val="20"/>
    <w:pPr>
      <w:spacing w:before="360"/>
      <w:ind w:left="432" w:right="1080"/>
    </w:pPr>
    <w:rPr>
      <w:i/>
      <w:iCs/>
      <w:color w:val="7F7F7F"/>
      <w:sz w:val="28"/>
    </w:rPr>
  </w:style>
  <w:style w:type="paragraph" w:customStyle="1" w:styleId="273">
    <w:name w:val="正文缩进2"/>
    <w:basedOn w:val="1"/>
    <w:qFormat/>
    <w:uiPriority w:val="0"/>
    <w:pPr>
      <w:widowControl w:val="0"/>
      <w:suppressAutoHyphens/>
      <w:autoSpaceDE w:val="0"/>
      <w:autoSpaceDN w:val="0"/>
      <w:ind w:firstLine="420"/>
      <w:textAlignment w:val="baseline"/>
    </w:pPr>
    <w:rPr>
      <w:rFonts w:ascii="宋体" w:hAnsi="宋体" w:eastAsia="宋体"/>
      <w:kern w:val="0"/>
      <w:sz w:val="24"/>
      <w:lang w:val="en-US"/>
    </w:rPr>
  </w:style>
  <w:style w:type="paragraph" w:customStyle="1" w:styleId="274">
    <w:name w:val="块文本"/>
    <w:basedOn w:val="1"/>
    <w:unhideWhenUsed/>
    <w:qFormat/>
    <w:uiPriority w:val="99"/>
    <w:pPr>
      <w:pBdr>
        <w:top w:val="single" w:color="7E97AD" w:sz="2" w:space="10"/>
        <w:left w:val="single" w:color="7E97AD" w:sz="2" w:space="10"/>
        <w:bottom w:val="single" w:color="7E97AD" w:sz="2" w:space="10"/>
        <w:right w:val="single" w:color="7E97AD" w:sz="2" w:space="10"/>
      </w:pBdr>
      <w:ind w:left="1152" w:right="1152"/>
    </w:pPr>
    <w:rPr>
      <w:i/>
      <w:iCs/>
      <w:color w:val="7E97AD"/>
    </w:rPr>
  </w:style>
  <w:style w:type="paragraph" w:customStyle="1" w:styleId="275">
    <w:name w:val="纯文本12"/>
    <w:basedOn w:val="1"/>
    <w:qFormat/>
    <w:uiPriority w:val="0"/>
    <w:pPr>
      <w:jc w:val="both"/>
    </w:pPr>
    <w:rPr>
      <w:rFonts w:ascii="宋体" w:hAnsi="Courier New"/>
      <w:kern w:val="2"/>
      <w:szCs w:val="21"/>
    </w:rPr>
  </w:style>
  <w:style w:type="table" w:customStyle="1" w:styleId="276">
    <w:name w:val="彩色列表1"/>
    <w:basedOn w:val="81"/>
    <w:qFormat/>
    <w:uiPriority w:val="72"/>
    <w:rPr>
      <w:rFonts w:ascii="Cambria" w:hAnsi="Cambria" w:eastAsia="黑体"/>
      <w:color w:val="000000"/>
    </w:rPr>
    <w:tcPr>
      <w:shd w:val="clear" w:color="auto" w:fill="E6E6E6"/>
    </w:tcPr>
    <w:tblStylePr w:type="firstRow">
      <w:rPr>
        <w:rFonts w:cs="Cambria"/>
        <w:b/>
        <w:bCs/>
        <w:color w:val="FFFFFF"/>
      </w:rPr>
      <w:tcPr>
        <w:tcBorders>
          <w:top w:val="nil"/>
          <w:left w:val="single" w:color="FFFFFF" w:sz="12" w:space="0"/>
          <w:bottom w:val="nil"/>
          <w:right w:val="nil"/>
          <w:insideH w:val="nil"/>
          <w:insideV w:val="nil"/>
          <w:tl2br w:val="nil"/>
          <w:tr2bl w:val="nil"/>
        </w:tcBorders>
        <w:shd w:val="clear" w:color="auto" w:fill="B56E3A"/>
      </w:tcPr>
    </w:tblStylePr>
    <w:tblStylePr w:type="lastRow">
      <w:rPr>
        <w:rFonts w:cs="Cambria"/>
        <w:b/>
        <w:bCs/>
        <w:color w:val="B56E3A"/>
      </w:rPr>
      <w:tcPr>
        <w:tcBorders>
          <w:top w:val="single" w:color="000000" w:sz="12" w:space="0"/>
          <w:left w:val="nil"/>
          <w:bottom w:val="nil"/>
          <w:right w:val="nil"/>
          <w:insideH w:val="nil"/>
          <w:insideV w:val="nil"/>
          <w:tl2br w:val="nil"/>
          <w:tr2bl w:val="nil"/>
        </w:tcBorders>
        <w:shd w:val="clear" w:color="auto" w:fill="FFFFFF"/>
      </w:tcPr>
    </w:tblStylePr>
    <w:tblStylePr w:type="firstCol">
      <w:rPr>
        <w:rFonts w:cs="Cambria"/>
        <w:b/>
        <w:bCs/>
      </w:rPr>
    </w:tblStylePr>
    <w:tblStylePr w:type="lastCol">
      <w:rPr>
        <w:rFonts w:cs="Cambria"/>
        <w:b/>
        <w:bCs/>
      </w:rPr>
    </w:tblStylePr>
    <w:tblStylePr w:type="band1Vert">
      <w:rPr>
        <w:rFonts w:cs="Cambria"/>
      </w:rPr>
      <w:tcPr>
        <w:tcBorders>
          <w:top w:val="nil"/>
          <w:left w:val="nil"/>
          <w:bottom w:val="nil"/>
          <w:right w:val="nil"/>
          <w:insideH w:val="nil"/>
          <w:insideV w:val="nil"/>
          <w:tl2br w:val="nil"/>
          <w:tr2bl w:val="nil"/>
        </w:tcBorders>
        <w:shd w:val="clear" w:color="auto" w:fill="C0C0C0"/>
      </w:tcPr>
    </w:tblStylePr>
    <w:tblStylePr w:type="band1Horz">
      <w:rPr>
        <w:rFonts w:cs="Cambria"/>
      </w:rPr>
      <w:tcPr>
        <w:shd w:val="clear" w:color="auto" w:fill="CCCCCC"/>
      </w:tcPr>
    </w:tblStylePr>
  </w:style>
  <w:style w:type="table" w:customStyle="1" w:styleId="277">
    <w:name w:val="中等深浅底纹 2 强调文字颜色 3"/>
    <w:basedOn w:val="81"/>
    <w:qFormat/>
    <w:uiPriority w:val="64"/>
    <w:rPr>
      <w:rFonts w:ascii="Cambria" w:hAnsi="Cambria" w:eastAsia="黑体"/>
    </w:rPr>
    <w:tblPr>
      <w:tblBorders>
        <w:top w:val="single" w:color="auto" w:sz="18" w:space="0"/>
        <w:bottom w:val="single" w:color="auto" w:sz="18" w:space="0"/>
      </w:tblBorders>
    </w:tblPr>
    <w:tblStylePr w:type="firstRow">
      <w:pPr>
        <w:spacing w:before="0" w:after="0"/>
      </w:pPr>
      <w:rPr>
        <w:rFonts w:cs="Cambria"/>
        <w:b/>
        <w:bCs/>
        <w:color w:val="FFFFFF"/>
      </w:rPr>
      <w:tcPr>
        <w:tcBorders>
          <w:top w:val="single" w:color="auto" w:sz="18" w:space="0"/>
          <w:left w:val="single" w:color="auto" w:sz="18" w:space="0"/>
          <w:bottom w:val="nil"/>
          <w:right w:val="nil"/>
          <w:insideH w:val="nil"/>
          <w:insideV w:val="nil"/>
          <w:tl2br w:val="nil"/>
          <w:tr2bl w:val="nil"/>
        </w:tcBorders>
        <w:shd w:val="clear" w:color="auto" w:fill="7A6A60"/>
      </w:tcPr>
    </w:tblStylePr>
    <w:tblStylePr w:type="lastRow">
      <w:pPr>
        <w:spacing w:before="0" w:after="0"/>
      </w:pPr>
      <w:rPr>
        <w:rFonts w:cs="Cambria"/>
        <w:color w:val="auto"/>
      </w:rPr>
      <w:tcPr>
        <w:tcBorders>
          <w:top w:val="double" w:color="auto" w:sz="6" w:space="0"/>
          <w:left w:val="single" w:color="auto" w:sz="18" w:space="0"/>
          <w:bottom w:val="nil"/>
          <w:right w:val="nil"/>
          <w:insideH w:val="nil"/>
          <w:insideV w:val="nil"/>
          <w:tl2br w:val="nil"/>
          <w:tr2bl w:val="nil"/>
        </w:tcBorders>
        <w:shd w:val="clear" w:color="auto" w:fill="FFFFFF"/>
      </w:tcPr>
    </w:tblStylePr>
    <w:tblStylePr w:type="firstCol">
      <w:rPr>
        <w:rFonts w:cs="Cambria"/>
        <w:b/>
        <w:bCs/>
        <w:color w:val="FFFFFF"/>
      </w:rPr>
      <w:tcPr>
        <w:tcBorders>
          <w:top w:val="nil"/>
          <w:left w:val="single" w:color="auto" w:sz="18" w:space="0"/>
          <w:bottom w:val="nil"/>
          <w:right w:val="nil"/>
          <w:insideH w:val="nil"/>
          <w:insideV w:val="nil"/>
          <w:tl2br w:val="nil"/>
          <w:tr2bl w:val="nil"/>
        </w:tcBorders>
        <w:shd w:val="clear" w:color="auto" w:fill="7A6A60"/>
      </w:tcPr>
    </w:tblStylePr>
    <w:tblStylePr w:type="lastCol">
      <w:rPr>
        <w:rFonts w:cs="Cambria"/>
        <w:b/>
        <w:bCs/>
        <w:color w:val="FFFFFF"/>
      </w:rPr>
      <w:tcPr>
        <w:tcBorders>
          <w:top w:val="nil"/>
          <w:left w:val="nil"/>
          <w:bottom w:val="nil"/>
          <w:right w:val="nil"/>
          <w:insideH w:val="nil"/>
          <w:insideV w:val="nil"/>
          <w:tl2br w:val="nil"/>
          <w:tr2bl w:val="nil"/>
        </w:tcBorders>
        <w:shd w:val="clear" w:color="auto" w:fill="7A6A60"/>
      </w:tcPr>
    </w:tblStylePr>
    <w:tblStylePr w:type="band1Vert">
      <w:rPr>
        <w:rFonts w:cs="Cambria"/>
      </w:rPr>
      <w:tcPr>
        <w:tcBorders>
          <w:top w:val="nil"/>
          <w:left w:val="nil"/>
          <w:bottom w:val="nil"/>
          <w:right w:val="nil"/>
          <w:insideH w:val="nil"/>
          <w:insideV w:val="nil"/>
          <w:tl2br w:val="nil"/>
          <w:tr2bl w:val="nil"/>
        </w:tcBorders>
        <w:shd w:val="clear" w:color="auto" w:fill="D8D8D8"/>
      </w:tcPr>
    </w:tblStylePr>
    <w:tblStylePr w:type="band1Horz">
      <w:rPr>
        <w:rFonts w:cs="Cambria"/>
      </w:rPr>
      <w:tcPr>
        <w:shd w:val="clear" w:color="auto" w:fill="D8D8D8"/>
      </w:tcPr>
    </w:tblStylePr>
    <w:tblStylePr w:type="neCell">
      <w:rPr>
        <w:rFonts w:cs="Cambria"/>
      </w:rPr>
      <w:tcPr>
        <w:tcBorders>
          <w:top w:val="single" w:color="auto" w:sz="18" w:space="0"/>
          <w:left w:val="single" w:color="auto" w:sz="18" w:space="0"/>
          <w:bottom w:val="nil"/>
          <w:right w:val="nil"/>
          <w:insideH w:val="nil"/>
          <w:insideV w:val="nil"/>
          <w:tl2br w:val="nil"/>
          <w:tr2bl w:val="nil"/>
        </w:tcBorders>
      </w:tcPr>
    </w:tblStylePr>
    <w:tblStylePr w:type="nwCell">
      <w:rPr>
        <w:rFonts w:cs="Cambria"/>
        <w:color w:val="FFFFFF"/>
      </w:rPr>
      <w:tcPr>
        <w:tcBorders>
          <w:top w:val="single" w:color="auto" w:sz="18" w:space="0"/>
          <w:left w:val="single" w:color="auto" w:sz="18" w:space="0"/>
          <w:bottom w:val="nil"/>
          <w:right w:val="nil"/>
          <w:insideH w:val="nil"/>
          <w:insideV w:val="nil"/>
          <w:tl2br w:val="nil"/>
          <w:tr2bl w:val="nil"/>
        </w:tcBorders>
      </w:tcPr>
    </w:tblStylePr>
  </w:style>
  <w:style w:type="table" w:customStyle="1" w:styleId="278">
    <w:name w:val="浅色网格强调文字颜色 6"/>
    <w:basedOn w:val="81"/>
    <w:qFormat/>
    <w:uiPriority w:val="62"/>
    <w:rPr>
      <w:rFonts w:ascii="Cambria" w:hAnsi="Cambria" w:eastAsia="黑体"/>
    </w:rPr>
    <w:tblPr>
      <w:tblBorders>
        <w:top w:val="single" w:color="9D936F" w:sz="8" w:space="0"/>
        <w:left w:val="single" w:color="9D936F" w:sz="8" w:space="0"/>
        <w:bottom w:val="single" w:color="9D936F" w:sz="8" w:space="0"/>
        <w:right w:val="single" w:color="9D936F" w:sz="8" w:space="0"/>
        <w:insideH w:val="single" w:color="9D936F" w:sz="8" w:space="0"/>
        <w:insideV w:val="single" w:color="9D936F" w:sz="8" w:space="0"/>
      </w:tblBorders>
    </w:tblPr>
    <w:tblStylePr w:type="firstRow">
      <w:pPr>
        <w:spacing w:before="0" w:after="0"/>
      </w:pPr>
      <w:rPr>
        <w:rFonts w:eastAsia="serif" w:cs="等线"/>
        <w:b/>
        <w:bCs/>
      </w:rPr>
      <w:tcPr>
        <w:tcBorders>
          <w:top w:val="single" w:color="9D936F" w:sz="8" w:space="0"/>
          <w:left w:val="single" w:color="9D936F" w:sz="18" w:space="0"/>
          <w:bottom w:val="single" w:color="9D936F" w:sz="8" w:space="0"/>
          <w:right w:val="single" w:color="9D936F" w:sz="8" w:space="0"/>
          <w:insideH w:val="nil"/>
          <w:insideV w:val="nil"/>
          <w:tl2br w:val="nil"/>
          <w:tr2bl w:val="nil"/>
        </w:tcBorders>
      </w:tcPr>
    </w:tblStylePr>
    <w:tblStylePr w:type="lastRow">
      <w:pPr>
        <w:spacing w:before="0" w:after="0"/>
      </w:pPr>
      <w:rPr>
        <w:rFonts w:eastAsia="serif" w:cs="等线"/>
        <w:b/>
        <w:bCs/>
      </w:rPr>
      <w:tcPr>
        <w:tcBorders>
          <w:top w:val="double" w:color="9D936F" w:sz="6" w:space="0"/>
          <w:left w:val="single" w:color="9D936F" w:sz="8" w:space="0"/>
          <w:bottom w:val="single" w:color="9D936F" w:sz="8" w:space="0"/>
          <w:right w:val="single" w:color="9D936F" w:sz="8" w:space="0"/>
          <w:insideH w:val="nil"/>
          <w:insideV w:val="nil"/>
          <w:tl2br w:val="nil"/>
          <w:tr2bl w:val="nil"/>
        </w:tcBorders>
      </w:tcPr>
    </w:tblStylePr>
    <w:tblStylePr w:type="firstCol">
      <w:rPr>
        <w:rFonts w:eastAsia="serif" w:cs="等线"/>
        <w:b/>
        <w:bCs/>
      </w:rPr>
    </w:tblStylePr>
    <w:tblStylePr w:type="lastCol">
      <w:rPr>
        <w:rFonts w:eastAsia="serif" w:cs="等线"/>
        <w:b/>
        <w:bCs/>
      </w:rPr>
      <w:tcPr>
        <w:tcBorders>
          <w:top w:val="single" w:color="9D936F" w:sz="8" w:space="0"/>
          <w:left w:val="single" w:color="9D936F" w:sz="8" w:space="0"/>
          <w:bottom w:val="single" w:color="9D936F" w:sz="8" w:space="0"/>
          <w:right w:val="single" w:color="9D936F" w:sz="8" w:space="0"/>
          <w:insideH w:val="nil"/>
          <w:insideV w:val="nil"/>
          <w:tl2br w:val="nil"/>
          <w:tr2bl w:val="nil"/>
        </w:tcBorders>
      </w:tcPr>
    </w:tblStylePr>
    <w:tblStylePr w:type="band1Vert">
      <w:rPr>
        <w:rFonts w:cs="Cambria"/>
      </w:rPr>
      <w:tcPr>
        <w:tcBorders>
          <w:top w:val="single" w:color="9D936F" w:sz="8" w:space="0"/>
          <w:left w:val="single" w:color="9D936F" w:sz="8" w:space="0"/>
          <w:bottom w:val="single" w:color="9D936F" w:sz="8" w:space="0"/>
          <w:right w:val="single" w:color="9D936F" w:sz="8" w:space="0"/>
          <w:insideH w:val="nil"/>
          <w:insideV w:val="nil"/>
          <w:tl2br w:val="nil"/>
          <w:tr2bl w:val="nil"/>
        </w:tcBorders>
        <w:shd w:val="clear" w:color="auto" w:fill="E6E4DB"/>
      </w:tcPr>
    </w:tblStylePr>
    <w:tblStylePr w:type="band1Horz">
      <w:rPr>
        <w:rFonts w:cs="Cambria"/>
      </w:rPr>
      <w:tcPr>
        <w:tcBorders>
          <w:top w:val="single" w:color="9D936F" w:sz="8" w:space="0"/>
          <w:left w:val="single" w:color="9D936F" w:sz="8" w:space="0"/>
          <w:bottom w:val="single" w:color="9D936F" w:sz="8" w:space="0"/>
          <w:right w:val="single" w:color="9D936F" w:sz="8" w:space="0"/>
          <w:insideH w:val="nil"/>
          <w:insideV w:val="nil"/>
          <w:tl2br w:val="nil"/>
          <w:tr2bl w:val="nil"/>
        </w:tcBorders>
        <w:shd w:val="clear" w:color="auto" w:fill="E6E4DB"/>
      </w:tcPr>
    </w:tblStylePr>
    <w:tblStylePr w:type="band2Horz">
      <w:rPr>
        <w:rFonts w:cs="Cambria"/>
      </w:rPr>
      <w:tcPr>
        <w:tcBorders>
          <w:top w:val="single" w:color="9D936F" w:sz="8" w:space="0"/>
          <w:left w:val="single" w:color="9D936F" w:sz="8" w:space="0"/>
          <w:bottom w:val="single" w:color="9D936F" w:sz="8" w:space="0"/>
          <w:right w:val="single" w:color="9D936F" w:sz="8" w:space="0"/>
          <w:insideH w:val="nil"/>
          <w:insideV w:val="nil"/>
          <w:tl2br w:val="nil"/>
          <w:tr2bl w:val="nil"/>
        </w:tcBorders>
      </w:tcPr>
    </w:tblStylePr>
  </w:style>
  <w:style w:type="table" w:customStyle="1" w:styleId="279">
    <w:name w:val="中等深浅网格 2 强调文字颜色 2"/>
    <w:basedOn w:val="81"/>
    <w:qFormat/>
    <w:uiPriority w:val="68"/>
    <w:rPr>
      <w:rFonts w:ascii="Calibri" w:hAnsi="Calibri" w:cs="Arial"/>
      <w:color w:val="000000"/>
    </w:rPr>
    <w:tblPr>
      <w:tblBorders>
        <w:top w:val="single" w:color="CC8E60" w:sz="8" w:space="0"/>
        <w:left w:val="single" w:color="CC8E60" w:sz="8" w:space="0"/>
        <w:bottom w:val="single" w:color="CC8E60" w:sz="8" w:space="0"/>
        <w:right w:val="single" w:color="CC8E60" w:sz="8" w:space="0"/>
        <w:insideH w:val="single" w:color="CC8E60" w:sz="8" w:space="0"/>
        <w:insideV w:val="single" w:color="CC8E60" w:sz="8" w:space="0"/>
      </w:tblBorders>
    </w:tblPr>
    <w:tcPr>
      <w:shd w:val="clear" w:color="auto" w:fill="F2E2D7"/>
    </w:tcPr>
    <w:tblStylePr w:type="firstRow">
      <w:rPr>
        <w:rFonts w:cs="等线"/>
        <w:b/>
        <w:bCs/>
        <w:color w:val="000000"/>
      </w:rPr>
      <w:tcPr>
        <w:shd w:val="clear" w:color="auto" w:fill="FAF3EF"/>
      </w:tcPr>
    </w:tblStylePr>
    <w:tblStylePr w:type="lastRow">
      <w:rPr>
        <w:rFonts w:cs="等线"/>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rFonts w:cs="等线"/>
        <w:b/>
        <w:bCs/>
        <w:color w:val="000000"/>
      </w:rPr>
      <w:tcPr>
        <w:tcBorders>
          <w:top w:val="nil"/>
          <w:left w:val="nil"/>
          <w:bottom w:val="nil"/>
          <w:right w:val="nil"/>
          <w:insideH w:val="nil"/>
          <w:insideV w:val="nil"/>
          <w:tl2br w:val="nil"/>
          <w:tr2bl w:val="nil"/>
        </w:tcBorders>
        <w:shd w:val="clear" w:color="auto" w:fill="FFFFFF"/>
      </w:tcPr>
    </w:tblStylePr>
    <w:tblStylePr w:type="lastCol">
      <w:rPr>
        <w:rFonts w:cs="等线"/>
        <w:b w:val="0"/>
        <w:bCs w:val="0"/>
        <w:color w:val="000000"/>
      </w:rPr>
      <w:tcPr>
        <w:tcBorders>
          <w:top w:val="nil"/>
          <w:left w:val="nil"/>
          <w:bottom w:val="nil"/>
          <w:right w:val="nil"/>
          <w:insideH w:val="nil"/>
          <w:insideV w:val="nil"/>
          <w:tl2br w:val="nil"/>
          <w:tr2bl w:val="nil"/>
        </w:tcBorders>
        <w:shd w:val="clear" w:color="auto" w:fill="F4E8DF"/>
      </w:tcPr>
    </w:tblStylePr>
    <w:tblStylePr w:type="band1Vert">
      <w:rPr>
        <w:rFonts w:cs="等线"/>
      </w:rPr>
      <w:tcPr>
        <w:shd w:val="clear" w:color="auto" w:fill="E5C6AF"/>
      </w:tcPr>
    </w:tblStylePr>
    <w:tblStylePr w:type="band1Horz">
      <w:rPr>
        <w:rFonts w:cs="等线"/>
      </w:rPr>
      <w:tcPr>
        <w:shd w:val="clear" w:color="auto" w:fill="E5C6AF"/>
      </w:tcPr>
    </w:tblStylePr>
    <w:tblStylePr w:type="nwCell">
      <w:rPr>
        <w:rFonts w:cs="等线"/>
      </w:rPr>
      <w:tcPr>
        <w:shd w:val="clear" w:color="auto" w:fill="FFFFFF"/>
      </w:tcPr>
    </w:tblStylePr>
  </w:style>
  <w:style w:type="table" w:customStyle="1" w:styleId="280">
    <w:name w:val="浅色列表强调文字颜色 3"/>
    <w:basedOn w:val="81"/>
    <w:qFormat/>
    <w:uiPriority w:val="61"/>
    <w:rPr>
      <w:rFonts w:ascii="Cambria" w:hAnsi="Cambria" w:eastAsia="黑体"/>
    </w:rPr>
    <w:tblPr>
      <w:tblBorders>
        <w:top w:val="single" w:color="7A6A60" w:sz="8" w:space="0"/>
        <w:left w:val="single" w:color="7A6A60" w:sz="8" w:space="0"/>
        <w:bottom w:val="single" w:color="7A6A60" w:sz="8" w:space="0"/>
        <w:right w:val="single" w:color="7A6A60" w:sz="8" w:space="0"/>
      </w:tblBorders>
    </w:tblPr>
    <w:tblStylePr w:type="firstRow">
      <w:pPr>
        <w:spacing w:before="0" w:after="0"/>
      </w:pPr>
      <w:rPr>
        <w:rFonts w:cs="Cambria"/>
        <w:b/>
        <w:bCs/>
        <w:color w:val="FFFFFF"/>
      </w:rPr>
      <w:tcPr>
        <w:shd w:val="clear" w:color="auto" w:fill="7A6A60"/>
      </w:tcPr>
    </w:tblStylePr>
    <w:tblStylePr w:type="lastRow">
      <w:pPr>
        <w:spacing w:before="0" w:after="0"/>
      </w:pPr>
      <w:rPr>
        <w:rFonts w:cs="Cambria"/>
        <w:b/>
        <w:bCs/>
      </w:rPr>
      <w:tcPr>
        <w:tcBorders>
          <w:top w:val="double" w:color="7A6A60" w:sz="6" w:space="0"/>
          <w:left w:val="single" w:color="7A6A60" w:sz="8" w:space="0"/>
          <w:bottom w:val="single" w:color="7A6A60" w:sz="8" w:space="0"/>
          <w:right w:val="single" w:color="7A6A60" w:sz="8" w:space="0"/>
          <w:insideH w:val="nil"/>
          <w:insideV w:val="nil"/>
          <w:tl2br w:val="nil"/>
          <w:tr2bl w:val="nil"/>
        </w:tcBorders>
      </w:tcPr>
    </w:tblStylePr>
    <w:tblStylePr w:type="firstCol">
      <w:rPr>
        <w:rFonts w:cs="Cambria"/>
        <w:b/>
        <w:bCs/>
      </w:rPr>
    </w:tblStylePr>
    <w:tblStylePr w:type="lastCol">
      <w:rPr>
        <w:rFonts w:cs="Cambria"/>
        <w:b/>
        <w:bCs/>
      </w:rPr>
    </w:tblStylePr>
    <w:tblStylePr w:type="band1Vert">
      <w:rPr>
        <w:rFonts w:cs="Cambria"/>
      </w:rPr>
      <w:tcPr>
        <w:tcBorders>
          <w:top w:val="single" w:color="7A6A60" w:sz="8" w:space="0"/>
          <w:left w:val="single" w:color="7A6A60" w:sz="8" w:space="0"/>
          <w:bottom w:val="single" w:color="7A6A60" w:sz="8" w:space="0"/>
          <w:right w:val="single" w:color="7A6A60" w:sz="8" w:space="0"/>
          <w:insideH w:val="nil"/>
          <w:insideV w:val="nil"/>
          <w:tl2br w:val="nil"/>
          <w:tr2bl w:val="nil"/>
        </w:tcBorders>
      </w:tcPr>
    </w:tblStylePr>
    <w:tblStylePr w:type="band1Horz">
      <w:rPr>
        <w:rFonts w:cs="Cambria"/>
      </w:rPr>
      <w:tcPr>
        <w:tcBorders>
          <w:top w:val="single" w:color="7A6A60" w:sz="8" w:space="0"/>
          <w:left w:val="single" w:color="7A6A60" w:sz="8" w:space="0"/>
          <w:bottom w:val="single" w:color="7A6A60" w:sz="8" w:space="0"/>
          <w:right w:val="single" w:color="7A6A60" w:sz="8" w:space="0"/>
          <w:insideH w:val="nil"/>
          <w:insideV w:val="nil"/>
          <w:tl2br w:val="nil"/>
          <w:tr2bl w:val="nil"/>
        </w:tcBorders>
      </w:tcPr>
    </w:tblStylePr>
  </w:style>
  <w:style w:type="table" w:customStyle="1" w:styleId="281">
    <w:name w:val="财务表格"/>
    <w:basedOn w:val="81"/>
    <w:qFormat/>
    <w:uiPriority w:val="99"/>
    <w:pPr>
      <w:ind w:left="144" w:right="144"/>
      <w:jc w:val="right"/>
    </w:pPr>
    <w:rPr>
      <w:rFonts w:ascii="Cambria" w:hAnsi="Cambria" w:eastAsia="黑体"/>
    </w:rPr>
    <w:tblPr>
      <w:tblBorders>
        <w:insideH w:val="single" w:color="D9D9D9" w:sz="4" w:space="0"/>
      </w:tblBorders>
      <w:tblCellMar>
        <w:left w:w="0" w:type="dxa"/>
        <w:right w:w="0" w:type="dxa"/>
      </w:tblCellMar>
    </w:tblPr>
    <w:tblStylePr w:type="firstRow">
      <w:pPr>
        <w:jc w:val="right"/>
      </w:pPr>
      <w:rPr>
        <w:rFonts w:eastAsia="serif" w:cs="Cambria"/>
        <w:b w:val="0"/>
        <w:caps/>
        <w:smallCaps w:val="0"/>
        <w:color w:val="7E97AD"/>
        <w:sz w:val="22"/>
      </w:rPr>
    </w:tblStylePr>
    <w:tblStylePr w:type="firstCol">
      <w:pPr>
        <w:jc w:val="left"/>
      </w:pPr>
      <w:rPr>
        <w:rFonts w:cs="Cambria"/>
        <w:b/>
      </w:rPr>
    </w:tblStylePr>
  </w:style>
  <w:style w:type="table" w:customStyle="1" w:styleId="282">
    <w:name w:val="中等深浅底纹 1 强调文字颜色 5"/>
    <w:basedOn w:val="81"/>
    <w:qFormat/>
    <w:uiPriority w:val="63"/>
    <w:rPr>
      <w:rFonts w:ascii="Cambria" w:hAnsi="Cambria" w:eastAsia="黑体"/>
    </w:rPr>
    <w:tblPr>
      <w:tblBorders>
        <w:top w:val="single" w:color="8B9B9E" w:sz="8" w:space="0"/>
        <w:left w:val="single" w:color="8B9B9E" w:sz="8" w:space="0"/>
        <w:bottom w:val="single" w:color="8B9B9E" w:sz="8" w:space="0"/>
        <w:right w:val="single" w:color="8B9B9E" w:sz="8" w:space="0"/>
        <w:insideH w:val="single" w:color="8B9B9E" w:sz="8" w:space="0"/>
      </w:tblBorders>
    </w:tblPr>
    <w:tblStylePr w:type="firstRow">
      <w:pPr>
        <w:spacing w:before="0" w:after="0"/>
      </w:pPr>
      <w:rPr>
        <w:rFonts w:cs="Cambria"/>
        <w:b/>
        <w:bCs/>
        <w:color w:val="FFFFFF"/>
      </w:rPr>
      <w:tcPr>
        <w:tcBorders>
          <w:top w:val="single" w:color="8B9B9E" w:sz="8" w:space="0"/>
          <w:left w:val="single" w:color="8B9B9E" w:sz="8" w:space="0"/>
          <w:bottom w:val="single" w:color="8B9B9E" w:sz="8" w:space="0"/>
          <w:right w:val="single" w:color="8B9B9E" w:sz="8" w:space="0"/>
          <w:insideH w:val="nil"/>
          <w:insideV w:val="nil"/>
          <w:tl2br w:val="nil"/>
          <w:tr2bl w:val="nil"/>
        </w:tcBorders>
        <w:shd w:val="clear" w:color="auto" w:fill="67787B"/>
      </w:tcPr>
    </w:tblStylePr>
    <w:tblStylePr w:type="lastRow">
      <w:pPr>
        <w:spacing w:before="0" w:after="0"/>
      </w:pPr>
      <w:rPr>
        <w:rFonts w:cs="Cambria"/>
        <w:b/>
        <w:bCs/>
      </w:rPr>
      <w:tcPr>
        <w:tcBorders>
          <w:top w:val="double" w:color="8B9B9E" w:sz="6" w:space="0"/>
          <w:left w:val="single" w:color="8B9B9E" w:sz="8" w:space="0"/>
          <w:bottom w:val="single" w:color="8B9B9E" w:sz="8" w:space="0"/>
          <w:right w:val="single" w:color="8B9B9E" w:sz="8" w:space="0"/>
          <w:insideH w:val="nil"/>
          <w:insideV w:val="nil"/>
          <w:tl2br w:val="nil"/>
          <w:tr2bl w:val="nil"/>
        </w:tcBorders>
      </w:tcPr>
    </w:tblStylePr>
    <w:tblStylePr w:type="firstCol">
      <w:rPr>
        <w:rFonts w:cs="Cambria"/>
        <w:b/>
        <w:bCs/>
      </w:rPr>
    </w:tblStylePr>
    <w:tblStylePr w:type="lastCol">
      <w:rPr>
        <w:rFonts w:cs="Cambria"/>
        <w:b/>
        <w:bCs/>
      </w:rPr>
    </w:tblStylePr>
    <w:tblStylePr w:type="band1Vert">
      <w:rPr>
        <w:rFonts w:cs="Cambria"/>
      </w:rPr>
      <w:tcPr>
        <w:shd w:val="clear" w:color="auto" w:fill="D8DEDF"/>
      </w:tcPr>
    </w:tblStylePr>
    <w:tblStylePr w:type="band1Horz">
      <w:rPr>
        <w:rFonts w:cs="Cambria"/>
      </w:rPr>
      <w:tcPr>
        <w:shd w:val="clear" w:color="auto" w:fill="D8DEDF"/>
      </w:tcPr>
    </w:tblStylePr>
    <w:tblStylePr w:type="band2Horz">
      <w:rPr>
        <w:rFonts w:cs="Cambria"/>
      </w:rPr>
    </w:tblStylePr>
  </w:style>
  <w:style w:type="table" w:customStyle="1" w:styleId="283">
    <w:name w:val="彩色网格强调文字颜色 6"/>
    <w:basedOn w:val="81"/>
    <w:qFormat/>
    <w:uiPriority w:val="73"/>
    <w:rPr>
      <w:rFonts w:ascii="Cambria" w:hAnsi="Cambria" w:eastAsia="黑体"/>
      <w:color w:val="000000"/>
    </w:rPr>
    <w:tblPr>
      <w:tblBorders>
        <w:insideH w:val="single" w:color="FFFFFF" w:sz="4" w:space="0"/>
      </w:tblBorders>
    </w:tblPr>
    <w:tcPr>
      <w:shd w:val="clear" w:color="auto" w:fill="EBE9E2"/>
    </w:tcPr>
    <w:tblStylePr w:type="firstRow">
      <w:rPr>
        <w:rFonts w:cs="Cambria"/>
        <w:b/>
        <w:bCs/>
      </w:rPr>
      <w:tcPr>
        <w:shd w:val="clear" w:color="auto" w:fill="D7D3C5"/>
      </w:tcPr>
    </w:tblStylePr>
    <w:tblStylePr w:type="lastRow">
      <w:rPr>
        <w:rFonts w:cs="Cambria"/>
        <w:b/>
        <w:bCs/>
        <w:color w:val="000000"/>
      </w:rPr>
      <w:tcPr>
        <w:shd w:val="clear" w:color="auto" w:fill="D7D3C5"/>
      </w:tcPr>
    </w:tblStylePr>
    <w:tblStylePr w:type="firstCol">
      <w:rPr>
        <w:rFonts w:cs="Cambria"/>
        <w:color w:val="FFFFFF"/>
      </w:rPr>
      <w:tcPr>
        <w:shd w:val="clear" w:color="auto" w:fill="776E51"/>
      </w:tcPr>
    </w:tblStylePr>
    <w:tblStylePr w:type="lastCol">
      <w:rPr>
        <w:rFonts w:cs="Cambria"/>
        <w:color w:val="FFFFFF"/>
      </w:rPr>
      <w:tcPr>
        <w:shd w:val="clear" w:color="auto" w:fill="776E51"/>
      </w:tcPr>
    </w:tblStylePr>
    <w:tblStylePr w:type="band1Vert">
      <w:rPr>
        <w:rFonts w:cs="Cambria"/>
      </w:rPr>
      <w:tcPr>
        <w:shd w:val="clear" w:color="auto" w:fill="CEC9B7"/>
      </w:tcPr>
    </w:tblStylePr>
    <w:tblStylePr w:type="band1Horz">
      <w:rPr>
        <w:rFonts w:cs="Cambria"/>
      </w:rPr>
      <w:tcPr>
        <w:shd w:val="clear" w:color="auto" w:fill="CEC9B7"/>
      </w:tcPr>
    </w:tblStylePr>
  </w:style>
  <w:style w:type="table" w:customStyle="1" w:styleId="284">
    <w:name w:val="浅色网格强调文字颜色 3"/>
    <w:basedOn w:val="81"/>
    <w:qFormat/>
    <w:uiPriority w:val="62"/>
    <w:rPr>
      <w:rFonts w:ascii="Cambria" w:hAnsi="Cambria" w:eastAsia="黑体"/>
    </w:rPr>
    <w:tblPr>
      <w:tblBorders>
        <w:top w:val="single" w:color="7A6A60" w:sz="8" w:space="0"/>
        <w:left w:val="single" w:color="7A6A60" w:sz="8" w:space="0"/>
        <w:bottom w:val="single" w:color="7A6A60" w:sz="8" w:space="0"/>
        <w:right w:val="single" w:color="7A6A60" w:sz="8" w:space="0"/>
        <w:insideH w:val="single" w:color="7A6A60" w:sz="8" w:space="0"/>
        <w:insideV w:val="single" w:color="7A6A60" w:sz="8" w:space="0"/>
      </w:tblBorders>
    </w:tblPr>
    <w:tblStylePr w:type="firstRow">
      <w:pPr>
        <w:spacing w:before="0" w:after="0"/>
      </w:pPr>
      <w:rPr>
        <w:rFonts w:eastAsia="serif" w:cs="等线"/>
        <w:b/>
        <w:bCs/>
      </w:rPr>
      <w:tcPr>
        <w:tcBorders>
          <w:top w:val="single" w:color="7A6A60" w:sz="8" w:space="0"/>
          <w:left w:val="single" w:color="7A6A60" w:sz="18" w:space="0"/>
          <w:bottom w:val="single" w:color="7A6A60" w:sz="8" w:space="0"/>
          <w:right w:val="single" w:color="7A6A60" w:sz="8" w:space="0"/>
          <w:insideH w:val="nil"/>
          <w:insideV w:val="nil"/>
          <w:tl2br w:val="nil"/>
          <w:tr2bl w:val="nil"/>
        </w:tcBorders>
      </w:tcPr>
    </w:tblStylePr>
    <w:tblStylePr w:type="lastRow">
      <w:pPr>
        <w:spacing w:before="0" w:after="0"/>
      </w:pPr>
      <w:rPr>
        <w:rFonts w:eastAsia="serif" w:cs="等线"/>
        <w:b/>
        <w:bCs/>
      </w:rPr>
      <w:tcPr>
        <w:tcBorders>
          <w:top w:val="double" w:color="7A6A60" w:sz="6" w:space="0"/>
          <w:left w:val="single" w:color="7A6A60" w:sz="8" w:space="0"/>
          <w:bottom w:val="single" w:color="7A6A60" w:sz="8" w:space="0"/>
          <w:right w:val="single" w:color="7A6A60" w:sz="8" w:space="0"/>
          <w:insideH w:val="nil"/>
          <w:insideV w:val="nil"/>
          <w:tl2br w:val="nil"/>
          <w:tr2bl w:val="nil"/>
        </w:tcBorders>
      </w:tcPr>
    </w:tblStylePr>
    <w:tblStylePr w:type="firstCol">
      <w:rPr>
        <w:rFonts w:eastAsia="serif" w:cs="等线"/>
        <w:b/>
        <w:bCs/>
      </w:rPr>
    </w:tblStylePr>
    <w:tblStylePr w:type="lastCol">
      <w:rPr>
        <w:rFonts w:eastAsia="serif" w:cs="等线"/>
        <w:b/>
        <w:bCs/>
      </w:rPr>
      <w:tcPr>
        <w:tcBorders>
          <w:top w:val="single" w:color="7A6A60" w:sz="8" w:space="0"/>
          <w:left w:val="single" w:color="7A6A60" w:sz="8" w:space="0"/>
          <w:bottom w:val="single" w:color="7A6A60" w:sz="8" w:space="0"/>
          <w:right w:val="single" w:color="7A6A60" w:sz="8" w:space="0"/>
          <w:insideH w:val="nil"/>
          <w:insideV w:val="nil"/>
          <w:tl2br w:val="nil"/>
          <w:tr2bl w:val="nil"/>
        </w:tcBorders>
      </w:tcPr>
    </w:tblStylePr>
    <w:tblStylePr w:type="band1Vert">
      <w:rPr>
        <w:rFonts w:cs="Cambria"/>
      </w:rPr>
      <w:tcPr>
        <w:tcBorders>
          <w:top w:val="single" w:color="7A6A60" w:sz="8" w:space="0"/>
          <w:left w:val="single" w:color="7A6A60" w:sz="8" w:space="0"/>
          <w:bottom w:val="single" w:color="7A6A60" w:sz="8" w:space="0"/>
          <w:right w:val="single" w:color="7A6A60" w:sz="8" w:space="0"/>
          <w:insideH w:val="nil"/>
          <w:insideV w:val="nil"/>
          <w:tl2br w:val="nil"/>
          <w:tr2bl w:val="nil"/>
        </w:tcBorders>
        <w:shd w:val="clear" w:color="auto" w:fill="DFD9D6"/>
      </w:tcPr>
    </w:tblStylePr>
    <w:tblStylePr w:type="band1Horz">
      <w:rPr>
        <w:rFonts w:cs="Cambria"/>
      </w:rPr>
      <w:tcPr>
        <w:tcBorders>
          <w:top w:val="single" w:color="7A6A60" w:sz="8" w:space="0"/>
          <w:left w:val="single" w:color="7A6A60" w:sz="8" w:space="0"/>
          <w:bottom w:val="single" w:color="7A6A60" w:sz="8" w:space="0"/>
          <w:right w:val="single" w:color="7A6A60" w:sz="8" w:space="0"/>
          <w:insideH w:val="nil"/>
          <w:insideV w:val="nil"/>
          <w:tl2br w:val="nil"/>
          <w:tr2bl w:val="nil"/>
        </w:tcBorders>
        <w:shd w:val="clear" w:color="auto" w:fill="DFD9D6"/>
      </w:tcPr>
    </w:tblStylePr>
    <w:tblStylePr w:type="band2Horz">
      <w:rPr>
        <w:rFonts w:cs="Cambria"/>
      </w:rPr>
      <w:tcPr>
        <w:tcBorders>
          <w:top w:val="single" w:color="7A6A60" w:sz="8" w:space="0"/>
          <w:left w:val="single" w:color="7A6A60" w:sz="8" w:space="0"/>
          <w:bottom w:val="single" w:color="7A6A60" w:sz="8" w:space="0"/>
          <w:right w:val="single" w:color="7A6A60" w:sz="8" w:space="0"/>
          <w:insideH w:val="nil"/>
          <w:insideV w:val="nil"/>
          <w:tl2br w:val="nil"/>
          <w:tr2bl w:val="nil"/>
        </w:tcBorders>
      </w:tcPr>
    </w:tblStylePr>
  </w:style>
  <w:style w:type="table" w:customStyle="1" w:styleId="285">
    <w:name w:val="浅色列表强调文字颜色 6"/>
    <w:basedOn w:val="81"/>
    <w:qFormat/>
    <w:uiPriority w:val="61"/>
    <w:rPr>
      <w:rFonts w:ascii="Cambria" w:hAnsi="Cambria" w:eastAsia="黑体"/>
    </w:rPr>
    <w:tblPr>
      <w:tblBorders>
        <w:top w:val="single" w:color="9D936F" w:sz="8" w:space="0"/>
        <w:left w:val="single" w:color="9D936F" w:sz="8" w:space="0"/>
        <w:bottom w:val="single" w:color="9D936F" w:sz="8" w:space="0"/>
        <w:right w:val="single" w:color="9D936F" w:sz="8" w:space="0"/>
      </w:tblBorders>
    </w:tblPr>
    <w:tblStylePr w:type="firstRow">
      <w:pPr>
        <w:spacing w:before="0" w:after="0"/>
      </w:pPr>
      <w:rPr>
        <w:rFonts w:cs="Cambria"/>
        <w:b/>
        <w:bCs/>
        <w:color w:val="FFFFFF"/>
      </w:rPr>
      <w:tcPr>
        <w:shd w:val="clear" w:color="auto" w:fill="9D936F"/>
      </w:tcPr>
    </w:tblStylePr>
    <w:tblStylePr w:type="lastRow">
      <w:pPr>
        <w:spacing w:before="0" w:after="0"/>
      </w:pPr>
      <w:rPr>
        <w:rFonts w:cs="Cambria"/>
        <w:b/>
        <w:bCs/>
      </w:rPr>
      <w:tcPr>
        <w:tcBorders>
          <w:top w:val="double" w:color="9D936F" w:sz="6" w:space="0"/>
          <w:left w:val="single" w:color="9D936F" w:sz="8" w:space="0"/>
          <w:bottom w:val="single" w:color="9D936F" w:sz="8" w:space="0"/>
          <w:right w:val="single" w:color="9D936F" w:sz="8" w:space="0"/>
          <w:insideH w:val="nil"/>
          <w:insideV w:val="nil"/>
          <w:tl2br w:val="nil"/>
          <w:tr2bl w:val="nil"/>
        </w:tcBorders>
      </w:tcPr>
    </w:tblStylePr>
    <w:tblStylePr w:type="firstCol">
      <w:rPr>
        <w:rFonts w:cs="Cambria"/>
        <w:b/>
        <w:bCs/>
      </w:rPr>
    </w:tblStylePr>
    <w:tblStylePr w:type="lastCol">
      <w:rPr>
        <w:rFonts w:cs="Cambria"/>
        <w:b/>
        <w:bCs/>
      </w:rPr>
    </w:tblStylePr>
    <w:tblStylePr w:type="band1Vert">
      <w:rPr>
        <w:rFonts w:cs="Cambria"/>
      </w:rPr>
      <w:tcPr>
        <w:tcBorders>
          <w:top w:val="single" w:color="9D936F" w:sz="8" w:space="0"/>
          <w:left w:val="single" w:color="9D936F" w:sz="8" w:space="0"/>
          <w:bottom w:val="single" w:color="9D936F" w:sz="8" w:space="0"/>
          <w:right w:val="single" w:color="9D936F" w:sz="8" w:space="0"/>
          <w:insideH w:val="nil"/>
          <w:insideV w:val="nil"/>
          <w:tl2br w:val="nil"/>
          <w:tr2bl w:val="nil"/>
        </w:tcBorders>
      </w:tcPr>
    </w:tblStylePr>
    <w:tblStylePr w:type="band1Horz">
      <w:rPr>
        <w:rFonts w:cs="Cambria"/>
      </w:rPr>
      <w:tcPr>
        <w:tcBorders>
          <w:top w:val="single" w:color="9D936F" w:sz="8" w:space="0"/>
          <w:left w:val="single" w:color="9D936F" w:sz="8" w:space="0"/>
          <w:bottom w:val="single" w:color="9D936F" w:sz="8" w:space="0"/>
          <w:right w:val="single" w:color="9D936F" w:sz="8" w:space="0"/>
          <w:insideH w:val="nil"/>
          <w:insideV w:val="nil"/>
          <w:tl2br w:val="nil"/>
          <w:tr2bl w:val="nil"/>
        </w:tcBorders>
      </w:tcPr>
    </w:tblStylePr>
  </w:style>
  <w:style w:type="table" w:customStyle="1" w:styleId="286">
    <w:name w:val="浅色网格强调文字颜色 4"/>
    <w:basedOn w:val="81"/>
    <w:qFormat/>
    <w:uiPriority w:val="62"/>
    <w:rPr>
      <w:rFonts w:ascii="Cambria" w:hAnsi="Cambria" w:eastAsia="黑体"/>
    </w:rPr>
    <w:tblPr>
      <w:tblBorders>
        <w:top w:val="single" w:color="B4936D" w:sz="8" w:space="0"/>
        <w:left w:val="single" w:color="B4936D" w:sz="8" w:space="0"/>
        <w:bottom w:val="single" w:color="B4936D" w:sz="8" w:space="0"/>
        <w:right w:val="single" w:color="B4936D" w:sz="8" w:space="0"/>
        <w:insideH w:val="single" w:color="B4936D" w:sz="8" w:space="0"/>
        <w:insideV w:val="single" w:color="B4936D" w:sz="8" w:space="0"/>
      </w:tblBorders>
    </w:tblPr>
    <w:tblStylePr w:type="firstRow">
      <w:pPr>
        <w:spacing w:before="0" w:after="0"/>
      </w:pPr>
      <w:rPr>
        <w:rFonts w:eastAsia="serif" w:cs="等线"/>
        <w:b/>
        <w:bCs/>
      </w:rPr>
      <w:tcPr>
        <w:tcBorders>
          <w:top w:val="single" w:color="B4936D" w:sz="8" w:space="0"/>
          <w:left w:val="single" w:color="B4936D" w:sz="18" w:space="0"/>
          <w:bottom w:val="single" w:color="B4936D" w:sz="8" w:space="0"/>
          <w:right w:val="single" w:color="B4936D" w:sz="8" w:space="0"/>
          <w:insideH w:val="nil"/>
          <w:insideV w:val="nil"/>
          <w:tl2br w:val="nil"/>
          <w:tr2bl w:val="nil"/>
        </w:tcBorders>
      </w:tcPr>
    </w:tblStylePr>
    <w:tblStylePr w:type="lastRow">
      <w:pPr>
        <w:spacing w:before="0" w:after="0"/>
      </w:pPr>
      <w:rPr>
        <w:rFonts w:eastAsia="serif" w:cs="等线"/>
        <w:b/>
        <w:bCs/>
      </w:rPr>
      <w:tcPr>
        <w:tcBorders>
          <w:top w:val="double" w:color="B4936D" w:sz="6" w:space="0"/>
          <w:left w:val="single" w:color="B4936D" w:sz="8" w:space="0"/>
          <w:bottom w:val="single" w:color="B4936D" w:sz="8" w:space="0"/>
          <w:right w:val="single" w:color="B4936D" w:sz="8" w:space="0"/>
          <w:insideH w:val="nil"/>
          <w:insideV w:val="nil"/>
          <w:tl2br w:val="nil"/>
          <w:tr2bl w:val="nil"/>
        </w:tcBorders>
      </w:tcPr>
    </w:tblStylePr>
    <w:tblStylePr w:type="firstCol">
      <w:rPr>
        <w:rFonts w:eastAsia="serif" w:cs="等线"/>
        <w:b/>
        <w:bCs/>
      </w:rPr>
    </w:tblStylePr>
    <w:tblStylePr w:type="lastCol">
      <w:rPr>
        <w:rFonts w:eastAsia="serif" w:cs="等线"/>
        <w:b/>
        <w:bCs/>
      </w:rPr>
      <w:tcPr>
        <w:tcBorders>
          <w:top w:val="single" w:color="B4936D" w:sz="8" w:space="0"/>
          <w:left w:val="single" w:color="B4936D" w:sz="8" w:space="0"/>
          <w:bottom w:val="single" w:color="B4936D" w:sz="8" w:space="0"/>
          <w:right w:val="single" w:color="B4936D" w:sz="8" w:space="0"/>
          <w:insideH w:val="nil"/>
          <w:insideV w:val="nil"/>
          <w:tl2br w:val="nil"/>
          <w:tr2bl w:val="nil"/>
        </w:tcBorders>
      </w:tcPr>
    </w:tblStylePr>
    <w:tblStylePr w:type="band1Vert">
      <w:rPr>
        <w:rFonts w:cs="Cambria"/>
      </w:rPr>
      <w:tcPr>
        <w:tcBorders>
          <w:top w:val="single" w:color="B4936D" w:sz="8" w:space="0"/>
          <w:left w:val="single" w:color="B4936D" w:sz="8" w:space="0"/>
          <w:bottom w:val="single" w:color="B4936D" w:sz="8" w:space="0"/>
          <w:right w:val="single" w:color="B4936D" w:sz="8" w:space="0"/>
          <w:insideH w:val="nil"/>
          <w:insideV w:val="nil"/>
          <w:tl2br w:val="nil"/>
          <w:tr2bl w:val="nil"/>
        </w:tcBorders>
        <w:shd w:val="clear" w:color="auto" w:fill="ECE4DA"/>
      </w:tcPr>
    </w:tblStylePr>
    <w:tblStylePr w:type="band1Horz">
      <w:rPr>
        <w:rFonts w:cs="Cambria"/>
      </w:rPr>
      <w:tcPr>
        <w:tcBorders>
          <w:top w:val="single" w:color="B4936D" w:sz="8" w:space="0"/>
          <w:left w:val="single" w:color="B4936D" w:sz="8" w:space="0"/>
          <w:bottom w:val="single" w:color="B4936D" w:sz="8" w:space="0"/>
          <w:right w:val="single" w:color="B4936D" w:sz="8" w:space="0"/>
          <w:insideH w:val="nil"/>
          <w:insideV w:val="nil"/>
          <w:tl2br w:val="nil"/>
          <w:tr2bl w:val="nil"/>
        </w:tcBorders>
        <w:shd w:val="clear" w:color="auto" w:fill="ECE4DA"/>
      </w:tcPr>
    </w:tblStylePr>
    <w:tblStylePr w:type="band2Horz">
      <w:rPr>
        <w:rFonts w:cs="Cambria"/>
      </w:rPr>
      <w:tcPr>
        <w:tcBorders>
          <w:top w:val="single" w:color="B4936D" w:sz="8" w:space="0"/>
          <w:left w:val="single" w:color="B4936D" w:sz="8" w:space="0"/>
          <w:bottom w:val="single" w:color="B4936D" w:sz="8" w:space="0"/>
          <w:right w:val="single" w:color="B4936D" w:sz="8" w:space="0"/>
          <w:insideH w:val="nil"/>
          <w:insideV w:val="nil"/>
          <w:tl2br w:val="nil"/>
          <w:tr2bl w:val="nil"/>
        </w:tcBorders>
      </w:tcPr>
    </w:tblStylePr>
  </w:style>
  <w:style w:type="table" w:customStyle="1" w:styleId="287">
    <w:name w:val="深色列表强调文字颜色 2"/>
    <w:basedOn w:val="81"/>
    <w:qFormat/>
    <w:uiPriority w:val="70"/>
    <w:rPr>
      <w:rFonts w:ascii="Cambria" w:hAnsi="Cambria" w:eastAsia="黑体"/>
      <w:color w:val="FFFFFF"/>
    </w:rPr>
    <w:tcPr>
      <w:shd w:val="clear" w:color="auto" w:fill="CC8E60"/>
    </w:tcPr>
    <w:tblStylePr w:type="firstRow">
      <w:rPr>
        <w:rFonts w:cs="Cambria"/>
        <w:b/>
        <w:bCs/>
      </w:rPr>
      <w:tcPr>
        <w:tcBorders>
          <w:top w:val="nil"/>
          <w:left w:val="single" w:color="FFFFFF" w:sz="18" w:space="0"/>
          <w:bottom w:val="nil"/>
          <w:right w:val="nil"/>
          <w:insideH w:val="nil"/>
          <w:insideV w:val="nil"/>
          <w:tl2br w:val="nil"/>
          <w:tr2bl w:val="nil"/>
        </w:tcBorders>
        <w:shd w:val="clear" w:color="auto" w:fill="000000"/>
      </w:tcPr>
    </w:tblStylePr>
    <w:tblStylePr w:type="lastRow">
      <w:rPr>
        <w:rFonts w:cs="Cambria"/>
      </w:rPr>
      <w:tcPr>
        <w:tcBorders>
          <w:top w:val="single" w:color="FFFFFF" w:sz="18" w:space="0"/>
          <w:left w:val="nil"/>
          <w:bottom w:val="nil"/>
          <w:right w:val="nil"/>
          <w:insideH w:val="nil"/>
          <w:insideV w:val="nil"/>
          <w:tl2br w:val="nil"/>
          <w:tr2bl w:val="nil"/>
        </w:tcBorders>
        <w:shd w:val="clear" w:color="auto" w:fill="714424"/>
      </w:tcPr>
    </w:tblStylePr>
    <w:tblStylePr w:type="firstCol">
      <w:rPr>
        <w:rFonts w:cs="Cambria"/>
      </w:rPr>
      <w:tcPr>
        <w:tcBorders>
          <w:top w:val="nil"/>
          <w:left w:val="nil"/>
          <w:bottom w:val="nil"/>
          <w:right w:val="single" w:color="FFFFFF" w:sz="18" w:space="0"/>
          <w:insideH w:val="nil"/>
          <w:insideV w:val="nil"/>
          <w:tl2br w:val="nil"/>
          <w:tr2bl w:val="nil"/>
        </w:tcBorders>
        <w:shd w:val="clear" w:color="auto" w:fill="AA6736"/>
      </w:tcPr>
    </w:tblStylePr>
    <w:tblStylePr w:type="lastCol">
      <w:rPr>
        <w:rFonts w:cs="Cambria"/>
      </w:rPr>
      <w:tcPr>
        <w:tcBorders>
          <w:top w:val="nil"/>
          <w:left w:val="nil"/>
          <w:bottom w:val="single" w:color="FFFFFF" w:sz="18" w:space="0"/>
          <w:right w:val="nil"/>
          <w:insideH w:val="nil"/>
          <w:insideV w:val="nil"/>
          <w:tl2br w:val="nil"/>
          <w:tr2bl w:val="nil"/>
        </w:tcBorders>
        <w:shd w:val="clear" w:color="auto" w:fill="AA6736"/>
      </w:tcPr>
    </w:tblStylePr>
    <w:tblStylePr w:type="band1Vert">
      <w:rPr>
        <w:rFonts w:cs="Cambria"/>
      </w:rPr>
      <w:tcPr>
        <w:tcBorders>
          <w:top w:val="nil"/>
          <w:left w:val="nil"/>
          <w:bottom w:val="nil"/>
          <w:right w:val="nil"/>
          <w:insideH w:val="nil"/>
          <w:insideV w:val="nil"/>
          <w:tl2br w:val="nil"/>
          <w:tr2bl w:val="nil"/>
        </w:tcBorders>
        <w:shd w:val="clear" w:color="auto" w:fill="AA6736"/>
      </w:tcPr>
    </w:tblStylePr>
    <w:tblStylePr w:type="band1Horz">
      <w:rPr>
        <w:rFonts w:cs="Cambria"/>
      </w:rPr>
      <w:tcPr>
        <w:tcBorders>
          <w:top w:val="nil"/>
          <w:left w:val="nil"/>
          <w:bottom w:val="nil"/>
          <w:right w:val="nil"/>
          <w:insideH w:val="nil"/>
          <w:insideV w:val="nil"/>
          <w:tl2br w:val="nil"/>
          <w:tr2bl w:val="nil"/>
        </w:tcBorders>
        <w:shd w:val="clear" w:color="auto" w:fill="AA6736"/>
      </w:tcPr>
    </w:tblStylePr>
  </w:style>
  <w:style w:type="table" w:customStyle="1" w:styleId="288">
    <w:name w:val="浅色底纹强调文字颜色 3"/>
    <w:basedOn w:val="81"/>
    <w:qFormat/>
    <w:uiPriority w:val="60"/>
    <w:rPr>
      <w:rFonts w:ascii="Cambria" w:hAnsi="Cambria" w:eastAsia="黑体"/>
      <w:color w:val="5B4F47"/>
    </w:rPr>
    <w:tblPr>
      <w:tblBorders>
        <w:top w:val="single" w:color="7A6A60" w:sz="8" w:space="0"/>
        <w:bottom w:val="single" w:color="7A6A60" w:sz="8" w:space="0"/>
      </w:tblBorders>
    </w:tblPr>
    <w:tblStylePr w:type="firstRow">
      <w:pPr>
        <w:spacing w:before="0" w:after="0"/>
      </w:pPr>
      <w:rPr>
        <w:rFonts w:cs="Cambria"/>
        <w:b/>
        <w:bCs/>
      </w:rPr>
      <w:tcPr>
        <w:tcBorders>
          <w:top w:val="single" w:color="7A6A60" w:sz="8" w:space="0"/>
          <w:left w:val="single" w:color="7A6A60" w:sz="8" w:space="0"/>
          <w:bottom w:val="nil"/>
          <w:right w:val="nil"/>
          <w:insideH w:val="nil"/>
          <w:insideV w:val="nil"/>
          <w:tl2br w:val="nil"/>
          <w:tr2bl w:val="nil"/>
        </w:tcBorders>
      </w:tcPr>
    </w:tblStylePr>
    <w:tblStylePr w:type="lastRow">
      <w:pPr>
        <w:spacing w:before="0" w:after="0"/>
      </w:pPr>
      <w:rPr>
        <w:rFonts w:cs="Cambria"/>
        <w:b/>
        <w:bCs/>
      </w:rPr>
      <w:tcPr>
        <w:tcBorders>
          <w:top w:val="single" w:color="7A6A60" w:sz="8" w:space="0"/>
          <w:left w:val="single" w:color="7A6A60" w:sz="8" w:space="0"/>
          <w:bottom w:val="nil"/>
          <w:right w:val="nil"/>
          <w:insideH w:val="nil"/>
          <w:insideV w:val="nil"/>
          <w:tl2br w:val="nil"/>
          <w:tr2bl w:val="nil"/>
        </w:tcBorders>
      </w:tcPr>
    </w:tblStylePr>
    <w:tblStylePr w:type="firstCol">
      <w:rPr>
        <w:rFonts w:cs="Cambria"/>
        <w:b/>
        <w:bCs/>
      </w:rPr>
    </w:tblStylePr>
    <w:tblStylePr w:type="lastCol">
      <w:rPr>
        <w:rFonts w:cs="Cambria"/>
        <w:b/>
        <w:bCs/>
      </w:rPr>
    </w:tblStylePr>
    <w:tblStylePr w:type="band1Vert">
      <w:rPr>
        <w:rFonts w:cs="Cambria"/>
      </w:rPr>
      <w:tcPr>
        <w:tcBorders>
          <w:top w:val="nil"/>
          <w:left w:val="nil"/>
          <w:bottom w:val="nil"/>
          <w:right w:val="nil"/>
          <w:insideH w:val="nil"/>
          <w:insideV w:val="nil"/>
          <w:tl2br w:val="nil"/>
          <w:tr2bl w:val="nil"/>
        </w:tcBorders>
        <w:shd w:val="clear" w:color="auto" w:fill="DFD9D6"/>
      </w:tcPr>
    </w:tblStylePr>
    <w:tblStylePr w:type="band1Horz">
      <w:rPr>
        <w:rFonts w:cs="Cambria"/>
      </w:rPr>
      <w:tcPr>
        <w:tcBorders>
          <w:top w:val="nil"/>
          <w:left w:val="nil"/>
          <w:bottom w:val="nil"/>
          <w:right w:val="nil"/>
          <w:insideH w:val="nil"/>
          <w:insideV w:val="nil"/>
          <w:tl2br w:val="nil"/>
          <w:tr2bl w:val="nil"/>
        </w:tcBorders>
        <w:shd w:val="clear" w:color="auto" w:fill="DFD9D6"/>
      </w:tcPr>
    </w:tblStylePr>
  </w:style>
  <w:style w:type="table" w:customStyle="1" w:styleId="289">
    <w:name w:val="中等深浅列表 1 强调文字颜色 4"/>
    <w:basedOn w:val="81"/>
    <w:qFormat/>
    <w:uiPriority w:val="65"/>
    <w:rPr>
      <w:rFonts w:ascii="Cambria" w:hAnsi="Cambria" w:eastAsia="黑体"/>
      <w:color w:val="000000"/>
    </w:rPr>
    <w:tblPr>
      <w:tblBorders>
        <w:top w:val="single" w:color="B4936D" w:sz="8" w:space="0"/>
        <w:bottom w:val="single" w:color="B4936D" w:sz="8" w:space="0"/>
      </w:tblBorders>
    </w:tblPr>
    <w:tblStylePr w:type="firstRow">
      <w:rPr>
        <w:rFonts w:eastAsia="serif" w:cs="等线"/>
      </w:rPr>
      <w:tcPr>
        <w:tcBorders>
          <w:top w:val="nil"/>
          <w:left w:val="single" w:color="B4936D" w:sz="8" w:space="0"/>
          <w:bottom w:val="nil"/>
          <w:right w:val="nil"/>
          <w:insideH w:val="nil"/>
          <w:insideV w:val="nil"/>
          <w:tl2br w:val="nil"/>
          <w:tr2bl w:val="nil"/>
        </w:tcBorders>
      </w:tcPr>
    </w:tblStylePr>
    <w:tblStylePr w:type="lastRow">
      <w:rPr>
        <w:rFonts w:cs="Cambria"/>
        <w:b/>
        <w:bCs/>
        <w:color w:val="1F2123"/>
      </w:rPr>
      <w:tcPr>
        <w:tcBorders>
          <w:top w:val="single" w:color="B4936D" w:sz="8" w:space="0"/>
          <w:left w:val="single" w:color="B4936D" w:sz="8" w:space="0"/>
          <w:bottom w:val="nil"/>
          <w:right w:val="nil"/>
          <w:insideH w:val="nil"/>
          <w:insideV w:val="nil"/>
          <w:tl2br w:val="nil"/>
          <w:tr2bl w:val="nil"/>
        </w:tcBorders>
      </w:tcPr>
    </w:tblStylePr>
    <w:tblStylePr w:type="firstCol">
      <w:rPr>
        <w:rFonts w:cs="Cambria"/>
        <w:b/>
        <w:bCs/>
      </w:rPr>
    </w:tblStylePr>
    <w:tblStylePr w:type="lastCol">
      <w:rPr>
        <w:rFonts w:cs="Cambria"/>
        <w:b/>
        <w:bCs/>
      </w:rPr>
      <w:tcPr>
        <w:tcBorders>
          <w:top w:val="single" w:color="B4936D" w:sz="8" w:space="0"/>
          <w:left w:val="single" w:color="B4936D" w:sz="8" w:space="0"/>
          <w:bottom w:val="nil"/>
          <w:right w:val="nil"/>
          <w:insideH w:val="nil"/>
          <w:insideV w:val="nil"/>
          <w:tl2br w:val="nil"/>
          <w:tr2bl w:val="nil"/>
        </w:tcBorders>
      </w:tcPr>
    </w:tblStylePr>
    <w:tblStylePr w:type="band1Vert">
      <w:rPr>
        <w:rFonts w:cs="Cambria"/>
      </w:rPr>
      <w:tcPr>
        <w:shd w:val="clear" w:color="auto" w:fill="ECE4DA"/>
      </w:tcPr>
    </w:tblStylePr>
    <w:tblStylePr w:type="band1Horz">
      <w:rPr>
        <w:rFonts w:cs="Cambria"/>
      </w:rPr>
      <w:tcPr>
        <w:shd w:val="clear" w:color="auto" w:fill="ECE4DA"/>
      </w:tcPr>
    </w:tblStylePr>
  </w:style>
  <w:style w:type="table" w:customStyle="1" w:styleId="290">
    <w:name w:val="彩色列表强调文字颜色 6"/>
    <w:basedOn w:val="81"/>
    <w:qFormat/>
    <w:uiPriority w:val="72"/>
    <w:rPr>
      <w:rFonts w:ascii="Cambria" w:hAnsi="Cambria" w:eastAsia="黑体"/>
      <w:color w:val="000000"/>
    </w:rPr>
    <w:tcPr>
      <w:shd w:val="clear" w:color="auto" w:fill="F5F4F0"/>
    </w:tcPr>
    <w:tblStylePr w:type="firstRow">
      <w:rPr>
        <w:rFonts w:cs="Cambria"/>
        <w:b/>
        <w:bCs/>
        <w:color w:val="FFFFFF"/>
      </w:rPr>
      <w:tcPr>
        <w:tcBorders>
          <w:top w:val="nil"/>
          <w:left w:val="single" w:color="FFFFFF" w:sz="12" w:space="0"/>
          <w:bottom w:val="nil"/>
          <w:right w:val="nil"/>
          <w:insideH w:val="nil"/>
          <w:insideV w:val="nil"/>
          <w:tl2br w:val="nil"/>
          <w:tr2bl w:val="nil"/>
        </w:tcBorders>
        <w:shd w:val="clear" w:color="auto" w:fill="525F62"/>
      </w:tcPr>
    </w:tblStylePr>
    <w:tblStylePr w:type="lastRow">
      <w:rPr>
        <w:rFonts w:cs="Cambria"/>
        <w:b/>
        <w:bCs/>
        <w:color w:val="525F62"/>
      </w:rPr>
      <w:tcPr>
        <w:tcBorders>
          <w:top w:val="single" w:color="000000" w:sz="12" w:space="0"/>
          <w:left w:val="nil"/>
          <w:bottom w:val="nil"/>
          <w:right w:val="nil"/>
          <w:insideH w:val="nil"/>
          <w:insideV w:val="nil"/>
          <w:tl2br w:val="nil"/>
          <w:tr2bl w:val="nil"/>
        </w:tcBorders>
        <w:shd w:val="clear" w:color="auto" w:fill="FFFFFF"/>
      </w:tcPr>
    </w:tblStylePr>
    <w:tblStylePr w:type="firstCol">
      <w:rPr>
        <w:rFonts w:cs="Cambria"/>
        <w:b/>
        <w:bCs/>
      </w:rPr>
    </w:tblStylePr>
    <w:tblStylePr w:type="lastCol">
      <w:rPr>
        <w:rFonts w:cs="Cambria"/>
        <w:b/>
        <w:bCs/>
      </w:rPr>
    </w:tblStylePr>
    <w:tblStylePr w:type="band1Vert">
      <w:rPr>
        <w:rFonts w:cs="Cambria"/>
      </w:rPr>
      <w:tcPr>
        <w:tcBorders>
          <w:top w:val="nil"/>
          <w:left w:val="nil"/>
          <w:bottom w:val="nil"/>
          <w:right w:val="nil"/>
          <w:insideH w:val="nil"/>
          <w:insideV w:val="nil"/>
          <w:tl2br w:val="nil"/>
          <w:tr2bl w:val="nil"/>
        </w:tcBorders>
        <w:shd w:val="clear" w:color="auto" w:fill="E6E4DB"/>
      </w:tcPr>
    </w:tblStylePr>
    <w:tblStylePr w:type="band1Horz">
      <w:rPr>
        <w:rFonts w:cs="Cambria"/>
      </w:rPr>
      <w:tcPr>
        <w:shd w:val="clear" w:color="auto" w:fill="EBE9E2"/>
      </w:tcPr>
    </w:tblStylePr>
  </w:style>
  <w:style w:type="table" w:customStyle="1" w:styleId="291">
    <w:name w:val="彩色网格强调文字颜色 4"/>
    <w:basedOn w:val="81"/>
    <w:qFormat/>
    <w:uiPriority w:val="73"/>
    <w:rPr>
      <w:rFonts w:ascii="Cambria" w:hAnsi="Cambria" w:eastAsia="黑体"/>
      <w:color w:val="000000"/>
    </w:rPr>
    <w:tblPr>
      <w:tblBorders>
        <w:insideH w:val="single" w:color="FFFFFF" w:sz="4" w:space="0"/>
      </w:tblBorders>
    </w:tblPr>
    <w:tcPr>
      <w:shd w:val="clear" w:color="auto" w:fill="F0E9E1"/>
    </w:tcPr>
    <w:tblStylePr w:type="firstRow">
      <w:rPr>
        <w:rFonts w:cs="Cambria"/>
        <w:b/>
        <w:bCs/>
      </w:rPr>
      <w:tcPr>
        <w:shd w:val="clear" w:color="auto" w:fill="E1D3C4"/>
      </w:tcPr>
    </w:tblStylePr>
    <w:tblStylePr w:type="lastRow">
      <w:rPr>
        <w:rFonts w:cs="Cambria"/>
        <w:b/>
        <w:bCs/>
        <w:color w:val="000000"/>
      </w:rPr>
      <w:tcPr>
        <w:shd w:val="clear" w:color="auto" w:fill="E1D3C4"/>
      </w:tcPr>
    </w:tblStylePr>
    <w:tblStylePr w:type="firstCol">
      <w:rPr>
        <w:rFonts w:cs="Cambria"/>
        <w:color w:val="FFFFFF"/>
      </w:rPr>
      <w:tcPr>
        <w:shd w:val="clear" w:color="auto" w:fill="8E6E49"/>
      </w:tcPr>
    </w:tblStylePr>
    <w:tblStylePr w:type="lastCol">
      <w:rPr>
        <w:rFonts w:cs="Cambria"/>
        <w:color w:val="FFFFFF"/>
      </w:rPr>
      <w:tcPr>
        <w:shd w:val="clear" w:color="auto" w:fill="8E6E49"/>
      </w:tcPr>
    </w:tblStylePr>
    <w:tblStylePr w:type="band1Vert">
      <w:rPr>
        <w:rFonts w:cs="Cambria"/>
      </w:rPr>
      <w:tcPr>
        <w:shd w:val="clear" w:color="auto" w:fill="D9C9B6"/>
      </w:tcPr>
    </w:tblStylePr>
    <w:tblStylePr w:type="band1Horz">
      <w:rPr>
        <w:rFonts w:cs="Cambria"/>
      </w:rPr>
      <w:tcPr>
        <w:shd w:val="clear" w:color="auto" w:fill="D9C9B6"/>
      </w:tcPr>
    </w:tblStylePr>
  </w:style>
  <w:style w:type="table" w:customStyle="1" w:styleId="292">
    <w:name w:val="彩色网格强调文字颜色 2"/>
    <w:basedOn w:val="81"/>
    <w:qFormat/>
    <w:uiPriority w:val="73"/>
    <w:rPr>
      <w:rFonts w:ascii="Cambria" w:hAnsi="Cambria" w:eastAsia="黑体"/>
      <w:color w:val="000000"/>
    </w:rPr>
    <w:tblPr>
      <w:tblBorders>
        <w:insideH w:val="single" w:color="FFFFFF" w:sz="4" w:space="0"/>
      </w:tblBorders>
    </w:tblPr>
    <w:tcPr>
      <w:shd w:val="clear" w:color="auto" w:fill="F4E8DF"/>
    </w:tcPr>
    <w:tblStylePr w:type="firstRow">
      <w:rPr>
        <w:rFonts w:cs="Cambria"/>
        <w:b/>
        <w:bCs/>
      </w:rPr>
      <w:tcPr>
        <w:shd w:val="clear" w:color="auto" w:fill="EAD1BF"/>
      </w:tcPr>
    </w:tblStylePr>
    <w:tblStylePr w:type="lastRow">
      <w:rPr>
        <w:rFonts w:cs="Cambria"/>
        <w:b/>
        <w:bCs/>
        <w:color w:val="000000"/>
      </w:rPr>
      <w:tcPr>
        <w:shd w:val="clear" w:color="auto" w:fill="EAD1BF"/>
      </w:tcPr>
    </w:tblStylePr>
    <w:tblStylePr w:type="firstCol">
      <w:rPr>
        <w:rFonts w:cs="Cambria"/>
        <w:color w:val="FFFFFF"/>
      </w:rPr>
      <w:tcPr>
        <w:shd w:val="clear" w:color="auto" w:fill="AA6736"/>
      </w:tcPr>
    </w:tblStylePr>
    <w:tblStylePr w:type="lastCol">
      <w:rPr>
        <w:rFonts w:cs="Cambria"/>
        <w:color w:val="FFFFFF"/>
      </w:rPr>
      <w:tcPr>
        <w:shd w:val="clear" w:color="auto" w:fill="AA6736"/>
      </w:tcPr>
    </w:tblStylePr>
    <w:tblStylePr w:type="band1Vert">
      <w:rPr>
        <w:rFonts w:cs="Cambria"/>
      </w:rPr>
      <w:tcPr>
        <w:shd w:val="clear" w:color="auto" w:fill="E5C6AF"/>
      </w:tcPr>
    </w:tblStylePr>
    <w:tblStylePr w:type="band1Horz">
      <w:rPr>
        <w:rFonts w:cs="Cambria"/>
      </w:rPr>
      <w:tcPr>
        <w:shd w:val="clear" w:color="auto" w:fill="E5C6AF"/>
      </w:tcPr>
    </w:tblStylePr>
  </w:style>
  <w:style w:type="table" w:customStyle="1" w:styleId="293">
    <w:name w:val="浅色网格强调文字颜色 2"/>
    <w:basedOn w:val="81"/>
    <w:qFormat/>
    <w:uiPriority w:val="62"/>
    <w:rPr>
      <w:rFonts w:ascii="Cambria" w:hAnsi="Cambria" w:eastAsia="黑体"/>
    </w:rPr>
    <w:tblPr>
      <w:tblBorders>
        <w:top w:val="single" w:color="CC8E60" w:sz="8" w:space="0"/>
        <w:left w:val="single" w:color="CC8E60" w:sz="8" w:space="0"/>
        <w:bottom w:val="single" w:color="CC8E60" w:sz="8" w:space="0"/>
        <w:right w:val="single" w:color="CC8E60" w:sz="8" w:space="0"/>
        <w:insideH w:val="single" w:color="CC8E60" w:sz="8" w:space="0"/>
        <w:insideV w:val="single" w:color="CC8E60" w:sz="8" w:space="0"/>
      </w:tblBorders>
    </w:tblPr>
    <w:tblStylePr w:type="firstRow">
      <w:pPr>
        <w:spacing w:before="0" w:after="0"/>
      </w:pPr>
      <w:rPr>
        <w:rFonts w:eastAsia="serif" w:cs="等线"/>
        <w:b/>
        <w:bCs/>
      </w:rPr>
      <w:tcPr>
        <w:tcBorders>
          <w:top w:val="single" w:color="CC8E60" w:sz="8" w:space="0"/>
          <w:left w:val="single" w:color="CC8E60" w:sz="18" w:space="0"/>
          <w:bottom w:val="single" w:color="CC8E60" w:sz="8" w:space="0"/>
          <w:right w:val="single" w:color="CC8E60" w:sz="8" w:space="0"/>
          <w:insideH w:val="nil"/>
          <w:insideV w:val="nil"/>
          <w:tl2br w:val="nil"/>
          <w:tr2bl w:val="nil"/>
        </w:tcBorders>
      </w:tcPr>
    </w:tblStylePr>
    <w:tblStylePr w:type="lastRow">
      <w:pPr>
        <w:spacing w:before="0" w:after="0"/>
      </w:pPr>
      <w:rPr>
        <w:rFonts w:eastAsia="serif" w:cs="等线"/>
        <w:b/>
        <w:bCs/>
      </w:rPr>
      <w:tcPr>
        <w:tcBorders>
          <w:top w:val="double" w:color="CC8E60" w:sz="6" w:space="0"/>
          <w:left w:val="single" w:color="CC8E60" w:sz="8" w:space="0"/>
          <w:bottom w:val="single" w:color="CC8E60" w:sz="8" w:space="0"/>
          <w:right w:val="single" w:color="CC8E60" w:sz="8" w:space="0"/>
          <w:insideH w:val="nil"/>
          <w:insideV w:val="nil"/>
          <w:tl2br w:val="nil"/>
          <w:tr2bl w:val="nil"/>
        </w:tcBorders>
      </w:tcPr>
    </w:tblStylePr>
    <w:tblStylePr w:type="firstCol">
      <w:rPr>
        <w:rFonts w:eastAsia="serif" w:cs="等线"/>
        <w:b/>
        <w:bCs/>
      </w:rPr>
    </w:tblStylePr>
    <w:tblStylePr w:type="lastCol">
      <w:rPr>
        <w:rFonts w:eastAsia="serif" w:cs="等线"/>
        <w:b/>
        <w:bCs/>
      </w:rPr>
      <w:tcPr>
        <w:tcBorders>
          <w:top w:val="single" w:color="CC8E60" w:sz="8" w:space="0"/>
          <w:left w:val="single" w:color="CC8E60" w:sz="8" w:space="0"/>
          <w:bottom w:val="single" w:color="CC8E60" w:sz="8" w:space="0"/>
          <w:right w:val="single" w:color="CC8E60" w:sz="8" w:space="0"/>
          <w:insideH w:val="nil"/>
          <w:insideV w:val="nil"/>
          <w:tl2br w:val="nil"/>
          <w:tr2bl w:val="nil"/>
        </w:tcBorders>
      </w:tcPr>
    </w:tblStylePr>
    <w:tblStylePr w:type="band1Vert">
      <w:rPr>
        <w:rFonts w:cs="Cambria"/>
      </w:rPr>
      <w:tcPr>
        <w:tcBorders>
          <w:top w:val="single" w:color="CC8E60" w:sz="8" w:space="0"/>
          <w:left w:val="single" w:color="CC8E60" w:sz="8" w:space="0"/>
          <w:bottom w:val="single" w:color="CC8E60" w:sz="8" w:space="0"/>
          <w:right w:val="single" w:color="CC8E60" w:sz="8" w:space="0"/>
          <w:insideH w:val="nil"/>
          <w:insideV w:val="nil"/>
          <w:tl2br w:val="nil"/>
          <w:tr2bl w:val="nil"/>
        </w:tcBorders>
        <w:shd w:val="clear" w:color="auto" w:fill="F2E2D7"/>
      </w:tcPr>
    </w:tblStylePr>
    <w:tblStylePr w:type="band1Horz">
      <w:rPr>
        <w:rFonts w:cs="Cambria"/>
      </w:rPr>
      <w:tcPr>
        <w:tcBorders>
          <w:top w:val="single" w:color="CC8E60" w:sz="8" w:space="0"/>
          <w:left w:val="single" w:color="CC8E60" w:sz="8" w:space="0"/>
          <w:bottom w:val="single" w:color="CC8E60" w:sz="8" w:space="0"/>
          <w:right w:val="single" w:color="CC8E60" w:sz="8" w:space="0"/>
          <w:insideH w:val="nil"/>
          <w:insideV w:val="nil"/>
          <w:tl2br w:val="nil"/>
          <w:tr2bl w:val="nil"/>
        </w:tcBorders>
        <w:shd w:val="clear" w:color="auto" w:fill="F2E2D7"/>
      </w:tcPr>
    </w:tblStylePr>
    <w:tblStylePr w:type="band2Horz">
      <w:rPr>
        <w:rFonts w:cs="Cambria"/>
      </w:rPr>
      <w:tcPr>
        <w:tcBorders>
          <w:top w:val="single" w:color="CC8E60" w:sz="8" w:space="0"/>
          <w:left w:val="single" w:color="CC8E60" w:sz="8" w:space="0"/>
          <w:bottom w:val="single" w:color="CC8E60" w:sz="8" w:space="0"/>
          <w:right w:val="single" w:color="CC8E60" w:sz="8" w:space="0"/>
          <w:insideH w:val="nil"/>
          <w:insideV w:val="nil"/>
          <w:tl2br w:val="nil"/>
          <w:tr2bl w:val="nil"/>
        </w:tcBorders>
      </w:tcPr>
    </w:tblStylePr>
  </w:style>
  <w:style w:type="table" w:customStyle="1" w:styleId="294">
    <w:name w:val="彩色列表强调文字颜色 1"/>
    <w:basedOn w:val="81"/>
    <w:qFormat/>
    <w:uiPriority w:val="72"/>
    <w:rPr>
      <w:rFonts w:ascii="Cambria" w:hAnsi="Cambria" w:eastAsia="黑体"/>
      <w:color w:val="000000"/>
    </w:rPr>
    <w:tcPr>
      <w:shd w:val="clear" w:color="auto" w:fill="F2F4F6"/>
    </w:tcPr>
    <w:tblStylePr w:type="firstRow">
      <w:rPr>
        <w:rFonts w:cs="Cambria"/>
        <w:b/>
        <w:bCs/>
        <w:color w:val="FFFFFF"/>
      </w:rPr>
      <w:tcPr>
        <w:tcBorders>
          <w:top w:val="nil"/>
          <w:left w:val="single" w:color="FFFFFF" w:sz="12" w:space="0"/>
          <w:bottom w:val="nil"/>
          <w:right w:val="nil"/>
          <w:insideH w:val="nil"/>
          <w:insideV w:val="nil"/>
          <w:tl2br w:val="nil"/>
          <w:tr2bl w:val="nil"/>
        </w:tcBorders>
        <w:shd w:val="clear" w:color="auto" w:fill="B56E3A"/>
      </w:tcPr>
    </w:tblStylePr>
    <w:tblStylePr w:type="lastRow">
      <w:rPr>
        <w:rFonts w:cs="Cambria"/>
        <w:b/>
        <w:bCs/>
        <w:color w:val="B56E3A"/>
      </w:rPr>
      <w:tcPr>
        <w:tcBorders>
          <w:top w:val="single" w:color="000000" w:sz="12" w:space="0"/>
          <w:left w:val="nil"/>
          <w:bottom w:val="nil"/>
          <w:right w:val="nil"/>
          <w:insideH w:val="nil"/>
          <w:insideV w:val="nil"/>
          <w:tl2br w:val="nil"/>
          <w:tr2bl w:val="nil"/>
        </w:tcBorders>
        <w:shd w:val="clear" w:color="auto" w:fill="FFFFFF"/>
      </w:tcPr>
    </w:tblStylePr>
    <w:tblStylePr w:type="firstCol">
      <w:rPr>
        <w:rFonts w:cs="Cambria"/>
        <w:b/>
        <w:bCs/>
      </w:rPr>
    </w:tblStylePr>
    <w:tblStylePr w:type="lastCol">
      <w:rPr>
        <w:rFonts w:cs="Cambria"/>
        <w:b/>
        <w:bCs/>
      </w:rPr>
    </w:tblStylePr>
    <w:tblStylePr w:type="band1Vert">
      <w:rPr>
        <w:rFonts w:cs="Cambria"/>
      </w:rPr>
      <w:tcPr>
        <w:tcBorders>
          <w:top w:val="nil"/>
          <w:left w:val="nil"/>
          <w:bottom w:val="nil"/>
          <w:right w:val="nil"/>
          <w:insideH w:val="nil"/>
          <w:insideV w:val="nil"/>
          <w:tl2br w:val="nil"/>
          <w:tr2bl w:val="nil"/>
        </w:tcBorders>
        <w:shd w:val="clear" w:color="auto" w:fill="DFE5EA"/>
      </w:tcPr>
    </w:tblStylePr>
    <w:tblStylePr w:type="band1Horz">
      <w:rPr>
        <w:rFonts w:cs="Cambria"/>
      </w:rPr>
      <w:tcPr>
        <w:shd w:val="clear" w:color="auto" w:fill="E5EAEE"/>
      </w:tcPr>
    </w:tblStylePr>
  </w:style>
  <w:style w:type="table" w:customStyle="1" w:styleId="295">
    <w:name w:val="表列 4"/>
    <w:basedOn w:val="81"/>
    <w:unhideWhenUsed/>
    <w:qFormat/>
    <w:uiPriority w:val="99"/>
    <w:pPr>
      <w:spacing w:line="300" w:lineRule="auto"/>
    </w:pPr>
    <w:rPr>
      <w:rFonts w:ascii="Cambria" w:hAnsi="Cambria" w:eastAsia="黑体"/>
    </w:rPr>
    <w:tblStylePr w:type="firstRow">
      <w:rPr>
        <w:rFonts w:cs="Cambria"/>
        <w:color w:val="FFFFFF"/>
      </w:rPr>
      <w:tcPr>
        <w:tcBorders>
          <w:top w:val="nil"/>
          <w:left w:val="nil"/>
          <w:bottom w:val="nil"/>
          <w:right w:val="nil"/>
          <w:insideH w:val="nil"/>
          <w:insideV w:val="nil"/>
          <w:tl2br w:val="nil"/>
          <w:tr2bl w:val="nil"/>
        </w:tcBorders>
        <w:shd w:val="solid" w:color="000000" w:fill="FFFFFF"/>
      </w:tcPr>
    </w:tblStylePr>
    <w:tblStylePr w:type="lastRow">
      <w:rPr>
        <w:rFonts w:cs="Cambria"/>
        <w:b/>
        <w:bCs/>
      </w:rPr>
      <w:tcPr>
        <w:tcBorders>
          <w:top w:val="nil"/>
          <w:left w:val="nil"/>
          <w:bottom w:val="nil"/>
          <w:right w:val="nil"/>
          <w:insideH w:val="nil"/>
          <w:insideV w:val="nil"/>
          <w:tl2br w:val="nil"/>
          <w:tr2bl w:val="nil"/>
        </w:tcBorders>
      </w:tcPr>
    </w:tblStylePr>
    <w:tblStylePr w:type="lastCol">
      <w:rPr>
        <w:rFonts w:cs="Cambria"/>
        <w:b/>
        <w:bCs/>
      </w:rPr>
      <w:tcPr>
        <w:tcBorders>
          <w:top w:val="nil"/>
          <w:left w:val="nil"/>
          <w:bottom w:val="nil"/>
          <w:right w:val="nil"/>
          <w:insideH w:val="nil"/>
          <w:insideV w:val="nil"/>
          <w:tl2br w:val="nil"/>
          <w:tr2bl w:val="nil"/>
        </w:tcBorders>
      </w:tcPr>
    </w:tblStylePr>
    <w:tblStylePr w:type="band1Vert">
      <w:rPr>
        <w:rFonts w:cs="Cambria"/>
        <w:color w:val="auto"/>
      </w:rPr>
      <w:tcPr>
        <w:shd w:val="pct50" w:color="008080" w:fill="FFFFFF"/>
      </w:tcPr>
    </w:tblStylePr>
    <w:tblStylePr w:type="band2Vert">
      <w:rPr>
        <w:rFonts w:cs="Cambria"/>
        <w:color w:val="auto"/>
      </w:rPr>
      <w:tcPr>
        <w:shd w:val="pct10" w:color="000000" w:fill="FFFFFF"/>
      </w:tcPr>
    </w:tblStylePr>
  </w:style>
  <w:style w:type="table" w:customStyle="1" w:styleId="296">
    <w:name w:val="中等深浅网格 3 强调文字颜色 3"/>
    <w:basedOn w:val="81"/>
    <w:qFormat/>
    <w:uiPriority w:val="69"/>
    <w:rPr>
      <w:rFonts w:ascii="Cambria" w:hAnsi="Cambria" w:eastAsia="黑体"/>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FD9D6"/>
    </w:tcPr>
    <w:tblStylePr w:type="firstRow">
      <w:rPr>
        <w:rFonts w:cs="Cambria"/>
        <w:b/>
        <w:bCs/>
        <w:i w:val="0"/>
        <w:iCs w:val="0"/>
        <w:color w:val="FFFFFF"/>
      </w:rPr>
      <w:tcPr>
        <w:tcBorders>
          <w:top w:val="single" w:color="FFFFFF" w:sz="8" w:space="0"/>
          <w:left w:val="single" w:color="FFFFFF" w:sz="24" w:space="0"/>
          <w:bottom w:val="single" w:color="FFFFFF" w:sz="8" w:space="0"/>
          <w:right w:val="single" w:color="FFFFFF" w:sz="8" w:space="0"/>
          <w:insideH w:val="nil"/>
          <w:insideV w:val="nil"/>
          <w:tl2br w:val="nil"/>
          <w:tr2bl w:val="nil"/>
        </w:tcBorders>
        <w:shd w:val="clear" w:color="auto" w:fill="7A6A60"/>
      </w:tcPr>
    </w:tblStylePr>
    <w:tblStylePr w:type="lastRow">
      <w:rPr>
        <w:rFonts w:cs="Cambria"/>
        <w:b/>
        <w:bCs/>
        <w:i w:val="0"/>
        <w:iCs w:val="0"/>
        <w:color w:val="FFFFFF"/>
      </w:rPr>
      <w:tcPr>
        <w:tcBorders>
          <w:top w:val="single" w:color="FFFFFF" w:sz="24" w:space="0"/>
          <w:left w:val="single" w:color="FFFFFF" w:sz="8" w:space="0"/>
          <w:bottom w:val="single" w:color="FFFFFF" w:sz="8" w:space="0"/>
          <w:right w:val="single" w:color="FFFFFF" w:sz="8" w:space="0"/>
          <w:insideH w:val="nil"/>
          <w:insideV w:val="nil"/>
          <w:tl2br w:val="nil"/>
          <w:tr2bl w:val="nil"/>
        </w:tcBorders>
        <w:shd w:val="clear" w:color="auto" w:fill="7A6A60"/>
      </w:tcPr>
    </w:tblStylePr>
    <w:tblStylePr w:type="firstCol">
      <w:rPr>
        <w:rFonts w:cs="Cambria"/>
        <w:b/>
        <w:bCs/>
        <w:i w:val="0"/>
        <w:iCs w:val="0"/>
        <w:color w:val="FFFFFF"/>
      </w:rPr>
      <w:tcPr>
        <w:tcBorders>
          <w:top w:val="nil"/>
          <w:left w:val="nil"/>
          <w:bottom w:val="single" w:color="FFFFFF" w:sz="8" w:space="0"/>
          <w:right w:val="single" w:color="FFFFFF" w:sz="24" w:space="0"/>
          <w:insideH w:val="nil"/>
          <w:insideV w:val="nil"/>
          <w:tl2br w:val="nil"/>
          <w:tr2bl w:val="nil"/>
        </w:tcBorders>
        <w:shd w:val="clear" w:color="auto" w:fill="7A6A60"/>
      </w:tcPr>
    </w:tblStylePr>
    <w:tblStylePr w:type="lastCol">
      <w:rPr>
        <w:rFonts w:cs="Cambria"/>
        <w:b/>
        <w:bCs/>
        <w:i w:val="0"/>
        <w:iCs w:val="0"/>
        <w:color w:val="FFFFFF"/>
      </w:rPr>
      <w:tcPr>
        <w:tcBorders>
          <w:top w:val="nil"/>
          <w:left w:val="nil"/>
          <w:bottom w:val="single" w:color="FFFFFF" w:sz="24" w:space="0"/>
          <w:right w:val="nil"/>
          <w:insideH w:val="nil"/>
          <w:insideV w:val="nil"/>
          <w:tl2br w:val="nil"/>
          <w:tr2bl w:val="nil"/>
        </w:tcBorders>
        <w:shd w:val="clear" w:color="auto" w:fill="7A6A60"/>
      </w:tcPr>
    </w:tblStylePr>
    <w:tblStylePr w:type="band1Vert">
      <w:rPr>
        <w:rFonts w:cs="Cambria"/>
      </w:rPr>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BEB4AD"/>
      </w:tcPr>
    </w:tblStylePr>
    <w:tblStylePr w:type="band1Horz">
      <w:rPr>
        <w:rFonts w:cs="Cambria"/>
      </w:rPr>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BEB4AD"/>
      </w:tcPr>
    </w:tblStylePr>
  </w:style>
  <w:style w:type="table" w:customStyle="1" w:styleId="297">
    <w:name w:val="彩色底纹1"/>
    <w:basedOn w:val="81"/>
    <w:qFormat/>
    <w:uiPriority w:val="71"/>
    <w:rPr>
      <w:rFonts w:ascii="Cambria" w:hAnsi="Cambria" w:eastAsia="黑体"/>
      <w:color w:val="000000"/>
    </w:rPr>
    <w:tblPr>
      <w:tblBorders>
        <w:top w:val="single" w:color="CC8E60" w:sz="24" w:space="0"/>
        <w:left w:val="single" w:color="000000" w:sz="4" w:space="0"/>
        <w:bottom w:val="single" w:color="000000" w:sz="4" w:space="0"/>
        <w:right w:val="single" w:color="000000" w:sz="4" w:space="0"/>
        <w:insideH w:val="single" w:color="FFFFFF" w:sz="4" w:space="0"/>
        <w:insideV w:val="single" w:color="FFFFFF" w:sz="4" w:space="0"/>
      </w:tblBorders>
    </w:tblPr>
    <w:tcPr>
      <w:shd w:val="clear" w:color="auto" w:fill="E6E6E6"/>
    </w:tcPr>
    <w:tblStylePr w:type="firstRow">
      <w:rPr>
        <w:rFonts w:cs="Cambria"/>
        <w:b/>
        <w:bCs/>
      </w:rPr>
      <w:tcPr>
        <w:tcBorders>
          <w:top w:val="nil"/>
          <w:left w:val="single" w:color="CC8E60" w:sz="24" w:space="0"/>
          <w:bottom w:val="nil"/>
          <w:right w:val="nil"/>
          <w:insideH w:val="nil"/>
          <w:insideV w:val="nil"/>
          <w:tl2br w:val="nil"/>
          <w:tr2bl w:val="nil"/>
        </w:tcBorders>
        <w:shd w:val="clear" w:color="auto" w:fill="FFFFFF"/>
      </w:tcPr>
    </w:tblStylePr>
    <w:tblStylePr w:type="lastRow">
      <w:rPr>
        <w:rFonts w:cs="Cambria"/>
        <w:b/>
        <w:bCs/>
        <w:color w:val="FFFFFF"/>
      </w:rPr>
      <w:tcPr>
        <w:tcBorders>
          <w:top w:val="single" w:color="FFFFFF" w:sz="6" w:space="0"/>
          <w:left w:val="nil"/>
          <w:bottom w:val="nil"/>
          <w:right w:val="nil"/>
          <w:insideH w:val="nil"/>
          <w:insideV w:val="nil"/>
          <w:tl2br w:val="nil"/>
          <w:tr2bl w:val="nil"/>
        </w:tcBorders>
        <w:shd w:val="clear" w:color="auto" w:fill="000000"/>
      </w:tcPr>
    </w:tblStylePr>
    <w:tblStylePr w:type="firstCol">
      <w:rPr>
        <w:rFonts w:cs="Cambria"/>
        <w:color w:val="FFFFFF"/>
      </w:rPr>
      <w:tcPr>
        <w:tcBorders>
          <w:top w:val="nil"/>
          <w:left w:val="nil"/>
          <w:bottom w:val="nil"/>
          <w:right w:val="nil"/>
          <w:insideH w:val="nil"/>
          <w:insideV w:val="nil"/>
          <w:tl2br w:val="nil"/>
          <w:tr2bl w:val="nil"/>
        </w:tcBorders>
        <w:shd w:val="clear" w:color="auto" w:fill="000000"/>
      </w:tcPr>
    </w:tblStylePr>
    <w:tblStylePr w:type="lastCol">
      <w:rPr>
        <w:rFonts w:cs="Cambria"/>
        <w:color w:val="FFFFFF"/>
      </w:rPr>
      <w:tcPr>
        <w:tcBorders>
          <w:top w:val="nil"/>
          <w:left w:val="nil"/>
          <w:bottom w:val="nil"/>
          <w:right w:val="nil"/>
          <w:insideH w:val="nil"/>
          <w:insideV w:val="nil"/>
          <w:tl2br w:val="nil"/>
          <w:tr2bl w:val="nil"/>
        </w:tcBorders>
        <w:shd w:val="clear" w:color="auto" w:fill="000000"/>
      </w:tcPr>
    </w:tblStylePr>
    <w:tblStylePr w:type="band1Vert">
      <w:rPr>
        <w:rFonts w:cs="Cambria"/>
      </w:rPr>
      <w:tcPr>
        <w:shd w:val="clear" w:color="auto" w:fill="999999"/>
      </w:tcPr>
    </w:tblStylePr>
    <w:tblStylePr w:type="band1Horz">
      <w:rPr>
        <w:rFonts w:cs="Cambria"/>
      </w:rPr>
      <w:tcPr>
        <w:shd w:val="clear" w:color="auto" w:fill="808080"/>
      </w:tcPr>
    </w:tblStylePr>
    <w:tblStylePr w:type="neCell">
      <w:rPr>
        <w:rFonts w:cs="Cambria"/>
        <w:color w:val="000000"/>
      </w:rPr>
    </w:tblStylePr>
    <w:tblStylePr w:type="nwCell">
      <w:rPr>
        <w:rFonts w:cs="Cambria"/>
        <w:color w:val="000000"/>
      </w:rPr>
    </w:tblStylePr>
  </w:style>
  <w:style w:type="table" w:customStyle="1" w:styleId="298">
    <w:name w:val="深色列表1"/>
    <w:basedOn w:val="81"/>
    <w:qFormat/>
    <w:uiPriority w:val="70"/>
    <w:rPr>
      <w:rFonts w:ascii="Cambria" w:hAnsi="Cambria" w:eastAsia="黑体"/>
      <w:color w:val="FFFFFF"/>
    </w:rPr>
    <w:tcPr>
      <w:shd w:val="clear" w:color="auto" w:fill="000000"/>
    </w:tcPr>
    <w:tblStylePr w:type="firstRow">
      <w:rPr>
        <w:rFonts w:cs="Cambria"/>
        <w:b/>
        <w:bCs/>
      </w:rPr>
      <w:tcPr>
        <w:tcBorders>
          <w:top w:val="nil"/>
          <w:left w:val="single" w:color="FFFFFF" w:sz="18" w:space="0"/>
          <w:bottom w:val="nil"/>
          <w:right w:val="nil"/>
          <w:insideH w:val="nil"/>
          <w:insideV w:val="nil"/>
          <w:tl2br w:val="nil"/>
          <w:tr2bl w:val="nil"/>
        </w:tcBorders>
        <w:shd w:val="clear" w:color="auto" w:fill="000000"/>
      </w:tcPr>
    </w:tblStylePr>
    <w:tblStylePr w:type="lastRow">
      <w:rPr>
        <w:rFonts w:cs="Cambria"/>
      </w:rPr>
      <w:tcPr>
        <w:tcBorders>
          <w:top w:val="single" w:color="FFFFFF" w:sz="18" w:space="0"/>
          <w:left w:val="nil"/>
          <w:bottom w:val="nil"/>
          <w:right w:val="nil"/>
          <w:insideH w:val="nil"/>
          <w:insideV w:val="nil"/>
          <w:tl2br w:val="nil"/>
          <w:tr2bl w:val="nil"/>
        </w:tcBorders>
        <w:shd w:val="clear" w:color="auto" w:fill="000000"/>
      </w:tcPr>
    </w:tblStylePr>
    <w:tblStylePr w:type="firstCol">
      <w:rPr>
        <w:rFonts w:cs="Cambria"/>
      </w:rPr>
      <w:tcPr>
        <w:tcBorders>
          <w:top w:val="nil"/>
          <w:left w:val="nil"/>
          <w:bottom w:val="nil"/>
          <w:right w:val="single" w:color="FFFFFF" w:sz="18" w:space="0"/>
          <w:insideH w:val="nil"/>
          <w:insideV w:val="nil"/>
          <w:tl2br w:val="nil"/>
          <w:tr2bl w:val="nil"/>
        </w:tcBorders>
        <w:shd w:val="clear" w:color="auto" w:fill="000000"/>
      </w:tcPr>
    </w:tblStylePr>
    <w:tblStylePr w:type="lastCol">
      <w:rPr>
        <w:rFonts w:cs="Cambria"/>
      </w:rPr>
      <w:tcPr>
        <w:tcBorders>
          <w:top w:val="nil"/>
          <w:left w:val="nil"/>
          <w:bottom w:val="single" w:color="FFFFFF" w:sz="18" w:space="0"/>
          <w:right w:val="nil"/>
          <w:insideH w:val="nil"/>
          <w:insideV w:val="nil"/>
          <w:tl2br w:val="nil"/>
          <w:tr2bl w:val="nil"/>
        </w:tcBorders>
        <w:shd w:val="clear" w:color="auto" w:fill="000000"/>
      </w:tcPr>
    </w:tblStylePr>
    <w:tblStylePr w:type="band1Vert">
      <w:rPr>
        <w:rFonts w:cs="Cambria"/>
      </w:rPr>
      <w:tcPr>
        <w:tcBorders>
          <w:top w:val="nil"/>
          <w:left w:val="nil"/>
          <w:bottom w:val="nil"/>
          <w:right w:val="nil"/>
          <w:insideH w:val="nil"/>
          <w:insideV w:val="nil"/>
          <w:tl2br w:val="nil"/>
          <w:tr2bl w:val="nil"/>
        </w:tcBorders>
        <w:shd w:val="clear" w:color="auto" w:fill="000000"/>
      </w:tcPr>
    </w:tblStylePr>
    <w:tblStylePr w:type="band1Horz">
      <w:rPr>
        <w:rFonts w:cs="Cambria"/>
      </w:rPr>
      <w:tcPr>
        <w:tcBorders>
          <w:top w:val="nil"/>
          <w:left w:val="nil"/>
          <w:bottom w:val="nil"/>
          <w:right w:val="nil"/>
          <w:insideH w:val="nil"/>
          <w:insideV w:val="nil"/>
          <w:tl2br w:val="nil"/>
          <w:tr2bl w:val="nil"/>
        </w:tcBorders>
        <w:shd w:val="clear" w:color="auto" w:fill="000000"/>
      </w:tcPr>
    </w:tblStylePr>
  </w:style>
  <w:style w:type="table" w:customStyle="1" w:styleId="299">
    <w:name w:val="中等深浅网格 1 强调文字颜色 4"/>
    <w:basedOn w:val="81"/>
    <w:qFormat/>
    <w:uiPriority w:val="67"/>
    <w:rPr>
      <w:rFonts w:ascii="Cambria" w:hAnsi="Cambria" w:eastAsia="黑体"/>
    </w:rPr>
    <w:tblPr>
      <w:tblBorders>
        <w:top w:val="single" w:color="C6AD91" w:sz="8" w:space="0"/>
        <w:left w:val="single" w:color="C6AD91" w:sz="8" w:space="0"/>
        <w:bottom w:val="single" w:color="C6AD91" w:sz="8" w:space="0"/>
        <w:right w:val="single" w:color="C6AD91" w:sz="8" w:space="0"/>
        <w:insideH w:val="single" w:color="C6AD91" w:sz="8" w:space="0"/>
        <w:insideV w:val="single" w:color="C6AD91" w:sz="8" w:space="0"/>
      </w:tblBorders>
    </w:tblPr>
    <w:tcPr>
      <w:shd w:val="clear" w:color="auto" w:fill="ECE4DA"/>
    </w:tcPr>
    <w:tblStylePr w:type="firstRow">
      <w:rPr>
        <w:rFonts w:cs="Cambria"/>
        <w:b/>
        <w:bCs/>
      </w:rPr>
    </w:tblStylePr>
    <w:tblStylePr w:type="lastRow">
      <w:rPr>
        <w:rFonts w:cs="Cambria"/>
        <w:b/>
        <w:bCs/>
      </w:rPr>
      <w:tcPr>
        <w:tcBorders>
          <w:top w:val="single" w:color="C6AD91" w:sz="18" w:space="0"/>
          <w:left w:val="nil"/>
          <w:bottom w:val="nil"/>
          <w:right w:val="nil"/>
          <w:insideH w:val="nil"/>
          <w:insideV w:val="nil"/>
          <w:tl2br w:val="nil"/>
          <w:tr2bl w:val="nil"/>
        </w:tcBorders>
      </w:tcPr>
    </w:tblStylePr>
    <w:tblStylePr w:type="firstCol">
      <w:rPr>
        <w:rFonts w:cs="Cambria"/>
        <w:b/>
        <w:bCs/>
      </w:rPr>
    </w:tblStylePr>
    <w:tblStylePr w:type="lastCol">
      <w:rPr>
        <w:rFonts w:cs="Cambria"/>
        <w:b/>
        <w:bCs/>
      </w:rPr>
    </w:tblStylePr>
    <w:tblStylePr w:type="band1Vert">
      <w:rPr>
        <w:rFonts w:cs="Cambria"/>
      </w:rPr>
      <w:tcPr>
        <w:shd w:val="clear" w:color="auto" w:fill="D9C9B6"/>
      </w:tcPr>
    </w:tblStylePr>
    <w:tblStylePr w:type="band1Horz">
      <w:rPr>
        <w:rFonts w:cs="Cambria"/>
      </w:rPr>
      <w:tcPr>
        <w:shd w:val="clear" w:color="auto" w:fill="D9C9B6"/>
      </w:tcPr>
    </w:tblStylePr>
  </w:style>
  <w:style w:type="table" w:customStyle="1" w:styleId="300">
    <w:name w:val="中等深浅底纹 21"/>
    <w:basedOn w:val="81"/>
    <w:qFormat/>
    <w:uiPriority w:val="64"/>
    <w:rPr>
      <w:rFonts w:ascii="Cambria" w:hAnsi="Cambria" w:eastAsia="黑体"/>
    </w:rPr>
    <w:tblPr>
      <w:tblBorders>
        <w:top w:val="single" w:color="auto" w:sz="18" w:space="0"/>
        <w:bottom w:val="single" w:color="auto" w:sz="18" w:space="0"/>
      </w:tblBorders>
    </w:tblPr>
    <w:tblStylePr w:type="firstRow">
      <w:pPr>
        <w:spacing w:before="0" w:after="0"/>
      </w:pPr>
      <w:rPr>
        <w:rFonts w:cs="Cambria"/>
        <w:b/>
        <w:bCs/>
        <w:color w:val="FFFFFF"/>
      </w:rPr>
      <w:tcPr>
        <w:tcBorders>
          <w:top w:val="single" w:color="auto" w:sz="18" w:space="0"/>
          <w:left w:val="single" w:color="auto" w:sz="18" w:space="0"/>
          <w:bottom w:val="nil"/>
          <w:right w:val="nil"/>
          <w:insideH w:val="nil"/>
          <w:insideV w:val="nil"/>
          <w:tl2br w:val="nil"/>
          <w:tr2bl w:val="nil"/>
        </w:tcBorders>
        <w:shd w:val="clear" w:color="auto" w:fill="000000"/>
      </w:tcPr>
    </w:tblStylePr>
    <w:tblStylePr w:type="lastRow">
      <w:pPr>
        <w:spacing w:before="0" w:after="0"/>
      </w:pPr>
      <w:rPr>
        <w:rFonts w:cs="Cambria"/>
        <w:color w:val="auto"/>
      </w:rPr>
      <w:tcPr>
        <w:tcBorders>
          <w:top w:val="double" w:color="auto" w:sz="6" w:space="0"/>
          <w:left w:val="single" w:color="auto" w:sz="18" w:space="0"/>
          <w:bottom w:val="nil"/>
          <w:right w:val="nil"/>
          <w:insideH w:val="nil"/>
          <w:insideV w:val="nil"/>
          <w:tl2br w:val="nil"/>
          <w:tr2bl w:val="nil"/>
        </w:tcBorders>
        <w:shd w:val="clear" w:color="auto" w:fill="FFFFFF"/>
      </w:tcPr>
    </w:tblStylePr>
    <w:tblStylePr w:type="firstCol">
      <w:rPr>
        <w:rFonts w:cs="Cambria"/>
        <w:b/>
        <w:bCs/>
        <w:color w:val="FFFFFF"/>
      </w:rPr>
      <w:tcPr>
        <w:tcBorders>
          <w:top w:val="nil"/>
          <w:left w:val="single" w:color="auto" w:sz="18" w:space="0"/>
          <w:bottom w:val="nil"/>
          <w:right w:val="nil"/>
          <w:insideH w:val="nil"/>
          <w:insideV w:val="nil"/>
          <w:tl2br w:val="nil"/>
          <w:tr2bl w:val="nil"/>
        </w:tcBorders>
        <w:shd w:val="clear" w:color="auto" w:fill="000000"/>
      </w:tcPr>
    </w:tblStylePr>
    <w:tblStylePr w:type="lastCol">
      <w:rPr>
        <w:rFonts w:cs="Cambria"/>
        <w:b/>
        <w:bCs/>
        <w:color w:val="FFFFFF"/>
      </w:rPr>
      <w:tcPr>
        <w:tcBorders>
          <w:top w:val="nil"/>
          <w:left w:val="nil"/>
          <w:bottom w:val="nil"/>
          <w:right w:val="nil"/>
          <w:insideH w:val="nil"/>
          <w:insideV w:val="nil"/>
          <w:tl2br w:val="nil"/>
          <w:tr2bl w:val="nil"/>
        </w:tcBorders>
        <w:shd w:val="clear" w:color="auto" w:fill="000000"/>
      </w:tcPr>
    </w:tblStylePr>
    <w:tblStylePr w:type="band1Vert">
      <w:rPr>
        <w:rFonts w:cs="Cambria"/>
      </w:rPr>
      <w:tcPr>
        <w:tcBorders>
          <w:top w:val="nil"/>
          <w:left w:val="nil"/>
          <w:bottom w:val="nil"/>
          <w:right w:val="nil"/>
          <w:insideH w:val="nil"/>
          <w:insideV w:val="nil"/>
          <w:tl2br w:val="nil"/>
          <w:tr2bl w:val="nil"/>
        </w:tcBorders>
        <w:shd w:val="clear" w:color="auto" w:fill="D8D8D8"/>
      </w:tcPr>
    </w:tblStylePr>
    <w:tblStylePr w:type="band1Horz">
      <w:rPr>
        <w:rFonts w:cs="Cambria"/>
      </w:rPr>
      <w:tcPr>
        <w:shd w:val="clear" w:color="auto" w:fill="D8D8D8"/>
      </w:tcPr>
    </w:tblStylePr>
    <w:tblStylePr w:type="neCell">
      <w:rPr>
        <w:rFonts w:cs="Cambria"/>
      </w:rPr>
      <w:tcPr>
        <w:tcBorders>
          <w:top w:val="single" w:color="auto" w:sz="18" w:space="0"/>
          <w:left w:val="single" w:color="auto" w:sz="18" w:space="0"/>
          <w:bottom w:val="nil"/>
          <w:right w:val="nil"/>
          <w:insideH w:val="nil"/>
          <w:insideV w:val="nil"/>
          <w:tl2br w:val="nil"/>
          <w:tr2bl w:val="nil"/>
        </w:tcBorders>
      </w:tcPr>
    </w:tblStylePr>
    <w:tblStylePr w:type="nwCell">
      <w:rPr>
        <w:rFonts w:cs="Cambria"/>
        <w:color w:val="FFFFFF"/>
      </w:rPr>
      <w:tcPr>
        <w:tcBorders>
          <w:top w:val="single" w:color="auto" w:sz="18" w:space="0"/>
          <w:left w:val="single" w:color="auto" w:sz="18" w:space="0"/>
          <w:bottom w:val="nil"/>
          <w:right w:val="nil"/>
          <w:insideH w:val="nil"/>
          <w:insideV w:val="nil"/>
          <w:tl2br w:val="nil"/>
          <w:tr2bl w:val="nil"/>
        </w:tcBorders>
      </w:tcPr>
    </w:tblStylePr>
  </w:style>
  <w:style w:type="table" w:customStyle="1" w:styleId="301">
    <w:name w:val="浅色网格1"/>
    <w:basedOn w:val="81"/>
    <w:qFormat/>
    <w:uiPriority w:val="62"/>
    <w:rPr>
      <w:rFonts w:ascii="Cambria" w:hAnsi="Cambria" w:eastAsia="黑体"/>
    </w:rPr>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StylePr w:type="firstRow">
      <w:pPr>
        <w:spacing w:before="0" w:after="0"/>
      </w:pPr>
      <w:rPr>
        <w:rFonts w:eastAsia="serif" w:cs="等线"/>
        <w:b/>
        <w:bCs/>
      </w:rPr>
      <w:tcPr>
        <w:tcBorders>
          <w:top w:val="single" w:color="000000" w:sz="8" w:space="0"/>
          <w:left w:val="single" w:color="000000" w:sz="18" w:space="0"/>
          <w:bottom w:val="single" w:color="000000" w:sz="8" w:space="0"/>
          <w:right w:val="single" w:color="000000" w:sz="8" w:space="0"/>
          <w:insideH w:val="nil"/>
          <w:insideV w:val="nil"/>
          <w:tl2br w:val="nil"/>
          <w:tr2bl w:val="nil"/>
        </w:tcBorders>
      </w:tcPr>
    </w:tblStylePr>
    <w:tblStylePr w:type="lastRow">
      <w:pPr>
        <w:spacing w:before="0" w:after="0"/>
      </w:pPr>
      <w:rPr>
        <w:rFonts w:eastAsia="serif" w:cs="等线"/>
        <w:b/>
        <w:bCs/>
      </w:rPr>
      <w:tcPr>
        <w:tcBorders>
          <w:top w:val="double" w:color="000000" w:sz="6" w:space="0"/>
          <w:left w:val="single" w:color="000000" w:sz="8" w:space="0"/>
          <w:bottom w:val="single" w:color="000000" w:sz="8" w:space="0"/>
          <w:right w:val="single" w:color="000000" w:sz="8" w:space="0"/>
          <w:insideH w:val="nil"/>
          <w:insideV w:val="nil"/>
          <w:tl2br w:val="nil"/>
          <w:tr2bl w:val="nil"/>
        </w:tcBorders>
      </w:tcPr>
    </w:tblStylePr>
    <w:tblStylePr w:type="firstCol">
      <w:rPr>
        <w:rFonts w:eastAsia="serif" w:cs="等线"/>
        <w:b/>
        <w:bCs/>
      </w:rPr>
    </w:tblStylePr>
    <w:tblStylePr w:type="lastCol">
      <w:rPr>
        <w:rFonts w:eastAsia="serif" w:cs="等线"/>
        <w:b/>
        <w:bCs/>
      </w:rPr>
      <w:tcPr>
        <w:tcBorders>
          <w:top w:val="single" w:color="000000" w:sz="8" w:space="0"/>
          <w:left w:val="single" w:color="000000" w:sz="8" w:space="0"/>
          <w:bottom w:val="single" w:color="000000" w:sz="8" w:space="0"/>
          <w:right w:val="single" w:color="000000" w:sz="8" w:space="0"/>
          <w:insideH w:val="nil"/>
          <w:insideV w:val="nil"/>
          <w:tl2br w:val="nil"/>
          <w:tr2bl w:val="nil"/>
        </w:tcBorders>
      </w:tcPr>
    </w:tblStylePr>
    <w:tblStylePr w:type="band1Vert">
      <w:rPr>
        <w:rFonts w:cs="Cambria"/>
      </w:rPr>
      <w:tcPr>
        <w:tcBorders>
          <w:top w:val="single" w:color="000000" w:sz="8" w:space="0"/>
          <w:left w:val="single" w:color="000000" w:sz="8" w:space="0"/>
          <w:bottom w:val="single" w:color="000000" w:sz="8" w:space="0"/>
          <w:right w:val="single" w:color="000000" w:sz="8" w:space="0"/>
          <w:insideH w:val="nil"/>
          <w:insideV w:val="nil"/>
          <w:tl2br w:val="nil"/>
          <w:tr2bl w:val="nil"/>
        </w:tcBorders>
        <w:shd w:val="clear" w:color="auto" w:fill="C0C0C0"/>
      </w:tcPr>
    </w:tblStylePr>
    <w:tblStylePr w:type="band1Horz">
      <w:rPr>
        <w:rFonts w:cs="Cambria"/>
      </w:rPr>
      <w:tcPr>
        <w:tcBorders>
          <w:top w:val="single" w:color="000000" w:sz="8" w:space="0"/>
          <w:left w:val="single" w:color="000000" w:sz="8" w:space="0"/>
          <w:bottom w:val="single" w:color="000000" w:sz="8" w:space="0"/>
          <w:right w:val="single" w:color="000000" w:sz="8" w:space="0"/>
          <w:insideH w:val="nil"/>
          <w:insideV w:val="nil"/>
          <w:tl2br w:val="nil"/>
          <w:tr2bl w:val="nil"/>
        </w:tcBorders>
        <w:shd w:val="clear" w:color="auto" w:fill="C0C0C0"/>
      </w:tcPr>
    </w:tblStylePr>
    <w:tblStylePr w:type="band2Horz">
      <w:rPr>
        <w:rFonts w:cs="Cambria"/>
      </w:rPr>
      <w:tcPr>
        <w:tcBorders>
          <w:top w:val="single" w:color="000000" w:sz="8" w:space="0"/>
          <w:left w:val="single" w:color="000000" w:sz="8" w:space="0"/>
          <w:bottom w:val="single" w:color="000000" w:sz="8" w:space="0"/>
          <w:right w:val="single" w:color="000000" w:sz="8" w:space="0"/>
          <w:insideH w:val="nil"/>
          <w:insideV w:val="nil"/>
          <w:tl2br w:val="nil"/>
          <w:tr2bl w:val="nil"/>
        </w:tcBorders>
      </w:tcPr>
    </w:tblStylePr>
  </w:style>
  <w:style w:type="table" w:customStyle="1" w:styleId="302">
    <w:name w:val="深色列表强调文字颜色 1"/>
    <w:basedOn w:val="81"/>
    <w:qFormat/>
    <w:uiPriority w:val="70"/>
    <w:rPr>
      <w:rFonts w:ascii="Cambria" w:hAnsi="Cambria" w:eastAsia="黑体"/>
      <w:color w:val="FFFFFF"/>
    </w:rPr>
    <w:tcPr>
      <w:shd w:val="clear" w:color="auto" w:fill="7E97AD"/>
    </w:tcPr>
    <w:tblStylePr w:type="firstRow">
      <w:rPr>
        <w:rFonts w:cs="Cambria"/>
        <w:b/>
        <w:bCs/>
      </w:rPr>
      <w:tcPr>
        <w:tcBorders>
          <w:top w:val="nil"/>
          <w:left w:val="single" w:color="FFFFFF" w:sz="18" w:space="0"/>
          <w:bottom w:val="nil"/>
          <w:right w:val="nil"/>
          <w:insideH w:val="nil"/>
          <w:insideV w:val="nil"/>
          <w:tl2br w:val="nil"/>
          <w:tr2bl w:val="nil"/>
        </w:tcBorders>
        <w:shd w:val="clear" w:color="auto" w:fill="000000"/>
      </w:tcPr>
    </w:tblStylePr>
    <w:tblStylePr w:type="lastRow">
      <w:rPr>
        <w:rFonts w:cs="Cambria"/>
      </w:rPr>
      <w:tcPr>
        <w:tcBorders>
          <w:top w:val="single" w:color="FFFFFF" w:sz="18" w:space="0"/>
          <w:left w:val="nil"/>
          <w:bottom w:val="nil"/>
          <w:right w:val="nil"/>
          <w:insideH w:val="nil"/>
          <w:insideV w:val="nil"/>
          <w:tl2br w:val="nil"/>
          <w:tr2bl w:val="nil"/>
        </w:tcBorders>
        <w:shd w:val="clear" w:color="auto" w:fill="394B5A"/>
      </w:tcPr>
    </w:tblStylePr>
    <w:tblStylePr w:type="firstCol">
      <w:rPr>
        <w:rFonts w:cs="Cambria"/>
      </w:rPr>
      <w:tcPr>
        <w:tcBorders>
          <w:top w:val="nil"/>
          <w:left w:val="nil"/>
          <w:bottom w:val="nil"/>
          <w:right w:val="single" w:color="FFFFFF" w:sz="18" w:space="0"/>
          <w:insideH w:val="nil"/>
          <w:insideV w:val="nil"/>
          <w:tl2br w:val="nil"/>
          <w:tr2bl w:val="nil"/>
        </w:tcBorders>
        <w:shd w:val="clear" w:color="auto" w:fill="577188"/>
      </w:tcPr>
    </w:tblStylePr>
    <w:tblStylePr w:type="lastCol">
      <w:rPr>
        <w:rFonts w:cs="Cambria"/>
      </w:rPr>
      <w:tcPr>
        <w:tcBorders>
          <w:top w:val="nil"/>
          <w:left w:val="nil"/>
          <w:bottom w:val="single" w:color="FFFFFF" w:sz="18" w:space="0"/>
          <w:right w:val="nil"/>
          <w:insideH w:val="nil"/>
          <w:insideV w:val="nil"/>
          <w:tl2br w:val="nil"/>
          <w:tr2bl w:val="nil"/>
        </w:tcBorders>
        <w:shd w:val="clear" w:color="auto" w:fill="577188"/>
      </w:tcPr>
    </w:tblStylePr>
    <w:tblStylePr w:type="band1Vert">
      <w:rPr>
        <w:rFonts w:cs="Cambria"/>
      </w:rPr>
      <w:tcPr>
        <w:tcBorders>
          <w:top w:val="nil"/>
          <w:left w:val="nil"/>
          <w:bottom w:val="nil"/>
          <w:right w:val="nil"/>
          <w:insideH w:val="nil"/>
          <w:insideV w:val="nil"/>
          <w:tl2br w:val="nil"/>
          <w:tr2bl w:val="nil"/>
        </w:tcBorders>
        <w:shd w:val="clear" w:color="auto" w:fill="577188"/>
      </w:tcPr>
    </w:tblStylePr>
    <w:tblStylePr w:type="band1Horz">
      <w:rPr>
        <w:rFonts w:cs="Cambria"/>
      </w:rPr>
      <w:tcPr>
        <w:tcBorders>
          <w:top w:val="nil"/>
          <w:left w:val="nil"/>
          <w:bottom w:val="nil"/>
          <w:right w:val="nil"/>
          <w:insideH w:val="nil"/>
          <w:insideV w:val="nil"/>
          <w:tl2br w:val="nil"/>
          <w:tr2bl w:val="nil"/>
        </w:tcBorders>
        <w:shd w:val="clear" w:color="auto" w:fill="577188"/>
      </w:tcPr>
    </w:tblStylePr>
  </w:style>
  <w:style w:type="table" w:customStyle="1" w:styleId="303">
    <w:name w:val="中等深浅网格 3 强调文字颜色 2"/>
    <w:basedOn w:val="81"/>
    <w:qFormat/>
    <w:uiPriority w:val="69"/>
    <w:rPr>
      <w:rFonts w:ascii="Cambria" w:hAnsi="Cambria" w:eastAsia="黑体"/>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F2E2D7"/>
    </w:tcPr>
    <w:tblStylePr w:type="firstRow">
      <w:rPr>
        <w:rFonts w:cs="Cambria"/>
        <w:b/>
        <w:bCs/>
        <w:i w:val="0"/>
        <w:iCs w:val="0"/>
        <w:color w:val="FFFFFF"/>
      </w:rPr>
      <w:tcPr>
        <w:tcBorders>
          <w:top w:val="single" w:color="FFFFFF" w:sz="8" w:space="0"/>
          <w:left w:val="single" w:color="FFFFFF" w:sz="24" w:space="0"/>
          <w:bottom w:val="single" w:color="FFFFFF" w:sz="8" w:space="0"/>
          <w:right w:val="single" w:color="FFFFFF" w:sz="8" w:space="0"/>
          <w:insideH w:val="nil"/>
          <w:insideV w:val="nil"/>
          <w:tl2br w:val="nil"/>
          <w:tr2bl w:val="nil"/>
        </w:tcBorders>
        <w:shd w:val="clear" w:color="auto" w:fill="CC8E60"/>
      </w:tcPr>
    </w:tblStylePr>
    <w:tblStylePr w:type="lastRow">
      <w:rPr>
        <w:rFonts w:cs="Cambria"/>
        <w:b/>
        <w:bCs/>
        <w:i w:val="0"/>
        <w:iCs w:val="0"/>
        <w:color w:val="FFFFFF"/>
      </w:rPr>
      <w:tcPr>
        <w:tcBorders>
          <w:top w:val="single" w:color="FFFFFF" w:sz="24" w:space="0"/>
          <w:left w:val="single" w:color="FFFFFF" w:sz="8" w:space="0"/>
          <w:bottom w:val="single" w:color="FFFFFF" w:sz="8" w:space="0"/>
          <w:right w:val="single" w:color="FFFFFF" w:sz="8" w:space="0"/>
          <w:insideH w:val="nil"/>
          <w:insideV w:val="nil"/>
          <w:tl2br w:val="nil"/>
          <w:tr2bl w:val="nil"/>
        </w:tcBorders>
        <w:shd w:val="clear" w:color="auto" w:fill="CC8E60"/>
      </w:tcPr>
    </w:tblStylePr>
    <w:tblStylePr w:type="firstCol">
      <w:rPr>
        <w:rFonts w:cs="Cambria"/>
        <w:b/>
        <w:bCs/>
        <w:i w:val="0"/>
        <w:iCs w:val="0"/>
        <w:color w:val="FFFFFF"/>
      </w:rPr>
      <w:tcPr>
        <w:tcBorders>
          <w:top w:val="nil"/>
          <w:left w:val="nil"/>
          <w:bottom w:val="single" w:color="FFFFFF" w:sz="8" w:space="0"/>
          <w:right w:val="single" w:color="FFFFFF" w:sz="24" w:space="0"/>
          <w:insideH w:val="nil"/>
          <w:insideV w:val="nil"/>
          <w:tl2br w:val="nil"/>
          <w:tr2bl w:val="nil"/>
        </w:tcBorders>
        <w:shd w:val="clear" w:color="auto" w:fill="CC8E60"/>
      </w:tcPr>
    </w:tblStylePr>
    <w:tblStylePr w:type="lastCol">
      <w:rPr>
        <w:rFonts w:cs="Cambria"/>
        <w:b/>
        <w:bCs/>
        <w:i w:val="0"/>
        <w:iCs w:val="0"/>
        <w:color w:val="FFFFFF"/>
      </w:rPr>
      <w:tcPr>
        <w:tcBorders>
          <w:top w:val="nil"/>
          <w:left w:val="nil"/>
          <w:bottom w:val="single" w:color="FFFFFF" w:sz="24" w:space="0"/>
          <w:right w:val="nil"/>
          <w:insideH w:val="nil"/>
          <w:insideV w:val="nil"/>
          <w:tl2br w:val="nil"/>
          <w:tr2bl w:val="nil"/>
        </w:tcBorders>
        <w:shd w:val="clear" w:color="auto" w:fill="CC8E60"/>
      </w:tcPr>
    </w:tblStylePr>
    <w:tblStylePr w:type="band1Vert">
      <w:rPr>
        <w:rFonts w:cs="Cambria"/>
      </w:rPr>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E5C6AF"/>
      </w:tcPr>
    </w:tblStylePr>
    <w:tblStylePr w:type="band1Horz">
      <w:rPr>
        <w:rFonts w:cs="Cambria"/>
      </w:rPr>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E5C6AF"/>
      </w:tcPr>
    </w:tblStylePr>
  </w:style>
  <w:style w:type="table" w:customStyle="1" w:styleId="304">
    <w:name w:val="中等深浅列表 21"/>
    <w:basedOn w:val="81"/>
    <w:qFormat/>
    <w:uiPriority w:val="66"/>
    <w:rPr>
      <w:rFonts w:ascii="Calibri" w:hAnsi="Calibri" w:cs="Arial"/>
      <w:color w:val="000000"/>
    </w:rPr>
    <w:tblPr>
      <w:tblBorders>
        <w:top w:val="single" w:color="000000" w:sz="8" w:space="0"/>
        <w:left w:val="single" w:color="000000" w:sz="8" w:space="0"/>
        <w:bottom w:val="single" w:color="000000" w:sz="8" w:space="0"/>
        <w:right w:val="single" w:color="000000" w:sz="8" w:space="0"/>
      </w:tblBorders>
    </w:tblPr>
    <w:tblStylePr w:type="firstRow">
      <w:rPr>
        <w:rFonts w:cs="等线"/>
        <w:sz w:val="24"/>
        <w:szCs w:val="24"/>
      </w:rPr>
      <w:tcPr>
        <w:tcBorders>
          <w:top w:val="nil"/>
          <w:left w:val="single" w:color="000000" w:sz="24" w:space="0"/>
          <w:bottom w:val="nil"/>
          <w:right w:val="nil"/>
          <w:insideH w:val="nil"/>
          <w:insideV w:val="nil"/>
          <w:tl2br w:val="nil"/>
          <w:tr2bl w:val="nil"/>
        </w:tcBorders>
        <w:shd w:val="clear" w:color="auto" w:fill="FFFFFF"/>
      </w:tcPr>
    </w:tblStylePr>
    <w:tblStylePr w:type="lastRow">
      <w:rPr>
        <w:rFonts w:cs="等线"/>
      </w:rPr>
      <w:tcPr>
        <w:tcBorders>
          <w:top w:val="single" w:color="000000" w:sz="8" w:space="0"/>
          <w:left w:val="nil"/>
          <w:bottom w:val="nil"/>
          <w:right w:val="nil"/>
          <w:insideH w:val="nil"/>
          <w:insideV w:val="nil"/>
          <w:tl2br w:val="nil"/>
          <w:tr2bl w:val="nil"/>
        </w:tcBorders>
        <w:shd w:val="clear" w:color="auto" w:fill="FFFFFF"/>
      </w:tcPr>
    </w:tblStylePr>
    <w:tblStylePr w:type="firstCol">
      <w:rPr>
        <w:rFonts w:cs="等线"/>
      </w:rPr>
      <w:tcPr>
        <w:tcBorders>
          <w:top w:val="nil"/>
          <w:left w:val="nil"/>
          <w:bottom w:val="nil"/>
          <w:right w:val="single" w:color="000000" w:sz="8" w:space="0"/>
          <w:insideH w:val="nil"/>
          <w:insideV w:val="nil"/>
          <w:tl2br w:val="nil"/>
          <w:tr2bl w:val="nil"/>
        </w:tcBorders>
        <w:shd w:val="clear" w:color="auto" w:fill="FFFFFF"/>
      </w:tcPr>
    </w:tblStylePr>
    <w:tblStylePr w:type="lastCol">
      <w:rPr>
        <w:rFonts w:cs="等线"/>
      </w:rPr>
      <w:tcPr>
        <w:tcBorders>
          <w:top w:val="nil"/>
          <w:left w:val="nil"/>
          <w:bottom w:val="single" w:color="000000" w:sz="8" w:space="0"/>
          <w:right w:val="nil"/>
          <w:insideH w:val="nil"/>
          <w:insideV w:val="nil"/>
          <w:tl2br w:val="nil"/>
          <w:tr2bl w:val="nil"/>
        </w:tcBorders>
        <w:shd w:val="clear" w:color="auto" w:fill="FFFFFF"/>
      </w:tcPr>
    </w:tblStylePr>
    <w:tblStylePr w:type="band1Vert">
      <w:rPr>
        <w:rFonts w:cs="等线"/>
      </w:rPr>
      <w:tcPr>
        <w:tcBorders>
          <w:top w:val="nil"/>
          <w:left w:val="nil"/>
          <w:bottom w:val="nil"/>
          <w:right w:val="nil"/>
          <w:insideH w:val="nil"/>
          <w:insideV w:val="nil"/>
          <w:tl2br w:val="nil"/>
          <w:tr2bl w:val="nil"/>
        </w:tcBorders>
        <w:shd w:val="clear" w:color="auto" w:fill="C0C0C0"/>
      </w:tcPr>
    </w:tblStylePr>
    <w:tblStylePr w:type="band1Horz">
      <w:rPr>
        <w:rFonts w:cs="等线"/>
      </w:rPr>
      <w:tcPr>
        <w:tcBorders>
          <w:top w:val="nil"/>
          <w:left w:val="nil"/>
          <w:bottom w:val="nil"/>
          <w:right w:val="nil"/>
          <w:insideH w:val="nil"/>
          <w:insideV w:val="nil"/>
          <w:tl2br w:val="nil"/>
          <w:tr2bl w:val="nil"/>
        </w:tcBorders>
        <w:shd w:val="clear" w:color="auto" w:fill="C0C0C0"/>
      </w:tcPr>
    </w:tblStylePr>
    <w:tblStylePr w:type="nwCell">
      <w:rPr>
        <w:rFonts w:cs="等线"/>
      </w:rPr>
      <w:tcPr>
        <w:shd w:val="clear" w:color="auto" w:fill="FFFFFF"/>
      </w:tcPr>
    </w:tblStylePr>
    <w:tblStylePr w:type="swCell">
      <w:rPr>
        <w:rFonts w:cs="等线"/>
      </w:rPr>
      <w:tcPr>
        <w:tcBorders>
          <w:top w:val="nil"/>
          <w:left w:val="nil"/>
          <w:bottom w:val="nil"/>
          <w:right w:val="nil"/>
          <w:insideH w:val="nil"/>
          <w:insideV w:val="nil"/>
          <w:tl2br w:val="nil"/>
          <w:tr2bl w:val="nil"/>
        </w:tcBorders>
      </w:tcPr>
    </w:tblStylePr>
  </w:style>
  <w:style w:type="table" w:customStyle="1" w:styleId="305">
    <w:name w:val="中等深浅底纹 1 强调文字颜色 4"/>
    <w:basedOn w:val="81"/>
    <w:qFormat/>
    <w:uiPriority w:val="63"/>
    <w:rPr>
      <w:rFonts w:ascii="Cambria" w:hAnsi="Cambria" w:eastAsia="黑体"/>
    </w:rPr>
    <w:tblPr>
      <w:tblBorders>
        <w:top w:val="single" w:color="C6AD91" w:sz="8" w:space="0"/>
        <w:left w:val="single" w:color="C6AD91" w:sz="8" w:space="0"/>
        <w:bottom w:val="single" w:color="C6AD91" w:sz="8" w:space="0"/>
        <w:right w:val="single" w:color="C6AD91" w:sz="8" w:space="0"/>
        <w:insideH w:val="single" w:color="C6AD91" w:sz="8" w:space="0"/>
      </w:tblBorders>
    </w:tblPr>
    <w:tblStylePr w:type="firstRow">
      <w:pPr>
        <w:spacing w:before="0" w:after="0"/>
      </w:pPr>
      <w:rPr>
        <w:rFonts w:cs="Cambria"/>
        <w:b/>
        <w:bCs/>
        <w:color w:val="FFFFFF"/>
      </w:rPr>
      <w:tcPr>
        <w:tcBorders>
          <w:top w:val="single" w:color="C6AD91" w:sz="8" w:space="0"/>
          <w:left w:val="single" w:color="C6AD91" w:sz="8" w:space="0"/>
          <w:bottom w:val="single" w:color="C6AD91" w:sz="8" w:space="0"/>
          <w:right w:val="single" w:color="C6AD91" w:sz="8" w:space="0"/>
          <w:insideH w:val="nil"/>
          <w:insideV w:val="nil"/>
          <w:tl2br w:val="nil"/>
          <w:tr2bl w:val="nil"/>
        </w:tcBorders>
        <w:shd w:val="clear" w:color="auto" w:fill="B4936D"/>
      </w:tcPr>
    </w:tblStylePr>
    <w:tblStylePr w:type="lastRow">
      <w:pPr>
        <w:spacing w:before="0" w:after="0"/>
      </w:pPr>
      <w:rPr>
        <w:rFonts w:cs="Cambria"/>
        <w:b/>
        <w:bCs/>
      </w:rPr>
      <w:tcPr>
        <w:tcBorders>
          <w:top w:val="double" w:color="C6AD91" w:sz="6" w:space="0"/>
          <w:left w:val="single" w:color="C6AD91" w:sz="8" w:space="0"/>
          <w:bottom w:val="single" w:color="C6AD91" w:sz="8" w:space="0"/>
          <w:right w:val="single" w:color="C6AD91" w:sz="8" w:space="0"/>
          <w:insideH w:val="nil"/>
          <w:insideV w:val="nil"/>
          <w:tl2br w:val="nil"/>
          <w:tr2bl w:val="nil"/>
        </w:tcBorders>
      </w:tcPr>
    </w:tblStylePr>
    <w:tblStylePr w:type="firstCol">
      <w:rPr>
        <w:rFonts w:cs="Cambria"/>
        <w:b/>
        <w:bCs/>
      </w:rPr>
    </w:tblStylePr>
    <w:tblStylePr w:type="lastCol">
      <w:rPr>
        <w:rFonts w:cs="Cambria"/>
        <w:b/>
        <w:bCs/>
      </w:rPr>
    </w:tblStylePr>
    <w:tblStylePr w:type="band1Vert">
      <w:rPr>
        <w:rFonts w:cs="Cambria"/>
      </w:rPr>
      <w:tcPr>
        <w:shd w:val="clear" w:color="auto" w:fill="ECE4DA"/>
      </w:tcPr>
    </w:tblStylePr>
    <w:tblStylePr w:type="band1Horz">
      <w:rPr>
        <w:rFonts w:cs="Cambria"/>
      </w:rPr>
      <w:tcPr>
        <w:shd w:val="clear" w:color="auto" w:fill="ECE4DA"/>
      </w:tcPr>
    </w:tblStylePr>
    <w:tblStylePr w:type="band2Horz">
      <w:rPr>
        <w:rFonts w:cs="Cambria"/>
      </w:rPr>
    </w:tblStylePr>
  </w:style>
  <w:style w:type="table" w:customStyle="1" w:styleId="306">
    <w:name w:val="中等深浅底纹 2 强调文字颜色 5"/>
    <w:basedOn w:val="81"/>
    <w:qFormat/>
    <w:uiPriority w:val="64"/>
    <w:rPr>
      <w:rFonts w:ascii="Cambria" w:hAnsi="Cambria" w:eastAsia="黑体"/>
    </w:rPr>
    <w:tblPr>
      <w:tblBorders>
        <w:top w:val="single" w:color="auto" w:sz="18" w:space="0"/>
        <w:bottom w:val="single" w:color="auto" w:sz="18" w:space="0"/>
      </w:tblBorders>
    </w:tblPr>
    <w:tblStylePr w:type="firstRow">
      <w:pPr>
        <w:spacing w:before="0" w:after="0"/>
      </w:pPr>
      <w:rPr>
        <w:rFonts w:cs="Cambria"/>
        <w:b/>
        <w:bCs/>
        <w:color w:val="FFFFFF"/>
      </w:rPr>
      <w:tcPr>
        <w:tcBorders>
          <w:top w:val="single" w:color="auto" w:sz="18" w:space="0"/>
          <w:left w:val="single" w:color="auto" w:sz="18" w:space="0"/>
          <w:bottom w:val="nil"/>
          <w:right w:val="nil"/>
          <w:insideH w:val="nil"/>
          <w:insideV w:val="nil"/>
          <w:tl2br w:val="nil"/>
          <w:tr2bl w:val="nil"/>
        </w:tcBorders>
        <w:shd w:val="clear" w:color="auto" w:fill="67787B"/>
      </w:tcPr>
    </w:tblStylePr>
    <w:tblStylePr w:type="lastRow">
      <w:pPr>
        <w:spacing w:before="0" w:after="0"/>
      </w:pPr>
      <w:rPr>
        <w:rFonts w:cs="Cambria"/>
        <w:color w:val="auto"/>
      </w:rPr>
      <w:tcPr>
        <w:tcBorders>
          <w:top w:val="double" w:color="auto" w:sz="6" w:space="0"/>
          <w:left w:val="single" w:color="auto" w:sz="18" w:space="0"/>
          <w:bottom w:val="nil"/>
          <w:right w:val="nil"/>
          <w:insideH w:val="nil"/>
          <w:insideV w:val="nil"/>
          <w:tl2br w:val="nil"/>
          <w:tr2bl w:val="nil"/>
        </w:tcBorders>
        <w:shd w:val="clear" w:color="auto" w:fill="FFFFFF"/>
      </w:tcPr>
    </w:tblStylePr>
    <w:tblStylePr w:type="firstCol">
      <w:rPr>
        <w:rFonts w:cs="Cambria"/>
        <w:b/>
        <w:bCs/>
        <w:color w:val="FFFFFF"/>
      </w:rPr>
      <w:tcPr>
        <w:tcBorders>
          <w:top w:val="nil"/>
          <w:left w:val="single" w:color="auto" w:sz="18" w:space="0"/>
          <w:bottom w:val="nil"/>
          <w:right w:val="nil"/>
          <w:insideH w:val="nil"/>
          <w:insideV w:val="nil"/>
          <w:tl2br w:val="nil"/>
          <w:tr2bl w:val="nil"/>
        </w:tcBorders>
        <w:shd w:val="clear" w:color="auto" w:fill="67787B"/>
      </w:tcPr>
    </w:tblStylePr>
    <w:tblStylePr w:type="lastCol">
      <w:rPr>
        <w:rFonts w:cs="Cambria"/>
        <w:b/>
        <w:bCs/>
        <w:color w:val="FFFFFF"/>
      </w:rPr>
      <w:tcPr>
        <w:tcBorders>
          <w:top w:val="nil"/>
          <w:left w:val="nil"/>
          <w:bottom w:val="nil"/>
          <w:right w:val="nil"/>
          <w:insideH w:val="nil"/>
          <w:insideV w:val="nil"/>
          <w:tl2br w:val="nil"/>
          <w:tr2bl w:val="nil"/>
        </w:tcBorders>
        <w:shd w:val="clear" w:color="auto" w:fill="67787B"/>
      </w:tcPr>
    </w:tblStylePr>
    <w:tblStylePr w:type="band1Vert">
      <w:rPr>
        <w:rFonts w:cs="Cambria"/>
      </w:rPr>
      <w:tcPr>
        <w:tcBorders>
          <w:top w:val="nil"/>
          <w:left w:val="nil"/>
          <w:bottom w:val="nil"/>
          <w:right w:val="nil"/>
          <w:insideH w:val="nil"/>
          <w:insideV w:val="nil"/>
          <w:tl2br w:val="nil"/>
          <w:tr2bl w:val="nil"/>
        </w:tcBorders>
        <w:shd w:val="clear" w:color="auto" w:fill="D8D8D8"/>
      </w:tcPr>
    </w:tblStylePr>
    <w:tblStylePr w:type="band1Horz">
      <w:rPr>
        <w:rFonts w:cs="Cambria"/>
      </w:rPr>
      <w:tcPr>
        <w:shd w:val="clear" w:color="auto" w:fill="D8D8D8"/>
      </w:tcPr>
    </w:tblStylePr>
    <w:tblStylePr w:type="neCell">
      <w:rPr>
        <w:rFonts w:cs="Cambria"/>
      </w:rPr>
      <w:tcPr>
        <w:tcBorders>
          <w:top w:val="single" w:color="auto" w:sz="18" w:space="0"/>
          <w:left w:val="single" w:color="auto" w:sz="18" w:space="0"/>
          <w:bottom w:val="nil"/>
          <w:right w:val="nil"/>
          <w:insideH w:val="nil"/>
          <w:insideV w:val="nil"/>
          <w:tl2br w:val="nil"/>
          <w:tr2bl w:val="nil"/>
        </w:tcBorders>
      </w:tcPr>
    </w:tblStylePr>
    <w:tblStylePr w:type="nwCell">
      <w:rPr>
        <w:rFonts w:cs="Cambria"/>
        <w:color w:val="FFFFFF"/>
      </w:rPr>
      <w:tcPr>
        <w:tcBorders>
          <w:top w:val="single" w:color="auto" w:sz="18" w:space="0"/>
          <w:left w:val="single" w:color="auto" w:sz="18" w:space="0"/>
          <w:bottom w:val="nil"/>
          <w:right w:val="nil"/>
          <w:insideH w:val="nil"/>
          <w:insideV w:val="nil"/>
          <w:tl2br w:val="nil"/>
          <w:tr2bl w:val="nil"/>
        </w:tcBorders>
      </w:tcPr>
    </w:tblStylePr>
  </w:style>
  <w:style w:type="table" w:customStyle="1" w:styleId="307">
    <w:name w:val="中等深浅网格 21"/>
    <w:basedOn w:val="81"/>
    <w:qFormat/>
    <w:uiPriority w:val="68"/>
    <w:rPr>
      <w:rFonts w:ascii="Calibri" w:hAnsi="Calibri" w:cs="Arial"/>
      <w:color w:val="000000"/>
    </w:rPr>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cPr>
      <w:shd w:val="clear" w:color="auto" w:fill="C0C0C0"/>
    </w:tcPr>
    <w:tblStylePr w:type="firstRow">
      <w:rPr>
        <w:rFonts w:cs="等线"/>
        <w:b/>
        <w:bCs/>
        <w:color w:val="000000"/>
      </w:rPr>
      <w:tcPr>
        <w:shd w:val="clear" w:color="auto" w:fill="E6E6E6"/>
      </w:tcPr>
    </w:tblStylePr>
    <w:tblStylePr w:type="lastRow">
      <w:rPr>
        <w:rFonts w:cs="等线"/>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rFonts w:cs="等线"/>
        <w:b/>
        <w:bCs/>
        <w:color w:val="000000"/>
      </w:rPr>
      <w:tcPr>
        <w:tcBorders>
          <w:top w:val="nil"/>
          <w:left w:val="nil"/>
          <w:bottom w:val="nil"/>
          <w:right w:val="nil"/>
          <w:insideH w:val="nil"/>
          <w:insideV w:val="nil"/>
          <w:tl2br w:val="nil"/>
          <w:tr2bl w:val="nil"/>
        </w:tcBorders>
        <w:shd w:val="clear" w:color="auto" w:fill="FFFFFF"/>
      </w:tcPr>
    </w:tblStylePr>
    <w:tblStylePr w:type="lastCol">
      <w:rPr>
        <w:rFonts w:cs="等线"/>
        <w:b w:val="0"/>
        <w:bCs w:val="0"/>
        <w:color w:val="000000"/>
      </w:rPr>
      <w:tcPr>
        <w:tcBorders>
          <w:top w:val="nil"/>
          <w:left w:val="nil"/>
          <w:bottom w:val="nil"/>
          <w:right w:val="nil"/>
          <w:insideH w:val="nil"/>
          <w:insideV w:val="nil"/>
          <w:tl2br w:val="nil"/>
          <w:tr2bl w:val="nil"/>
        </w:tcBorders>
        <w:shd w:val="clear" w:color="auto" w:fill="CCCCCC"/>
      </w:tcPr>
    </w:tblStylePr>
    <w:tblStylePr w:type="band1Vert">
      <w:rPr>
        <w:rFonts w:cs="等线"/>
      </w:rPr>
      <w:tcPr>
        <w:shd w:val="clear" w:color="auto" w:fill="808080"/>
      </w:tcPr>
    </w:tblStylePr>
    <w:tblStylePr w:type="band1Horz">
      <w:rPr>
        <w:rFonts w:cs="等线"/>
      </w:rPr>
      <w:tcPr>
        <w:shd w:val="clear" w:color="auto" w:fill="808080"/>
      </w:tcPr>
    </w:tblStylePr>
    <w:tblStylePr w:type="nwCell">
      <w:rPr>
        <w:rFonts w:cs="等线"/>
      </w:rPr>
      <w:tcPr>
        <w:shd w:val="clear" w:color="auto" w:fill="FFFFFF"/>
      </w:tcPr>
    </w:tblStylePr>
  </w:style>
  <w:style w:type="table" w:customStyle="1" w:styleId="308">
    <w:name w:val="中等深浅列表 2 强调文字颜色 3"/>
    <w:basedOn w:val="81"/>
    <w:qFormat/>
    <w:uiPriority w:val="66"/>
    <w:rPr>
      <w:rFonts w:ascii="Calibri" w:hAnsi="Calibri" w:cs="Arial"/>
      <w:color w:val="000000"/>
    </w:rPr>
    <w:tblPr>
      <w:tblBorders>
        <w:top w:val="single" w:color="7A6A60" w:sz="8" w:space="0"/>
        <w:left w:val="single" w:color="7A6A60" w:sz="8" w:space="0"/>
        <w:bottom w:val="single" w:color="7A6A60" w:sz="8" w:space="0"/>
        <w:right w:val="single" w:color="7A6A60" w:sz="8" w:space="0"/>
      </w:tblBorders>
    </w:tblPr>
    <w:tblStylePr w:type="firstRow">
      <w:rPr>
        <w:rFonts w:cs="等线"/>
        <w:sz w:val="24"/>
        <w:szCs w:val="24"/>
      </w:rPr>
      <w:tcPr>
        <w:tcBorders>
          <w:top w:val="nil"/>
          <w:left w:val="single" w:color="7A6A60" w:sz="24" w:space="0"/>
          <w:bottom w:val="nil"/>
          <w:right w:val="nil"/>
          <w:insideH w:val="nil"/>
          <w:insideV w:val="nil"/>
          <w:tl2br w:val="nil"/>
          <w:tr2bl w:val="nil"/>
        </w:tcBorders>
        <w:shd w:val="clear" w:color="auto" w:fill="FFFFFF"/>
      </w:tcPr>
    </w:tblStylePr>
    <w:tblStylePr w:type="lastRow">
      <w:rPr>
        <w:rFonts w:cs="等线"/>
      </w:rPr>
      <w:tcPr>
        <w:tcBorders>
          <w:top w:val="single" w:color="7A6A60" w:sz="8" w:space="0"/>
          <w:left w:val="nil"/>
          <w:bottom w:val="nil"/>
          <w:right w:val="nil"/>
          <w:insideH w:val="nil"/>
          <w:insideV w:val="nil"/>
          <w:tl2br w:val="nil"/>
          <w:tr2bl w:val="nil"/>
        </w:tcBorders>
        <w:shd w:val="clear" w:color="auto" w:fill="FFFFFF"/>
      </w:tcPr>
    </w:tblStylePr>
    <w:tblStylePr w:type="firstCol">
      <w:rPr>
        <w:rFonts w:cs="等线"/>
      </w:rPr>
      <w:tcPr>
        <w:tcBorders>
          <w:top w:val="nil"/>
          <w:left w:val="nil"/>
          <w:bottom w:val="nil"/>
          <w:right w:val="single" w:color="7A6A60" w:sz="8" w:space="0"/>
          <w:insideH w:val="nil"/>
          <w:insideV w:val="nil"/>
          <w:tl2br w:val="nil"/>
          <w:tr2bl w:val="nil"/>
        </w:tcBorders>
        <w:shd w:val="clear" w:color="auto" w:fill="FFFFFF"/>
      </w:tcPr>
    </w:tblStylePr>
    <w:tblStylePr w:type="lastCol">
      <w:rPr>
        <w:rFonts w:cs="等线"/>
      </w:rPr>
      <w:tcPr>
        <w:tcBorders>
          <w:top w:val="nil"/>
          <w:left w:val="nil"/>
          <w:bottom w:val="single" w:color="7A6A60" w:sz="8" w:space="0"/>
          <w:right w:val="nil"/>
          <w:insideH w:val="nil"/>
          <w:insideV w:val="nil"/>
          <w:tl2br w:val="nil"/>
          <w:tr2bl w:val="nil"/>
        </w:tcBorders>
        <w:shd w:val="clear" w:color="auto" w:fill="FFFFFF"/>
      </w:tcPr>
    </w:tblStylePr>
    <w:tblStylePr w:type="band1Vert">
      <w:rPr>
        <w:rFonts w:cs="等线"/>
      </w:rPr>
      <w:tcPr>
        <w:tcBorders>
          <w:top w:val="nil"/>
          <w:left w:val="nil"/>
          <w:bottom w:val="nil"/>
          <w:right w:val="nil"/>
          <w:insideH w:val="nil"/>
          <w:insideV w:val="nil"/>
          <w:tl2br w:val="nil"/>
          <w:tr2bl w:val="nil"/>
        </w:tcBorders>
        <w:shd w:val="clear" w:color="auto" w:fill="DFD9D6"/>
      </w:tcPr>
    </w:tblStylePr>
    <w:tblStylePr w:type="band1Horz">
      <w:rPr>
        <w:rFonts w:cs="等线"/>
      </w:rPr>
      <w:tcPr>
        <w:tcBorders>
          <w:top w:val="nil"/>
          <w:left w:val="nil"/>
          <w:bottom w:val="nil"/>
          <w:right w:val="nil"/>
          <w:insideH w:val="nil"/>
          <w:insideV w:val="nil"/>
          <w:tl2br w:val="nil"/>
          <w:tr2bl w:val="nil"/>
        </w:tcBorders>
        <w:shd w:val="clear" w:color="auto" w:fill="DFD9D6"/>
      </w:tcPr>
    </w:tblStylePr>
    <w:tblStylePr w:type="nwCell">
      <w:rPr>
        <w:rFonts w:cs="等线"/>
      </w:rPr>
      <w:tcPr>
        <w:shd w:val="clear" w:color="auto" w:fill="FFFFFF"/>
      </w:tcPr>
    </w:tblStylePr>
    <w:tblStylePr w:type="swCell">
      <w:rPr>
        <w:rFonts w:cs="等线"/>
      </w:rPr>
      <w:tcPr>
        <w:tcBorders>
          <w:top w:val="nil"/>
          <w:left w:val="nil"/>
          <w:bottom w:val="nil"/>
          <w:right w:val="nil"/>
          <w:insideH w:val="nil"/>
          <w:insideV w:val="nil"/>
          <w:tl2br w:val="nil"/>
          <w:tr2bl w:val="nil"/>
        </w:tcBorders>
      </w:tcPr>
    </w:tblStylePr>
  </w:style>
  <w:style w:type="table" w:customStyle="1" w:styleId="309">
    <w:name w:val="浅色网格强调文字颜色 5"/>
    <w:basedOn w:val="81"/>
    <w:qFormat/>
    <w:uiPriority w:val="62"/>
    <w:rPr>
      <w:rFonts w:ascii="Cambria" w:hAnsi="Cambria" w:eastAsia="黑体"/>
    </w:rPr>
    <w:tblPr>
      <w:tblBorders>
        <w:top w:val="single" w:color="67787B" w:sz="8" w:space="0"/>
        <w:left w:val="single" w:color="67787B" w:sz="8" w:space="0"/>
        <w:bottom w:val="single" w:color="67787B" w:sz="8" w:space="0"/>
        <w:right w:val="single" w:color="67787B" w:sz="8" w:space="0"/>
        <w:insideH w:val="single" w:color="67787B" w:sz="8" w:space="0"/>
        <w:insideV w:val="single" w:color="67787B" w:sz="8" w:space="0"/>
      </w:tblBorders>
    </w:tblPr>
    <w:tblStylePr w:type="firstRow">
      <w:pPr>
        <w:spacing w:before="0" w:after="0"/>
      </w:pPr>
      <w:rPr>
        <w:rFonts w:eastAsia="serif" w:cs="等线"/>
        <w:b/>
        <w:bCs/>
      </w:rPr>
      <w:tcPr>
        <w:tcBorders>
          <w:top w:val="single" w:color="67787B" w:sz="8" w:space="0"/>
          <w:left w:val="single" w:color="67787B" w:sz="18" w:space="0"/>
          <w:bottom w:val="single" w:color="67787B" w:sz="8" w:space="0"/>
          <w:right w:val="single" w:color="67787B" w:sz="8" w:space="0"/>
          <w:insideH w:val="nil"/>
          <w:insideV w:val="nil"/>
          <w:tl2br w:val="nil"/>
          <w:tr2bl w:val="nil"/>
        </w:tcBorders>
      </w:tcPr>
    </w:tblStylePr>
    <w:tblStylePr w:type="lastRow">
      <w:pPr>
        <w:spacing w:before="0" w:after="0"/>
      </w:pPr>
      <w:rPr>
        <w:rFonts w:eastAsia="serif" w:cs="等线"/>
        <w:b/>
        <w:bCs/>
      </w:rPr>
      <w:tcPr>
        <w:tcBorders>
          <w:top w:val="double" w:color="67787B" w:sz="6" w:space="0"/>
          <w:left w:val="single" w:color="67787B" w:sz="8" w:space="0"/>
          <w:bottom w:val="single" w:color="67787B" w:sz="8" w:space="0"/>
          <w:right w:val="single" w:color="67787B" w:sz="8" w:space="0"/>
          <w:insideH w:val="nil"/>
          <w:insideV w:val="nil"/>
          <w:tl2br w:val="nil"/>
          <w:tr2bl w:val="nil"/>
        </w:tcBorders>
      </w:tcPr>
    </w:tblStylePr>
    <w:tblStylePr w:type="firstCol">
      <w:rPr>
        <w:rFonts w:eastAsia="serif" w:cs="等线"/>
        <w:b/>
        <w:bCs/>
      </w:rPr>
    </w:tblStylePr>
    <w:tblStylePr w:type="lastCol">
      <w:rPr>
        <w:rFonts w:eastAsia="serif" w:cs="等线"/>
        <w:b/>
        <w:bCs/>
      </w:rPr>
      <w:tcPr>
        <w:tcBorders>
          <w:top w:val="single" w:color="67787B" w:sz="8" w:space="0"/>
          <w:left w:val="single" w:color="67787B" w:sz="8" w:space="0"/>
          <w:bottom w:val="single" w:color="67787B" w:sz="8" w:space="0"/>
          <w:right w:val="single" w:color="67787B" w:sz="8" w:space="0"/>
          <w:insideH w:val="nil"/>
          <w:insideV w:val="nil"/>
          <w:tl2br w:val="nil"/>
          <w:tr2bl w:val="nil"/>
        </w:tcBorders>
      </w:tcPr>
    </w:tblStylePr>
    <w:tblStylePr w:type="band1Vert">
      <w:rPr>
        <w:rFonts w:cs="Cambria"/>
      </w:rPr>
      <w:tcPr>
        <w:tcBorders>
          <w:top w:val="single" w:color="67787B" w:sz="8" w:space="0"/>
          <w:left w:val="single" w:color="67787B" w:sz="8" w:space="0"/>
          <w:bottom w:val="single" w:color="67787B" w:sz="8" w:space="0"/>
          <w:right w:val="single" w:color="67787B" w:sz="8" w:space="0"/>
          <w:insideH w:val="nil"/>
          <w:insideV w:val="nil"/>
          <w:tl2br w:val="nil"/>
          <w:tr2bl w:val="nil"/>
        </w:tcBorders>
        <w:shd w:val="clear" w:color="auto" w:fill="D8DEDF"/>
      </w:tcPr>
    </w:tblStylePr>
    <w:tblStylePr w:type="band1Horz">
      <w:rPr>
        <w:rFonts w:cs="Cambria"/>
      </w:rPr>
      <w:tcPr>
        <w:tcBorders>
          <w:top w:val="single" w:color="67787B" w:sz="8" w:space="0"/>
          <w:left w:val="single" w:color="67787B" w:sz="8" w:space="0"/>
          <w:bottom w:val="single" w:color="67787B" w:sz="8" w:space="0"/>
          <w:right w:val="single" w:color="67787B" w:sz="8" w:space="0"/>
          <w:insideH w:val="nil"/>
          <w:insideV w:val="nil"/>
          <w:tl2br w:val="nil"/>
          <w:tr2bl w:val="nil"/>
        </w:tcBorders>
        <w:shd w:val="clear" w:color="auto" w:fill="D8DEDF"/>
      </w:tcPr>
    </w:tblStylePr>
    <w:tblStylePr w:type="band2Horz">
      <w:rPr>
        <w:rFonts w:cs="Cambria"/>
      </w:rPr>
      <w:tcPr>
        <w:tcBorders>
          <w:top w:val="single" w:color="67787B" w:sz="8" w:space="0"/>
          <w:left w:val="single" w:color="67787B" w:sz="8" w:space="0"/>
          <w:bottom w:val="single" w:color="67787B" w:sz="8" w:space="0"/>
          <w:right w:val="single" w:color="67787B" w:sz="8" w:space="0"/>
          <w:insideH w:val="nil"/>
          <w:insideV w:val="nil"/>
          <w:tl2br w:val="nil"/>
          <w:tr2bl w:val="nil"/>
        </w:tcBorders>
      </w:tcPr>
    </w:tblStylePr>
  </w:style>
  <w:style w:type="table" w:customStyle="1" w:styleId="310">
    <w:name w:val="中等深浅列表 11"/>
    <w:basedOn w:val="81"/>
    <w:qFormat/>
    <w:uiPriority w:val="65"/>
    <w:rPr>
      <w:rFonts w:ascii="Cambria" w:hAnsi="Cambria" w:eastAsia="黑体"/>
      <w:color w:val="000000"/>
    </w:rPr>
    <w:tblPr>
      <w:tblBorders>
        <w:top w:val="single" w:color="000000" w:sz="8" w:space="0"/>
        <w:bottom w:val="single" w:color="000000" w:sz="8" w:space="0"/>
      </w:tblBorders>
    </w:tblPr>
    <w:tblStylePr w:type="firstRow">
      <w:rPr>
        <w:rFonts w:eastAsia="serif" w:cs="等线"/>
      </w:rPr>
      <w:tcPr>
        <w:tcBorders>
          <w:top w:val="nil"/>
          <w:left w:val="single" w:color="000000" w:sz="8" w:space="0"/>
          <w:bottom w:val="nil"/>
          <w:right w:val="nil"/>
          <w:insideH w:val="nil"/>
          <w:insideV w:val="nil"/>
          <w:tl2br w:val="nil"/>
          <w:tr2bl w:val="nil"/>
        </w:tcBorders>
      </w:tcPr>
    </w:tblStylePr>
    <w:tblStylePr w:type="lastRow">
      <w:rPr>
        <w:rFonts w:cs="Cambria"/>
        <w:b/>
        <w:bCs/>
        <w:color w:val="1F2123"/>
      </w:rPr>
      <w:tcPr>
        <w:tcBorders>
          <w:top w:val="single" w:color="000000" w:sz="8" w:space="0"/>
          <w:left w:val="single" w:color="000000" w:sz="8" w:space="0"/>
          <w:bottom w:val="nil"/>
          <w:right w:val="nil"/>
          <w:insideH w:val="nil"/>
          <w:insideV w:val="nil"/>
          <w:tl2br w:val="nil"/>
          <w:tr2bl w:val="nil"/>
        </w:tcBorders>
      </w:tcPr>
    </w:tblStylePr>
    <w:tblStylePr w:type="firstCol">
      <w:rPr>
        <w:rFonts w:cs="Cambria"/>
        <w:b/>
        <w:bCs/>
      </w:rPr>
    </w:tblStylePr>
    <w:tblStylePr w:type="lastCol">
      <w:rPr>
        <w:rFonts w:cs="Cambria"/>
        <w:b/>
        <w:bCs/>
      </w:rPr>
      <w:tcPr>
        <w:tcBorders>
          <w:top w:val="single" w:color="000000" w:sz="8" w:space="0"/>
          <w:left w:val="single" w:color="000000" w:sz="8" w:space="0"/>
          <w:bottom w:val="nil"/>
          <w:right w:val="nil"/>
          <w:insideH w:val="nil"/>
          <w:insideV w:val="nil"/>
          <w:tl2br w:val="nil"/>
          <w:tr2bl w:val="nil"/>
        </w:tcBorders>
      </w:tcPr>
    </w:tblStylePr>
    <w:tblStylePr w:type="band1Vert">
      <w:rPr>
        <w:rFonts w:cs="Cambria"/>
      </w:rPr>
      <w:tcPr>
        <w:shd w:val="clear" w:color="auto" w:fill="C0C0C0"/>
      </w:tcPr>
    </w:tblStylePr>
    <w:tblStylePr w:type="band1Horz">
      <w:rPr>
        <w:rFonts w:cs="Cambria"/>
      </w:rPr>
      <w:tcPr>
        <w:shd w:val="clear" w:color="auto" w:fill="C0C0C0"/>
      </w:tcPr>
    </w:tblStylePr>
  </w:style>
  <w:style w:type="table" w:customStyle="1" w:styleId="311">
    <w:name w:val="浅色列表强调文字颜色 1"/>
    <w:basedOn w:val="81"/>
    <w:qFormat/>
    <w:uiPriority w:val="61"/>
    <w:rPr>
      <w:rFonts w:ascii="Cambria" w:hAnsi="Cambria" w:eastAsia="黑体"/>
    </w:rPr>
    <w:tblPr>
      <w:tblBorders>
        <w:top w:val="single" w:color="7E97AD" w:sz="8" w:space="0"/>
        <w:left w:val="single" w:color="7E97AD" w:sz="8" w:space="0"/>
        <w:bottom w:val="single" w:color="7E97AD" w:sz="8" w:space="0"/>
        <w:right w:val="single" w:color="7E97AD" w:sz="8" w:space="0"/>
      </w:tblBorders>
    </w:tblPr>
    <w:tblStylePr w:type="firstRow">
      <w:pPr>
        <w:spacing w:before="0" w:after="0"/>
      </w:pPr>
      <w:rPr>
        <w:rFonts w:cs="Cambria"/>
        <w:b/>
        <w:bCs/>
        <w:color w:val="FFFFFF"/>
      </w:rPr>
      <w:tcPr>
        <w:shd w:val="clear" w:color="auto" w:fill="7E97AD"/>
      </w:tcPr>
    </w:tblStylePr>
    <w:tblStylePr w:type="lastRow">
      <w:pPr>
        <w:spacing w:before="0" w:after="0"/>
      </w:pPr>
      <w:rPr>
        <w:rFonts w:cs="Cambria"/>
        <w:b/>
        <w:bCs/>
      </w:rPr>
      <w:tcPr>
        <w:tcBorders>
          <w:top w:val="double" w:color="7E97AD" w:sz="6" w:space="0"/>
          <w:left w:val="single" w:color="7E97AD" w:sz="8" w:space="0"/>
          <w:bottom w:val="single" w:color="7E97AD" w:sz="8" w:space="0"/>
          <w:right w:val="single" w:color="7E97AD" w:sz="8" w:space="0"/>
          <w:insideH w:val="nil"/>
          <w:insideV w:val="nil"/>
          <w:tl2br w:val="nil"/>
          <w:tr2bl w:val="nil"/>
        </w:tcBorders>
      </w:tcPr>
    </w:tblStylePr>
    <w:tblStylePr w:type="firstCol">
      <w:rPr>
        <w:rFonts w:cs="Cambria"/>
        <w:b/>
        <w:bCs/>
      </w:rPr>
    </w:tblStylePr>
    <w:tblStylePr w:type="lastCol">
      <w:rPr>
        <w:rFonts w:cs="Cambria"/>
        <w:b/>
        <w:bCs/>
      </w:rPr>
    </w:tblStylePr>
    <w:tblStylePr w:type="band1Vert">
      <w:rPr>
        <w:rFonts w:cs="Cambria"/>
      </w:rPr>
      <w:tcPr>
        <w:tcBorders>
          <w:top w:val="single" w:color="7E97AD" w:sz="8" w:space="0"/>
          <w:left w:val="single" w:color="7E97AD" w:sz="8" w:space="0"/>
          <w:bottom w:val="single" w:color="7E97AD" w:sz="8" w:space="0"/>
          <w:right w:val="single" w:color="7E97AD" w:sz="8" w:space="0"/>
          <w:insideH w:val="nil"/>
          <w:insideV w:val="nil"/>
          <w:tl2br w:val="nil"/>
          <w:tr2bl w:val="nil"/>
        </w:tcBorders>
      </w:tcPr>
    </w:tblStylePr>
    <w:tblStylePr w:type="band1Horz">
      <w:rPr>
        <w:rFonts w:cs="Cambria"/>
      </w:rPr>
      <w:tcPr>
        <w:tcBorders>
          <w:top w:val="single" w:color="7E97AD" w:sz="8" w:space="0"/>
          <w:left w:val="single" w:color="7E97AD" w:sz="8" w:space="0"/>
          <w:bottom w:val="single" w:color="7E97AD" w:sz="8" w:space="0"/>
          <w:right w:val="single" w:color="7E97AD" w:sz="8" w:space="0"/>
          <w:insideH w:val="nil"/>
          <w:insideV w:val="nil"/>
          <w:tl2br w:val="nil"/>
          <w:tr2bl w:val="nil"/>
        </w:tcBorders>
      </w:tcPr>
    </w:tblStylePr>
  </w:style>
  <w:style w:type="table" w:customStyle="1" w:styleId="312">
    <w:name w:val="中等深浅网格 2 强调文字颜色 3"/>
    <w:basedOn w:val="81"/>
    <w:qFormat/>
    <w:uiPriority w:val="68"/>
    <w:rPr>
      <w:rFonts w:ascii="Calibri" w:hAnsi="Calibri" w:cs="Arial"/>
      <w:color w:val="000000"/>
    </w:rPr>
    <w:tblPr>
      <w:tblBorders>
        <w:top w:val="single" w:color="7A6A60" w:sz="8" w:space="0"/>
        <w:left w:val="single" w:color="7A6A60" w:sz="8" w:space="0"/>
        <w:bottom w:val="single" w:color="7A6A60" w:sz="8" w:space="0"/>
        <w:right w:val="single" w:color="7A6A60" w:sz="8" w:space="0"/>
        <w:insideH w:val="single" w:color="7A6A60" w:sz="8" w:space="0"/>
        <w:insideV w:val="single" w:color="7A6A60" w:sz="8" w:space="0"/>
      </w:tblBorders>
    </w:tblPr>
    <w:tcPr>
      <w:shd w:val="clear" w:color="auto" w:fill="DFD9D6"/>
    </w:tcPr>
    <w:tblStylePr w:type="firstRow">
      <w:rPr>
        <w:rFonts w:cs="等线"/>
        <w:b/>
        <w:bCs/>
        <w:color w:val="000000"/>
      </w:rPr>
      <w:tcPr>
        <w:shd w:val="clear" w:color="auto" w:fill="F2F0EE"/>
      </w:tcPr>
    </w:tblStylePr>
    <w:tblStylePr w:type="lastRow">
      <w:rPr>
        <w:rFonts w:cs="等线"/>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rFonts w:cs="等线"/>
        <w:b/>
        <w:bCs/>
        <w:color w:val="000000"/>
      </w:rPr>
      <w:tcPr>
        <w:tcBorders>
          <w:top w:val="nil"/>
          <w:left w:val="nil"/>
          <w:bottom w:val="nil"/>
          <w:right w:val="nil"/>
          <w:insideH w:val="nil"/>
          <w:insideV w:val="nil"/>
          <w:tl2br w:val="nil"/>
          <w:tr2bl w:val="nil"/>
        </w:tcBorders>
        <w:shd w:val="clear" w:color="auto" w:fill="FFFFFF"/>
      </w:tcPr>
    </w:tblStylePr>
    <w:tblStylePr w:type="lastCol">
      <w:rPr>
        <w:rFonts w:cs="等线"/>
        <w:b w:val="0"/>
        <w:bCs w:val="0"/>
        <w:color w:val="000000"/>
      </w:rPr>
      <w:tcPr>
        <w:tcBorders>
          <w:top w:val="nil"/>
          <w:left w:val="nil"/>
          <w:bottom w:val="nil"/>
          <w:right w:val="nil"/>
          <w:insideH w:val="nil"/>
          <w:insideV w:val="nil"/>
          <w:tl2br w:val="nil"/>
          <w:tr2bl w:val="nil"/>
        </w:tcBorders>
        <w:shd w:val="clear" w:color="auto" w:fill="E5E0DE"/>
      </w:tcPr>
    </w:tblStylePr>
    <w:tblStylePr w:type="band1Vert">
      <w:rPr>
        <w:rFonts w:cs="等线"/>
      </w:rPr>
      <w:tcPr>
        <w:shd w:val="clear" w:color="auto" w:fill="BEB4AD"/>
      </w:tcPr>
    </w:tblStylePr>
    <w:tblStylePr w:type="band1Horz">
      <w:rPr>
        <w:rFonts w:cs="等线"/>
      </w:rPr>
      <w:tcPr>
        <w:shd w:val="clear" w:color="auto" w:fill="BEB4AD"/>
      </w:tcPr>
    </w:tblStylePr>
    <w:tblStylePr w:type="nwCell">
      <w:rPr>
        <w:rFonts w:cs="等线"/>
      </w:rPr>
      <w:tcPr>
        <w:shd w:val="clear" w:color="auto" w:fill="FFFFFF"/>
      </w:tcPr>
    </w:tblStylePr>
  </w:style>
  <w:style w:type="table" w:customStyle="1" w:styleId="313">
    <w:name w:val="中等深浅网格 1 强调文字颜色 2"/>
    <w:basedOn w:val="81"/>
    <w:qFormat/>
    <w:uiPriority w:val="67"/>
    <w:rPr>
      <w:rFonts w:ascii="Cambria" w:hAnsi="Cambria" w:eastAsia="黑体"/>
    </w:rPr>
    <w:tblPr>
      <w:tblBorders>
        <w:top w:val="single" w:color="D8AA87" w:sz="8" w:space="0"/>
        <w:left w:val="single" w:color="D8AA87" w:sz="8" w:space="0"/>
        <w:bottom w:val="single" w:color="D8AA87" w:sz="8" w:space="0"/>
        <w:right w:val="single" w:color="D8AA87" w:sz="8" w:space="0"/>
        <w:insideH w:val="single" w:color="D8AA87" w:sz="8" w:space="0"/>
        <w:insideV w:val="single" w:color="D8AA87" w:sz="8" w:space="0"/>
      </w:tblBorders>
    </w:tblPr>
    <w:tcPr>
      <w:shd w:val="clear" w:color="auto" w:fill="F2E2D7"/>
    </w:tcPr>
    <w:tblStylePr w:type="firstRow">
      <w:rPr>
        <w:rFonts w:cs="Cambria"/>
        <w:b/>
        <w:bCs/>
      </w:rPr>
    </w:tblStylePr>
    <w:tblStylePr w:type="lastRow">
      <w:rPr>
        <w:rFonts w:cs="Cambria"/>
        <w:b/>
        <w:bCs/>
      </w:rPr>
      <w:tcPr>
        <w:tcBorders>
          <w:top w:val="single" w:color="D8AA87" w:sz="18" w:space="0"/>
          <w:left w:val="nil"/>
          <w:bottom w:val="nil"/>
          <w:right w:val="nil"/>
          <w:insideH w:val="nil"/>
          <w:insideV w:val="nil"/>
          <w:tl2br w:val="nil"/>
          <w:tr2bl w:val="nil"/>
        </w:tcBorders>
      </w:tcPr>
    </w:tblStylePr>
    <w:tblStylePr w:type="firstCol">
      <w:rPr>
        <w:rFonts w:cs="Cambria"/>
        <w:b/>
        <w:bCs/>
      </w:rPr>
    </w:tblStylePr>
    <w:tblStylePr w:type="lastCol">
      <w:rPr>
        <w:rFonts w:cs="Cambria"/>
        <w:b/>
        <w:bCs/>
      </w:rPr>
    </w:tblStylePr>
    <w:tblStylePr w:type="band1Vert">
      <w:rPr>
        <w:rFonts w:cs="Cambria"/>
      </w:rPr>
      <w:tcPr>
        <w:shd w:val="clear" w:color="auto" w:fill="E5C6AF"/>
      </w:tcPr>
    </w:tblStylePr>
    <w:tblStylePr w:type="band1Horz">
      <w:rPr>
        <w:rFonts w:cs="Cambria"/>
      </w:rPr>
      <w:tcPr>
        <w:shd w:val="clear" w:color="auto" w:fill="E5C6AF"/>
      </w:tcPr>
    </w:tblStylePr>
  </w:style>
  <w:style w:type="table" w:customStyle="1" w:styleId="314">
    <w:name w:val="彩色网格强调文字颜色 1"/>
    <w:basedOn w:val="81"/>
    <w:qFormat/>
    <w:uiPriority w:val="73"/>
    <w:rPr>
      <w:rFonts w:ascii="Cambria" w:hAnsi="Cambria" w:eastAsia="黑体"/>
      <w:color w:val="000000"/>
    </w:rPr>
    <w:tblPr>
      <w:tblBorders>
        <w:insideH w:val="single" w:color="FFFFFF" w:sz="4" w:space="0"/>
      </w:tblBorders>
    </w:tblPr>
    <w:tcPr>
      <w:shd w:val="clear" w:color="auto" w:fill="E5EAEE"/>
    </w:tcPr>
    <w:tblStylePr w:type="firstRow">
      <w:rPr>
        <w:rFonts w:cs="Cambria"/>
        <w:b/>
        <w:bCs/>
      </w:rPr>
      <w:tcPr>
        <w:shd w:val="clear" w:color="auto" w:fill="CBD5DE"/>
      </w:tcPr>
    </w:tblStylePr>
    <w:tblStylePr w:type="lastRow">
      <w:rPr>
        <w:rFonts w:cs="Cambria"/>
        <w:b/>
        <w:bCs/>
        <w:color w:val="000000"/>
      </w:rPr>
      <w:tcPr>
        <w:shd w:val="clear" w:color="auto" w:fill="CBD5DE"/>
      </w:tcPr>
    </w:tblStylePr>
    <w:tblStylePr w:type="firstCol">
      <w:rPr>
        <w:rFonts w:cs="Cambria"/>
        <w:color w:val="FFFFFF"/>
      </w:rPr>
      <w:tcPr>
        <w:shd w:val="clear" w:color="auto" w:fill="577188"/>
      </w:tcPr>
    </w:tblStylePr>
    <w:tblStylePr w:type="lastCol">
      <w:rPr>
        <w:rFonts w:cs="Cambria"/>
        <w:color w:val="FFFFFF"/>
      </w:rPr>
      <w:tcPr>
        <w:shd w:val="clear" w:color="auto" w:fill="577188"/>
      </w:tcPr>
    </w:tblStylePr>
    <w:tblStylePr w:type="band1Vert">
      <w:rPr>
        <w:rFonts w:cs="Cambria"/>
      </w:rPr>
      <w:tcPr>
        <w:shd w:val="clear" w:color="auto" w:fill="BECBD6"/>
      </w:tcPr>
    </w:tblStylePr>
    <w:tblStylePr w:type="band1Horz">
      <w:rPr>
        <w:rFonts w:cs="Cambria"/>
      </w:rPr>
      <w:tcPr>
        <w:shd w:val="clear" w:color="auto" w:fill="BECBD6"/>
      </w:tcPr>
    </w:tblStylePr>
  </w:style>
  <w:style w:type="table" w:customStyle="1" w:styleId="315">
    <w:name w:val="中等深浅网格 1 强调文字颜色 5"/>
    <w:basedOn w:val="81"/>
    <w:qFormat/>
    <w:uiPriority w:val="67"/>
    <w:rPr>
      <w:rFonts w:ascii="Cambria" w:hAnsi="Cambria" w:eastAsia="黑体"/>
    </w:rPr>
    <w:tblPr>
      <w:tblBorders>
        <w:top w:val="single" w:color="8B9B9E" w:sz="8" w:space="0"/>
        <w:left w:val="single" w:color="8B9B9E" w:sz="8" w:space="0"/>
        <w:bottom w:val="single" w:color="8B9B9E" w:sz="8" w:space="0"/>
        <w:right w:val="single" w:color="8B9B9E" w:sz="8" w:space="0"/>
        <w:insideH w:val="single" w:color="8B9B9E" w:sz="8" w:space="0"/>
        <w:insideV w:val="single" w:color="8B9B9E" w:sz="8" w:space="0"/>
      </w:tblBorders>
    </w:tblPr>
    <w:tcPr>
      <w:shd w:val="clear" w:color="auto" w:fill="D8DEDF"/>
    </w:tcPr>
    <w:tblStylePr w:type="firstRow">
      <w:rPr>
        <w:rFonts w:cs="Cambria"/>
        <w:b/>
        <w:bCs/>
      </w:rPr>
    </w:tblStylePr>
    <w:tblStylePr w:type="lastRow">
      <w:rPr>
        <w:rFonts w:cs="Cambria"/>
        <w:b/>
        <w:bCs/>
      </w:rPr>
      <w:tcPr>
        <w:tcBorders>
          <w:top w:val="single" w:color="8B9B9E" w:sz="18" w:space="0"/>
          <w:left w:val="nil"/>
          <w:bottom w:val="nil"/>
          <w:right w:val="nil"/>
          <w:insideH w:val="nil"/>
          <w:insideV w:val="nil"/>
          <w:tl2br w:val="nil"/>
          <w:tr2bl w:val="nil"/>
        </w:tcBorders>
      </w:tcPr>
    </w:tblStylePr>
    <w:tblStylePr w:type="firstCol">
      <w:rPr>
        <w:rFonts w:cs="Cambria"/>
        <w:b/>
        <w:bCs/>
      </w:rPr>
    </w:tblStylePr>
    <w:tblStylePr w:type="lastCol">
      <w:rPr>
        <w:rFonts w:cs="Cambria"/>
        <w:b/>
        <w:bCs/>
      </w:rPr>
    </w:tblStylePr>
    <w:tblStylePr w:type="band1Vert">
      <w:rPr>
        <w:rFonts w:cs="Cambria"/>
      </w:rPr>
      <w:tcPr>
        <w:shd w:val="clear" w:color="auto" w:fill="B1BCBE"/>
      </w:tcPr>
    </w:tblStylePr>
    <w:tblStylePr w:type="band1Horz">
      <w:rPr>
        <w:rFonts w:cs="Cambria"/>
      </w:rPr>
      <w:tcPr>
        <w:shd w:val="clear" w:color="auto" w:fill="B1BCBE"/>
      </w:tcPr>
    </w:tblStylePr>
  </w:style>
  <w:style w:type="table" w:customStyle="1" w:styleId="316">
    <w:name w:val="中等深浅底纹 11"/>
    <w:basedOn w:val="81"/>
    <w:qFormat/>
    <w:uiPriority w:val="63"/>
    <w:rPr>
      <w:rFonts w:ascii="Cambria" w:hAnsi="Cambria" w:eastAsia="黑体"/>
    </w:rPr>
    <w:tblPr>
      <w:tblBorders>
        <w:top w:val="single" w:color="404040" w:sz="8" w:space="0"/>
        <w:left w:val="single" w:color="404040" w:sz="8" w:space="0"/>
        <w:bottom w:val="single" w:color="404040" w:sz="8" w:space="0"/>
        <w:right w:val="single" w:color="404040" w:sz="8" w:space="0"/>
        <w:insideH w:val="single" w:color="404040" w:sz="8" w:space="0"/>
      </w:tblBorders>
    </w:tblPr>
    <w:tblStylePr w:type="firstRow">
      <w:pPr>
        <w:spacing w:before="0" w:after="0"/>
      </w:pPr>
      <w:rPr>
        <w:rFonts w:cs="Cambria"/>
        <w:b/>
        <w:bCs/>
        <w:color w:val="FFFFFF"/>
      </w:rPr>
      <w:tcPr>
        <w:tcBorders>
          <w:top w:val="single" w:color="404040" w:sz="8" w:space="0"/>
          <w:left w:val="single" w:color="404040" w:sz="8" w:space="0"/>
          <w:bottom w:val="single" w:color="404040" w:sz="8" w:space="0"/>
          <w:right w:val="single" w:color="404040" w:sz="8" w:space="0"/>
          <w:insideH w:val="nil"/>
          <w:insideV w:val="nil"/>
          <w:tl2br w:val="nil"/>
          <w:tr2bl w:val="nil"/>
        </w:tcBorders>
        <w:shd w:val="clear" w:color="auto" w:fill="000000"/>
      </w:tcPr>
    </w:tblStylePr>
    <w:tblStylePr w:type="lastRow">
      <w:pPr>
        <w:spacing w:before="0" w:after="0"/>
      </w:pPr>
      <w:rPr>
        <w:rFonts w:cs="Cambria"/>
        <w:b/>
        <w:bCs/>
      </w:rPr>
      <w:tcPr>
        <w:tcBorders>
          <w:top w:val="double" w:color="404040" w:sz="6" w:space="0"/>
          <w:left w:val="single" w:color="404040" w:sz="8" w:space="0"/>
          <w:bottom w:val="single" w:color="404040" w:sz="8" w:space="0"/>
          <w:right w:val="single" w:color="404040" w:sz="8" w:space="0"/>
          <w:insideH w:val="nil"/>
          <w:insideV w:val="nil"/>
          <w:tl2br w:val="nil"/>
          <w:tr2bl w:val="nil"/>
        </w:tcBorders>
      </w:tcPr>
    </w:tblStylePr>
    <w:tblStylePr w:type="firstCol">
      <w:rPr>
        <w:rFonts w:cs="Cambria"/>
        <w:b/>
        <w:bCs/>
      </w:rPr>
    </w:tblStylePr>
    <w:tblStylePr w:type="lastCol">
      <w:rPr>
        <w:rFonts w:cs="Cambria"/>
        <w:b/>
        <w:bCs/>
      </w:rPr>
    </w:tblStylePr>
    <w:tblStylePr w:type="band1Vert">
      <w:rPr>
        <w:rFonts w:cs="Cambria"/>
      </w:rPr>
      <w:tcPr>
        <w:shd w:val="clear" w:color="auto" w:fill="C0C0C0"/>
      </w:tcPr>
    </w:tblStylePr>
    <w:tblStylePr w:type="band1Horz">
      <w:rPr>
        <w:rFonts w:cs="Cambria"/>
      </w:rPr>
      <w:tcPr>
        <w:shd w:val="clear" w:color="auto" w:fill="C0C0C0"/>
      </w:tcPr>
    </w:tblStylePr>
    <w:tblStylePr w:type="band2Horz">
      <w:rPr>
        <w:rFonts w:cs="Cambria"/>
      </w:rPr>
    </w:tblStylePr>
  </w:style>
  <w:style w:type="table" w:customStyle="1" w:styleId="317">
    <w:name w:val="中等深浅底纹 2 强调文字颜色 2"/>
    <w:basedOn w:val="81"/>
    <w:qFormat/>
    <w:uiPriority w:val="64"/>
    <w:rPr>
      <w:rFonts w:ascii="Cambria" w:hAnsi="Cambria" w:eastAsia="黑体"/>
    </w:rPr>
    <w:tblPr>
      <w:tblBorders>
        <w:top w:val="single" w:color="auto" w:sz="18" w:space="0"/>
        <w:bottom w:val="single" w:color="auto" w:sz="18" w:space="0"/>
      </w:tblBorders>
    </w:tblPr>
    <w:tblStylePr w:type="firstRow">
      <w:pPr>
        <w:spacing w:before="0" w:after="0"/>
      </w:pPr>
      <w:rPr>
        <w:rFonts w:cs="Cambria"/>
        <w:b/>
        <w:bCs/>
        <w:color w:val="FFFFFF"/>
      </w:rPr>
      <w:tcPr>
        <w:tcBorders>
          <w:top w:val="single" w:color="auto" w:sz="18" w:space="0"/>
          <w:left w:val="single" w:color="auto" w:sz="18" w:space="0"/>
          <w:bottom w:val="nil"/>
          <w:right w:val="nil"/>
          <w:insideH w:val="nil"/>
          <w:insideV w:val="nil"/>
          <w:tl2br w:val="nil"/>
          <w:tr2bl w:val="nil"/>
        </w:tcBorders>
        <w:shd w:val="clear" w:color="auto" w:fill="CC8E60"/>
      </w:tcPr>
    </w:tblStylePr>
    <w:tblStylePr w:type="lastRow">
      <w:pPr>
        <w:spacing w:before="0" w:after="0"/>
      </w:pPr>
      <w:rPr>
        <w:rFonts w:cs="Cambria"/>
        <w:color w:val="auto"/>
      </w:rPr>
      <w:tcPr>
        <w:tcBorders>
          <w:top w:val="double" w:color="auto" w:sz="6" w:space="0"/>
          <w:left w:val="single" w:color="auto" w:sz="18" w:space="0"/>
          <w:bottom w:val="nil"/>
          <w:right w:val="nil"/>
          <w:insideH w:val="nil"/>
          <w:insideV w:val="nil"/>
          <w:tl2br w:val="nil"/>
          <w:tr2bl w:val="nil"/>
        </w:tcBorders>
        <w:shd w:val="clear" w:color="auto" w:fill="FFFFFF"/>
      </w:tcPr>
    </w:tblStylePr>
    <w:tblStylePr w:type="firstCol">
      <w:rPr>
        <w:rFonts w:cs="Cambria"/>
        <w:b/>
        <w:bCs/>
        <w:color w:val="FFFFFF"/>
      </w:rPr>
      <w:tcPr>
        <w:tcBorders>
          <w:top w:val="nil"/>
          <w:left w:val="single" w:color="auto" w:sz="18" w:space="0"/>
          <w:bottom w:val="nil"/>
          <w:right w:val="nil"/>
          <w:insideH w:val="nil"/>
          <w:insideV w:val="nil"/>
          <w:tl2br w:val="nil"/>
          <w:tr2bl w:val="nil"/>
        </w:tcBorders>
        <w:shd w:val="clear" w:color="auto" w:fill="CC8E60"/>
      </w:tcPr>
    </w:tblStylePr>
    <w:tblStylePr w:type="lastCol">
      <w:rPr>
        <w:rFonts w:cs="Cambria"/>
        <w:b/>
        <w:bCs/>
        <w:color w:val="FFFFFF"/>
      </w:rPr>
      <w:tcPr>
        <w:tcBorders>
          <w:top w:val="nil"/>
          <w:left w:val="nil"/>
          <w:bottom w:val="nil"/>
          <w:right w:val="nil"/>
          <w:insideH w:val="nil"/>
          <w:insideV w:val="nil"/>
          <w:tl2br w:val="nil"/>
          <w:tr2bl w:val="nil"/>
        </w:tcBorders>
        <w:shd w:val="clear" w:color="auto" w:fill="CC8E60"/>
      </w:tcPr>
    </w:tblStylePr>
    <w:tblStylePr w:type="band1Vert">
      <w:rPr>
        <w:rFonts w:cs="Cambria"/>
      </w:rPr>
      <w:tcPr>
        <w:tcBorders>
          <w:top w:val="nil"/>
          <w:left w:val="nil"/>
          <w:bottom w:val="nil"/>
          <w:right w:val="nil"/>
          <w:insideH w:val="nil"/>
          <w:insideV w:val="nil"/>
          <w:tl2br w:val="nil"/>
          <w:tr2bl w:val="nil"/>
        </w:tcBorders>
        <w:shd w:val="clear" w:color="auto" w:fill="D8D8D8"/>
      </w:tcPr>
    </w:tblStylePr>
    <w:tblStylePr w:type="band1Horz">
      <w:rPr>
        <w:rFonts w:cs="Cambria"/>
      </w:rPr>
      <w:tcPr>
        <w:shd w:val="clear" w:color="auto" w:fill="D8D8D8"/>
      </w:tcPr>
    </w:tblStylePr>
    <w:tblStylePr w:type="neCell">
      <w:rPr>
        <w:rFonts w:cs="Cambria"/>
      </w:rPr>
      <w:tcPr>
        <w:tcBorders>
          <w:top w:val="single" w:color="auto" w:sz="18" w:space="0"/>
          <w:left w:val="single" w:color="auto" w:sz="18" w:space="0"/>
          <w:bottom w:val="nil"/>
          <w:right w:val="nil"/>
          <w:insideH w:val="nil"/>
          <w:insideV w:val="nil"/>
          <w:tl2br w:val="nil"/>
          <w:tr2bl w:val="nil"/>
        </w:tcBorders>
      </w:tcPr>
    </w:tblStylePr>
    <w:tblStylePr w:type="nwCell">
      <w:rPr>
        <w:rFonts w:cs="Cambria"/>
        <w:color w:val="FFFFFF"/>
      </w:rPr>
      <w:tcPr>
        <w:tcBorders>
          <w:top w:val="single" w:color="auto" w:sz="18" w:space="0"/>
          <w:left w:val="single" w:color="auto" w:sz="18" w:space="0"/>
          <w:bottom w:val="nil"/>
          <w:right w:val="nil"/>
          <w:insideH w:val="nil"/>
          <w:insideV w:val="nil"/>
          <w:tl2br w:val="nil"/>
          <w:tr2bl w:val="nil"/>
        </w:tcBorders>
      </w:tcPr>
    </w:tblStylePr>
  </w:style>
  <w:style w:type="table" w:customStyle="1" w:styleId="318">
    <w:name w:val="中等深浅列表 1 强调文字颜色 5"/>
    <w:basedOn w:val="81"/>
    <w:qFormat/>
    <w:uiPriority w:val="65"/>
    <w:rPr>
      <w:rFonts w:ascii="Cambria" w:hAnsi="Cambria" w:eastAsia="黑体"/>
      <w:color w:val="000000"/>
    </w:rPr>
    <w:tblPr>
      <w:tblBorders>
        <w:top w:val="single" w:color="67787B" w:sz="8" w:space="0"/>
        <w:bottom w:val="single" w:color="67787B" w:sz="8" w:space="0"/>
      </w:tblBorders>
    </w:tblPr>
    <w:tblStylePr w:type="firstRow">
      <w:rPr>
        <w:rFonts w:eastAsia="serif" w:cs="等线"/>
      </w:rPr>
      <w:tcPr>
        <w:tcBorders>
          <w:top w:val="nil"/>
          <w:left w:val="single" w:color="67787B" w:sz="8" w:space="0"/>
          <w:bottom w:val="nil"/>
          <w:right w:val="nil"/>
          <w:insideH w:val="nil"/>
          <w:insideV w:val="nil"/>
          <w:tl2br w:val="nil"/>
          <w:tr2bl w:val="nil"/>
        </w:tcBorders>
      </w:tcPr>
    </w:tblStylePr>
    <w:tblStylePr w:type="lastRow">
      <w:rPr>
        <w:rFonts w:cs="Cambria"/>
        <w:b/>
        <w:bCs/>
        <w:color w:val="1F2123"/>
      </w:rPr>
      <w:tcPr>
        <w:tcBorders>
          <w:top w:val="single" w:color="67787B" w:sz="8" w:space="0"/>
          <w:left w:val="single" w:color="67787B" w:sz="8" w:space="0"/>
          <w:bottom w:val="nil"/>
          <w:right w:val="nil"/>
          <w:insideH w:val="nil"/>
          <w:insideV w:val="nil"/>
          <w:tl2br w:val="nil"/>
          <w:tr2bl w:val="nil"/>
        </w:tcBorders>
      </w:tcPr>
    </w:tblStylePr>
    <w:tblStylePr w:type="firstCol">
      <w:rPr>
        <w:rFonts w:cs="Cambria"/>
        <w:b/>
        <w:bCs/>
      </w:rPr>
    </w:tblStylePr>
    <w:tblStylePr w:type="lastCol">
      <w:rPr>
        <w:rFonts w:cs="Cambria"/>
        <w:b/>
        <w:bCs/>
      </w:rPr>
      <w:tcPr>
        <w:tcBorders>
          <w:top w:val="single" w:color="67787B" w:sz="8" w:space="0"/>
          <w:left w:val="single" w:color="67787B" w:sz="8" w:space="0"/>
          <w:bottom w:val="nil"/>
          <w:right w:val="nil"/>
          <w:insideH w:val="nil"/>
          <w:insideV w:val="nil"/>
          <w:tl2br w:val="nil"/>
          <w:tr2bl w:val="nil"/>
        </w:tcBorders>
      </w:tcPr>
    </w:tblStylePr>
    <w:tblStylePr w:type="band1Vert">
      <w:rPr>
        <w:rFonts w:cs="Cambria"/>
      </w:rPr>
      <w:tcPr>
        <w:shd w:val="clear" w:color="auto" w:fill="D8DEDF"/>
      </w:tcPr>
    </w:tblStylePr>
    <w:tblStylePr w:type="band1Horz">
      <w:rPr>
        <w:rFonts w:cs="Cambria"/>
      </w:rPr>
      <w:tcPr>
        <w:shd w:val="clear" w:color="auto" w:fill="D8DEDF"/>
      </w:tcPr>
    </w:tblStylePr>
  </w:style>
  <w:style w:type="table" w:customStyle="1" w:styleId="319">
    <w:name w:val="彩色网格强调文字颜色 3"/>
    <w:basedOn w:val="81"/>
    <w:qFormat/>
    <w:uiPriority w:val="73"/>
    <w:rPr>
      <w:rFonts w:ascii="Cambria" w:hAnsi="Cambria" w:eastAsia="黑体"/>
      <w:color w:val="000000"/>
    </w:rPr>
    <w:tblPr>
      <w:tblBorders>
        <w:insideH w:val="single" w:color="FFFFFF" w:sz="4" w:space="0"/>
      </w:tblBorders>
    </w:tblPr>
    <w:tcPr>
      <w:shd w:val="clear" w:color="auto" w:fill="E5E0DE"/>
    </w:tcPr>
    <w:tblStylePr w:type="firstRow">
      <w:rPr>
        <w:rFonts w:cs="Cambria"/>
        <w:b/>
        <w:bCs/>
      </w:rPr>
      <w:tcPr>
        <w:shd w:val="clear" w:color="auto" w:fill="CBC2BD"/>
      </w:tcPr>
    </w:tblStylePr>
    <w:tblStylePr w:type="lastRow">
      <w:rPr>
        <w:rFonts w:cs="Cambria"/>
        <w:b/>
        <w:bCs/>
        <w:color w:val="000000"/>
      </w:rPr>
      <w:tcPr>
        <w:shd w:val="clear" w:color="auto" w:fill="CBC2BD"/>
      </w:tcPr>
    </w:tblStylePr>
    <w:tblStylePr w:type="firstCol">
      <w:rPr>
        <w:rFonts w:cs="Cambria"/>
        <w:color w:val="FFFFFF"/>
      </w:rPr>
      <w:tcPr>
        <w:shd w:val="clear" w:color="auto" w:fill="5B4F47"/>
      </w:tcPr>
    </w:tblStylePr>
    <w:tblStylePr w:type="lastCol">
      <w:rPr>
        <w:rFonts w:cs="Cambria"/>
        <w:color w:val="FFFFFF"/>
      </w:rPr>
      <w:tcPr>
        <w:shd w:val="clear" w:color="auto" w:fill="5B4F47"/>
      </w:tcPr>
    </w:tblStylePr>
    <w:tblStylePr w:type="band1Vert">
      <w:rPr>
        <w:rFonts w:cs="Cambria"/>
      </w:rPr>
      <w:tcPr>
        <w:shd w:val="clear" w:color="auto" w:fill="BEB4AD"/>
      </w:tcPr>
    </w:tblStylePr>
    <w:tblStylePr w:type="band1Horz">
      <w:rPr>
        <w:rFonts w:cs="Cambria"/>
      </w:rPr>
      <w:tcPr>
        <w:shd w:val="clear" w:color="auto" w:fill="BEB4AD"/>
      </w:tcPr>
    </w:tblStylePr>
  </w:style>
  <w:style w:type="table" w:customStyle="1" w:styleId="320">
    <w:name w:val="深色列表强调文字颜色 4"/>
    <w:basedOn w:val="81"/>
    <w:qFormat/>
    <w:uiPriority w:val="70"/>
    <w:rPr>
      <w:rFonts w:ascii="Cambria" w:hAnsi="Cambria" w:eastAsia="黑体"/>
      <w:color w:val="FFFFFF"/>
    </w:rPr>
    <w:tcPr>
      <w:shd w:val="clear" w:color="auto" w:fill="B4936D"/>
    </w:tcPr>
    <w:tblStylePr w:type="firstRow">
      <w:rPr>
        <w:rFonts w:cs="Cambria"/>
        <w:b/>
        <w:bCs/>
      </w:rPr>
      <w:tcPr>
        <w:tcBorders>
          <w:top w:val="nil"/>
          <w:left w:val="single" w:color="FFFFFF" w:sz="18" w:space="0"/>
          <w:bottom w:val="nil"/>
          <w:right w:val="nil"/>
          <w:insideH w:val="nil"/>
          <w:insideV w:val="nil"/>
          <w:tl2br w:val="nil"/>
          <w:tr2bl w:val="nil"/>
        </w:tcBorders>
        <w:shd w:val="clear" w:color="auto" w:fill="000000"/>
      </w:tcPr>
    </w:tblStylePr>
    <w:tblStylePr w:type="lastRow">
      <w:rPr>
        <w:rFonts w:cs="Cambria"/>
      </w:rPr>
      <w:tcPr>
        <w:tcBorders>
          <w:top w:val="single" w:color="FFFFFF" w:sz="18" w:space="0"/>
          <w:left w:val="nil"/>
          <w:bottom w:val="nil"/>
          <w:right w:val="nil"/>
          <w:insideH w:val="nil"/>
          <w:insideV w:val="nil"/>
          <w:tl2br w:val="nil"/>
          <w:tr2bl w:val="nil"/>
        </w:tcBorders>
        <w:shd w:val="clear" w:color="auto" w:fill="5E4930"/>
      </w:tcPr>
    </w:tblStylePr>
    <w:tblStylePr w:type="firstCol">
      <w:rPr>
        <w:rFonts w:cs="Cambria"/>
      </w:rPr>
      <w:tcPr>
        <w:tcBorders>
          <w:top w:val="nil"/>
          <w:left w:val="nil"/>
          <w:bottom w:val="nil"/>
          <w:right w:val="single" w:color="FFFFFF" w:sz="18" w:space="0"/>
          <w:insideH w:val="nil"/>
          <w:insideV w:val="nil"/>
          <w:tl2br w:val="nil"/>
          <w:tr2bl w:val="nil"/>
        </w:tcBorders>
        <w:shd w:val="clear" w:color="auto" w:fill="8E6E49"/>
      </w:tcPr>
    </w:tblStylePr>
    <w:tblStylePr w:type="lastCol">
      <w:rPr>
        <w:rFonts w:cs="Cambria"/>
      </w:rPr>
      <w:tcPr>
        <w:tcBorders>
          <w:top w:val="nil"/>
          <w:left w:val="nil"/>
          <w:bottom w:val="single" w:color="FFFFFF" w:sz="18" w:space="0"/>
          <w:right w:val="nil"/>
          <w:insideH w:val="nil"/>
          <w:insideV w:val="nil"/>
          <w:tl2br w:val="nil"/>
          <w:tr2bl w:val="nil"/>
        </w:tcBorders>
        <w:shd w:val="clear" w:color="auto" w:fill="8E6E49"/>
      </w:tcPr>
    </w:tblStylePr>
    <w:tblStylePr w:type="band1Vert">
      <w:rPr>
        <w:rFonts w:cs="Cambria"/>
      </w:rPr>
      <w:tcPr>
        <w:tcBorders>
          <w:top w:val="nil"/>
          <w:left w:val="nil"/>
          <w:bottom w:val="nil"/>
          <w:right w:val="nil"/>
          <w:insideH w:val="nil"/>
          <w:insideV w:val="nil"/>
          <w:tl2br w:val="nil"/>
          <w:tr2bl w:val="nil"/>
        </w:tcBorders>
        <w:shd w:val="clear" w:color="auto" w:fill="8E6E49"/>
      </w:tcPr>
    </w:tblStylePr>
    <w:tblStylePr w:type="band1Horz">
      <w:rPr>
        <w:rFonts w:cs="Cambria"/>
      </w:rPr>
      <w:tcPr>
        <w:tcBorders>
          <w:top w:val="nil"/>
          <w:left w:val="nil"/>
          <w:bottom w:val="nil"/>
          <w:right w:val="nil"/>
          <w:insideH w:val="nil"/>
          <w:insideV w:val="nil"/>
          <w:tl2br w:val="nil"/>
          <w:tr2bl w:val="nil"/>
        </w:tcBorders>
        <w:shd w:val="clear" w:color="auto" w:fill="8E6E49"/>
      </w:tcPr>
    </w:tblStylePr>
  </w:style>
  <w:style w:type="table" w:customStyle="1" w:styleId="321">
    <w:name w:val="浅色底纹强调文字颜色 1"/>
    <w:basedOn w:val="81"/>
    <w:qFormat/>
    <w:uiPriority w:val="60"/>
    <w:rPr>
      <w:rFonts w:ascii="Cambria" w:hAnsi="Cambria" w:eastAsia="黑体"/>
      <w:color w:val="577188"/>
    </w:rPr>
    <w:tblPr>
      <w:tblBorders>
        <w:top w:val="single" w:color="7E97AD" w:sz="8" w:space="0"/>
        <w:bottom w:val="single" w:color="7E97AD" w:sz="8" w:space="0"/>
      </w:tblBorders>
    </w:tblPr>
    <w:tblStylePr w:type="firstRow">
      <w:pPr>
        <w:spacing w:before="0" w:after="0"/>
      </w:pPr>
      <w:rPr>
        <w:rFonts w:cs="Cambria"/>
        <w:b/>
        <w:bCs/>
      </w:rPr>
      <w:tcPr>
        <w:tcBorders>
          <w:top w:val="single" w:color="7E97AD" w:sz="8" w:space="0"/>
          <w:left w:val="single" w:color="7E97AD" w:sz="8" w:space="0"/>
          <w:bottom w:val="nil"/>
          <w:right w:val="nil"/>
          <w:insideH w:val="nil"/>
          <w:insideV w:val="nil"/>
          <w:tl2br w:val="nil"/>
          <w:tr2bl w:val="nil"/>
        </w:tcBorders>
      </w:tcPr>
    </w:tblStylePr>
    <w:tblStylePr w:type="lastRow">
      <w:pPr>
        <w:spacing w:before="0" w:after="0"/>
      </w:pPr>
      <w:rPr>
        <w:rFonts w:cs="Cambria"/>
        <w:b/>
        <w:bCs/>
      </w:rPr>
      <w:tcPr>
        <w:tcBorders>
          <w:top w:val="single" w:color="7E97AD" w:sz="8" w:space="0"/>
          <w:left w:val="single" w:color="7E97AD" w:sz="8" w:space="0"/>
          <w:bottom w:val="nil"/>
          <w:right w:val="nil"/>
          <w:insideH w:val="nil"/>
          <w:insideV w:val="nil"/>
          <w:tl2br w:val="nil"/>
          <w:tr2bl w:val="nil"/>
        </w:tcBorders>
      </w:tcPr>
    </w:tblStylePr>
    <w:tblStylePr w:type="firstCol">
      <w:rPr>
        <w:rFonts w:cs="Cambria"/>
        <w:b/>
        <w:bCs/>
      </w:rPr>
    </w:tblStylePr>
    <w:tblStylePr w:type="lastCol">
      <w:rPr>
        <w:rFonts w:cs="Cambria"/>
        <w:b/>
        <w:bCs/>
      </w:rPr>
    </w:tblStylePr>
    <w:tblStylePr w:type="band1Vert">
      <w:rPr>
        <w:rFonts w:cs="Cambria"/>
      </w:rPr>
      <w:tcPr>
        <w:tcBorders>
          <w:top w:val="nil"/>
          <w:left w:val="nil"/>
          <w:bottom w:val="nil"/>
          <w:right w:val="nil"/>
          <w:insideH w:val="nil"/>
          <w:insideV w:val="nil"/>
          <w:tl2br w:val="nil"/>
          <w:tr2bl w:val="nil"/>
        </w:tcBorders>
        <w:shd w:val="clear" w:color="auto" w:fill="DFE5EA"/>
      </w:tcPr>
    </w:tblStylePr>
    <w:tblStylePr w:type="band1Horz">
      <w:rPr>
        <w:rFonts w:cs="Cambria"/>
      </w:rPr>
      <w:tcPr>
        <w:tcBorders>
          <w:top w:val="nil"/>
          <w:left w:val="nil"/>
          <w:bottom w:val="nil"/>
          <w:right w:val="nil"/>
          <w:insideH w:val="nil"/>
          <w:insideV w:val="nil"/>
          <w:tl2br w:val="nil"/>
          <w:tr2bl w:val="nil"/>
        </w:tcBorders>
        <w:shd w:val="clear" w:color="auto" w:fill="DFE5EA"/>
      </w:tcPr>
    </w:tblStylePr>
  </w:style>
  <w:style w:type="table" w:customStyle="1" w:styleId="322">
    <w:name w:val="中等深浅网格 1 强调文字颜色 3"/>
    <w:basedOn w:val="81"/>
    <w:qFormat/>
    <w:uiPriority w:val="67"/>
    <w:rPr>
      <w:rFonts w:ascii="Cambria" w:hAnsi="Cambria" w:eastAsia="黑体"/>
    </w:rPr>
    <w:tblPr>
      <w:tblBorders>
        <w:top w:val="single" w:color="9E8E84" w:sz="8" w:space="0"/>
        <w:left w:val="single" w:color="9E8E84" w:sz="8" w:space="0"/>
        <w:bottom w:val="single" w:color="9E8E84" w:sz="8" w:space="0"/>
        <w:right w:val="single" w:color="9E8E84" w:sz="8" w:space="0"/>
        <w:insideH w:val="single" w:color="9E8E84" w:sz="8" w:space="0"/>
        <w:insideV w:val="single" w:color="9E8E84" w:sz="8" w:space="0"/>
      </w:tblBorders>
    </w:tblPr>
    <w:tcPr>
      <w:shd w:val="clear" w:color="auto" w:fill="DFD9D6"/>
    </w:tcPr>
    <w:tblStylePr w:type="firstRow">
      <w:rPr>
        <w:rFonts w:cs="Cambria"/>
        <w:b/>
        <w:bCs/>
      </w:rPr>
    </w:tblStylePr>
    <w:tblStylePr w:type="lastRow">
      <w:rPr>
        <w:rFonts w:cs="Cambria"/>
        <w:b/>
        <w:bCs/>
      </w:rPr>
      <w:tcPr>
        <w:tcBorders>
          <w:top w:val="single" w:color="9E8E84" w:sz="18" w:space="0"/>
          <w:left w:val="nil"/>
          <w:bottom w:val="nil"/>
          <w:right w:val="nil"/>
          <w:insideH w:val="nil"/>
          <w:insideV w:val="nil"/>
          <w:tl2br w:val="nil"/>
          <w:tr2bl w:val="nil"/>
        </w:tcBorders>
      </w:tcPr>
    </w:tblStylePr>
    <w:tblStylePr w:type="firstCol">
      <w:rPr>
        <w:rFonts w:cs="Cambria"/>
        <w:b/>
        <w:bCs/>
      </w:rPr>
    </w:tblStylePr>
    <w:tblStylePr w:type="lastCol">
      <w:rPr>
        <w:rFonts w:cs="Cambria"/>
        <w:b/>
        <w:bCs/>
      </w:rPr>
    </w:tblStylePr>
    <w:tblStylePr w:type="band1Vert">
      <w:rPr>
        <w:rFonts w:cs="Cambria"/>
      </w:rPr>
      <w:tcPr>
        <w:shd w:val="clear" w:color="auto" w:fill="BEB4AD"/>
      </w:tcPr>
    </w:tblStylePr>
    <w:tblStylePr w:type="band1Horz">
      <w:rPr>
        <w:rFonts w:cs="Cambria"/>
      </w:rPr>
      <w:tcPr>
        <w:shd w:val="clear" w:color="auto" w:fill="BEB4AD"/>
      </w:tcPr>
    </w:tblStylePr>
  </w:style>
  <w:style w:type="table" w:customStyle="1" w:styleId="323">
    <w:name w:val="中等深浅网格 3 强调文字颜色 4"/>
    <w:basedOn w:val="81"/>
    <w:qFormat/>
    <w:uiPriority w:val="69"/>
    <w:rPr>
      <w:rFonts w:ascii="Cambria" w:hAnsi="Cambria" w:eastAsia="黑体"/>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ECE4DA"/>
    </w:tcPr>
    <w:tblStylePr w:type="firstRow">
      <w:rPr>
        <w:rFonts w:cs="Cambria"/>
        <w:b/>
        <w:bCs/>
        <w:i w:val="0"/>
        <w:iCs w:val="0"/>
        <w:color w:val="FFFFFF"/>
      </w:rPr>
      <w:tcPr>
        <w:tcBorders>
          <w:top w:val="single" w:color="FFFFFF" w:sz="8" w:space="0"/>
          <w:left w:val="single" w:color="FFFFFF" w:sz="24" w:space="0"/>
          <w:bottom w:val="single" w:color="FFFFFF" w:sz="8" w:space="0"/>
          <w:right w:val="single" w:color="FFFFFF" w:sz="8" w:space="0"/>
          <w:insideH w:val="nil"/>
          <w:insideV w:val="nil"/>
          <w:tl2br w:val="nil"/>
          <w:tr2bl w:val="nil"/>
        </w:tcBorders>
        <w:shd w:val="clear" w:color="auto" w:fill="B4936D"/>
      </w:tcPr>
    </w:tblStylePr>
    <w:tblStylePr w:type="lastRow">
      <w:rPr>
        <w:rFonts w:cs="Cambria"/>
        <w:b/>
        <w:bCs/>
        <w:i w:val="0"/>
        <w:iCs w:val="0"/>
        <w:color w:val="FFFFFF"/>
      </w:rPr>
      <w:tcPr>
        <w:tcBorders>
          <w:top w:val="single" w:color="FFFFFF" w:sz="24" w:space="0"/>
          <w:left w:val="single" w:color="FFFFFF" w:sz="8" w:space="0"/>
          <w:bottom w:val="single" w:color="FFFFFF" w:sz="8" w:space="0"/>
          <w:right w:val="single" w:color="FFFFFF" w:sz="8" w:space="0"/>
          <w:insideH w:val="nil"/>
          <w:insideV w:val="nil"/>
          <w:tl2br w:val="nil"/>
          <w:tr2bl w:val="nil"/>
        </w:tcBorders>
        <w:shd w:val="clear" w:color="auto" w:fill="B4936D"/>
      </w:tcPr>
    </w:tblStylePr>
    <w:tblStylePr w:type="firstCol">
      <w:rPr>
        <w:rFonts w:cs="Cambria"/>
        <w:b/>
        <w:bCs/>
        <w:i w:val="0"/>
        <w:iCs w:val="0"/>
        <w:color w:val="FFFFFF"/>
      </w:rPr>
      <w:tcPr>
        <w:tcBorders>
          <w:top w:val="nil"/>
          <w:left w:val="nil"/>
          <w:bottom w:val="single" w:color="FFFFFF" w:sz="8" w:space="0"/>
          <w:right w:val="single" w:color="FFFFFF" w:sz="24" w:space="0"/>
          <w:insideH w:val="nil"/>
          <w:insideV w:val="nil"/>
          <w:tl2br w:val="nil"/>
          <w:tr2bl w:val="nil"/>
        </w:tcBorders>
        <w:shd w:val="clear" w:color="auto" w:fill="B4936D"/>
      </w:tcPr>
    </w:tblStylePr>
    <w:tblStylePr w:type="lastCol">
      <w:rPr>
        <w:rFonts w:cs="Cambria"/>
        <w:b/>
        <w:bCs/>
        <w:i w:val="0"/>
        <w:iCs w:val="0"/>
        <w:color w:val="FFFFFF"/>
      </w:rPr>
      <w:tcPr>
        <w:tcBorders>
          <w:top w:val="nil"/>
          <w:left w:val="nil"/>
          <w:bottom w:val="single" w:color="FFFFFF" w:sz="24" w:space="0"/>
          <w:right w:val="nil"/>
          <w:insideH w:val="nil"/>
          <w:insideV w:val="nil"/>
          <w:tl2br w:val="nil"/>
          <w:tr2bl w:val="nil"/>
        </w:tcBorders>
        <w:shd w:val="clear" w:color="auto" w:fill="B4936D"/>
      </w:tcPr>
    </w:tblStylePr>
    <w:tblStylePr w:type="band1Vert">
      <w:rPr>
        <w:rFonts w:cs="Cambria"/>
      </w:rPr>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D9C9B6"/>
      </w:tcPr>
    </w:tblStylePr>
    <w:tblStylePr w:type="band1Horz">
      <w:rPr>
        <w:rFonts w:cs="Cambria"/>
      </w:rPr>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D9C9B6"/>
      </w:tcPr>
    </w:tblStylePr>
  </w:style>
  <w:style w:type="table" w:customStyle="1" w:styleId="324">
    <w:name w:val="中等深浅列表 1 强调文字颜色 1"/>
    <w:basedOn w:val="81"/>
    <w:qFormat/>
    <w:uiPriority w:val="65"/>
    <w:rPr>
      <w:rFonts w:ascii="Cambria" w:hAnsi="Cambria" w:eastAsia="黑体"/>
      <w:color w:val="000000"/>
    </w:rPr>
    <w:tblPr>
      <w:tblBorders>
        <w:top w:val="single" w:color="7E97AD" w:sz="8" w:space="0"/>
        <w:bottom w:val="single" w:color="7E97AD" w:sz="8" w:space="0"/>
      </w:tblBorders>
    </w:tblPr>
    <w:tblStylePr w:type="firstRow">
      <w:rPr>
        <w:rFonts w:eastAsia="serif" w:cs="等线"/>
      </w:rPr>
      <w:tcPr>
        <w:tcBorders>
          <w:top w:val="nil"/>
          <w:left w:val="single" w:color="7E97AD" w:sz="8" w:space="0"/>
          <w:bottom w:val="nil"/>
          <w:right w:val="nil"/>
          <w:insideH w:val="nil"/>
          <w:insideV w:val="nil"/>
          <w:tl2br w:val="nil"/>
          <w:tr2bl w:val="nil"/>
        </w:tcBorders>
      </w:tcPr>
    </w:tblStylePr>
    <w:tblStylePr w:type="lastRow">
      <w:rPr>
        <w:rFonts w:cs="Cambria"/>
        <w:b/>
        <w:bCs/>
        <w:color w:val="1F2123"/>
      </w:rPr>
      <w:tcPr>
        <w:tcBorders>
          <w:top w:val="single" w:color="7E97AD" w:sz="8" w:space="0"/>
          <w:left w:val="single" w:color="7E97AD" w:sz="8" w:space="0"/>
          <w:bottom w:val="nil"/>
          <w:right w:val="nil"/>
          <w:insideH w:val="nil"/>
          <w:insideV w:val="nil"/>
          <w:tl2br w:val="nil"/>
          <w:tr2bl w:val="nil"/>
        </w:tcBorders>
      </w:tcPr>
    </w:tblStylePr>
    <w:tblStylePr w:type="firstCol">
      <w:rPr>
        <w:rFonts w:cs="Cambria"/>
        <w:b/>
        <w:bCs/>
      </w:rPr>
    </w:tblStylePr>
    <w:tblStylePr w:type="lastCol">
      <w:rPr>
        <w:rFonts w:cs="Cambria"/>
        <w:b/>
        <w:bCs/>
      </w:rPr>
      <w:tcPr>
        <w:tcBorders>
          <w:top w:val="single" w:color="7E97AD" w:sz="8" w:space="0"/>
          <w:left w:val="single" w:color="7E97AD" w:sz="8" w:space="0"/>
          <w:bottom w:val="nil"/>
          <w:right w:val="nil"/>
          <w:insideH w:val="nil"/>
          <w:insideV w:val="nil"/>
          <w:tl2br w:val="nil"/>
          <w:tr2bl w:val="nil"/>
        </w:tcBorders>
      </w:tcPr>
    </w:tblStylePr>
    <w:tblStylePr w:type="band1Vert">
      <w:rPr>
        <w:rFonts w:cs="Cambria"/>
      </w:rPr>
      <w:tcPr>
        <w:shd w:val="clear" w:color="auto" w:fill="DFE5EA"/>
      </w:tcPr>
    </w:tblStylePr>
    <w:tblStylePr w:type="band1Horz">
      <w:rPr>
        <w:rFonts w:cs="Cambria"/>
      </w:rPr>
      <w:tcPr>
        <w:shd w:val="clear" w:color="auto" w:fill="DFE5EA"/>
      </w:tcPr>
    </w:tblStylePr>
  </w:style>
  <w:style w:type="table" w:customStyle="1" w:styleId="325">
    <w:name w:val="浅色列表强调文字颜色 4"/>
    <w:basedOn w:val="81"/>
    <w:qFormat/>
    <w:uiPriority w:val="61"/>
    <w:rPr>
      <w:rFonts w:ascii="Cambria" w:hAnsi="Cambria" w:eastAsia="黑体"/>
    </w:rPr>
    <w:tblPr>
      <w:tblBorders>
        <w:top w:val="single" w:color="B4936D" w:sz="8" w:space="0"/>
        <w:left w:val="single" w:color="B4936D" w:sz="8" w:space="0"/>
        <w:bottom w:val="single" w:color="B4936D" w:sz="8" w:space="0"/>
        <w:right w:val="single" w:color="B4936D" w:sz="8" w:space="0"/>
      </w:tblBorders>
    </w:tblPr>
    <w:tblStylePr w:type="firstRow">
      <w:pPr>
        <w:spacing w:before="0" w:after="0"/>
      </w:pPr>
      <w:rPr>
        <w:rFonts w:cs="Cambria"/>
        <w:b/>
        <w:bCs/>
        <w:color w:val="FFFFFF"/>
      </w:rPr>
      <w:tcPr>
        <w:shd w:val="clear" w:color="auto" w:fill="B4936D"/>
      </w:tcPr>
    </w:tblStylePr>
    <w:tblStylePr w:type="lastRow">
      <w:pPr>
        <w:spacing w:before="0" w:after="0"/>
      </w:pPr>
      <w:rPr>
        <w:rFonts w:cs="Cambria"/>
        <w:b/>
        <w:bCs/>
      </w:rPr>
      <w:tcPr>
        <w:tcBorders>
          <w:top w:val="double" w:color="B4936D" w:sz="6" w:space="0"/>
          <w:left w:val="single" w:color="B4936D" w:sz="8" w:space="0"/>
          <w:bottom w:val="single" w:color="B4936D" w:sz="8" w:space="0"/>
          <w:right w:val="single" w:color="B4936D" w:sz="8" w:space="0"/>
          <w:insideH w:val="nil"/>
          <w:insideV w:val="nil"/>
          <w:tl2br w:val="nil"/>
          <w:tr2bl w:val="nil"/>
        </w:tcBorders>
      </w:tcPr>
    </w:tblStylePr>
    <w:tblStylePr w:type="firstCol">
      <w:rPr>
        <w:rFonts w:cs="Cambria"/>
        <w:b/>
        <w:bCs/>
      </w:rPr>
    </w:tblStylePr>
    <w:tblStylePr w:type="lastCol">
      <w:rPr>
        <w:rFonts w:cs="Cambria"/>
        <w:b/>
        <w:bCs/>
      </w:rPr>
    </w:tblStylePr>
    <w:tblStylePr w:type="band1Vert">
      <w:rPr>
        <w:rFonts w:cs="Cambria"/>
      </w:rPr>
      <w:tcPr>
        <w:tcBorders>
          <w:top w:val="single" w:color="B4936D" w:sz="8" w:space="0"/>
          <w:left w:val="single" w:color="B4936D" w:sz="8" w:space="0"/>
          <w:bottom w:val="single" w:color="B4936D" w:sz="8" w:space="0"/>
          <w:right w:val="single" w:color="B4936D" w:sz="8" w:space="0"/>
          <w:insideH w:val="nil"/>
          <w:insideV w:val="nil"/>
          <w:tl2br w:val="nil"/>
          <w:tr2bl w:val="nil"/>
        </w:tcBorders>
      </w:tcPr>
    </w:tblStylePr>
    <w:tblStylePr w:type="band1Horz">
      <w:rPr>
        <w:rFonts w:cs="Cambria"/>
      </w:rPr>
      <w:tcPr>
        <w:tcBorders>
          <w:top w:val="single" w:color="B4936D" w:sz="8" w:space="0"/>
          <w:left w:val="single" w:color="B4936D" w:sz="8" w:space="0"/>
          <w:bottom w:val="single" w:color="B4936D" w:sz="8" w:space="0"/>
          <w:right w:val="single" w:color="B4936D" w:sz="8" w:space="0"/>
          <w:insideH w:val="nil"/>
          <w:insideV w:val="nil"/>
          <w:tl2br w:val="nil"/>
          <w:tr2bl w:val="nil"/>
        </w:tcBorders>
      </w:tcPr>
    </w:tblStylePr>
  </w:style>
  <w:style w:type="table" w:customStyle="1" w:styleId="326">
    <w:name w:val="中等深浅列表 1 强调文字颜色 2"/>
    <w:basedOn w:val="81"/>
    <w:qFormat/>
    <w:uiPriority w:val="65"/>
    <w:rPr>
      <w:rFonts w:ascii="Cambria" w:hAnsi="Cambria" w:eastAsia="黑体"/>
      <w:color w:val="000000"/>
    </w:rPr>
    <w:tblPr>
      <w:tblBorders>
        <w:top w:val="single" w:color="CC8E60" w:sz="8" w:space="0"/>
        <w:bottom w:val="single" w:color="CC8E60" w:sz="8" w:space="0"/>
      </w:tblBorders>
    </w:tblPr>
    <w:tblStylePr w:type="firstRow">
      <w:rPr>
        <w:rFonts w:eastAsia="serif" w:cs="等线"/>
      </w:rPr>
      <w:tcPr>
        <w:tcBorders>
          <w:top w:val="nil"/>
          <w:left w:val="single" w:color="CC8E60" w:sz="8" w:space="0"/>
          <w:bottom w:val="nil"/>
          <w:right w:val="nil"/>
          <w:insideH w:val="nil"/>
          <w:insideV w:val="nil"/>
          <w:tl2br w:val="nil"/>
          <w:tr2bl w:val="nil"/>
        </w:tcBorders>
      </w:tcPr>
    </w:tblStylePr>
    <w:tblStylePr w:type="lastRow">
      <w:rPr>
        <w:rFonts w:cs="Cambria"/>
        <w:b/>
        <w:bCs/>
        <w:color w:val="1F2123"/>
      </w:rPr>
      <w:tcPr>
        <w:tcBorders>
          <w:top w:val="single" w:color="CC8E60" w:sz="8" w:space="0"/>
          <w:left w:val="single" w:color="CC8E60" w:sz="8" w:space="0"/>
          <w:bottom w:val="nil"/>
          <w:right w:val="nil"/>
          <w:insideH w:val="nil"/>
          <w:insideV w:val="nil"/>
          <w:tl2br w:val="nil"/>
          <w:tr2bl w:val="nil"/>
        </w:tcBorders>
      </w:tcPr>
    </w:tblStylePr>
    <w:tblStylePr w:type="firstCol">
      <w:rPr>
        <w:rFonts w:cs="Cambria"/>
        <w:b/>
        <w:bCs/>
      </w:rPr>
    </w:tblStylePr>
    <w:tblStylePr w:type="lastCol">
      <w:rPr>
        <w:rFonts w:cs="Cambria"/>
        <w:b/>
        <w:bCs/>
      </w:rPr>
      <w:tcPr>
        <w:tcBorders>
          <w:top w:val="single" w:color="CC8E60" w:sz="8" w:space="0"/>
          <w:left w:val="single" w:color="CC8E60" w:sz="8" w:space="0"/>
          <w:bottom w:val="nil"/>
          <w:right w:val="nil"/>
          <w:insideH w:val="nil"/>
          <w:insideV w:val="nil"/>
          <w:tl2br w:val="nil"/>
          <w:tr2bl w:val="nil"/>
        </w:tcBorders>
      </w:tcPr>
    </w:tblStylePr>
    <w:tblStylePr w:type="band1Vert">
      <w:rPr>
        <w:rFonts w:cs="Cambria"/>
      </w:rPr>
      <w:tcPr>
        <w:shd w:val="clear" w:color="auto" w:fill="F2E2D7"/>
      </w:tcPr>
    </w:tblStylePr>
    <w:tblStylePr w:type="band1Horz">
      <w:rPr>
        <w:rFonts w:cs="Cambria"/>
      </w:rPr>
      <w:tcPr>
        <w:shd w:val="clear" w:color="auto" w:fill="F2E2D7"/>
      </w:tcPr>
    </w:tblStylePr>
  </w:style>
  <w:style w:type="table" w:customStyle="1" w:styleId="327">
    <w:name w:val="中等深浅底纹 1 强调文字颜色 2"/>
    <w:basedOn w:val="81"/>
    <w:qFormat/>
    <w:uiPriority w:val="63"/>
    <w:rPr>
      <w:rFonts w:ascii="Cambria" w:hAnsi="Cambria" w:eastAsia="黑体"/>
    </w:rPr>
    <w:tblPr>
      <w:tblBorders>
        <w:top w:val="single" w:color="D8AA87" w:sz="8" w:space="0"/>
        <w:left w:val="single" w:color="D8AA87" w:sz="8" w:space="0"/>
        <w:bottom w:val="single" w:color="D8AA87" w:sz="8" w:space="0"/>
        <w:right w:val="single" w:color="D8AA87" w:sz="8" w:space="0"/>
        <w:insideH w:val="single" w:color="D8AA87" w:sz="8" w:space="0"/>
      </w:tblBorders>
    </w:tblPr>
    <w:tblStylePr w:type="firstRow">
      <w:pPr>
        <w:spacing w:before="0" w:after="0"/>
      </w:pPr>
      <w:rPr>
        <w:rFonts w:cs="Cambria"/>
        <w:b/>
        <w:bCs/>
        <w:color w:val="FFFFFF"/>
      </w:rPr>
      <w:tcPr>
        <w:tcBorders>
          <w:top w:val="single" w:color="D8AA87" w:sz="8" w:space="0"/>
          <w:left w:val="single" w:color="D8AA87" w:sz="8" w:space="0"/>
          <w:bottom w:val="single" w:color="D8AA87" w:sz="8" w:space="0"/>
          <w:right w:val="single" w:color="D8AA87" w:sz="8" w:space="0"/>
          <w:insideH w:val="nil"/>
          <w:insideV w:val="nil"/>
          <w:tl2br w:val="nil"/>
          <w:tr2bl w:val="nil"/>
        </w:tcBorders>
        <w:shd w:val="clear" w:color="auto" w:fill="CC8E60"/>
      </w:tcPr>
    </w:tblStylePr>
    <w:tblStylePr w:type="lastRow">
      <w:pPr>
        <w:spacing w:before="0" w:after="0"/>
      </w:pPr>
      <w:rPr>
        <w:rFonts w:cs="Cambria"/>
        <w:b/>
        <w:bCs/>
      </w:rPr>
      <w:tcPr>
        <w:tcBorders>
          <w:top w:val="double" w:color="D8AA87" w:sz="6" w:space="0"/>
          <w:left w:val="single" w:color="D8AA87" w:sz="8" w:space="0"/>
          <w:bottom w:val="single" w:color="D8AA87" w:sz="8" w:space="0"/>
          <w:right w:val="single" w:color="D8AA87" w:sz="8" w:space="0"/>
          <w:insideH w:val="nil"/>
          <w:insideV w:val="nil"/>
          <w:tl2br w:val="nil"/>
          <w:tr2bl w:val="nil"/>
        </w:tcBorders>
      </w:tcPr>
    </w:tblStylePr>
    <w:tblStylePr w:type="firstCol">
      <w:rPr>
        <w:rFonts w:cs="Cambria"/>
        <w:b/>
        <w:bCs/>
      </w:rPr>
    </w:tblStylePr>
    <w:tblStylePr w:type="lastCol">
      <w:rPr>
        <w:rFonts w:cs="Cambria"/>
        <w:b/>
        <w:bCs/>
      </w:rPr>
    </w:tblStylePr>
    <w:tblStylePr w:type="band1Vert">
      <w:rPr>
        <w:rFonts w:cs="Cambria"/>
      </w:rPr>
      <w:tcPr>
        <w:shd w:val="clear" w:color="auto" w:fill="F2E2D7"/>
      </w:tcPr>
    </w:tblStylePr>
    <w:tblStylePr w:type="band1Horz">
      <w:rPr>
        <w:rFonts w:cs="Cambria"/>
      </w:rPr>
      <w:tcPr>
        <w:shd w:val="clear" w:color="auto" w:fill="F2E2D7"/>
      </w:tcPr>
    </w:tblStylePr>
    <w:tblStylePr w:type="band2Horz">
      <w:rPr>
        <w:rFonts w:cs="Cambria"/>
      </w:rPr>
    </w:tblStylePr>
  </w:style>
  <w:style w:type="table" w:customStyle="1" w:styleId="328">
    <w:name w:val="彩色底纹强调文字颜色 1"/>
    <w:basedOn w:val="81"/>
    <w:qFormat/>
    <w:uiPriority w:val="71"/>
    <w:rPr>
      <w:rFonts w:ascii="Cambria" w:hAnsi="Cambria" w:eastAsia="黑体"/>
      <w:color w:val="000000"/>
    </w:rPr>
    <w:tblPr>
      <w:tblBorders>
        <w:top w:val="single" w:color="CC8E60" w:sz="24" w:space="0"/>
        <w:left w:val="single" w:color="7E97AD" w:sz="4" w:space="0"/>
        <w:bottom w:val="single" w:color="7E97AD" w:sz="4" w:space="0"/>
        <w:right w:val="single" w:color="7E97AD" w:sz="4" w:space="0"/>
        <w:insideH w:val="single" w:color="FFFFFF" w:sz="4" w:space="0"/>
        <w:insideV w:val="single" w:color="FFFFFF" w:sz="4" w:space="0"/>
      </w:tblBorders>
    </w:tblPr>
    <w:tcPr>
      <w:shd w:val="clear" w:color="auto" w:fill="F2F4F6"/>
    </w:tcPr>
    <w:tblStylePr w:type="firstRow">
      <w:rPr>
        <w:rFonts w:cs="Cambria"/>
        <w:b/>
        <w:bCs/>
      </w:rPr>
      <w:tcPr>
        <w:tcBorders>
          <w:top w:val="nil"/>
          <w:left w:val="single" w:color="CC8E60" w:sz="24" w:space="0"/>
          <w:bottom w:val="nil"/>
          <w:right w:val="nil"/>
          <w:insideH w:val="nil"/>
          <w:insideV w:val="nil"/>
          <w:tl2br w:val="nil"/>
          <w:tr2bl w:val="nil"/>
        </w:tcBorders>
        <w:shd w:val="clear" w:color="auto" w:fill="FFFFFF"/>
      </w:tcPr>
    </w:tblStylePr>
    <w:tblStylePr w:type="lastRow">
      <w:rPr>
        <w:rFonts w:cs="Cambria"/>
        <w:b/>
        <w:bCs/>
        <w:color w:val="FFFFFF"/>
      </w:rPr>
      <w:tcPr>
        <w:tcBorders>
          <w:top w:val="single" w:color="FFFFFF" w:sz="6" w:space="0"/>
          <w:left w:val="nil"/>
          <w:bottom w:val="nil"/>
          <w:right w:val="nil"/>
          <w:insideH w:val="nil"/>
          <w:insideV w:val="nil"/>
          <w:tl2br w:val="nil"/>
          <w:tr2bl w:val="nil"/>
        </w:tcBorders>
        <w:shd w:val="clear" w:color="auto" w:fill="455A6D"/>
      </w:tcPr>
    </w:tblStylePr>
    <w:tblStylePr w:type="firstCol">
      <w:rPr>
        <w:rFonts w:cs="Cambria"/>
        <w:color w:val="FFFFFF"/>
      </w:rPr>
      <w:tcPr>
        <w:tcBorders>
          <w:top w:val="nil"/>
          <w:left w:val="nil"/>
          <w:bottom w:val="nil"/>
          <w:right w:val="nil"/>
          <w:insideH w:val="nil"/>
          <w:insideV w:val="nil"/>
          <w:tl2br w:val="nil"/>
          <w:tr2bl w:val="nil"/>
        </w:tcBorders>
        <w:shd w:val="clear" w:color="auto" w:fill="455A6D"/>
      </w:tcPr>
    </w:tblStylePr>
    <w:tblStylePr w:type="lastCol">
      <w:rPr>
        <w:rFonts w:cs="Cambria"/>
        <w:color w:val="FFFFFF"/>
      </w:rPr>
      <w:tcPr>
        <w:tcBorders>
          <w:top w:val="nil"/>
          <w:left w:val="nil"/>
          <w:bottom w:val="nil"/>
          <w:right w:val="nil"/>
          <w:insideH w:val="nil"/>
          <w:insideV w:val="nil"/>
          <w:tl2br w:val="nil"/>
          <w:tr2bl w:val="nil"/>
        </w:tcBorders>
        <w:shd w:val="clear" w:color="auto" w:fill="455A6D"/>
      </w:tcPr>
    </w:tblStylePr>
    <w:tblStylePr w:type="band1Vert">
      <w:rPr>
        <w:rFonts w:cs="Cambria"/>
      </w:rPr>
      <w:tcPr>
        <w:shd w:val="clear" w:color="auto" w:fill="CBD5DE"/>
      </w:tcPr>
    </w:tblStylePr>
    <w:tblStylePr w:type="band1Horz">
      <w:rPr>
        <w:rFonts w:cs="Cambria"/>
      </w:rPr>
      <w:tcPr>
        <w:shd w:val="clear" w:color="auto" w:fill="BECBD6"/>
      </w:tcPr>
    </w:tblStylePr>
    <w:tblStylePr w:type="neCell">
      <w:rPr>
        <w:rFonts w:cs="Cambria"/>
        <w:color w:val="000000"/>
      </w:rPr>
    </w:tblStylePr>
    <w:tblStylePr w:type="nwCell">
      <w:rPr>
        <w:rFonts w:cs="Cambria"/>
        <w:color w:val="000000"/>
      </w:rPr>
    </w:tblStylePr>
  </w:style>
  <w:style w:type="table" w:customStyle="1" w:styleId="329">
    <w:name w:val="彩色网格强调文字颜色 5"/>
    <w:basedOn w:val="81"/>
    <w:qFormat/>
    <w:uiPriority w:val="73"/>
    <w:rPr>
      <w:rFonts w:ascii="Cambria" w:hAnsi="Cambria" w:eastAsia="黑体"/>
      <w:color w:val="000000"/>
    </w:rPr>
    <w:tblPr>
      <w:tblBorders>
        <w:insideH w:val="single" w:color="FFFFFF" w:sz="4" w:space="0"/>
      </w:tblBorders>
    </w:tblPr>
    <w:tcPr>
      <w:shd w:val="clear" w:color="auto" w:fill="DFE4E5"/>
    </w:tcPr>
    <w:tblStylePr w:type="firstRow">
      <w:rPr>
        <w:rFonts w:cs="Cambria"/>
        <w:b/>
        <w:bCs/>
      </w:rPr>
      <w:tcPr>
        <w:shd w:val="clear" w:color="auto" w:fill="C1C9CB"/>
      </w:tcPr>
    </w:tblStylePr>
    <w:tblStylePr w:type="lastRow">
      <w:rPr>
        <w:rFonts w:cs="Cambria"/>
        <w:b/>
        <w:bCs/>
        <w:color w:val="000000"/>
      </w:rPr>
      <w:tcPr>
        <w:shd w:val="clear" w:color="auto" w:fill="C1C9CB"/>
      </w:tcPr>
    </w:tblStylePr>
    <w:tblStylePr w:type="firstCol">
      <w:rPr>
        <w:rFonts w:cs="Cambria"/>
        <w:color w:val="FFFFFF"/>
      </w:rPr>
      <w:tcPr>
        <w:shd w:val="clear" w:color="auto" w:fill="4D595B"/>
      </w:tcPr>
    </w:tblStylePr>
    <w:tblStylePr w:type="lastCol">
      <w:rPr>
        <w:rFonts w:cs="Cambria"/>
        <w:color w:val="FFFFFF"/>
      </w:rPr>
      <w:tcPr>
        <w:shd w:val="clear" w:color="auto" w:fill="4D595B"/>
      </w:tcPr>
    </w:tblStylePr>
    <w:tblStylePr w:type="band1Vert">
      <w:rPr>
        <w:rFonts w:cs="Cambria"/>
      </w:rPr>
      <w:tcPr>
        <w:shd w:val="clear" w:color="auto" w:fill="B1BCBE"/>
      </w:tcPr>
    </w:tblStylePr>
    <w:tblStylePr w:type="band1Horz">
      <w:rPr>
        <w:rFonts w:cs="Cambria"/>
      </w:rPr>
      <w:tcPr>
        <w:shd w:val="clear" w:color="auto" w:fill="B1BCBE"/>
      </w:tcPr>
    </w:tblStylePr>
  </w:style>
  <w:style w:type="table" w:customStyle="1" w:styleId="330">
    <w:name w:val="表列 3"/>
    <w:basedOn w:val="81"/>
    <w:unhideWhenUsed/>
    <w:qFormat/>
    <w:uiPriority w:val="99"/>
    <w:pPr>
      <w:spacing w:line="300" w:lineRule="auto"/>
    </w:pPr>
    <w:rPr>
      <w:rFonts w:ascii="Cambria" w:hAnsi="Cambria" w:eastAsia="黑体"/>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rFonts w:cs="Cambria"/>
        <w:color w:val="FFFFFF"/>
      </w:rPr>
      <w:tcPr>
        <w:tcBorders>
          <w:top w:val="nil"/>
          <w:left w:val="nil"/>
          <w:bottom w:val="nil"/>
          <w:right w:val="nil"/>
          <w:insideH w:val="nil"/>
          <w:insideV w:val="nil"/>
          <w:tl2br w:val="nil"/>
          <w:tr2bl w:val="nil"/>
        </w:tcBorders>
        <w:shd w:val="solid" w:color="000080" w:fill="FFFFFF"/>
      </w:tcPr>
    </w:tblStylePr>
    <w:tblStylePr w:type="lastRow">
      <w:rPr>
        <w:rFonts w:cs="Cambria"/>
        <w:b w:val="0"/>
        <w:bCs w:val="0"/>
      </w:rPr>
      <w:tcPr>
        <w:tcBorders>
          <w:top w:val="single" w:color="000080" w:sz="6" w:space="0"/>
          <w:left w:val="nil"/>
          <w:bottom w:val="nil"/>
          <w:right w:val="nil"/>
          <w:insideH w:val="nil"/>
          <w:insideV w:val="nil"/>
          <w:tl2br w:val="nil"/>
          <w:tr2bl w:val="nil"/>
        </w:tcBorders>
      </w:tcPr>
    </w:tblStylePr>
    <w:tblStylePr w:type="firstCol">
      <w:rPr>
        <w:rFonts w:cs="Cambria"/>
        <w:b w:val="0"/>
        <w:bCs w:val="0"/>
      </w:rPr>
      <w:tcPr>
        <w:tcBorders>
          <w:top w:val="nil"/>
          <w:left w:val="nil"/>
          <w:bottom w:val="nil"/>
          <w:right w:val="nil"/>
          <w:insideH w:val="nil"/>
          <w:insideV w:val="nil"/>
          <w:tl2br w:val="nil"/>
          <w:tr2bl w:val="nil"/>
        </w:tcBorders>
      </w:tcPr>
    </w:tblStylePr>
    <w:tblStylePr w:type="lastCol">
      <w:rPr>
        <w:rFonts w:cs="Cambria"/>
        <w:b w:val="0"/>
        <w:bCs w:val="0"/>
      </w:rPr>
      <w:tcPr>
        <w:tcBorders>
          <w:top w:val="nil"/>
          <w:left w:val="nil"/>
          <w:bottom w:val="nil"/>
          <w:right w:val="nil"/>
          <w:insideH w:val="nil"/>
          <w:insideV w:val="nil"/>
          <w:tl2br w:val="nil"/>
          <w:tr2bl w:val="nil"/>
        </w:tcBorders>
      </w:tcPr>
    </w:tblStylePr>
    <w:tblStylePr w:type="band1Vert">
      <w:rPr>
        <w:rFonts w:cs="Cambria"/>
        <w:color w:val="auto"/>
      </w:rPr>
      <w:tcPr>
        <w:shd w:val="solid" w:color="C0C0C0" w:fill="FFFFFF"/>
      </w:tcPr>
    </w:tblStylePr>
    <w:tblStylePr w:type="band2Vert">
      <w:rPr>
        <w:rFonts w:cs="Cambria"/>
        <w:color w:val="auto"/>
      </w:rPr>
      <w:tcPr>
        <w:shd w:val="pct10" w:color="000000" w:fill="FFFFFF"/>
      </w:tcPr>
    </w:tblStylePr>
    <w:tblStylePr w:type="neCell">
      <w:rPr>
        <w:rFonts w:cs="Cambria"/>
        <w:b/>
        <w:bCs/>
      </w:rPr>
      <w:tcPr>
        <w:tcBorders>
          <w:top w:val="nil"/>
          <w:left w:val="nil"/>
          <w:bottom w:val="nil"/>
          <w:right w:val="nil"/>
          <w:insideH w:val="nil"/>
          <w:insideV w:val="nil"/>
          <w:tl2br w:val="nil"/>
          <w:tr2bl w:val="nil"/>
        </w:tcBorders>
      </w:tcPr>
    </w:tblStylePr>
  </w:style>
  <w:style w:type="table" w:customStyle="1" w:styleId="331">
    <w:name w:val="彩色列表强调文字颜色 5"/>
    <w:basedOn w:val="81"/>
    <w:qFormat/>
    <w:uiPriority w:val="72"/>
    <w:rPr>
      <w:rFonts w:ascii="Cambria" w:hAnsi="Cambria" w:eastAsia="黑体"/>
      <w:color w:val="000000"/>
    </w:rPr>
    <w:tcPr>
      <w:shd w:val="clear" w:color="auto" w:fill="EFF1F2"/>
    </w:tcPr>
    <w:tblStylePr w:type="firstRow">
      <w:rPr>
        <w:rFonts w:cs="Cambria"/>
        <w:b/>
        <w:bCs/>
        <w:color w:val="FFFFFF"/>
      </w:rPr>
      <w:tcPr>
        <w:tcBorders>
          <w:top w:val="nil"/>
          <w:left w:val="single" w:color="FFFFFF" w:sz="12" w:space="0"/>
          <w:bottom w:val="nil"/>
          <w:right w:val="nil"/>
          <w:insideH w:val="nil"/>
          <w:insideV w:val="nil"/>
          <w:tl2br w:val="nil"/>
          <w:tr2bl w:val="nil"/>
        </w:tcBorders>
        <w:shd w:val="clear" w:color="auto" w:fill="7F7657"/>
      </w:tcPr>
    </w:tblStylePr>
    <w:tblStylePr w:type="lastRow">
      <w:rPr>
        <w:rFonts w:cs="Cambria"/>
        <w:b/>
        <w:bCs/>
        <w:color w:val="7F7657"/>
      </w:rPr>
      <w:tcPr>
        <w:tcBorders>
          <w:top w:val="single" w:color="000000" w:sz="12" w:space="0"/>
          <w:left w:val="nil"/>
          <w:bottom w:val="nil"/>
          <w:right w:val="nil"/>
          <w:insideH w:val="nil"/>
          <w:insideV w:val="nil"/>
          <w:tl2br w:val="nil"/>
          <w:tr2bl w:val="nil"/>
        </w:tcBorders>
        <w:shd w:val="clear" w:color="auto" w:fill="FFFFFF"/>
      </w:tcPr>
    </w:tblStylePr>
    <w:tblStylePr w:type="firstCol">
      <w:rPr>
        <w:rFonts w:cs="Cambria"/>
        <w:b/>
        <w:bCs/>
      </w:rPr>
    </w:tblStylePr>
    <w:tblStylePr w:type="lastCol">
      <w:rPr>
        <w:rFonts w:cs="Cambria"/>
        <w:b/>
        <w:bCs/>
      </w:rPr>
    </w:tblStylePr>
    <w:tblStylePr w:type="band1Vert">
      <w:rPr>
        <w:rFonts w:cs="Cambria"/>
      </w:rPr>
      <w:tcPr>
        <w:tcBorders>
          <w:top w:val="nil"/>
          <w:left w:val="nil"/>
          <w:bottom w:val="nil"/>
          <w:right w:val="nil"/>
          <w:insideH w:val="nil"/>
          <w:insideV w:val="nil"/>
          <w:tl2br w:val="nil"/>
          <w:tr2bl w:val="nil"/>
        </w:tcBorders>
        <w:shd w:val="clear" w:color="auto" w:fill="D8DEDF"/>
      </w:tcPr>
    </w:tblStylePr>
    <w:tblStylePr w:type="band1Horz">
      <w:rPr>
        <w:rFonts w:cs="Cambria"/>
      </w:rPr>
      <w:tcPr>
        <w:shd w:val="clear" w:color="auto" w:fill="DFE4E5"/>
      </w:tcPr>
    </w:tblStylePr>
  </w:style>
  <w:style w:type="table" w:customStyle="1" w:styleId="332">
    <w:name w:val="中等深浅网格 2 强调文字颜色 6"/>
    <w:basedOn w:val="81"/>
    <w:qFormat/>
    <w:uiPriority w:val="68"/>
    <w:rPr>
      <w:rFonts w:ascii="Calibri" w:hAnsi="Calibri" w:cs="Arial"/>
      <w:color w:val="000000"/>
    </w:rPr>
    <w:tblPr>
      <w:tblBorders>
        <w:top w:val="single" w:color="9D936F" w:sz="8" w:space="0"/>
        <w:left w:val="single" w:color="9D936F" w:sz="8" w:space="0"/>
        <w:bottom w:val="single" w:color="9D936F" w:sz="8" w:space="0"/>
        <w:right w:val="single" w:color="9D936F" w:sz="8" w:space="0"/>
        <w:insideH w:val="single" w:color="9D936F" w:sz="8" w:space="0"/>
        <w:insideV w:val="single" w:color="9D936F" w:sz="8" w:space="0"/>
      </w:tblBorders>
    </w:tblPr>
    <w:tcPr>
      <w:shd w:val="clear" w:color="auto" w:fill="E6E4DB"/>
    </w:tcPr>
    <w:tblStylePr w:type="firstRow">
      <w:rPr>
        <w:rFonts w:cs="等线"/>
        <w:b/>
        <w:bCs/>
        <w:color w:val="000000"/>
      </w:rPr>
      <w:tcPr>
        <w:shd w:val="clear" w:color="auto" w:fill="F5F4F0"/>
      </w:tcPr>
    </w:tblStylePr>
    <w:tblStylePr w:type="lastRow">
      <w:rPr>
        <w:rFonts w:cs="等线"/>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rFonts w:cs="等线"/>
        <w:b/>
        <w:bCs/>
        <w:color w:val="000000"/>
      </w:rPr>
      <w:tcPr>
        <w:tcBorders>
          <w:top w:val="nil"/>
          <w:left w:val="nil"/>
          <w:bottom w:val="nil"/>
          <w:right w:val="nil"/>
          <w:insideH w:val="nil"/>
          <w:insideV w:val="nil"/>
          <w:tl2br w:val="nil"/>
          <w:tr2bl w:val="nil"/>
        </w:tcBorders>
        <w:shd w:val="clear" w:color="auto" w:fill="FFFFFF"/>
      </w:tcPr>
    </w:tblStylePr>
    <w:tblStylePr w:type="lastCol">
      <w:rPr>
        <w:rFonts w:cs="等线"/>
        <w:b w:val="0"/>
        <w:bCs w:val="0"/>
        <w:color w:val="000000"/>
      </w:rPr>
      <w:tcPr>
        <w:tcBorders>
          <w:top w:val="nil"/>
          <w:left w:val="nil"/>
          <w:bottom w:val="nil"/>
          <w:right w:val="nil"/>
          <w:insideH w:val="nil"/>
          <w:insideV w:val="nil"/>
          <w:tl2br w:val="nil"/>
          <w:tr2bl w:val="nil"/>
        </w:tcBorders>
        <w:shd w:val="clear" w:color="auto" w:fill="EBE9E2"/>
      </w:tcPr>
    </w:tblStylePr>
    <w:tblStylePr w:type="band1Vert">
      <w:rPr>
        <w:rFonts w:cs="等线"/>
      </w:rPr>
      <w:tcPr>
        <w:shd w:val="clear" w:color="auto" w:fill="CEC9B7"/>
      </w:tcPr>
    </w:tblStylePr>
    <w:tblStylePr w:type="band1Horz">
      <w:rPr>
        <w:rFonts w:cs="等线"/>
      </w:rPr>
      <w:tcPr>
        <w:shd w:val="clear" w:color="auto" w:fill="CEC9B7"/>
      </w:tcPr>
    </w:tblStylePr>
    <w:tblStylePr w:type="nwCell">
      <w:rPr>
        <w:rFonts w:cs="等线"/>
      </w:rPr>
      <w:tcPr>
        <w:shd w:val="clear" w:color="auto" w:fill="FFFFFF"/>
      </w:tcPr>
    </w:tblStylePr>
  </w:style>
  <w:style w:type="table" w:customStyle="1" w:styleId="333">
    <w:name w:val="浅色底纹强调文字颜色 5"/>
    <w:basedOn w:val="81"/>
    <w:qFormat/>
    <w:uiPriority w:val="60"/>
    <w:rPr>
      <w:rFonts w:ascii="Cambria" w:hAnsi="Cambria" w:eastAsia="黑体"/>
      <w:color w:val="4D595B"/>
    </w:rPr>
    <w:tblPr>
      <w:tblBorders>
        <w:top w:val="single" w:color="67787B" w:sz="8" w:space="0"/>
        <w:bottom w:val="single" w:color="67787B" w:sz="8" w:space="0"/>
      </w:tblBorders>
    </w:tblPr>
    <w:tblStylePr w:type="firstRow">
      <w:pPr>
        <w:spacing w:before="0" w:after="0"/>
      </w:pPr>
      <w:rPr>
        <w:rFonts w:cs="Cambria"/>
        <w:b/>
        <w:bCs/>
      </w:rPr>
      <w:tcPr>
        <w:tcBorders>
          <w:top w:val="single" w:color="67787B" w:sz="8" w:space="0"/>
          <w:left w:val="single" w:color="67787B" w:sz="8" w:space="0"/>
          <w:bottom w:val="nil"/>
          <w:right w:val="nil"/>
          <w:insideH w:val="nil"/>
          <w:insideV w:val="nil"/>
          <w:tl2br w:val="nil"/>
          <w:tr2bl w:val="nil"/>
        </w:tcBorders>
      </w:tcPr>
    </w:tblStylePr>
    <w:tblStylePr w:type="lastRow">
      <w:pPr>
        <w:spacing w:before="0" w:after="0"/>
      </w:pPr>
      <w:rPr>
        <w:rFonts w:cs="Cambria"/>
        <w:b/>
        <w:bCs/>
      </w:rPr>
      <w:tcPr>
        <w:tcBorders>
          <w:top w:val="single" w:color="67787B" w:sz="8" w:space="0"/>
          <w:left w:val="single" w:color="67787B" w:sz="8" w:space="0"/>
          <w:bottom w:val="nil"/>
          <w:right w:val="nil"/>
          <w:insideH w:val="nil"/>
          <w:insideV w:val="nil"/>
          <w:tl2br w:val="nil"/>
          <w:tr2bl w:val="nil"/>
        </w:tcBorders>
      </w:tcPr>
    </w:tblStylePr>
    <w:tblStylePr w:type="firstCol">
      <w:rPr>
        <w:rFonts w:cs="Cambria"/>
        <w:b/>
        <w:bCs/>
      </w:rPr>
    </w:tblStylePr>
    <w:tblStylePr w:type="lastCol">
      <w:rPr>
        <w:rFonts w:cs="Cambria"/>
        <w:b/>
        <w:bCs/>
      </w:rPr>
    </w:tblStylePr>
    <w:tblStylePr w:type="band1Vert">
      <w:rPr>
        <w:rFonts w:cs="Cambria"/>
      </w:rPr>
      <w:tcPr>
        <w:tcBorders>
          <w:top w:val="nil"/>
          <w:left w:val="nil"/>
          <w:bottom w:val="nil"/>
          <w:right w:val="nil"/>
          <w:insideH w:val="nil"/>
          <w:insideV w:val="nil"/>
          <w:tl2br w:val="nil"/>
          <w:tr2bl w:val="nil"/>
        </w:tcBorders>
        <w:shd w:val="clear" w:color="auto" w:fill="D8DEDF"/>
      </w:tcPr>
    </w:tblStylePr>
    <w:tblStylePr w:type="band1Horz">
      <w:rPr>
        <w:rFonts w:cs="Cambria"/>
      </w:rPr>
      <w:tcPr>
        <w:tcBorders>
          <w:top w:val="nil"/>
          <w:left w:val="nil"/>
          <w:bottom w:val="nil"/>
          <w:right w:val="nil"/>
          <w:insideH w:val="nil"/>
          <w:insideV w:val="nil"/>
          <w:tl2br w:val="nil"/>
          <w:tr2bl w:val="nil"/>
        </w:tcBorders>
        <w:shd w:val="clear" w:color="auto" w:fill="D8DEDF"/>
      </w:tcPr>
    </w:tblStylePr>
  </w:style>
  <w:style w:type="table" w:customStyle="1" w:styleId="334">
    <w:name w:val="中等深浅底纹 1 强调文字颜色 6"/>
    <w:basedOn w:val="81"/>
    <w:qFormat/>
    <w:uiPriority w:val="63"/>
    <w:rPr>
      <w:rFonts w:ascii="Cambria" w:hAnsi="Cambria" w:eastAsia="黑体"/>
    </w:rPr>
    <w:tblPr>
      <w:tblBorders>
        <w:top w:val="single" w:color="B5AE93" w:sz="8" w:space="0"/>
        <w:left w:val="single" w:color="B5AE93" w:sz="8" w:space="0"/>
        <w:bottom w:val="single" w:color="B5AE93" w:sz="8" w:space="0"/>
        <w:right w:val="single" w:color="B5AE93" w:sz="8" w:space="0"/>
        <w:insideH w:val="single" w:color="B5AE93" w:sz="8" w:space="0"/>
      </w:tblBorders>
    </w:tblPr>
    <w:tblStylePr w:type="firstRow">
      <w:pPr>
        <w:spacing w:before="0" w:after="0"/>
      </w:pPr>
      <w:rPr>
        <w:rFonts w:cs="Cambria"/>
        <w:b/>
        <w:bCs/>
        <w:color w:val="FFFFFF"/>
      </w:rPr>
      <w:tcPr>
        <w:tcBorders>
          <w:top w:val="single" w:color="B5AE93" w:sz="8" w:space="0"/>
          <w:left w:val="single" w:color="B5AE93" w:sz="8" w:space="0"/>
          <w:bottom w:val="single" w:color="B5AE93" w:sz="8" w:space="0"/>
          <w:right w:val="single" w:color="B5AE93" w:sz="8" w:space="0"/>
          <w:insideH w:val="nil"/>
          <w:insideV w:val="nil"/>
          <w:tl2br w:val="nil"/>
          <w:tr2bl w:val="nil"/>
        </w:tcBorders>
        <w:shd w:val="clear" w:color="auto" w:fill="9D936F"/>
      </w:tcPr>
    </w:tblStylePr>
    <w:tblStylePr w:type="lastRow">
      <w:pPr>
        <w:spacing w:before="0" w:after="0"/>
      </w:pPr>
      <w:rPr>
        <w:rFonts w:cs="Cambria"/>
        <w:b/>
        <w:bCs/>
      </w:rPr>
      <w:tcPr>
        <w:tcBorders>
          <w:top w:val="double" w:color="B5AE93" w:sz="6" w:space="0"/>
          <w:left w:val="single" w:color="B5AE93" w:sz="8" w:space="0"/>
          <w:bottom w:val="single" w:color="B5AE93" w:sz="8" w:space="0"/>
          <w:right w:val="single" w:color="B5AE93" w:sz="8" w:space="0"/>
          <w:insideH w:val="nil"/>
          <w:insideV w:val="nil"/>
          <w:tl2br w:val="nil"/>
          <w:tr2bl w:val="nil"/>
        </w:tcBorders>
      </w:tcPr>
    </w:tblStylePr>
    <w:tblStylePr w:type="firstCol">
      <w:rPr>
        <w:rFonts w:cs="Cambria"/>
        <w:b/>
        <w:bCs/>
      </w:rPr>
    </w:tblStylePr>
    <w:tblStylePr w:type="lastCol">
      <w:rPr>
        <w:rFonts w:cs="Cambria"/>
        <w:b/>
        <w:bCs/>
      </w:rPr>
    </w:tblStylePr>
    <w:tblStylePr w:type="band1Vert">
      <w:rPr>
        <w:rFonts w:cs="Cambria"/>
      </w:rPr>
      <w:tcPr>
        <w:shd w:val="clear" w:color="auto" w:fill="E6E4DB"/>
      </w:tcPr>
    </w:tblStylePr>
    <w:tblStylePr w:type="band1Horz">
      <w:rPr>
        <w:rFonts w:cs="Cambria"/>
      </w:rPr>
      <w:tcPr>
        <w:shd w:val="clear" w:color="auto" w:fill="E6E4DB"/>
      </w:tcPr>
    </w:tblStylePr>
    <w:tblStylePr w:type="band2Horz">
      <w:rPr>
        <w:rFonts w:cs="Cambria"/>
      </w:rPr>
    </w:tblStylePr>
  </w:style>
  <w:style w:type="table" w:customStyle="1" w:styleId="335">
    <w:name w:val="中等深浅底纹 2 强调文字颜色 1"/>
    <w:basedOn w:val="81"/>
    <w:qFormat/>
    <w:uiPriority w:val="64"/>
    <w:rPr>
      <w:rFonts w:ascii="Cambria" w:hAnsi="Cambria" w:eastAsia="黑体"/>
    </w:rPr>
    <w:tblPr>
      <w:tblBorders>
        <w:top w:val="single" w:color="auto" w:sz="18" w:space="0"/>
        <w:bottom w:val="single" w:color="auto" w:sz="18" w:space="0"/>
      </w:tblBorders>
    </w:tblPr>
    <w:tblStylePr w:type="firstRow">
      <w:pPr>
        <w:spacing w:before="0" w:after="0"/>
      </w:pPr>
      <w:rPr>
        <w:rFonts w:cs="Cambria"/>
        <w:b/>
        <w:bCs/>
        <w:color w:val="FFFFFF"/>
      </w:rPr>
      <w:tcPr>
        <w:tcBorders>
          <w:top w:val="single" w:color="auto" w:sz="18" w:space="0"/>
          <w:left w:val="single" w:color="auto" w:sz="18" w:space="0"/>
          <w:bottom w:val="nil"/>
          <w:right w:val="nil"/>
          <w:insideH w:val="nil"/>
          <w:insideV w:val="nil"/>
          <w:tl2br w:val="nil"/>
          <w:tr2bl w:val="nil"/>
        </w:tcBorders>
        <w:shd w:val="clear" w:color="auto" w:fill="7E97AD"/>
      </w:tcPr>
    </w:tblStylePr>
    <w:tblStylePr w:type="lastRow">
      <w:pPr>
        <w:spacing w:before="0" w:after="0"/>
      </w:pPr>
      <w:rPr>
        <w:rFonts w:cs="Cambria"/>
        <w:color w:val="auto"/>
      </w:rPr>
      <w:tcPr>
        <w:tcBorders>
          <w:top w:val="double" w:color="auto" w:sz="6" w:space="0"/>
          <w:left w:val="single" w:color="auto" w:sz="18" w:space="0"/>
          <w:bottom w:val="nil"/>
          <w:right w:val="nil"/>
          <w:insideH w:val="nil"/>
          <w:insideV w:val="nil"/>
          <w:tl2br w:val="nil"/>
          <w:tr2bl w:val="nil"/>
        </w:tcBorders>
        <w:shd w:val="clear" w:color="auto" w:fill="FFFFFF"/>
      </w:tcPr>
    </w:tblStylePr>
    <w:tblStylePr w:type="firstCol">
      <w:rPr>
        <w:rFonts w:cs="Cambria"/>
        <w:b/>
        <w:bCs/>
        <w:color w:val="FFFFFF"/>
      </w:rPr>
      <w:tcPr>
        <w:tcBorders>
          <w:top w:val="nil"/>
          <w:left w:val="single" w:color="auto" w:sz="18" w:space="0"/>
          <w:bottom w:val="nil"/>
          <w:right w:val="nil"/>
          <w:insideH w:val="nil"/>
          <w:insideV w:val="nil"/>
          <w:tl2br w:val="nil"/>
          <w:tr2bl w:val="nil"/>
        </w:tcBorders>
        <w:shd w:val="clear" w:color="auto" w:fill="7E97AD"/>
      </w:tcPr>
    </w:tblStylePr>
    <w:tblStylePr w:type="lastCol">
      <w:rPr>
        <w:rFonts w:cs="Cambria"/>
        <w:b/>
        <w:bCs/>
        <w:color w:val="FFFFFF"/>
      </w:rPr>
      <w:tcPr>
        <w:tcBorders>
          <w:top w:val="nil"/>
          <w:left w:val="nil"/>
          <w:bottom w:val="nil"/>
          <w:right w:val="nil"/>
          <w:insideH w:val="nil"/>
          <w:insideV w:val="nil"/>
          <w:tl2br w:val="nil"/>
          <w:tr2bl w:val="nil"/>
        </w:tcBorders>
        <w:shd w:val="clear" w:color="auto" w:fill="7E97AD"/>
      </w:tcPr>
    </w:tblStylePr>
    <w:tblStylePr w:type="band1Vert">
      <w:rPr>
        <w:rFonts w:cs="Cambria"/>
      </w:rPr>
      <w:tcPr>
        <w:tcBorders>
          <w:top w:val="nil"/>
          <w:left w:val="nil"/>
          <w:bottom w:val="nil"/>
          <w:right w:val="nil"/>
          <w:insideH w:val="nil"/>
          <w:insideV w:val="nil"/>
          <w:tl2br w:val="nil"/>
          <w:tr2bl w:val="nil"/>
        </w:tcBorders>
        <w:shd w:val="clear" w:color="auto" w:fill="D8D8D8"/>
      </w:tcPr>
    </w:tblStylePr>
    <w:tblStylePr w:type="band1Horz">
      <w:rPr>
        <w:rFonts w:cs="Cambria"/>
      </w:rPr>
      <w:tcPr>
        <w:shd w:val="clear" w:color="auto" w:fill="D8D8D8"/>
      </w:tcPr>
    </w:tblStylePr>
    <w:tblStylePr w:type="neCell">
      <w:rPr>
        <w:rFonts w:cs="Cambria"/>
      </w:rPr>
      <w:tcPr>
        <w:tcBorders>
          <w:top w:val="single" w:color="auto" w:sz="18" w:space="0"/>
          <w:left w:val="single" w:color="auto" w:sz="18" w:space="0"/>
          <w:bottom w:val="nil"/>
          <w:right w:val="nil"/>
          <w:insideH w:val="nil"/>
          <w:insideV w:val="nil"/>
          <w:tl2br w:val="nil"/>
          <w:tr2bl w:val="nil"/>
        </w:tcBorders>
      </w:tcPr>
    </w:tblStylePr>
    <w:tblStylePr w:type="nwCell">
      <w:rPr>
        <w:rFonts w:cs="Cambria"/>
        <w:color w:val="FFFFFF"/>
      </w:rPr>
      <w:tcPr>
        <w:tcBorders>
          <w:top w:val="single" w:color="auto" w:sz="18" w:space="0"/>
          <w:left w:val="single" w:color="auto" w:sz="18" w:space="0"/>
          <w:bottom w:val="nil"/>
          <w:right w:val="nil"/>
          <w:insideH w:val="nil"/>
          <w:insideV w:val="nil"/>
          <w:tl2br w:val="nil"/>
          <w:tr2bl w:val="nil"/>
        </w:tcBorders>
      </w:tcPr>
    </w:tblStylePr>
  </w:style>
  <w:style w:type="table" w:customStyle="1" w:styleId="336">
    <w:name w:val="中等深浅网格 3 强调文字颜色 1"/>
    <w:basedOn w:val="81"/>
    <w:qFormat/>
    <w:uiPriority w:val="69"/>
    <w:rPr>
      <w:rFonts w:ascii="Cambria" w:hAnsi="Cambria" w:eastAsia="黑体"/>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FE5EA"/>
    </w:tcPr>
    <w:tblStylePr w:type="firstRow">
      <w:rPr>
        <w:rFonts w:cs="Cambria"/>
        <w:b/>
        <w:bCs/>
        <w:i w:val="0"/>
        <w:iCs w:val="0"/>
        <w:color w:val="FFFFFF"/>
      </w:rPr>
      <w:tcPr>
        <w:tcBorders>
          <w:top w:val="single" w:color="FFFFFF" w:sz="8" w:space="0"/>
          <w:left w:val="single" w:color="FFFFFF" w:sz="24" w:space="0"/>
          <w:bottom w:val="single" w:color="FFFFFF" w:sz="8" w:space="0"/>
          <w:right w:val="single" w:color="FFFFFF" w:sz="8" w:space="0"/>
          <w:insideH w:val="nil"/>
          <w:insideV w:val="nil"/>
          <w:tl2br w:val="nil"/>
          <w:tr2bl w:val="nil"/>
        </w:tcBorders>
        <w:shd w:val="clear" w:color="auto" w:fill="7E97AD"/>
      </w:tcPr>
    </w:tblStylePr>
    <w:tblStylePr w:type="lastRow">
      <w:rPr>
        <w:rFonts w:cs="Cambria"/>
        <w:b/>
        <w:bCs/>
        <w:i w:val="0"/>
        <w:iCs w:val="0"/>
        <w:color w:val="FFFFFF"/>
      </w:rPr>
      <w:tcPr>
        <w:tcBorders>
          <w:top w:val="single" w:color="FFFFFF" w:sz="24" w:space="0"/>
          <w:left w:val="single" w:color="FFFFFF" w:sz="8" w:space="0"/>
          <w:bottom w:val="single" w:color="FFFFFF" w:sz="8" w:space="0"/>
          <w:right w:val="single" w:color="FFFFFF" w:sz="8" w:space="0"/>
          <w:insideH w:val="nil"/>
          <w:insideV w:val="nil"/>
          <w:tl2br w:val="nil"/>
          <w:tr2bl w:val="nil"/>
        </w:tcBorders>
        <w:shd w:val="clear" w:color="auto" w:fill="7E97AD"/>
      </w:tcPr>
    </w:tblStylePr>
    <w:tblStylePr w:type="firstCol">
      <w:rPr>
        <w:rFonts w:cs="Cambria"/>
        <w:b/>
        <w:bCs/>
        <w:i w:val="0"/>
        <w:iCs w:val="0"/>
        <w:color w:val="FFFFFF"/>
      </w:rPr>
      <w:tcPr>
        <w:tcBorders>
          <w:top w:val="nil"/>
          <w:left w:val="nil"/>
          <w:bottom w:val="single" w:color="FFFFFF" w:sz="8" w:space="0"/>
          <w:right w:val="single" w:color="FFFFFF" w:sz="24" w:space="0"/>
          <w:insideH w:val="nil"/>
          <w:insideV w:val="nil"/>
          <w:tl2br w:val="nil"/>
          <w:tr2bl w:val="nil"/>
        </w:tcBorders>
        <w:shd w:val="clear" w:color="auto" w:fill="7E97AD"/>
      </w:tcPr>
    </w:tblStylePr>
    <w:tblStylePr w:type="lastCol">
      <w:rPr>
        <w:rFonts w:cs="Cambria"/>
        <w:b/>
        <w:bCs/>
        <w:i w:val="0"/>
        <w:iCs w:val="0"/>
        <w:color w:val="FFFFFF"/>
      </w:rPr>
      <w:tcPr>
        <w:tcBorders>
          <w:top w:val="nil"/>
          <w:left w:val="nil"/>
          <w:bottom w:val="single" w:color="FFFFFF" w:sz="24" w:space="0"/>
          <w:right w:val="nil"/>
          <w:insideH w:val="nil"/>
          <w:insideV w:val="nil"/>
          <w:tl2br w:val="nil"/>
          <w:tr2bl w:val="nil"/>
        </w:tcBorders>
        <w:shd w:val="clear" w:color="auto" w:fill="7E97AD"/>
      </w:tcPr>
    </w:tblStylePr>
    <w:tblStylePr w:type="band1Vert">
      <w:rPr>
        <w:rFonts w:cs="Cambria"/>
      </w:rPr>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BECBD6"/>
      </w:tcPr>
    </w:tblStylePr>
    <w:tblStylePr w:type="band1Horz">
      <w:rPr>
        <w:rFonts w:cs="Cambria"/>
      </w:rPr>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BECBD6"/>
      </w:tcPr>
    </w:tblStylePr>
  </w:style>
  <w:style w:type="table" w:customStyle="1" w:styleId="337">
    <w:name w:val="中等深浅底纹 1 强调文字颜色 1"/>
    <w:basedOn w:val="81"/>
    <w:qFormat/>
    <w:uiPriority w:val="63"/>
    <w:rPr>
      <w:rFonts w:ascii="Cambria" w:hAnsi="Cambria" w:eastAsia="黑体"/>
    </w:rPr>
    <w:tblPr>
      <w:tblBorders>
        <w:top w:val="single" w:color="9EB0C1" w:sz="8" w:space="0"/>
        <w:left w:val="single" w:color="9EB0C1" w:sz="8" w:space="0"/>
        <w:bottom w:val="single" w:color="9EB0C1" w:sz="8" w:space="0"/>
        <w:right w:val="single" w:color="9EB0C1" w:sz="8" w:space="0"/>
        <w:insideH w:val="single" w:color="9EB0C1" w:sz="8" w:space="0"/>
      </w:tblBorders>
    </w:tblPr>
    <w:tblStylePr w:type="firstRow">
      <w:pPr>
        <w:spacing w:before="0" w:after="0"/>
      </w:pPr>
      <w:rPr>
        <w:rFonts w:cs="Cambria"/>
        <w:b/>
        <w:bCs/>
        <w:color w:val="FFFFFF"/>
      </w:rPr>
      <w:tcPr>
        <w:tcBorders>
          <w:top w:val="single" w:color="9EB0C1" w:sz="8" w:space="0"/>
          <w:left w:val="single" w:color="9EB0C1" w:sz="8" w:space="0"/>
          <w:bottom w:val="single" w:color="9EB0C1" w:sz="8" w:space="0"/>
          <w:right w:val="single" w:color="9EB0C1" w:sz="8" w:space="0"/>
          <w:insideH w:val="nil"/>
          <w:insideV w:val="nil"/>
          <w:tl2br w:val="nil"/>
          <w:tr2bl w:val="nil"/>
        </w:tcBorders>
        <w:shd w:val="clear" w:color="auto" w:fill="7E97AD"/>
      </w:tcPr>
    </w:tblStylePr>
    <w:tblStylePr w:type="lastRow">
      <w:pPr>
        <w:spacing w:before="0" w:after="0"/>
      </w:pPr>
      <w:rPr>
        <w:rFonts w:cs="Cambria"/>
        <w:b/>
        <w:bCs/>
      </w:rPr>
      <w:tcPr>
        <w:tcBorders>
          <w:top w:val="double" w:color="9EB0C1" w:sz="6" w:space="0"/>
          <w:left w:val="single" w:color="9EB0C1" w:sz="8" w:space="0"/>
          <w:bottom w:val="single" w:color="9EB0C1" w:sz="8" w:space="0"/>
          <w:right w:val="single" w:color="9EB0C1" w:sz="8" w:space="0"/>
          <w:insideH w:val="nil"/>
          <w:insideV w:val="nil"/>
          <w:tl2br w:val="nil"/>
          <w:tr2bl w:val="nil"/>
        </w:tcBorders>
      </w:tcPr>
    </w:tblStylePr>
    <w:tblStylePr w:type="firstCol">
      <w:rPr>
        <w:rFonts w:cs="Cambria"/>
        <w:b/>
        <w:bCs/>
      </w:rPr>
    </w:tblStylePr>
    <w:tblStylePr w:type="lastCol">
      <w:rPr>
        <w:rFonts w:cs="Cambria"/>
        <w:b/>
        <w:bCs/>
      </w:rPr>
    </w:tblStylePr>
    <w:tblStylePr w:type="band1Vert">
      <w:rPr>
        <w:rFonts w:cs="Cambria"/>
      </w:rPr>
      <w:tcPr>
        <w:shd w:val="clear" w:color="auto" w:fill="DFE5EA"/>
      </w:tcPr>
    </w:tblStylePr>
    <w:tblStylePr w:type="band1Horz">
      <w:rPr>
        <w:rFonts w:cs="Cambria"/>
      </w:rPr>
      <w:tcPr>
        <w:shd w:val="clear" w:color="auto" w:fill="DFE5EA"/>
      </w:tcPr>
    </w:tblStylePr>
    <w:tblStylePr w:type="band2Horz">
      <w:rPr>
        <w:rFonts w:cs="Cambria"/>
      </w:rPr>
    </w:tblStylePr>
  </w:style>
  <w:style w:type="table" w:customStyle="1" w:styleId="338">
    <w:name w:val="中等深浅网格 3 强调文字颜色 5"/>
    <w:basedOn w:val="81"/>
    <w:qFormat/>
    <w:uiPriority w:val="69"/>
    <w:rPr>
      <w:rFonts w:ascii="Cambria" w:hAnsi="Cambria" w:eastAsia="黑体"/>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8DEDF"/>
    </w:tcPr>
    <w:tblStylePr w:type="firstRow">
      <w:rPr>
        <w:rFonts w:cs="Cambria"/>
        <w:b/>
        <w:bCs/>
        <w:i w:val="0"/>
        <w:iCs w:val="0"/>
        <w:color w:val="FFFFFF"/>
      </w:rPr>
      <w:tcPr>
        <w:tcBorders>
          <w:top w:val="single" w:color="FFFFFF" w:sz="8" w:space="0"/>
          <w:left w:val="single" w:color="FFFFFF" w:sz="24" w:space="0"/>
          <w:bottom w:val="single" w:color="FFFFFF" w:sz="8" w:space="0"/>
          <w:right w:val="single" w:color="FFFFFF" w:sz="8" w:space="0"/>
          <w:insideH w:val="nil"/>
          <w:insideV w:val="nil"/>
          <w:tl2br w:val="nil"/>
          <w:tr2bl w:val="nil"/>
        </w:tcBorders>
        <w:shd w:val="clear" w:color="auto" w:fill="67787B"/>
      </w:tcPr>
    </w:tblStylePr>
    <w:tblStylePr w:type="lastRow">
      <w:rPr>
        <w:rFonts w:cs="Cambria"/>
        <w:b/>
        <w:bCs/>
        <w:i w:val="0"/>
        <w:iCs w:val="0"/>
        <w:color w:val="FFFFFF"/>
      </w:rPr>
      <w:tcPr>
        <w:tcBorders>
          <w:top w:val="single" w:color="FFFFFF" w:sz="24" w:space="0"/>
          <w:left w:val="single" w:color="FFFFFF" w:sz="8" w:space="0"/>
          <w:bottom w:val="single" w:color="FFFFFF" w:sz="8" w:space="0"/>
          <w:right w:val="single" w:color="FFFFFF" w:sz="8" w:space="0"/>
          <w:insideH w:val="nil"/>
          <w:insideV w:val="nil"/>
          <w:tl2br w:val="nil"/>
          <w:tr2bl w:val="nil"/>
        </w:tcBorders>
        <w:shd w:val="clear" w:color="auto" w:fill="67787B"/>
      </w:tcPr>
    </w:tblStylePr>
    <w:tblStylePr w:type="firstCol">
      <w:rPr>
        <w:rFonts w:cs="Cambria"/>
        <w:b/>
        <w:bCs/>
        <w:i w:val="0"/>
        <w:iCs w:val="0"/>
        <w:color w:val="FFFFFF"/>
      </w:rPr>
      <w:tcPr>
        <w:tcBorders>
          <w:top w:val="nil"/>
          <w:left w:val="nil"/>
          <w:bottom w:val="single" w:color="FFFFFF" w:sz="8" w:space="0"/>
          <w:right w:val="single" w:color="FFFFFF" w:sz="24" w:space="0"/>
          <w:insideH w:val="nil"/>
          <w:insideV w:val="nil"/>
          <w:tl2br w:val="nil"/>
          <w:tr2bl w:val="nil"/>
        </w:tcBorders>
        <w:shd w:val="clear" w:color="auto" w:fill="67787B"/>
      </w:tcPr>
    </w:tblStylePr>
    <w:tblStylePr w:type="lastCol">
      <w:rPr>
        <w:rFonts w:cs="Cambria"/>
        <w:b/>
        <w:bCs/>
        <w:i w:val="0"/>
        <w:iCs w:val="0"/>
        <w:color w:val="FFFFFF"/>
      </w:rPr>
      <w:tcPr>
        <w:tcBorders>
          <w:top w:val="nil"/>
          <w:left w:val="nil"/>
          <w:bottom w:val="single" w:color="FFFFFF" w:sz="24" w:space="0"/>
          <w:right w:val="nil"/>
          <w:insideH w:val="nil"/>
          <w:insideV w:val="nil"/>
          <w:tl2br w:val="nil"/>
          <w:tr2bl w:val="nil"/>
        </w:tcBorders>
        <w:shd w:val="clear" w:color="auto" w:fill="67787B"/>
      </w:tcPr>
    </w:tblStylePr>
    <w:tblStylePr w:type="band1Vert">
      <w:rPr>
        <w:rFonts w:cs="Cambria"/>
      </w:rPr>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B1BCBE"/>
      </w:tcPr>
    </w:tblStylePr>
    <w:tblStylePr w:type="band1Horz">
      <w:rPr>
        <w:rFonts w:cs="Cambria"/>
      </w:rPr>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B1BCBE"/>
      </w:tcPr>
    </w:tblStylePr>
  </w:style>
  <w:style w:type="table" w:customStyle="1" w:styleId="339">
    <w:name w:val="中等深浅列表 2 强调文字颜色 2"/>
    <w:basedOn w:val="81"/>
    <w:qFormat/>
    <w:uiPriority w:val="66"/>
    <w:rPr>
      <w:rFonts w:ascii="Calibri" w:hAnsi="Calibri" w:cs="Arial"/>
      <w:color w:val="000000"/>
    </w:rPr>
    <w:tblPr>
      <w:tblBorders>
        <w:top w:val="single" w:color="CC8E60" w:sz="8" w:space="0"/>
        <w:left w:val="single" w:color="CC8E60" w:sz="8" w:space="0"/>
        <w:bottom w:val="single" w:color="CC8E60" w:sz="8" w:space="0"/>
        <w:right w:val="single" w:color="CC8E60" w:sz="8" w:space="0"/>
      </w:tblBorders>
    </w:tblPr>
    <w:tblStylePr w:type="firstRow">
      <w:rPr>
        <w:rFonts w:cs="等线"/>
        <w:sz w:val="24"/>
        <w:szCs w:val="24"/>
      </w:rPr>
      <w:tcPr>
        <w:tcBorders>
          <w:top w:val="nil"/>
          <w:left w:val="single" w:color="CC8E60" w:sz="24" w:space="0"/>
          <w:bottom w:val="nil"/>
          <w:right w:val="nil"/>
          <w:insideH w:val="nil"/>
          <w:insideV w:val="nil"/>
          <w:tl2br w:val="nil"/>
          <w:tr2bl w:val="nil"/>
        </w:tcBorders>
        <w:shd w:val="clear" w:color="auto" w:fill="FFFFFF"/>
      </w:tcPr>
    </w:tblStylePr>
    <w:tblStylePr w:type="lastRow">
      <w:rPr>
        <w:rFonts w:cs="等线"/>
      </w:rPr>
      <w:tcPr>
        <w:tcBorders>
          <w:top w:val="single" w:color="CC8E60" w:sz="8" w:space="0"/>
          <w:left w:val="nil"/>
          <w:bottom w:val="nil"/>
          <w:right w:val="nil"/>
          <w:insideH w:val="nil"/>
          <w:insideV w:val="nil"/>
          <w:tl2br w:val="nil"/>
          <w:tr2bl w:val="nil"/>
        </w:tcBorders>
        <w:shd w:val="clear" w:color="auto" w:fill="FFFFFF"/>
      </w:tcPr>
    </w:tblStylePr>
    <w:tblStylePr w:type="firstCol">
      <w:rPr>
        <w:rFonts w:cs="等线"/>
      </w:rPr>
      <w:tcPr>
        <w:tcBorders>
          <w:top w:val="nil"/>
          <w:left w:val="nil"/>
          <w:bottom w:val="nil"/>
          <w:right w:val="single" w:color="CC8E60" w:sz="8" w:space="0"/>
          <w:insideH w:val="nil"/>
          <w:insideV w:val="nil"/>
          <w:tl2br w:val="nil"/>
          <w:tr2bl w:val="nil"/>
        </w:tcBorders>
        <w:shd w:val="clear" w:color="auto" w:fill="FFFFFF"/>
      </w:tcPr>
    </w:tblStylePr>
    <w:tblStylePr w:type="lastCol">
      <w:rPr>
        <w:rFonts w:cs="等线"/>
      </w:rPr>
      <w:tcPr>
        <w:tcBorders>
          <w:top w:val="nil"/>
          <w:left w:val="nil"/>
          <w:bottom w:val="single" w:color="CC8E60" w:sz="8" w:space="0"/>
          <w:right w:val="nil"/>
          <w:insideH w:val="nil"/>
          <w:insideV w:val="nil"/>
          <w:tl2br w:val="nil"/>
          <w:tr2bl w:val="nil"/>
        </w:tcBorders>
        <w:shd w:val="clear" w:color="auto" w:fill="FFFFFF"/>
      </w:tcPr>
    </w:tblStylePr>
    <w:tblStylePr w:type="band1Vert">
      <w:rPr>
        <w:rFonts w:cs="等线"/>
      </w:rPr>
      <w:tcPr>
        <w:tcBorders>
          <w:top w:val="nil"/>
          <w:left w:val="nil"/>
          <w:bottom w:val="nil"/>
          <w:right w:val="nil"/>
          <w:insideH w:val="nil"/>
          <w:insideV w:val="nil"/>
          <w:tl2br w:val="nil"/>
          <w:tr2bl w:val="nil"/>
        </w:tcBorders>
        <w:shd w:val="clear" w:color="auto" w:fill="F2E2D7"/>
      </w:tcPr>
    </w:tblStylePr>
    <w:tblStylePr w:type="band1Horz">
      <w:rPr>
        <w:rFonts w:cs="等线"/>
      </w:rPr>
      <w:tcPr>
        <w:tcBorders>
          <w:top w:val="nil"/>
          <w:left w:val="nil"/>
          <w:bottom w:val="nil"/>
          <w:right w:val="nil"/>
          <w:insideH w:val="nil"/>
          <w:insideV w:val="nil"/>
          <w:tl2br w:val="nil"/>
          <w:tr2bl w:val="nil"/>
        </w:tcBorders>
        <w:shd w:val="clear" w:color="auto" w:fill="F2E2D7"/>
      </w:tcPr>
    </w:tblStylePr>
    <w:tblStylePr w:type="nwCell">
      <w:rPr>
        <w:rFonts w:cs="等线"/>
      </w:rPr>
      <w:tcPr>
        <w:shd w:val="clear" w:color="auto" w:fill="FFFFFF"/>
      </w:tcPr>
    </w:tblStylePr>
    <w:tblStylePr w:type="swCell">
      <w:rPr>
        <w:rFonts w:cs="等线"/>
      </w:rPr>
      <w:tcPr>
        <w:tcBorders>
          <w:top w:val="nil"/>
          <w:left w:val="nil"/>
          <w:bottom w:val="nil"/>
          <w:right w:val="nil"/>
          <w:insideH w:val="nil"/>
          <w:insideV w:val="nil"/>
          <w:tl2br w:val="nil"/>
          <w:tr2bl w:val="nil"/>
        </w:tcBorders>
      </w:tcPr>
    </w:tblStylePr>
  </w:style>
  <w:style w:type="table" w:customStyle="1" w:styleId="340">
    <w:name w:val="表格 3D 效果 3"/>
    <w:basedOn w:val="81"/>
    <w:unhideWhenUsed/>
    <w:qFormat/>
    <w:uiPriority w:val="99"/>
    <w:pPr>
      <w:spacing w:line="300" w:lineRule="auto"/>
    </w:pPr>
    <w:rPr>
      <w:rFonts w:ascii="Cambria" w:hAnsi="Cambria" w:eastAsia="黑体"/>
    </w:rPr>
    <w:tblStylePr w:type="firstRow">
      <w:rPr>
        <w:rFonts w:cs="Cambria"/>
        <w:b/>
        <w:bCs/>
      </w:rPr>
      <w:tcPr>
        <w:tcBorders>
          <w:top w:val="nil"/>
          <w:left w:val="nil"/>
          <w:bottom w:val="nil"/>
          <w:right w:val="nil"/>
          <w:insideH w:val="nil"/>
          <w:insideV w:val="nil"/>
          <w:tl2br w:val="nil"/>
          <w:tr2bl w:val="nil"/>
        </w:tcBorders>
      </w:tcPr>
    </w:tblStylePr>
    <w:tblStylePr w:type="firstCol">
      <w:rPr>
        <w:rFonts w:cs="Cambria"/>
      </w:rPr>
      <w:tcPr>
        <w:tcBorders>
          <w:top w:val="nil"/>
          <w:left w:val="nil"/>
          <w:bottom w:val="nil"/>
          <w:right w:val="single" w:color="808080" w:sz="6" w:space="0"/>
          <w:insideH w:val="nil"/>
          <w:insideV w:val="nil"/>
          <w:tl2br w:val="nil"/>
          <w:tr2bl w:val="nil"/>
        </w:tcBorders>
      </w:tcPr>
    </w:tblStylePr>
    <w:tblStylePr w:type="lastCol">
      <w:rPr>
        <w:rFonts w:cs="Cambria"/>
      </w:rPr>
      <w:tcPr>
        <w:tcBorders>
          <w:top w:val="nil"/>
          <w:left w:val="nil"/>
          <w:bottom w:val="nil"/>
          <w:right w:val="single" w:color="FFFFFF" w:sz="6" w:space="0"/>
          <w:insideH w:val="nil"/>
          <w:insideV w:val="nil"/>
          <w:tl2br w:val="nil"/>
          <w:tr2bl w:val="nil"/>
        </w:tcBorders>
      </w:tcPr>
    </w:tblStylePr>
    <w:tblStylePr w:type="band1Vert">
      <w:rPr>
        <w:rFonts w:cs="Cambria"/>
        <w:color w:val="auto"/>
      </w:rPr>
      <w:tcPr>
        <w:shd w:val="solid" w:color="C0C0C0" w:fill="FFFFFF"/>
      </w:tcPr>
    </w:tblStylePr>
    <w:tblStylePr w:type="band2Vert">
      <w:rPr>
        <w:rFonts w:cs="Cambria"/>
        <w:color w:val="auto"/>
      </w:rPr>
      <w:tcPr>
        <w:shd w:val="pct50" w:color="C0C0C0" w:fill="FFFFFF"/>
      </w:tcPr>
    </w:tblStylePr>
    <w:tblStylePr w:type="band1Horz">
      <w:rPr>
        <w:rFonts w:cs="Cambria"/>
      </w:rPr>
      <w:tcPr>
        <w:tcBorders>
          <w:top w:val="single" w:color="808080" w:sz="6" w:space="0"/>
          <w:left w:val="single" w:color="FFFFFF" w:sz="6" w:space="0"/>
          <w:bottom w:val="nil"/>
          <w:right w:val="nil"/>
          <w:insideH w:val="nil"/>
          <w:insideV w:val="nil"/>
          <w:tl2br w:val="nil"/>
          <w:tr2bl w:val="nil"/>
        </w:tcBorders>
      </w:tcPr>
    </w:tblStylePr>
    <w:tblStylePr w:type="swCell">
      <w:rPr>
        <w:rFonts w:cs="Cambria"/>
        <w:b/>
        <w:bCs/>
      </w:rPr>
      <w:tcPr>
        <w:tcBorders>
          <w:top w:val="nil"/>
          <w:left w:val="nil"/>
          <w:bottom w:val="nil"/>
          <w:right w:val="nil"/>
          <w:insideH w:val="nil"/>
          <w:insideV w:val="nil"/>
          <w:tl2br w:val="nil"/>
          <w:tr2bl w:val="nil"/>
        </w:tcBorders>
      </w:tcPr>
    </w:tblStylePr>
  </w:style>
  <w:style w:type="table" w:customStyle="1" w:styleId="341">
    <w:name w:val="中等深浅底纹 2 强调文字颜色 4"/>
    <w:basedOn w:val="81"/>
    <w:qFormat/>
    <w:uiPriority w:val="64"/>
    <w:rPr>
      <w:rFonts w:ascii="Cambria" w:hAnsi="Cambria" w:eastAsia="黑体"/>
    </w:rPr>
    <w:tblPr>
      <w:tblBorders>
        <w:top w:val="single" w:color="auto" w:sz="18" w:space="0"/>
        <w:bottom w:val="single" w:color="auto" w:sz="18" w:space="0"/>
      </w:tblBorders>
    </w:tblPr>
    <w:tblStylePr w:type="firstRow">
      <w:pPr>
        <w:spacing w:before="0" w:after="0"/>
      </w:pPr>
      <w:rPr>
        <w:rFonts w:cs="Cambria"/>
        <w:b/>
        <w:bCs/>
        <w:color w:val="FFFFFF"/>
      </w:rPr>
      <w:tcPr>
        <w:tcBorders>
          <w:top w:val="single" w:color="auto" w:sz="18" w:space="0"/>
          <w:left w:val="single" w:color="auto" w:sz="18" w:space="0"/>
          <w:bottom w:val="nil"/>
          <w:right w:val="nil"/>
          <w:insideH w:val="nil"/>
          <w:insideV w:val="nil"/>
          <w:tl2br w:val="nil"/>
          <w:tr2bl w:val="nil"/>
        </w:tcBorders>
        <w:shd w:val="clear" w:color="auto" w:fill="B4936D"/>
      </w:tcPr>
    </w:tblStylePr>
    <w:tblStylePr w:type="lastRow">
      <w:pPr>
        <w:spacing w:before="0" w:after="0"/>
      </w:pPr>
      <w:rPr>
        <w:rFonts w:cs="Cambria"/>
        <w:color w:val="auto"/>
      </w:rPr>
      <w:tcPr>
        <w:tcBorders>
          <w:top w:val="double" w:color="auto" w:sz="6" w:space="0"/>
          <w:left w:val="single" w:color="auto" w:sz="18" w:space="0"/>
          <w:bottom w:val="nil"/>
          <w:right w:val="nil"/>
          <w:insideH w:val="nil"/>
          <w:insideV w:val="nil"/>
          <w:tl2br w:val="nil"/>
          <w:tr2bl w:val="nil"/>
        </w:tcBorders>
        <w:shd w:val="clear" w:color="auto" w:fill="FFFFFF"/>
      </w:tcPr>
    </w:tblStylePr>
    <w:tblStylePr w:type="firstCol">
      <w:rPr>
        <w:rFonts w:cs="Cambria"/>
        <w:b/>
        <w:bCs/>
        <w:color w:val="FFFFFF"/>
      </w:rPr>
      <w:tcPr>
        <w:tcBorders>
          <w:top w:val="nil"/>
          <w:left w:val="single" w:color="auto" w:sz="18" w:space="0"/>
          <w:bottom w:val="nil"/>
          <w:right w:val="nil"/>
          <w:insideH w:val="nil"/>
          <w:insideV w:val="nil"/>
          <w:tl2br w:val="nil"/>
          <w:tr2bl w:val="nil"/>
        </w:tcBorders>
        <w:shd w:val="clear" w:color="auto" w:fill="B4936D"/>
      </w:tcPr>
    </w:tblStylePr>
    <w:tblStylePr w:type="lastCol">
      <w:rPr>
        <w:rFonts w:cs="Cambria"/>
        <w:b/>
        <w:bCs/>
        <w:color w:val="FFFFFF"/>
      </w:rPr>
      <w:tcPr>
        <w:tcBorders>
          <w:top w:val="nil"/>
          <w:left w:val="nil"/>
          <w:bottom w:val="nil"/>
          <w:right w:val="nil"/>
          <w:insideH w:val="nil"/>
          <w:insideV w:val="nil"/>
          <w:tl2br w:val="nil"/>
          <w:tr2bl w:val="nil"/>
        </w:tcBorders>
        <w:shd w:val="clear" w:color="auto" w:fill="B4936D"/>
      </w:tcPr>
    </w:tblStylePr>
    <w:tblStylePr w:type="band1Vert">
      <w:rPr>
        <w:rFonts w:cs="Cambria"/>
      </w:rPr>
      <w:tcPr>
        <w:tcBorders>
          <w:top w:val="nil"/>
          <w:left w:val="nil"/>
          <w:bottom w:val="nil"/>
          <w:right w:val="nil"/>
          <w:insideH w:val="nil"/>
          <w:insideV w:val="nil"/>
          <w:tl2br w:val="nil"/>
          <w:tr2bl w:val="nil"/>
        </w:tcBorders>
        <w:shd w:val="clear" w:color="auto" w:fill="D8D8D8"/>
      </w:tcPr>
    </w:tblStylePr>
    <w:tblStylePr w:type="band1Horz">
      <w:rPr>
        <w:rFonts w:cs="Cambria"/>
      </w:rPr>
      <w:tcPr>
        <w:shd w:val="clear" w:color="auto" w:fill="D8D8D8"/>
      </w:tcPr>
    </w:tblStylePr>
    <w:tblStylePr w:type="neCell">
      <w:rPr>
        <w:rFonts w:cs="Cambria"/>
      </w:rPr>
      <w:tcPr>
        <w:tcBorders>
          <w:top w:val="single" w:color="auto" w:sz="18" w:space="0"/>
          <w:left w:val="single" w:color="auto" w:sz="18" w:space="0"/>
          <w:bottom w:val="nil"/>
          <w:right w:val="nil"/>
          <w:insideH w:val="nil"/>
          <w:insideV w:val="nil"/>
          <w:tl2br w:val="nil"/>
          <w:tr2bl w:val="nil"/>
        </w:tcBorders>
      </w:tcPr>
    </w:tblStylePr>
    <w:tblStylePr w:type="nwCell">
      <w:rPr>
        <w:rFonts w:cs="Cambria"/>
        <w:color w:val="FFFFFF"/>
      </w:rPr>
      <w:tcPr>
        <w:tcBorders>
          <w:top w:val="single" w:color="auto" w:sz="18" w:space="0"/>
          <w:left w:val="single" w:color="auto" w:sz="18" w:space="0"/>
          <w:bottom w:val="nil"/>
          <w:right w:val="nil"/>
          <w:insideH w:val="nil"/>
          <w:insideV w:val="nil"/>
          <w:tl2br w:val="nil"/>
          <w:tr2bl w:val="nil"/>
        </w:tcBorders>
      </w:tcPr>
    </w:tblStylePr>
  </w:style>
  <w:style w:type="table" w:customStyle="1" w:styleId="342">
    <w:name w:val="中等深浅列表 1 强调文字颜色 6"/>
    <w:basedOn w:val="81"/>
    <w:qFormat/>
    <w:uiPriority w:val="65"/>
    <w:rPr>
      <w:rFonts w:ascii="Cambria" w:hAnsi="Cambria" w:eastAsia="黑体"/>
      <w:color w:val="000000"/>
    </w:rPr>
    <w:tblPr>
      <w:tblBorders>
        <w:top w:val="single" w:color="9D936F" w:sz="8" w:space="0"/>
        <w:bottom w:val="single" w:color="9D936F" w:sz="8" w:space="0"/>
      </w:tblBorders>
    </w:tblPr>
    <w:tblStylePr w:type="firstRow">
      <w:rPr>
        <w:rFonts w:eastAsia="serif" w:cs="等线"/>
      </w:rPr>
      <w:tcPr>
        <w:tcBorders>
          <w:top w:val="nil"/>
          <w:left w:val="single" w:color="9D936F" w:sz="8" w:space="0"/>
          <w:bottom w:val="nil"/>
          <w:right w:val="nil"/>
          <w:insideH w:val="nil"/>
          <w:insideV w:val="nil"/>
          <w:tl2br w:val="nil"/>
          <w:tr2bl w:val="nil"/>
        </w:tcBorders>
      </w:tcPr>
    </w:tblStylePr>
    <w:tblStylePr w:type="lastRow">
      <w:rPr>
        <w:rFonts w:cs="Cambria"/>
        <w:b/>
        <w:bCs/>
        <w:color w:val="1F2123"/>
      </w:rPr>
      <w:tcPr>
        <w:tcBorders>
          <w:top w:val="single" w:color="9D936F" w:sz="8" w:space="0"/>
          <w:left w:val="single" w:color="9D936F" w:sz="8" w:space="0"/>
          <w:bottom w:val="nil"/>
          <w:right w:val="nil"/>
          <w:insideH w:val="nil"/>
          <w:insideV w:val="nil"/>
          <w:tl2br w:val="nil"/>
          <w:tr2bl w:val="nil"/>
        </w:tcBorders>
      </w:tcPr>
    </w:tblStylePr>
    <w:tblStylePr w:type="firstCol">
      <w:rPr>
        <w:rFonts w:cs="Cambria"/>
        <w:b/>
        <w:bCs/>
      </w:rPr>
    </w:tblStylePr>
    <w:tblStylePr w:type="lastCol">
      <w:rPr>
        <w:rFonts w:cs="Cambria"/>
        <w:b/>
        <w:bCs/>
      </w:rPr>
      <w:tcPr>
        <w:tcBorders>
          <w:top w:val="single" w:color="9D936F" w:sz="8" w:space="0"/>
          <w:left w:val="single" w:color="9D936F" w:sz="8" w:space="0"/>
          <w:bottom w:val="nil"/>
          <w:right w:val="nil"/>
          <w:insideH w:val="nil"/>
          <w:insideV w:val="nil"/>
          <w:tl2br w:val="nil"/>
          <w:tr2bl w:val="nil"/>
        </w:tcBorders>
      </w:tcPr>
    </w:tblStylePr>
    <w:tblStylePr w:type="band1Vert">
      <w:rPr>
        <w:rFonts w:cs="Cambria"/>
      </w:rPr>
      <w:tcPr>
        <w:shd w:val="clear" w:color="auto" w:fill="E6E4DB"/>
      </w:tcPr>
    </w:tblStylePr>
    <w:tblStylePr w:type="band1Horz">
      <w:rPr>
        <w:rFonts w:cs="Cambria"/>
      </w:rPr>
      <w:tcPr>
        <w:shd w:val="clear" w:color="auto" w:fill="E6E4DB"/>
      </w:tcPr>
    </w:tblStylePr>
  </w:style>
  <w:style w:type="table" w:customStyle="1" w:styleId="343">
    <w:name w:val="中等深浅网格 11"/>
    <w:basedOn w:val="81"/>
    <w:qFormat/>
    <w:uiPriority w:val="67"/>
    <w:rPr>
      <w:rFonts w:ascii="Cambria" w:hAnsi="Cambria" w:eastAsia="黑体"/>
    </w:rPr>
    <w:tblPr>
      <w:tblBorders>
        <w:top w:val="single" w:color="404040" w:sz="8" w:space="0"/>
        <w:left w:val="single" w:color="404040" w:sz="8" w:space="0"/>
        <w:bottom w:val="single" w:color="404040" w:sz="8" w:space="0"/>
        <w:right w:val="single" w:color="404040" w:sz="8" w:space="0"/>
        <w:insideH w:val="single" w:color="404040" w:sz="8" w:space="0"/>
        <w:insideV w:val="single" w:color="404040" w:sz="8" w:space="0"/>
      </w:tblBorders>
    </w:tblPr>
    <w:tcPr>
      <w:shd w:val="clear" w:color="auto" w:fill="C0C0C0"/>
    </w:tcPr>
    <w:tblStylePr w:type="firstRow">
      <w:rPr>
        <w:rFonts w:cs="Cambria"/>
        <w:b/>
        <w:bCs/>
      </w:rPr>
    </w:tblStylePr>
    <w:tblStylePr w:type="lastRow">
      <w:rPr>
        <w:rFonts w:cs="Cambria"/>
        <w:b/>
        <w:bCs/>
      </w:rPr>
      <w:tcPr>
        <w:tcBorders>
          <w:top w:val="single" w:color="404040" w:sz="18" w:space="0"/>
          <w:left w:val="nil"/>
          <w:bottom w:val="nil"/>
          <w:right w:val="nil"/>
          <w:insideH w:val="nil"/>
          <w:insideV w:val="nil"/>
          <w:tl2br w:val="nil"/>
          <w:tr2bl w:val="nil"/>
        </w:tcBorders>
      </w:tcPr>
    </w:tblStylePr>
    <w:tblStylePr w:type="firstCol">
      <w:rPr>
        <w:rFonts w:cs="Cambria"/>
        <w:b/>
        <w:bCs/>
      </w:rPr>
    </w:tblStylePr>
    <w:tblStylePr w:type="lastCol">
      <w:rPr>
        <w:rFonts w:cs="Cambria"/>
        <w:b/>
        <w:bCs/>
      </w:rPr>
    </w:tblStylePr>
    <w:tblStylePr w:type="band1Vert">
      <w:rPr>
        <w:rFonts w:cs="Cambria"/>
      </w:rPr>
      <w:tcPr>
        <w:shd w:val="clear" w:color="auto" w:fill="808080"/>
      </w:tcPr>
    </w:tblStylePr>
    <w:tblStylePr w:type="band1Horz">
      <w:rPr>
        <w:rFonts w:cs="Cambria"/>
      </w:rPr>
      <w:tcPr>
        <w:shd w:val="clear" w:color="auto" w:fill="808080"/>
      </w:tcPr>
    </w:tblStylePr>
  </w:style>
  <w:style w:type="table" w:customStyle="1" w:styleId="344">
    <w:name w:val="彩色底纹强调文字颜色 3"/>
    <w:basedOn w:val="81"/>
    <w:qFormat/>
    <w:uiPriority w:val="71"/>
    <w:rPr>
      <w:rFonts w:ascii="Cambria" w:hAnsi="Cambria" w:eastAsia="黑体"/>
      <w:color w:val="000000"/>
    </w:rPr>
    <w:tblPr>
      <w:tblBorders>
        <w:top w:val="single" w:color="B4936D" w:sz="24" w:space="0"/>
        <w:left w:val="single" w:color="7A6A60" w:sz="4" w:space="0"/>
        <w:bottom w:val="single" w:color="7A6A60" w:sz="4" w:space="0"/>
        <w:right w:val="single" w:color="7A6A60" w:sz="4" w:space="0"/>
        <w:insideH w:val="single" w:color="FFFFFF" w:sz="4" w:space="0"/>
        <w:insideV w:val="single" w:color="FFFFFF" w:sz="4" w:space="0"/>
      </w:tblBorders>
    </w:tblPr>
    <w:tcPr>
      <w:shd w:val="clear" w:color="auto" w:fill="F2F0EE"/>
    </w:tcPr>
    <w:tblStylePr w:type="firstRow">
      <w:rPr>
        <w:rFonts w:cs="Cambria"/>
        <w:b/>
        <w:bCs/>
      </w:rPr>
      <w:tcPr>
        <w:tcBorders>
          <w:top w:val="nil"/>
          <w:left w:val="single" w:color="B4936D" w:sz="24" w:space="0"/>
          <w:bottom w:val="nil"/>
          <w:right w:val="nil"/>
          <w:insideH w:val="nil"/>
          <w:insideV w:val="nil"/>
          <w:tl2br w:val="nil"/>
          <w:tr2bl w:val="nil"/>
        </w:tcBorders>
        <w:shd w:val="clear" w:color="auto" w:fill="FFFFFF"/>
      </w:tcPr>
    </w:tblStylePr>
    <w:tblStylePr w:type="lastRow">
      <w:rPr>
        <w:rFonts w:cs="Cambria"/>
        <w:b/>
        <w:bCs/>
        <w:color w:val="FFFFFF"/>
      </w:rPr>
      <w:tcPr>
        <w:tcBorders>
          <w:top w:val="single" w:color="FFFFFF" w:sz="6" w:space="0"/>
          <w:left w:val="nil"/>
          <w:bottom w:val="nil"/>
          <w:right w:val="nil"/>
          <w:insideH w:val="nil"/>
          <w:insideV w:val="nil"/>
          <w:tl2br w:val="nil"/>
          <w:tr2bl w:val="nil"/>
        </w:tcBorders>
        <w:shd w:val="clear" w:color="auto" w:fill="493F39"/>
      </w:tcPr>
    </w:tblStylePr>
    <w:tblStylePr w:type="firstCol">
      <w:rPr>
        <w:rFonts w:cs="Cambria"/>
        <w:color w:val="FFFFFF"/>
      </w:rPr>
      <w:tcPr>
        <w:tcBorders>
          <w:top w:val="nil"/>
          <w:left w:val="nil"/>
          <w:bottom w:val="nil"/>
          <w:right w:val="nil"/>
          <w:insideH w:val="nil"/>
          <w:insideV w:val="nil"/>
          <w:tl2br w:val="nil"/>
          <w:tr2bl w:val="nil"/>
        </w:tcBorders>
        <w:shd w:val="clear" w:color="auto" w:fill="493F39"/>
      </w:tcPr>
    </w:tblStylePr>
    <w:tblStylePr w:type="lastCol">
      <w:rPr>
        <w:rFonts w:cs="Cambria"/>
        <w:color w:val="FFFFFF"/>
      </w:rPr>
      <w:tcPr>
        <w:tcBorders>
          <w:top w:val="nil"/>
          <w:left w:val="nil"/>
          <w:bottom w:val="nil"/>
          <w:right w:val="nil"/>
          <w:insideH w:val="nil"/>
          <w:insideV w:val="nil"/>
          <w:tl2br w:val="nil"/>
          <w:tr2bl w:val="nil"/>
        </w:tcBorders>
        <w:shd w:val="clear" w:color="auto" w:fill="493F39"/>
      </w:tcPr>
    </w:tblStylePr>
    <w:tblStylePr w:type="band1Vert">
      <w:rPr>
        <w:rFonts w:cs="Cambria"/>
      </w:rPr>
      <w:tcPr>
        <w:shd w:val="clear" w:color="auto" w:fill="CBC2BD"/>
      </w:tcPr>
    </w:tblStylePr>
    <w:tblStylePr w:type="band1Horz">
      <w:rPr>
        <w:rFonts w:cs="Cambria"/>
      </w:rPr>
      <w:tcPr>
        <w:shd w:val="clear" w:color="auto" w:fill="BEB4AD"/>
      </w:tcPr>
    </w:tblStylePr>
  </w:style>
  <w:style w:type="table" w:customStyle="1" w:styleId="345">
    <w:name w:val="彩色列表强调文字颜色 2"/>
    <w:basedOn w:val="81"/>
    <w:qFormat/>
    <w:uiPriority w:val="72"/>
    <w:rPr>
      <w:rFonts w:ascii="Cambria" w:hAnsi="Cambria" w:eastAsia="黑体"/>
      <w:color w:val="000000"/>
    </w:rPr>
    <w:tcPr>
      <w:shd w:val="clear" w:color="auto" w:fill="FAF3EF"/>
    </w:tcPr>
    <w:tblStylePr w:type="firstRow">
      <w:rPr>
        <w:rFonts w:cs="Cambria"/>
        <w:b/>
        <w:bCs/>
        <w:color w:val="FFFFFF"/>
      </w:rPr>
      <w:tcPr>
        <w:tcBorders>
          <w:top w:val="nil"/>
          <w:left w:val="single" w:color="FFFFFF" w:sz="12" w:space="0"/>
          <w:bottom w:val="nil"/>
          <w:right w:val="nil"/>
          <w:insideH w:val="nil"/>
          <w:insideV w:val="nil"/>
          <w:tl2br w:val="nil"/>
          <w:tr2bl w:val="nil"/>
        </w:tcBorders>
        <w:shd w:val="clear" w:color="auto" w:fill="B56E3A"/>
      </w:tcPr>
    </w:tblStylePr>
    <w:tblStylePr w:type="lastRow">
      <w:rPr>
        <w:rFonts w:cs="Cambria"/>
        <w:b/>
        <w:bCs/>
        <w:color w:val="B56E3A"/>
      </w:rPr>
      <w:tcPr>
        <w:tcBorders>
          <w:top w:val="single" w:color="000000" w:sz="12" w:space="0"/>
          <w:left w:val="nil"/>
          <w:bottom w:val="nil"/>
          <w:right w:val="nil"/>
          <w:insideH w:val="nil"/>
          <w:insideV w:val="nil"/>
          <w:tl2br w:val="nil"/>
          <w:tr2bl w:val="nil"/>
        </w:tcBorders>
        <w:shd w:val="clear" w:color="auto" w:fill="FFFFFF"/>
      </w:tcPr>
    </w:tblStylePr>
    <w:tblStylePr w:type="firstCol">
      <w:rPr>
        <w:rFonts w:cs="Cambria"/>
        <w:b/>
        <w:bCs/>
      </w:rPr>
    </w:tblStylePr>
    <w:tblStylePr w:type="lastCol">
      <w:rPr>
        <w:rFonts w:cs="Cambria"/>
        <w:b/>
        <w:bCs/>
      </w:rPr>
    </w:tblStylePr>
    <w:tblStylePr w:type="band1Vert">
      <w:rPr>
        <w:rFonts w:cs="Cambria"/>
      </w:rPr>
      <w:tcPr>
        <w:tcBorders>
          <w:top w:val="nil"/>
          <w:left w:val="nil"/>
          <w:bottom w:val="nil"/>
          <w:right w:val="nil"/>
          <w:insideH w:val="nil"/>
          <w:insideV w:val="nil"/>
          <w:tl2br w:val="nil"/>
          <w:tr2bl w:val="nil"/>
        </w:tcBorders>
        <w:shd w:val="clear" w:color="auto" w:fill="F2E2D7"/>
      </w:tcPr>
    </w:tblStylePr>
    <w:tblStylePr w:type="band1Horz">
      <w:rPr>
        <w:rFonts w:cs="Cambria"/>
      </w:rPr>
      <w:tcPr>
        <w:shd w:val="clear" w:color="auto" w:fill="F4E8DF"/>
      </w:tcPr>
    </w:tblStylePr>
  </w:style>
  <w:style w:type="table" w:customStyle="1" w:styleId="346">
    <w:name w:val="浅色列表强调文字颜色 5"/>
    <w:basedOn w:val="81"/>
    <w:qFormat/>
    <w:uiPriority w:val="61"/>
    <w:rPr>
      <w:rFonts w:ascii="Cambria" w:hAnsi="Cambria" w:eastAsia="黑体"/>
    </w:rPr>
    <w:tblPr>
      <w:tblBorders>
        <w:top w:val="single" w:color="67787B" w:sz="8" w:space="0"/>
        <w:left w:val="single" w:color="67787B" w:sz="8" w:space="0"/>
        <w:bottom w:val="single" w:color="67787B" w:sz="8" w:space="0"/>
        <w:right w:val="single" w:color="67787B" w:sz="8" w:space="0"/>
      </w:tblBorders>
    </w:tblPr>
    <w:tblStylePr w:type="firstRow">
      <w:pPr>
        <w:spacing w:before="0" w:after="0"/>
      </w:pPr>
      <w:rPr>
        <w:rFonts w:cs="Cambria"/>
        <w:b/>
        <w:bCs/>
        <w:color w:val="FFFFFF"/>
      </w:rPr>
      <w:tcPr>
        <w:shd w:val="clear" w:color="auto" w:fill="67787B"/>
      </w:tcPr>
    </w:tblStylePr>
    <w:tblStylePr w:type="lastRow">
      <w:pPr>
        <w:spacing w:before="0" w:after="0"/>
      </w:pPr>
      <w:rPr>
        <w:rFonts w:cs="Cambria"/>
        <w:b/>
        <w:bCs/>
      </w:rPr>
      <w:tcPr>
        <w:tcBorders>
          <w:top w:val="double" w:color="67787B" w:sz="6" w:space="0"/>
          <w:left w:val="single" w:color="67787B" w:sz="8" w:space="0"/>
          <w:bottom w:val="single" w:color="67787B" w:sz="8" w:space="0"/>
          <w:right w:val="single" w:color="67787B" w:sz="8" w:space="0"/>
          <w:insideH w:val="nil"/>
          <w:insideV w:val="nil"/>
          <w:tl2br w:val="nil"/>
          <w:tr2bl w:val="nil"/>
        </w:tcBorders>
      </w:tcPr>
    </w:tblStylePr>
    <w:tblStylePr w:type="firstCol">
      <w:rPr>
        <w:rFonts w:cs="Cambria"/>
        <w:b/>
        <w:bCs/>
      </w:rPr>
    </w:tblStylePr>
    <w:tblStylePr w:type="lastCol">
      <w:rPr>
        <w:rFonts w:cs="Cambria"/>
        <w:b/>
        <w:bCs/>
      </w:rPr>
    </w:tblStylePr>
    <w:tblStylePr w:type="band1Vert">
      <w:rPr>
        <w:rFonts w:cs="Cambria"/>
      </w:rPr>
      <w:tcPr>
        <w:tcBorders>
          <w:top w:val="single" w:color="67787B" w:sz="8" w:space="0"/>
          <w:left w:val="single" w:color="67787B" w:sz="8" w:space="0"/>
          <w:bottom w:val="single" w:color="67787B" w:sz="8" w:space="0"/>
          <w:right w:val="single" w:color="67787B" w:sz="8" w:space="0"/>
          <w:insideH w:val="nil"/>
          <w:insideV w:val="nil"/>
          <w:tl2br w:val="nil"/>
          <w:tr2bl w:val="nil"/>
        </w:tcBorders>
      </w:tcPr>
    </w:tblStylePr>
    <w:tblStylePr w:type="band1Horz">
      <w:rPr>
        <w:rFonts w:cs="Cambria"/>
      </w:rPr>
      <w:tcPr>
        <w:tcBorders>
          <w:top w:val="single" w:color="67787B" w:sz="8" w:space="0"/>
          <w:left w:val="single" w:color="67787B" w:sz="8" w:space="0"/>
          <w:bottom w:val="single" w:color="67787B" w:sz="8" w:space="0"/>
          <w:right w:val="single" w:color="67787B" w:sz="8" w:space="0"/>
          <w:insideH w:val="nil"/>
          <w:insideV w:val="nil"/>
          <w:tl2br w:val="nil"/>
          <w:tr2bl w:val="nil"/>
        </w:tcBorders>
      </w:tcPr>
    </w:tblStylePr>
  </w:style>
  <w:style w:type="table" w:customStyle="1" w:styleId="347">
    <w:name w:val="浅色列表强调文字颜色 2"/>
    <w:basedOn w:val="81"/>
    <w:qFormat/>
    <w:uiPriority w:val="61"/>
    <w:rPr>
      <w:rFonts w:ascii="Cambria" w:hAnsi="Cambria" w:eastAsia="黑体"/>
    </w:rPr>
    <w:tblPr>
      <w:tblBorders>
        <w:top w:val="single" w:color="CC8E60" w:sz="8" w:space="0"/>
        <w:left w:val="single" w:color="CC8E60" w:sz="8" w:space="0"/>
        <w:bottom w:val="single" w:color="CC8E60" w:sz="8" w:space="0"/>
        <w:right w:val="single" w:color="CC8E60" w:sz="8" w:space="0"/>
      </w:tblBorders>
    </w:tblPr>
    <w:tblStylePr w:type="firstRow">
      <w:pPr>
        <w:spacing w:before="0" w:after="0"/>
      </w:pPr>
      <w:rPr>
        <w:rFonts w:cs="Cambria"/>
        <w:b/>
        <w:bCs/>
        <w:color w:val="FFFFFF"/>
      </w:rPr>
      <w:tcPr>
        <w:shd w:val="clear" w:color="auto" w:fill="CC8E60"/>
      </w:tcPr>
    </w:tblStylePr>
    <w:tblStylePr w:type="lastRow">
      <w:pPr>
        <w:spacing w:before="0" w:after="0"/>
      </w:pPr>
      <w:rPr>
        <w:rFonts w:cs="Cambria"/>
        <w:b/>
        <w:bCs/>
      </w:rPr>
      <w:tcPr>
        <w:tcBorders>
          <w:top w:val="double" w:color="CC8E60" w:sz="6" w:space="0"/>
          <w:left w:val="single" w:color="CC8E60" w:sz="8" w:space="0"/>
          <w:bottom w:val="single" w:color="CC8E60" w:sz="8" w:space="0"/>
          <w:right w:val="single" w:color="CC8E60" w:sz="8" w:space="0"/>
          <w:insideH w:val="nil"/>
          <w:insideV w:val="nil"/>
          <w:tl2br w:val="nil"/>
          <w:tr2bl w:val="nil"/>
        </w:tcBorders>
      </w:tcPr>
    </w:tblStylePr>
    <w:tblStylePr w:type="firstCol">
      <w:rPr>
        <w:rFonts w:cs="Cambria"/>
        <w:b/>
        <w:bCs/>
      </w:rPr>
    </w:tblStylePr>
    <w:tblStylePr w:type="lastCol">
      <w:rPr>
        <w:rFonts w:cs="Cambria"/>
        <w:b/>
        <w:bCs/>
      </w:rPr>
    </w:tblStylePr>
    <w:tblStylePr w:type="band1Vert">
      <w:rPr>
        <w:rFonts w:cs="Cambria"/>
      </w:rPr>
      <w:tcPr>
        <w:tcBorders>
          <w:top w:val="single" w:color="CC8E60" w:sz="8" w:space="0"/>
          <w:left w:val="single" w:color="CC8E60" w:sz="8" w:space="0"/>
          <w:bottom w:val="single" w:color="CC8E60" w:sz="8" w:space="0"/>
          <w:right w:val="single" w:color="CC8E60" w:sz="8" w:space="0"/>
          <w:insideH w:val="nil"/>
          <w:insideV w:val="nil"/>
          <w:tl2br w:val="nil"/>
          <w:tr2bl w:val="nil"/>
        </w:tcBorders>
      </w:tcPr>
    </w:tblStylePr>
    <w:tblStylePr w:type="band1Horz">
      <w:rPr>
        <w:rFonts w:cs="Cambria"/>
      </w:rPr>
      <w:tcPr>
        <w:tcBorders>
          <w:top w:val="single" w:color="CC8E60" w:sz="8" w:space="0"/>
          <w:left w:val="single" w:color="CC8E60" w:sz="8" w:space="0"/>
          <w:bottom w:val="single" w:color="CC8E60" w:sz="8" w:space="0"/>
          <w:right w:val="single" w:color="CC8E60" w:sz="8" w:space="0"/>
          <w:insideH w:val="nil"/>
          <w:insideV w:val="nil"/>
          <w:tl2br w:val="nil"/>
          <w:tr2bl w:val="nil"/>
        </w:tcBorders>
      </w:tcPr>
    </w:tblStylePr>
  </w:style>
  <w:style w:type="table" w:customStyle="1" w:styleId="348">
    <w:name w:val="浅色底纹强调文字颜色 2"/>
    <w:basedOn w:val="81"/>
    <w:qFormat/>
    <w:uiPriority w:val="60"/>
    <w:rPr>
      <w:rFonts w:ascii="Cambria" w:hAnsi="Cambria" w:eastAsia="黑体"/>
      <w:color w:val="AA6736"/>
    </w:rPr>
    <w:tblPr>
      <w:tblBorders>
        <w:top w:val="single" w:color="CC8E60" w:sz="8" w:space="0"/>
        <w:bottom w:val="single" w:color="CC8E60" w:sz="8" w:space="0"/>
      </w:tblBorders>
    </w:tblPr>
    <w:tblStylePr w:type="firstRow">
      <w:pPr>
        <w:spacing w:before="0" w:after="0"/>
      </w:pPr>
      <w:rPr>
        <w:rFonts w:cs="Cambria"/>
        <w:b/>
        <w:bCs/>
      </w:rPr>
      <w:tcPr>
        <w:tcBorders>
          <w:top w:val="single" w:color="CC8E60" w:sz="8" w:space="0"/>
          <w:left w:val="single" w:color="CC8E60" w:sz="8" w:space="0"/>
          <w:bottom w:val="nil"/>
          <w:right w:val="nil"/>
          <w:insideH w:val="nil"/>
          <w:insideV w:val="nil"/>
          <w:tl2br w:val="nil"/>
          <w:tr2bl w:val="nil"/>
        </w:tcBorders>
      </w:tcPr>
    </w:tblStylePr>
    <w:tblStylePr w:type="lastRow">
      <w:pPr>
        <w:spacing w:before="0" w:after="0"/>
      </w:pPr>
      <w:rPr>
        <w:rFonts w:cs="Cambria"/>
        <w:b/>
        <w:bCs/>
      </w:rPr>
      <w:tcPr>
        <w:tcBorders>
          <w:top w:val="single" w:color="CC8E60" w:sz="8" w:space="0"/>
          <w:left w:val="single" w:color="CC8E60" w:sz="8" w:space="0"/>
          <w:bottom w:val="nil"/>
          <w:right w:val="nil"/>
          <w:insideH w:val="nil"/>
          <w:insideV w:val="nil"/>
          <w:tl2br w:val="nil"/>
          <w:tr2bl w:val="nil"/>
        </w:tcBorders>
      </w:tcPr>
    </w:tblStylePr>
    <w:tblStylePr w:type="firstCol">
      <w:rPr>
        <w:rFonts w:cs="Cambria"/>
        <w:b/>
        <w:bCs/>
      </w:rPr>
    </w:tblStylePr>
    <w:tblStylePr w:type="lastCol">
      <w:rPr>
        <w:rFonts w:cs="Cambria"/>
        <w:b/>
        <w:bCs/>
      </w:rPr>
    </w:tblStylePr>
    <w:tblStylePr w:type="band1Vert">
      <w:rPr>
        <w:rFonts w:cs="Cambria"/>
      </w:rPr>
      <w:tcPr>
        <w:tcBorders>
          <w:top w:val="nil"/>
          <w:left w:val="nil"/>
          <w:bottom w:val="nil"/>
          <w:right w:val="nil"/>
          <w:insideH w:val="nil"/>
          <w:insideV w:val="nil"/>
          <w:tl2br w:val="nil"/>
          <w:tr2bl w:val="nil"/>
        </w:tcBorders>
        <w:shd w:val="clear" w:color="auto" w:fill="F2E2D7"/>
      </w:tcPr>
    </w:tblStylePr>
    <w:tblStylePr w:type="band1Horz">
      <w:rPr>
        <w:rFonts w:cs="Cambria"/>
      </w:rPr>
      <w:tcPr>
        <w:tcBorders>
          <w:top w:val="nil"/>
          <w:left w:val="nil"/>
          <w:bottom w:val="nil"/>
          <w:right w:val="nil"/>
          <w:insideH w:val="nil"/>
          <w:insideV w:val="nil"/>
          <w:tl2br w:val="nil"/>
          <w:tr2bl w:val="nil"/>
        </w:tcBorders>
        <w:shd w:val="clear" w:color="auto" w:fill="F2E2D7"/>
      </w:tcPr>
    </w:tblStylePr>
  </w:style>
  <w:style w:type="table" w:customStyle="1" w:styleId="349">
    <w:name w:val="中等深浅列表 2 强调文字颜色 5"/>
    <w:basedOn w:val="81"/>
    <w:qFormat/>
    <w:uiPriority w:val="66"/>
    <w:rPr>
      <w:rFonts w:ascii="Calibri" w:hAnsi="Calibri" w:cs="Arial"/>
      <w:color w:val="000000"/>
    </w:rPr>
    <w:tblPr>
      <w:tblBorders>
        <w:top w:val="single" w:color="67787B" w:sz="8" w:space="0"/>
        <w:left w:val="single" w:color="67787B" w:sz="8" w:space="0"/>
        <w:bottom w:val="single" w:color="67787B" w:sz="8" w:space="0"/>
        <w:right w:val="single" w:color="67787B" w:sz="8" w:space="0"/>
      </w:tblBorders>
    </w:tblPr>
    <w:tblStylePr w:type="firstRow">
      <w:rPr>
        <w:rFonts w:cs="等线"/>
        <w:sz w:val="24"/>
        <w:szCs w:val="24"/>
      </w:rPr>
      <w:tcPr>
        <w:tcBorders>
          <w:top w:val="nil"/>
          <w:left w:val="single" w:color="67787B" w:sz="24" w:space="0"/>
          <w:bottom w:val="nil"/>
          <w:right w:val="nil"/>
          <w:insideH w:val="nil"/>
          <w:insideV w:val="nil"/>
          <w:tl2br w:val="nil"/>
          <w:tr2bl w:val="nil"/>
        </w:tcBorders>
        <w:shd w:val="clear" w:color="auto" w:fill="FFFFFF"/>
      </w:tcPr>
    </w:tblStylePr>
    <w:tblStylePr w:type="lastRow">
      <w:rPr>
        <w:rFonts w:cs="等线"/>
      </w:rPr>
      <w:tcPr>
        <w:tcBorders>
          <w:top w:val="single" w:color="67787B" w:sz="8" w:space="0"/>
          <w:left w:val="nil"/>
          <w:bottom w:val="nil"/>
          <w:right w:val="nil"/>
          <w:insideH w:val="nil"/>
          <w:insideV w:val="nil"/>
          <w:tl2br w:val="nil"/>
          <w:tr2bl w:val="nil"/>
        </w:tcBorders>
        <w:shd w:val="clear" w:color="auto" w:fill="FFFFFF"/>
      </w:tcPr>
    </w:tblStylePr>
    <w:tblStylePr w:type="firstCol">
      <w:rPr>
        <w:rFonts w:cs="等线"/>
      </w:rPr>
      <w:tcPr>
        <w:tcBorders>
          <w:top w:val="nil"/>
          <w:left w:val="nil"/>
          <w:bottom w:val="nil"/>
          <w:right w:val="single" w:color="67787B" w:sz="8" w:space="0"/>
          <w:insideH w:val="nil"/>
          <w:insideV w:val="nil"/>
          <w:tl2br w:val="nil"/>
          <w:tr2bl w:val="nil"/>
        </w:tcBorders>
        <w:shd w:val="clear" w:color="auto" w:fill="FFFFFF"/>
      </w:tcPr>
    </w:tblStylePr>
    <w:tblStylePr w:type="lastCol">
      <w:rPr>
        <w:rFonts w:cs="等线"/>
      </w:rPr>
      <w:tcPr>
        <w:tcBorders>
          <w:top w:val="nil"/>
          <w:left w:val="nil"/>
          <w:bottom w:val="single" w:color="67787B" w:sz="8" w:space="0"/>
          <w:right w:val="nil"/>
          <w:insideH w:val="nil"/>
          <w:insideV w:val="nil"/>
          <w:tl2br w:val="nil"/>
          <w:tr2bl w:val="nil"/>
        </w:tcBorders>
        <w:shd w:val="clear" w:color="auto" w:fill="FFFFFF"/>
      </w:tcPr>
    </w:tblStylePr>
    <w:tblStylePr w:type="band1Vert">
      <w:rPr>
        <w:rFonts w:cs="等线"/>
      </w:rPr>
      <w:tcPr>
        <w:tcBorders>
          <w:top w:val="nil"/>
          <w:left w:val="nil"/>
          <w:bottom w:val="nil"/>
          <w:right w:val="nil"/>
          <w:insideH w:val="nil"/>
          <w:insideV w:val="nil"/>
          <w:tl2br w:val="nil"/>
          <w:tr2bl w:val="nil"/>
        </w:tcBorders>
        <w:shd w:val="clear" w:color="auto" w:fill="D8DEDF"/>
      </w:tcPr>
    </w:tblStylePr>
    <w:tblStylePr w:type="band1Horz">
      <w:rPr>
        <w:rFonts w:cs="等线"/>
      </w:rPr>
      <w:tcPr>
        <w:tcBorders>
          <w:top w:val="nil"/>
          <w:left w:val="nil"/>
          <w:bottom w:val="nil"/>
          <w:right w:val="nil"/>
          <w:insideH w:val="nil"/>
          <w:insideV w:val="nil"/>
          <w:tl2br w:val="nil"/>
          <w:tr2bl w:val="nil"/>
        </w:tcBorders>
        <w:shd w:val="clear" w:color="auto" w:fill="D8DEDF"/>
      </w:tcPr>
    </w:tblStylePr>
    <w:tblStylePr w:type="nwCell">
      <w:rPr>
        <w:rFonts w:cs="等线"/>
      </w:rPr>
      <w:tcPr>
        <w:shd w:val="clear" w:color="auto" w:fill="FFFFFF"/>
      </w:tcPr>
    </w:tblStylePr>
    <w:tblStylePr w:type="swCell">
      <w:rPr>
        <w:rFonts w:cs="等线"/>
      </w:rPr>
      <w:tcPr>
        <w:tcBorders>
          <w:top w:val="nil"/>
          <w:left w:val="nil"/>
          <w:bottom w:val="nil"/>
          <w:right w:val="nil"/>
          <w:insideH w:val="nil"/>
          <w:insideV w:val="nil"/>
          <w:tl2br w:val="nil"/>
          <w:tr2bl w:val="nil"/>
        </w:tcBorders>
      </w:tcPr>
    </w:tblStylePr>
  </w:style>
  <w:style w:type="table" w:customStyle="1" w:styleId="350">
    <w:name w:val="中等深浅网格 1 强调文字颜色 1"/>
    <w:basedOn w:val="81"/>
    <w:qFormat/>
    <w:uiPriority w:val="67"/>
    <w:rPr>
      <w:rFonts w:ascii="Cambria" w:hAnsi="Cambria" w:eastAsia="黑体"/>
    </w:rPr>
    <w:tblPr>
      <w:tblBorders>
        <w:top w:val="single" w:color="9EB0C1" w:sz="8" w:space="0"/>
        <w:left w:val="single" w:color="9EB0C1" w:sz="8" w:space="0"/>
        <w:bottom w:val="single" w:color="9EB0C1" w:sz="8" w:space="0"/>
        <w:right w:val="single" w:color="9EB0C1" w:sz="8" w:space="0"/>
        <w:insideH w:val="single" w:color="9EB0C1" w:sz="8" w:space="0"/>
        <w:insideV w:val="single" w:color="9EB0C1" w:sz="8" w:space="0"/>
      </w:tblBorders>
    </w:tblPr>
    <w:tcPr>
      <w:shd w:val="clear" w:color="auto" w:fill="DFE5EA"/>
    </w:tcPr>
    <w:tblStylePr w:type="firstRow">
      <w:rPr>
        <w:rFonts w:cs="Cambria"/>
        <w:b/>
        <w:bCs/>
      </w:rPr>
    </w:tblStylePr>
    <w:tblStylePr w:type="lastRow">
      <w:rPr>
        <w:rFonts w:cs="Cambria"/>
        <w:b/>
        <w:bCs/>
      </w:rPr>
      <w:tcPr>
        <w:tcBorders>
          <w:top w:val="single" w:color="9EB0C1" w:sz="18" w:space="0"/>
          <w:left w:val="nil"/>
          <w:bottom w:val="nil"/>
          <w:right w:val="nil"/>
          <w:insideH w:val="nil"/>
          <w:insideV w:val="nil"/>
          <w:tl2br w:val="nil"/>
          <w:tr2bl w:val="nil"/>
        </w:tcBorders>
      </w:tcPr>
    </w:tblStylePr>
    <w:tblStylePr w:type="firstCol">
      <w:rPr>
        <w:rFonts w:cs="Cambria"/>
        <w:b/>
        <w:bCs/>
      </w:rPr>
    </w:tblStylePr>
    <w:tblStylePr w:type="lastCol">
      <w:rPr>
        <w:rFonts w:cs="Cambria"/>
        <w:b/>
        <w:bCs/>
      </w:rPr>
    </w:tblStylePr>
    <w:tblStylePr w:type="band1Vert">
      <w:rPr>
        <w:rFonts w:cs="Cambria"/>
      </w:rPr>
      <w:tcPr>
        <w:shd w:val="clear" w:color="auto" w:fill="BECBD6"/>
      </w:tcPr>
    </w:tblStylePr>
    <w:tblStylePr w:type="band1Horz">
      <w:rPr>
        <w:rFonts w:cs="Cambria"/>
      </w:rPr>
      <w:tcPr>
        <w:shd w:val="clear" w:color="auto" w:fill="BECBD6"/>
      </w:tcPr>
    </w:tblStylePr>
  </w:style>
  <w:style w:type="table" w:customStyle="1" w:styleId="351">
    <w:name w:val="中等深浅网格 2 强调文字颜色 4"/>
    <w:basedOn w:val="81"/>
    <w:qFormat/>
    <w:uiPriority w:val="68"/>
    <w:rPr>
      <w:rFonts w:ascii="Calibri" w:hAnsi="Calibri" w:cs="Arial"/>
      <w:color w:val="000000"/>
    </w:rPr>
    <w:tblPr>
      <w:tblBorders>
        <w:top w:val="single" w:color="B4936D" w:sz="8" w:space="0"/>
        <w:left w:val="single" w:color="B4936D" w:sz="8" w:space="0"/>
        <w:bottom w:val="single" w:color="B4936D" w:sz="8" w:space="0"/>
        <w:right w:val="single" w:color="B4936D" w:sz="8" w:space="0"/>
        <w:insideH w:val="single" w:color="B4936D" w:sz="8" w:space="0"/>
        <w:insideV w:val="single" w:color="B4936D" w:sz="8" w:space="0"/>
      </w:tblBorders>
    </w:tblPr>
    <w:tcPr>
      <w:shd w:val="clear" w:color="auto" w:fill="ECE4DA"/>
    </w:tcPr>
    <w:tblStylePr w:type="firstRow">
      <w:rPr>
        <w:rFonts w:cs="等线"/>
        <w:b/>
        <w:bCs/>
        <w:color w:val="000000"/>
      </w:rPr>
      <w:tcPr>
        <w:shd w:val="clear" w:color="auto" w:fill="F7F4F0"/>
      </w:tcPr>
    </w:tblStylePr>
    <w:tblStylePr w:type="lastRow">
      <w:rPr>
        <w:rFonts w:cs="等线"/>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rFonts w:cs="等线"/>
        <w:b/>
        <w:bCs/>
        <w:color w:val="000000"/>
      </w:rPr>
      <w:tcPr>
        <w:tcBorders>
          <w:top w:val="nil"/>
          <w:left w:val="nil"/>
          <w:bottom w:val="nil"/>
          <w:right w:val="nil"/>
          <w:insideH w:val="nil"/>
          <w:insideV w:val="nil"/>
          <w:tl2br w:val="nil"/>
          <w:tr2bl w:val="nil"/>
        </w:tcBorders>
        <w:shd w:val="clear" w:color="auto" w:fill="FFFFFF"/>
      </w:tcPr>
    </w:tblStylePr>
    <w:tblStylePr w:type="lastCol">
      <w:rPr>
        <w:rFonts w:cs="等线"/>
        <w:b w:val="0"/>
        <w:bCs w:val="0"/>
        <w:color w:val="000000"/>
      </w:rPr>
      <w:tcPr>
        <w:tcBorders>
          <w:top w:val="nil"/>
          <w:left w:val="nil"/>
          <w:bottom w:val="nil"/>
          <w:right w:val="nil"/>
          <w:insideH w:val="nil"/>
          <w:insideV w:val="nil"/>
          <w:tl2br w:val="nil"/>
          <w:tr2bl w:val="nil"/>
        </w:tcBorders>
        <w:shd w:val="clear" w:color="auto" w:fill="F0E9E1"/>
      </w:tcPr>
    </w:tblStylePr>
    <w:tblStylePr w:type="band1Vert">
      <w:rPr>
        <w:rFonts w:cs="等线"/>
      </w:rPr>
      <w:tcPr>
        <w:shd w:val="clear" w:color="auto" w:fill="D9C9B6"/>
      </w:tcPr>
    </w:tblStylePr>
    <w:tblStylePr w:type="band1Horz">
      <w:rPr>
        <w:rFonts w:cs="等线"/>
      </w:rPr>
      <w:tcPr>
        <w:shd w:val="clear" w:color="auto" w:fill="D9C9B6"/>
      </w:tcPr>
    </w:tblStylePr>
    <w:tblStylePr w:type="nwCell">
      <w:rPr>
        <w:rFonts w:cs="等线"/>
      </w:rPr>
      <w:tcPr>
        <w:shd w:val="clear" w:color="auto" w:fill="FFFFFF"/>
      </w:tcPr>
    </w:tblStylePr>
  </w:style>
  <w:style w:type="table" w:customStyle="1" w:styleId="352">
    <w:name w:val="浅色底纹1"/>
    <w:basedOn w:val="81"/>
    <w:qFormat/>
    <w:uiPriority w:val="60"/>
    <w:rPr>
      <w:rFonts w:ascii="Cambria" w:hAnsi="Cambria" w:eastAsia="黑体"/>
      <w:color w:val="000000"/>
    </w:rPr>
    <w:tblPr>
      <w:tblBorders>
        <w:top w:val="single" w:color="000000" w:sz="8" w:space="0"/>
        <w:bottom w:val="single" w:color="000000" w:sz="8" w:space="0"/>
      </w:tblBorders>
    </w:tblPr>
    <w:tblStylePr w:type="firstRow">
      <w:pPr>
        <w:spacing w:before="0" w:after="0"/>
      </w:pPr>
      <w:rPr>
        <w:rFonts w:cs="Cambria"/>
        <w:b/>
        <w:bCs/>
      </w:rPr>
      <w:tcPr>
        <w:tcBorders>
          <w:top w:val="single" w:color="000000" w:sz="8" w:space="0"/>
          <w:left w:val="single" w:color="000000" w:sz="8" w:space="0"/>
          <w:bottom w:val="nil"/>
          <w:right w:val="nil"/>
          <w:insideH w:val="nil"/>
          <w:insideV w:val="nil"/>
          <w:tl2br w:val="nil"/>
          <w:tr2bl w:val="nil"/>
        </w:tcBorders>
      </w:tcPr>
    </w:tblStylePr>
    <w:tblStylePr w:type="lastRow">
      <w:pPr>
        <w:spacing w:before="0" w:after="0"/>
      </w:pPr>
      <w:rPr>
        <w:rFonts w:cs="Cambria"/>
        <w:b/>
        <w:bCs/>
      </w:rPr>
      <w:tcPr>
        <w:tcBorders>
          <w:top w:val="single" w:color="000000" w:sz="8" w:space="0"/>
          <w:left w:val="single" w:color="000000" w:sz="8" w:space="0"/>
          <w:bottom w:val="nil"/>
          <w:right w:val="nil"/>
          <w:insideH w:val="nil"/>
          <w:insideV w:val="nil"/>
          <w:tl2br w:val="nil"/>
          <w:tr2bl w:val="nil"/>
        </w:tcBorders>
      </w:tcPr>
    </w:tblStylePr>
    <w:tblStylePr w:type="firstCol">
      <w:rPr>
        <w:rFonts w:cs="Cambria"/>
        <w:b/>
        <w:bCs/>
      </w:rPr>
    </w:tblStylePr>
    <w:tblStylePr w:type="lastCol">
      <w:rPr>
        <w:rFonts w:cs="Cambria"/>
        <w:b/>
        <w:bCs/>
      </w:rPr>
    </w:tblStylePr>
    <w:tblStylePr w:type="band1Vert">
      <w:rPr>
        <w:rFonts w:cs="Cambria"/>
      </w:rPr>
      <w:tcPr>
        <w:tcBorders>
          <w:top w:val="nil"/>
          <w:left w:val="nil"/>
          <w:bottom w:val="nil"/>
          <w:right w:val="nil"/>
          <w:insideH w:val="nil"/>
          <w:insideV w:val="nil"/>
          <w:tl2br w:val="nil"/>
          <w:tr2bl w:val="nil"/>
        </w:tcBorders>
        <w:shd w:val="clear" w:color="auto" w:fill="C0C0C0"/>
      </w:tcPr>
    </w:tblStylePr>
    <w:tblStylePr w:type="band1Horz">
      <w:rPr>
        <w:rFonts w:cs="Cambria"/>
      </w:rPr>
      <w:tcPr>
        <w:tcBorders>
          <w:top w:val="nil"/>
          <w:left w:val="nil"/>
          <w:bottom w:val="nil"/>
          <w:right w:val="nil"/>
          <w:insideH w:val="nil"/>
          <w:insideV w:val="nil"/>
          <w:tl2br w:val="nil"/>
          <w:tr2bl w:val="nil"/>
        </w:tcBorders>
        <w:shd w:val="clear" w:color="auto" w:fill="C0C0C0"/>
      </w:tcPr>
    </w:tblStylePr>
  </w:style>
  <w:style w:type="table" w:customStyle="1" w:styleId="353">
    <w:name w:val="表格 3D 效果 2"/>
    <w:basedOn w:val="81"/>
    <w:unhideWhenUsed/>
    <w:qFormat/>
    <w:uiPriority w:val="99"/>
    <w:pPr>
      <w:spacing w:line="300" w:lineRule="auto"/>
    </w:pPr>
    <w:rPr>
      <w:rFonts w:ascii="Cambria" w:hAnsi="Cambria" w:eastAsia="黑体"/>
    </w:rPr>
    <w:tcPr>
      <w:shd w:val="solid" w:color="C0C0C0" w:fill="FFFFFF"/>
    </w:tcPr>
    <w:tblStylePr w:type="firstRow">
      <w:rPr>
        <w:rFonts w:cs="Cambria"/>
        <w:b/>
        <w:bCs/>
      </w:rPr>
      <w:tcPr>
        <w:tcBorders>
          <w:top w:val="nil"/>
          <w:left w:val="nil"/>
          <w:bottom w:val="nil"/>
          <w:right w:val="nil"/>
          <w:insideH w:val="nil"/>
          <w:insideV w:val="nil"/>
          <w:tl2br w:val="nil"/>
          <w:tr2bl w:val="nil"/>
        </w:tcBorders>
      </w:tcPr>
    </w:tblStylePr>
    <w:tblStylePr w:type="firstCol">
      <w:rPr>
        <w:rFonts w:cs="Cambria"/>
      </w:rPr>
      <w:tcPr>
        <w:tcBorders>
          <w:top w:val="nil"/>
          <w:left w:val="nil"/>
          <w:bottom w:val="nil"/>
          <w:right w:val="single" w:color="808080" w:sz="6" w:space="0"/>
          <w:insideH w:val="nil"/>
          <w:insideV w:val="nil"/>
          <w:tl2br w:val="nil"/>
          <w:tr2bl w:val="nil"/>
        </w:tcBorders>
      </w:tcPr>
    </w:tblStylePr>
    <w:tblStylePr w:type="lastCol">
      <w:rPr>
        <w:rFonts w:cs="Cambria"/>
      </w:rPr>
      <w:tcPr>
        <w:tcBorders>
          <w:top w:val="nil"/>
          <w:left w:val="nil"/>
          <w:bottom w:val="nil"/>
          <w:right w:val="single" w:color="FFFFFF" w:sz="6" w:space="0"/>
          <w:insideH w:val="nil"/>
          <w:insideV w:val="nil"/>
          <w:tl2br w:val="nil"/>
          <w:tr2bl w:val="nil"/>
        </w:tcBorders>
      </w:tcPr>
    </w:tblStylePr>
    <w:tblStylePr w:type="band1Horz">
      <w:rPr>
        <w:rFonts w:cs="Cambria"/>
      </w:rPr>
      <w:tcPr>
        <w:tcBorders>
          <w:top w:val="single" w:color="808080" w:sz="6" w:space="0"/>
          <w:left w:val="single" w:color="FFFFFF" w:sz="6" w:space="0"/>
          <w:bottom w:val="nil"/>
          <w:right w:val="nil"/>
          <w:insideH w:val="nil"/>
          <w:insideV w:val="nil"/>
          <w:tl2br w:val="nil"/>
          <w:tr2bl w:val="nil"/>
        </w:tcBorders>
      </w:tcPr>
    </w:tblStylePr>
    <w:tblStylePr w:type="swCell">
      <w:rPr>
        <w:rFonts w:cs="Cambria"/>
        <w:b/>
        <w:bCs/>
      </w:rPr>
      <w:tcPr>
        <w:tcBorders>
          <w:top w:val="nil"/>
          <w:left w:val="nil"/>
          <w:bottom w:val="nil"/>
          <w:right w:val="nil"/>
          <w:insideH w:val="nil"/>
          <w:insideV w:val="nil"/>
          <w:tl2br w:val="nil"/>
          <w:tr2bl w:val="nil"/>
        </w:tcBorders>
      </w:tcPr>
    </w:tblStylePr>
  </w:style>
  <w:style w:type="table" w:customStyle="1" w:styleId="354">
    <w:name w:val="浅色底纹强调文字颜色 6"/>
    <w:basedOn w:val="81"/>
    <w:qFormat/>
    <w:uiPriority w:val="60"/>
    <w:rPr>
      <w:rFonts w:ascii="Cambria" w:hAnsi="Cambria" w:eastAsia="黑体"/>
      <w:color w:val="776E51"/>
    </w:rPr>
    <w:tblPr>
      <w:tblBorders>
        <w:top w:val="single" w:color="9D936F" w:sz="8" w:space="0"/>
        <w:bottom w:val="single" w:color="9D936F" w:sz="8" w:space="0"/>
      </w:tblBorders>
    </w:tblPr>
    <w:tblStylePr w:type="firstRow">
      <w:pPr>
        <w:spacing w:before="0" w:after="0"/>
      </w:pPr>
      <w:rPr>
        <w:rFonts w:cs="Cambria"/>
        <w:b/>
        <w:bCs/>
      </w:rPr>
      <w:tcPr>
        <w:tcBorders>
          <w:top w:val="single" w:color="9D936F" w:sz="8" w:space="0"/>
          <w:left w:val="single" w:color="9D936F" w:sz="8" w:space="0"/>
          <w:bottom w:val="nil"/>
          <w:right w:val="nil"/>
          <w:insideH w:val="nil"/>
          <w:insideV w:val="nil"/>
          <w:tl2br w:val="nil"/>
          <w:tr2bl w:val="nil"/>
        </w:tcBorders>
      </w:tcPr>
    </w:tblStylePr>
    <w:tblStylePr w:type="lastRow">
      <w:pPr>
        <w:spacing w:before="0" w:after="0"/>
      </w:pPr>
      <w:rPr>
        <w:rFonts w:cs="Cambria"/>
        <w:b/>
        <w:bCs/>
      </w:rPr>
      <w:tcPr>
        <w:tcBorders>
          <w:top w:val="single" w:color="9D936F" w:sz="8" w:space="0"/>
          <w:left w:val="single" w:color="9D936F" w:sz="8" w:space="0"/>
          <w:bottom w:val="nil"/>
          <w:right w:val="nil"/>
          <w:insideH w:val="nil"/>
          <w:insideV w:val="nil"/>
          <w:tl2br w:val="nil"/>
          <w:tr2bl w:val="nil"/>
        </w:tcBorders>
      </w:tcPr>
    </w:tblStylePr>
    <w:tblStylePr w:type="firstCol">
      <w:rPr>
        <w:rFonts w:cs="Cambria"/>
        <w:b/>
        <w:bCs/>
      </w:rPr>
    </w:tblStylePr>
    <w:tblStylePr w:type="lastCol">
      <w:rPr>
        <w:rFonts w:cs="Cambria"/>
        <w:b/>
        <w:bCs/>
      </w:rPr>
    </w:tblStylePr>
    <w:tblStylePr w:type="band1Vert">
      <w:rPr>
        <w:rFonts w:cs="Cambria"/>
      </w:rPr>
      <w:tcPr>
        <w:tcBorders>
          <w:top w:val="nil"/>
          <w:left w:val="nil"/>
          <w:bottom w:val="nil"/>
          <w:right w:val="nil"/>
          <w:insideH w:val="nil"/>
          <w:insideV w:val="nil"/>
          <w:tl2br w:val="nil"/>
          <w:tr2bl w:val="nil"/>
        </w:tcBorders>
        <w:shd w:val="clear" w:color="auto" w:fill="E6E4DB"/>
      </w:tcPr>
    </w:tblStylePr>
    <w:tblStylePr w:type="band1Horz">
      <w:rPr>
        <w:rFonts w:cs="Cambria"/>
      </w:rPr>
      <w:tcPr>
        <w:tcBorders>
          <w:top w:val="nil"/>
          <w:left w:val="nil"/>
          <w:bottom w:val="nil"/>
          <w:right w:val="nil"/>
          <w:insideH w:val="nil"/>
          <w:insideV w:val="nil"/>
          <w:tl2br w:val="nil"/>
          <w:tr2bl w:val="nil"/>
        </w:tcBorders>
        <w:shd w:val="clear" w:color="auto" w:fill="E6E4DB"/>
      </w:tcPr>
    </w:tblStylePr>
  </w:style>
  <w:style w:type="table" w:customStyle="1" w:styleId="355">
    <w:name w:val="彩色列表强调文字颜色 4"/>
    <w:basedOn w:val="81"/>
    <w:qFormat/>
    <w:uiPriority w:val="72"/>
    <w:rPr>
      <w:rFonts w:ascii="Cambria" w:hAnsi="Cambria" w:eastAsia="黑体"/>
      <w:color w:val="000000"/>
    </w:rPr>
    <w:tcPr>
      <w:shd w:val="clear" w:color="auto" w:fill="F7F4F0"/>
    </w:tcPr>
    <w:tblStylePr w:type="firstRow">
      <w:rPr>
        <w:rFonts w:cs="Cambria"/>
        <w:b/>
        <w:bCs/>
        <w:color w:val="FFFFFF"/>
      </w:rPr>
      <w:tcPr>
        <w:tcBorders>
          <w:top w:val="nil"/>
          <w:left w:val="single" w:color="FFFFFF" w:sz="12" w:space="0"/>
          <w:bottom w:val="nil"/>
          <w:right w:val="nil"/>
          <w:insideH w:val="nil"/>
          <w:insideV w:val="nil"/>
          <w:tl2br w:val="nil"/>
          <w:tr2bl w:val="nil"/>
        </w:tcBorders>
        <w:shd w:val="clear" w:color="auto" w:fill="61544C"/>
      </w:tcPr>
    </w:tblStylePr>
    <w:tblStylePr w:type="lastRow">
      <w:rPr>
        <w:rFonts w:cs="Cambria"/>
        <w:b/>
        <w:bCs/>
        <w:color w:val="61544C"/>
      </w:rPr>
      <w:tcPr>
        <w:tcBorders>
          <w:top w:val="single" w:color="000000" w:sz="12" w:space="0"/>
          <w:left w:val="nil"/>
          <w:bottom w:val="nil"/>
          <w:right w:val="nil"/>
          <w:insideH w:val="nil"/>
          <w:insideV w:val="nil"/>
          <w:tl2br w:val="nil"/>
          <w:tr2bl w:val="nil"/>
        </w:tcBorders>
        <w:shd w:val="clear" w:color="auto" w:fill="FFFFFF"/>
      </w:tcPr>
    </w:tblStylePr>
    <w:tblStylePr w:type="firstCol">
      <w:rPr>
        <w:rFonts w:cs="Cambria"/>
        <w:b/>
        <w:bCs/>
      </w:rPr>
    </w:tblStylePr>
    <w:tblStylePr w:type="lastCol">
      <w:rPr>
        <w:rFonts w:cs="Cambria"/>
        <w:b/>
        <w:bCs/>
      </w:rPr>
    </w:tblStylePr>
    <w:tblStylePr w:type="band1Vert">
      <w:rPr>
        <w:rFonts w:cs="Cambria"/>
      </w:rPr>
      <w:tcPr>
        <w:tcBorders>
          <w:top w:val="nil"/>
          <w:left w:val="nil"/>
          <w:bottom w:val="nil"/>
          <w:right w:val="nil"/>
          <w:insideH w:val="nil"/>
          <w:insideV w:val="nil"/>
          <w:tl2br w:val="nil"/>
          <w:tr2bl w:val="nil"/>
        </w:tcBorders>
        <w:shd w:val="clear" w:color="auto" w:fill="ECE4DA"/>
      </w:tcPr>
    </w:tblStylePr>
    <w:tblStylePr w:type="band1Horz">
      <w:rPr>
        <w:rFonts w:cs="Cambria"/>
      </w:rPr>
      <w:tcPr>
        <w:shd w:val="clear" w:color="auto" w:fill="F0E9E1"/>
      </w:tcPr>
    </w:tblStylePr>
  </w:style>
  <w:style w:type="table" w:customStyle="1" w:styleId="356">
    <w:name w:val="中等深浅底纹 1 强调文字颜色 3"/>
    <w:basedOn w:val="81"/>
    <w:qFormat/>
    <w:uiPriority w:val="63"/>
    <w:rPr>
      <w:rFonts w:ascii="Cambria" w:hAnsi="Cambria" w:eastAsia="黑体"/>
    </w:rPr>
    <w:tblPr>
      <w:tblBorders>
        <w:top w:val="single" w:color="9E8E84" w:sz="8" w:space="0"/>
        <w:left w:val="single" w:color="9E8E84" w:sz="8" w:space="0"/>
        <w:bottom w:val="single" w:color="9E8E84" w:sz="8" w:space="0"/>
        <w:right w:val="single" w:color="9E8E84" w:sz="8" w:space="0"/>
        <w:insideH w:val="single" w:color="9E8E84" w:sz="8" w:space="0"/>
      </w:tblBorders>
    </w:tblPr>
    <w:tblStylePr w:type="firstRow">
      <w:pPr>
        <w:spacing w:before="0" w:after="0"/>
      </w:pPr>
      <w:rPr>
        <w:rFonts w:cs="Cambria"/>
        <w:b/>
        <w:bCs/>
        <w:color w:val="FFFFFF"/>
      </w:rPr>
      <w:tcPr>
        <w:tcBorders>
          <w:top w:val="single" w:color="9E8E84" w:sz="8" w:space="0"/>
          <w:left w:val="single" w:color="9E8E84" w:sz="8" w:space="0"/>
          <w:bottom w:val="single" w:color="9E8E84" w:sz="8" w:space="0"/>
          <w:right w:val="single" w:color="9E8E84" w:sz="8" w:space="0"/>
          <w:insideH w:val="nil"/>
          <w:insideV w:val="nil"/>
          <w:tl2br w:val="nil"/>
          <w:tr2bl w:val="nil"/>
        </w:tcBorders>
        <w:shd w:val="clear" w:color="auto" w:fill="7A6A60"/>
      </w:tcPr>
    </w:tblStylePr>
    <w:tblStylePr w:type="lastRow">
      <w:pPr>
        <w:spacing w:before="0" w:after="0"/>
      </w:pPr>
      <w:rPr>
        <w:rFonts w:cs="Cambria"/>
        <w:b/>
        <w:bCs/>
      </w:rPr>
      <w:tcPr>
        <w:tcBorders>
          <w:top w:val="double" w:color="9E8E84" w:sz="6" w:space="0"/>
          <w:left w:val="single" w:color="9E8E84" w:sz="8" w:space="0"/>
          <w:bottom w:val="single" w:color="9E8E84" w:sz="8" w:space="0"/>
          <w:right w:val="single" w:color="9E8E84" w:sz="8" w:space="0"/>
          <w:insideH w:val="nil"/>
          <w:insideV w:val="nil"/>
          <w:tl2br w:val="nil"/>
          <w:tr2bl w:val="nil"/>
        </w:tcBorders>
      </w:tcPr>
    </w:tblStylePr>
    <w:tblStylePr w:type="firstCol">
      <w:rPr>
        <w:rFonts w:cs="Cambria"/>
        <w:b/>
        <w:bCs/>
      </w:rPr>
    </w:tblStylePr>
    <w:tblStylePr w:type="lastCol">
      <w:rPr>
        <w:rFonts w:cs="Cambria"/>
        <w:b/>
        <w:bCs/>
      </w:rPr>
    </w:tblStylePr>
    <w:tblStylePr w:type="band1Vert">
      <w:rPr>
        <w:rFonts w:cs="Cambria"/>
      </w:rPr>
      <w:tcPr>
        <w:shd w:val="clear" w:color="auto" w:fill="DFD9D6"/>
      </w:tcPr>
    </w:tblStylePr>
    <w:tblStylePr w:type="band1Horz">
      <w:rPr>
        <w:rFonts w:cs="Cambria"/>
      </w:rPr>
      <w:tcPr>
        <w:shd w:val="clear" w:color="auto" w:fill="DFD9D6"/>
      </w:tcPr>
    </w:tblStylePr>
    <w:tblStylePr w:type="band2Horz">
      <w:rPr>
        <w:rFonts w:cs="Cambria"/>
      </w:rPr>
    </w:tblStylePr>
  </w:style>
  <w:style w:type="table" w:customStyle="1" w:styleId="357">
    <w:name w:val="表列 1"/>
    <w:basedOn w:val="81"/>
    <w:unhideWhenUsed/>
    <w:qFormat/>
    <w:uiPriority w:val="99"/>
    <w:pPr>
      <w:spacing w:line="300" w:lineRule="auto"/>
    </w:pPr>
    <w:rPr>
      <w:rFonts w:ascii="Cambria" w:hAnsi="Cambria" w:eastAsia="黑体"/>
      <w:b/>
      <w:bCs/>
    </w:rPr>
    <w:tblPr>
      <w:tblBorders>
        <w:top w:val="single" w:color="000000" w:sz="12" w:space="0"/>
        <w:left w:val="single" w:color="000000" w:sz="12" w:space="0"/>
        <w:bottom w:val="single" w:color="000000" w:sz="12" w:space="0"/>
        <w:right w:val="single" w:color="000000" w:sz="12" w:space="0"/>
      </w:tblBorders>
    </w:tblPr>
    <w:tblStylePr w:type="firstRow">
      <w:rPr>
        <w:rFonts w:cs="Cambria"/>
        <w:b w:val="0"/>
        <w:bCs w:val="0"/>
      </w:rPr>
      <w:tcPr>
        <w:tcBorders>
          <w:top w:val="nil"/>
          <w:left w:val="double" w:color="000000" w:sz="6" w:space="0"/>
          <w:bottom w:val="nil"/>
          <w:right w:val="nil"/>
          <w:insideH w:val="nil"/>
          <w:insideV w:val="nil"/>
          <w:tl2br w:val="nil"/>
          <w:tr2bl w:val="nil"/>
        </w:tcBorders>
      </w:tcPr>
    </w:tblStylePr>
    <w:tblStylePr w:type="lastRow">
      <w:rPr>
        <w:rFonts w:cs="Cambria"/>
        <w:b w:val="0"/>
        <w:bCs w:val="0"/>
      </w:rPr>
      <w:tcPr>
        <w:tcBorders>
          <w:top w:val="nil"/>
          <w:left w:val="nil"/>
          <w:bottom w:val="nil"/>
          <w:right w:val="nil"/>
          <w:insideH w:val="nil"/>
          <w:insideV w:val="nil"/>
          <w:tl2br w:val="nil"/>
          <w:tr2bl w:val="nil"/>
        </w:tcBorders>
      </w:tcPr>
    </w:tblStylePr>
    <w:tblStylePr w:type="firstCol">
      <w:rPr>
        <w:rFonts w:cs="Cambria"/>
        <w:b w:val="0"/>
        <w:bCs w:val="0"/>
      </w:rPr>
      <w:tcPr>
        <w:tcBorders>
          <w:top w:val="nil"/>
          <w:left w:val="nil"/>
          <w:bottom w:val="nil"/>
          <w:right w:val="nil"/>
          <w:insideH w:val="nil"/>
          <w:insideV w:val="nil"/>
          <w:tl2br w:val="nil"/>
          <w:tr2bl w:val="nil"/>
        </w:tcBorders>
      </w:tcPr>
    </w:tblStylePr>
    <w:tblStylePr w:type="lastCol">
      <w:rPr>
        <w:rFonts w:cs="Cambria"/>
        <w:b w:val="0"/>
        <w:bCs w:val="0"/>
      </w:rPr>
      <w:tcPr>
        <w:tcBorders>
          <w:top w:val="nil"/>
          <w:left w:val="nil"/>
          <w:bottom w:val="nil"/>
          <w:right w:val="nil"/>
          <w:insideH w:val="nil"/>
          <w:insideV w:val="nil"/>
          <w:tl2br w:val="nil"/>
          <w:tr2bl w:val="nil"/>
        </w:tcBorders>
      </w:tcPr>
    </w:tblStylePr>
    <w:tblStylePr w:type="band1Vert">
      <w:rPr>
        <w:rFonts w:cs="Cambria"/>
        <w:color w:val="auto"/>
      </w:rPr>
      <w:tcPr>
        <w:shd w:val="pct25" w:color="000000" w:fill="FFFFFF"/>
      </w:tcPr>
    </w:tblStylePr>
    <w:tblStylePr w:type="band2Vert">
      <w:rPr>
        <w:rFonts w:cs="Cambria"/>
        <w:color w:val="auto"/>
      </w:rPr>
      <w:tcPr>
        <w:shd w:val="pct25" w:color="FFFF00" w:fill="FFFFFF"/>
      </w:tcPr>
    </w:tblStylePr>
    <w:tblStylePr w:type="neCell">
      <w:rPr>
        <w:rFonts w:cs="Cambria"/>
        <w:b/>
        <w:bCs/>
      </w:rPr>
      <w:tcPr>
        <w:tcBorders>
          <w:top w:val="nil"/>
          <w:left w:val="nil"/>
          <w:bottom w:val="nil"/>
          <w:right w:val="nil"/>
          <w:insideH w:val="nil"/>
          <w:insideV w:val="nil"/>
          <w:tl2br w:val="nil"/>
          <w:tr2bl w:val="nil"/>
        </w:tcBorders>
      </w:tcPr>
    </w:tblStylePr>
    <w:tblStylePr w:type="swCell">
      <w:rPr>
        <w:rFonts w:cs="Cambria"/>
        <w:b/>
        <w:bCs/>
      </w:rPr>
      <w:tcPr>
        <w:tcBorders>
          <w:top w:val="nil"/>
          <w:left w:val="nil"/>
          <w:bottom w:val="nil"/>
          <w:right w:val="nil"/>
          <w:insideH w:val="nil"/>
          <w:insideV w:val="nil"/>
          <w:tl2br w:val="nil"/>
          <w:tr2bl w:val="nil"/>
        </w:tcBorders>
      </w:tcPr>
    </w:tblStylePr>
  </w:style>
  <w:style w:type="table" w:customStyle="1" w:styleId="358">
    <w:name w:val="网格型1"/>
    <w:basedOn w:val="81"/>
    <w:qFormat/>
    <w:uiPriority w:val="59"/>
    <w:rPr>
      <w:rFonts w:ascii="Calibri" w:hAnsi="Calibri"/>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59">
    <w:name w:val="中等深浅列表 2 强调文字颜色 1"/>
    <w:basedOn w:val="81"/>
    <w:qFormat/>
    <w:uiPriority w:val="66"/>
    <w:rPr>
      <w:rFonts w:ascii="Calibri" w:hAnsi="Calibri" w:cs="Arial"/>
      <w:color w:val="000000"/>
    </w:rPr>
    <w:tblPr>
      <w:tblBorders>
        <w:top w:val="single" w:color="7E97AD" w:sz="8" w:space="0"/>
        <w:left w:val="single" w:color="7E97AD" w:sz="8" w:space="0"/>
        <w:bottom w:val="single" w:color="7E97AD" w:sz="8" w:space="0"/>
        <w:right w:val="single" w:color="7E97AD" w:sz="8" w:space="0"/>
      </w:tblBorders>
    </w:tblPr>
    <w:tblStylePr w:type="firstRow">
      <w:rPr>
        <w:rFonts w:cs="等线"/>
        <w:sz w:val="24"/>
        <w:szCs w:val="24"/>
      </w:rPr>
      <w:tcPr>
        <w:tcBorders>
          <w:top w:val="nil"/>
          <w:left w:val="single" w:color="7E97AD" w:sz="24" w:space="0"/>
          <w:bottom w:val="nil"/>
          <w:right w:val="nil"/>
          <w:insideH w:val="nil"/>
          <w:insideV w:val="nil"/>
          <w:tl2br w:val="nil"/>
          <w:tr2bl w:val="nil"/>
        </w:tcBorders>
        <w:shd w:val="clear" w:color="auto" w:fill="FFFFFF"/>
      </w:tcPr>
    </w:tblStylePr>
    <w:tblStylePr w:type="lastRow">
      <w:rPr>
        <w:rFonts w:cs="等线"/>
      </w:rPr>
      <w:tcPr>
        <w:tcBorders>
          <w:top w:val="single" w:color="7E97AD" w:sz="8" w:space="0"/>
          <w:left w:val="nil"/>
          <w:bottom w:val="nil"/>
          <w:right w:val="nil"/>
          <w:insideH w:val="nil"/>
          <w:insideV w:val="nil"/>
          <w:tl2br w:val="nil"/>
          <w:tr2bl w:val="nil"/>
        </w:tcBorders>
        <w:shd w:val="clear" w:color="auto" w:fill="FFFFFF"/>
      </w:tcPr>
    </w:tblStylePr>
    <w:tblStylePr w:type="firstCol">
      <w:rPr>
        <w:rFonts w:cs="等线"/>
      </w:rPr>
      <w:tcPr>
        <w:tcBorders>
          <w:top w:val="nil"/>
          <w:left w:val="nil"/>
          <w:bottom w:val="nil"/>
          <w:right w:val="single" w:color="7E97AD" w:sz="8" w:space="0"/>
          <w:insideH w:val="nil"/>
          <w:insideV w:val="nil"/>
          <w:tl2br w:val="nil"/>
          <w:tr2bl w:val="nil"/>
        </w:tcBorders>
        <w:shd w:val="clear" w:color="auto" w:fill="FFFFFF"/>
      </w:tcPr>
    </w:tblStylePr>
    <w:tblStylePr w:type="lastCol">
      <w:rPr>
        <w:rFonts w:cs="等线"/>
      </w:rPr>
      <w:tcPr>
        <w:tcBorders>
          <w:top w:val="nil"/>
          <w:left w:val="nil"/>
          <w:bottom w:val="single" w:color="7E97AD" w:sz="8" w:space="0"/>
          <w:right w:val="nil"/>
          <w:insideH w:val="nil"/>
          <w:insideV w:val="nil"/>
          <w:tl2br w:val="nil"/>
          <w:tr2bl w:val="nil"/>
        </w:tcBorders>
        <w:shd w:val="clear" w:color="auto" w:fill="FFFFFF"/>
      </w:tcPr>
    </w:tblStylePr>
    <w:tblStylePr w:type="band1Vert">
      <w:rPr>
        <w:rFonts w:cs="等线"/>
      </w:rPr>
      <w:tcPr>
        <w:tcBorders>
          <w:top w:val="nil"/>
          <w:left w:val="nil"/>
          <w:bottom w:val="nil"/>
          <w:right w:val="nil"/>
          <w:insideH w:val="nil"/>
          <w:insideV w:val="nil"/>
          <w:tl2br w:val="nil"/>
          <w:tr2bl w:val="nil"/>
        </w:tcBorders>
        <w:shd w:val="clear" w:color="auto" w:fill="DFE5EA"/>
      </w:tcPr>
    </w:tblStylePr>
    <w:tblStylePr w:type="band1Horz">
      <w:rPr>
        <w:rFonts w:cs="等线"/>
      </w:rPr>
      <w:tcPr>
        <w:tcBorders>
          <w:top w:val="nil"/>
          <w:left w:val="nil"/>
          <w:bottom w:val="nil"/>
          <w:right w:val="nil"/>
          <w:insideH w:val="nil"/>
          <w:insideV w:val="nil"/>
          <w:tl2br w:val="nil"/>
          <w:tr2bl w:val="nil"/>
        </w:tcBorders>
        <w:shd w:val="clear" w:color="auto" w:fill="DFE5EA"/>
      </w:tcPr>
    </w:tblStylePr>
    <w:tblStylePr w:type="nwCell">
      <w:rPr>
        <w:rFonts w:cs="等线"/>
      </w:rPr>
      <w:tcPr>
        <w:shd w:val="clear" w:color="auto" w:fill="FFFFFF"/>
      </w:tcPr>
    </w:tblStylePr>
    <w:tblStylePr w:type="swCell">
      <w:rPr>
        <w:rFonts w:cs="等线"/>
      </w:rPr>
      <w:tcPr>
        <w:tcBorders>
          <w:top w:val="nil"/>
          <w:left w:val="nil"/>
          <w:bottom w:val="nil"/>
          <w:right w:val="nil"/>
          <w:insideH w:val="nil"/>
          <w:insideV w:val="nil"/>
          <w:tl2br w:val="nil"/>
          <w:tr2bl w:val="nil"/>
        </w:tcBorders>
      </w:tcPr>
    </w:tblStylePr>
  </w:style>
  <w:style w:type="table" w:customStyle="1" w:styleId="360">
    <w:name w:val="深色列表强调文字颜色 6"/>
    <w:basedOn w:val="81"/>
    <w:qFormat/>
    <w:uiPriority w:val="70"/>
    <w:rPr>
      <w:rFonts w:ascii="Cambria" w:hAnsi="Cambria" w:eastAsia="黑体"/>
      <w:color w:val="FFFFFF"/>
    </w:rPr>
    <w:tcPr>
      <w:shd w:val="clear" w:color="auto" w:fill="9D936F"/>
    </w:tcPr>
    <w:tblStylePr w:type="firstRow">
      <w:rPr>
        <w:rFonts w:cs="Cambria"/>
        <w:b/>
        <w:bCs/>
      </w:rPr>
      <w:tcPr>
        <w:tcBorders>
          <w:top w:val="nil"/>
          <w:left w:val="single" w:color="FFFFFF" w:sz="18" w:space="0"/>
          <w:bottom w:val="nil"/>
          <w:right w:val="nil"/>
          <w:insideH w:val="nil"/>
          <w:insideV w:val="nil"/>
          <w:tl2br w:val="nil"/>
          <w:tr2bl w:val="nil"/>
        </w:tcBorders>
        <w:shd w:val="clear" w:color="auto" w:fill="000000"/>
      </w:tcPr>
    </w:tblStylePr>
    <w:tblStylePr w:type="lastRow">
      <w:rPr>
        <w:rFonts w:cs="Cambria"/>
      </w:rPr>
      <w:tcPr>
        <w:tcBorders>
          <w:top w:val="single" w:color="FFFFFF" w:sz="18" w:space="0"/>
          <w:left w:val="nil"/>
          <w:bottom w:val="nil"/>
          <w:right w:val="nil"/>
          <w:insideH w:val="nil"/>
          <w:insideV w:val="nil"/>
          <w:tl2br w:val="nil"/>
          <w:tr2bl w:val="nil"/>
        </w:tcBorders>
        <w:shd w:val="clear" w:color="auto" w:fill="4F4936"/>
      </w:tcPr>
    </w:tblStylePr>
    <w:tblStylePr w:type="firstCol">
      <w:rPr>
        <w:rFonts w:cs="Cambria"/>
      </w:rPr>
      <w:tcPr>
        <w:tcBorders>
          <w:top w:val="nil"/>
          <w:left w:val="nil"/>
          <w:bottom w:val="nil"/>
          <w:right w:val="single" w:color="FFFFFF" w:sz="18" w:space="0"/>
          <w:insideH w:val="nil"/>
          <w:insideV w:val="nil"/>
          <w:tl2br w:val="nil"/>
          <w:tr2bl w:val="nil"/>
        </w:tcBorders>
        <w:shd w:val="clear" w:color="auto" w:fill="776E51"/>
      </w:tcPr>
    </w:tblStylePr>
    <w:tblStylePr w:type="lastCol">
      <w:rPr>
        <w:rFonts w:cs="Cambria"/>
      </w:rPr>
      <w:tcPr>
        <w:tcBorders>
          <w:top w:val="nil"/>
          <w:left w:val="nil"/>
          <w:bottom w:val="single" w:color="FFFFFF" w:sz="18" w:space="0"/>
          <w:right w:val="nil"/>
          <w:insideH w:val="nil"/>
          <w:insideV w:val="nil"/>
          <w:tl2br w:val="nil"/>
          <w:tr2bl w:val="nil"/>
        </w:tcBorders>
        <w:shd w:val="clear" w:color="auto" w:fill="776E51"/>
      </w:tcPr>
    </w:tblStylePr>
    <w:tblStylePr w:type="band1Vert">
      <w:rPr>
        <w:rFonts w:cs="Cambria"/>
      </w:rPr>
      <w:tcPr>
        <w:tcBorders>
          <w:top w:val="nil"/>
          <w:left w:val="nil"/>
          <w:bottom w:val="nil"/>
          <w:right w:val="nil"/>
          <w:insideH w:val="nil"/>
          <w:insideV w:val="nil"/>
          <w:tl2br w:val="nil"/>
          <w:tr2bl w:val="nil"/>
        </w:tcBorders>
        <w:shd w:val="clear" w:color="auto" w:fill="776E51"/>
      </w:tcPr>
    </w:tblStylePr>
    <w:tblStylePr w:type="band1Horz">
      <w:rPr>
        <w:rFonts w:cs="Cambria"/>
      </w:rPr>
      <w:tcPr>
        <w:tcBorders>
          <w:top w:val="nil"/>
          <w:left w:val="nil"/>
          <w:bottom w:val="nil"/>
          <w:right w:val="nil"/>
          <w:insideH w:val="nil"/>
          <w:insideV w:val="nil"/>
          <w:tl2br w:val="nil"/>
          <w:tr2bl w:val="nil"/>
        </w:tcBorders>
        <w:shd w:val="clear" w:color="auto" w:fill="776E51"/>
      </w:tcPr>
    </w:tblStylePr>
  </w:style>
  <w:style w:type="table" w:customStyle="1" w:styleId="361">
    <w:name w:val="中等深浅底纹 2 强调文字颜色 6"/>
    <w:basedOn w:val="81"/>
    <w:qFormat/>
    <w:uiPriority w:val="64"/>
    <w:rPr>
      <w:rFonts w:ascii="Cambria" w:hAnsi="Cambria" w:eastAsia="黑体"/>
    </w:rPr>
    <w:tblPr>
      <w:tblBorders>
        <w:top w:val="single" w:color="auto" w:sz="18" w:space="0"/>
        <w:bottom w:val="single" w:color="auto" w:sz="18" w:space="0"/>
      </w:tblBorders>
    </w:tblPr>
    <w:tblStylePr w:type="firstRow">
      <w:pPr>
        <w:spacing w:before="0" w:after="0"/>
      </w:pPr>
      <w:rPr>
        <w:rFonts w:cs="Cambria"/>
        <w:b/>
        <w:bCs/>
        <w:color w:val="FFFFFF"/>
      </w:rPr>
      <w:tcPr>
        <w:tcBorders>
          <w:top w:val="single" w:color="auto" w:sz="18" w:space="0"/>
          <w:left w:val="single" w:color="auto" w:sz="18" w:space="0"/>
          <w:bottom w:val="nil"/>
          <w:right w:val="nil"/>
          <w:insideH w:val="nil"/>
          <w:insideV w:val="nil"/>
          <w:tl2br w:val="nil"/>
          <w:tr2bl w:val="nil"/>
        </w:tcBorders>
        <w:shd w:val="clear" w:color="auto" w:fill="9D936F"/>
      </w:tcPr>
    </w:tblStylePr>
    <w:tblStylePr w:type="lastRow">
      <w:pPr>
        <w:spacing w:before="0" w:after="0"/>
      </w:pPr>
      <w:rPr>
        <w:rFonts w:cs="Cambria"/>
        <w:color w:val="auto"/>
      </w:rPr>
      <w:tcPr>
        <w:tcBorders>
          <w:top w:val="double" w:color="auto" w:sz="6" w:space="0"/>
          <w:left w:val="single" w:color="auto" w:sz="18" w:space="0"/>
          <w:bottom w:val="nil"/>
          <w:right w:val="nil"/>
          <w:insideH w:val="nil"/>
          <w:insideV w:val="nil"/>
          <w:tl2br w:val="nil"/>
          <w:tr2bl w:val="nil"/>
        </w:tcBorders>
        <w:shd w:val="clear" w:color="auto" w:fill="FFFFFF"/>
      </w:tcPr>
    </w:tblStylePr>
    <w:tblStylePr w:type="firstCol">
      <w:rPr>
        <w:rFonts w:cs="Cambria"/>
        <w:b/>
        <w:bCs/>
        <w:color w:val="FFFFFF"/>
      </w:rPr>
      <w:tcPr>
        <w:tcBorders>
          <w:top w:val="nil"/>
          <w:left w:val="single" w:color="auto" w:sz="18" w:space="0"/>
          <w:bottom w:val="nil"/>
          <w:right w:val="nil"/>
          <w:insideH w:val="nil"/>
          <w:insideV w:val="nil"/>
          <w:tl2br w:val="nil"/>
          <w:tr2bl w:val="nil"/>
        </w:tcBorders>
        <w:shd w:val="clear" w:color="auto" w:fill="9D936F"/>
      </w:tcPr>
    </w:tblStylePr>
    <w:tblStylePr w:type="lastCol">
      <w:rPr>
        <w:rFonts w:cs="Cambria"/>
        <w:b/>
        <w:bCs/>
        <w:color w:val="FFFFFF"/>
      </w:rPr>
      <w:tcPr>
        <w:tcBorders>
          <w:top w:val="nil"/>
          <w:left w:val="nil"/>
          <w:bottom w:val="nil"/>
          <w:right w:val="nil"/>
          <w:insideH w:val="nil"/>
          <w:insideV w:val="nil"/>
          <w:tl2br w:val="nil"/>
          <w:tr2bl w:val="nil"/>
        </w:tcBorders>
        <w:shd w:val="clear" w:color="auto" w:fill="9D936F"/>
      </w:tcPr>
    </w:tblStylePr>
    <w:tblStylePr w:type="band1Vert">
      <w:rPr>
        <w:rFonts w:cs="Cambria"/>
      </w:rPr>
      <w:tcPr>
        <w:tcBorders>
          <w:top w:val="nil"/>
          <w:left w:val="nil"/>
          <w:bottom w:val="nil"/>
          <w:right w:val="nil"/>
          <w:insideH w:val="nil"/>
          <w:insideV w:val="nil"/>
          <w:tl2br w:val="nil"/>
          <w:tr2bl w:val="nil"/>
        </w:tcBorders>
        <w:shd w:val="clear" w:color="auto" w:fill="D8D8D8"/>
      </w:tcPr>
    </w:tblStylePr>
    <w:tblStylePr w:type="band1Horz">
      <w:rPr>
        <w:rFonts w:cs="Cambria"/>
      </w:rPr>
      <w:tcPr>
        <w:shd w:val="clear" w:color="auto" w:fill="D8D8D8"/>
      </w:tcPr>
    </w:tblStylePr>
    <w:tblStylePr w:type="neCell">
      <w:rPr>
        <w:rFonts w:cs="Cambria"/>
      </w:rPr>
      <w:tcPr>
        <w:tcBorders>
          <w:top w:val="single" w:color="auto" w:sz="18" w:space="0"/>
          <w:left w:val="single" w:color="auto" w:sz="18" w:space="0"/>
          <w:bottom w:val="nil"/>
          <w:right w:val="nil"/>
          <w:insideH w:val="nil"/>
          <w:insideV w:val="nil"/>
          <w:tl2br w:val="nil"/>
          <w:tr2bl w:val="nil"/>
        </w:tcBorders>
      </w:tcPr>
    </w:tblStylePr>
    <w:tblStylePr w:type="nwCell">
      <w:rPr>
        <w:rFonts w:cs="Cambria"/>
        <w:color w:val="FFFFFF"/>
      </w:rPr>
      <w:tcPr>
        <w:tcBorders>
          <w:top w:val="single" w:color="auto" w:sz="18" w:space="0"/>
          <w:left w:val="single" w:color="auto" w:sz="18" w:space="0"/>
          <w:bottom w:val="nil"/>
          <w:right w:val="nil"/>
          <w:insideH w:val="nil"/>
          <w:insideV w:val="nil"/>
          <w:tl2br w:val="nil"/>
          <w:tr2bl w:val="nil"/>
        </w:tcBorders>
      </w:tcPr>
    </w:tblStylePr>
  </w:style>
  <w:style w:type="table" w:customStyle="1" w:styleId="362">
    <w:name w:val="中等深浅网格 1 强调文字颜色 6"/>
    <w:basedOn w:val="81"/>
    <w:qFormat/>
    <w:uiPriority w:val="67"/>
    <w:rPr>
      <w:rFonts w:ascii="Cambria" w:hAnsi="Cambria" w:eastAsia="黑体"/>
    </w:rPr>
    <w:tblPr>
      <w:tblBorders>
        <w:top w:val="single" w:color="B5AE93" w:sz="8" w:space="0"/>
        <w:left w:val="single" w:color="B5AE93" w:sz="8" w:space="0"/>
        <w:bottom w:val="single" w:color="B5AE93" w:sz="8" w:space="0"/>
        <w:right w:val="single" w:color="B5AE93" w:sz="8" w:space="0"/>
        <w:insideH w:val="single" w:color="B5AE93" w:sz="8" w:space="0"/>
        <w:insideV w:val="single" w:color="B5AE93" w:sz="8" w:space="0"/>
      </w:tblBorders>
    </w:tblPr>
    <w:tcPr>
      <w:shd w:val="clear" w:color="auto" w:fill="E6E4DB"/>
    </w:tcPr>
    <w:tblStylePr w:type="firstRow">
      <w:rPr>
        <w:rFonts w:cs="Cambria"/>
        <w:b/>
        <w:bCs/>
      </w:rPr>
    </w:tblStylePr>
    <w:tblStylePr w:type="lastRow">
      <w:rPr>
        <w:rFonts w:cs="Cambria"/>
        <w:b/>
        <w:bCs/>
      </w:rPr>
      <w:tcPr>
        <w:tcBorders>
          <w:top w:val="single" w:color="B5AE93" w:sz="18" w:space="0"/>
          <w:left w:val="nil"/>
          <w:bottom w:val="nil"/>
          <w:right w:val="nil"/>
          <w:insideH w:val="nil"/>
          <w:insideV w:val="nil"/>
          <w:tl2br w:val="nil"/>
          <w:tr2bl w:val="nil"/>
        </w:tcBorders>
      </w:tcPr>
    </w:tblStylePr>
    <w:tblStylePr w:type="firstCol">
      <w:rPr>
        <w:rFonts w:cs="Cambria"/>
        <w:b/>
        <w:bCs/>
      </w:rPr>
    </w:tblStylePr>
    <w:tblStylePr w:type="lastCol">
      <w:rPr>
        <w:rFonts w:cs="Cambria"/>
        <w:b/>
        <w:bCs/>
      </w:rPr>
    </w:tblStylePr>
    <w:tblStylePr w:type="band1Vert">
      <w:rPr>
        <w:rFonts w:cs="Cambria"/>
      </w:rPr>
      <w:tcPr>
        <w:shd w:val="clear" w:color="auto" w:fill="CEC9B7"/>
      </w:tcPr>
    </w:tblStylePr>
    <w:tblStylePr w:type="band1Horz">
      <w:rPr>
        <w:rFonts w:cs="Cambria"/>
      </w:rPr>
      <w:tcPr>
        <w:shd w:val="clear" w:color="auto" w:fill="CEC9B7"/>
      </w:tcPr>
    </w:tblStylePr>
  </w:style>
  <w:style w:type="table" w:customStyle="1" w:styleId="363">
    <w:name w:val="浅色列表1"/>
    <w:basedOn w:val="81"/>
    <w:qFormat/>
    <w:uiPriority w:val="61"/>
    <w:rPr>
      <w:rFonts w:ascii="Cambria" w:hAnsi="Cambria" w:eastAsia="黑体"/>
    </w:rPr>
    <w:tblPr>
      <w:tblBorders>
        <w:top w:val="single" w:color="000000" w:sz="8" w:space="0"/>
        <w:left w:val="single" w:color="000000" w:sz="8" w:space="0"/>
        <w:bottom w:val="single" w:color="000000" w:sz="8" w:space="0"/>
        <w:right w:val="single" w:color="000000" w:sz="8" w:space="0"/>
      </w:tblBorders>
    </w:tblPr>
    <w:tblStylePr w:type="firstRow">
      <w:pPr>
        <w:spacing w:before="0" w:after="0"/>
      </w:pPr>
      <w:rPr>
        <w:rFonts w:cs="Cambria"/>
        <w:b/>
        <w:bCs/>
        <w:color w:val="FFFFFF"/>
      </w:rPr>
      <w:tcPr>
        <w:shd w:val="clear" w:color="auto" w:fill="000000"/>
      </w:tcPr>
    </w:tblStylePr>
    <w:tblStylePr w:type="lastRow">
      <w:pPr>
        <w:spacing w:before="0" w:after="0"/>
      </w:pPr>
      <w:rPr>
        <w:rFonts w:cs="Cambria"/>
        <w:b/>
        <w:bCs/>
      </w:rPr>
      <w:tcPr>
        <w:tcBorders>
          <w:top w:val="double" w:color="000000" w:sz="6" w:space="0"/>
          <w:left w:val="single" w:color="000000" w:sz="8" w:space="0"/>
          <w:bottom w:val="single" w:color="000000" w:sz="8" w:space="0"/>
          <w:right w:val="single" w:color="000000" w:sz="8" w:space="0"/>
          <w:insideH w:val="nil"/>
          <w:insideV w:val="nil"/>
          <w:tl2br w:val="nil"/>
          <w:tr2bl w:val="nil"/>
        </w:tcBorders>
      </w:tcPr>
    </w:tblStylePr>
    <w:tblStylePr w:type="firstCol">
      <w:rPr>
        <w:rFonts w:cs="Cambria"/>
        <w:b/>
        <w:bCs/>
      </w:rPr>
    </w:tblStylePr>
    <w:tblStylePr w:type="lastCol">
      <w:rPr>
        <w:rFonts w:cs="Cambria"/>
        <w:b/>
        <w:bCs/>
      </w:rPr>
    </w:tblStylePr>
    <w:tblStylePr w:type="band1Vert">
      <w:rPr>
        <w:rFonts w:cs="Cambria"/>
      </w:rPr>
      <w:tcPr>
        <w:tcBorders>
          <w:top w:val="single" w:color="000000" w:sz="8" w:space="0"/>
          <w:left w:val="single" w:color="000000" w:sz="8" w:space="0"/>
          <w:bottom w:val="single" w:color="000000" w:sz="8" w:space="0"/>
          <w:right w:val="single" w:color="000000" w:sz="8" w:space="0"/>
          <w:insideH w:val="nil"/>
          <w:insideV w:val="nil"/>
          <w:tl2br w:val="nil"/>
          <w:tr2bl w:val="nil"/>
        </w:tcBorders>
      </w:tcPr>
    </w:tblStylePr>
    <w:tblStylePr w:type="band1Horz">
      <w:rPr>
        <w:rFonts w:cs="Cambria"/>
      </w:rPr>
      <w:tcPr>
        <w:tcBorders>
          <w:top w:val="single" w:color="000000" w:sz="8" w:space="0"/>
          <w:left w:val="single" w:color="000000" w:sz="8" w:space="0"/>
          <w:bottom w:val="single" w:color="000000" w:sz="8" w:space="0"/>
          <w:right w:val="single" w:color="000000" w:sz="8" w:space="0"/>
          <w:insideH w:val="nil"/>
          <w:insideV w:val="nil"/>
          <w:tl2br w:val="nil"/>
          <w:tr2bl w:val="nil"/>
        </w:tcBorders>
      </w:tcPr>
    </w:tblStylePr>
  </w:style>
  <w:style w:type="table" w:customStyle="1" w:styleId="364">
    <w:name w:val="彩色底纹强调文字颜色 5"/>
    <w:basedOn w:val="81"/>
    <w:qFormat/>
    <w:uiPriority w:val="71"/>
    <w:rPr>
      <w:rFonts w:ascii="Cambria" w:hAnsi="Cambria" w:eastAsia="黑体"/>
      <w:color w:val="000000"/>
    </w:rPr>
    <w:tblPr>
      <w:tblBorders>
        <w:top w:val="single" w:color="9D936F" w:sz="24" w:space="0"/>
        <w:left w:val="single" w:color="67787B" w:sz="4" w:space="0"/>
        <w:bottom w:val="single" w:color="67787B" w:sz="4" w:space="0"/>
        <w:right w:val="single" w:color="67787B" w:sz="4" w:space="0"/>
        <w:insideH w:val="single" w:color="FFFFFF" w:sz="4" w:space="0"/>
        <w:insideV w:val="single" w:color="FFFFFF" w:sz="4" w:space="0"/>
      </w:tblBorders>
    </w:tblPr>
    <w:tcPr>
      <w:shd w:val="clear" w:color="auto" w:fill="EFF1F2"/>
    </w:tcPr>
    <w:tblStylePr w:type="firstRow">
      <w:rPr>
        <w:rFonts w:cs="Cambria"/>
        <w:b/>
        <w:bCs/>
      </w:rPr>
      <w:tcPr>
        <w:tcBorders>
          <w:top w:val="nil"/>
          <w:left w:val="single" w:color="9D936F" w:sz="24" w:space="0"/>
          <w:bottom w:val="nil"/>
          <w:right w:val="nil"/>
          <w:insideH w:val="nil"/>
          <w:insideV w:val="nil"/>
          <w:tl2br w:val="nil"/>
          <w:tr2bl w:val="nil"/>
        </w:tcBorders>
        <w:shd w:val="clear" w:color="auto" w:fill="FFFFFF"/>
      </w:tcPr>
    </w:tblStylePr>
    <w:tblStylePr w:type="lastRow">
      <w:rPr>
        <w:rFonts w:cs="Cambria"/>
        <w:b/>
        <w:bCs/>
        <w:color w:val="FFFFFF"/>
      </w:rPr>
      <w:tcPr>
        <w:tcBorders>
          <w:top w:val="single" w:color="FFFFFF" w:sz="6" w:space="0"/>
          <w:left w:val="nil"/>
          <w:bottom w:val="nil"/>
          <w:right w:val="nil"/>
          <w:insideH w:val="nil"/>
          <w:insideV w:val="nil"/>
          <w:tl2br w:val="nil"/>
          <w:tr2bl w:val="nil"/>
        </w:tcBorders>
        <w:shd w:val="clear" w:color="auto" w:fill="3D4749"/>
      </w:tcPr>
    </w:tblStylePr>
    <w:tblStylePr w:type="firstCol">
      <w:rPr>
        <w:rFonts w:cs="Cambria"/>
        <w:color w:val="FFFFFF"/>
      </w:rPr>
      <w:tcPr>
        <w:tcBorders>
          <w:top w:val="nil"/>
          <w:left w:val="nil"/>
          <w:bottom w:val="nil"/>
          <w:right w:val="nil"/>
          <w:insideH w:val="nil"/>
          <w:insideV w:val="nil"/>
          <w:tl2br w:val="nil"/>
          <w:tr2bl w:val="nil"/>
        </w:tcBorders>
        <w:shd w:val="clear" w:color="auto" w:fill="3D4749"/>
      </w:tcPr>
    </w:tblStylePr>
    <w:tblStylePr w:type="lastCol">
      <w:rPr>
        <w:rFonts w:cs="Cambria"/>
        <w:color w:val="FFFFFF"/>
      </w:rPr>
      <w:tcPr>
        <w:tcBorders>
          <w:top w:val="nil"/>
          <w:left w:val="nil"/>
          <w:bottom w:val="nil"/>
          <w:right w:val="nil"/>
          <w:insideH w:val="nil"/>
          <w:insideV w:val="nil"/>
          <w:tl2br w:val="nil"/>
          <w:tr2bl w:val="nil"/>
        </w:tcBorders>
        <w:shd w:val="clear" w:color="auto" w:fill="3D4749"/>
      </w:tcPr>
    </w:tblStylePr>
    <w:tblStylePr w:type="band1Vert">
      <w:rPr>
        <w:rFonts w:cs="Cambria"/>
      </w:rPr>
      <w:tcPr>
        <w:shd w:val="clear" w:color="auto" w:fill="C1C9CB"/>
      </w:tcPr>
    </w:tblStylePr>
    <w:tblStylePr w:type="band1Horz">
      <w:rPr>
        <w:rFonts w:cs="Cambria"/>
      </w:rPr>
      <w:tcPr>
        <w:shd w:val="clear" w:color="auto" w:fill="B1BCBE"/>
      </w:tcPr>
    </w:tblStylePr>
    <w:tblStylePr w:type="neCell">
      <w:rPr>
        <w:rFonts w:cs="Cambria"/>
        <w:color w:val="000000"/>
      </w:rPr>
    </w:tblStylePr>
    <w:tblStylePr w:type="nwCell">
      <w:rPr>
        <w:rFonts w:cs="Cambria"/>
        <w:color w:val="000000"/>
      </w:rPr>
    </w:tblStylePr>
  </w:style>
  <w:style w:type="table" w:customStyle="1" w:styleId="365">
    <w:name w:val="浅色底纹强调文字颜色 4"/>
    <w:basedOn w:val="81"/>
    <w:qFormat/>
    <w:uiPriority w:val="60"/>
    <w:rPr>
      <w:rFonts w:ascii="Cambria" w:hAnsi="Cambria" w:eastAsia="黑体"/>
      <w:color w:val="8E6E49"/>
    </w:rPr>
    <w:tblPr>
      <w:tblBorders>
        <w:top w:val="single" w:color="B4936D" w:sz="8" w:space="0"/>
        <w:bottom w:val="single" w:color="B4936D" w:sz="8" w:space="0"/>
      </w:tblBorders>
    </w:tblPr>
    <w:tblStylePr w:type="firstRow">
      <w:pPr>
        <w:spacing w:before="0" w:after="0"/>
      </w:pPr>
      <w:rPr>
        <w:rFonts w:cs="Cambria"/>
        <w:b/>
        <w:bCs/>
      </w:rPr>
      <w:tcPr>
        <w:tcBorders>
          <w:top w:val="single" w:color="B4936D" w:sz="8" w:space="0"/>
          <w:left w:val="single" w:color="B4936D" w:sz="8" w:space="0"/>
          <w:bottom w:val="nil"/>
          <w:right w:val="nil"/>
          <w:insideH w:val="nil"/>
          <w:insideV w:val="nil"/>
          <w:tl2br w:val="nil"/>
          <w:tr2bl w:val="nil"/>
        </w:tcBorders>
      </w:tcPr>
    </w:tblStylePr>
    <w:tblStylePr w:type="lastRow">
      <w:pPr>
        <w:spacing w:before="0" w:after="0"/>
      </w:pPr>
      <w:rPr>
        <w:rFonts w:cs="Cambria"/>
        <w:b/>
        <w:bCs/>
      </w:rPr>
      <w:tcPr>
        <w:tcBorders>
          <w:top w:val="single" w:color="B4936D" w:sz="8" w:space="0"/>
          <w:left w:val="single" w:color="B4936D" w:sz="8" w:space="0"/>
          <w:bottom w:val="nil"/>
          <w:right w:val="nil"/>
          <w:insideH w:val="nil"/>
          <w:insideV w:val="nil"/>
          <w:tl2br w:val="nil"/>
          <w:tr2bl w:val="nil"/>
        </w:tcBorders>
      </w:tcPr>
    </w:tblStylePr>
    <w:tblStylePr w:type="firstCol">
      <w:rPr>
        <w:rFonts w:cs="Cambria"/>
        <w:b/>
        <w:bCs/>
      </w:rPr>
    </w:tblStylePr>
    <w:tblStylePr w:type="lastCol">
      <w:rPr>
        <w:rFonts w:cs="Cambria"/>
        <w:b/>
        <w:bCs/>
      </w:rPr>
    </w:tblStylePr>
    <w:tblStylePr w:type="band1Vert">
      <w:rPr>
        <w:rFonts w:cs="Cambria"/>
      </w:rPr>
      <w:tcPr>
        <w:tcBorders>
          <w:top w:val="nil"/>
          <w:left w:val="nil"/>
          <w:bottom w:val="nil"/>
          <w:right w:val="nil"/>
          <w:insideH w:val="nil"/>
          <w:insideV w:val="nil"/>
          <w:tl2br w:val="nil"/>
          <w:tr2bl w:val="nil"/>
        </w:tcBorders>
        <w:shd w:val="clear" w:color="auto" w:fill="ECE4DA"/>
      </w:tcPr>
    </w:tblStylePr>
    <w:tblStylePr w:type="band1Horz">
      <w:rPr>
        <w:rFonts w:cs="Cambria"/>
      </w:rPr>
      <w:tcPr>
        <w:tcBorders>
          <w:top w:val="nil"/>
          <w:left w:val="nil"/>
          <w:bottom w:val="nil"/>
          <w:right w:val="nil"/>
          <w:insideH w:val="nil"/>
          <w:insideV w:val="nil"/>
          <w:tl2br w:val="nil"/>
          <w:tr2bl w:val="nil"/>
        </w:tcBorders>
        <w:shd w:val="clear" w:color="auto" w:fill="ECE4DA"/>
      </w:tcPr>
    </w:tblStylePr>
  </w:style>
  <w:style w:type="table" w:customStyle="1" w:styleId="366">
    <w:name w:val="彩色列表强调文字颜色 3"/>
    <w:basedOn w:val="81"/>
    <w:qFormat/>
    <w:uiPriority w:val="72"/>
    <w:rPr>
      <w:rFonts w:ascii="Cambria" w:hAnsi="Cambria" w:eastAsia="黑体"/>
      <w:color w:val="000000"/>
    </w:rPr>
    <w:tcPr>
      <w:shd w:val="clear" w:color="auto" w:fill="F2F0EE"/>
    </w:tcPr>
    <w:tblStylePr w:type="firstRow">
      <w:rPr>
        <w:rFonts w:cs="Cambria"/>
        <w:b/>
        <w:bCs/>
        <w:color w:val="FFFFFF"/>
      </w:rPr>
      <w:tcPr>
        <w:tcBorders>
          <w:top w:val="nil"/>
          <w:left w:val="single" w:color="FFFFFF" w:sz="12" w:space="0"/>
          <w:bottom w:val="nil"/>
          <w:right w:val="nil"/>
          <w:insideH w:val="nil"/>
          <w:insideV w:val="nil"/>
          <w:tl2br w:val="nil"/>
          <w:tr2bl w:val="nil"/>
        </w:tcBorders>
        <w:shd w:val="clear" w:color="auto" w:fill="98754E"/>
      </w:tcPr>
    </w:tblStylePr>
    <w:tblStylePr w:type="lastRow">
      <w:rPr>
        <w:rFonts w:cs="Cambria"/>
        <w:b/>
        <w:bCs/>
        <w:color w:val="98754E"/>
      </w:rPr>
      <w:tcPr>
        <w:tcBorders>
          <w:top w:val="single" w:color="000000" w:sz="12" w:space="0"/>
          <w:left w:val="nil"/>
          <w:bottom w:val="nil"/>
          <w:right w:val="nil"/>
          <w:insideH w:val="nil"/>
          <w:insideV w:val="nil"/>
          <w:tl2br w:val="nil"/>
          <w:tr2bl w:val="nil"/>
        </w:tcBorders>
        <w:shd w:val="clear" w:color="auto" w:fill="FFFFFF"/>
      </w:tcPr>
    </w:tblStylePr>
    <w:tblStylePr w:type="firstCol">
      <w:rPr>
        <w:rFonts w:cs="Cambria"/>
        <w:b/>
        <w:bCs/>
      </w:rPr>
    </w:tblStylePr>
    <w:tblStylePr w:type="lastCol">
      <w:rPr>
        <w:rFonts w:cs="Cambria"/>
        <w:b/>
        <w:bCs/>
      </w:rPr>
    </w:tblStylePr>
    <w:tblStylePr w:type="band1Vert">
      <w:rPr>
        <w:rFonts w:cs="Cambria"/>
      </w:rPr>
      <w:tcPr>
        <w:tcBorders>
          <w:top w:val="nil"/>
          <w:left w:val="nil"/>
          <w:bottom w:val="nil"/>
          <w:right w:val="nil"/>
          <w:insideH w:val="nil"/>
          <w:insideV w:val="nil"/>
          <w:tl2br w:val="nil"/>
          <w:tr2bl w:val="nil"/>
        </w:tcBorders>
        <w:shd w:val="clear" w:color="auto" w:fill="DFD9D6"/>
      </w:tcPr>
    </w:tblStylePr>
    <w:tblStylePr w:type="band1Horz">
      <w:rPr>
        <w:rFonts w:cs="Cambria"/>
      </w:rPr>
      <w:tcPr>
        <w:shd w:val="clear" w:color="auto" w:fill="E5E0DE"/>
      </w:tcPr>
    </w:tblStylePr>
  </w:style>
  <w:style w:type="table" w:customStyle="1" w:styleId="367">
    <w:name w:val="表格 3D 效果 1"/>
    <w:basedOn w:val="81"/>
    <w:unhideWhenUsed/>
    <w:qFormat/>
    <w:uiPriority w:val="99"/>
    <w:pPr>
      <w:spacing w:line="300" w:lineRule="auto"/>
    </w:pPr>
    <w:rPr>
      <w:rFonts w:ascii="Cambria" w:hAnsi="Cambria" w:eastAsia="黑体"/>
    </w:rPr>
    <w:tcPr>
      <w:shd w:val="solid" w:color="C0C0C0" w:fill="FFFFFF"/>
    </w:tcPr>
    <w:tblStylePr w:type="firstRow">
      <w:rPr>
        <w:rFonts w:cs="Cambria"/>
        <w:b/>
        <w:bCs/>
        <w:color w:val="800080"/>
      </w:rPr>
      <w:tcPr>
        <w:tcBorders>
          <w:top w:val="nil"/>
          <w:left w:val="single" w:color="808080" w:sz="6" w:space="0"/>
          <w:bottom w:val="nil"/>
          <w:right w:val="nil"/>
          <w:insideH w:val="nil"/>
          <w:insideV w:val="nil"/>
          <w:tl2br w:val="nil"/>
          <w:tr2bl w:val="nil"/>
        </w:tcBorders>
      </w:tcPr>
    </w:tblStylePr>
    <w:tblStylePr w:type="lastRow">
      <w:rPr>
        <w:rFonts w:cs="Cambria"/>
      </w:rPr>
      <w:tcPr>
        <w:tcBorders>
          <w:top w:val="single" w:color="FFFFFF" w:sz="6" w:space="0"/>
          <w:left w:val="nil"/>
          <w:bottom w:val="nil"/>
          <w:right w:val="nil"/>
          <w:insideH w:val="nil"/>
          <w:insideV w:val="nil"/>
          <w:tl2br w:val="nil"/>
          <w:tr2bl w:val="nil"/>
        </w:tcBorders>
      </w:tcPr>
    </w:tblStylePr>
    <w:tblStylePr w:type="firstCol">
      <w:rPr>
        <w:rFonts w:cs="Cambria"/>
        <w:b/>
        <w:bCs/>
      </w:rPr>
      <w:tcPr>
        <w:tcBorders>
          <w:top w:val="nil"/>
          <w:left w:val="nil"/>
          <w:bottom w:val="nil"/>
          <w:right w:val="single" w:color="808080" w:sz="6" w:space="0"/>
          <w:insideH w:val="nil"/>
          <w:insideV w:val="nil"/>
          <w:tl2br w:val="nil"/>
          <w:tr2bl w:val="nil"/>
        </w:tcBorders>
      </w:tcPr>
    </w:tblStylePr>
    <w:tblStylePr w:type="lastCol">
      <w:rPr>
        <w:rFonts w:cs="Cambria"/>
      </w:rPr>
      <w:tcPr>
        <w:tcBorders>
          <w:top w:val="nil"/>
          <w:left w:val="nil"/>
          <w:bottom w:val="single" w:color="FFFFFF" w:sz="6" w:space="0"/>
          <w:right w:val="nil"/>
          <w:insideH w:val="nil"/>
          <w:insideV w:val="nil"/>
          <w:tl2br w:val="nil"/>
          <w:tr2bl w:val="nil"/>
        </w:tcBorders>
      </w:tcPr>
    </w:tblStylePr>
    <w:tblStylePr w:type="neCell">
      <w:rPr>
        <w:rFonts w:cs="Cambria"/>
      </w:rPr>
      <w:tcPr>
        <w:tcBorders>
          <w:top w:val="nil"/>
          <w:left w:val="nil"/>
          <w:bottom w:val="nil"/>
          <w:right w:val="nil"/>
          <w:insideH w:val="nil"/>
          <w:insideV w:val="nil"/>
          <w:tl2br w:val="nil"/>
          <w:tr2bl w:val="nil"/>
        </w:tcBorders>
      </w:tcPr>
    </w:tblStylePr>
    <w:tblStylePr w:type="nwCell">
      <w:rPr>
        <w:rFonts w:cs="Cambria"/>
      </w:rPr>
      <w:tcPr>
        <w:tcBorders>
          <w:top w:val="nil"/>
          <w:left w:val="nil"/>
          <w:bottom w:val="nil"/>
          <w:right w:val="nil"/>
          <w:insideH w:val="nil"/>
          <w:insideV w:val="nil"/>
          <w:tl2br w:val="nil"/>
          <w:tr2bl w:val="nil"/>
        </w:tcBorders>
      </w:tcPr>
    </w:tblStylePr>
    <w:tblStylePr w:type="seCell">
      <w:rPr>
        <w:rFonts w:cs="Cambria"/>
      </w:rPr>
      <w:tcPr>
        <w:tcBorders>
          <w:top w:val="nil"/>
          <w:left w:val="nil"/>
          <w:bottom w:val="nil"/>
          <w:right w:val="nil"/>
          <w:insideH w:val="nil"/>
          <w:insideV w:val="nil"/>
          <w:tl2br w:val="nil"/>
          <w:tr2bl w:val="nil"/>
        </w:tcBorders>
      </w:tcPr>
    </w:tblStylePr>
    <w:tblStylePr w:type="swCell">
      <w:rPr>
        <w:rFonts w:cs="Cambria"/>
        <w:color w:val="000080"/>
      </w:rPr>
      <w:tcPr>
        <w:tcBorders>
          <w:top w:val="nil"/>
          <w:left w:val="nil"/>
          <w:bottom w:val="nil"/>
          <w:right w:val="nil"/>
          <w:insideH w:val="nil"/>
          <w:insideV w:val="nil"/>
          <w:tl2br w:val="nil"/>
          <w:tr2bl w:val="nil"/>
        </w:tcBorders>
      </w:tcPr>
    </w:tblStylePr>
  </w:style>
  <w:style w:type="table" w:customStyle="1" w:styleId="368">
    <w:name w:val="中等深浅列表 2 强调文字颜色 4"/>
    <w:basedOn w:val="81"/>
    <w:qFormat/>
    <w:uiPriority w:val="66"/>
    <w:rPr>
      <w:rFonts w:ascii="Calibri" w:hAnsi="Calibri" w:cs="Arial"/>
      <w:color w:val="000000"/>
    </w:rPr>
    <w:tblPr>
      <w:tblBorders>
        <w:top w:val="single" w:color="B4936D" w:sz="8" w:space="0"/>
        <w:left w:val="single" w:color="B4936D" w:sz="8" w:space="0"/>
        <w:bottom w:val="single" w:color="B4936D" w:sz="8" w:space="0"/>
        <w:right w:val="single" w:color="B4936D" w:sz="8" w:space="0"/>
      </w:tblBorders>
    </w:tblPr>
    <w:tblStylePr w:type="firstRow">
      <w:rPr>
        <w:rFonts w:cs="等线"/>
        <w:sz w:val="24"/>
        <w:szCs w:val="24"/>
      </w:rPr>
      <w:tcPr>
        <w:tcBorders>
          <w:top w:val="nil"/>
          <w:left w:val="single" w:color="B4936D" w:sz="24" w:space="0"/>
          <w:bottom w:val="nil"/>
          <w:right w:val="nil"/>
          <w:insideH w:val="nil"/>
          <w:insideV w:val="nil"/>
          <w:tl2br w:val="nil"/>
          <w:tr2bl w:val="nil"/>
        </w:tcBorders>
        <w:shd w:val="clear" w:color="auto" w:fill="FFFFFF"/>
      </w:tcPr>
    </w:tblStylePr>
    <w:tblStylePr w:type="lastRow">
      <w:rPr>
        <w:rFonts w:cs="等线"/>
      </w:rPr>
      <w:tcPr>
        <w:tcBorders>
          <w:top w:val="single" w:color="B4936D" w:sz="8" w:space="0"/>
          <w:left w:val="nil"/>
          <w:bottom w:val="nil"/>
          <w:right w:val="nil"/>
          <w:insideH w:val="nil"/>
          <w:insideV w:val="nil"/>
          <w:tl2br w:val="nil"/>
          <w:tr2bl w:val="nil"/>
        </w:tcBorders>
        <w:shd w:val="clear" w:color="auto" w:fill="FFFFFF"/>
      </w:tcPr>
    </w:tblStylePr>
    <w:tblStylePr w:type="firstCol">
      <w:rPr>
        <w:rFonts w:cs="等线"/>
      </w:rPr>
      <w:tcPr>
        <w:tcBorders>
          <w:top w:val="nil"/>
          <w:left w:val="nil"/>
          <w:bottom w:val="nil"/>
          <w:right w:val="single" w:color="B4936D" w:sz="8" w:space="0"/>
          <w:insideH w:val="nil"/>
          <w:insideV w:val="nil"/>
          <w:tl2br w:val="nil"/>
          <w:tr2bl w:val="nil"/>
        </w:tcBorders>
        <w:shd w:val="clear" w:color="auto" w:fill="FFFFFF"/>
      </w:tcPr>
    </w:tblStylePr>
    <w:tblStylePr w:type="lastCol">
      <w:rPr>
        <w:rFonts w:cs="等线"/>
      </w:rPr>
      <w:tcPr>
        <w:tcBorders>
          <w:top w:val="nil"/>
          <w:left w:val="nil"/>
          <w:bottom w:val="single" w:color="B4936D" w:sz="8" w:space="0"/>
          <w:right w:val="nil"/>
          <w:insideH w:val="nil"/>
          <w:insideV w:val="nil"/>
          <w:tl2br w:val="nil"/>
          <w:tr2bl w:val="nil"/>
        </w:tcBorders>
        <w:shd w:val="clear" w:color="auto" w:fill="FFFFFF"/>
      </w:tcPr>
    </w:tblStylePr>
    <w:tblStylePr w:type="band1Vert">
      <w:rPr>
        <w:rFonts w:cs="等线"/>
      </w:rPr>
      <w:tcPr>
        <w:tcBorders>
          <w:top w:val="nil"/>
          <w:left w:val="nil"/>
          <w:bottom w:val="nil"/>
          <w:right w:val="nil"/>
          <w:insideH w:val="nil"/>
          <w:insideV w:val="nil"/>
          <w:tl2br w:val="nil"/>
          <w:tr2bl w:val="nil"/>
        </w:tcBorders>
        <w:shd w:val="clear" w:color="auto" w:fill="ECE4DA"/>
      </w:tcPr>
    </w:tblStylePr>
    <w:tblStylePr w:type="band1Horz">
      <w:rPr>
        <w:rFonts w:cs="等线"/>
      </w:rPr>
      <w:tcPr>
        <w:tcBorders>
          <w:top w:val="nil"/>
          <w:left w:val="nil"/>
          <w:bottom w:val="nil"/>
          <w:right w:val="nil"/>
          <w:insideH w:val="nil"/>
          <w:insideV w:val="nil"/>
          <w:tl2br w:val="nil"/>
          <w:tr2bl w:val="nil"/>
        </w:tcBorders>
        <w:shd w:val="clear" w:color="auto" w:fill="ECE4DA"/>
      </w:tcPr>
    </w:tblStylePr>
    <w:tblStylePr w:type="nwCell">
      <w:rPr>
        <w:rFonts w:cs="等线"/>
      </w:rPr>
      <w:tcPr>
        <w:shd w:val="clear" w:color="auto" w:fill="FFFFFF"/>
      </w:tcPr>
    </w:tblStylePr>
    <w:tblStylePr w:type="swCell">
      <w:rPr>
        <w:rFonts w:cs="等线"/>
      </w:rPr>
      <w:tcPr>
        <w:tcBorders>
          <w:top w:val="nil"/>
          <w:left w:val="nil"/>
          <w:bottom w:val="nil"/>
          <w:right w:val="nil"/>
          <w:insideH w:val="nil"/>
          <w:insideV w:val="nil"/>
          <w:tl2br w:val="nil"/>
          <w:tr2bl w:val="nil"/>
        </w:tcBorders>
      </w:tcPr>
    </w:tblStylePr>
  </w:style>
  <w:style w:type="table" w:customStyle="1" w:styleId="369">
    <w:name w:val="中等深浅列表 1 强调文字颜色 3"/>
    <w:basedOn w:val="81"/>
    <w:qFormat/>
    <w:uiPriority w:val="65"/>
    <w:rPr>
      <w:rFonts w:ascii="Cambria" w:hAnsi="Cambria" w:eastAsia="黑体"/>
      <w:color w:val="000000"/>
    </w:rPr>
    <w:tblPr>
      <w:tblBorders>
        <w:top w:val="single" w:color="7A6A60" w:sz="8" w:space="0"/>
        <w:bottom w:val="single" w:color="7A6A60" w:sz="8" w:space="0"/>
      </w:tblBorders>
    </w:tblPr>
    <w:tblStylePr w:type="firstRow">
      <w:rPr>
        <w:rFonts w:eastAsia="serif" w:cs="等线"/>
      </w:rPr>
      <w:tcPr>
        <w:tcBorders>
          <w:top w:val="nil"/>
          <w:left w:val="single" w:color="7A6A60" w:sz="8" w:space="0"/>
          <w:bottom w:val="nil"/>
          <w:right w:val="nil"/>
          <w:insideH w:val="nil"/>
          <w:insideV w:val="nil"/>
          <w:tl2br w:val="nil"/>
          <w:tr2bl w:val="nil"/>
        </w:tcBorders>
      </w:tcPr>
    </w:tblStylePr>
    <w:tblStylePr w:type="lastRow">
      <w:rPr>
        <w:rFonts w:cs="Cambria"/>
        <w:b/>
        <w:bCs/>
        <w:color w:val="1F2123"/>
      </w:rPr>
      <w:tcPr>
        <w:tcBorders>
          <w:top w:val="single" w:color="7A6A60" w:sz="8" w:space="0"/>
          <w:left w:val="single" w:color="7A6A60" w:sz="8" w:space="0"/>
          <w:bottom w:val="nil"/>
          <w:right w:val="nil"/>
          <w:insideH w:val="nil"/>
          <w:insideV w:val="nil"/>
          <w:tl2br w:val="nil"/>
          <w:tr2bl w:val="nil"/>
        </w:tcBorders>
      </w:tcPr>
    </w:tblStylePr>
    <w:tblStylePr w:type="firstCol">
      <w:rPr>
        <w:rFonts w:cs="Cambria"/>
        <w:b/>
        <w:bCs/>
      </w:rPr>
    </w:tblStylePr>
    <w:tblStylePr w:type="lastCol">
      <w:rPr>
        <w:rFonts w:cs="Cambria"/>
        <w:b/>
        <w:bCs/>
      </w:rPr>
      <w:tcPr>
        <w:tcBorders>
          <w:top w:val="single" w:color="7A6A60" w:sz="8" w:space="0"/>
          <w:left w:val="single" w:color="7A6A60" w:sz="8" w:space="0"/>
          <w:bottom w:val="nil"/>
          <w:right w:val="nil"/>
          <w:insideH w:val="nil"/>
          <w:insideV w:val="nil"/>
          <w:tl2br w:val="nil"/>
          <w:tr2bl w:val="nil"/>
        </w:tcBorders>
      </w:tcPr>
    </w:tblStylePr>
    <w:tblStylePr w:type="band1Vert">
      <w:rPr>
        <w:rFonts w:cs="Cambria"/>
      </w:rPr>
      <w:tcPr>
        <w:shd w:val="clear" w:color="auto" w:fill="DFD9D6"/>
      </w:tcPr>
    </w:tblStylePr>
    <w:tblStylePr w:type="band1Horz">
      <w:rPr>
        <w:rFonts w:cs="Cambria"/>
      </w:rPr>
      <w:tcPr>
        <w:shd w:val="clear" w:color="auto" w:fill="DFD9D6"/>
      </w:tcPr>
    </w:tblStylePr>
  </w:style>
  <w:style w:type="table" w:customStyle="1" w:styleId="370">
    <w:name w:val="彩色底纹强调文字颜色 4"/>
    <w:basedOn w:val="81"/>
    <w:qFormat/>
    <w:uiPriority w:val="71"/>
    <w:rPr>
      <w:rFonts w:ascii="Cambria" w:hAnsi="Cambria" w:eastAsia="黑体"/>
      <w:color w:val="000000"/>
    </w:rPr>
    <w:tblPr>
      <w:tblBorders>
        <w:top w:val="single" w:color="7A6A60" w:sz="24" w:space="0"/>
        <w:left w:val="single" w:color="B4936D" w:sz="4" w:space="0"/>
        <w:bottom w:val="single" w:color="B4936D" w:sz="4" w:space="0"/>
        <w:right w:val="single" w:color="B4936D" w:sz="4" w:space="0"/>
        <w:insideH w:val="single" w:color="FFFFFF" w:sz="4" w:space="0"/>
        <w:insideV w:val="single" w:color="FFFFFF" w:sz="4" w:space="0"/>
      </w:tblBorders>
    </w:tblPr>
    <w:tcPr>
      <w:shd w:val="clear" w:color="auto" w:fill="F7F4F0"/>
    </w:tcPr>
    <w:tblStylePr w:type="firstRow">
      <w:rPr>
        <w:rFonts w:cs="Cambria"/>
        <w:b/>
        <w:bCs/>
      </w:rPr>
      <w:tcPr>
        <w:tcBorders>
          <w:top w:val="nil"/>
          <w:left w:val="single" w:color="7A6A60" w:sz="24" w:space="0"/>
          <w:bottom w:val="nil"/>
          <w:right w:val="nil"/>
          <w:insideH w:val="nil"/>
          <w:insideV w:val="nil"/>
          <w:tl2br w:val="nil"/>
          <w:tr2bl w:val="nil"/>
        </w:tcBorders>
        <w:shd w:val="clear" w:color="auto" w:fill="FFFFFF"/>
      </w:tcPr>
    </w:tblStylePr>
    <w:tblStylePr w:type="lastRow">
      <w:rPr>
        <w:rFonts w:cs="Cambria"/>
        <w:b/>
        <w:bCs/>
        <w:color w:val="FFFFFF"/>
      </w:rPr>
      <w:tcPr>
        <w:tcBorders>
          <w:top w:val="single" w:color="FFFFFF" w:sz="6" w:space="0"/>
          <w:left w:val="nil"/>
          <w:bottom w:val="nil"/>
          <w:right w:val="nil"/>
          <w:insideH w:val="nil"/>
          <w:insideV w:val="nil"/>
          <w:tl2br w:val="nil"/>
          <w:tr2bl w:val="nil"/>
        </w:tcBorders>
        <w:shd w:val="clear" w:color="auto" w:fill="72583B"/>
      </w:tcPr>
    </w:tblStylePr>
    <w:tblStylePr w:type="firstCol">
      <w:rPr>
        <w:rFonts w:cs="Cambria"/>
        <w:color w:val="FFFFFF"/>
      </w:rPr>
      <w:tcPr>
        <w:tcBorders>
          <w:top w:val="nil"/>
          <w:left w:val="nil"/>
          <w:bottom w:val="nil"/>
          <w:right w:val="nil"/>
          <w:insideH w:val="nil"/>
          <w:insideV w:val="nil"/>
          <w:tl2br w:val="nil"/>
          <w:tr2bl w:val="nil"/>
        </w:tcBorders>
        <w:shd w:val="clear" w:color="auto" w:fill="72583B"/>
      </w:tcPr>
    </w:tblStylePr>
    <w:tblStylePr w:type="lastCol">
      <w:rPr>
        <w:rFonts w:cs="Cambria"/>
        <w:color w:val="FFFFFF"/>
      </w:rPr>
      <w:tcPr>
        <w:tcBorders>
          <w:top w:val="nil"/>
          <w:left w:val="nil"/>
          <w:bottom w:val="nil"/>
          <w:right w:val="nil"/>
          <w:insideH w:val="nil"/>
          <w:insideV w:val="nil"/>
          <w:tl2br w:val="nil"/>
          <w:tr2bl w:val="nil"/>
        </w:tcBorders>
        <w:shd w:val="clear" w:color="auto" w:fill="72583B"/>
      </w:tcPr>
    </w:tblStylePr>
    <w:tblStylePr w:type="band1Vert">
      <w:rPr>
        <w:rFonts w:cs="Cambria"/>
      </w:rPr>
      <w:tcPr>
        <w:shd w:val="clear" w:color="auto" w:fill="E1D3C4"/>
      </w:tcPr>
    </w:tblStylePr>
    <w:tblStylePr w:type="band1Horz">
      <w:rPr>
        <w:rFonts w:cs="Cambria"/>
      </w:rPr>
      <w:tcPr>
        <w:shd w:val="clear" w:color="auto" w:fill="D9C9B6"/>
      </w:tcPr>
    </w:tblStylePr>
    <w:tblStylePr w:type="neCell">
      <w:rPr>
        <w:rFonts w:cs="Cambria"/>
        <w:color w:val="000000"/>
      </w:rPr>
    </w:tblStylePr>
    <w:tblStylePr w:type="nwCell">
      <w:rPr>
        <w:rFonts w:cs="Cambria"/>
        <w:color w:val="000000"/>
      </w:rPr>
    </w:tblStylePr>
  </w:style>
  <w:style w:type="table" w:customStyle="1" w:styleId="371">
    <w:name w:val="中等深浅网格 2 强调文字颜色 1"/>
    <w:basedOn w:val="81"/>
    <w:qFormat/>
    <w:uiPriority w:val="68"/>
    <w:rPr>
      <w:rFonts w:ascii="Calibri" w:hAnsi="Calibri" w:cs="Arial"/>
      <w:color w:val="000000"/>
    </w:rPr>
    <w:tblPr>
      <w:tblBorders>
        <w:top w:val="single" w:color="7E97AD" w:sz="8" w:space="0"/>
        <w:left w:val="single" w:color="7E97AD" w:sz="8" w:space="0"/>
        <w:bottom w:val="single" w:color="7E97AD" w:sz="8" w:space="0"/>
        <w:right w:val="single" w:color="7E97AD" w:sz="8" w:space="0"/>
        <w:insideH w:val="single" w:color="7E97AD" w:sz="8" w:space="0"/>
        <w:insideV w:val="single" w:color="7E97AD" w:sz="8" w:space="0"/>
      </w:tblBorders>
    </w:tblPr>
    <w:tcPr>
      <w:shd w:val="clear" w:color="auto" w:fill="DFE5EA"/>
    </w:tcPr>
    <w:tblStylePr w:type="firstRow">
      <w:rPr>
        <w:rFonts w:cs="等线"/>
        <w:b/>
        <w:bCs/>
        <w:color w:val="000000"/>
      </w:rPr>
      <w:tcPr>
        <w:shd w:val="clear" w:color="auto" w:fill="F2F4F6"/>
      </w:tcPr>
    </w:tblStylePr>
    <w:tblStylePr w:type="lastRow">
      <w:rPr>
        <w:rFonts w:cs="等线"/>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rFonts w:cs="等线"/>
        <w:b/>
        <w:bCs/>
        <w:color w:val="000000"/>
      </w:rPr>
      <w:tcPr>
        <w:tcBorders>
          <w:top w:val="nil"/>
          <w:left w:val="nil"/>
          <w:bottom w:val="nil"/>
          <w:right w:val="nil"/>
          <w:insideH w:val="nil"/>
          <w:insideV w:val="nil"/>
          <w:tl2br w:val="nil"/>
          <w:tr2bl w:val="nil"/>
        </w:tcBorders>
        <w:shd w:val="clear" w:color="auto" w:fill="FFFFFF"/>
      </w:tcPr>
    </w:tblStylePr>
    <w:tblStylePr w:type="lastCol">
      <w:rPr>
        <w:rFonts w:cs="等线"/>
        <w:b w:val="0"/>
        <w:bCs w:val="0"/>
        <w:color w:val="000000"/>
      </w:rPr>
      <w:tcPr>
        <w:tcBorders>
          <w:top w:val="nil"/>
          <w:left w:val="nil"/>
          <w:bottom w:val="nil"/>
          <w:right w:val="nil"/>
          <w:insideH w:val="nil"/>
          <w:insideV w:val="nil"/>
          <w:tl2br w:val="nil"/>
          <w:tr2bl w:val="nil"/>
        </w:tcBorders>
        <w:shd w:val="clear" w:color="auto" w:fill="E5EAEE"/>
      </w:tcPr>
    </w:tblStylePr>
    <w:tblStylePr w:type="band1Vert">
      <w:rPr>
        <w:rFonts w:cs="等线"/>
      </w:rPr>
      <w:tcPr>
        <w:shd w:val="clear" w:color="auto" w:fill="BECBD6"/>
      </w:tcPr>
    </w:tblStylePr>
    <w:tblStylePr w:type="band1Horz">
      <w:rPr>
        <w:rFonts w:cs="等线"/>
      </w:rPr>
      <w:tcPr>
        <w:shd w:val="clear" w:color="auto" w:fill="BECBD6"/>
      </w:tcPr>
    </w:tblStylePr>
    <w:tblStylePr w:type="nwCell">
      <w:rPr>
        <w:rFonts w:cs="等线"/>
      </w:rPr>
      <w:tcPr>
        <w:shd w:val="clear" w:color="auto" w:fill="FFFFFF"/>
      </w:tcPr>
    </w:tblStylePr>
  </w:style>
  <w:style w:type="table" w:customStyle="1" w:styleId="372">
    <w:name w:val="表列 2"/>
    <w:basedOn w:val="81"/>
    <w:unhideWhenUsed/>
    <w:qFormat/>
    <w:uiPriority w:val="99"/>
    <w:pPr>
      <w:spacing w:line="300" w:lineRule="auto"/>
    </w:pPr>
    <w:rPr>
      <w:rFonts w:ascii="Cambria" w:hAnsi="Cambria" w:eastAsia="黑体"/>
      <w:b/>
      <w:bCs/>
    </w:rPr>
    <w:tblStylePr w:type="firstRow">
      <w:rPr>
        <w:rFonts w:cs="Cambria"/>
        <w:color w:val="FFFFFF"/>
      </w:rPr>
      <w:tcPr>
        <w:tcBorders>
          <w:top w:val="nil"/>
          <w:left w:val="nil"/>
          <w:bottom w:val="nil"/>
          <w:right w:val="nil"/>
          <w:insideH w:val="nil"/>
          <w:insideV w:val="nil"/>
          <w:tl2br w:val="nil"/>
          <w:tr2bl w:val="nil"/>
        </w:tcBorders>
        <w:shd w:val="solid" w:color="000080" w:fill="FFFFFF"/>
      </w:tcPr>
    </w:tblStylePr>
    <w:tblStylePr w:type="lastRow">
      <w:rPr>
        <w:rFonts w:cs="Cambria"/>
        <w:b w:val="0"/>
        <w:bCs w:val="0"/>
      </w:rPr>
      <w:tcPr>
        <w:tcBorders>
          <w:top w:val="nil"/>
          <w:left w:val="nil"/>
          <w:bottom w:val="nil"/>
          <w:right w:val="nil"/>
          <w:insideH w:val="nil"/>
          <w:insideV w:val="nil"/>
          <w:tl2br w:val="nil"/>
          <w:tr2bl w:val="nil"/>
        </w:tcBorders>
      </w:tcPr>
    </w:tblStylePr>
    <w:tblStylePr w:type="firstCol">
      <w:rPr>
        <w:rFonts w:cs="Cambria"/>
        <w:b w:val="0"/>
        <w:bCs w:val="0"/>
        <w:color w:val="000000"/>
      </w:rPr>
      <w:tcPr>
        <w:tcBorders>
          <w:top w:val="nil"/>
          <w:left w:val="nil"/>
          <w:bottom w:val="nil"/>
          <w:right w:val="nil"/>
          <w:insideH w:val="nil"/>
          <w:insideV w:val="nil"/>
          <w:tl2br w:val="nil"/>
          <w:tr2bl w:val="nil"/>
        </w:tcBorders>
      </w:tcPr>
    </w:tblStylePr>
    <w:tblStylePr w:type="lastCol">
      <w:rPr>
        <w:rFonts w:cs="Cambria"/>
        <w:b w:val="0"/>
        <w:bCs w:val="0"/>
      </w:rPr>
      <w:tcPr>
        <w:tcBorders>
          <w:top w:val="nil"/>
          <w:left w:val="nil"/>
          <w:bottom w:val="nil"/>
          <w:right w:val="nil"/>
          <w:insideH w:val="nil"/>
          <w:insideV w:val="nil"/>
          <w:tl2br w:val="nil"/>
          <w:tr2bl w:val="nil"/>
        </w:tcBorders>
      </w:tcPr>
    </w:tblStylePr>
    <w:tblStylePr w:type="band1Vert">
      <w:rPr>
        <w:rFonts w:cs="Cambria"/>
        <w:color w:val="auto"/>
      </w:rPr>
      <w:tcPr>
        <w:shd w:val="pct30" w:color="000000" w:fill="FFFFFF"/>
      </w:tcPr>
    </w:tblStylePr>
    <w:tblStylePr w:type="band2Vert">
      <w:rPr>
        <w:rFonts w:cs="Cambria"/>
        <w:color w:val="auto"/>
      </w:rPr>
      <w:tcPr>
        <w:shd w:val="pct25" w:color="00FF00" w:fill="FFFFFF"/>
      </w:tcPr>
    </w:tblStylePr>
    <w:tblStylePr w:type="neCell">
      <w:rPr>
        <w:rFonts w:cs="Cambria"/>
        <w:b/>
        <w:bCs/>
      </w:rPr>
      <w:tcPr>
        <w:tcBorders>
          <w:top w:val="nil"/>
          <w:left w:val="nil"/>
          <w:bottom w:val="nil"/>
          <w:right w:val="nil"/>
          <w:insideH w:val="nil"/>
          <w:insideV w:val="nil"/>
          <w:tl2br w:val="nil"/>
          <w:tr2bl w:val="nil"/>
        </w:tcBorders>
      </w:tcPr>
    </w:tblStylePr>
    <w:tblStylePr w:type="swCell">
      <w:rPr>
        <w:rFonts w:cs="Cambria"/>
        <w:b/>
        <w:bCs/>
      </w:rPr>
      <w:tcPr>
        <w:tcBorders>
          <w:top w:val="nil"/>
          <w:left w:val="nil"/>
          <w:bottom w:val="nil"/>
          <w:right w:val="nil"/>
          <w:insideH w:val="nil"/>
          <w:insideV w:val="nil"/>
          <w:tl2br w:val="nil"/>
          <w:tr2bl w:val="nil"/>
        </w:tcBorders>
      </w:tcPr>
    </w:tblStylePr>
  </w:style>
  <w:style w:type="table" w:customStyle="1" w:styleId="373">
    <w:name w:val="浅色网格强调文字颜色 1"/>
    <w:basedOn w:val="81"/>
    <w:qFormat/>
    <w:uiPriority w:val="62"/>
    <w:rPr>
      <w:rFonts w:ascii="Cambria" w:hAnsi="Cambria" w:eastAsia="黑体"/>
    </w:rPr>
    <w:tblPr>
      <w:tblBorders>
        <w:top w:val="single" w:color="7E97AD" w:sz="8" w:space="0"/>
        <w:left w:val="single" w:color="7E97AD" w:sz="8" w:space="0"/>
        <w:bottom w:val="single" w:color="7E97AD" w:sz="8" w:space="0"/>
        <w:right w:val="single" w:color="7E97AD" w:sz="8" w:space="0"/>
        <w:insideH w:val="single" w:color="7E97AD" w:sz="8" w:space="0"/>
        <w:insideV w:val="single" w:color="7E97AD" w:sz="8" w:space="0"/>
      </w:tblBorders>
    </w:tblPr>
    <w:tblStylePr w:type="firstRow">
      <w:pPr>
        <w:spacing w:before="0" w:after="0"/>
      </w:pPr>
      <w:rPr>
        <w:rFonts w:eastAsia="serif" w:cs="等线"/>
        <w:b/>
        <w:bCs/>
      </w:rPr>
      <w:tcPr>
        <w:tcBorders>
          <w:top w:val="single" w:color="7E97AD" w:sz="8" w:space="0"/>
          <w:left w:val="single" w:color="7E97AD" w:sz="18" w:space="0"/>
          <w:bottom w:val="single" w:color="7E97AD" w:sz="8" w:space="0"/>
          <w:right w:val="single" w:color="7E97AD" w:sz="8" w:space="0"/>
          <w:insideH w:val="nil"/>
          <w:insideV w:val="nil"/>
          <w:tl2br w:val="nil"/>
          <w:tr2bl w:val="nil"/>
        </w:tcBorders>
      </w:tcPr>
    </w:tblStylePr>
    <w:tblStylePr w:type="lastRow">
      <w:pPr>
        <w:spacing w:before="0" w:after="0"/>
      </w:pPr>
      <w:rPr>
        <w:rFonts w:eastAsia="serif" w:cs="等线"/>
        <w:b/>
        <w:bCs/>
      </w:rPr>
      <w:tcPr>
        <w:tcBorders>
          <w:top w:val="double" w:color="7E97AD" w:sz="6" w:space="0"/>
          <w:left w:val="single" w:color="7E97AD" w:sz="8" w:space="0"/>
          <w:bottom w:val="single" w:color="7E97AD" w:sz="8" w:space="0"/>
          <w:right w:val="single" w:color="7E97AD" w:sz="8" w:space="0"/>
          <w:insideH w:val="nil"/>
          <w:insideV w:val="nil"/>
          <w:tl2br w:val="nil"/>
          <w:tr2bl w:val="nil"/>
        </w:tcBorders>
      </w:tcPr>
    </w:tblStylePr>
    <w:tblStylePr w:type="firstCol">
      <w:rPr>
        <w:rFonts w:eastAsia="serif" w:cs="等线"/>
        <w:b/>
        <w:bCs/>
      </w:rPr>
    </w:tblStylePr>
    <w:tblStylePr w:type="lastCol">
      <w:rPr>
        <w:rFonts w:eastAsia="serif" w:cs="等线"/>
        <w:b/>
        <w:bCs/>
      </w:rPr>
      <w:tcPr>
        <w:tcBorders>
          <w:top w:val="single" w:color="7E97AD" w:sz="8" w:space="0"/>
          <w:left w:val="single" w:color="7E97AD" w:sz="8" w:space="0"/>
          <w:bottom w:val="single" w:color="7E97AD" w:sz="8" w:space="0"/>
          <w:right w:val="single" w:color="7E97AD" w:sz="8" w:space="0"/>
          <w:insideH w:val="nil"/>
          <w:insideV w:val="nil"/>
          <w:tl2br w:val="nil"/>
          <w:tr2bl w:val="nil"/>
        </w:tcBorders>
      </w:tcPr>
    </w:tblStylePr>
    <w:tblStylePr w:type="band1Vert">
      <w:rPr>
        <w:rFonts w:cs="Cambria"/>
      </w:rPr>
      <w:tcPr>
        <w:tcBorders>
          <w:top w:val="single" w:color="7E97AD" w:sz="8" w:space="0"/>
          <w:left w:val="single" w:color="7E97AD" w:sz="8" w:space="0"/>
          <w:bottom w:val="single" w:color="7E97AD" w:sz="8" w:space="0"/>
          <w:right w:val="single" w:color="7E97AD" w:sz="8" w:space="0"/>
          <w:insideH w:val="nil"/>
          <w:insideV w:val="nil"/>
          <w:tl2br w:val="nil"/>
          <w:tr2bl w:val="nil"/>
        </w:tcBorders>
        <w:shd w:val="clear" w:color="auto" w:fill="DFE5EA"/>
      </w:tcPr>
    </w:tblStylePr>
    <w:tblStylePr w:type="band1Horz">
      <w:rPr>
        <w:rFonts w:cs="Cambria"/>
      </w:rPr>
      <w:tcPr>
        <w:tcBorders>
          <w:top w:val="single" w:color="7E97AD" w:sz="8" w:space="0"/>
          <w:left w:val="single" w:color="7E97AD" w:sz="8" w:space="0"/>
          <w:bottom w:val="single" w:color="7E97AD" w:sz="8" w:space="0"/>
          <w:right w:val="single" w:color="7E97AD" w:sz="8" w:space="0"/>
          <w:insideH w:val="nil"/>
          <w:insideV w:val="nil"/>
          <w:tl2br w:val="nil"/>
          <w:tr2bl w:val="nil"/>
        </w:tcBorders>
        <w:shd w:val="clear" w:color="auto" w:fill="DFE5EA"/>
      </w:tcPr>
    </w:tblStylePr>
    <w:tblStylePr w:type="band2Horz">
      <w:rPr>
        <w:rFonts w:cs="Cambria"/>
      </w:rPr>
      <w:tcPr>
        <w:tcBorders>
          <w:top w:val="single" w:color="7E97AD" w:sz="8" w:space="0"/>
          <w:left w:val="single" w:color="7E97AD" w:sz="8" w:space="0"/>
          <w:bottom w:val="single" w:color="7E97AD" w:sz="8" w:space="0"/>
          <w:right w:val="single" w:color="7E97AD" w:sz="8" w:space="0"/>
          <w:insideH w:val="nil"/>
          <w:insideV w:val="nil"/>
          <w:tl2br w:val="nil"/>
          <w:tr2bl w:val="nil"/>
        </w:tcBorders>
      </w:tcPr>
    </w:tblStylePr>
  </w:style>
  <w:style w:type="table" w:customStyle="1" w:styleId="374">
    <w:name w:val="深色列表强调文字颜色 3"/>
    <w:basedOn w:val="81"/>
    <w:qFormat/>
    <w:uiPriority w:val="70"/>
    <w:rPr>
      <w:rFonts w:ascii="Cambria" w:hAnsi="Cambria" w:eastAsia="黑体"/>
      <w:color w:val="FFFFFF"/>
    </w:rPr>
    <w:tcPr>
      <w:shd w:val="clear" w:color="auto" w:fill="7A6A60"/>
    </w:tcPr>
    <w:tblStylePr w:type="firstRow">
      <w:rPr>
        <w:rFonts w:cs="Cambria"/>
        <w:b/>
        <w:bCs/>
      </w:rPr>
      <w:tcPr>
        <w:tcBorders>
          <w:top w:val="nil"/>
          <w:left w:val="single" w:color="FFFFFF" w:sz="18" w:space="0"/>
          <w:bottom w:val="nil"/>
          <w:right w:val="nil"/>
          <w:insideH w:val="nil"/>
          <w:insideV w:val="nil"/>
          <w:tl2br w:val="nil"/>
          <w:tr2bl w:val="nil"/>
        </w:tcBorders>
        <w:shd w:val="clear" w:color="auto" w:fill="000000"/>
      </w:tcPr>
    </w:tblStylePr>
    <w:tblStylePr w:type="lastRow">
      <w:rPr>
        <w:rFonts w:cs="Cambria"/>
      </w:rPr>
      <w:tcPr>
        <w:tcBorders>
          <w:top w:val="single" w:color="FFFFFF" w:sz="18" w:space="0"/>
          <w:left w:val="nil"/>
          <w:bottom w:val="nil"/>
          <w:right w:val="nil"/>
          <w:insideH w:val="nil"/>
          <w:insideV w:val="nil"/>
          <w:tl2br w:val="nil"/>
          <w:tr2bl w:val="nil"/>
        </w:tcBorders>
        <w:shd w:val="clear" w:color="auto" w:fill="3C342F"/>
      </w:tcPr>
    </w:tblStylePr>
    <w:tblStylePr w:type="firstCol">
      <w:rPr>
        <w:rFonts w:cs="Cambria"/>
      </w:rPr>
      <w:tcPr>
        <w:tcBorders>
          <w:top w:val="nil"/>
          <w:left w:val="nil"/>
          <w:bottom w:val="nil"/>
          <w:right w:val="single" w:color="FFFFFF" w:sz="18" w:space="0"/>
          <w:insideH w:val="nil"/>
          <w:insideV w:val="nil"/>
          <w:tl2br w:val="nil"/>
          <w:tr2bl w:val="nil"/>
        </w:tcBorders>
        <w:shd w:val="clear" w:color="auto" w:fill="5B4F47"/>
      </w:tcPr>
    </w:tblStylePr>
    <w:tblStylePr w:type="lastCol">
      <w:rPr>
        <w:rFonts w:cs="Cambria"/>
      </w:rPr>
      <w:tcPr>
        <w:tcBorders>
          <w:top w:val="nil"/>
          <w:left w:val="nil"/>
          <w:bottom w:val="single" w:color="FFFFFF" w:sz="18" w:space="0"/>
          <w:right w:val="nil"/>
          <w:insideH w:val="nil"/>
          <w:insideV w:val="nil"/>
          <w:tl2br w:val="nil"/>
          <w:tr2bl w:val="nil"/>
        </w:tcBorders>
        <w:shd w:val="clear" w:color="auto" w:fill="5B4F47"/>
      </w:tcPr>
    </w:tblStylePr>
    <w:tblStylePr w:type="band1Vert">
      <w:rPr>
        <w:rFonts w:cs="Cambria"/>
      </w:rPr>
      <w:tcPr>
        <w:tcBorders>
          <w:top w:val="nil"/>
          <w:left w:val="nil"/>
          <w:bottom w:val="nil"/>
          <w:right w:val="nil"/>
          <w:insideH w:val="nil"/>
          <w:insideV w:val="nil"/>
          <w:tl2br w:val="nil"/>
          <w:tr2bl w:val="nil"/>
        </w:tcBorders>
        <w:shd w:val="clear" w:color="auto" w:fill="5B4F47"/>
      </w:tcPr>
    </w:tblStylePr>
    <w:tblStylePr w:type="band1Horz">
      <w:rPr>
        <w:rFonts w:cs="Cambria"/>
      </w:rPr>
      <w:tcPr>
        <w:tcBorders>
          <w:top w:val="nil"/>
          <w:left w:val="nil"/>
          <w:bottom w:val="nil"/>
          <w:right w:val="nil"/>
          <w:insideH w:val="nil"/>
          <w:insideV w:val="nil"/>
          <w:tl2br w:val="nil"/>
          <w:tr2bl w:val="nil"/>
        </w:tcBorders>
        <w:shd w:val="clear" w:color="auto" w:fill="5B4F47"/>
      </w:tcPr>
    </w:tblStylePr>
  </w:style>
  <w:style w:type="table" w:customStyle="1" w:styleId="375">
    <w:name w:val="深色列表强调文字颜色 5"/>
    <w:basedOn w:val="81"/>
    <w:qFormat/>
    <w:uiPriority w:val="70"/>
    <w:rPr>
      <w:rFonts w:ascii="Cambria" w:hAnsi="Cambria" w:eastAsia="黑体"/>
      <w:color w:val="FFFFFF"/>
    </w:rPr>
    <w:tcPr>
      <w:shd w:val="clear" w:color="auto" w:fill="67787B"/>
    </w:tcPr>
    <w:tblStylePr w:type="firstRow">
      <w:rPr>
        <w:rFonts w:cs="Cambria"/>
        <w:b/>
        <w:bCs/>
      </w:rPr>
      <w:tcPr>
        <w:tcBorders>
          <w:top w:val="nil"/>
          <w:left w:val="single" w:color="FFFFFF" w:sz="18" w:space="0"/>
          <w:bottom w:val="nil"/>
          <w:right w:val="nil"/>
          <w:insideH w:val="nil"/>
          <w:insideV w:val="nil"/>
          <w:tl2br w:val="nil"/>
          <w:tr2bl w:val="nil"/>
        </w:tcBorders>
        <w:shd w:val="clear" w:color="auto" w:fill="000000"/>
      </w:tcPr>
    </w:tblStylePr>
    <w:tblStylePr w:type="lastRow">
      <w:rPr>
        <w:rFonts w:cs="Cambria"/>
      </w:rPr>
      <w:tcPr>
        <w:tcBorders>
          <w:top w:val="single" w:color="FFFFFF" w:sz="18" w:space="0"/>
          <w:left w:val="nil"/>
          <w:bottom w:val="nil"/>
          <w:right w:val="nil"/>
          <w:insideH w:val="nil"/>
          <w:insideV w:val="nil"/>
          <w:tl2br w:val="nil"/>
          <w:tr2bl w:val="nil"/>
        </w:tcBorders>
        <w:shd w:val="clear" w:color="auto" w:fill="333B3D"/>
      </w:tcPr>
    </w:tblStylePr>
    <w:tblStylePr w:type="firstCol">
      <w:rPr>
        <w:rFonts w:cs="Cambria"/>
      </w:rPr>
      <w:tcPr>
        <w:tcBorders>
          <w:top w:val="nil"/>
          <w:left w:val="nil"/>
          <w:bottom w:val="nil"/>
          <w:right w:val="single" w:color="FFFFFF" w:sz="18" w:space="0"/>
          <w:insideH w:val="nil"/>
          <w:insideV w:val="nil"/>
          <w:tl2br w:val="nil"/>
          <w:tr2bl w:val="nil"/>
        </w:tcBorders>
        <w:shd w:val="clear" w:color="auto" w:fill="4D595B"/>
      </w:tcPr>
    </w:tblStylePr>
    <w:tblStylePr w:type="lastCol">
      <w:rPr>
        <w:rFonts w:cs="Cambria"/>
      </w:rPr>
      <w:tcPr>
        <w:tcBorders>
          <w:top w:val="nil"/>
          <w:left w:val="nil"/>
          <w:bottom w:val="single" w:color="FFFFFF" w:sz="18" w:space="0"/>
          <w:right w:val="nil"/>
          <w:insideH w:val="nil"/>
          <w:insideV w:val="nil"/>
          <w:tl2br w:val="nil"/>
          <w:tr2bl w:val="nil"/>
        </w:tcBorders>
        <w:shd w:val="clear" w:color="auto" w:fill="4D595B"/>
      </w:tcPr>
    </w:tblStylePr>
    <w:tblStylePr w:type="band1Vert">
      <w:rPr>
        <w:rFonts w:cs="Cambria"/>
      </w:rPr>
      <w:tcPr>
        <w:tcBorders>
          <w:top w:val="nil"/>
          <w:left w:val="nil"/>
          <w:bottom w:val="nil"/>
          <w:right w:val="nil"/>
          <w:insideH w:val="nil"/>
          <w:insideV w:val="nil"/>
          <w:tl2br w:val="nil"/>
          <w:tr2bl w:val="nil"/>
        </w:tcBorders>
        <w:shd w:val="clear" w:color="auto" w:fill="4D595B"/>
      </w:tcPr>
    </w:tblStylePr>
    <w:tblStylePr w:type="band1Horz">
      <w:rPr>
        <w:rFonts w:cs="Cambria"/>
      </w:rPr>
      <w:tcPr>
        <w:tcBorders>
          <w:top w:val="nil"/>
          <w:left w:val="nil"/>
          <w:bottom w:val="nil"/>
          <w:right w:val="nil"/>
          <w:insideH w:val="nil"/>
          <w:insideV w:val="nil"/>
          <w:tl2br w:val="nil"/>
          <w:tr2bl w:val="nil"/>
        </w:tcBorders>
        <w:shd w:val="clear" w:color="auto" w:fill="4D595B"/>
      </w:tcPr>
    </w:tblStylePr>
  </w:style>
  <w:style w:type="table" w:customStyle="1" w:styleId="376">
    <w:name w:val="中等深浅列表 2 强调文字颜色 6"/>
    <w:basedOn w:val="81"/>
    <w:qFormat/>
    <w:uiPriority w:val="66"/>
    <w:rPr>
      <w:rFonts w:ascii="Calibri" w:hAnsi="Calibri" w:cs="Arial"/>
      <w:color w:val="000000"/>
    </w:rPr>
    <w:tblPr>
      <w:tblBorders>
        <w:top w:val="single" w:color="9D936F" w:sz="8" w:space="0"/>
        <w:left w:val="single" w:color="9D936F" w:sz="8" w:space="0"/>
        <w:bottom w:val="single" w:color="9D936F" w:sz="8" w:space="0"/>
        <w:right w:val="single" w:color="9D936F" w:sz="8" w:space="0"/>
      </w:tblBorders>
    </w:tblPr>
    <w:tblStylePr w:type="firstRow">
      <w:rPr>
        <w:rFonts w:cs="等线"/>
        <w:sz w:val="24"/>
        <w:szCs w:val="24"/>
      </w:rPr>
      <w:tcPr>
        <w:tcBorders>
          <w:top w:val="nil"/>
          <w:left w:val="single" w:color="9D936F" w:sz="24" w:space="0"/>
          <w:bottom w:val="nil"/>
          <w:right w:val="nil"/>
          <w:insideH w:val="nil"/>
          <w:insideV w:val="nil"/>
          <w:tl2br w:val="nil"/>
          <w:tr2bl w:val="nil"/>
        </w:tcBorders>
        <w:shd w:val="clear" w:color="auto" w:fill="FFFFFF"/>
      </w:tcPr>
    </w:tblStylePr>
    <w:tblStylePr w:type="lastRow">
      <w:rPr>
        <w:rFonts w:cs="等线"/>
      </w:rPr>
      <w:tcPr>
        <w:tcBorders>
          <w:top w:val="single" w:color="9D936F" w:sz="8" w:space="0"/>
          <w:left w:val="nil"/>
          <w:bottom w:val="nil"/>
          <w:right w:val="nil"/>
          <w:insideH w:val="nil"/>
          <w:insideV w:val="nil"/>
          <w:tl2br w:val="nil"/>
          <w:tr2bl w:val="nil"/>
        </w:tcBorders>
        <w:shd w:val="clear" w:color="auto" w:fill="FFFFFF"/>
      </w:tcPr>
    </w:tblStylePr>
    <w:tblStylePr w:type="firstCol">
      <w:rPr>
        <w:rFonts w:cs="等线"/>
      </w:rPr>
      <w:tcPr>
        <w:tcBorders>
          <w:top w:val="nil"/>
          <w:left w:val="nil"/>
          <w:bottom w:val="nil"/>
          <w:right w:val="single" w:color="9D936F" w:sz="8" w:space="0"/>
          <w:insideH w:val="nil"/>
          <w:insideV w:val="nil"/>
          <w:tl2br w:val="nil"/>
          <w:tr2bl w:val="nil"/>
        </w:tcBorders>
        <w:shd w:val="clear" w:color="auto" w:fill="FFFFFF"/>
      </w:tcPr>
    </w:tblStylePr>
    <w:tblStylePr w:type="lastCol">
      <w:rPr>
        <w:rFonts w:cs="等线"/>
      </w:rPr>
      <w:tcPr>
        <w:tcBorders>
          <w:top w:val="nil"/>
          <w:left w:val="nil"/>
          <w:bottom w:val="single" w:color="9D936F" w:sz="8" w:space="0"/>
          <w:right w:val="nil"/>
          <w:insideH w:val="nil"/>
          <w:insideV w:val="nil"/>
          <w:tl2br w:val="nil"/>
          <w:tr2bl w:val="nil"/>
        </w:tcBorders>
        <w:shd w:val="clear" w:color="auto" w:fill="FFFFFF"/>
      </w:tcPr>
    </w:tblStylePr>
    <w:tblStylePr w:type="band1Vert">
      <w:rPr>
        <w:rFonts w:cs="等线"/>
      </w:rPr>
      <w:tcPr>
        <w:tcBorders>
          <w:top w:val="nil"/>
          <w:left w:val="nil"/>
          <w:bottom w:val="nil"/>
          <w:right w:val="nil"/>
          <w:insideH w:val="nil"/>
          <w:insideV w:val="nil"/>
          <w:tl2br w:val="nil"/>
          <w:tr2bl w:val="nil"/>
        </w:tcBorders>
        <w:shd w:val="clear" w:color="auto" w:fill="E6E4DB"/>
      </w:tcPr>
    </w:tblStylePr>
    <w:tblStylePr w:type="band1Horz">
      <w:rPr>
        <w:rFonts w:cs="等线"/>
      </w:rPr>
      <w:tcPr>
        <w:tcBorders>
          <w:top w:val="nil"/>
          <w:left w:val="nil"/>
          <w:bottom w:val="nil"/>
          <w:right w:val="nil"/>
          <w:insideH w:val="nil"/>
          <w:insideV w:val="nil"/>
          <w:tl2br w:val="nil"/>
          <w:tr2bl w:val="nil"/>
        </w:tcBorders>
        <w:shd w:val="clear" w:color="auto" w:fill="E6E4DB"/>
      </w:tcPr>
    </w:tblStylePr>
    <w:tblStylePr w:type="nwCell">
      <w:rPr>
        <w:rFonts w:cs="等线"/>
      </w:rPr>
      <w:tcPr>
        <w:shd w:val="clear" w:color="auto" w:fill="FFFFFF"/>
      </w:tcPr>
    </w:tblStylePr>
    <w:tblStylePr w:type="swCell">
      <w:rPr>
        <w:rFonts w:cs="等线"/>
      </w:rPr>
      <w:tcPr>
        <w:tcBorders>
          <w:top w:val="nil"/>
          <w:left w:val="nil"/>
          <w:bottom w:val="nil"/>
          <w:right w:val="nil"/>
          <w:insideH w:val="nil"/>
          <w:insideV w:val="nil"/>
          <w:tl2br w:val="nil"/>
          <w:tr2bl w:val="nil"/>
        </w:tcBorders>
      </w:tcPr>
    </w:tblStylePr>
  </w:style>
  <w:style w:type="table" w:customStyle="1" w:styleId="377">
    <w:name w:val="彩色网格1"/>
    <w:basedOn w:val="81"/>
    <w:qFormat/>
    <w:uiPriority w:val="73"/>
    <w:rPr>
      <w:rFonts w:ascii="Cambria" w:hAnsi="Cambria" w:eastAsia="黑体"/>
      <w:color w:val="000000"/>
    </w:rPr>
    <w:tblPr>
      <w:tblBorders>
        <w:insideH w:val="single" w:color="FFFFFF" w:sz="4" w:space="0"/>
      </w:tblBorders>
    </w:tblPr>
    <w:tcPr>
      <w:shd w:val="clear" w:color="auto" w:fill="CCCCCC"/>
    </w:tcPr>
    <w:tblStylePr w:type="firstRow">
      <w:rPr>
        <w:rFonts w:cs="Cambria"/>
        <w:b/>
        <w:bCs/>
      </w:rPr>
      <w:tcPr>
        <w:shd w:val="clear" w:color="auto" w:fill="999999"/>
      </w:tcPr>
    </w:tblStylePr>
    <w:tblStylePr w:type="lastRow">
      <w:rPr>
        <w:rFonts w:cs="Cambria"/>
        <w:b/>
        <w:bCs/>
        <w:color w:val="000000"/>
      </w:rPr>
      <w:tcPr>
        <w:shd w:val="clear" w:color="auto" w:fill="999999"/>
      </w:tcPr>
    </w:tblStylePr>
    <w:tblStylePr w:type="firstCol">
      <w:rPr>
        <w:rFonts w:cs="Cambria"/>
        <w:color w:val="FFFFFF"/>
      </w:rPr>
      <w:tcPr>
        <w:shd w:val="clear" w:color="auto" w:fill="000000"/>
      </w:tcPr>
    </w:tblStylePr>
    <w:tblStylePr w:type="lastCol">
      <w:rPr>
        <w:rFonts w:cs="Cambria"/>
        <w:color w:val="FFFFFF"/>
      </w:rPr>
      <w:tcPr>
        <w:shd w:val="clear" w:color="auto" w:fill="000000"/>
      </w:tcPr>
    </w:tblStylePr>
    <w:tblStylePr w:type="band1Vert">
      <w:rPr>
        <w:rFonts w:cs="Cambria"/>
      </w:rPr>
      <w:tcPr>
        <w:shd w:val="clear" w:color="auto" w:fill="808080"/>
      </w:tcPr>
    </w:tblStylePr>
    <w:tblStylePr w:type="band1Horz">
      <w:rPr>
        <w:rFonts w:cs="Cambria"/>
      </w:rPr>
      <w:tcPr>
        <w:shd w:val="clear" w:color="auto" w:fill="808080"/>
      </w:tcPr>
    </w:tblStylePr>
  </w:style>
  <w:style w:type="table" w:customStyle="1" w:styleId="378">
    <w:name w:val="表列 5"/>
    <w:basedOn w:val="81"/>
    <w:unhideWhenUsed/>
    <w:qFormat/>
    <w:uiPriority w:val="99"/>
    <w:pPr>
      <w:spacing w:line="300" w:lineRule="auto"/>
    </w:pPr>
    <w:rPr>
      <w:rFonts w:ascii="Cambria" w:hAnsi="Cambria" w:eastAsia="黑体"/>
    </w:r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rFonts w:cs="Cambria"/>
        <w:b/>
        <w:bCs/>
        <w:i/>
        <w:iCs/>
      </w:rPr>
      <w:tcPr>
        <w:tcBorders>
          <w:top w:val="nil"/>
          <w:left w:val="single" w:color="808080" w:sz="6" w:space="0"/>
          <w:bottom w:val="nil"/>
          <w:right w:val="nil"/>
          <w:insideH w:val="nil"/>
          <w:insideV w:val="nil"/>
          <w:tl2br w:val="nil"/>
          <w:tr2bl w:val="nil"/>
        </w:tcBorders>
      </w:tcPr>
    </w:tblStylePr>
    <w:tblStylePr w:type="lastRow">
      <w:rPr>
        <w:rFonts w:cs="Cambria"/>
        <w:b/>
        <w:bCs/>
      </w:rPr>
      <w:tcPr>
        <w:tcBorders>
          <w:top w:val="single" w:color="808080" w:sz="6" w:space="0"/>
          <w:left w:val="nil"/>
          <w:bottom w:val="nil"/>
          <w:right w:val="nil"/>
          <w:insideH w:val="nil"/>
          <w:insideV w:val="nil"/>
          <w:tl2br w:val="nil"/>
          <w:tr2bl w:val="nil"/>
        </w:tcBorders>
      </w:tcPr>
    </w:tblStylePr>
    <w:tblStylePr w:type="firstCol">
      <w:rPr>
        <w:rFonts w:cs="Cambria"/>
        <w:b/>
        <w:bCs/>
      </w:rPr>
      <w:tcPr>
        <w:tcBorders>
          <w:top w:val="nil"/>
          <w:left w:val="nil"/>
          <w:bottom w:val="nil"/>
          <w:right w:val="nil"/>
          <w:insideH w:val="nil"/>
          <w:insideV w:val="nil"/>
          <w:tl2br w:val="nil"/>
          <w:tr2bl w:val="nil"/>
        </w:tcBorders>
      </w:tcPr>
    </w:tblStylePr>
    <w:tblStylePr w:type="lastCol">
      <w:rPr>
        <w:rFonts w:cs="Cambria"/>
        <w:b/>
        <w:bCs/>
      </w:rPr>
      <w:tcPr>
        <w:tcBorders>
          <w:top w:val="nil"/>
          <w:left w:val="nil"/>
          <w:bottom w:val="nil"/>
          <w:right w:val="nil"/>
          <w:insideH w:val="nil"/>
          <w:insideV w:val="nil"/>
          <w:tl2br w:val="nil"/>
          <w:tr2bl w:val="nil"/>
        </w:tcBorders>
      </w:tcPr>
    </w:tblStylePr>
    <w:tblStylePr w:type="band1Vert">
      <w:rPr>
        <w:rFonts w:cs="Cambria"/>
        <w:color w:val="auto"/>
      </w:rPr>
      <w:tcPr>
        <w:shd w:val="solid" w:color="C0C0C0" w:fill="FFFFFF"/>
      </w:tcPr>
    </w:tblStylePr>
    <w:tblStylePr w:type="band2Vert">
      <w:rPr>
        <w:rFonts w:cs="Cambria"/>
        <w:color w:val="auto"/>
      </w:rPr>
    </w:tblStylePr>
  </w:style>
  <w:style w:type="table" w:customStyle="1" w:styleId="379">
    <w:name w:val="中等深浅网格 31"/>
    <w:basedOn w:val="81"/>
    <w:qFormat/>
    <w:uiPriority w:val="69"/>
    <w:rPr>
      <w:rFonts w:ascii="Cambria" w:hAnsi="Cambria" w:eastAsia="黑体"/>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C0C0C0"/>
    </w:tcPr>
    <w:tblStylePr w:type="firstRow">
      <w:rPr>
        <w:rFonts w:cs="Cambria"/>
        <w:b/>
        <w:bCs/>
        <w:i w:val="0"/>
        <w:iCs w:val="0"/>
        <w:color w:val="FFFFFF"/>
      </w:rPr>
      <w:tcPr>
        <w:tcBorders>
          <w:top w:val="single" w:color="FFFFFF" w:sz="8" w:space="0"/>
          <w:left w:val="single" w:color="FFFFFF" w:sz="24" w:space="0"/>
          <w:bottom w:val="single" w:color="FFFFFF" w:sz="8" w:space="0"/>
          <w:right w:val="single" w:color="FFFFFF" w:sz="8" w:space="0"/>
          <w:insideH w:val="nil"/>
          <w:insideV w:val="nil"/>
          <w:tl2br w:val="nil"/>
          <w:tr2bl w:val="nil"/>
        </w:tcBorders>
        <w:shd w:val="clear" w:color="auto" w:fill="000000"/>
      </w:tcPr>
    </w:tblStylePr>
    <w:tblStylePr w:type="lastRow">
      <w:rPr>
        <w:rFonts w:cs="Cambria"/>
        <w:b/>
        <w:bCs/>
        <w:i w:val="0"/>
        <w:iCs w:val="0"/>
        <w:color w:val="FFFFFF"/>
      </w:rPr>
      <w:tcPr>
        <w:tcBorders>
          <w:top w:val="single" w:color="FFFFFF" w:sz="24" w:space="0"/>
          <w:left w:val="single" w:color="FFFFFF" w:sz="8" w:space="0"/>
          <w:bottom w:val="single" w:color="FFFFFF" w:sz="8" w:space="0"/>
          <w:right w:val="single" w:color="FFFFFF" w:sz="8" w:space="0"/>
          <w:insideH w:val="nil"/>
          <w:insideV w:val="nil"/>
          <w:tl2br w:val="nil"/>
          <w:tr2bl w:val="nil"/>
        </w:tcBorders>
        <w:shd w:val="clear" w:color="auto" w:fill="000000"/>
      </w:tcPr>
    </w:tblStylePr>
    <w:tblStylePr w:type="firstCol">
      <w:rPr>
        <w:rFonts w:cs="Cambria"/>
        <w:b/>
        <w:bCs/>
        <w:i w:val="0"/>
        <w:iCs w:val="0"/>
        <w:color w:val="FFFFFF"/>
      </w:rPr>
      <w:tcPr>
        <w:tcBorders>
          <w:top w:val="nil"/>
          <w:left w:val="nil"/>
          <w:bottom w:val="single" w:color="FFFFFF" w:sz="8" w:space="0"/>
          <w:right w:val="single" w:color="FFFFFF" w:sz="24" w:space="0"/>
          <w:insideH w:val="nil"/>
          <w:insideV w:val="nil"/>
          <w:tl2br w:val="nil"/>
          <w:tr2bl w:val="nil"/>
        </w:tcBorders>
        <w:shd w:val="clear" w:color="auto" w:fill="000000"/>
      </w:tcPr>
    </w:tblStylePr>
    <w:tblStylePr w:type="lastCol">
      <w:rPr>
        <w:rFonts w:cs="Cambria"/>
        <w:b/>
        <w:bCs/>
        <w:i w:val="0"/>
        <w:iCs w:val="0"/>
        <w:color w:val="FFFFFF"/>
      </w:rPr>
      <w:tcPr>
        <w:tcBorders>
          <w:top w:val="nil"/>
          <w:left w:val="nil"/>
          <w:bottom w:val="single" w:color="FFFFFF" w:sz="24" w:space="0"/>
          <w:right w:val="nil"/>
          <w:insideH w:val="nil"/>
          <w:insideV w:val="nil"/>
          <w:tl2br w:val="nil"/>
          <w:tr2bl w:val="nil"/>
        </w:tcBorders>
        <w:shd w:val="clear" w:color="auto" w:fill="000000"/>
      </w:tcPr>
    </w:tblStylePr>
    <w:tblStylePr w:type="band1Vert">
      <w:rPr>
        <w:rFonts w:cs="Cambria"/>
      </w:rPr>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808080"/>
      </w:tcPr>
    </w:tblStylePr>
    <w:tblStylePr w:type="band1Horz">
      <w:rPr>
        <w:rFonts w:cs="Cambria"/>
      </w:rPr>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808080"/>
      </w:tcPr>
    </w:tblStylePr>
  </w:style>
  <w:style w:type="table" w:customStyle="1" w:styleId="380">
    <w:name w:val="彩色底纹强调文字颜色 2"/>
    <w:basedOn w:val="81"/>
    <w:qFormat/>
    <w:uiPriority w:val="71"/>
    <w:rPr>
      <w:rFonts w:ascii="Cambria" w:hAnsi="Cambria" w:eastAsia="黑体"/>
      <w:color w:val="000000"/>
    </w:rPr>
    <w:tblPr>
      <w:tblBorders>
        <w:top w:val="single" w:color="CC8E60" w:sz="24" w:space="0"/>
        <w:left w:val="single" w:color="CC8E60" w:sz="4" w:space="0"/>
        <w:bottom w:val="single" w:color="CC8E60" w:sz="4" w:space="0"/>
        <w:right w:val="single" w:color="CC8E60" w:sz="4" w:space="0"/>
        <w:insideH w:val="single" w:color="FFFFFF" w:sz="4" w:space="0"/>
        <w:insideV w:val="single" w:color="FFFFFF" w:sz="4" w:space="0"/>
      </w:tblBorders>
    </w:tblPr>
    <w:tcPr>
      <w:shd w:val="clear" w:color="auto" w:fill="FAF3EF"/>
    </w:tcPr>
    <w:tblStylePr w:type="firstRow">
      <w:rPr>
        <w:rFonts w:cs="Cambria"/>
        <w:b/>
        <w:bCs/>
      </w:rPr>
      <w:tcPr>
        <w:tcBorders>
          <w:top w:val="nil"/>
          <w:left w:val="single" w:color="CC8E60" w:sz="24" w:space="0"/>
          <w:bottom w:val="nil"/>
          <w:right w:val="nil"/>
          <w:insideH w:val="nil"/>
          <w:insideV w:val="nil"/>
          <w:tl2br w:val="nil"/>
          <w:tr2bl w:val="nil"/>
        </w:tcBorders>
        <w:shd w:val="clear" w:color="auto" w:fill="FFFFFF"/>
      </w:tcPr>
    </w:tblStylePr>
    <w:tblStylePr w:type="lastRow">
      <w:rPr>
        <w:rFonts w:cs="Cambria"/>
        <w:b/>
        <w:bCs/>
        <w:color w:val="FFFFFF"/>
      </w:rPr>
      <w:tcPr>
        <w:tcBorders>
          <w:top w:val="single" w:color="FFFFFF" w:sz="6" w:space="0"/>
          <w:left w:val="nil"/>
          <w:bottom w:val="nil"/>
          <w:right w:val="nil"/>
          <w:insideH w:val="nil"/>
          <w:insideV w:val="nil"/>
          <w:tl2br w:val="nil"/>
          <w:tr2bl w:val="nil"/>
        </w:tcBorders>
        <w:shd w:val="clear" w:color="auto" w:fill="88522B"/>
      </w:tcPr>
    </w:tblStylePr>
    <w:tblStylePr w:type="firstCol">
      <w:rPr>
        <w:rFonts w:cs="Cambria"/>
        <w:color w:val="FFFFFF"/>
      </w:rPr>
      <w:tcPr>
        <w:tcBorders>
          <w:top w:val="nil"/>
          <w:left w:val="nil"/>
          <w:bottom w:val="nil"/>
          <w:right w:val="nil"/>
          <w:insideH w:val="nil"/>
          <w:insideV w:val="nil"/>
          <w:tl2br w:val="nil"/>
          <w:tr2bl w:val="nil"/>
        </w:tcBorders>
        <w:shd w:val="clear" w:color="auto" w:fill="88522B"/>
      </w:tcPr>
    </w:tblStylePr>
    <w:tblStylePr w:type="lastCol">
      <w:rPr>
        <w:rFonts w:cs="Cambria"/>
        <w:color w:val="FFFFFF"/>
      </w:rPr>
      <w:tcPr>
        <w:tcBorders>
          <w:top w:val="nil"/>
          <w:left w:val="nil"/>
          <w:bottom w:val="nil"/>
          <w:right w:val="nil"/>
          <w:insideH w:val="nil"/>
          <w:insideV w:val="nil"/>
          <w:tl2br w:val="nil"/>
          <w:tr2bl w:val="nil"/>
        </w:tcBorders>
        <w:shd w:val="clear" w:color="auto" w:fill="88522B"/>
      </w:tcPr>
    </w:tblStylePr>
    <w:tblStylePr w:type="band1Vert">
      <w:rPr>
        <w:rFonts w:cs="Cambria"/>
      </w:rPr>
      <w:tcPr>
        <w:shd w:val="clear" w:color="auto" w:fill="EAD1BF"/>
      </w:tcPr>
    </w:tblStylePr>
    <w:tblStylePr w:type="band1Horz">
      <w:rPr>
        <w:rFonts w:cs="Cambria"/>
      </w:rPr>
      <w:tcPr>
        <w:shd w:val="clear" w:color="auto" w:fill="E5C6AF"/>
      </w:tcPr>
    </w:tblStylePr>
    <w:tblStylePr w:type="neCell">
      <w:rPr>
        <w:rFonts w:cs="Cambria"/>
        <w:color w:val="000000"/>
      </w:rPr>
    </w:tblStylePr>
    <w:tblStylePr w:type="nwCell">
      <w:rPr>
        <w:rFonts w:cs="Cambria"/>
        <w:color w:val="000000"/>
      </w:rPr>
    </w:tblStylePr>
  </w:style>
  <w:style w:type="table" w:customStyle="1" w:styleId="381">
    <w:name w:val="彩色底纹强调文字颜色 6"/>
    <w:basedOn w:val="81"/>
    <w:qFormat/>
    <w:uiPriority w:val="71"/>
    <w:rPr>
      <w:rFonts w:ascii="Cambria" w:hAnsi="Cambria" w:eastAsia="黑体"/>
      <w:color w:val="000000"/>
    </w:rPr>
    <w:tblPr>
      <w:tblBorders>
        <w:top w:val="single" w:color="67787B" w:sz="24" w:space="0"/>
        <w:left w:val="single" w:color="9D936F" w:sz="4" w:space="0"/>
        <w:bottom w:val="single" w:color="9D936F" w:sz="4" w:space="0"/>
        <w:right w:val="single" w:color="9D936F" w:sz="4" w:space="0"/>
        <w:insideH w:val="single" w:color="FFFFFF" w:sz="4" w:space="0"/>
        <w:insideV w:val="single" w:color="FFFFFF" w:sz="4" w:space="0"/>
      </w:tblBorders>
    </w:tblPr>
    <w:tcPr>
      <w:shd w:val="clear" w:color="auto" w:fill="F5F4F0"/>
    </w:tcPr>
    <w:tblStylePr w:type="firstRow">
      <w:rPr>
        <w:rFonts w:cs="Cambria"/>
        <w:b/>
        <w:bCs/>
      </w:rPr>
      <w:tcPr>
        <w:tcBorders>
          <w:top w:val="nil"/>
          <w:left w:val="single" w:color="67787B" w:sz="24" w:space="0"/>
          <w:bottom w:val="nil"/>
          <w:right w:val="nil"/>
          <w:insideH w:val="nil"/>
          <w:insideV w:val="nil"/>
          <w:tl2br w:val="nil"/>
          <w:tr2bl w:val="nil"/>
        </w:tcBorders>
        <w:shd w:val="clear" w:color="auto" w:fill="FFFFFF"/>
      </w:tcPr>
    </w:tblStylePr>
    <w:tblStylePr w:type="lastRow">
      <w:rPr>
        <w:rFonts w:cs="Cambria"/>
        <w:b/>
        <w:bCs/>
        <w:color w:val="FFFFFF"/>
      </w:rPr>
      <w:tcPr>
        <w:tcBorders>
          <w:top w:val="single" w:color="FFFFFF" w:sz="6" w:space="0"/>
          <w:left w:val="nil"/>
          <w:bottom w:val="nil"/>
          <w:right w:val="nil"/>
          <w:insideH w:val="nil"/>
          <w:insideV w:val="nil"/>
          <w:tl2br w:val="nil"/>
          <w:tr2bl w:val="nil"/>
        </w:tcBorders>
        <w:shd w:val="clear" w:color="auto" w:fill="5F5841"/>
      </w:tcPr>
    </w:tblStylePr>
    <w:tblStylePr w:type="firstCol">
      <w:rPr>
        <w:rFonts w:cs="Cambria"/>
        <w:color w:val="FFFFFF"/>
      </w:rPr>
      <w:tcPr>
        <w:tcBorders>
          <w:top w:val="nil"/>
          <w:left w:val="nil"/>
          <w:bottom w:val="nil"/>
          <w:right w:val="nil"/>
          <w:insideH w:val="nil"/>
          <w:insideV w:val="nil"/>
          <w:tl2br w:val="nil"/>
          <w:tr2bl w:val="nil"/>
        </w:tcBorders>
        <w:shd w:val="clear" w:color="auto" w:fill="5F5841"/>
      </w:tcPr>
    </w:tblStylePr>
    <w:tblStylePr w:type="lastCol">
      <w:rPr>
        <w:rFonts w:cs="Cambria"/>
        <w:color w:val="FFFFFF"/>
      </w:rPr>
      <w:tcPr>
        <w:tcBorders>
          <w:top w:val="nil"/>
          <w:left w:val="nil"/>
          <w:bottom w:val="nil"/>
          <w:right w:val="nil"/>
          <w:insideH w:val="nil"/>
          <w:insideV w:val="nil"/>
          <w:tl2br w:val="nil"/>
          <w:tr2bl w:val="nil"/>
        </w:tcBorders>
        <w:shd w:val="clear" w:color="auto" w:fill="5F5841"/>
      </w:tcPr>
    </w:tblStylePr>
    <w:tblStylePr w:type="band1Vert">
      <w:rPr>
        <w:rFonts w:cs="Cambria"/>
      </w:rPr>
      <w:tcPr>
        <w:shd w:val="clear" w:color="auto" w:fill="D7D3C5"/>
      </w:tcPr>
    </w:tblStylePr>
    <w:tblStylePr w:type="band1Horz">
      <w:rPr>
        <w:rFonts w:cs="Cambria"/>
      </w:rPr>
      <w:tcPr>
        <w:shd w:val="clear" w:color="auto" w:fill="CEC9B7"/>
      </w:tcPr>
    </w:tblStylePr>
    <w:tblStylePr w:type="neCell">
      <w:rPr>
        <w:rFonts w:cs="Cambria"/>
        <w:color w:val="000000"/>
      </w:rPr>
    </w:tblStylePr>
    <w:tblStylePr w:type="nwCell">
      <w:rPr>
        <w:rFonts w:cs="Cambria"/>
        <w:color w:val="000000"/>
      </w:rPr>
    </w:tblStylePr>
  </w:style>
  <w:style w:type="table" w:customStyle="1" w:styleId="382">
    <w:name w:val="中等深浅网格 3 强调文字颜色 6"/>
    <w:basedOn w:val="81"/>
    <w:qFormat/>
    <w:uiPriority w:val="69"/>
    <w:rPr>
      <w:rFonts w:ascii="Cambria" w:hAnsi="Cambria" w:eastAsia="黑体"/>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E6E4DB"/>
    </w:tcPr>
    <w:tblStylePr w:type="firstRow">
      <w:rPr>
        <w:rFonts w:cs="Cambria"/>
        <w:b/>
        <w:bCs/>
        <w:i w:val="0"/>
        <w:iCs w:val="0"/>
        <w:color w:val="FFFFFF"/>
      </w:rPr>
      <w:tcPr>
        <w:tcBorders>
          <w:top w:val="single" w:color="FFFFFF" w:sz="8" w:space="0"/>
          <w:left w:val="single" w:color="FFFFFF" w:sz="24" w:space="0"/>
          <w:bottom w:val="single" w:color="FFFFFF" w:sz="8" w:space="0"/>
          <w:right w:val="single" w:color="FFFFFF" w:sz="8" w:space="0"/>
          <w:insideH w:val="nil"/>
          <w:insideV w:val="nil"/>
          <w:tl2br w:val="nil"/>
          <w:tr2bl w:val="nil"/>
        </w:tcBorders>
        <w:shd w:val="clear" w:color="auto" w:fill="9D936F"/>
      </w:tcPr>
    </w:tblStylePr>
    <w:tblStylePr w:type="lastRow">
      <w:rPr>
        <w:rFonts w:cs="Cambria"/>
        <w:b/>
        <w:bCs/>
        <w:i w:val="0"/>
        <w:iCs w:val="0"/>
        <w:color w:val="FFFFFF"/>
      </w:rPr>
      <w:tcPr>
        <w:tcBorders>
          <w:top w:val="single" w:color="FFFFFF" w:sz="24" w:space="0"/>
          <w:left w:val="single" w:color="FFFFFF" w:sz="8" w:space="0"/>
          <w:bottom w:val="single" w:color="FFFFFF" w:sz="8" w:space="0"/>
          <w:right w:val="single" w:color="FFFFFF" w:sz="8" w:space="0"/>
          <w:insideH w:val="nil"/>
          <w:insideV w:val="nil"/>
          <w:tl2br w:val="nil"/>
          <w:tr2bl w:val="nil"/>
        </w:tcBorders>
        <w:shd w:val="clear" w:color="auto" w:fill="9D936F"/>
      </w:tcPr>
    </w:tblStylePr>
    <w:tblStylePr w:type="firstCol">
      <w:rPr>
        <w:rFonts w:cs="Cambria"/>
        <w:b/>
        <w:bCs/>
        <w:i w:val="0"/>
        <w:iCs w:val="0"/>
        <w:color w:val="FFFFFF"/>
      </w:rPr>
      <w:tcPr>
        <w:tcBorders>
          <w:top w:val="nil"/>
          <w:left w:val="nil"/>
          <w:bottom w:val="single" w:color="FFFFFF" w:sz="8" w:space="0"/>
          <w:right w:val="single" w:color="FFFFFF" w:sz="24" w:space="0"/>
          <w:insideH w:val="nil"/>
          <w:insideV w:val="nil"/>
          <w:tl2br w:val="nil"/>
          <w:tr2bl w:val="nil"/>
        </w:tcBorders>
        <w:shd w:val="clear" w:color="auto" w:fill="9D936F"/>
      </w:tcPr>
    </w:tblStylePr>
    <w:tblStylePr w:type="lastCol">
      <w:rPr>
        <w:rFonts w:cs="Cambria"/>
        <w:b/>
        <w:bCs/>
        <w:i w:val="0"/>
        <w:iCs w:val="0"/>
        <w:color w:val="FFFFFF"/>
      </w:rPr>
      <w:tcPr>
        <w:tcBorders>
          <w:top w:val="nil"/>
          <w:left w:val="nil"/>
          <w:bottom w:val="single" w:color="FFFFFF" w:sz="24" w:space="0"/>
          <w:right w:val="nil"/>
          <w:insideH w:val="nil"/>
          <w:insideV w:val="nil"/>
          <w:tl2br w:val="nil"/>
          <w:tr2bl w:val="nil"/>
        </w:tcBorders>
        <w:shd w:val="clear" w:color="auto" w:fill="9D936F"/>
      </w:tcPr>
    </w:tblStylePr>
    <w:tblStylePr w:type="band1Vert">
      <w:rPr>
        <w:rFonts w:cs="Cambria"/>
      </w:rPr>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CEC9B7"/>
      </w:tcPr>
    </w:tblStylePr>
    <w:tblStylePr w:type="band1Horz">
      <w:rPr>
        <w:rFonts w:cs="Cambria"/>
      </w:rPr>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CEC9B7"/>
      </w:tcPr>
    </w:tblStylePr>
  </w:style>
  <w:style w:type="table" w:customStyle="1" w:styleId="383">
    <w:name w:val="中等深浅网格 2 强调文字颜色 5"/>
    <w:basedOn w:val="81"/>
    <w:qFormat/>
    <w:uiPriority w:val="68"/>
    <w:rPr>
      <w:rFonts w:ascii="Calibri" w:hAnsi="Calibri" w:cs="Arial"/>
      <w:color w:val="000000"/>
    </w:rPr>
    <w:tblPr>
      <w:tblBorders>
        <w:top w:val="single" w:color="67787B" w:sz="8" w:space="0"/>
        <w:left w:val="single" w:color="67787B" w:sz="8" w:space="0"/>
        <w:bottom w:val="single" w:color="67787B" w:sz="8" w:space="0"/>
        <w:right w:val="single" w:color="67787B" w:sz="8" w:space="0"/>
        <w:insideH w:val="single" w:color="67787B" w:sz="8" w:space="0"/>
        <w:insideV w:val="single" w:color="67787B" w:sz="8" w:space="0"/>
      </w:tblBorders>
    </w:tblPr>
    <w:tcPr>
      <w:shd w:val="clear" w:color="auto" w:fill="D8DEDF"/>
    </w:tcPr>
    <w:tblStylePr w:type="firstRow">
      <w:rPr>
        <w:rFonts w:cs="等线"/>
        <w:b/>
        <w:bCs/>
        <w:color w:val="000000"/>
      </w:rPr>
      <w:tcPr>
        <w:shd w:val="clear" w:color="auto" w:fill="EFF1F2"/>
      </w:tcPr>
    </w:tblStylePr>
    <w:tblStylePr w:type="lastRow">
      <w:rPr>
        <w:rFonts w:cs="等线"/>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rFonts w:cs="等线"/>
        <w:b/>
        <w:bCs/>
        <w:color w:val="000000"/>
      </w:rPr>
      <w:tcPr>
        <w:tcBorders>
          <w:top w:val="nil"/>
          <w:left w:val="nil"/>
          <w:bottom w:val="nil"/>
          <w:right w:val="nil"/>
          <w:insideH w:val="nil"/>
          <w:insideV w:val="nil"/>
          <w:tl2br w:val="nil"/>
          <w:tr2bl w:val="nil"/>
        </w:tcBorders>
        <w:shd w:val="clear" w:color="auto" w:fill="FFFFFF"/>
      </w:tcPr>
    </w:tblStylePr>
    <w:tblStylePr w:type="lastCol">
      <w:rPr>
        <w:rFonts w:cs="等线"/>
        <w:b w:val="0"/>
        <w:bCs w:val="0"/>
        <w:color w:val="000000"/>
      </w:rPr>
      <w:tcPr>
        <w:tcBorders>
          <w:top w:val="nil"/>
          <w:left w:val="nil"/>
          <w:bottom w:val="nil"/>
          <w:right w:val="nil"/>
          <w:insideH w:val="nil"/>
          <w:insideV w:val="nil"/>
          <w:tl2br w:val="nil"/>
          <w:tr2bl w:val="nil"/>
        </w:tcBorders>
        <w:shd w:val="clear" w:color="auto" w:fill="DFE4E5"/>
      </w:tcPr>
    </w:tblStylePr>
    <w:tblStylePr w:type="band1Vert">
      <w:rPr>
        <w:rFonts w:cs="等线"/>
      </w:rPr>
      <w:tcPr>
        <w:shd w:val="clear" w:color="auto" w:fill="B1BCBE"/>
      </w:tcPr>
    </w:tblStylePr>
    <w:tblStylePr w:type="band1Horz">
      <w:rPr>
        <w:rFonts w:cs="等线"/>
      </w:rPr>
      <w:tcPr>
        <w:shd w:val="clear" w:color="auto" w:fill="B1BCBE"/>
      </w:tcPr>
    </w:tblStylePr>
    <w:tblStylePr w:type="nwCell">
      <w:rPr>
        <w:rFonts w:cs="等线"/>
      </w:rPr>
      <w:tcPr>
        <w:shd w:val="clear" w:color="auto" w:fill="FFFFFF"/>
      </w:tcPr>
    </w:tblStylePr>
  </w:style>
  <w:style w:type="character" w:customStyle="1" w:styleId="384">
    <w:name w:val="正文文本 Char"/>
    <w:qFormat/>
    <w:uiPriority w:val="0"/>
    <w:rPr>
      <w:rFonts w:ascii="Times New Roman" w:hAnsi="Times New Roman"/>
      <w:sz w:val="24"/>
      <w:szCs w:val="24"/>
    </w:rPr>
  </w:style>
  <w:style w:type="character" w:customStyle="1" w:styleId="385">
    <w:name w:val="标题 1 Char"/>
    <w:qFormat/>
    <w:uiPriority w:val="0"/>
    <w:rPr>
      <w:rFonts w:ascii="Times New Roman" w:hAnsi="Times New Roman"/>
      <w:b/>
      <w:bCs/>
      <w:kern w:val="44"/>
      <w:sz w:val="44"/>
      <w:szCs w:val="44"/>
    </w:rPr>
  </w:style>
  <w:style w:type="character" w:customStyle="1" w:styleId="386">
    <w:name w:val="页脚 Char"/>
    <w:qFormat/>
    <w:uiPriority w:val="99"/>
    <w:rPr>
      <w:rFonts w:ascii="Times New Roman" w:hAnsi="Times New Roman" w:eastAsia="仿宋_GB2312"/>
      <w:kern w:val="2"/>
      <w:sz w:val="18"/>
      <w:szCs w:val="18"/>
    </w:rPr>
  </w:style>
  <w:style w:type="character" w:customStyle="1" w:styleId="387">
    <w:name w:val="批注文字 Char"/>
    <w:qFormat/>
    <w:uiPriority w:val="0"/>
    <w:rPr>
      <w:rFonts w:ascii="Times New Roman" w:hAnsi="Times New Roman"/>
      <w:szCs w:val="24"/>
    </w:rPr>
  </w:style>
  <w:style w:type="character" w:customStyle="1" w:styleId="388">
    <w:name w:val="页眉 Char"/>
    <w:qFormat/>
    <w:uiPriority w:val="99"/>
    <w:rPr>
      <w:rFonts w:ascii="Times New Roman" w:hAnsi="Times New Roman" w:eastAsia="仿宋_GB2312"/>
      <w:kern w:val="2"/>
      <w:sz w:val="18"/>
      <w:szCs w:val="18"/>
    </w:rPr>
  </w:style>
  <w:style w:type="character" w:customStyle="1" w:styleId="389">
    <w:name w:val="批注框文本 Char"/>
    <w:qFormat/>
    <w:uiPriority w:val="99"/>
    <w:rPr>
      <w:rFonts w:ascii="等线" w:hAnsi="等线" w:eastAsia="等线"/>
      <w:kern w:val="2"/>
      <w:sz w:val="18"/>
      <w:szCs w:val="18"/>
    </w:rPr>
  </w:style>
  <w:style w:type="character" w:customStyle="1" w:styleId="390">
    <w:name w:val="页眉 Char1"/>
    <w:semiHidden/>
    <w:qFormat/>
    <w:uiPriority w:val="99"/>
    <w:rPr>
      <w:rFonts w:ascii="Times New Roman" w:hAnsi="Times New Roman" w:eastAsia="仿宋_GB2312" w:cs="Times New Roman"/>
      <w:sz w:val="18"/>
      <w:szCs w:val="18"/>
    </w:rPr>
  </w:style>
  <w:style w:type="character" w:customStyle="1" w:styleId="391">
    <w:name w:val="批注文字 Char1"/>
    <w:semiHidden/>
    <w:qFormat/>
    <w:uiPriority w:val="99"/>
    <w:rPr>
      <w:rFonts w:ascii="Times New Roman" w:hAnsi="Times New Roman" w:eastAsia="仿宋_GB2312" w:cs="Times New Roman"/>
      <w:sz w:val="32"/>
      <w:szCs w:val="24"/>
    </w:rPr>
  </w:style>
  <w:style w:type="character" w:customStyle="1" w:styleId="392">
    <w:name w:val="页脚 Char1"/>
    <w:semiHidden/>
    <w:qFormat/>
    <w:uiPriority w:val="99"/>
    <w:rPr>
      <w:rFonts w:ascii="Times New Roman" w:hAnsi="Times New Roman" w:eastAsia="仿宋_GB2312" w:cs="Times New Roman"/>
      <w:sz w:val="18"/>
      <w:szCs w:val="18"/>
    </w:rPr>
  </w:style>
  <w:style w:type="character" w:customStyle="1" w:styleId="393">
    <w:name w:val="批注框文本 Char1"/>
    <w:semiHidden/>
    <w:qFormat/>
    <w:uiPriority w:val="99"/>
    <w:rPr>
      <w:rFonts w:ascii="Times New Roman" w:hAnsi="Times New Roman" w:eastAsia="仿宋_GB2312" w:cs="Times New Roman"/>
      <w:sz w:val="18"/>
      <w:szCs w:val="18"/>
    </w:rPr>
  </w:style>
  <w:style w:type="character" w:customStyle="1" w:styleId="394">
    <w:name w:val="正文文本 Char1"/>
    <w:semiHidden/>
    <w:qFormat/>
    <w:uiPriority w:val="99"/>
    <w:rPr>
      <w:rFonts w:ascii="Times New Roman" w:hAnsi="Times New Roman" w:eastAsia="仿宋_GB2312" w:cs="Times New Roman"/>
      <w:sz w:val="32"/>
      <w:szCs w:val="24"/>
    </w:rPr>
  </w:style>
  <w:style w:type="paragraph" w:customStyle="1" w:styleId="395">
    <w:name w:val="_Style 393"/>
    <w:unhideWhenUsed/>
    <w:qFormat/>
    <w:uiPriority w:val="99"/>
    <w:rPr>
      <w:rFonts w:ascii="Cambria" w:hAnsi="Cambria" w:eastAsia="微软雅黑" w:cs="Times New Roman"/>
      <w:kern w:val="20"/>
      <w:sz w:val="21"/>
      <w:lang w:val="zh-CN" w:eastAsia="zh-CN" w:bidi="ar-SA"/>
    </w:rPr>
  </w:style>
  <w:style w:type="character" w:customStyle="1" w:styleId="396">
    <w:name w:val="批注文字 Char3"/>
    <w:qFormat/>
    <w:uiPriority w:val="0"/>
    <w:rPr>
      <w:rFonts w:ascii="Cambria" w:hAnsi="Cambria" w:eastAsia="微软雅黑"/>
      <w:kern w:val="20"/>
      <w:sz w:val="21"/>
      <w:lang w:val="zh-CN"/>
    </w:rPr>
  </w:style>
  <w:style w:type="character" w:customStyle="1" w:styleId="397">
    <w:name w:val="正文文本 Char2"/>
    <w:qFormat/>
    <w:uiPriority w:val="99"/>
    <w:rPr>
      <w:rFonts w:ascii="Cambria" w:hAnsi="Cambria" w:eastAsia="微软雅黑"/>
      <w:color w:val="595959"/>
      <w:kern w:val="20"/>
      <w:lang w:val="zh-CN"/>
    </w:rPr>
  </w:style>
  <w:style w:type="character" w:customStyle="1" w:styleId="398">
    <w:name w:val="font21"/>
    <w:qFormat/>
    <w:uiPriority w:val="0"/>
    <w:rPr>
      <w:rFonts w:hint="eastAsia" w:ascii="仿宋_GB2312" w:eastAsia="仿宋_GB2312" w:cs="仿宋_GB2312"/>
      <w:color w:val="000000"/>
      <w:sz w:val="20"/>
      <w:szCs w:val="20"/>
      <w:u w:val="none"/>
    </w:rPr>
  </w:style>
  <w:style w:type="character" w:customStyle="1" w:styleId="399">
    <w:name w:val="font11"/>
    <w:qFormat/>
    <w:uiPriority w:val="0"/>
    <w:rPr>
      <w:rFonts w:hint="default" w:ascii="Times New Roman" w:hAnsi="Times New Roman" w:cs="Times New Roman"/>
      <w:color w:val="000000"/>
      <w:sz w:val="20"/>
      <w:szCs w:val="20"/>
      <w:u w:val="none"/>
    </w:rPr>
  </w:style>
  <w:style w:type="paragraph" w:customStyle="1" w:styleId="400">
    <w:name w:val="纯文本1"/>
    <w:basedOn w:val="1"/>
    <w:qFormat/>
    <w:uiPriority w:val="0"/>
    <w:pPr>
      <w:widowControl w:val="0"/>
      <w:jc w:val="both"/>
    </w:pPr>
    <w:rPr>
      <w:rFonts w:ascii="宋体" w:hAnsi="Courier New" w:eastAsia="宋体" w:cs="宋体"/>
      <w:kern w:val="2"/>
      <w:szCs w:val="21"/>
      <w:lang w:val="en-US"/>
    </w:rPr>
  </w:style>
  <w:style w:type="paragraph" w:customStyle="1" w:styleId="401">
    <w:name w:val="Other|1"/>
    <w:basedOn w:val="1"/>
    <w:qFormat/>
    <w:uiPriority w:val="0"/>
    <w:pPr>
      <w:widowControl w:val="0"/>
      <w:jc w:val="both"/>
    </w:pPr>
    <w:rPr>
      <w:rFonts w:ascii="宋体" w:hAnsi="宋体" w:eastAsia="宋体" w:cs="宋体"/>
      <w:kern w:val="2"/>
      <w:szCs w:val="22"/>
      <w:lang w:val="zh-TW" w:eastAsia="zh-TW" w:bidi="zh-TW"/>
    </w:rPr>
  </w:style>
  <w:style w:type="paragraph" w:customStyle="1" w:styleId="402">
    <w:name w:val="样式3"/>
    <w:basedOn w:val="1"/>
    <w:qFormat/>
    <w:uiPriority w:val="0"/>
    <w:pPr>
      <w:widowControl w:val="0"/>
      <w:numPr>
        <w:ilvl w:val="4"/>
        <w:numId w:val="11"/>
      </w:numPr>
      <w:outlineLvl w:val="4"/>
    </w:pPr>
    <w:rPr>
      <w:rFonts w:ascii="Times New Roman" w:hAnsi="Times New Roman" w:eastAsia="宋体"/>
      <w:bCs/>
      <w:szCs w:val="28"/>
    </w:rPr>
  </w:style>
  <w:style w:type="character" w:customStyle="1" w:styleId="403">
    <w:name w:val="font31"/>
    <w:qFormat/>
    <w:uiPriority w:val="0"/>
    <w:rPr>
      <w:rFonts w:hint="eastAsia" w:ascii="宋体" w:hAnsi="宋体" w:eastAsia="宋体" w:cs="宋体"/>
      <w:color w:val="000000"/>
      <w:sz w:val="22"/>
      <w:szCs w:val="22"/>
      <w:u w:val="none"/>
    </w:rPr>
  </w:style>
  <w:style w:type="character" w:customStyle="1" w:styleId="404">
    <w:name w:val="font81"/>
    <w:basedOn w:val="118"/>
    <w:qFormat/>
    <w:uiPriority w:val="0"/>
    <w:rPr>
      <w:rFonts w:hint="default" w:ascii="Times New Roman" w:hAnsi="Times New Roman" w:cs="Times New Roman"/>
      <w:color w:val="000000"/>
      <w:sz w:val="21"/>
      <w:szCs w:val="21"/>
      <w:u w:val="none"/>
    </w:rPr>
  </w:style>
  <w:style w:type="paragraph" w:customStyle="1" w:styleId="405">
    <w:name w:val="修订2"/>
    <w:hidden/>
    <w:unhideWhenUsed/>
    <w:qFormat/>
    <w:uiPriority w:val="99"/>
    <w:rPr>
      <w:rFonts w:ascii="Cambria" w:hAnsi="Cambria" w:eastAsia="微软雅黑" w:cs="Times New Roman"/>
      <w:kern w:val="20"/>
      <w:sz w:val="21"/>
      <w:lang w:val="zh-CN" w:eastAsia="zh-CN" w:bidi="ar-SA"/>
    </w:rPr>
  </w:style>
  <w:style w:type="paragraph" w:customStyle="1" w:styleId="406">
    <w:name w:val="msolistparagraph1"/>
    <w:basedOn w:val="1"/>
    <w:qFormat/>
    <w:uiPriority w:val="0"/>
    <w:pPr>
      <w:widowControl w:val="0"/>
      <w:ind w:firstLine="420" w:firstLineChars="200"/>
      <w:jc w:val="both"/>
    </w:pPr>
    <w:rPr>
      <w:rFonts w:hint="eastAsia" w:ascii="等线" w:hAnsi="等线" w:eastAsia="等线"/>
      <w:kern w:val="2"/>
      <w:szCs w:val="22"/>
      <w:lang w:val="en-US"/>
    </w:rPr>
  </w:style>
  <w:style w:type="paragraph" w:customStyle="1" w:styleId="407">
    <w:name w:val="msolistparagraph"/>
    <w:basedOn w:val="1"/>
    <w:qFormat/>
    <w:uiPriority w:val="0"/>
    <w:pPr>
      <w:widowControl w:val="0"/>
      <w:ind w:firstLine="420" w:firstLineChars="200"/>
      <w:jc w:val="both"/>
    </w:pPr>
    <w:rPr>
      <w:rFonts w:ascii="Calibri" w:hAnsi="Calibri" w:eastAsia="宋体"/>
      <w:kern w:val="2"/>
      <w:szCs w:val="22"/>
      <w:lang w:val="en-US"/>
    </w:rPr>
  </w:style>
  <w:style w:type="paragraph" w:styleId="408">
    <w:name w:val="Quote"/>
    <w:basedOn w:val="1"/>
    <w:next w:val="1"/>
    <w:link w:val="409"/>
    <w:qFormat/>
    <w:uiPriority w:val="29"/>
    <w:pPr>
      <w:widowControl w:val="0"/>
      <w:spacing w:before="160" w:after="160" w:line="278" w:lineRule="auto"/>
      <w:jc w:val="center"/>
    </w:pPr>
    <w:rPr>
      <w:rFonts w:asciiTheme="minorHAnsi" w:hAnsiTheme="minorHAnsi" w:eastAsiaTheme="minorEastAsia" w:cstheme="minorBidi"/>
      <w:i/>
      <w:iCs/>
      <w:color w:val="404040" w:themeColor="text1" w:themeTint="BF"/>
      <w:kern w:val="2"/>
      <w:sz w:val="22"/>
      <w:szCs w:val="24"/>
      <w:lang w:val="en-US"/>
      <w14:textFill>
        <w14:solidFill>
          <w14:schemeClr w14:val="tx1">
            <w14:lumMod w14:val="75000"/>
            <w14:lumOff w14:val="25000"/>
          </w14:schemeClr>
        </w14:solidFill>
      </w14:textFill>
      <w14:ligatures w14:val="standardContextual"/>
    </w:rPr>
  </w:style>
  <w:style w:type="character" w:customStyle="1" w:styleId="409">
    <w:name w:val="引用 字符"/>
    <w:basedOn w:val="118"/>
    <w:link w:val="408"/>
    <w:qFormat/>
    <w:uiPriority w:val="29"/>
    <w:rPr>
      <w:rFonts w:asciiTheme="minorHAnsi" w:hAnsiTheme="minorHAnsi" w:eastAsiaTheme="minorEastAsia" w:cstheme="minorBidi"/>
      <w:i/>
      <w:iCs/>
      <w:color w:val="404040" w:themeColor="text1" w:themeTint="BF"/>
      <w:kern w:val="2"/>
      <w:sz w:val="22"/>
      <w:szCs w:val="24"/>
      <w14:textFill>
        <w14:solidFill>
          <w14:schemeClr w14:val="tx1">
            <w14:lumMod w14:val="75000"/>
            <w14:lumOff w14:val="25000"/>
          </w14:schemeClr>
        </w14:solidFill>
      </w14:textFill>
      <w14:ligatures w14:val="standardContextual"/>
    </w:rPr>
  </w:style>
  <w:style w:type="character" w:customStyle="1" w:styleId="410">
    <w:name w:val="Intense Emphasis"/>
    <w:basedOn w:val="118"/>
    <w:qFormat/>
    <w:uiPriority w:val="21"/>
    <w:rPr>
      <w:i/>
      <w:iCs/>
      <w:color w:val="376092" w:themeColor="accent1" w:themeShade="BF"/>
    </w:rPr>
  </w:style>
  <w:style w:type="paragraph" w:styleId="411">
    <w:name w:val="Intense Quote"/>
    <w:basedOn w:val="1"/>
    <w:next w:val="1"/>
    <w:link w:val="412"/>
    <w:qFormat/>
    <w:uiPriority w:val="30"/>
    <w:pPr>
      <w:widowControl w:val="0"/>
      <w:pBdr>
        <w:top w:val="single" w:color="366091" w:themeColor="accent1" w:themeShade="BF" w:sz="4" w:space="10"/>
        <w:bottom w:val="single" w:color="366091" w:themeColor="accent1" w:themeShade="BF" w:sz="4" w:space="10"/>
      </w:pBdr>
      <w:spacing w:before="360" w:after="360" w:line="278" w:lineRule="auto"/>
      <w:ind w:left="864" w:right="864"/>
      <w:jc w:val="center"/>
    </w:pPr>
    <w:rPr>
      <w:rFonts w:asciiTheme="minorHAnsi" w:hAnsiTheme="minorHAnsi" w:eastAsiaTheme="minorEastAsia" w:cstheme="minorBidi"/>
      <w:i/>
      <w:iCs/>
      <w:color w:val="376092" w:themeColor="accent1" w:themeShade="BF"/>
      <w:kern w:val="2"/>
      <w:sz w:val="22"/>
      <w:szCs w:val="24"/>
      <w:lang w:val="en-US"/>
      <w14:ligatures w14:val="standardContextual"/>
    </w:rPr>
  </w:style>
  <w:style w:type="character" w:customStyle="1" w:styleId="412">
    <w:name w:val="明显引用 字符"/>
    <w:basedOn w:val="118"/>
    <w:link w:val="411"/>
    <w:qFormat/>
    <w:uiPriority w:val="30"/>
    <w:rPr>
      <w:rFonts w:asciiTheme="minorHAnsi" w:hAnsiTheme="minorHAnsi" w:eastAsiaTheme="minorEastAsia" w:cstheme="minorBidi"/>
      <w:i/>
      <w:iCs/>
      <w:color w:val="376092" w:themeColor="accent1" w:themeShade="BF"/>
      <w:kern w:val="2"/>
      <w:sz w:val="22"/>
      <w:szCs w:val="24"/>
      <w14:ligatures w14:val="standardContextual"/>
    </w:rPr>
  </w:style>
  <w:style w:type="character" w:customStyle="1" w:styleId="413">
    <w:name w:val="Intense Reference"/>
    <w:basedOn w:val="118"/>
    <w:qFormat/>
    <w:uiPriority w:val="32"/>
    <w:rPr>
      <w:b/>
      <w:bCs/>
      <w:smallCaps/>
      <w:color w:val="376092" w:themeColor="accent1" w:themeShade="BF"/>
      <w:spacing w:val="5"/>
    </w:rPr>
  </w:style>
  <w:style w:type="paragraph" w:customStyle="1" w:styleId="414">
    <w:name w:val="msonormal"/>
    <w:basedOn w:val="1"/>
    <w:qFormat/>
    <w:uiPriority w:val="0"/>
    <w:pPr>
      <w:spacing w:before="100" w:beforeAutospacing="1" w:after="100" w:afterAutospacing="1"/>
    </w:pPr>
    <w:rPr>
      <w:rFonts w:ascii="宋体" w:hAnsi="宋体" w:eastAsia="宋体" w:cs="宋体"/>
      <w:kern w:val="0"/>
      <w:sz w:val="24"/>
      <w:szCs w:val="24"/>
      <w:lang w:val="en-US"/>
    </w:rPr>
  </w:style>
  <w:style w:type="character" w:customStyle="1" w:styleId="415">
    <w:name w:val="正文首行缩进 字符"/>
    <w:basedOn w:val="133"/>
    <w:link w:val="79"/>
    <w:qFormat/>
    <w:uiPriority w:val="0"/>
    <w:rPr>
      <w:rFonts w:ascii="Cambria" w:hAnsi="Cambria" w:eastAsia="微软雅黑"/>
      <w:color w:val="595959"/>
      <w:kern w:val="20"/>
      <w:sz w:val="21"/>
      <w:lang w:val="zh-CN"/>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microsoft.com/office/2006/relationships/keyMapCustomizations" Target="customizations.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2.png"/><Relationship Id="rId17" Type="http://schemas.openxmlformats.org/officeDocument/2006/relationships/theme" Target="theme/theme1.xml"/><Relationship Id="rId16" Type="http://schemas.openxmlformats.org/officeDocument/2006/relationships/header" Target="header11.xml"/><Relationship Id="rId15" Type="http://schemas.openxmlformats.org/officeDocument/2006/relationships/header" Target="header10.xml"/><Relationship Id="rId14" Type="http://schemas.openxmlformats.org/officeDocument/2006/relationships/header" Target="header9.xml"/><Relationship Id="rId13" Type="http://schemas.openxmlformats.org/officeDocument/2006/relationships/header" Target="header8.xml"/><Relationship Id="rId12" Type="http://schemas.openxmlformats.org/officeDocument/2006/relationships/header" Target="header7.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180</Pages>
  <Words>127384</Words>
  <Characters>144657</Characters>
  <Lines>1348</Lines>
  <Paragraphs>379</Paragraphs>
  <TotalTime>6</TotalTime>
  <ScaleCrop>false</ScaleCrop>
  <LinksUpToDate>false</LinksUpToDate>
  <CharactersWithSpaces>162367</CharactersWithSpaces>
  <Application>WPS Office_11.8.2.12011_F1E327BC-269C-435d-A152-05C5408002CA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2024-10-24T00:27:00Z</dcterms:created>
  <dc:creator>徐志凤</dc:creator>
  <cp:lastModifiedBy>石健彤</cp:lastModifiedBy>
  <cp:lastPrinted>2024-07-29T00:07:00Z</cp:lastPrinted>
  <dcterms:modified xsi:type="dcterms:W3CDTF">2024-11-14T07:10:08Z</dcterms:modified>
  <dc:title> </dc:title>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2052-11.8.2.12011</vt:lpwstr>
  </property>
  <property fmtid="{D5CDD505-2E9C-101B-9397-08002B2CF9AE}" pid="3" name="ICV">
    <vt:lpwstr>36636E78EB75497DA4B83B20089DCC35</vt:lpwstr>
  </property>
</Properties>
</file>