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rPr>
          <w:rFonts w:ascii="仿宋" w:hAnsi="仿宋" w:eastAsia="仿宋" w:cs="仿宋_GB2312"/>
          <w:snapToGrid w:val="0"/>
          <w:color w:val="000000" w:themeColor="text1"/>
          <w:sz w:val="24"/>
          <w:szCs w:val="24"/>
        </w:rPr>
      </w:pPr>
      <w:bookmarkStart w:id="0" w:name="_Toc10406383"/>
      <w:bookmarkStart w:id="1" w:name="_Toc476122381"/>
    </w:p>
    <w:p>
      <w:pPr>
        <w:snapToGrid w:val="0"/>
        <w:spacing w:line="400" w:lineRule="exact"/>
        <w:rPr>
          <w:rFonts w:ascii="仿宋" w:hAnsi="仿宋" w:eastAsia="仿宋" w:cs="仿宋_GB2312"/>
          <w:snapToGrid w:val="0"/>
          <w:color w:val="000000" w:themeColor="text1"/>
          <w:szCs w:val="21"/>
        </w:rPr>
      </w:pPr>
    </w:p>
    <w:p>
      <w:pPr>
        <w:snapToGrid w:val="0"/>
        <w:spacing w:line="400" w:lineRule="exact"/>
        <w:rPr>
          <w:rFonts w:ascii="仿宋" w:hAnsi="仿宋" w:eastAsia="仿宋" w:cs="仿宋_GB2312"/>
          <w:snapToGrid w:val="0"/>
          <w:color w:val="000000" w:themeColor="text1"/>
          <w:szCs w:val="21"/>
        </w:rPr>
      </w:pPr>
    </w:p>
    <w:p>
      <w:pPr>
        <w:snapToGrid w:val="0"/>
        <w:spacing w:line="400" w:lineRule="exact"/>
        <w:rPr>
          <w:rFonts w:ascii="仿宋" w:hAnsi="仿宋" w:eastAsia="仿宋" w:cs="仿宋_GB2312"/>
          <w:snapToGrid w:val="0"/>
          <w:color w:val="000000" w:themeColor="text1"/>
          <w:szCs w:val="21"/>
        </w:rPr>
      </w:pPr>
    </w:p>
    <w:p>
      <w:pPr>
        <w:snapToGrid w:val="0"/>
        <w:spacing w:line="360" w:lineRule="auto"/>
        <w:jc w:val="center"/>
        <w:rPr>
          <w:rFonts w:ascii="仿宋" w:hAnsi="仿宋" w:eastAsia="仿宋" w:cs="仿宋_GB2312"/>
          <w:snapToGrid w:val="0"/>
          <w:color w:val="000000" w:themeColor="text1"/>
          <w:sz w:val="72"/>
          <w:szCs w:val="72"/>
        </w:rPr>
      </w:pPr>
      <w:r>
        <w:rPr>
          <w:rFonts w:hint="eastAsia" w:ascii="仿宋" w:hAnsi="仿宋" w:eastAsia="仿宋" w:cs="仿宋_GB2312"/>
          <w:snapToGrid w:val="0"/>
          <w:color w:val="000000" w:themeColor="text1"/>
          <w:sz w:val="72"/>
          <w:szCs w:val="72"/>
          <w:lang w:val="zh-CN"/>
        </w:rPr>
        <w:t>竞争性磋商招标文件</w:t>
      </w:r>
    </w:p>
    <w:p>
      <w:pPr>
        <w:snapToGrid w:val="0"/>
        <w:spacing w:line="400" w:lineRule="exact"/>
        <w:jc w:val="center"/>
        <w:rPr>
          <w:rFonts w:ascii="仿宋" w:hAnsi="仿宋" w:eastAsia="仿宋" w:cs="仿宋_GB2312"/>
          <w:b/>
          <w:bCs/>
          <w:snapToGrid w:val="0"/>
          <w:color w:val="000000" w:themeColor="text1"/>
          <w:sz w:val="32"/>
          <w:szCs w:val="32"/>
        </w:rPr>
      </w:pPr>
    </w:p>
    <w:p>
      <w:pPr>
        <w:snapToGrid w:val="0"/>
        <w:spacing w:line="400" w:lineRule="exact"/>
        <w:jc w:val="center"/>
        <w:rPr>
          <w:rFonts w:ascii="仿宋" w:hAnsi="仿宋" w:eastAsia="仿宋" w:cs="仿宋_GB2312"/>
          <w:b/>
          <w:bCs/>
          <w:snapToGrid w:val="0"/>
          <w:color w:val="000000" w:themeColor="text1"/>
          <w:sz w:val="32"/>
          <w:szCs w:val="32"/>
        </w:rPr>
      </w:pPr>
    </w:p>
    <w:p>
      <w:pPr>
        <w:snapToGrid w:val="0"/>
        <w:spacing w:line="400" w:lineRule="exact"/>
        <w:ind w:firstLine="1446" w:firstLineChars="400"/>
        <w:rPr>
          <w:rFonts w:ascii="仿宋" w:hAnsi="仿宋" w:eastAsia="仿宋" w:cs="仿宋_GB2312"/>
          <w:b/>
          <w:bCs/>
          <w:snapToGrid w:val="0"/>
          <w:color w:val="000000" w:themeColor="text1"/>
          <w:sz w:val="36"/>
          <w:szCs w:val="36"/>
          <w:lang w:val="zh-CN"/>
        </w:rPr>
      </w:pPr>
    </w:p>
    <w:p>
      <w:pPr>
        <w:snapToGrid w:val="0"/>
        <w:spacing w:line="400" w:lineRule="exact"/>
        <w:ind w:firstLine="1446" w:firstLineChars="400"/>
        <w:rPr>
          <w:rFonts w:ascii="仿宋" w:hAnsi="仿宋" w:eastAsia="仿宋" w:cs="仿宋_GB2312"/>
          <w:b/>
          <w:bCs/>
          <w:snapToGrid w:val="0"/>
          <w:color w:val="000000" w:themeColor="text1"/>
          <w:sz w:val="36"/>
          <w:szCs w:val="36"/>
          <w:lang w:val="zh-CN"/>
        </w:rPr>
      </w:pPr>
    </w:p>
    <w:p>
      <w:pPr>
        <w:snapToGrid w:val="0"/>
        <w:spacing w:line="400" w:lineRule="exact"/>
        <w:jc w:val="center"/>
        <w:rPr>
          <w:rFonts w:ascii="仿宋" w:hAnsi="仿宋" w:eastAsia="仿宋" w:cs="仿宋_GB2312"/>
          <w:b/>
          <w:bCs/>
          <w:snapToGrid w:val="0"/>
          <w:color w:val="000000" w:themeColor="text1"/>
          <w:sz w:val="36"/>
          <w:szCs w:val="36"/>
        </w:rPr>
      </w:pPr>
      <w:r>
        <w:rPr>
          <w:rFonts w:hint="eastAsia" w:ascii="仿宋" w:hAnsi="仿宋" w:eastAsia="仿宋" w:cs="仿宋_GB2312"/>
          <w:b/>
          <w:bCs/>
          <w:snapToGrid w:val="0"/>
          <w:color w:val="000000" w:themeColor="text1"/>
          <w:sz w:val="36"/>
          <w:szCs w:val="36"/>
          <w:lang w:val="zh-CN"/>
        </w:rPr>
        <w:t>项目编号:</w:t>
      </w:r>
      <w:r>
        <w:rPr>
          <w:rFonts w:hint="eastAsia" w:ascii="仿宋" w:hAnsi="仿宋" w:eastAsia="仿宋" w:cs="仿宋_GB2312"/>
          <w:b/>
          <w:bCs/>
          <w:snapToGrid w:val="0"/>
          <w:color w:val="000000" w:themeColor="text1"/>
          <w:sz w:val="36"/>
          <w:szCs w:val="36"/>
        </w:rPr>
        <w:t>BKWZC[2020]006号</w:t>
      </w:r>
    </w:p>
    <w:p>
      <w:pPr>
        <w:snapToGrid w:val="0"/>
        <w:spacing w:line="400" w:lineRule="exact"/>
        <w:jc w:val="center"/>
        <w:rPr>
          <w:rFonts w:ascii="仿宋" w:hAnsi="仿宋" w:eastAsia="仿宋" w:cs="仿宋_GB2312"/>
          <w:b/>
          <w:bCs/>
          <w:snapToGrid w:val="0"/>
          <w:color w:val="000000" w:themeColor="text1"/>
          <w:sz w:val="36"/>
          <w:szCs w:val="36"/>
        </w:rPr>
      </w:pPr>
    </w:p>
    <w:p>
      <w:pPr>
        <w:pStyle w:val="29"/>
        <w:rPr>
          <w:rFonts w:ascii="Times New Roman" w:hAnsi="Times New Roman" w:eastAsia="宋体" w:cs="Times New Roman"/>
        </w:rPr>
      </w:pPr>
      <w:r>
        <w:rPr>
          <w:rFonts w:hint="eastAsia" w:ascii="仿宋" w:hAnsi="仿宋" w:eastAsia="仿宋" w:cs="仿宋_GB2312"/>
          <w:b/>
          <w:bCs/>
          <w:snapToGrid w:val="0"/>
          <w:color w:val="000000" w:themeColor="text1"/>
          <w:sz w:val="32"/>
          <w:szCs w:val="32"/>
          <w:lang w:val="zh-CN"/>
        </w:rPr>
        <w:t xml:space="preserve">        项目名称：新干县公安局智能枪弹柜</w:t>
      </w:r>
      <w:r>
        <w:rPr>
          <w:rFonts w:ascii="仿宋" w:hAnsi="仿宋" w:eastAsia="仿宋" w:cs="仿宋_GB2312"/>
          <w:b/>
          <w:bCs/>
          <w:snapToGrid w:val="0"/>
          <w:color w:val="000000" w:themeColor="text1"/>
          <w:sz w:val="32"/>
          <w:szCs w:val="32"/>
          <w:lang w:val="zh-CN"/>
        </w:rPr>
        <w:t>采购项目</w:t>
      </w:r>
    </w:p>
    <w:p>
      <w:pPr>
        <w:snapToGrid w:val="0"/>
        <w:spacing w:line="400" w:lineRule="exact"/>
        <w:jc w:val="center"/>
        <w:rPr>
          <w:rFonts w:ascii="仿宋" w:hAnsi="仿宋" w:eastAsia="仿宋" w:cs="仿宋_GB2312"/>
          <w:snapToGrid w:val="0"/>
          <w:color w:val="000000" w:themeColor="text1"/>
          <w:sz w:val="30"/>
          <w:szCs w:val="30"/>
        </w:rPr>
      </w:pPr>
    </w:p>
    <w:p>
      <w:pPr>
        <w:snapToGrid w:val="0"/>
        <w:spacing w:line="400" w:lineRule="exact"/>
        <w:jc w:val="center"/>
        <w:rPr>
          <w:rFonts w:ascii="仿宋" w:hAnsi="仿宋" w:eastAsia="仿宋" w:cs="仿宋_GB2312"/>
          <w:snapToGrid w:val="0"/>
          <w:color w:val="000000" w:themeColor="text1"/>
          <w:sz w:val="30"/>
          <w:szCs w:val="30"/>
        </w:rPr>
      </w:pPr>
    </w:p>
    <w:p>
      <w:pPr>
        <w:snapToGrid w:val="0"/>
        <w:spacing w:line="400" w:lineRule="exact"/>
        <w:jc w:val="center"/>
        <w:rPr>
          <w:rFonts w:ascii="仿宋" w:hAnsi="仿宋" w:eastAsia="仿宋" w:cs="仿宋_GB2312"/>
          <w:snapToGrid w:val="0"/>
          <w:color w:val="000000" w:themeColor="text1"/>
          <w:sz w:val="30"/>
          <w:szCs w:val="30"/>
        </w:rPr>
      </w:pPr>
    </w:p>
    <w:p>
      <w:pPr>
        <w:snapToGrid w:val="0"/>
        <w:spacing w:line="400" w:lineRule="exact"/>
        <w:jc w:val="center"/>
        <w:rPr>
          <w:rFonts w:ascii="仿宋" w:hAnsi="仿宋" w:eastAsia="仿宋" w:cs="仿宋_GB2312"/>
          <w:snapToGrid w:val="0"/>
          <w:color w:val="000000" w:themeColor="text1"/>
          <w:sz w:val="30"/>
          <w:szCs w:val="30"/>
        </w:rPr>
      </w:pPr>
    </w:p>
    <w:p>
      <w:pPr>
        <w:snapToGrid w:val="0"/>
        <w:spacing w:line="400" w:lineRule="exact"/>
        <w:jc w:val="center"/>
        <w:rPr>
          <w:rFonts w:ascii="仿宋" w:hAnsi="仿宋" w:eastAsia="仿宋" w:cs="仿宋_GB2312"/>
          <w:snapToGrid w:val="0"/>
          <w:color w:val="000000" w:themeColor="text1"/>
          <w:sz w:val="30"/>
          <w:szCs w:val="30"/>
        </w:rPr>
      </w:pPr>
    </w:p>
    <w:p>
      <w:pPr>
        <w:snapToGrid w:val="0"/>
        <w:spacing w:line="400" w:lineRule="exact"/>
        <w:jc w:val="center"/>
        <w:rPr>
          <w:rFonts w:ascii="仿宋" w:hAnsi="仿宋" w:eastAsia="仿宋" w:cs="仿宋_GB2312"/>
          <w:snapToGrid w:val="0"/>
          <w:color w:val="000000" w:themeColor="text1"/>
          <w:sz w:val="30"/>
          <w:szCs w:val="30"/>
        </w:rPr>
      </w:pPr>
    </w:p>
    <w:p>
      <w:pPr>
        <w:snapToGrid w:val="0"/>
        <w:spacing w:line="400" w:lineRule="exact"/>
        <w:jc w:val="center"/>
        <w:rPr>
          <w:rFonts w:ascii="仿宋" w:hAnsi="仿宋" w:eastAsia="仿宋" w:cs="仿宋_GB2312"/>
          <w:snapToGrid w:val="0"/>
          <w:color w:val="000000" w:themeColor="text1"/>
          <w:sz w:val="30"/>
          <w:szCs w:val="30"/>
        </w:rPr>
      </w:pPr>
    </w:p>
    <w:p>
      <w:pPr>
        <w:snapToGrid w:val="0"/>
        <w:spacing w:line="400" w:lineRule="exact"/>
        <w:jc w:val="center"/>
        <w:rPr>
          <w:rFonts w:ascii="仿宋" w:hAnsi="仿宋" w:eastAsia="仿宋" w:cs="仿宋_GB2312"/>
          <w:snapToGrid w:val="0"/>
          <w:color w:val="000000" w:themeColor="text1"/>
          <w:sz w:val="30"/>
          <w:szCs w:val="30"/>
        </w:rPr>
      </w:pPr>
    </w:p>
    <w:p>
      <w:pPr>
        <w:snapToGrid w:val="0"/>
        <w:spacing w:line="400" w:lineRule="exact"/>
        <w:rPr>
          <w:rFonts w:ascii="仿宋" w:hAnsi="仿宋" w:eastAsia="仿宋" w:cs="仿宋_GB2312"/>
          <w:b/>
          <w:bCs/>
          <w:snapToGrid w:val="0"/>
          <w:color w:val="000000" w:themeColor="text1"/>
          <w:sz w:val="32"/>
          <w:szCs w:val="32"/>
        </w:rPr>
      </w:pPr>
    </w:p>
    <w:p>
      <w:pPr>
        <w:snapToGrid w:val="0"/>
        <w:spacing w:line="400" w:lineRule="exact"/>
        <w:rPr>
          <w:rFonts w:ascii="仿宋" w:hAnsi="仿宋" w:eastAsia="仿宋" w:cs="仿宋_GB2312"/>
          <w:b/>
          <w:bCs/>
          <w:snapToGrid w:val="0"/>
          <w:color w:val="000000" w:themeColor="text1"/>
          <w:sz w:val="32"/>
          <w:szCs w:val="32"/>
          <w:lang w:val="zh-CN"/>
        </w:rPr>
      </w:pPr>
    </w:p>
    <w:p>
      <w:pPr>
        <w:snapToGrid w:val="0"/>
        <w:spacing w:line="400" w:lineRule="exact"/>
        <w:jc w:val="center"/>
        <w:rPr>
          <w:rFonts w:ascii="仿宋" w:hAnsi="仿宋" w:eastAsia="仿宋" w:cs="仿宋_GB2312"/>
          <w:snapToGrid w:val="0"/>
          <w:color w:val="000000" w:themeColor="text1"/>
          <w:sz w:val="30"/>
          <w:szCs w:val="30"/>
        </w:rPr>
      </w:pPr>
    </w:p>
    <w:p>
      <w:pPr>
        <w:snapToGrid w:val="0"/>
        <w:spacing w:line="400" w:lineRule="exact"/>
        <w:jc w:val="center"/>
        <w:rPr>
          <w:rFonts w:ascii="仿宋" w:hAnsi="仿宋" w:eastAsia="仿宋" w:cs="仿宋_GB2312"/>
          <w:bCs/>
          <w:snapToGrid w:val="0"/>
          <w:color w:val="000000" w:themeColor="text1"/>
        </w:rPr>
      </w:pPr>
      <w:r>
        <w:rPr>
          <w:rFonts w:hint="eastAsia" w:ascii="仿宋" w:hAnsi="仿宋" w:eastAsia="仿宋" w:cs="仿宋_GB2312"/>
          <w:bCs/>
          <w:snapToGrid w:val="0"/>
          <w:color w:val="000000" w:themeColor="text1"/>
          <w:sz w:val="30"/>
          <w:szCs w:val="30"/>
        </w:rPr>
        <w:t>江西省博可为工程管理有限公司</w:t>
      </w:r>
    </w:p>
    <w:p>
      <w:pPr>
        <w:snapToGrid w:val="0"/>
        <w:spacing w:line="400" w:lineRule="exact"/>
        <w:ind w:right="-99" w:rightChars="-47"/>
        <w:jc w:val="center"/>
        <w:rPr>
          <w:rFonts w:ascii="仿宋" w:hAnsi="仿宋" w:eastAsia="仿宋" w:cs="仿宋_GB2312"/>
          <w:snapToGrid w:val="0"/>
          <w:color w:val="000000" w:themeColor="text1"/>
          <w:szCs w:val="21"/>
        </w:rPr>
      </w:pPr>
    </w:p>
    <w:p>
      <w:pPr>
        <w:snapToGrid w:val="0"/>
        <w:spacing w:line="400" w:lineRule="exact"/>
        <w:jc w:val="center"/>
        <w:rPr>
          <w:rFonts w:ascii="仿宋" w:hAnsi="仿宋" w:eastAsia="仿宋" w:cs="仿宋_GB2312"/>
          <w:bCs/>
          <w:snapToGrid w:val="0"/>
          <w:color w:val="000000" w:themeColor="text1"/>
          <w:szCs w:val="21"/>
        </w:rPr>
      </w:pPr>
    </w:p>
    <w:p>
      <w:pPr>
        <w:snapToGrid w:val="0"/>
        <w:spacing w:line="400" w:lineRule="exact"/>
        <w:jc w:val="center"/>
        <w:rPr>
          <w:rFonts w:ascii="仿宋" w:hAnsi="仿宋" w:eastAsia="仿宋" w:cs="仿宋_GB2312"/>
          <w:b/>
          <w:bCs/>
          <w:snapToGrid w:val="0"/>
          <w:color w:val="000000" w:themeColor="text1"/>
          <w:sz w:val="32"/>
          <w:szCs w:val="32"/>
          <w:lang w:val="zh-CN"/>
        </w:rPr>
      </w:pPr>
    </w:p>
    <w:p>
      <w:pPr>
        <w:snapToGrid w:val="0"/>
        <w:spacing w:line="400" w:lineRule="exact"/>
        <w:jc w:val="center"/>
        <w:rPr>
          <w:rFonts w:ascii="仿宋" w:hAnsi="仿宋" w:eastAsia="仿宋" w:cs="仿宋_GB2312"/>
          <w:b/>
          <w:bCs/>
          <w:snapToGrid w:val="0"/>
          <w:color w:val="000000" w:themeColor="text1"/>
          <w:sz w:val="32"/>
          <w:szCs w:val="32"/>
          <w:lang w:val="zh-CN"/>
        </w:rPr>
      </w:pPr>
    </w:p>
    <w:p>
      <w:pPr>
        <w:snapToGrid w:val="0"/>
        <w:spacing w:line="400" w:lineRule="exact"/>
        <w:jc w:val="center"/>
        <w:rPr>
          <w:rFonts w:ascii="仿宋" w:hAnsi="仿宋" w:eastAsia="仿宋" w:cs="仿宋_GB2312"/>
          <w:b/>
          <w:bCs/>
          <w:snapToGrid w:val="0"/>
          <w:color w:val="000000" w:themeColor="text1"/>
          <w:sz w:val="32"/>
          <w:szCs w:val="32"/>
          <w:lang w:val="zh-CN"/>
        </w:rPr>
      </w:pPr>
    </w:p>
    <w:p>
      <w:pPr>
        <w:rPr>
          <w:rFonts w:ascii="仿宋" w:hAnsi="仿宋" w:eastAsia="仿宋"/>
          <w:color w:val="000000" w:themeColor="text1"/>
        </w:rPr>
        <w:sectPr>
          <w:footerReference r:id="rId5" w:type="first"/>
          <w:headerReference r:id="rId3" w:type="default"/>
          <w:footerReference r:id="rId4" w:type="default"/>
          <w:pgSz w:w="11906" w:h="16838"/>
          <w:pgMar w:top="1134" w:right="1134" w:bottom="1134" w:left="1134" w:header="567" w:footer="567" w:gutter="0"/>
          <w:cols w:space="720" w:num="1"/>
          <w:docGrid w:type="lines" w:linePitch="312" w:charSpace="0"/>
        </w:sectPr>
      </w:pPr>
    </w:p>
    <w:p>
      <w:pPr>
        <w:spacing w:afterLines="75"/>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目录</w:t>
      </w:r>
    </w:p>
    <w:p>
      <w:pPr>
        <w:pStyle w:val="13"/>
        <w:tabs>
          <w:tab w:val="right" w:leader="middleDot" w:pos="9628"/>
        </w:tabs>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TOC \o "1-3" \h \z \u </w:instrText>
      </w:r>
      <w:r>
        <w:rPr>
          <w:rFonts w:hint="eastAsia" w:ascii="仿宋" w:hAnsi="仿宋" w:eastAsia="仿宋" w:cs="仿宋"/>
          <w:color w:val="000000" w:themeColor="text1"/>
          <w:sz w:val="24"/>
          <w:szCs w:val="24"/>
        </w:rPr>
        <w:fldChar w:fldCharType="separate"/>
      </w:r>
      <w:r>
        <w:fldChar w:fldCharType="begin"/>
      </w:r>
      <w:r>
        <w:instrText xml:space="preserve"> HYPERLINK \l "_Toc34984016" </w:instrText>
      </w:r>
      <w:r>
        <w:fldChar w:fldCharType="separate"/>
      </w:r>
      <w:r>
        <w:rPr>
          <w:rStyle w:val="19"/>
          <w:rFonts w:hint="eastAsia" w:ascii="仿宋" w:hAnsi="仿宋" w:eastAsia="仿宋" w:cs="仿宋"/>
          <w:snapToGrid w:val="0"/>
          <w:color w:val="000000" w:themeColor="text1"/>
          <w:sz w:val="24"/>
          <w:szCs w:val="24"/>
        </w:rPr>
        <w:t>第一章竞争性磋商公告</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_Toc34984016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3</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13"/>
        <w:tabs>
          <w:tab w:val="right" w:leader="middleDot" w:pos="9628"/>
        </w:tabs>
        <w:rPr>
          <w:rFonts w:ascii="仿宋" w:hAnsi="仿宋" w:eastAsia="仿宋" w:cs="仿宋"/>
          <w:color w:val="000000" w:themeColor="text1"/>
          <w:sz w:val="24"/>
          <w:szCs w:val="24"/>
        </w:rPr>
      </w:pPr>
      <w:r>
        <w:fldChar w:fldCharType="begin"/>
      </w:r>
      <w:r>
        <w:instrText xml:space="preserve"> HYPERLINK \l "_Toc34984017" </w:instrText>
      </w:r>
      <w:r>
        <w:fldChar w:fldCharType="separate"/>
      </w:r>
      <w:r>
        <w:rPr>
          <w:rStyle w:val="19"/>
          <w:rFonts w:hint="eastAsia" w:ascii="仿宋" w:hAnsi="仿宋" w:eastAsia="仿宋" w:cs="仿宋"/>
          <w:color w:val="000000" w:themeColor="text1"/>
          <w:sz w:val="24"/>
          <w:szCs w:val="24"/>
        </w:rPr>
        <w:t>第二章投标人须知</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_Toc34984017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5</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"_Toc34984018" </w:instrText>
      </w:r>
      <w:r>
        <w:fldChar w:fldCharType="separate"/>
      </w:r>
      <w:r>
        <w:rPr>
          <w:rStyle w:val="19"/>
          <w:rFonts w:hint="eastAsia" w:ascii="仿宋" w:hAnsi="仿宋" w:eastAsia="仿宋" w:cs="仿宋"/>
          <w:snapToGrid w:val="0"/>
          <w:color w:val="000000" w:themeColor="text1"/>
          <w:kern w:val="0"/>
          <w:sz w:val="24"/>
          <w:szCs w:val="24"/>
        </w:rPr>
        <w:t>一、前附表（招标文件如与本前附表有冲突的，以本前附表为准）</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_Toc34984018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5</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"_Toc34984019" </w:instrText>
      </w:r>
      <w:r>
        <w:fldChar w:fldCharType="separate"/>
      </w:r>
      <w:r>
        <w:rPr>
          <w:rStyle w:val="19"/>
          <w:rFonts w:hint="eastAsia" w:ascii="仿宋" w:hAnsi="仿宋" w:eastAsia="仿宋" w:cs="仿宋"/>
          <w:snapToGrid w:val="0"/>
          <w:color w:val="000000" w:themeColor="text1"/>
          <w:kern w:val="0"/>
          <w:sz w:val="24"/>
          <w:szCs w:val="24"/>
        </w:rPr>
        <w:t>二、说明</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_Toc34984019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7</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"_Toc34984020" </w:instrText>
      </w:r>
      <w:r>
        <w:fldChar w:fldCharType="separate"/>
      </w:r>
      <w:r>
        <w:rPr>
          <w:rStyle w:val="19"/>
          <w:rFonts w:hint="eastAsia" w:ascii="仿宋" w:hAnsi="仿宋" w:eastAsia="仿宋" w:cs="仿宋"/>
          <w:snapToGrid w:val="0"/>
          <w:color w:val="000000" w:themeColor="text1"/>
          <w:kern w:val="0"/>
          <w:sz w:val="24"/>
          <w:szCs w:val="24"/>
        </w:rPr>
        <w:t>三、招标文件</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_Toc34984020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7</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"_Toc34984021" </w:instrText>
      </w:r>
      <w:r>
        <w:fldChar w:fldCharType="separate"/>
      </w:r>
      <w:r>
        <w:rPr>
          <w:rStyle w:val="19"/>
          <w:rFonts w:hint="eastAsia" w:ascii="仿宋" w:hAnsi="仿宋" w:eastAsia="仿宋" w:cs="仿宋"/>
          <w:snapToGrid w:val="0"/>
          <w:color w:val="000000" w:themeColor="text1"/>
          <w:kern w:val="0"/>
          <w:sz w:val="24"/>
          <w:szCs w:val="24"/>
        </w:rPr>
        <w:t>四、投标文件</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_Toc34984021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8</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"_Toc34984022" </w:instrText>
      </w:r>
      <w:r>
        <w:fldChar w:fldCharType="separate"/>
      </w:r>
      <w:r>
        <w:rPr>
          <w:rStyle w:val="19"/>
          <w:rFonts w:hint="eastAsia" w:ascii="仿宋" w:hAnsi="仿宋" w:eastAsia="仿宋" w:cs="仿宋"/>
          <w:snapToGrid w:val="0"/>
          <w:color w:val="000000" w:themeColor="text1"/>
          <w:kern w:val="0"/>
          <w:sz w:val="24"/>
          <w:szCs w:val="24"/>
        </w:rPr>
        <w:t>五、投标文件递交</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_Toc34984022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9</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"_Toc34984023" </w:instrText>
      </w:r>
      <w:r>
        <w:fldChar w:fldCharType="separate"/>
      </w:r>
      <w:r>
        <w:rPr>
          <w:rStyle w:val="19"/>
          <w:rFonts w:hint="eastAsia" w:ascii="仿宋" w:hAnsi="仿宋" w:eastAsia="仿宋" w:cs="仿宋"/>
          <w:snapToGrid w:val="0"/>
          <w:color w:val="000000" w:themeColor="text1"/>
          <w:kern w:val="0"/>
          <w:sz w:val="24"/>
          <w:szCs w:val="24"/>
        </w:rPr>
        <w:t>六、开标、评标、定标</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_Toc34984023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9</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"_Toc34984024" </w:instrText>
      </w:r>
      <w:r>
        <w:fldChar w:fldCharType="separate"/>
      </w:r>
      <w:r>
        <w:rPr>
          <w:rStyle w:val="19"/>
          <w:rFonts w:hint="eastAsia" w:ascii="仿宋" w:hAnsi="仿宋" w:eastAsia="仿宋" w:cs="仿宋"/>
          <w:snapToGrid w:val="0"/>
          <w:color w:val="000000" w:themeColor="text1"/>
          <w:kern w:val="0"/>
          <w:sz w:val="24"/>
          <w:szCs w:val="24"/>
        </w:rPr>
        <w:t>七、质疑、投诉及其他</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_Toc34984024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10</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13"/>
        <w:tabs>
          <w:tab w:val="right" w:leader="middleDot" w:pos="9628"/>
        </w:tabs>
        <w:rPr>
          <w:rFonts w:ascii="仿宋" w:hAnsi="仿宋" w:eastAsia="仿宋" w:cs="仿宋"/>
          <w:color w:val="000000" w:themeColor="text1"/>
          <w:sz w:val="24"/>
          <w:szCs w:val="24"/>
        </w:rPr>
      </w:pPr>
      <w:r>
        <w:fldChar w:fldCharType="begin"/>
      </w:r>
      <w:r>
        <w:instrText xml:space="preserve"> HYPERLINK \l "_Toc34984025" </w:instrText>
      </w:r>
      <w:r>
        <w:fldChar w:fldCharType="separate"/>
      </w:r>
      <w:r>
        <w:rPr>
          <w:rStyle w:val="19"/>
          <w:rFonts w:hint="eastAsia" w:ascii="仿宋" w:hAnsi="仿宋" w:eastAsia="仿宋" w:cs="仿宋"/>
          <w:snapToGrid w:val="0"/>
          <w:color w:val="000000" w:themeColor="text1"/>
          <w:sz w:val="24"/>
          <w:szCs w:val="24"/>
        </w:rPr>
        <w:t>第三章采购需求</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_Toc34984025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11</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"_Toc34984026" </w:instrText>
      </w:r>
      <w:r>
        <w:fldChar w:fldCharType="separate"/>
      </w:r>
      <w:r>
        <w:rPr>
          <w:rStyle w:val="19"/>
          <w:rFonts w:hint="eastAsia" w:ascii="仿宋" w:hAnsi="仿宋" w:eastAsia="仿宋" w:cs="仿宋"/>
          <w:snapToGrid w:val="0"/>
          <w:color w:val="000000" w:themeColor="text1"/>
          <w:kern w:val="0"/>
          <w:sz w:val="24"/>
          <w:szCs w:val="24"/>
        </w:rPr>
        <w:t>一、技术参数及要求</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_Toc34984026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12</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"_Toc34984027" </w:instrText>
      </w:r>
      <w:r>
        <w:fldChar w:fldCharType="separate"/>
      </w:r>
      <w:r>
        <w:rPr>
          <w:rStyle w:val="19"/>
          <w:rFonts w:hint="eastAsia" w:ascii="仿宋" w:hAnsi="仿宋" w:eastAsia="仿宋" w:cs="仿宋"/>
          <w:snapToGrid w:val="0"/>
          <w:color w:val="000000" w:themeColor="text1"/>
          <w:kern w:val="0"/>
          <w:sz w:val="24"/>
          <w:szCs w:val="24"/>
        </w:rPr>
        <w:t>二、商务要求</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_Toc34984027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12</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13"/>
        <w:tabs>
          <w:tab w:val="right" w:leader="middleDot" w:pos="9628"/>
        </w:tabs>
        <w:rPr>
          <w:rFonts w:ascii="仿宋" w:hAnsi="仿宋" w:eastAsia="仿宋" w:cs="仿宋"/>
          <w:color w:val="000000" w:themeColor="text1"/>
          <w:sz w:val="24"/>
          <w:szCs w:val="24"/>
        </w:rPr>
      </w:pPr>
      <w:r>
        <w:fldChar w:fldCharType="begin"/>
      </w:r>
      <w:r>
        <w:instrText xml:space="preserve"> HYPERLINK \l "_Toc34984028" </w:instrText>
      </w:r>
      <w:r>
        <w:fldChar w:fldCharType="separate"/>
      </w:r>
      <w:r>
        <w:rPr>
          <w:rStyle w:val="19"/>
          <w:rFonts w:hint="eastAsia" w:ascii="仿宋" w:hAnsi="仿宋" w:eastAsia="仿宋" w:cs="仿宋"/>
          <w:color w:val="000000" w:themeColor="text1"/>
          <w:sz w:val="24"/>
          <w:szCs w:val="24"/>
        </w:rPr>
        <w:t>第四章合同条款</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2</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7</w:t>
      </w:r>
    </w:p>
    <w:p>
      <w:pPr>
        <w:pStyle w:val="13"/>
        <w:tabs>
          <w:tab w:val="right" w:leader="middleDot" w:pos="9628"/>
        </w:tabs>
        <w:rPr>
          <w:rFonts w:ascii="仿宋" w:hAnsi="仿宋" w:eastAsia="仿宋" w:cs="仿宋"/>
          <w:color w:val="000000" w:themeColor="text1"/>
          <w:sz w:val="24"/>
          <w:szCs w:val="24"/>
        </w:rPr>
      </w:pPr>
      <w:r>
        <w:fldChar w:fldCharType="begin"/>
      </w:r>
      <w:r>
        <w:instrText xml:space="preserve"> HYPERLINK \l "_Toc34984029" </w:instrText>
      </w:r>
      <w:r>
        <w:fldChar w:fldCharType="separate"/>
      </w:r>
      <w:r>
        <w:rPr>
          <w:rStyle w:val="19"/>
          <w:rFonts w:hint="eastAsia" w:ascii="仿宋" w:hAnsi="仿宋" w:eastAsia="仿宋" w:cs="仿宋"/>
          <w:color w:val="000000" w:themeColor="text1"/>
          <w:sz w:val="24"/>
          <w:szCs w:val="24"/>
        </w:rPr>
        <w:t>第五章附件</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2</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8</w:t>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"_Toc34984030" </w:instrText>
      </w:r>
      <w:r>
        <w:fldChar w:fldCharType="separate"/>
      </w:r>
      <w:r>
        <w:rPr>
          <w:rStyle w:val="19"/>
          <w:rFonts w:hint="eastAsia" w:ascii="仿宋" w:hAnsi="仿宋" w:eastAsia="仿宋" w:cs="仿宋"/>
          <w:color w:val="000000" w:themeColor="text1"/>
          <w:sz w:val="24"/>
          <w:szCs w:val="24"/>
        </w:rPr>
        <w:t>附件一、评分细则</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 xml:space="preserve"> 2</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9</w:t>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"_Toc34984031" </w:instrText>
      </w:r>
      <w:r>
        <w:fldChar w:fldCharType="separate"/>
      </w:r>
      <w:r>
        <w:rPr>
          <w:rStyle w:val="19"/>
          <w:rFonts w:hint="eastAsia" w:ascii="仿宋" w:hAnsi="仿宋" w:eastAsia="仿宋" w:cs="仿宋"/>
          <w:color w:val="000000" w:themeColor="text1"/>
          <w:sz w:val="24"/>
          <w:szCs w:val="24"/>
        </w:rPr>
        <w:t>附件</w:t>
      </w:r>
      <w:r>
        <w:rPr>
          <w:rStyle w:val="19"/>
          <w:rFonts w:hint="eastAsia" w:ascii="仿宋" w:hAnsi="仿宋" w:eastAsia="仿宋" w:cs="仿宋"/>
          <w:snapToGrid w:val="0"/>
          <w:color w:val="000000" w:themeColor="text1"/>
          <w:kern w:val="0"/>
          <w:sz w:val="24"/>
          <w:szCs w:val="24"/>
        </w:rPr>
        <w:t>二：相关法规</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3</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1</w:t>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"_Toc34984032" </w:instrText>
      </w:r>
      <w:r>
        <w:fldChar w:fldCharType="separate"/>
      </w:r>
      <w:r>
        <w:rPr>
          <w:rStyle w:val="19"/>
          <w:rFonts w:hint="eastAsia" w:ascii="仿宋" w:hAnsi="仿宋" w:eastAsia="仿宋" w:cs="仿宋"/>
          <w:snapToGrid w:val="0"/>
          <w:color w:val="000000" w:themeColor="text1"/>
          <w:kern w:val="0"/>
          <w:sz w:val="24"/>
          <w:szCs w:val="24"/>
        </w:rPr>
        <w:t>1：无效投标条款</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3</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2</w:t>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"_Toc34984033" </w:instrText>
      </w:r>
      <w:r>
        <w:fldChar w:fldCharType="separate"/>
      </w:r>
      <w:r>
        <w:rPr>
          <w:rStyle w:val="19"/>
          <w:rFonts w:hint="eastAsia" w:ascii="仿宋" w:hAnsi="仿宋" w:eastAsia="仿宋" w:cs="仿宋"/>
          <w:snapToGrid w:val="0"/>
          <w:color w:val="000000" w:themeColor="text1"/>
          <w:kern w:val="0"/>
          <w:sz w:val="24"/>
          <w:szCs w:val="24"/>
        </w:rPr>
        <w:t>2：</w:t>
      </w:r>
      <w:r>
        <w:rPr>
          <w:rStyle w:val="19"/>
          <w:rFonts w:hint="eastAsia" w:ascii="仿宋" w:hAnsi="仿宋" w:eastAsia="仿宋" w:cs="仿宋"/>
          <w:color w:val="000000" w:themeColor="text1"/>
          <w:kern w:val="0"/>
          <w:sz w:val="24"/>
          <w:szCs w:val="24"/>
        </w:rPr>
        <w:t>报价修正</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3</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2</w:t>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"_Toc34984034" </w:instrText>
      </w:r>
      <w:r>
        <w:fldChar w:fldCharType="separate"/>
      </w:r>
      <w:r>
        <w:rPr>
          <w:rStyle w:val="19"/>
          <w:rFonts w:hint="eastAsia" w:ascii="仿宋" w:hAnsi="仿宋" w:eastAsia="仿宋" w:cs="仿宋"/>
          <w:snapToGrid w:val="0"/>
          <w:color w:val="000000" w:themeColor="text1"/>
          <w:kern w:val="0"/>
          <w:sz w:val="24"/>
          <w:szCs w:val="24"/>
        </w:rPr>
        <w:t>3：政策功能</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3</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2</w:t>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"_Toc34984035" </w:instrText>
      </w:r>
      <w:r>
        <w:fldChar w:fldCharType="separate"/>
      </w:r>
      <w:r>
        <w:rPr>
          <w:rStyle w:val="19"/>
          <w:rFonts w:hint="eastAsia" w:ascii="仿宋" w:hAnsi="仿宋" w:eastAsia="仿宋" w:cs="仿宋"/>
          <w:snapToGrid w:val="0"/>
          <w:color w:val="000000" w:themeColor="text1"/>
          <w:kern w:val="0"/>
          <w:sz w:val="24"/>
          <w:szCs w:val="24"/>
        </w:rPr>
        <w:t>附件三：投标文件格式</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3</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3</w:t>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"_Toc34984036" </w:instrText>
      </w:r>
      <w:r>
        <w:fldChar w:fldCharType="separate"/>
      </w:r>
      <w:r>
        <w:rPr>
          <w:rStyle w:val="19"/>
          <w:rFonts w:hint="eastAsia" w:ascii="仿宋" w:hAnsi="仿宋" w:eastAsia="仿宋" w:cs="仿宋"/>
          <w:snapToGrid w:val="0"/>
          <w:color w:val="000000" w:themeColor="text1"/>
          <w:kern w:val="0"/>
          <w:sz w:val="24"/>
          <w:szCs w:val="24"/>
        </w:rPr>
        <w:t>1、投标书</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3</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4</w:t>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"_Toc34984037" </w:instrText>
      </w:r>
      <w:r>
        <w:fldChar w:fldCharType="separate"/>
      </w:r>
      <w:r>
        <w:rPr>
          <w:rStyle w:val="19"/>
          <w:rFonts w:hint="eastAsia" w:ascii="仿宋" w:hAnsi="仿宋" w:eastAsia="仿宋" w:cs="仿宋"/>
          <w:snapToGrid w:val="0"/>
          <w:color w:val="000000" w:themeColor="text1"/>
          <w:kern w:val="0"/>
          <w:sz w:val="24"/>
          <w:szCs w:val="24"/>
        </w:rPr>
        <w:t>2、开标一览表</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3</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6</w:t>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"_Toc34984038" </w:instrText>
      </w:r>
      <w:r>
        <w:fldChar w:fldCharType="separate"/>
      </w:r>
      <w:r>
        <w:rPr>
          <w:rStyle w:val="19"/>
          <w:rFonts w:hint="eastAsia" w:ascii="仿宋" w:hAnsi="仿宋" w:eastAsia="仿宋" w:cs="仿宋"/>
          <w:snapToGrid w:val="0"/>
          <w:color w:val="000000" w:themeColor="text1"/>
          <w:kern w:val="0"/>
          <w:sz w:val="24"/>
          <w:szCs w:val="24"/>
        </w:rPr>
        <w:t>3、项目报价一览明细</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3</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7</w:t>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"_Toc34984039" </w:instrText>
      </w:r>
      <w:r>
        <w:fldChar w:fldCharType="separate"/>
      </w:r>
      <w:r>
        <w:rPr>
          <w:rStyle w:val="19"/>
          <w:rFonts w:hint="eastAsia" w:ascii="仿宋" w:hAnsi="仿宋" w:eastAsia="仿宋" w:cs="仿宋"/>
          <w:snapToGrid w:val="0"/>
          <w:color w:val="000000" w:themeColor="text1"/>
          <w:kern w:val="0"/>
          <w:sz w:val="24"/>
          <w:szCs w:val="24"/>
        </w:rPr>
        <w:t>4、技术条款偏离表</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3</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8</w:t>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"_Toc34984040" </w:instrText>
      </w:r>
      <w:r>
        <w:fldChar w:fldCharType="separate"/>
      </w:r>
      <w:r>
        <w:rPr>
          <w:rStyle w:val="19"/>
          <w:rFonts w:hint="eastAsia" w:ascii="仿宋" w:hAnsi="仿宋" w:eastAsia="仿宋" w:cs="仿宋"/>
          <w:snapToGrid w:val="0"/>
          <w:color w:val="000000" w:themeColor="text1"/>
          <w:kern w:val="0"/>
          <w:sz w:val="24"/>
          <w:szCs w:val="24"/>
        </w:rPr>
        <w:t>5、商务条款偏离表</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3</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9</w:t>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"_Toc34984041" </w:instrText>
      </w:r>
      <w:r>
        <w:fldChar w:fldCharType="separate"/>
      </w:r>
      <w:r>
        <w:rPr>
          <w:rStyle w:val="19"/>
          <w:rFonts w:hint="eastAsia" w:ascii="仿宋" w:hAnsi="仿宋" w:eastAsia="仿宋" w:cs="仿宋"/>
          <w:snapToGrid w:val="0"/>
          <w:color w:val="000000" w:themeColor="text1"/>
          <w:kern w:val="0"/>
          <w:sz w:val="24"/>
          <w:szCs w:val="24"/>
        </w:rPr>
        <w:t>6、投标人关于资格的声明函</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4</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1</w:t>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"_Toc34984042" </w:instrText>
      </w:r>
      <w:r>
        <w:fldChar w:fldCharType="separate"/>
      </w:r>
      <w:r>
        <w:rPr>
          <w:rStyle w:val="19"/>
          <w:rFonts w:hint="eastAsia" w:ascii="仿宋" w:hAnsi="仿宋" w:eastAsia="仿宋" w:cs="仿宋"/>
          <w:snapToGrid w:val="0"/>
          <w:color w:val="000000" w:themeColor="text1"/>
          <w:kern w:val="0"/>
          <w:sz w:val="24"/>
          <w:szCs w:val="24"/>
        </w:rPr>
        <w:t>7、投标人关于中小企业声明函</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4</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2</w:t>
      </w:r>
    </w:p>
    <w:p>
      <w:pPr>
        <w:pStyle w:val="7"/>
        <w:tabs>
          <w:tab w:val="right" w:leader="middleDot" w:pos="9628"/>
        </w:tabs>
        <w:ind w:left="840"/>
        <w:rPr>
          <w:rFonts w:ascii="仿宋" w:hAnsi="仿宋" w:eastAsia="仿宋" w:cs="仿宋"/>
          <w:color w:val="000000" w:themeColor="text1"/>
          <w:sz w:val="24"/>
          <w:szCs w:val="24"/>
        </w:rPr>
      </w:pPr>
      <w:r>
        <w:fldChar w:fldCharType="begin"/>
      </w:r>
      <w:r>
        <w:instrText xml:space="preserve"> HYPERLINK \l "_Toc34984043" </w:instrText>
      </w:r>
      <w:r>
        <w:fldChar w:fldCharType="separate"/>
      </w:r>
      <w:r>
        <w:rPr>
          <w:rStyle w:val="19"/>
          <w:rFonts w:hint="eastAsia" w:ascii="仿宋" w:hAnsi="仿宋" w:eastAsia="仿宋" w:cs="仿宋"/>
          <w:snapToGrid w:val="0"/>
          <w:color w:val="000000" w:themeColor="text1"/>
          <w:kern w:val="0"/>
          <w:sz w:val="24"/>
          <w:szCs w:val="24"/>
        </w:rPr>
        <w:t>8、资格证明文件</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t>4</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t>3</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color w:val="000000" w:themeColor="text1"/>
          <w:sz w:val="24"/>
          <w:szCs w:val="24"/>
        </w:rPr>
        <w:fldChar w:fldCharType="end"/>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p>
    <w:p>
      <w:pPr>
        <w:snapToGrid w:val="0"/>
        <w:spacing w:line="400" w:lineRule="exact"/>
        <w:jc w:val="center"/>
        <w:rPr>
          <w:rFonts w:ascii="仿宋" w:hAnsi="仿宋" w:eastAsia="仿宋" w:cs="仿宋"/>
          <w:snapToGrid w:val="0"/>
          <w:color w:val="000000" w:themeColor="text1"/>
          <w:sz w:val="24"/>
          <w:szCs w:val="24"/>
        </w:rPr>
      </w:pPr>
      <w:bookmarkStart w:id="2" w:name="_Toc34984016"/>
      <w:bookmarkStart w:id="3" w:name="_Toc17539273"/>
      <w:bookmarkStart w:id="4" w:name="_Toc26741872"/>
    </w:p>
    <w:p>
      <w:pPr>
        <w:snapToGrid w:val="0"/>
        <w:spacing w:line="400" w:lineRule="exact"/>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第一章 竞争性磋商公告</w:t>
      </w:r>
      <w:bookmarkEnd w:id="0"/>
      <w:bookmarkEnd w:id="1"/>
      <w:bookmarkEnd w:id="2"/>
      <w:bookmarkEnd w:id="3"/>
      <w:bookmarkEnd w:id="4"/>
    </w:p>
    <w:p>
      <w:pPr>
        <w:snapToGrid w:val="0"/>
        <w:spacing w:line="400" w:lineRule="exact"/>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江西省博可为工程管理有限公司关于新干县公安局智能枪弹柜采购项目的竞争性磋商公告</w:t>
      </w:r>
    </w:p>
    <w:p>
      <w:pPr>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依据新干县政府采购管理办公室</w:t>
      </w:r>
      <w:r>
        <w:rPr>
          <w:rFonts w:hint="eastAsia" w:ascii="仿宋" w:hAnsi="仿宋" w:eastAsia="仿宋" w:cs="仿宋"/>
          <w:bCs/>
          <w:snapToGrid w:val="0"/>
          <w:color w:val="000000" w:themeColor="text1"/>
          <w:sz w:val="24"/>
          <w:szCs w:val="24"/>
        </w:rPr>
        <w:t>下达的采购计划函</w:t>
      </w:r>
      <w:r>
        <w:rPr>
          <w:rFonts w:hint="eastAsia" w:ascii="仿宋" w:hAnsi="仿宋" w:eastAsia="仿宋" w:cs="仿宋"/>
          <w:snapToGrid w:val="0"/>
          <w:color w:val="000000" w:themeColor="text1"/>
          <w:sz w:val="24"/>
          <w:szCs w:val="24"/>
        </w:rPr>
        <w:t>，受采购人委托，</w:t>
      </w:r>
      <w:r>
        <w:rPr>
          <w:rFonts w:hint="eastAsia" w:ascii="仿宋" w:hAnsi="仿宋" w:eastAsia="仿宋" w:cs="仿宋"/>
          <w:bCs/>
          <w:snapToGrid w:val="0"/>
          <w:color w:val="000000" w:themeColor="text1"/>
          <w:sz w:val="24"/>
          <w:szCs w:val="24"/>
        </w:rPr>
        <w:t>我公司</w:t>
      </w:r>
      <w:r>
        <w:rPr>
          <w:rFonts w:hint="eastAsia" w:ascii="仿宋" w:hAnsi="仿宋" w:eastAsia="仿宋" w:cs="仿宋"/>
          <w:snapToGrid w:val="0"/>
          <w:color w:val="000000" w:themeColor="text1"/>
          <w:sz w:val="24"/>
          <w:szCs w:val="24"/>
        </w:rPr>
        <w:t>对“新干县公安局智能枪弹柜采购项目</w:t>
      </w:r>
      <w:r>
        <w:rPr>
          <w:rFonts w:hint="eastAsia" w:ascii="仿宋" w:hAnsi="仿宋" w:eastAsia="仿宋" w:cs="仿宋"/>
          <w:bCs/>
          <w:snapToGrid w:val="0"/>
          <w:color w:val="000000" w:themeColor="text1"/>
          <w:sz w:val="24"/>
          <w:szCs w:val="24"/>
        </w:rPr>
        <w:t>”</w:t>
      </w:r>
      <w:r>
        <w:rPr>
          <w:rFonts w:hint="eastAsia" w:ascii="仿宋" w:hAnsi="仿宋" w:eastAsia="仿宋" w:cs="仿宋"/>
          <w:snapToGrid w:val="0"/>
          <w:color w:val="000000" w:themeColor="text1"/>
          <w:sz w:val="24"/>
          <w:szCs w:val="24"/>
        </w:rPr>
        <w:t>进行竞争性磋商采购，</w:t>
      </w:r>
      <w:r>
        <w:rPr>
          <w:rFonts w:hint="eastAsia" w:ascii="仿宋" w:hAnsi="仿宋" w:eastAsia="仿宋" w:cs="仿宋"/>
          <w:bCs/>
          <w:snapToGrid w:val="0"/>
          <w:color w:val="000000" w:themeColor="text1"/>
          <w:sz w:val="24"/>
          <w:szCs w:val="24"/>
        </w:rPr>
        <w:t>现予公告。</w:t>
      </w:r>
    </w:p>
    <w:p>
      <w:pPr>
        <w:snapToGrid w:val="0"/>
        <w:spacing w:line="400" w:lineRule="exact"/>
        <w:ind w:firstLine="480" w:firstLineChars="200"/>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一、项目名称：新干县公安局智能枪弹柜采购项目。</w:t>
      </w:r>
    </w:p>
    <w:p>
      <w:pPr>
        <w:snapToGrid w:val="0"/>
        <w:spacing w:line="400" w:lineRule="exact"/>
        <w:ind w:firstLine="480" w:firstLineChars="200"/>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二、</w:t>
      </w:r>
      <w:r>
        <w:rPr>
          <w:rFonts w:hint="eastAsia" w:ascii="仿宋" w:hAnsi="仿宋" w:eastAsia="仿宋" w:cs="仿宋"/>
          <w:snapToGrid w:val="0"/>
          <w:color w:val="000000" w:themeColor="text1"/>
          <w:sz w:val="24"/>
          <w:szCs w:val="24"/>
          <w:lang w:val="zh-CN"/>
        </w:rPr>
        <w:t>项目编号:</w:t>
      </w:r>
      <w:r>
        <w:rPr>
          <w:rFonts w:hint="eastAsia" w:ascii="仿宋" w:hAnsi="仿宋" w:eastAsia="仿宋" w:cs="仿宋"/>
          <w:snapToGrid w:val="0"/>
          <w:color w:val="000000" w:themeColor="text1"/>
          <w:sz w:val="24"/>
          <w:szCs w:val="24"/>
        </w:rPr>
        <w:t>BKWZC[2020]006号。</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三、项目清单：</w:t>
      </w:r>
    </w:p>
    <w:tbl>
      <w:tblPr>
        <w:tblStyle w:val="1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768"/>
        <w:gridCol w:w="2410"/>
        <w:gridCol w:w="1701"/>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83" w:type="dxa"/>
            <w:vAlign w:val="center"/>
          </w:tcPr>
          <w:p>
            <w:pPr>
              <w:spacing w:line="360" w:lineRule="auto"/>
              <w:jc w:val="center"/>
              <w:rPr>
                <w:rFonts w:ascii="宋体" w:hAnsi="宋体"/>
                <w:b/>
              </w:rPr>
            </w:pPr>
            <w:r>
              <w:rPr>
                <w:rFonts w:hint="eastAsia" w:ascii="宋体" w:hAnsi="宋体"/>
                <w:b/>
              </w:rPr>
              <w:t>序号</w:t>
            </w:r>
          </w:p>
        </w:tc>
        <w:tc>
          <w:tcPr>
            <w:tcW w:w="1768" w:type="dxa"/>
            <w:vAlign w:val="center"/>
          </w:tcPr>
          <w:p>
            <w:pPr>
              <w:spacing w:line="360" w:lineRule="auto"/>
              <w:jc w:val="center"/>
              <w:rPr>
                <w:rFonts w:ascii="宋体" w:hAnsi="宋体"/>
                <w:b/>
              </w:rPr>
            </w:pPr>
            <w:r>
              <w:rPr>
                <w:rFonts w:hint="eastAsia" w:ascii="宋体" w:hAnsi="宋体"/>
                <w:b/>
              </w:rPr>
              <w:t>产品名称</w:t>
            </w:r>
          </w:p>
        </w:tc>
        <w:tc>
          <w:tcPr>
            <w:tcW w:w="2410" w:type="dxa"/>
            <w:vAlign w:val="center"/>
          </w:tcPr>
          <w:p>
            <w:pPr>
              <w:spacing w:line="360" w:lineRule="auto"/>
              <w:jc w:val="center"/>
              <w:rPr>
                <w:rFonts w:ascii="宋体" w:hAnsi="宋体"/>
                <w:b/>
              </w:rPr>
            </w:pPr>
            <w:r>
              <w:rPr>
                <w:rFonts w:hint="eastAsia" w:ascii="宋体" w:hAnsi="宋体"/>
                <w:b/>
              </w:rPr>
              <w:t>规格、型号（W*D*H）</w:t>
            </w:r>
          </w:p>
        </w:tc>
        <w:tc>
          <w:tcPr>
            <w:tcW w:w="1701" w:type="dxa"/>
            <w:vAlign w:val="center"/>
          </w:tcPr>
          <w:p>
            <w:pPr>
              <w:spacing w:line="360" w:lineRule="auto"/>
              <w:jc w:val="center"/>
              <w:rPr>
                <w:rFonts w:ascii="宋体" w:hAnsi="宋体"/>
                <w:b/>
              </w:rPr>
            </w:pPr>
            <w:r>
              <w:rPr>
                <w:rFonts w:hint="eastAsia" w:ascii="宋体" w:hAnsi="宋体"/>
                <w:b/>
              </w:rPr>
              <w:t>数量/单位</w:t>
            </w:r>
          </w:p>
        </w:tc>
        <w:tc>
          <w:tcPr>
            <w:tcW w:w="2660" w:type="dxa"/>
            <w:vAlign w:val="center"/>
          </w:tcPr>
          <w:p>
            <w:pPr>
              <w:spacing w:line="360" w:lineRule="auto"/>
              <w:jc w:val="center"/>
              <w:rPr>
                <w:rFonts w:ascii="宋体" w:hAnsi="宋体"/>
                <w:b/>
              </w:rPr>
            </w:pPr>
            <w:r>
              <w:rPr>
                <w:rFonts w:hint="eastAsia" w:ascii="宋体" w:hAnsi="宋体"/>
                <w:b/>
              </w:rPr>
              <w:t>存放量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1</w:t>
            </w:r>
          </w:p>
        </w:tc>
        <w:tc>
          <w:tcPr>
            <w:tcW w:w="1768" w:type="dxa"/>
            <w:vAlign w:val="center"/>
          </w:tcPr>
          <w:p>
            <w:pPr>
              <w:spacing w:line="360" w:lineRule="auto"/>
              <w:jc w:val="center"/>
              <w:rPr>
                <w:rFonts w:ascii="宋体" w:hAnsi="宋体"/>
                <w:szCs w:val="21"/>
              </w:rPr>
            </w:pPr>
            <w:r>
              <w:rPr>
                <w:rFonts w:hint="eastAsia" w:ascii="宋体" w:hAnsi="宋体"/>
                <w:szCs w:val="21"/>
              </w:rPr>
              <w:t>智能手枪柜</w:t>
            </w:r>
          </w:p>
        </w:tc>
        <w:tc>
          <w:tcPr>
            <w:tcW w:w="2410" w:type="dxa"/>
            <w:vAlign w:val="center"/>
          </w:tcPr>
          <w:p>
            <w:pPr>
              <w:spacing w:line="360" w:lineRule="auto"/>
              <w:jc w:val="center"/>
              <w:rPr>
                <w:rFonts w:ascii="宋体" w:hAnsi="宋体"/>
                <w:szCs w:val="21"/>
              </w:rPr>
            </w:pPr>
            <w:r>
              <w:rPr>
                <w:rFonts w:hint="eastAsia" w:ascii="宋体" w:hAnsi="宋体"/>
                <w:szCs w:val="21"/>
              </w:rPr>
              <w:t>1000*500*1800mm</w:t>
            </w:r>
          </w:p>
        </w:tc>
        <w:tc>
          <w:tcPr>
            <w:tcW w:w="1701" w:type="dxa"/>
            <w:vAlign w:val="center"/>
          </w:tcPr>
          <w:p>
            <w:pPr>
              <w:spacing w:line="360" w:lineRule="auto"/>
              <w:jc w:val="center"/>
              <w:rPr>
                <w:rFonts w:ascii="宋体" w:hAnsi="宋体"/>
                <w:szCs w:val="21"/>
              </w:rPr>
            </w:pPr>
            <w:r>
              <w:rPr>
                <w:rFonts w:hint="eastAsia" w:ascii="宋体" w:hAnsi="宋体"/>
                <w:szCs w:val="21"/>
              </w:rPr>
              <w:t>3台</w:t>
            </w:r>
          </w:p>
        </w:tc>
        <w:tc>
          <w:tcPr>
            <w:tcW w:w="2660" w:type="dxa"/>
            <w:vAlign w:val="center"/>
          </w:tcPr>
          <w:p>
            <w:pPr>
              <w:spacing w:line="360" w:lineRule="auto"/>
              <w:jc w:val="center"/>
              <w:rPr>
                <w:rFonts w:ascii="宋体" w:hAnsi="宋体"/>
                <w:szCs w:val="21"/>
              </w:rPr>
            </w:pPr>
            <w:r>
              <w:rPr>
                <w:rFonts w:hint="eastAsia" w:ascii="宋体" w:hAnsi="宋体"/>
                <w:szCs w:val="21"/>
              </w:rPr>
              <w:t>内存放50支手枪。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2</w:t>
            </w:r>
          </w:p>
        </w:tc>
        <w:tc>
          <w:tcPr>
            <w:tcW w:w="1768" w:type="dxa"/>
            <w:vAlign w:val="center"/>
          </w:tcPr>
          <w:p>
            <w:pPr>
              <w:jc w:val="center"/>
              <w:rPr>
                <w:rFonts w:ascii="宋体" w:hAnsi="宋体"/>
                <w:szCs w:val="21"/>
              </w:rPr>
            </w:pPr>
            <w:r>
              <w:rPr>
                <w:rFonts w:hint="eastAsia" w:ascii="宋体" w:hAnsi="宋体"/>
                <w:szCs w:val="21"/>
              </w:rPr>
              <w:t>智能长枪柜</w:t>
            </w:r>
          </w:p>
        </w:tc>
        <w:tc>
          <w:tcPr>
            <w:tcW w:w="2410" w:type="dxa"/>
            <w:vAlign w:val="center"/>
          </w:tcPr>
          <w:p>
            <w:pPr>
              <w:jc w:val="center"/>
              <w:rPr>
                <w:rFonts w:ascii="宋体" w:hAnsi="宋体"/>
                <w:szCs w:val="21"/>
              </w:rPr>
            </w:pPr>
            <w:r>
              <w:rPr>
                <w:rFonts w:hint="eastAsia" w:ascii="宋体" w:hAnsi="宋体"/>
                <w:szCs w:val="21"/>
              </w:rPr>
              <w:t>1000*500*1800mm</w:t>
            </w:r>
          </w:p>
        </w:tc>
        <w:tc>
          <w:tcPr>
            <w:tcW w:w="1701" w:type="dxa"/>
            <w:vAlign w:val="center"/>
          </w:tcPr>
          <w:p>
            <w:pPr>
              <w:jc w:val="center"/>
              <w:rPr>
                <w:rFonts w:ascii="宋体" w:hAnsi="宋体"/>
                <w:szCs w:val="21"/>
              </w:rPr>
            </w:pPr>
            <w:r>
              <w:rPr>
                <w:rFonts w:hint="eastAsia" w:ascii="宋体" w:hAnsi="宋体"/>
                <w:szCs w:val="21"/>
              </w:rPr>
              <w:t>2台</w:t>
            </w:r>
          </w:p>
        </w:tc>
        <w:tc>
          <w:tcPr>
            <w:tcW w:w="2660" w:type="dxa"/>
            <w:vAlign w:val="center"/>
          </w:tcPr>
          <w:p>
            <w:pPr>
              <w:jc w:val="center"/>
              <w:rPr>
                <w:rFonts w:ascii="宋体" w:hAnsi="宋体"/>
                <w:szCs w:val="21"/>
              </w:rPr>
            </w:pPr>
            <w:r>
              <w:rPr>
                <w:rFonts w:hint="eastAsia" w:ascii="宋体" w:hAnsi="宋体"/>
                <w:szCs w:val="21"/>
              </w:rPr>
              <w:t>内存放18支微冲、防暴或步枪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3</w:t>
            </w:r>
          </w:p>
        </w:tc>
        <w:tc>
          <w:tcPr>
            <w:tcW w:w="1768" w:type="dxa"/>
            <w:vAlign w:val="center"/>
          </w:tcPr>
          <w:p>
            <w:pPr>
              <w:jc w:val="center"/>
              <w:rPr>
                <w:rFonts w:ascii="宋体" w:hAnsi="宋体"/>
                <w:szCs w:val="21"/>
              </w:rPr>
            </w:pPr>
            <w:r>
              <w:rPr>
                <w:rFonts w:hint="eastAsia" w:ascii="宋体" w:hAnsi="宋体"/>
                <w:szCs w:val="21"/>
              </w:rPr>
              <w:t>智能弹柜1</w:t>
            </w:r>
          </w:p>
        </w:tc>
        <w:tc>
          <w:tcPr>
            <w:tcW w:w="2410" w:type="dxa"/>
            <w:vAlign w:val="center"/>
          </w:tcPr>
          <w:p>
            <w:pPr>
              <w:jc w:val="center"/>
              <w:rPr>
                <w:rFonts w:ascii="宋体" w:hAnsi="宋体"/>
                <w:szCs w:val="21"/>
              </w:rPr>
            </w:pPr>
            <w:r>
              <w:rPr>
                <w:rFonts w:hint="eastAsia" w:ascii="宋体" w:hAnsi="宋体"/>
                <w:szCs w:val="21"/>
              </w:rPr>
              <w:t>1000*500*1800mm</w:t>
            </w:r>
          </w:p>
        </w:tc>
        <w:tc>
          <w:tcPr>
            <w:tcW w:w="1701" w:type="dxa"/>
            <w:vAlign w:val="center"/>
          </w:tcPr>
          <w:p>
            <w:pPr>
              <w:jc w:val="center"/>
              <w:rPr>
                <w:rFonts w:ascii="宋体" w:hAnsi="宋体"/>
                <w:szCs w:val="21"/>
              </w:rPr>
            </w:pPr>
            <w:r>
              <w:rPr>
                <w:rFonts w:hint="eastAsia" w:ascii="宋体" w:hAnsi="宋体"/>
                <w:szCs w:val="21"/>
              </w:rPr>
              <w:t>1台</w:t>
            </w:r>
          </w:p>
        </w:tc>
        <w:tc>
          <w:tcPr>
            <w:tcW w:w="2660" w:type="dxa"/>
            <w:vAlign w:val="center"/>
          </w:tcPr>
          <w:p>
            <w:pPr>
              <w:pStyle w:val="31"/>
              <w:jc w:val="center"/>
              <w:rPr>
                <w:rFonts w:ascii="宋体" w:hAnsi="宋体" w:cs="宋体"/>
                <w:sz w:val="21"/>
                <w:szCs w:val="21"/>
              </w:rPr>
            </w:pPr>
            <w:r>
              <w:rPr>
                <w:rFonts w:hint="eastAsia" w:ascii="宋体" w:hAnsi="宋体" w:cs="宋体"/>
                <w:sz w:val="21"/>
                <w:szCs w:val="21"/>
              </w:rPr>
              <w:t>内做12个电子自动计数弹屉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4</w:t>
            </w:r>
          </w:p>
        </w:tc>
        <w:tc>
          <w:tcPr>
            <w:tcW w:w="1768" w:type="dxa"/>
            <w:vAlign w:val="center"/>
          </w:tcPr>
          <w:p>
            <w:pPr>
              <w:jc w:val="center"/>
              <w:rPr>
                <w:rFonts w:ascii="宋体" w:hAnsi="宋体"/>
                <w:szCs w:val="21"/>
              </w:rPr>
            </w:pPr>
            <w:r>
              <w:rPr>
                <w:rFonts w:hint="eastAsia" w:ascii="宋体" w:hAnsi="宋体"/>
                <w:szCs w:val="21"/>
              </w:rPr>
              <w:t>智能弹柜2</w:t>
            </w:r>
          </w:p>
        </w:tc>
        <w:tc>
          <w:tcPr>
            <w:tcW w:w="2410" w:type="dxa"/>
            <w:vAlign w:val="center"/>
          </w:tcPr>
          <w:p>
            <w:pPr>
              <w:jc w:val="center"/>
              <w:rPr>
                <w:rFonts w:ascii="宋体" w:hAnsi="宋体"/>
                <w:szCs w:val="21"/>
              </w:rPr>
            </w:pPr>
            <w:r>
              <w:rPr>
                <w:rFonts w:hint="eastAsia" w:ascii="宋体" w:hAnsi="宋体"/>
                <w:szCs w:val="21"/>
              </w:rPr>
              <w:t>1000*500*1800mm</w:t>
            </w:r>
          </w:p>
        </w:tc>
        <w:tc>
          <w:tcPr>
            <w:tcW w:w="1701" w:type="dxa"/>
            <w:vAlign w:val="center"/>
          </w:tcPr>
          <w:p>
            <w:pPr>
              <w:jc w:val="center"/>
              <w:rPr>
                <w:rFonts w:ascii="宋体" w:hAnsi="宋体"/>
                <w:szCs w:val="21"/>
              </w:rPr>
            </w:pPr>
            <w:r>
              <w:rPr>
                <w:rFonts w:hint="eastAsia" w:ascii="宋体" w:hAnsi="宋体"/>
                <w:szCs w:val="21"/>
              </w:rPr>
              <w:t>2台</w:t>
            </w:r>
          </w:p>
        </w:tc>
        <w:tc>
          <w:tcPr>
            <w:tcW w:w="2660" w:type="dxa"/>
            <w:vAlign w:val="center"/>
          </w:tcPr>
          <w:p>
            <w:pPr>
              <w:pStyle w:val="31"/>
              <w:jc w:val="center"/>
              <w:rPr>
                <w:rFonts w:ascii="宋体" w:hAnsi="宋体" w:cs="宋体"/>
                <w:sz w:val="21"/>
                <w:szCs w:val="21"/>
              </w:rPr>
            </w:pPr>
            <w:r>
              <w:rPr>
                <w:rFonts w:hint="eastAsia" w:ascii="宋体" w:hAnsi="宋体" w:cs="宋体"/>
                <w:sz w:val="21"/>
                <w:szCs w:val="21"/>
              </w:rPr>
              <w:t>内平分4层托板固定。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5</w:t>
            </w:r>
          </w:p>
        </w:tc>
        <w:tc>
          <w:tcPr>
            <w:tcW w:w="1768" w:type="dxa"/>
            <w:vAlign w:val="center"/>
          </w:tcPr>
          <w:p>
            <w:pPr>
              <w:jc w:val="center"/>
              <w:rPr>
                <w:rFonts w:ascii="宋体" w:hAnsi="宋体"/>
                <w:szCs w:val="21"/>
              </w:rPr>
            </w:pPr>
            <w:r>
              <w:rPr>
                <w:rFonts w:hint="eastAsia" w:ascii="宋体" w:hAnsi="宋体"/>
                <w:szCs w:val="21"/>
              </w:rPr>
              <w:t>服务器</w:t>
            </w:r>
          </w:p>
        </w:tc>
        <w:tc>
          <w:tcPr>
            <w:tcW w:w="2410" w:type="dxa"/>
            <w:vAlign w:val="center"/>
          </w:tcPr>
          <w:p>
            <w:pPr>
              <w:jc w:val="center"/>
              <w:rPr>
                <w:rFonts w:ascii="宋体" w:hAnsi="宋体"/>
                <w:szCs w:val="21"/>
              </w:rPr>
            </w:pPr>
            <w:r>
              <w:rPr>
                <w:rStyle w:val="30"/>
                <w:rFonts w:hint="eastAsia" w:ascii="宋体" w:hAnsi="宋体"/>
                <w:szCs w:val="21"/>
              </w:rPr>
              <w:t>H3CT1100</w:t>
            </w:r>
          </w:p>
        </w:tc>
        <w:tc>
          <w:tcPr>
            <w:tcW w:w="1701" w:type="dxa"/>
            <w:vAlign w:val="center"/>
          </w:tcPr>
          <w:p>
            <w:pPr>
              <w:jc w:val="center"/>
              <w:rPr>
                <w:rFonts w:ascii="宋体" w:hAnsi="宋体"/>
                <w:szCs w:val="21"/>
              </w:rPr>
            </w:pPr>
            <w:r>
              <w:rPr>
                <w:rFonts w:hint="eastAsia" w:ascii="宋体" w:hAnsi="宋体"/>
                <w:szCs w:val="21"/>
              </w:rPr>
              <w:t>1台</w:t>
            </w:r>
          </w:p>
        </w:tc>
        <w:tc>
          <w:tcPr>
            <w:tcW w:w="2660" w:type="dxa"/>
            <w:vAlign w:val="center"/>
          </w:tcPr>
          <w:p>
            <w:pPr>
              <w:jc w:val="center"/>
              <w:rPr>
                <w:rFonts w:ascii="宋体" w:hAnsi="宋体"/>
                <w:szCs w:val="21"/>
              </w:rPr>
            </w:pPr>
            <w:r>
              <w:rPr>
                <w:rFonts w:hint="eastAsia" w:ascii="宋体" w:hAnsi="宋体"/>
                <w:szCs w:val="21"/>
              </w:rPr>
              <w:t>支持5000个设备的接入。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jc w:val="center"/>
              <w:rPr>
                <w:rFonts w:ascii="宋体" w:hAnsi="宋体"/>
                <w:szCs w:val="21"/>
              </w:rPr>
            </w:pPr>
            <w:r>
              <w:rPr>
                <w:rFonts w:hint="eastAsia" w:ascii="宋体" w:hAnsi="宋体"/>
                <w:szCs w:val="21"/>
              </w:rPr>
              <w:t>6</w:t>
            </w:r>
          </w:p>
        </w:tc>
        <w:tc>
          <w:tcPr>
            <w:tcW w:w="1768" w:type="dxa"/>
            <w:vAlign w:val="center"/>
          </w:tcPr>
          <w:p>
            <w:pPr>
              <w:jc w:val="center"/>
              <w:rPr>
                <w:rFonts w:ascii="宋体" w:hAnsi="宋体"/>
                <w:szCs w:val="21"/>
              </w:rPr>
            </w:pPr>
            <w:r>
              <w:rPr>
                <w:rFonts w:hint="eastAsia" w:ascii="宋体" w:hAnsi="宋体"/>
                <w:szCs w:val="21"/>
              </w:rPr>
              <w:t>智能管理系统平台软件</w:t>
            </w:r>
          </w:p>
        </w:tc>
        <w:tc>
          <w:tcPr>
            <w:tcW w:w="2410" w:type="dxa"/>
            <w:vAlign w:val="center"/>
          </w:tcPr>
          <w:p>
            <w:pPr>
              <w:jc w:val="center"/>
              <w:rPr>
                <w:rFonts w:ascii="宋体" w:hAnsi="宋体"/>
                <w:szCs w:val="21"/>
              </w:rPr>
            </w:pPr>
            <w:r>
              <w:rPr>
                <w:rFonts w:hint="eastAsia" w:ascii="宋体" w:hAnsi="宋体"/>
                <w:szCs w:val="21"/>
              </w:rPr>
              <w:t>中间件服务IOT-SERVER，数据库MYSQL 5.0</w:t>
            </w:r>
          </w:p>
        </w:tc>
        <w:tc>
          <w:tcPr>
            <w:tcW w:w="1701" w:type="dxa"/>
            <w:vAlign w:val="center"/>
          </w:tcPr>
          <w:p>
            <w:pPr>
              <w:jc w:val="center"/>
              <w:rPr>
                <w:rFonts w:ascii="宋体" w:hAnsi="宋体"/>
                <w:szCs w:val="21"/>
              </w:rPr>
            </w:pPr>
            <w:r>
              <w:rPr>
                <w:rFonts w:hint="eastAsia" w:ascii="宋体" w:hAnsi="宋体"/>
                <w:szCs w:val="21"/>
              </w:rPr>
              <w:t>1套</w:t>
            </w:r>
          </w:p>
        </w:tc>
        <w:tc>
          <w:tcPr>
            <w:tcW w:w="2660" w:type="dxa"/>
            <w:vAlign w:val="center"/>
          </w:tcPr>
          <w:p>
            <w:pPr>
              <w:jc w:val="center"/>
              <w:rPr>
                <w:rFonts w:ascii="宋体" w:hAnsi="宋体"/>
                <w:szCs w:val="21"/>
              </w:rPr>
            </w:pPr>
            <w:r>
              <w:rPr>
                <w:rFonts w:hint="eastAsia" w:ascii="宋体" w:hAnsi="宋体"/>
                <w:szCs w:val="21"/>
              </w:rPr>
              <w:t>支持5000个设备的接入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7</w:t>
            </w:r>
          </w:p>
        </w:tc>
        <w:tc>
          <w:tcPr>
            <w:tcW w:w="1768" w:type="dxa"/>
            <w:vAlign w:val="center"/>
          </w:tcPr>
          <w:p>
            <w:pPr>
              <w:spacing w:line="360" w:lineRule="auto"/>
              <w:jc w:val="center"/>
              <w:rPr>
                <w:rFonts w:ascii="宋体" w:hAnsi="宋体"/>
                <w:szCs w:val="21"/>
              </w:rPr>
            </w:pPr>
            <w:r>
              <w:rPr>
                <w:rFonts w:hint="eastAsia" w:ascii="宋体" w:hAnsi="宋体"/>
                <w:szCs w:val="21"/>
              </w:rPr>
              <w:t>短信报警器</w:t>
            </w:r>
          </w:p>
        </w:tc>
        <w:tc>
          <w:tcPr>
            <w:tcW w:w="2410" w:type="dxa"/>
            <w:vAlign w:val="center"/>
          </w:tcPr>
          <w:p>
            <w:pPr>
              <w:spacing w:line="360" w:lineRule="auto"/>
              <w:jc w:val="center"/>
              <w:rPr>
                <w:rFonts w:ascii="宋体" w:hAnsi="宋体"/>
                <w:szCs w:val="21"/>
              </w:rPr>
            </w:pPr>
            <w:r>
              <w:rPr>
                <w:rFonts w:hint="eastAsia" w:ascii="宋体" w:hAnsi="宋体"/>
                <w:szCs w:val="21"/>
              </w:rPr>
              <w:t>/</w:t>
            </w:r>
          </w:p>
        </w:tc>
        <w:tc>
          <w:tcPr>
            <w:tcW w:w="1701" w:type="dxa"/>
            <w:vAlign w:val="center"/>
          </w:tcPr>
          <w:p>
            <w:pPr>
              <w:spacing w:line="360" w:lineRule="auto"/>
              <w:jc w:val="center"/>
              <w:rPr>
                <w:rFonts w:ascii="宋体" w:hAnsi="宋体"/>
                <w:szCs w:val="21"/>
              </w:rPr>
            </w:pPr>
            <w:r>
              <w:rPr>
                <w:rFonts w:hint="eastAsia" w:ascii="宋体" w:hAnsi="宋体"/>
                <w:szCs w:val="21"/>
              </w:rPr>
              <w:t>1台</w:t>
            </w:r>
          </w:p>
        </w:tc>
        <w:tc>
          <w:tcPr>
            <w:tcW w:w="2660" w:type="dxa"/>
            <w:vAlign w:val="center"/>
          </w:tcPr>
          <w:p>
            <w:pPr>
              <w:spacing w:line="360" w:lineRule="auto"/>
              <w:jc w:val="center"/>
              <w:rPr>
                <w:rFonts w:ascii="宋体" w:hAnsi="宋体"/>
                <w:szCs w:val="21"/>
              </w:rPr>
            </w:pPr>
            <w:r>
              <w:rPr>
                <w:rFonts w:hint="eastAsia" w:ascii="宋体" w:hAnsi="宋体"/>
                <w:szCs w:val="21"/>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8</w:t>
            </w:r>
          </w:p>
        </w:tc>
        <w:tc>
          <w:tcPr>
            <w:tcW w:w="1768" w:type="dxa"/>
            <w:vAlign w:val="center"/>
          </w:tcPr>
          <w:p>
            <w:pPr>
              <w:jc w:val="center"/>
              <w:rPr>
                <w:rFonts w:ascii="宋体" w:hAnsi="宋体"/>
                <w:szCs w:val="21"/>
              </w:rPr>
            </w:pPr>
            <w:r>
              <w:rPr>
                <w:rFonts w:hint="eastAsia" w:ascii="宋体" w:hAnsi="宋体"/>
                <w:szCs w:val="21"/>
              </w:rPr>
              <w:t>交换机</w:t>
            </w:r>
          </w:p>
        </w:tc>
        <w:tc>
          <w:tcPr>
            <w:tcW w:w="2410" w:type="dxa"/>
            <w:vAlign w:val="center"/>
          </w:tcPr>
          <w:p>
            <w:pPr>
              <w:jc w:val="center"/>
              <w:rPr>
                <w:rFonts w:ascii="宋体" w:hAnsi="宋体"/>
                <w:szCs w:val="21"/>
              </w:rPr>
            </w:pPr>
            <w:r>
              <w:rPr>
                <w:rFonts w:hint="eastAsia" w:ascii="宋体" w:hAnsi="宋体"/>
                <w:szCs w:val="21"/>
              </w:rPr>
              <w:t>24口</w:t>
            </w:r>
            <w:r>
              <w:rPr>
                <w:rFonts w:ascii="宋体" w:hAnsi="宋体"/>
                <w:szCs w:val="21"/>
              </w:rPr>
              <w:t>企业级全</w:t>
            </w:r>
            <w:r>
              <w:rPr>
                <w:rFonts w:hint="eastAsia" w:ascii="宋体" w:hAnsi="宋体"/>
                <w:szCs w:val="21"/>
              </w:rPr>
              <w:t>千</w:t>
            </w:r>
            <w:r>
              <w:rPr>
                <w:rFonts w:ascii="宋体" w:hAnsi="宋体"/>
                <w:szCs w:val="21"/>
              </w:rPr>
              <w:t>兆交换机</w:t>
            </w:r>
          </w:p>
        </w:tc>
        <w:tc>
          <w:tcPr>
            <w:tcW w:w="1701" w:type="dxa"/>
            <w:vAlign w:val="center"/>
          </w:tcPr>
          <w:p>
            <w:pPr>
              <w:spacing w:line="360" w:lineRule="auto"/>
              <w:jc w:val="center"/>
              <w:rPr>
                <w:rFonts w:ascii="宋体" w:hAnsi="宋体"/>
                <w:szCs w:val="21"/>
              </w:rPr>
            </w:pPr>
            <w:r>
              <w:rPr>
                <w:rFonts w:hint="eastAsia" w:ascii="宋体" w:hAnsi="宋体"/>
                <w:szCs w:val="21"/>
              </w:rPr>
              <w:t>1台</w:t>
            </w:r>
          </w:p>
        </w:tc>
        <w:tc>
          <w:tcPr>
            <w:tcW w:w="2660" w:type="dxa"/>
            <w:vAlign w:val="center"/>
          </w:tcPr>
          <w:p>
            <w:pPr>
              <w:spacing w:line="360" w:lineRule="auto"/>
              <w:jc w:val="center"/>
              <w:rPr>
                <w:rFonts w:ascii="宋体" w:hAnsi="宋体"/>
                <w:szCs w:val="21"/>
              </w:rPr>
            </w:pPr>
            <w:r>
              <w:rPr>
                <w:rFonts w:hint="eastAsia" w:ascii="宋体" w:hAnsi="宋体"/>
                <w:szCs w:val="21"/>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9</w:t>
            </w:r>
          </w:p>
        </w:tc>
        <w:tc>
          <w:tcPr>
            <w:tcW w:w="1768" w:type="dxa"/>
            <w:vAlign w:val="center"/>
          </w:tcPr>
          <w:p>
            <w:pPr>
              <w:jc w:val="center"/>
              <w:rPr>
                <w:rFonts w:ascii="宋体" w:hAnsi="宋体"/>
                <w:szCs w:val="21"/>
              </w:rPr>
            </w:pPr>
            <w:r>
              <w:rPr>
                <w:rFonts w:hint="eastAsia" w:ascii="宋体" w:hAnsi="宋体"/>
                <w:szCs w:val="21"/>
              </w:rPr>
              <w:t>UPS备用电源</w:t>
            </w:r>
          </w:p>
        </w:tc>
        <w:tc>
          <w:tcPr>
            <w:tcW w:w="2410" w:type="dxa"/>
            <w:vAlign w:val="center"/>
          </w:tcPr>
          <w:p>
            <w:pPr>
              <w:jc w:val="center"/>
              <w:rPr>
                <w:rFonts w:ascii="宋体" w:hAnsi="宋体"/>
                <w:szCs w:val="21"/>
              </w:rPr>
            </w:pPr>
            <w:r>
              <w:rPr>
                <w:rFonts w:hint="eastAsia" w:ascii="宋体" w:hAnsi="宋体"/>
                <w:bCs/>
                <w:szCs w:val="21"/>
              </w:rPr>
              <w:t>3KVA/2.4KW 后备电源</w:t>
            </w:r>
          </w:p>
        </w:tc>
        <w:tc>
          <w:tcPr>
            <w:tcW w:w="1701" w:type="dxa"/>
            <w:vAlign w:val="center"/>
          </w:tcPr>
          <w:p>
            <w:pPr>
              <w:spacing w:line="360" w:lineRule="auto"/>
              <w:jc w:val="center"/>
              <w:rPr>
                <w:rFonts w:ascii="宋体" w:hAnsi="宋体"/>
                <w:szCs w:val="21"/>
              </w:rPr>
            </w:pPr>
            <w:r>
              <w:rPr>
                <w:rFonts w:hint="eastAsia" w:ascii="宋体" w:hAnsi="宋体"/>
                <w:szCs w:val="21"/>
              </w:rPr>
              <w:t>1台</w:t>
            </w:r>
          </w:p>
        </w:tc>
        <w:tc>
          <w:tcPr>
            <w:tcW w:w="2660" w:type="dxa"/>
            <w:vAlign w:val="center"/>
          </w:tcPr>
          <w:p>
            <w:pPr>
              <w:spacing w:line="360" w:lineRule="auto"/>
              <w:jc w:val="center"/>
              <w:rPr>
                <w:rFonts w:ascii="宋体" w:hAnsi="宋体"/>
                <w:szCs w:val="21"/>
              </w:rPr>
            </w:pPr>
            <w:r>
              <w:rPr>
                <w:rFonts w:hint="eastAsia" w:ascii="宋体" w:hAnsi="宋体"/>
                <w:szCs w:val="21"/>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10</w:t>
            </w:r>
          </w:p>
        </w:tc>
        <w:tc>
          <w:tcPr>
            <w:tcW w:w="1768" w:type="dxa"/>
            <w:vAlign w:val="center"/>
          </w:tcPr>
          <w:p>
            <w:pPr>
              <w:spacing w:line="360" w:lineRule="auto"/>
              <w:jc w:val="center"/>
              <w:rPr>
                <w:rFonts w:ascii="宋体" w:hAnsi="宋体"/>
                <w:szCs w:val="21"/>
              </w:rPr>
            </w:pPr>
            <w:r>
              <w:rPr>
                <w:rFonts w:hint="eastAsia" w:ascii="宋体" w:hAnsi="宋体"/>
                <w:szCs w:val="21"/>
              </w:rPr>
              <w:t>机柜</w:t>
            </w:r>
          </w:p>
        </w:tc>
        <w:tc>
          <w:tcPr>
            <w:tcW w:w="2410" w:type="dxa"/>
            <w:vAlign w:val="center"/>
          </w:tcPr>
          <w:p>
            <w:pPr>
              <w:spacing w:line="360" w:lineRule="auto"/>
              <w:jc w:val="center"/>
              <w:rPr>
                <w:rFonts w:ascii="宋体" w:hAnsi="宋体"/>
                <w:bCs/>
                <w:szCs w:val="21"/>
              </w:rPr>
            </w:pPr>
            <w:r>
              <w:rPr>
                <w:rFonts w:hint="eastAsia" w:ascii="宋体" w:hAnsi="宋体"/>
                <w:bCs/>
                <w:szCs w:val="21"/>
              </w:rPr>
              <w:t>600*600*1200mm</w:t>
            </w:r>
          </w:p>
        </w:tc>
        <w:tc>
          <w:tcPr>
            <w:tcW w:w="1701" w:type="dxa"/>
            <w:vAlign w:val="center"/>
          </w:tcPr>
          <w:p>
            <w:pPr>
              <w:spacing w:line="360" w:lineRule="auto"/>
              <w:jc w:val="center"/>
              <w:rPr>
                <w:rFonts w:ascii="宋体" w:hAnsi="宋体"/>
                <w:szCs w:val="21"/>
              </w:rPr>
            </w:pPr>
            <w:r>
              <w:rPr>
                <w:rFonts w:hint="eastAsia" w:ascii="宋体" w:hAnsi="宋体"/>
                <w:szCs w:val="21"/>
              </w:rPr>
              <w:t>1台</w:t>
            </w:r>
          </w:p>
        </w:tc>
        <w:tc>
          <w:tcPr>
            <w:tcW w:w="2660" w:type="dxa"/>
            <w:vAlign w:val="center"/>
          </w:tcPr>
          <w:p>
            <w:pPr>
              <w:spacing w:line="360" w:lineRule="auto"/>
              <w:jc w:val="center"/>
              <w:rPr>
                <w:rFonts w:ascii="宋体" w:hAnsi="宋体"/>
                <w:szCs w:val="21"/>
              </w:rPr>
            </w:pPr>
            <w:r>
              <w:rPr>
                <w:rFonts w:hint="eastAsia" w:ascii="宋体" w:hAnsi="宋体"/>
                <w:szCs w:val="21"/>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11</w:t>
            </w:r>
          </w:p>
        </w:tc>
        <w:tc>
          <w:tcPr>
            <w:tcW w:w="1768" w:type="dxa"/>
            <w:vAlign w:val="center"/>
          </w:tcPr>
          <w:p>
            <w:pPr>
              <w:spacing w:line="360" w:lineRule="auto"/>
              <w:jc w:val="center"/>
              <w:rPr>
                <w:rFonts w:ascii="宋体" w:hAnsi="宋体"/>
                <w:szCs w:val="21"/>
              </w:rPr>
            </w:pPr>
            <w:r>
              <w:rPr>
                <w:rFonts w:hint="eastAsia" w:ascii="宋体" w:hAnsi="宋体"/>
                <w:szCs w:val="21"/>
              </w:rPr>
              <w:t>擦枪台</w:t>
            </w:r>
          </w:p>
        </w:tc>
        <w:tc>
          <w:tcPr>
            <w:tcW w:w="2410" w:type="dxa"/>
            <w:vAlign w:val="center"/>
          </w:tcPr>
          <w:p>
            <w:pPr>
              <w:spacing w:line="360" w:lineRule="auto"/>
              <w:jc w:val="center"/>
              <w:rPr>
                <w:rFonts w:ascii="宋体" w:hAnsi="宋体"/>
                <w:bCs/>
                <w:szCs w:val="21"/>
              </w:rPr>
            </w:pPr>
            <w:r>
              <w:rPr>
                <w:rFonts w:hint="eastAsia" w:ascii="宋体" w:hAnsi="宋体"/>
                <w:szCs w:val="21"/>
              </w:rPr>
              <w:t>1500*600*800mm</w:t>
            </w:r>
          </w:p>
        </w:tc>
        <w:tc>
          <w:tcPr>
            <w:tcW w:w="1701" w:type="dxa"/>
            <w:vAlign w:val="center"/>
          </w:tcPr>
          <w:p>
            <w:pPr>
              <w:spacing w:line="360" w:lineRule="auto"/>
              <w:jc w:val="center"/>
              <w:rPr>
                <w:rFonts w:ascii="宋体" w:hAnsi="宋体"/>
                <w:szCs w:val="21"/>
              </w:rPr>
            </w:pPr>
            <w:r>
              <w:rPr>
                <w:rFonts w:hint="eastAsia" w:ascii="宋体" w:hAnsi="宋体"/>
                <w:szCs w:val="21"/>
              </w:rPr>
              <w:t>1台</w:t>
            </w:r>
          </w:p>
        </w:tc>
        <w:tc>
          <w:tcPr>
            <w:tcW w:w="2660" w:type="dxa"/>
            <w:vAlign w:val="center"/>
          </w:tcPr>
          <w:p>
            <w:pPr>
              <w:spacing w:line="360" w:lineRule="auto"/>
              <w:jc w:val="center"/>
              <w:rPr>
                <w:rFonts w:ascii="宋体" w:hAnsi="宋体"/>
                <w:szCs w:val="21"/>
              </w:rPr>
            </w:pPr>
            <w:r>
              <w:rPr>
                <w:rFonts w:hint="eastAsia" w:ascii="宋体" w:hAnsi="宋体"/>
                <w:szCs w:val="21"/>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551" w:type="dxa"/>
            <w:gridSpan w:val="2"/>
            <w:vAlign w:val="center"/>
          </w:tcPr>
          <w:p>
            <w:pPr>
              <w:spacing w:line="360" w:lineRule="auto"/>
              <w:jc w:val="center"/>
              <w:rPr>
                <w:rFonts w:ascii="宋体" w:hAnsi="宋体"/>
                <w:szCs w:val="21"/>
              </w:rPr>
            </w:pPr>
            <w:r>
              <w:rPr>
                <w:rFonts w:hint="eastAsia" w:ascii="宋体" w:hAnsi="宋体"/>
                <w:szCs w:val="21"/>
              </w:rPr>
              <w:t>合计</w:t>
            </w:r>
          </w:p>
        </w:tc>
        <w:tc>
          <w:tcPr>
            <w:tcW w:w="6771" w:type="dxa"/>
            <w:gridSpan w:val="3"/>
            <w:vAlign w:val="center"/>
          </w:tcPr>
          <w:p>
            <w:pPr>
              <w:spacing w:line="360" w:lineRule="auto"/>
              <w:rPr>
                <w:rFonts w:ascii="宋体" w:hAnsi="宋体"/>
                <w:szCs w:val="21"/>
              </w:rPr>
            </w:pPr>
            <w:r>
              <w:rPr>
                <w:rFonts w:hint="eastAsia" w:ascii="宋体" w:hAnsi="宋体"/>
                <w:szCs w:val="21"/>
              </w:rPr>
              <w:t>肆拾伍万叁仟叁佰元整（¥：453300.00）</w:t>
            </w:r>
          </w:p>
        </w:tc>
      </w:tr>
    </w:tbl>
    <w:p>
      <w:pPr>
        <w:adjustRightInd w:val="0"/>
        <w:snapToGrid w:val="0"/>
        <w:spacing w:line="400" w:lineRule="exact"/>
        <w:jc w:val="left"/>
        <w:rPr>
          <w:rFonts w:ascii="仿宋" w:hAnsi="仿宋" w:eastAsia="仿宋" w:cs="仿宋"/>
          <w:snapToGrid w:val="0"/>
          <w:color w:val="000000" w:themeColor="text1"/>
          <w:sz w:val="24"/>
          <w:szCs w:val="24"/>
        </w:rPr>
      </w:pPr>
      <w:r>
        <w:rPr>
          <w:rFonts w:hint="eastAsia" w:ascii="仿宋" w:hAnsi="仿宋" w:eastAsia="仿宋" w:cs="仿宋"/>
          <w:color w:val="000000"/>
          <w:kern w:val="0"/>
          <w:sz w:val="24"/>
          <w:szCs w:val="24"/>
        </w:rPr>
        <w:t>注：最高控制价为453300元，投标报价超过最高控制价者，为无效报价。</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四、投标人资格</w:t>
      </w:r>
      <w:r>
        <w:rPr>
          <w:rFonts w:hint="eastAsia" w:ascii="仿宋" w:hAnsi="仿宋" w:eastAsia="仿宋" w:cs="仿宋"/>
          <w:b/>
          <w:snapToGrid w:val="0"/>
          <w:color w:val="000000" w:themeColor="text1"/>
          <w:sz w:val="24"/>
          <w:szCs w:val="24"/>
        </w:rPr>
        <w:t>（开标时请预备一份以下资格材料展示）</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1、具有独立承担民事责任的能力（提供营业执照，或事业单位查询网址，或自然人的身份证原件，或上述证照复印件加盖单位的公章）</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w:t>
      </w:r>
      <w:r>
        <w:rPr>
          <w:rFonts w:hint="eastAsia" w:ascii="仿宋" w:hAnsi="仿宋" w:eastAsia="仿宋" w:cs="仿宋"/>
          <w:color w:val="000000"/>
          <w:sz w:val="24"/>
          <w:szCs w:val="24"/>
          <w:shd w:val="clear" w:color="auto" w:fill="FFFFFF"/>
        </w:rPr>
        <w:t>具有良好的商业信誉和健全的财务会计制度（提供开标时间前近6个月内任意一个月的财务报表或2019年度财务审计报告复印件或开标时间前近6个月内任意时间基本开户银行的资信证明）；</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3、具有履行合同所必需的设备和专业技术能力（提供其承诺函原件）；</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4、有依法缴纳税收和社会保障资金的良好记录（提供开标时间前6个月内任意时间缴税和缴纳社保凭证（或社保局社保缴纳明细）原件，或免税和不需缴纳社保相关文件证明原件）；</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5、参加政府采购活动前三年内，在经营活动中没有重大违法记录（提供其承诺函和开标前七日内“信用中国网”和“中国政府采购网”查询截图）；</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6、法律、法规规定的其他条件：</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1）非法定代表人出席开标现场的，须有法定代表人授权书；</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2）本项目不接受联合</w:t>
      </w:r>
      <w:r>
        <w:rPr>
          <w:rFonts w:hint="eastAsia" w:ascii="仿宋" w:hAnsi="仿宋" w:eastAsia="仿宋" w:cs="仿宋"/>
          <w:snapToGrid w:val="0"/>
          <w:color w:val="000000" w:themeColor="text1"/>
          <w:kern w:val="0"/>
          <w:sz w:val="24"/>
          <w:szCs w:val="24"/>
        </w:rPr>
        <w:t>体。</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五、投标文件获得：</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1）获得时间：发布之</w:t>
      </w:r>
      <w:r>
        <w:rPr>
          <w:rFonts w:hint="eastAsia" w:ascii="仿宋" w:hAnsi="仿宋" w:eastAsia="仿宋" w:cs="仿宋"/>
          <w:snapToGrid w:val="0"/>
          <w:color w:val="000000" w:themeColor="text1"/>
          <w:kern w:val="0"/>
          <w:sz w:val="24"/>
          <w:szCs w:val="24"/>
        </w:rPr>
        <w:t>日起至</w:t>
      </w:r>
      <w:r>
        <w:rPr>
          <w:rFonts w:hint="eastAsia" w:ascii="仿宋" w:hAnsi="仿宋" w:eastAsia="仿宋" w:cs="仿宋"/>
          <w:snapToGrid w:val="0"/>
          <w:color w:val="FF0000"/>
          <w:kern w:val="0"/>
          <w:sz w:val="24"/>
          <w:szCs w:val="24"/>
        </w:rPr>
        <w:t>2020年6月16日15:00时</w:t>
      </w:r>
      <w:r>
        <w:rPr>
          <w:rFonts w:hint="eastAsia" w:ascii="仿宋" w:hAnsi="仿宋" w:eastAsia="仿宋" w:cs="仿宋"/>
          <w:snapToGrid w:val="0"/>
          <w:color w:val="000000" w:themeColor="text1"/>
          <w:kern w:val="0"/>
          <w:sz w:val="24"/>
          <w:szCs w:val="24"/>
        </w:rPr>
        <w:t>截</w:t>
      </w:r>
      <w:r>
        <w:rPr>
          <w:rFonts w:hint="eastAsia" w:ascii="仿宋" w:hAnsi="仿宋" w:eastAsia="仿宋" w:cs="仿宋"/>
          <w:snapToGrid w:val="0"/>
          <w:color w:val="000000" w:themeColor="text1"/>
          <w:sz w:val="24"/>
          <w:szCs w:val="24"/>
        </w:rPr>
        <w:t>止（北京时间，下同）。</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2）获得地址、方式：</w:t>
      </w:r>
      <w:r>
        <w:rPr>
          <w:rFonts w:hint="eastAsia" w:ascii="仿宋" w:hAnsi="仿宋" w:eastAsia="仿宋" w:cs="仿宋"/>
          <w:color w:val="000000"/>
          <w:sz w:val="24"/>
          <w:szCs w:val="24"/>
          <w:shd w:val="clear" w:color="auto" w:fill="FFFFFF"/>
        </w:rPr>
        <w:t>从吉安政府采购网、吉安市公共资源交易中心网、新干县公共资源交易中心</w:t>
      </w:r>
      <w:r>
        <w:rPr>
          <w:rFonts w:hint="eastAsia" w:ascii="仿宋" w:hAnsi="仿宋" w:eastAsia="仿宋" w:cs="仿宋"/>
          <w:snapToGrid w:val="0"/>
          <w:color w:val="000000" w:themeColor="text1"/>
          <w:sz w:val="24"/>
          <w:szCs w:val="24"/>
        </w:rPr>
        <w:t>网网上下载；</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六、公告截止时间：发布之日起3个工作日。</w:t>
      </w:r>
    </w:p>
    <w:p>
      <w:pPr>
        <w:adjustRightInd w:val="0"/>
        <w:snapToGrid w:val="0"/>
        <w:spacing w:line="240" w:lineRule="atLeast"/>
        <w:jc w:val="left"/>
        <w:rPr>
          <w:rFonts w:ascii="仿宋" w:hAnsi="仿宋" w:eastAsia="仿宋" w:cs="仿宋"/>
          <w:kern w:val="0"/>
          <w:sz w:val="24"/>
          <w:szCs w:val="24"/>
        </w:rPr>
      </w:pPr>
      <w:r>
        <w:rPr>
          <w:rFonts w:hint="eastAsia" w:ascii="仿宋" w:hAnsi="仿宋" w:eastAsia="仿宋" w:cs="仿宋"/>
          <w:snapToGrid w:val="0"/>
          <w:color w:val="000000" w:themeColor="text1"/>
          <w:sz w:val="24"/>
          <w:szCs w:val="24"/>
        </w:rPr>
        <w:t xml:space="preserve">    七、磋商保证金：玖仟元整（</w:t>
      </w:r>
      <w:r>
        <w:rPr>
          <w:rFonts w:hint="eastAsia" w:ascii="宋体" w:hAnsi="宋体" w:cs="宋体"/>
          <w:snapToGrid w:val="0"/>
          <w:color w:val="000000" w:themeColor="text1"/>
          <w:sz w:val="24"/>
          <w:szCs w:val="24"/>
        </w:rPr>
        <w:t>¥</w:t>
      </w:r>
      <w:r>
        <w:rPr>
          <w:rFonts w:hint="eastAsia" w:ascii="仿宋" w:hAnsi="仿宋" w:eastAsia="仿宋" w:cs="仿宋"/>
          <w:snapToGrid w:val="0"/>
          <w:color w:val="000000" w:themeColor="text1"/>
          <w:sz w:val="24"/>
          <w:szCs w:val="24"/>
        </w:rPr>
        <w:t>9000.00元），</w:t>
      </w:r>
      <w:bookmarkStart w:id="5" w:name="_Toc3648"/>
      <w:bookmarkEnd w:id="5"/>
      <w:bookmarkStart w:id="6" w:name="_Toc32417"/>
      <w:bookmarkEnd w:id="6"/>
      <w:bookmarkStart w:id="7" w:name="_Toc25115"/>
      <w:bookmarkEnd w:id="7"/>
      <w:r>
        <w:rPr>
          <w:rFonts w:hint="eastAsia" w:ascii="仿宋" w:hAnsi="仿宋" w:eastAsia="仿宋" w:cs="仿宋"/>
          <w:kern w:val="0"/>
          <w:sz w:val="24"/>
          <w:szCs w:val="24"/>
        </w:rPr>
        <w:t>磋商保证金必须在投标截止时间前（以到帐时间为准）从竞标人企业法人营业执照注册所在地本单位帐户（不含企业的分公司或办事处）转入以下帐户，并在用途上注明“BKWZC[2020]006号”磋商保证金等。转帐银行户名：新干县公共资源交易中心，账号：</w:t>
      </w:r>
      <w:r>
        <w:rPr>
          <w:rFonts w:ascii="仿宋" w:hAnsi="仿宋" w:eastAsia="仿宋" w:cs="仿宋"/>
          <w:kern w:val="0"/>
          <w:sz w:val="24"/>
          <w:szCs w:val="24"/>
        </w:rPr>
        <w:t>175267701000003378</w:t>
      </w:r>
      <w:r>
        <w:rPr>
          <w:rFonts w:hint="eastAsia" w:ascii="仿宋" w:hAnsi="仿宋" w:eastAsia="仿宋" w:cs="仿宋"/>
          <w:kern w:val="0"/>
          <w:sz w:val="24"/>
          <w:szCs w:val="24"/>
        </w:rPr>
        <w:t>，开户行：江西新干农村商业银行股份有限公司营业部，行号：402435600015。</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八、投开标地点：新干县公共资源交易中心第一开标厅。</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sz w:val="24"/>
          <w:szCs w:val="24"/>
        </w:rPr>
        <w:t>九、投标截止/开标时</w:t>
      </w:r>
      <w:r>
        <w:rPr>
          <w:rFonts w:hint="eastAsia" w:ascii="仿宋" w:hAnsi="仿宋" w:eastAsia="仿宋" w:cs="仿宋"/>
          <w:snapToGrid w:val="0"/>
          <w:color w:val="000000" w:themeColor="text1"/>
          <w:kern w:val="0"/>
          <w:sz w:val="24"/>
          <w:szCs w:val="24"/>
        </w:rPr>
        <w:t>间:</w:t>
      </w:r>
      <w:r>
        <w:rPr>
          <w:rFonts w:hint="eastAsia" w:ascii="仿宋" w:hAnsi="仿宋" w:eastAsia="仿宋" w:cs="仿宋"/>
          <w:snapToGrid w:val="0"/>
          <w:color w:val="FF0000"/>
          <w:kern w:val="0"/>
          <w:sz w:val="24"/>
          <w:szCs w:val="24"/>
        </w:rPr>
        <w:t>2020年6月16日15:00时。</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十、业务咨询：</w:t>
      </w:r>
    </w:p>
    <w:p>
      <w:pPr>
        <w:adjustRightInd w:val="0"/>
        <w:snapToGrid w:val="0"/>
        <w:spacing w:line="400" w:lineRule="exact"/>
        <w:ind w:firstLine="480" w:firstLineChars="200"/>
        <w:jc w:val="left"/>
        <w:rPr>
          <w:rFonts w:ascii="仿宋" w:hAnsi="仿宋" w:eastAsia="仿宋" w:cs="仿宋"/>
          <w:snapToGrid w:val="0"/>
          <w:sz w:val="24"/>
          <w:szCs w:val="24"/>
        </w:rPr>
      </w:pPr>
      <w:r>
        <w:rPr>
          <w:rFonts w:hint="eastAsia" w:ascii="仿宋" w:hAnsi="仿宋" w:eastAsia="仿宋" w:cs="仿宋"/>
          <w:snapToGrid w:val="0"/>
          <w:color w:val="000000" w:themeColor="text1"/>
          <w:sz w:val="24"/>
          <w:szCs w:val="24"/>
        </w:rPr>
        <w:t>1、</w:t>
      </w:r>
      <w:r>
        <w:rPr>
          <w:rFonts w:hint="eastAsia" w:ascii="仿宋" w:hAnsi="仿宋" w:eastAsia="仿宋" w:cs="仿宋"/>
          <w:snapToGrid w:val="0"/>
          <w:sz w:val="24"/>
          <w:szCs w:val="24"/>
        </w:rPr>
        <w:t>招标人：新干县公安局（地址：新干县金川镇淦中大道1号）</w:t>
      </w:r>
    </w:p>
    <w:p>
      <w:pPr>
        <w:adjustRightInd w:val="0"/>
        <w:snapToGrid w:val="0"/>
        <w:spacing w:line="400" w:lineRule="exact"/>
        <w:ind w:firstLine="840" w:firstLineChars="350"/>
        <w:jc w:val="left"/>
        <w:rPr>
          <w:rFonts w:ascii="仿宋" w:hAnsi="仿宋" w:eastAsia="仿宋" w:cs="仿宋"/>
          <w:snapToGrid w:val="0"/>
          <w:sz w:val="24"/>
          <w:szCs w:val="24"/>
        </w:rPr>
      </w:pPr>
      <w:r>
        <w:rPr>
          <w:rFonts w:hint="eastAsia" w:ascii="仿宋" w:hAnsi="仿宋" w:eastAsia="仿宋" w:cs="仿宋"/>
          <w:snapToGrid w:val="0"/>
          <w:sz w:val="24"/>
          <w:szCs w:val="24"/>
        </w:rPr>
        <w:t>联系人：张先生 电话：0796-2607869</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2、</w:t>
      </w:r>
      <w:r>
        <w:rPr>
          <w:rFonts w:hint="eastAsia" w:ascii="仿宋" w:hAnsi="仿宋" w:eastAsia="仿宋" w:cs="仿宋"/>
          <w:color w:val="000000"/>
          <w:sz w:val="24"/>
          <w:szCs w:val="24"/>
          <w:shd w:val="clear" w:color="auto" w:fill="FFFFFF"/>
        </w:rPr>
        <w:t>招标代理机构：江西省博可为工程管理有限公司  联系地址：江西省吉安市新干县金川镇沁新苑小区1栋1单元302室  联系人：谢先生  电话：13979629917 邮箱：</w:t>
      </w:r>
      <w:r>
        <w:fldChar w:fldCharType="begin"/>
      </w:r>
      <w:r>
        <w:instrText xml:space="preserve"> HYPERLINK "mailto:2219535803@qq.com" </w:instrText>
      </w:r>
      <w:r>
        <w:fldChar w:fldCharType="separate"/>
      </w:r>
      <w:r>
        <w:rPr>
          <w:rStyle w:val="19"/>
          <w:rFonts w:hint="eastAsia" w:ascii="仿宋" w:hAnsi="仿宋" w:eastAsia="仿宋" w:cs="仿宋"/>
          <w:color w:val="444444"/>
          <w:sz w:val="24"/>
          <w:szCs w:val="24"/>
          <w:shd w:val="clear" w:color="auto" w:fill="FFFFFF"/>
        </w:rPr>
        <w:t>1139372652@qq.com</w:t>
      </w:r>
      <w:r>
        <w:rPr>
          <w:rStyle w:val="19"/>
          <w:rFonts w:hint="eastAsia" w:ascii="仿宋" w:hAnsi="仿宋" w:eastAsia="仿宋" w:cs="仿宋"/>
          <w:color w:val="444444"/>
          <w:sz w:val="24"/>
          <w:szCs w:val="24"/>
          <w:shd w:val="clear" w:color="auto" w:fill="FFFFFF"/>
        </w:rPr>
        <w:fldChar w:fldCharType="end"/>
      </w:r>
    </w:p>
    <w:p>
      <w:pPr>
        <w:adjustRightInd w:val="0"/>
        <w:snapToGrid w:val="0"/>
        <w:spacing w:line="400" w:lineRule="exact"/>
        <w:ind w:firstLine="6480" w:firstLineChars="27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2020年6月1日</w:t>
      </w:r>
    </w:p>
    <w:p>
      <w:pPr>
        <w:adjustRightInd w:val="0"/>
        <w:snapToGrid w:val="0"/>
        <w:spacing w:line="400" w:lineRule="exact"/>
        <w:ind w:firstLine="480"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snapToGrid w:val="0"/>
          <w:color w:val="000000" w:themeColor="text1"/>
          <w:kern w:val="0"/>
          <w:sz w:val="24"/>
          <w:szCs w:val="24"/>
        </w:rPr>
        <w:t>注：</w:t>
      </w:r>
      <w:r>
        <w:rPr>
          <w:rFonts w:hint="eastAsia" w:ascii="仿宋" w:hAnsi="仿宋" w:eastAsia="仿宋" w:cs="仿宋"/>
          <w:b/>
          <w:snapToGrid w:val="0"/>
          <w:color w:val="000000" w:themeColor="text1"/>
          <w:kern w:val="0"/>
          <w:sz w:val="24"/>
          <w:szCs w:val="24"/>
        </w:rPr>
        <w:t>1、开标时仅允许一名投标人代表进入交易中心。进场人员须系非新型冠状病毒肺炎疑似病例或确诊病例的密切接触者、有流行病学史纳入医学观察的人员，监测体温不超过37.3℃,且必须佩戴好口罩，做好个人防护措施，相互之间必须间隔１米以上；对于不符合以上条件人员，交易中心将拒绝其入场，情节严重的，报防疫部门依法处置。各投标人严禁携带早餐、零食入场。</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2、自交易活动结束后次日起14天内，开评标活动参加人员确认为新冠肺炎、出现疑似病例症状被医学观察或采取其他强制隔离措施的，应立即通知采购人（采购代理机构）、行业监管部门及公共资源交易中心。</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3、参加开评标活动的采购人代表、采购代理从业人员、投标人代表等有关人员须填写并提交《开评标人员健康信息登记表》（详见附表，采购人代表、采购代理从业人员、投标人代表还需加盖所在单位公章，评标专家在开标现场填写）并接受交易中心人员入场的检测，《开评标人员健康信息登记表》由交易中心保存备查。</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4、开评标人员健康信息登记表。</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 xml:space="preserve"> (此表不要装订，每人一份呈交公共资源交易中心或招标代理，否则不准进入公共交易中心场所)</w:t>
      </w:r>
    </w:p>
    <w:tbl>
      <w:tblPr>
        <w:tblStyle w:val="15"/>
        <w:tblW w:w="8760" w:type="dxa"/>
        <w:jc w:val="center"/>
        <w:tblLayout w:type="autofit"/>
        <w:tblCellMar>
          <w:top w:w="0" w:type="dxa"/>
          <w:left w:w="108" w:type="dxa"/>
          <w:bottom w:w="0" w:type="dxa"/>
          <w:right w:w="108" w:type="dxa"/>
        </w:tblCellMar>
      </w:tblPr>
      <w:tblGrid>
        <w:gridCol w:w="1600"/>
        <w:gridCol w:w="1820"/>
        <w:gridCol w:w="1580"/>
        <w:gridCol w:w="3760"/>
      </w:tblGrid>
      <w:tr>
        <w:tblPrEx>
          <w:tblCellMar>
            <w:top w:w="0" w:type="dxa"/>
            <w:left w:w="108" w:type="dxa"/>
            <w:bottom w:w="0" w:type="dxa"/>
            <w:right w:w="108" w:type="dxa"/>
          </w:tblCellMar>
        </w:tblPrEx>
        <w:trPr>
          <w:trHeight w:val="399" w:hRule="atLeast"/>
          <w:jc w:val="center"/>
        </w:trPr>
        <w:tc>
          <w:tcPr>
            <w:tcW w:w="34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现场体温测量</w:t>
            </w:r>
          </w:p>
        </w:tc>
        <w:tc>
          <w:tcPr>
            <w:tcW w:w="534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w:t>
            </w:r>
          </w:p>
        </w:tc>
      </w:tr>
      <w:tr>
        <w:tblPrEx>
          <w:tblCellMar>
            <w:top w:w="0" w:type="dxa"/>
            <w:left w:w="108" w:type="dxa"/>
            <w:bottom w:w="0" w:type="dxa"/>
            <w:right w:w="108" w:type="dxa"/>
          </w:tblCellMar>
        </w:tblPrEx>
        <w:trPr>
          <w:trHeight w:val="399"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姓名</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身份证号码</w:t>
            </w:r>
          </w:p>
        </w:tc>
        <w:tc>
          <w:tcPr>
            <w:tcW w:w="37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w:t>
            </w:r>
          </w:p>
        </w:tc>
      </w:tr>
      <w:tr>
        <w:tblPrEx>
          <w:tblCellMar>
            <w:top w:w="0" w:type="dxa"/>
            <w:left w:w="108" w:type="dxa"/>
            <w:bottom w:w="0" w:type="dxa"/>
            <w:right w:w="108" w:type="dxa"/>
          </w:tblCellMar>
        </w:tblPrEx>
        <w:trPr>
          <w:trHeight w:val="399"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单位名称</w:t>
            </w:r>
          </w:p>
        </w:tc>
        <w:tc>
          <w:tcPr>
            <w:tcW w:w="71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w:t>
            </w:r>
          </w:p>
        </w:tc>
      </w:tr>
      <w:tr>
        <w:tblPrEx>
          <w:tblCellMar>
            <w:top w:w="0" w:type="dxa"/>
            <w:left w:w="108" w:type="dxa"/>
            <w:bottom w:w="0" w:type="dxa"/>
            <w:right w:w="108" w:type="dxa"/>
          </w:tblCellMar>
        </w:tblPrEx>
        <w:trPr>
          <w:trHeight w:val="399"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单位地址</w:t>
            </w:r>
          </w:p>
        </w:tc>
        <w:tc>
          <w:tcPr>
            <w:tcW w:w="71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w:t>
            </w:r>
          </w:p>
        </w:tc>
      </w:tr>
      <w:tr>
        <w:tblPrEx>
          <w:tblCellMar>
            <w:top w:w="0" w:type="dxa"/>
            <w:left w:w="108" w:type="dxa"/>
            <w:bottom w:w="0" w:type="dxa"/>
            <w:right w:w="108" w:type="dxa"/>
          </w:tblCellMar>
        </w:tblPrEx>
        <w:trPr>
          <w:trHeight w:val="399"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个人住址</w:t>
            </w:r>
          </w:p>
        </w:tc>
        <w:tc>
          <w:tcPr>
            <w:tcW w:w="71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w:t>
            </w:r>
          </w:p>
        </w:tc>
      </w:tr>
      <w:tr>
        <w:tblPrEx>
          <w:tblCellMar>
            <w:top w:w="0" w:type="dxa"/>
            <w:left w:w="108" w:type="dxa"/>
            <w:bottom w:w="0" w:type="dxa"/>
            <w:right w:w="108" w:type="dxa"/>
          </w:tblCellMar>
        </w:tblPrEx>
        <w:trPr>
          <w:trHeight w:val="399"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单位电话</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个人手机</w:t>
            </w:r>
          </w:p>
        </w:tc>
        <w:tc>
          <w:tcPr>
            <w:tcW w:w="37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w:t>
            </w:r>
          </w:p>
        </w:tc>
      </w:tr>
      <w:tr>
        <w:tblPrEx>
          <w:tblCellMar>
            <w:top w:w="0" w:type="dxa"/>
            <w:left w:w="108" w:type="dxa"/>
            <w:bottom w:w="0" w:type="dxa"/>
            <w:right w:w="108" w:type="dxa"/>
          </w:tblCellMar>
        </w:tblPrEx>
        <w:trPr>
          <w:trHeight w:val="399"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人员身份</w:t>
            </w:r>
          </w:p>
        </w:tc>
        <w:tc>
          <w:tcPr>
            <w:tcW w:w="71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□招标人代表 □招标代理□投标人代表□评标专家</w:t>
            </w:r>
          </w:p>
        </w:tc>
      </w:tr>
      <w:tr>
        <w:tblPrEx>
          <w:tblCellMar>
            <w:top w:w="0" w:type="dxa"/>
            <w:left w:w="108" w:type="dxa"/>
            <w:bottom w:w="0" w:type="dxa"/>
            <w:right w:w="108" w:type="dxa"/>
          </w:tblCellMar>
        </w:tblPrEx>
        <w:trPr>
          <w:trHeight w:val="399" w:hRule="atLeast"/>
          <w:jc w:val="center"/>
        </w:trPr>
        <w:tc>
          <w:tcPr>
            <w:tcW w:w="3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参加：□开标□评标</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开评标室号</w:t>
            </w:r>
          </w:p>
        </w:tc>
        <w:tc>
          <w:tcPr>
            <w:tcW w:w="37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w:t>
            </w:r>
          </w:p>
        </w:tc>
      </w:tr>
      <w:tr>
        <w:tblPrEx>
          <w:tblCellMar>
            <w:top w:w="0" w:type="dxa"/>
            <w:left w:w="108" w:type="dxa"/>
            <w:bottom w:w="0" w:type="dxa"/>
            <w:right w:w="108" w:type="dxa"/>
          </w:tblCellMar>
        </w:tblPrEx>
        <w:trPr>
          <w:trHeight w:val="399"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报建编号</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标段号</w:t>
            </w:r>
          </w:p>
        </w:tc>
        <w:tc>
          <w:tcPr>
            <w:tcW w:w="37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w:t>
            </w:r>
          </w:p>
        </w:tc>
      </w:tr>
      <w:tr>
        <w:tblPrEx>
          <w:tblCellMar>
            <w:top w:w="0" w:type="dxa"/>
            <w:left w:w="108" w:type="dxa"/>
            <w:bottom w:w="0" w:type="dxa"/>
            <w:right w:w="108" w:type="dxa"/>
          </w:tblCellMar>
        </w:tblPrEx>
        <w:trPr>
          <w:trHeight w:val="399"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项目名称</w:t>
            </w:r>
          </w:p>
        </w:tc>
        <w:tc>
          <w:tcPr>
            <w:tcW w:w="71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　</w:t>
            </w:r>
          </w:p>
        </w:tc>
      </w:tr>
      <w:tr>
        <w:tblPrEx>
          <w:tblCellMar>
            <w:top w:w="0" w:type="dxa"/>
            <w:left w:w="108" w:type="dxa"/>
            <w:bottom w:w="0" w:type="dxa"/>
            <w:right w:w="108" w:type="dxa"/>
          </w:tblCellMar>
        </w:tblPrEx>
        <w:trPr>
          <w:trHeight w:val="387" w:hRule="atLeast"/>
          <w:jc w:val="center"/>
        </w:trPr>
        <w:tc>
          <w:tcPr>
            <w:tcW w:w="87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themeColor="text1"/>
                <w:kern w:val="0"/>
                <w:sz w:val="24"/>
                <w:szCs w:val="24"/>
              </w:rPr>
            </w:pPr>
            <w:r>
              <w:rPr>
                <w:rFonts w:hint="eastAsia" w:ascii="仿宋" w:hAnsi="仿宋" w:eastAsia="仿宋" w:cs="仿宋"/>
                <w:b/>
                <w:bCs/>
                <w:color w:val="000000" w:themeColor="text1"/>
                <w:kern w:val="0"/>
                <w:sz w:val="24"/>
                <w:szCs w:val="24"/>
              </w:rPr>
              <w:t>个人健康情况</w:t>
            </w:r>
          </w:p>
        </w:tc>
      </w:tr>
      <w:tr>
        <w:tblPrEx>
          <w:tblCellMar>
            <w:top w:w="0" w:type="dxa"/>
            <w:left w:w="108" w:type="dxa"/>
            <w:bottom w:w="0" w:type="dxa"/>
            <w:right w:w="108" w:type="dxa"/>
          </w:tblCellMar>
        </w:tblPrEx>
        <w:trPr>
          <w:trHeight w:val="399" w:hRule="atLeast"/>
          <w:jc w:val="center"/>
        </w:trPr>
        <w:tc>
          <w:tcPr>
            <w:tcW w:w="87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有无发热、乏力、咳嗽、气促情况: □有  □无</w:t>
            </w:r>
          </w:p>
        </w:tc>
      </w:tr>
      <w:tr>
        <w:tblPrEx>
          <w:tblCellMar>
            <w:top w:w="0" w:type="dxa"/>
            <w:left w:w="108" w:type="dxa"/>
            <w:bottom w:w="0" w:type="dxa"/>
            <w:right w:w="108" w:type="dxa"/>
          </w:tblCellMar>
        </w:tblPrEx>
        <w:trPr>
          <w:trHeight w:val="399" w:hRule="atLeast"/>
          <w:jc w:val="center"/>
        </w:trPr>
        <w:tc>
          <w:tcPr>
            <w:tcW w:w="87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是否在2020年1月30日后来自（或途径）疫情重点地区？</w:t>
            </w:r>
          </w:p>
        </w:tc>
      </w:tr>
      <w:tr>
        <w:tblPrEx>
          <w:tblCellMar>
            <w:top w:w="0" w:type="dxa"/>
            <w:left w:w="108" w:type="dxa"/>
            <w:bottom w:w="0" w:type="dxa"/>
            <w:right w:w="108" w:type="dxa"/>
          </w:tblCellMar>
        </w:tblPrEx>
        <w:trPr>
          <w:trHeight w:val="399" w:hRule="atLeast"/>
          <w:jc w:val="center"/>
        </w:trPr>
        <w:tc>
          <w:tcPr>
            <w:tcW w:w="87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□否  □是，到达时间为：</w:t>
            </w:r>
          </w:p>
        </w:tc>
      </w:tr>
      <w:tr>
        <w:tblPrEx>
          <w:tblCellMar>
            <w:top w:w="0" w:type="dxa"/>
            <w:left w:w="108" w:type="dxa"/>
            <w:bottom w:w="0" w:type="dxa"/>
            <w:right w:w="108" w:type="dxa"/>
          </w:tblCellMar>
        </w:tblPrEx>
        <w:trPr>
          <w:trHeight w:val="399" w:hRule="atLeast"/>
          <w:jc w:val="center"/>
        </w:trPr>
        <w:tc>
          <w:tcPr>
            <w:tcW w:w="87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2020年1月30日至今是否离开过江西？□否  □是</w:t>
            </w:r>
          </w:p>
        </w:tc>
      </w:tr>
      <w:tr>
        <w:tblPrEx>
          <w:tblCellMar>
            <w:top w:w="0" w:type="dxa"/>
            <w:left w:w="108" w:type="dxa"/>
            <w:bottom w:w="0" w:type="dxa"/>
            <w:right w:w="108" w:type="dxa"/>
          </w:tblCellMar>
        </w:tblPrEx>
        <w:trPr>
          <w:trHeight w:val="399" w:hRule="atLeast"/>
          <w:jc w:val="center"/>
        </w:trPr>
        <w:tc>
          <w:tcPr>
            <w:tcW w:w="87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2020年1月30日至今是否有与来自疫情重点地区人员接触情况？</w:t>
            </w:r>
          </w:p>
        </w:tc>
      </w:tr>
      <w:tr>
        <w:tblPrEx>
          <w:tblCellMar>
            <w:top w:w="0" w:type="dxa"/>
            <w:left w:w="108" w:type="dxa"/>
            <w:bottom w:w="0" w:type="dxa"/>
            <w:right w:w="108" w:type="dxa"/>
          </w:tblCellMar>
        </w:tblPrEx>
        <w:trPr>
          <w:trHeight w:val="399" w:hRule="atLeast"/>
          <w:jc w:val="center"/>
        </w:trPr>
        <w:tc>
          <w:tcPr>
            <w:tcW w:w="87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□否  □是，接触时间为：</w:t>
            </w:r>
          </w:p>
        </w:tc>
      </w:tr>
      <w:tr>
        <w:tblPrEx>
          <w:tblCellMar>
            <w:top w:w="0" w:type="dxa"/>
            <w:left w:w="108" w:type="dxa"/>
            <w:bottom w:w="0" w:type="dxa"/>
            <w:right w:w="108" w:type="dxa"/>
          </w:tblCellMar>
        </w:tblPrEx>
        <w:trPr>
          <w:trHeight w:val="399" w:hRule="atLeast"/>
          <w:jc w:val="center"/>
        </w:trPr>
        <w:tc>
          <w:tcPr>
            <w:tcW w:w="87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本人承诺以上信息真实准确。如有不实，愿承担由此引起的一切后果及法律责任。</w:t>
            </w:r>
          </w:p>
        </w:tc>
      </w:tr>
      <w:tr>
        <w:tblPrEx>
          <w:tblCellMar>
            <w:top w:w="0" w:type="dxa"/>
            <w:left w:w="108" w:type="dxa"/>
            <w:bottom w:w="0" w:type="dxa"/>
            <w:right w:w="108" w:type="dxa"/>
          </w:tblCellMar>
        </w:tblPrEx>
        <w:trPr>
          <w:trHeight w:val="399" w:hRule="atLeast"/>
          <w:jc w:val="center"/>
        </w:trPr>
        <w:tc>
          <w:tcPr>
            <w:tcW w:w="87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申报人（签名）：日期：</w:t>
            </w:r>
          </w:p>
        </w:tc>
      </w:tr>
      <w:tr>
        <w:tblPrEx>
          <w:tblCellMar>
            <w:top w:w="0" w:type="dxa"/>
            <w:left w:w="108" w:type="dxa"/>
            <w:bottom w:w="0" w:type="dxa"/>
            <w:right w:w="108" w:type="dxa"/>
          </w:tblCellMar>
        </w:tblPrEx>
        <w:trPr>
          <w:trHeight w:val="698" w:hRule="atLeast"/>
          <w:jc w:val="center"/>
        </w:trPr>
        <w:tc>
          <w:tcPr>
            <w:tcW w:w="87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所在单位（公章）</w:t>
            </w:r>
          </w:p>
        </w:tc>
      </w:tr>
    </w:tbl>
    <w:p>
      <w:pPr>
        <w:jc w:val="center"/>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存在瞒报或审查不严的，一经发现将严肃处理，并报有关部门依法追究责任。</w:t>
      </w:r>
    </w:p>
    <w:p>
      <w:pPr>
        <w:pStyle w:val="2"/>
        <w:adjustRightInd w:val="0"/>
        <w:snapToGrid w:val="0"/>
        <w:spacing w:before="0" w:after="0" w:line="400" w:lineRule="exact"/>
        <w:ind w:firstLine="482" w:firstLineChars="200"/>
        <w:jc w:val="center"/>
        <w:rPr>
          <w:rFonts w:ascii="仿宋" w:hAnsi="仿宋" w:eastAsia="仿宋" w:cs="仿宋"/>
          <w:color w:val="000000" w:themeColor="text1"/>
          <w:sz w:val="24"/>
          <w:szCs w:val="24"/>
        </w:rPr>
      </w:pPr>
      <w:bookmarkStart w:id="8" w:name="_Toc17272964"/>
      <w:bookmarkStart w:id="9" w:name="_Toc26741873"/>
      <w:bookmarkStart w:id="10" w:name="_Toc34984017"/>
      <w:bookmarkStart w:id="11" w:name="_Toc17539274"/>
      <w:r>
        <w:rPr>
          <w:rFonts w:hint="eastAsia" w:ascii="仿宋" w:hAnsi="仿宋" w:eastAsia="仿宋" w:cs="仿宋"/>
          <w:color w:val="000000" w:themeColor="text1"/>
          <w:sz w:val="24"/>
          <w:szCs w:val="24"/>
        </w:rPr>
        <w:t>第二章 投标人须知</w:t>
      </w:r>
      <w:bookmarkEnd w:id="8"/>
      <w:bookmarkEnd w:id="9"/>
      <w:bookmarkEnd w:id="10"/>
      <w:bookmarkEnd w:id="11"/>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12" w:name="_Toc34984018"/>
      <w:bookmarkStart w:id="13" w:name="_Toc26741874"/>
      <w:bookmarkStart w:id="14" w:name="_Toc17539275"/>
      <w:bookmarkStart w:id="15" w:name="_Toc17272965"/>
      <w:r>
        <w:rPr>
          <w:rFonts w:hint="eastAsia" w:ascii="仿宋" w:hAnsi="仿宋" w:eastAsia="仿宋" w:cs="仿宋"/>
          <w:snapToGrid w:val="0"/>
          <w:color w:val="000000" w:themeColor="text1"/>
          <w:kern w:val="0"/>
          <w:sz w:val="24"/>
          <w:szCs w:val="24"/>
        </w:rPr>
        <w:t>一、前附表（招标文件如与本前附表有冲突的，以本前附表为准）</w:t>
      </w:r>
      <w:bookmarkEnd w:id="12"/>
      <w:bookmarkEnd w:id="13"/>
      <w:bookmarkEnd w:id="14"/>
      <w:bookmarkEnd w:id="15"/>
    </w:p>
    <w:tbl>
      <w:tblPr>
        <w:tblStyle w:val="15"/>
        <w:tblW w:w="9639" w:type="dxa"/>
        <w:tblInd w:w="108" w:type="dxa"/>
        <w:tblLayout w:type="autofit"/>
        <w:tblCellMar>
          <w:top w:w="0" w:type="dxa"/>
          <w:left w:w="108" w:type="dxa"/>
          <w:bottom w:w="0" w:type="dxa"/>
          <w:right w:w="108" w:type="dxa"/>
        </w:tblCellMar>
      </w:tblPr>
      <w:tblGrid>
        <w:gridCol w:w="709"/>
        <w:gridCol w:w="1559"/>
        <w:gridCol w:w="7371"/>
      </w:tblGrid>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序号</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条款名称</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编列内容</w:t>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投标时间地址</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FF0000"/>
                <w:kern w:val="0"/>
                <w:sz w:val="24"/>
                <w:szCs w:val="24"/>
              </w:rPr>
            </w:pPr>
            <w:r>
              <w:rPr>
                <w:rFonts w:hint="eastAsia" w:ascii="仿宋" w:hAnsi="仿宋" w:eastAsia="仿宋" w:cs="仿宋"/>
                <w:color w:val="000000" w:themeColor="text1"/>
                <w:kern w:val="0"/>
                <w:sz w:val="24"/>
                <w:szCs w:val="24"/>
              </w:rPr>
              <w:t>1）投标文件递交截止/开标时间：</w:t>
            </w:r>
            <w:r>
              <w:rPr>
                <w:rFonts w:hint="eastAsia" w:ascii="仿宋" w:hAnsi="仿宋" w:eastAsia="仿宋" w:cs="仿宋"/>
                <w:color w:val="FF0000"/>
                <w:kern w:val="0"/>
                <w:sz w:val="24"/>
                <w:szCs w:val="24"/>
              </w:rPr>
              <w:t>2020年6月16日15:00时</w:t>
            </w:r>
          </w:p>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2）投标地址: 江西省新干县公共资源交易中心</w:t>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信息发布网址</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江西省政府采购网发布招标公告，同时在吉安政府采购网、吉安市（新干县）公共资源交易中心网发布公告及磋商文件。</w:t>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3</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投标有效期</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自投标截止之日起90个日历天</w:t>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4</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踏勘现场</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自行踏勘（费用自理）</w:t>
            </w:r>
          </w:p>
        </w:tc>
      </w:tr>
      <w:tr>
        <w:tblPrEx>
          <w:tblCellMar>
            <w:top w:w="0" w:type="dxa"/>
            <w:left w:w="108" w:type="dxa"/>
            <w:bottom w:w="0" w:type="dxa"/>
            <w:right w:w="108" w:type="dxa"/>
          </w:tblCellMar>
        </w:tblPrEx>
        <w:trPr>
          <w:trHeight w:val="2258" w:hRule="atLeast"/>
        </w:trPr>
        <w:tc>
          <w:tcPr>
            <w:tcW w:w="709" w:type="dxa"/>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5</w:t>
            </w:r>
          </w:p>
        </w:tc>
        <w:tc>
          <w:tcPr>
            <w:tcW w:w="1559" w:type="dxa"/>
            <w:tcBorders>
              <w:top w:val="single" w:color="auto" w:sz="4" w:space="0"/>
              <w:left w:val="nil"/>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投标保证金和履约保证金</w:t>
            </w:r>
          </w:p>
        </w:tc>
        <w:tc>
          <w:tcPr>
            <w:tcW w:w="7371" w:type="dxa"/>
            <w:tcBorders>
              <w:top w:val="single" w:color="auto" w:sz="4" w:space="0"/>
              <w:left w:val="nil"/>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1）磋商保证金:</w:t>
            </w:r>
          </w:p>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（1）金额：</w:t>
            </w:r>
            <w:r>
              <w:rPr>
                <w:rFonts w:hint="eastAsia" w:ascii="仿宋" w:hAnsi="仿宋" w:eastAsia="仿宋" w:cs="仿宋"/>
                <w:color w:val="000000" w:themeColor="text1"/>
                <w:kern w:val="0"/>
                <w:sz w:val="24"/>
                <w:szCs w:val="24"/>
                <w:u w:val="single"/>
              </w:rPr>
              <w:t>玖仟元整（人民币）</w:t>
            </w:r>
            <w:r>
              <w:rPr>
                <w:rFonts w:hint="eastAsia" w:ascii="仿宋" w:hAnsi="仿宋" w:eastAsia="仿宋" w:cs="仿宋"/>
                <w:color w:val="000000" w:themeColor="text1"/>
                <w:kern w:val="0"/>
                <w:sz w:val="24"/>
                <w:szCs w:val="24"/>
              </w:rPr>
              <w:t>。</w:t>
            </w:r>
          </w:p>
          <w:p>
            <w:pPr>
              <w:adjustRightInd w:val="0"/>
              <w:snapToGrid w:val="0"/>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2）交纳要求与账户：磋商保证金必须在投标截止时间前（以到帐时间为准）从竞标人企业法人营业执照注册所在地本单位帐户（不含企业的分公司或办事处）转入以下帐户，并在用途上注明“BKWZC[2020]006号”磋商保证金等。转帐银行户名：新干县公共资源交易中心，账号：</w:t>
            </w:r>
            <w:r>
              <w:rPr>
                <w:rFonts w:ascii="仿宋" w:hAnsi="仿宋" w:eastAsia="仿宋" w:cs="仿宋"/>
                <w:kern w:val="0"/>
                <w:sz w:val="24"/>
                <w:szCs w:val="24"/>
              </w:rPr>
              <w:t>175267701000003378</w:t>
            </w:r>
            <w:r>
              <w:rPr>
                <w:rFonts w:hint="eastAsia" w:ascii="仿宋" w:hAnsi="仿宋" w:eastAsia="仿宋" w:cs="仿宋"/>
                <w:kern w:val="0"/>
                <w:sz w:val="24"/>
                <w:szCs w:val="24"/>
              </w:rPr>
              <w:t>，开户行：江西新干农村商业银行股份有限公司营业部，行号：402435600015。</w:t>
            </w:r>
          </w:p>
          <w:p>
            <w:pPr>
              <w:adjustRightInd w:val="0"/>
              <w:snapToGrid w:val="0"/>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（3)若磋商保证金未在规定时间内到帐者，视为未提供保证金，拒绝其投标。</w:t>
            </w:r>
          </w:p>
          <w:p>
            <w:pPr>
              <w:adjustRightInd w:val="0"/>
              <w:snapToGrid w:val="0"/>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4)采购人自采购代理机构发出成交通知书之日起2个工作日内须到新干县公共资源交易中心办理投标保证金退转手续（代理机构应当在发出中标通知书后及时通知采购人），新干县公共资源交易中心在收到谈判保证金退转手续后将在3个工作日内退还所有供应商的谈判保证金（其中成交供应商的谈判保证金将被退至采购人指定账户中作为履约保证金的一部分）。成交供应商须在成交后缴纳履约保证金的剩余部分至采购人指定的账户上，进账单应注明“本项目名称”字样。交款单上必须体现供应商名称，不得以个人名义交款。</w:t>
            </w:r>
          </w:p>
          <w:p>
            <w:pPr>
              <w:adjustRightInd w:val="0"/>
              <w:snapToGrid w:val="0"/>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（5)采购人办理退转手续时须提供保证金退还意见表。保证金退还意见表在新干县公共资源交易网-办事指南-政府采购相关下载-2018年4月起保证金退还意见表（采购人版）</w:t>
            </w:r>
          </w:p>
          <w:p>
            <w:pPr>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w:t>
            </w:r>
            <w:r>
              <w:rPr>
                <w:rFonts w:hint="eastAsia" w:ascii="仿宋" w:hAnsi="仿宋" w:eastAsia="仿宋" w:cs="仿宋"/>
                <w:kern w:val="0"/>
                <w:sz w:val="24"/>
                <w:szCs w:val="24"/>
              </w:rPr>
              <w:t>履约保证金：中标金额的5%，中标人投标保证金转为履约保证金，不足部分，签订合同前缴纳至采购人账户。</w:t>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6</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招标文件澄清和修改</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招标文件的澄清和修改在信息发布网址上发布，投标人有义务定期登录并关注更正和变更公告信息，并发布的信息视为告知潜在投标人，并具有约束力。</w:t>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7</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质疑与答疑</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质疑：投标人对招标文件有异议的，在公告期限届满之日起7个工作日内提出，质疑函应当以书面形式并按照“谁主张、谁举证”的原则提出质疑。质疑函送达至招标代理机构（不接受传真、邮件）。质疑函应当符合规定要求和格式，否则，不予受理。</w:t>
            </w:r>
          </w:p>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2）答疑: 招标代理机构将在收到质疑函之日起7个工作日内以电子邮件回复给质疑人，或在指定媒体上发布答复，并具有约束力。</w:t>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8</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进口产品投标</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Style w:val="27"/>
                <w:rFonts w:hint="eastAsia" w:ascii="仿宋" w:hAnsi="仿宋" w:eastAsia="仿宋" w:cs="仿宋"/>
                <w:color w:val="000000" w:themeColor="text1"/>
                <w:kern w:val="0"/>
                <w:sz w:val="24"/>
                <w:szCs w:val="24"/>
              </w:rPr>
              <w:sym w:font="Wingdings" w:char="F0FE"/>
            </w:r>
            <w:r>
              <w:rPr>
                <w:rFonts w:hint="eastAsia" w:ascii="仿宋" w:hAnsi="仿宋" w:eastAsia="仿宋" w:cs="仿宋"/>
                <w:color w:val="000000" w:themeColor="text1"/>
                <w:kern w:val="0"/>
                <w:sz w:val="24"/>
                <w:szCs w:val="24"/>
              </w:rPr>
              <w:t>不允许；</w:t>
            </w:r>
            <w:r>
              <w:rPr>
                <w:rStyle w:val="27"/>
                <w:rFonts w:hint="eastAsia" w:ascii="仿宋" w:hAnsi="仿宋" w:eastAsia="仿宋" w:cs="仿宋"/>
                <w:color w:val="000000" w:themeColor="text1"/>
                <w:kern w:val="0"/>
                <w:sz w:val="24"/>
                <w:szCs w:val="24"/>
              </w:rPr>
              <w:sym w:font="Wingdings" w:char="F0FD"/>
            </w:r>
            <w:r>
              <w:rPr>
                <w:rFonts w:hint="eastAsia" w:ascii="仿宋" w:hAnsi="仿宋" w:eastAsia="仿宋" w:cs="仿宋"/>
                <w:color w:val="000000" w:themeColor="text1"/>
                <w:kern w:val="0"/>
                <w:sz w:val="24"/>
                <w:szCs w:val="24"/>
              </w:rPr>
              <w:t>允许，产品名目清单：</w:t>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9</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非核心产品</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Style w:val="27"/>
                <w:rFonts w:ascii="仿宋" w:hAnsi="仿宋" w:eastAsia="仿宋" w:cs="仿宋"/>
                <w:color w:val="000000" w:themeColor="text1"/>
                <w:kern w:val="0"/>
                <w:sz w:val="24"/>
                <w:szCs w:val="24"/>
              </w:rPr>
            </w:pPr>
            <w:r>
              <w:rPr>
                <w:rStyle w:val="27"/>
                <w:rFonts w:hint="eastAsia" w:ascii="仿宋" w:hAnsi="仿宋" w:eastAsia="仿宋" w:cs="仿宋"/>
                <w:color w:val="000000" w:themeColor="text1"/>
                <w:kern w:val="0"/>
                <w:sz w:val="24"/>
                <w:szCs w:val="24"/>
              </w:rPr>
              <w:t>多品目</w:t>
            </w:r>
            <w:r>
              <w:rPr>
                <w:rFonts w:hint="eastAsia" w:ascii="仿宋" w:hAnsi="仿宋" w:eastAsia="仿宋" w:cs="仿宋"/>
                <w:color w:val="000000" w:themeColor="text1"/>
                <w:kern w:val="0"/>
                <w:sz w:val="24"/>
                <w:szCs w:val="24"/>
              </w:rPr>
              <w:t>非核心产品：</w:t>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10</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投标家数计算</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Style w:val="27"/>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单品目产品招标，相同的品牌投标时，按一家有效投标人计算；多品目产品招标，核心产品相同的品牌投标时，按一家有效投标人计算；</w:t>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11</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分包和非主体、非关键性工作</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Style w:val="27"/>
                <w:rFonts w:hint="eastAsia" w:ascii="仿宋" w:hAnsi="仿宋" w:eastAsia="仿宋" w:cs="仿宋"/>
                <w:color w:val="000000" w:themeColor="text1"/>
                <w:kern w:val="0"/>
                <w:sz w:val="24"/>
                <w:szCs w:val="24"/>
              </w:rPr>
              <w:sym w:font="Wingdings" w:char="F0FE"/>
            </w:r>
            <w:r>
              <w:rPr>
                <w:rFonts w:hint="eastAsia" w:ascii="仿宋" w:hAnsi="仿宋" w:eastAsia="仿宋" w:cs="仿宋"/>
                <w:color w:val="000000" w:themeColor="text1"/>
                <w:kern w:val="0"/>
                <w:sz w:val="24"/>
                <w:szCs w:val="24"/>
              </w:rPr>
              <w:t>不允许</w:t>
            </w:r>
            <w:r>
              <w:rPr>
                <w:rStyle w:val="27"/>
                <w:rFonts w:hint="eastAsia" w:ascii="仿宋" w:hAnsi="仿宋" w:eastAsia="仿宋" w:cs="仿宋"/>
                <w:color w:val="000000" w:themeColor="text1"/>
                <w:kern w:val="0"/>
                <w:sz w:val="24"/>
                <w:szCs w:val="24"/>
              </w:rPr>
              <w:sym w:font="Wingdings" w:char="F0FD"/>
            </w:r>
            <w:r>
              <w:rPr>
                <w:rStyle w:val="27"/>
                <w:rFonts w:hint="eastAsia" w:ascii="仿宋" w:hAnsi="仿宋" w:eastAsia="仿宋" w:cs="仿宋"/>
                <w:color w:val="000000" w:themeColor="text1"/>
                <w:kern w:val="0"/>
                <w:sz w:val="24"/>
                <w:szCs w:val="24"/>
              </w:rPr>
              <w:t>允许</w:t>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12</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投标文件编制</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snapToGrid w:val="0"/>
                <w:color w:val="000000" w:themeColor="text1"/>
                <w:kern w:val="0"/>
                <w:sz w:val="24"/>
                <w:szCs w:val="24"/>
                <w:lang w:val="zh-CN"/>
              </w:rPr>
              <w:t>提供一正三副</w:t>
            </w:r>
            <w:r>
              <w:rPr>
                <w:rFonts w:hint="eastAsia" w:ascii="仿宋" w:hAnsi="仿宋" w:eastAsia="仿宋" w:cs="仿宋"/>
                <w:color w:val="000000" w:themeColor="text1"/>
                <w:kern w:val="0"/>
                <w:sz w:val="24"/>
                <w:szCs w:val="24"/>
              </w:rPr>
              <w:t>投标文件；</w:t>
            </w:r>
            <w:r>
              <w:rPr>
                <w:rFonts w:hint="eastAsia" w:ascii="仿宋" w:hAnsi="仿宋" w:eastAsia="仿宋" w:cs="仿宋"/>
                <w:snapToGrid w:val="0"/>
                <w:color w:val="000000" w:themeColor="text1"/>
                <w:kern w:val="0"/>
                <w:sz w:val="24"/>
                <w:szCs w:val="24"/>
                <w:lang w:val="zh-CN"/>
              </w:rPr>
              <w:t>经磋商变动的技术、服务及合同条款内容后，在开标现场规定的时间内提交最后报价，并以最后报价为最终报价。</w:t>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13</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评标委员会</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bookmarkStart w:id="16" w:name="RANGE!G25"/>
            <w:r>
              <w:rPr>
                <w:rFonts w:hint="eastAsia" w:ascii="仿宋" w:hAnsi="仿宋" w:eastAsia="仿宋" w:cs="仿宋"/>
                <w:color w:val="000000" w:themeColor="text1"/>
                <w:kern w:val="0"/>
                <w:sz w:val="24"/>
                <w:szCs w:val="24"/>
              </w:rPr>
              <w:t>从江西省专家库中随机抽取法定专家人数和招标人代表组成评标委员会</w:t>
            </w:r>
            <w:bookmarkEnd w:id="16"/>
            <w:r>
              <w:rPr>
                <w:rFonts w:hint="eastAsia" w:ascii="仿宋" w:hAnsi="仿宋" w:eastAsia="仿宋" w:cs="仿宋"/>
                <w:color w:val="000000" w:themeColor="text1"/>
                <w:kern w:val="0"/>
                <w:sz w:val="24"/>
                <w:szCs w:val="24"/>
              </w:rPr>
              <w:t>，并授权评标委员会确定名中标候选人3名，并按照排序授权确定1名中标人。</w:t>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14</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评标方法</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snapToGrid w:val="0"/>
                <w:color w:val="000000" w:themeColor="text1"/>
                <w:kern w:val="0"/>
                <w:sz w:val="24"/>
                <w:szCs w:val="24"/>
                <w:lang w:val="zh-CN"/>
              </w:rPr>
              <w:t>经磋商变动的技术、服务及合同条款内容后，在开标现场规定的时间内提交最后报价，并以最后报价为最终报价。</w:t>
            </w:r>
            <w:r>
              <w:rPr>
                <w:rFonts w:hint="eastAsia" w:ascii="仿宋" w:hAnsi="仿宋" w:eastAsia="仿宋" w:cs="仿宋"/>
                <w:snapToGrid w:val="0"/>
                <w:color w:val="000000" w:themeColor="text1"/>
                <w:sz w:val="24"/>
                <w:szCs w:val="24"/>
              </w:rPr>
              <w:t>采用</w:t>
            </w:r>
            <w:r>
              <w:rPr>
                <w:rFonts w:hint="eastAsia" w:ascii="仿宋" w:hAnsi="仿宋" w:eastAsia="仿宋" w:cs="仿宋"/>
                <w:color w:val="000000" w:themeColor="text1"/>
                <w:kern w:val="0"/>
                <w:sz w:val="24"/>
                <w:szCs w:val="24"/>
              </w:rPr>
              <w:t>综合评分法，按综合得分由高到低排序。</w:t>
            </w:r>
          </w:p>
        </w:tc>
      </w:tr>
      <w:tr>
        <w:tblPrEx>
          <w:tblCellMar>
            <w:top w:w="0" w:type="dxa"/>
            <w:left w:w="108" w:type="dxa"/>
            <w:bottom w:w="0" w:type="dxa"/>
            <w:right w:w="108" w:type="dxa"/>
          </w:tblCellMar>
        </w:tblPrEx>
        <w:trPr>
          <w:trHeight w:val="868" w:hRule="atLeast"/>
        </w:trPr>
        <w:tc>
          <w:tcPr>
            <w:tcW w:w="709" w:type="dxa"/>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15</w:t>
            </w:r>
          </w:p>
        </w:tc>
        <w:tc>
          <w:tcPr>
            <w:tcW w:w="1559" w:type="dxa"/>
            <w:tcBorders>
              <w:top w:val="single" w:color="auto" w:sz="4" w:space="0"/>
              <w:left w:val="nil"/>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业务咨询</w:t>
            </w:r>
          </w:p>
        </w:tc>
        <w:tc>
          <w:tcPr>
            <w:tcW w:w="7371" w:type="dxa"/>
            <w:tcBorders>
              <w:top w:val="single" w:color="auto" w:sz="4" w:space="0"/>
              <w:left w:val="nil"/>
              <w:right w:val="single" w:color="auto" w:sz="4" w:space="0"/>
            </w:tcBorders>
            <w:shd w:val="clear" w:color="auto" w:fill="auto"/>
            <w:vAlign w:val="center"/>
          </w:tcPr>
          <w:p>
            <w:pPr>
              <w:adjustRightInd w:val="0"/>
              <w:snapToGrid w:val="0"/>
              <w:spacing w:line="400" w:lineRule="exact"/>
              <w:jc w:val="left"/>
              <w:rPr>
                <w:rFonts w:ascii="仿宋" w:hAnsi="仿宋" w:eastAsia="仿宋" w:cs="仿宋"/>
                <w:snapToGrid w:val="0"/>
                <w:sz w:val="24"/>
                <w:szCs w:val="24"/>
              </w:rPr>
            </w:pPr>
            <w:r>
              <w:rPr>
                <w:rFonts w:hint="eastAsia" w:ascii="仿宋" w:hAnsi="仿宋" w:eastAsia="仿宋" w:cs="仿宋"/>
                <w:snapToGrid w:val="0"/>
                <w:sz w:val="24"/>
                <w:szCs w:val="24"/>
              </w:rPr>
              <w:t>1）招标人：新干县公安局（地址：新干县金川镇淦中大道1号）</w:t>
            </w:r>
          </w:p>
          <w:p>
            <w:pPr>
              <w:adjustRightInd w:val="0"/>
              <w:snapToGrid w:val="0"/>
              <w:spacing w:line="400" w:lineRule="exact"/>
              <w:jc w:val="left"/>
              <w:rPr>
                <w:rFonts w:ascii="仿宋" w:hAnsi="仿宋" w:eastAsia="仿宋" w:cs="仿宋"/>
                <w:snapToGrid w:val="0"/>
                <w:sz w:val="24"/>
                <w:szCs w:val="24"/>
              </w:rPr>
            </w:pPr>
            <w:r>
              <w:rPr>
                <w:rFonts w:hint="eastAsia" w:ascii="仿宋" w:hAnsi="仿宋" w:eastAsia="仿宋" w:cs="仿宋"/>
                <w:snapToGrid w:val="0"/>
                <w:sz w:val="24"/>
                <w:szCs w:val="24"/>
              </w:rPr>
              <w:t>联系人：张先生 电话：0796-2607869</w:t>
            </w:r>
          </w:p>
          <w:p>
            <w:pPr>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w:t>
            </w:r>
            <w:r>
              <w:rPr>
                <w:rFonts w:hint="eastAsia" w:ascii="仿宋" w:hAnsi="仿宋" w:eastAsia="仿宋" w:cs="仿宋"/>
                <w:color w:val="000000"/>
                <w:sz w:val="24"/>
                <w:szCs w:val="24"/>
                <w:shd w:val="clear" w:color="auto" w:fill="FFFFFF"/>
              </w:rPr>
              <w:t>招标代理机构：江西省博可为工程管理有限公司</w:t>
            </w:r>
            <w:r>
              <w:rPr>
                <w:rFonts w:hint="eastAsia" w:ascii="宋体" w:hAnsi="宋体" w:cs="宋体"/>
                <w:color w:val="000000"/>
                <w:sz w:val="24"/>
                <w:szCs w:val="24"/>
                <w:shd w:val="clear" w:color="auto" w:fill="FFFFFF"/>
              </w:rPr>
              <w:t> </w:t>
            </w:r>
            <w:r>
              <w:rPr>
                <w:rFonts w:hint="eastAsia" w:ascii="仿宋" w:hAnsi="仿宋" w:eastAsia="仿宋" w:cs="仿宋"/>
                <w:color w:val="000000"/>
                <w:sz w:val="24"/>
                <w:szCs w:val="24"/>
                <w:shd w:val="clear" w:color="auto" w:fill="FFFFFF"/>
              </w:rPr>
              <w:t>联系地址：江西省吉安市新干县金川镇沁新苑小区1栋1单元302室   联系人：谢先生</w:t>
            </w:r>
            <w:r>
              <w:rPr>
                <w:rFonts w:hint="eastAsia" w:ascii="宋体" w:hAnsi="宋体" w:cs="宋体"/>
                <w:color w:val="000000"/>
                <w:sz w:val="24"/>
                <w:szCs w:val="24"/>
                <w:shd w:val="clear" w:color="auto" w:fill="FFFFFF"/>
              </w:rPr>
              <w:t>  </w:t>
            </w:r>
            <w:r>
              <w:rPr>
                <w:rFonts w:hint="eastAsia" w:ascii="仿宋" w:hAnsi="仿宋" w:eastAsia="仿宋" w:cs="仿宋"/>
                <w:color w:val="000000"/>
                <w:sz w:val="24"/>
                <w:szCs w:val="24"/>
                <w:shd w:val="clear" w:color="auto" w:fill="FFFFFF"/>
              </w:rPr>
              <w:t>电话：13979629917</w:t>
            </w:r>
            <w:r>
              <w:rPr>
                <w:rFonts w:hint="eastAsia" w:ascii="宋体" w:hAnsi="宋体" w:cs="宋体"/>
                <w:color w:val="000000"/>
                <w:sz w:val="24"/>
                <w:szCs w:val="24"/>
                <w:shd w:val="clear" w:color="auto" w:fill="FFFFFF"/>
              </w:rPr>
              <w:t> </w:t>
            </w:r>
            <w:r>
              <w:rPr>
                <w:rFonts w:hint="eastAsia" w:ascii="仿宋" w:hAnsi="仿宋" w:eastAsia="仿宋" w:cs="仿宋"/>
                <w:color w:val="000000"/>
                <w:sz w:val="24"/>
                <w:szCs w:val="24"/>
                <w:shd w:val="clear" w:color="auto" w:fill="FFFFFF"/>
              </w:rPr>
              <w:t>邮箱：</w:t>
            </w:r>
            <w:r>
              <w:fldChar w:fldCharType="begin"/>
            </w:r>
            <w:r>
              <w:instrText xml:space="preserve"> HYPERLINK "mailto:2219535803@qq.com" </w:instrText>
            </w:r>
            <w:r>
              <w:fldChar w:fldCharType="separate"/>
            </w:r>
            <w:r>
              <w:rPr>
                <w:rStyle w:val="19"/>
                <w:rFonts w:hint="eastAsia" w:ascii="仿宋" w:hAnsi="仿宋" w:eastAsia="仿宋" w:cs="仿宋"/>
                <w:color w:val="444444"/>
                <w:sz w:val="24"/>
                <w:szCs w:val="24"/>
                <w:shd w:val="clear" w:color="auto" w:fill="FFFFFF"/>
              </w:rPr>
              <w:t>1139372652@qq.com</w:t>
            </w:r>
            <w:r>
              <w:rPr>
                <w:rStyle w:val="19"/>
                <w:rFonts w:hint="eastAsia" w:ascii="仿宋" w:hAnsi="仿宋" w:eastAsia="仿宋" w:cs="仿宋"/>
                <w:color w:val="444444"/>
                <w:sz w:val="24"/>
                <w:szCs w:val="24"/>
                <w:shd w:val="clear" w:color="auto" w:fill="FFFFFF"/>
              </w:rPr>
              <w:fldChar w:fldCharType="end"/>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16</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代理服务费</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代理服务费：中标人应在领取中标通知书的同时向招标代理机构缴纳0.68万元代理服务费（税前）。</w:t>
            </w:r>
          </w:p>
        </w:tc>
      </w:tr>
      <w:tr>
        <w:tblPrEx>
          <w:tblCellMar>
            <w:top w:w="0" w:type="dxa"/>
            <w:left w:w="108" w:type="dxa"/>
            <w:bottom w:w="0" w:type="dxa"/>
            <w:right w:w="108" w:type="dxa"/>
          </w:tblCellMar>
        </w:tblPrEx>
        <w:trPr>
          <w:trHeight w:val="3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17</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解释权:</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本招标文件是根据政府采购法律、法规规定编制，解释权属本招标代理机构。</w:t>
            </w:r>
          </w:p>
        </w:tc>
      </w:tr>
    </w:tbl>
    <w:p>
      <w:pPr>
        <w:pStyle w:val="5"/>
        <w:adjustRightInd w:val="0"/>
        <w:snapToGrid w:val="0"/>
        <w:spacing w:before="0" w:after="0" w:line="400" w:lineRule="exact"/>
        <w:ind w:firstLine="361" w:firstLineChars="150"/>
        <w:jc w:val="left"/>
        <w:rPr>
          <w:rFonts w:ascii="仿宋" w:hAnsi="仿宋" w:eastAsia="仿宋" w:cs="仿宋"/>
          <w:snapToGrid w:val="0"/>
          <w:color w:val="000000" w:themeColor="text1"/>
          <w:kern w:val="0"/>
          <w:sz w:val="24"/>
          <w:szCs w:val="24"/>
        </w:rPr>
      </w:pPr>
      <w:bookmarkStart w:id="17" w:name="_Toc17272966"/>
      <w:bookmarkStart w:id="18" w:name="_Toc15083738"/>
      <w:bookmarkStart w:id="19" w:name="_Toc26741875"/>
      <w:bookmarkStart w:id="20" w:name="_Toc17539276"/>
      <w:bookmarkStart w:id="21" w:name="_Toc34984019"/>
      <w:r>
        <w:rPr>
          <w:rFonts w:hint="eastAsia" w:ascii="仿宋" w:hAnsi="仿宋" w:eastAsia="仿宋" w:cs="仿宋"/>
          <w:snapToGrid w:val="0"/>
          <w:color w:val="000000" w:themeColor="text1"/>
          <w:kern w:val="0"/>
          <w:sz w:val="24"/>
          <w:szCs w:val="24"/>
        </w:rPr>
        <w:t>二、说明</w:t>
      </w:r>
      <w:bookmarkEnd w:id="17"/>
      <w:bookmarkEnd w:id="18"/>
      <w:bookmarkEnd w:id="19"/>
      <w:bookmarkEnd w:id="20"/>
      <w:bookmarkEnd w:id="21"/>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1、适用范围说明</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1.1 本招标文件仅适用于</w:t>
      </w:r>
      <w:r>
        <w:rPr>
          <w:rFonts w:hint="eastAsia" w:ascii="仿宋" w:hAnsi="仿宋" w:eastAsia="仿宋" w:cs="仿宋"/>
          <w:snapToGrid w:val="0"/>
          <w:color w:val="000000" w:themeColor="text1"/>
          <w:sz w:val="24"/>
          <w:szCs w:val="24"/>
        </w:rPr>
        <w:t>新干县公安局智能枪弹柜采购项目</w:t>
      </w:r>
      <w:r>
        <w:rPr>
          <w:rFonts w:hint="eastAsia" w:ascii="仿宋" w:hAnsi="仿宋" w:eastAsia="仿宋" w:cs="仿宋"/>
          <w:snapToGrid w:val="0"/>
          <w:color w:val="000000" w:themeColor="text1"/>
          <w:kern w:val="0"/>
          <w:sz w:val="24"/>
          <w:szCs w:val="24"/>
        </w:rPr>
        <w:t>。</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2、定义</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2.1 “招标人”是指依法进行政府采购的</w:t>
      </w:r>
      <w:r>
        <w:rPr>
          <w:rFonts w:hint="eastAsia" w:ascii="仿宋" w:hAnsi="仿宋" w:eastAsia="仿宋" w:cs="仿宋"/>
          <w:snapToGrid w:val="0"/>
          <w:color w:val="000000" w:themeColor="text1"/>
          <w:sz w:val="24"/>
          <w:szCs w:val="24"/>
        </w:rPr>
        <w:t>新干县公安局</w:t>
      </w:r>
      <w:r>
        <w:rPr>
          <w:rFonts w:hint="eastAsia" w:ascii="仿宋" w:hAnsi="仿宋" w:eastAsia="仿宋" w:cs="仿宋"/>
          <w:snapToGrid w:val="0"/>
          <w:color w:val="000000" w:themeColor="text1"/>
          <w:kern w:val="0"/>
          <w:sz w:val="24"/>
          <w:szCs w:val="24"/>
        </w:rPr>
        <w:t>。</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2.2 “招标代理机构”是指依法经认定资格的</w:t>
      </w:r>
      <w:r>
        <w:rPr>
          <w:rFonts w:hint="eastAsia" w:ascii="仿宋" w:hAnsi="仿宋" w:eastAsia="仿宋" w:cs="仿宋"/>
          <w:color w:val="000000"/>
          <w:sz w:val="24"/>
          <w:szCs w:val="24"/>
          <w:shd w:val="clear" w:color="auto" w:fill="FFFFFF"/>
        </w:rPr>
        <w:t>江西省博可为工程管理有限公司</w:t>
      </w:r>
      <w:r>
        <w:rPr>
          <w:rFonts w:hint="eastAsia" w:ascii="仿宋" w:hAnsi="仿宋" w:eastAsia="仿宋" w:cs="仿宋"/>
          <w:snapToGrid w:val="0"/>
          <w:color w:val="000000" w:themeColor="text1"/>
          <w:kern w:val="0"/>
          <w:sz w:val="24"/>
          <w:szCs w:val="24"/>
        </w:rPr>
        <w:t>。</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2.3 “投标人”是指参加本项目采购投标活动的企业。</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2.4 “货物”是指招标人需求的商品，包括安装附属材料、附件和工具等。</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2.5 “服务”是指招标人需要的服务、</w:t>
      </w:r>
      <w:r>
        <w:rPr>
          <w:rFonts w:hint="eastAsia" w:ascii="仿宋" w:hAnsi="仿宋" w:eastAsia="仿宋" w:cs="仿宋"/>
          <w:bCs/>
          <w:snapToGrid w:val="0"/>
          <w:color w:val="000000" w:themeColor="text1"/>
          <w:kern w:val="0"/>
          <w:sz w:val="24"/>
          <w:szCs w:val="24"/>
        </w:rPr>
        <w:t>货物安装与调试、质保</w:t>
      </w:r>
      <w:r>
        <w:rPr>
          <w:rFonts w:hint="eastAsia" w:ascii="仿宋" w:hAnsi="仿宋" w:eastAsia="仿宋" w:cs="仿宋"/>
          <w:snapToGrid w:val="0"/>
          <w:color w:val="000000" w:themeColor="text1"/>
          <w:kern w:val="0"/>
          <w:sz w:val="24"/>
          <w:szCs w:val="24"/>
        </w:rPr>
        <w:t>等义务。</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3.投标人的资格条件</w:t>
      </w:r>
      <w:r>
        <w:rPr>
          <w:rFonts w:hint="eastAsia" w:ascii="仿宋" w:hAnsi="仿宋" w:eastAsia="仿宋" w:cs="仿宋"/>
          <w:snapToGrid w:val="0"/>
          <w:color w:val="000000" w:themeColor="text1"/>
          <w:kern w:val="0"/>
          <w:sz w:val="24"/>
          <w:szCs w:val="24"/>
        </w:rPr>
        <w:t>详见“招标公告”。</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4、投标费用</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不论投标结果如何，投标人应自行承担所有的准备和参加投标有关全部费用。招标代理机构和招标人在任何情况下均无义务和责任承担这些费用。</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5、投标人代表</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指全权代表投标人参加投标活动并签署投标文件的人。如果投标人代表不是法人代表，须持有《法人代表授权书》。</w:t>
      </w: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22" w:name="_Toc26741876"/>
      <w:bookmarkStart w:id="23" w:name="_Toc508987642"/>
      <w:bookmarkStart w:id="24" w:name="_Toc401521725"/>
      <w:bookmarkStart w:id="25" w:name="_Toc376811547"/>
      <w:bookmarkStart w:id="26" w:name="_Toc17539277"/>
      <w:bookmarkStart w:id="27" w:name="_Toc17272967"/>
      <w:bookmarkStart w:id="28" w:name="_Toc451122795"/>
      <w:bookmarkStart w:id="29" w:name="_Toc34984020"/>
      <w:bookmarkStart w:id="30" w:name="_Toc15083739"/>
      <w:r>
        <w:rPr>
          <w:rFonts w:hint="eastAsia" w:ascii="仿宋" w:hAnsi="仿宋" w:eastAsia="仿宋" w:cs="仿宋"/>
          <w:snapToGrid w:val="0"/>
          <w:color w:val="000000" w:themeColor="text1"/>
          <w:kern w:val="0"/>
          <w:sz w:val="24"/>
          <w:szCs w:val="24"/>
        </w:rPr>
        <w:t>三、招标文件</w:t>
      </w:r>
      <w:bookmarkEnd w:id="22"/>
      <w:bookmarkEnd w:id="23"/>
      <w:bookmarkEnd w:id="24"/>
      <w:bookmarkEnd w:id="25"/>
      <w:bookmarkEnd w:id="26"/>
      <w:bookmarkEnd w:id="27"/>
      <w:bookmarkEnd w:id="28"/>
      <w:bookmarkEnd w:id="29"/>
      <w:bookmarkEnd w:id="30"/>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6、招标文件构成</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6.1 要求提供的货物、服务招标过程和合同条款在招标文件中均有说明。</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6.2 除非有特殊要求，招标文件不单独提供招标货物、服务使用地的自然环境、气候条件、公用设施等情况（或请自行踏勘），投标人被视为熟悉上述与履行合同有关一切情况。</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7、招标文件的澄清</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7.1询问：投</w:t>
      </w:r>
      <w:r>
        <w:rPr>
          <w:rFonts w:hint="eastAsia" w:ascii="仿宋" w:hAnsi="仿宋" w:eastAsia="仿宋" w:cs="仿宋"/>
          <w:bCs/>
          <w:snapToGrid w:val="0"/>
          <w:color w:val="000000" w:themeColor="text1"/>
          <w:sz w:val="24"/>
          <w:szCs w:val="24"/>
        </w:rPr>
        <w:t>标人对招标文件提出询问的，应在开标截止时间三日前提出书面询问或发邮到：</w:t>
      </w:r>
      <w:r>
        <w:fldChar w:fldCharType="begin"/>
      </w:r>
      <w:r>
        <w:instrText xml:space="preserve"> HYPERLINK "mailto:2219535803@qq.com" </w:instrText>
      </w:r>
      <w:r>
        <w:fldChar w:fldCharType="separate"/>
      </w:r>
      <w:r>
        <w:rPr>
          <w:rStyle w:val="19"/>
          <w:rFonts w:hint="eastAsia" w:ascii="仿宋" w:hAnsi="仿宋" w:eastAsia="仿宋" w:cs="仿宋"/>
          <w:color w:val="444444"/>
          <w:sz w:val="24"/>
          <w:szCs w:val="24"/>
          <w:shd w:val="clear" w:color="auto" w:fill="FFFFFF"/>
        </w:rPr>
        <w:t>1139372652@qq.com</w:t>
      </w:r>
      <w:r>
        <w:rPr>
          <w:rStyle w:val="19"/>
          <w:rFonts w:hint="eastAsia" w:ascii="仿宋" w:hAnsi="仿宋" w:eastAsia="仿宋" w:cs="仿宋"/>
          <w:color w:val="444444"/>
          <w:sz w:val="24"/>
          <w:szCs w:val="24"/>
          <w:shd w:val="clear" w:color="auto" w:fill="FFFFFF"/>
        </w:rPr>
        <w:fldChar w:fldCharType="end"/>
      </w:r>
      <w:r>
        <w:rPr>
          <w:rFonts w:hint="eastAsia" w:ascii="仿宋" w:hAnsi="仿宋" w:eastAsia="仿宋" w:cs="仿宋"/>
          <w:bCs/>
          <w:snapToGrid w:val="0"/>
          <w:color w:val="000000" w:themeColor="text1"/>
          <w:sz w:val="24"/>
          <w:szCs w:val="24"/>
        </w:rPr>
        <w:t>（书面询问必须要有投标人的公司章印、联系人及联系电话和电话告知已发询问等。否则，不予回复）。</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 xml:space="preserve">7.2答询: </w:t>
      </w:r>
      <w:r>
        <w:rPr>
          <w:rFonts w:hint="eastAsia" w:ascii="仿宋" w:hAnsi="仿宋" w:eastAsia="仿宋" w:cs="仿宋"/>
          <w:bCs/>
          <w:snapToGrid w:val="0"/>
          <w:color w:val="000000" w:themeColor="text1"/>
          <w:sz w:val="24"/>
          <w:szCs w:val="24"/>
        </w:rPr>
        <w:t>招标代理机构将在收到询问函后3个工作日以电子邮件回复给询问人，或在指定媒体上发布答复，并视为本招标文件的组成部分。</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7.3通知：</w:t>
      </w:r>
      <w:r>
        <w:rPr>
          <w:rFonts w:hint="eastAsia" w:ascii="仿宋" w:hAnsi="仿宋" w:eastAsia="仿宋" w:cs="仿宋"/>
          <w:bCs/>
          <w:snapToGrid w:val="0"/>
          <w:color w:val="000000" w:themeColor="text1"/>
          <w:sz w:val="24"/>
          <w:szCs w:val="24"/>
        </w:rPr>
        <w:t>开标截止时间三日前（特殊情况除外），在指定媒体发布通知。</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8、招标文件的修改</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8.1</w:t>
      </w:r>
      <w:r>
        <w:rPr>
          <w:rFonts w:hint="eastAsia" w:ascii="仿宋" w:hAnsi="仿宋" w:eastAsia="仿宋" w:cs="仿宋"/>
          <w:bCs/>
          <w:snapToGrid w:val="0"/>
          <w:color w:val="000000" w:themeColor="text1"/>
          <w:sz w:val="24"/>
          <w:szCs w:val="24"/>
        </w:rPr>
        <w:t>开标截止时间</w:t>
      </w:r>
      <w:r>
        <w:rPr>
          <w:rFonts w:hint="eastAsia" w:ascii="仿宋" w:hAnsi="仿宋" w:eastAsia="仿宋" w:cs="仿宋"/>
          <w:color w:val="000000" w:themeColor="text1"/>
          <w:sz w:val="24"/>
          <w:szCs w:val="24"/>
        </w:rPr>
        <w:t>3个工作日</w:t>
      </w:r>
      <w:r>
        <w:rPr>
          <w:rFonts w:hint="eastAsia" w:ascii="仿宋" w:hAnsi="仿宋" w:eastAsia="仿宋" w:cs="仿宋"/>
          <w:bCs/>
          <w:snapToGrid w:val="0"/>
          <w:color w:val="000000" w:themeColor="text1"/>
          <w:sz w:val="24"/>
          <w:szCs w:val="24"/>
        </w:rPr>
        <w:t>前</w:t>
      </w:r>
      <w:r>
        <w:rPr>
          <w:rFonts w:hint="eastAsia" w:ascii="仿宋" w:hAnsi="仿宋" w:eastAsia="仿宋" w:cs="仿宋"/>
          <w:snapToGrid w:val="0"/>
          <w:color w:val="000000" w:themeColor="text1"/>
          <w:sz w:val="24"/>
          <w:szCs w:val="24"/>
          <w:lang w:val="zh-CN"/>
        </w:rPr>
        <w:t>，无论出于何种原因，竞争性磋商组织人均可主动地或在解答投标人提出的澄清问题时对投标文件进行修改。若</w:t>
      </w:r>
      <w:r>
        <w:rPr>
          <w:rFonts w:hint="eastAsia" w:ascii="仿宋" w:hAnsi="仿宋" w:eastAsia="仿宋" w:cs="仿宋"/>
          <w:color w:val="000000" w:themeColor="text1"/>
          <w:sz w:val="24"/>
          <w:szCs w:val="24"/>
        </w:rPr>
        <w:t>修改或澄清的竞争性磋商招标文件距</w:t>
      </w:r>
      <w:r>
        <w:rPr>
          <w:rFonts w:hint="eastAsia" w:ascii="仿宋" w:hAnsi="仿宋" w:eastAsia="仿宋" w:cs="仿宋"/>
          <w:bCs/>
          <w:snapToGrid w:val="0"/>
          <w:color w:val="000000" w:themeColor="text1"/>
          <w:sz w:val="24"/>
          <w:szCs w:val="24"/>
        </w:rPr>
        <w:t>开标截止时间</w:t>
      </w:r>
      <w:r>
        <w:rPr>
          <w:rFonts w:hint="eastAsia" w:ascii="仿宋" w:hAnsi="仿宋" w:eastAsia="仿宋" w:cs="仿宋"/>
          <w:color w:val="000000" w:themeColor="text1"/>
          <w:sz w:val="24"/>
          <w:szCs w:val="24"/>
        </w:rPr>
        <w:t>不足3个工作日的，将对竞争性磋商</w:t>
      </w:r>
      <w:r>
        <w:rPr>
          <w:rFonts w:hint="eastAsia" w:ascii="仿宋" w:hAnsi="仿宋" w:eastAsia="仿宋" w:cs="仿宋"/>
          <w:bCs/>
          <w:snapToGrid w:val="0"/>
          <w:color w:val="000000" w:themeColor="text1"/>
          <w:sz w:val="24"/>
          <w:szCs w:val="24"/>
        </w:rPr>
        <w:t>开标截止时间作延长</w:t>
      </w:r>
      <w:r>
        <w:rPr>
          <w:rFonts w:hint="eastAsia" w:ascii="仿宋" w:hAnsi="仿宋" w:eastAsia="仿宋" w:cs="仿宋"/>
          <w:snapToGrid w:val="0"/>
          <w:color w:val="000000" w:themeColor="text1"/>
          <w:kern w:val="0"/>
          <w:sz w:val="24"/>
          <w:szCs w:val="24"/>
        </w:rPr>
        <w:t>并具有法律效力。</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8.2投标人有义务定期登录政府采购信息发布媒体上获取相关信息，招标代理机构在信息指定媒体网址发布更正公告和变更公告将视为告知潜在投标人并具有约束力。</w:t>
      </w: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31" w:name="_Toc34984021"/>
      <w:bookmarkStart w:id="32" w:name="_Toc401521726"/>
      <w:bookmarkStart w:id="33" w:name="_Toc17272968"/>
      <w:bookmarkStart w:id="34" w:name="_Toc15083740"/>
      <w:bookmarkStart w:id="35" w:name="_Toc451122796"/>
      <w:bookmarkStart w:id="36" w:name="_Toc376811548"/>
      <w:bookmarkStart w:id="37" w:name="_Toc17539278"/>
      <w:bookmarkStart w:id="38" w:name="_Toc508987643"/>
      <w:bookmarkStart w:id="39" w:name="_Toc26741877"/>
      <w:r>
        <w:rPr>
          <w:rFonts w:hint="eastAsia" w:ascii="仿宋" w:hAnsi="仿宋" w:eastAsia="仿宋" w:cs="仿宋"/>
          <w:snapToGrid w:val="0"/>
          <w:color w:val="000000" w:themeColor="text1"/>
          <w:kern w:val="0"/>
          <w:sz w:val="24"/>
          <w:szCs w:val="24"/>
        </w:rPr>
        <w:t>四、投标文件</w:t>
      </w:r>
      <w:bookmarkEnd w:id="31"/>
      <w:bookmarkEnd w:id="32"/>
      <w:bookmarkEnd w:id="33"/>
      <w:bookmarkEnd w:id="34"/>
      <w:bookmarkEnd w:id="35"/>
      <w:bookmarkEnd w:id="36"/>
      <w:bookmarkEnd w:id="37"/>
      <w:bookmarkEnd w:id="38"/>
      <w:bookmarkEnd w:id="39"/>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9、提示</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9.1投标人应认真阅读招标文件的全部内容，并按要求提供投标文件和必要的资料。</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9.2对照招标文件要求，逐条说明所提供货物和服务已对招标文件的技术和商务要求做出详细响应，或申明与技术和商务要求的偏差。招标文件中的技术参数和商务要求是最低限度的要求，响应文件须达到或优于招标文件的要求。</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9.3</w:t>
      </w:r>
      <w:r>
        <w:rPr>
          <w:rFonts w:hint="eastAsia" w:ascii="仿宋" w:hAnsi="仿宋" w:eastAsia="仿宋" w:cs="仿宋"/>
          <w:bCs/>
          <w:snapToGrid w:val="0"/>
          <w:color w:val="000000" w:themeColor="text1"/>
          <w:sz w:val="24"/>
          <w:szCs w:val="24"/>
        </w:rPr>
        <w:t>招标人根据实际情况，有权对货物和服务实际需求调整数量的权利。</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9.4规范或标准：文件所使用技术规范或标准，采用国家或行业技术规范或标准。</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9.5计量单位：投标文件所使用计量单位, 除有特殊要求外，均采用国家法定计量单位。</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10、投标文件构成（包括以下内容，但不限于）</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1）开标一览表；</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2）分项报价明细；</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3）技术商务响应/偏离表；</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4）资格证明文件；</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5）投标货物技术文件；</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6）政策功能优惠证明材料；</w:t>
      </w:r>
    </w:p>
    <w:p>
      <w:pPr>
        <w:adjustRightInd w:val="0"/>
        <w:snapToGrid w:val="0"/>
        <w:spacing w:line="400" w:lineRule="exact"/>
        <w:ind w:firstLine="482"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11、证明投标人合格</w:t>
      </w:r>
      <w:r>
        <w:rPr>
          <w:rFonts w:hint="eastAsia" w:ascii="仿宋" w:hAnsi="仿宋" w:eastAsia="仿宋" w:cs="仿宋"/>
          <w:snapToGrid w:val="0"/>
          <w:color w:val="000000" w:themeColor="text1"/>
          <w:kern w:val="0"/>
          <w:sz w:val="24"/>
          <w:szCs w:val="24"/>
        </w:rPr>
        <w:t>：投标人应提供证明其合格的资格证明文件(详见“招标公告”)。</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12、投标报价</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12.1投标人要按开标一览表和明细表的内容填写, 招标文件要求报总价的必须有单价、总价（报价构成请按子目提供详细分项报价），或要求单价报价的只报单价。</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12.2投标人应对所有招标内容进行投标，且只提供最优方案一套，投标人提交任何包含价格调整要求的投标将按非实质性响应投标被视为无效投标。</w:t>
      </w:r>
    </w:p>
    <w:p>
      <w:pPr>
        <w:adjustRightInd w:val="0"/>
        <w:snapToGrid w:val="0"/>
        <w:spacing w:line="400" w:lineRule="exact"/>
        <w:ind w:firstLine="480" w:firstLineChars="200"/>
        <w:jc w:val="left"/>
        <w:rPr>
          <w:rFonts w:ascii="仿宋" w:hAnsi="仿宋" w:eastAsia="仿宋" w:cs="仿宋"/>
          <w:snapToGrid w:val="0"/>
          <w:kern w:val="0"/>
          <w:sz w:val="24"/>
          <w:szCs w:val="24"/>
        </w:rPr>
      </w:pPr>
      <w:r>
        <w:rPr>
          <w:rFonts w:hint="eastAsia" w:ascii="仿宋" w:hAnsi="仿宋" w:eastAsia="仿宋" w:cs="仿宋"/>
          <w:snapToGrid w:val="0"/>
          <w:color w:val="000000"/>
          <w:sz w:val="24"/>
          <w:szCs w:val="24"/>
        </w:rPr>
        <w:t>12.3</w:t>
      </w:r>
      <w:r>
        <w:rPr>
          <w:rFonts w:hint="eastAsia" w:ascii="仿宋" w:hAnsi="仿宋" w:eastAsia="仿宋" w:cs="仿宋"/>
          <w:snapToGrid w:val="0"/>
          <w:sz w:val="24"/>
          <w:szCs w:val="24"/>
        </w:rPr>
        <w:t>投标报价为含税价（包含国家规定的所有税费），投标报价是招标文件所确定的报价范围内全部工作内容的价格体现。应包括货物、社会化服务费、附件、安装施工、运保费、装卸费、安装费、管理费、调试费、检测、培训、维护、利润、税金和政策性文件规定应计取的合法取费等各项费用。</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13、投标有效期</w:t>
      </w:r>
      <w:r>
        <w:rPr>
          <w:rFonts w:hint="eastAsia" w:ascii="仿宋" w:hAnsi="仿宋" w:eastAsia="仿宋" w:cs="仿宋"/>
          <w:snapToGrid w:val="0"/>
          <w:color w:val="000000" w:themeColor="text1"/>
          <w:kern w:val="0"/>
          <w:sz w:val="24"/>
          <w:szCs w:val="24"/>
        </w:rPr>
        <w:t>：投标有效期自开标日起，详见“前附表”规定。</w:t>
      </w:r>
    </w:p>
    <w:p>
      <w:pPr>
        <w:adjustRightInd w:val="0"/>
        <w:snapToGrid w:val="0"/>
        <w:spacing w:line="400" w:lineRule="exact"/>
        <w:ind w:firstLine="482"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14、投标文件的签署</w:t>
      </w:r>
      <w:r>
        <w:rPr>
          <w:rFonts w:hint="eastAsia" w:ascii="仿宋" w:hAnsi="仿宋" w:eastAsia="仿宋" w:cs="仿宋"/>
          <w:snapToGrid w:val="0"/>
          <w:color w:val="000000" w:themeColor="text1"/>
          <w:kern w:val="0"/>
          <w:sz w:val="24"/>
          <w:szCs w:val="24"/>
        </w:rPr>
        <w:t>：纸质投标文件必须打印胶装加盖公章。投标人应将纸质投标文件密封装在一个信封中，封口处有投标单位公章。封皮上注明招标项目名称、项目编号、投标人名称、地址、电话、联系人，并注明“开标时启封”字样。</w:t>
      </w: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40" w:name="_Toc17539279"/>
      <w:bookmarkStart w:id="41" w:name="_Toc26741878"/>
      <w:bookmarkStart w:id="42" w:name="_Toc15083741"/>
      <w:bookmarkStart w:id="43" w:name="_Toc17272969"/>
      <w:bookmarkStart w:id="44" w:name="_Toc508987644"/>
      <w:bookmarkStart w:id="45" w:name="_Toc401521727"/>
      <w:bookmarkStart w:id="46" w:name="_Toc34984022"/>
      <w:bookmarkStart w:id="47" w:name="_Toc376811549"/>
      <w:bookmarkStart w:id="48" w:name="_Toc451122797"/>
      <w:r>
        <w:rPr>
          <w:rFonts w:hint="eastAsia" w:ascii="仿宋" w:hAnsi="仿宋" w:eastAsia="仿宋" w:cs="仿宋"/>
          <w:snapToGrid w:val="0"/>
          <w:color w:val="000000" w:themeColor="text1"/>
          <w:kern w:val="0"/>
          <w:sz w:val="24"/>
          <w:szCs w:val="24"/>
        </w:rPr>
        <w:t>五、投标文件递交</w:t>
      </w:r>
      <w:bookmarkEnd w:id="40"/>
      <w:bookmarkEnd w:id="41"/>
      <w:bookmarkEnd w:id="42"/>
      <w:bookmarkEnd w:id="43"/>
      <w:bookmarkEnd w:id="44"/>
      <w:bookmarkEnd w:id="45"/>
      <w:bookmarkEnd w:id="46"/>
      <w:bookmarkEnd w:id="47"/>
      <w:bookmarkEnd w:id="48"/>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bookmarkStart w:id="49" w:name="_Toc376811550"/>
      <w:r>
        <w:rPr>
          <w:rFonts w:hint="eastAsia" w:ascii="仿宋" w:hAnsi="仿宋" w:eastAsia="仿宋" w:cs="仿宋"/>
          <w:b/>
          <w:snapToGrid w:val="0"/>
          <w:color w:val="000000" w:themeColor="text1"/>
          <w:kern w:val="0"/>
          <w:sz w:val="24"/>
          <w:szCs w:val="24"/>
        </w:rPr>
        <w:t>15、投标截止时间</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15.1 投标文件必须在“前附表”规定的投标截止时间前送达指定的投标地点。</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15.2 招标代理机构推迟投标文件递交截止时间的，在指定网站上通知投标人。在这种情况下，招标代理机构、招标人和投标人受投标文件递交截止时间制约的所有权利和义务均应延长至新的截止时间。</w:t>
      </w:r>
    </w:p>
    <w:p>
      <w:pPr>
        <w:adjustRightInd w:val="0"/>
        <w:snapToGrid w:val="0"/>
        <w:spacing w:line="400" w:lineRule="exact"/>
        <w:ind w:firstLine="482"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16、迟交投标文件</w:t>
      </w:r>
      <w:r>
        <w:rPr>
          <w:rFonts w:hint="eastAsia" w:ascii="仿宋" w:hAnsi="仿宋" w:eastAsia="仿宋" w:cs="仿宋"/>
          <w:snapToGrid w:val="0"/>
          <w:color w:val="000000" w:themeColor="text1"/>
          <w:kern w:val="0"/>
          <w:sz w:val="24"/>
          <w:szCs w:val="24"/>
        </w:rPr>
        <w:t>：投标文件递交截止时间以后送达的，招标代理机构将拒绝接收。</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17、投标文件的修改和撤回</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 xml:space="preserve">17.1在投标文件递交截止时间前，投标人可以书面形式提出修改或撤回其投标。 </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17.2从投标文件递交截止期至投标有效期期满时间段内，投标人不得撤回其投标。</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18、投标保证金和履约保证金</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18.1投标保证金和履约保证金：缴纳方式和金额，详见“前附表”</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18.2任何未按规定缴纳投标保证金将被视为非实质性响应性投标，作无效投标处理。</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18.3中标人应在法定合同签署时间内，合同签署前交纳履约保证金；</w:t>
      </w:r>
    </w:p>
    <w:p>
      <w:pPr>
        <w:adjustRightInd w:val="0"/>
        <w:snapToGrid w:val="0"/>
        <w:spacing w:line="400" w:lineRule="exact"/>
        <w:ind w:firstLine="480" w:firstLineChars="200"/>
        <w:jc w:val="left"/>
        <w:rPr>
          <w:rFonts w:ascii="仿宋" w:hAnsi="仿宋" w:eastAsia="仿宋" w:cs="仿宋"/>
          <w:snapToGrid w:val="0"/>
          <w:color w:val="0070C0"/>
          <w:kern w:val="0"/>
          <w:sz w:val="24"/>
          <w:szCs w:val="24"/>
        </w:rPr>
      </w:pPr>
      <w:r>
        <w:rPr>
          <w:rFonts w:hint="eastAsia" w:ascii="仿宋" w:hAnsi="仿宋" w:eastAsia="仿宋" w:cs="仿宋"/>
          <w:snapToGrid w:val="0"/>
          <w:color w:val="000000" w:themeColor="text1"/>
          <w:kern w:val="0"/>
          <w:sz w:val="24"/>
          <w:szCs w:val="24"/>
        </w:rPr>
        <w:t>18.4未中标人的投标保证金，中标通知书发出之日起5个工作日内（招标人2个工作日内到公共资源交易中心办理保证金退转手续，公共资源交易中心3个工作日内退还保证金）予以退还，不计利息。</w:t>
      </w:r>
      <w:r>
        <w:rPr>
          <w:rFonts w:hint="eastAsia" w:ascii="仿宋" w:hAnsi="仿宋" w:eastAsia="仿宋" w:cs="仿宋"/>
          <w:snapToGrid w:val="0"/>
          <w:kern w:val="0"/>
          <w:sz w:val="24"/>
          <w:szCs w:val="24"/>
        </w:rPr>
        <w:t>中标人的投标保证金将被退至招标人指定账户中作为履约保证金。</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18.5下列任何情况发生时，投标保证金将被没收。</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1)投标人在招标文件规定的投标有效期内撤回其投标的；</w:t>
      </w:r>
    </w:p>
    <w:p>
      <w:pPr>
        <w:adjustRightInd w:val="0"/>
        <w:snapToGrid w:val="0"/>
        <w:spacing w:line="400" w:lineRule="exact"/>
        <w:ind w:firstLine="480" w:firstLineChars="200"/>
        <w:jc w:val="left"/>
        <w:rPr>
          <w:rFonts w:ascii="仿宋" w:hAnsi="仿宋" w:eastAsia="仿宋" w:cs="仿宋"/>
          <w:snapToGrid w:val="0"/>
          <w:kern w:val="0"/>
          <w:sz w:val="24"/>
          <w:szCs w:val="24"/>
        </w:rPr>
      </w:pPr>
      <w:r>
        <w:rPr>
          <w:rFonts w:hint="eastAsia" w:ascii="仿宋" w:hAnsi="仿宋" w:eastAsia="仿宋" w:cs="仿宋"/>
          <w:snapToGrid w:val="0"/>
          <w:kern w:val="0"/>
          <w:sz w:val="24"/>
          <w:szCs w:val="24"/>
        </w:rPr>
        <w:t>2)中标人未按规定签订合同的；</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3)中标人提供虚假材料和文件意图骗取中标的。</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18.6</w:t>
      </w:r>
      <w:r>
        <w:rPr>
          <w:rFonts w:hint="eastAsia" w:ascii="仿宋" w:hAnsi="仿宋" w:eastAsia="仿宋" w:cs="仿宋"/>
          <w:snapToGrid w:val="0"/>
          <w:color w:val="000000" w:themeColor="text1"/>
          <w:sz w:val="24"/>
          <w:szCs w:val="24"/>
        </w:rPr>
        <w:t>逾期退还</w:t>
      </w:r>
      <w:r>
        <w:rPr>
          <w:rFonts w:hint="eastAsia" w:ascii="仿宋" w:hAnsi="仿宋" w:eastAsia="仿宋" w:cs="仿宋"/>
          <w:snapToGrid w:val="0"/>
          <w:color w:val="000000" w:themeColor="text1"/>
          <w:kern w:val="0"/>
          <w:sz w:val="24"/>
          <w:szCs w:val="24"/>
        </w:rPr>
        <w:t>投标保证金</w:t>
      </w:r>
      <w:r>
        <w:rPr>
          <w:rFonts w:hint="eastAsia" w:ascii="仿宋" w:hAnsi="仿宋" w:eastAsia="仿宋" w:cs="仿宋"/>
          <w:snapToGrid w:val="0"/>
          <w:color w:val="000000" w:themeColor="text1"/>
          <w:sz w:val="24"/>
          <w:szCs w:val="24"/>
        </w:rPr>
        <w:t>的，除应当退还投标保证金本金外，还应当按中国人民银行同期贷款基准利率上浮20％后的利率支付超期资金占用费，但因投标人自身原因导致无法及时退还的除外。</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18.7履约保证金在货物，或服务验收合格之日起5个工作日内予以退还，不计利息。</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18.8下列任何情况发生时，履约保证金将被没收。</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1）变更，背离合同约定内容的；</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2）向他人转让中标项目，或违反项目分包约定进行肢解分包的；</w:t>
      </w: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50" w:name="_Toc401521728"/>
      <w:bookmarkStart w:id="51" w:name="_Toc34984023"/>
      <w:bookmarkStart w:id="52" w:name="_Toc451122798"/>
      <w:bookmarkStart w:id="53" w:name="_Toc26741879"/>
      <w:bookmarkStart w:id="54" w:name="_Toc17539280"/>
      <w:bookmarkStart w:id="55" w:name="_Toc17272970"/>
      <w:bookmarkStart w:id="56" w:name="_Toc15083742"/>
      <w:bookmarkStart w:id="57" w:name="_Toc508987645"/>
      <w:r>
        <w:rPr>
          <w:rFonts w:hint="eastAsia" w:ascii="仿宋" w:hAnsi="仿宋" w:eastAsia="仿宋" w:cs="仿宋"/>
          <w:snapToGrid w:val="0"/>
          <w:color w:val="000000" w:themeColor="text1"/>
          <w:kern w:val="0"/>
          <w:sz w:val="24"/>
          <w:szCs w:val="24"/>
        </w:rPr>
        <w:t>六、开标、评标</w:t>
      </w:r>
      <w:bookmarkEnd w:id="49"/>
      <w:bookmarkEnd w:id="50"/>
      <w:r>
        <w:rPr>
          <w:rFonts w:hint="eastAsia" w:ascii="仿宋" w:hAnsi="仿宋" w:eastAsia="仿宋" w:cs="仿宋"/>
          <w:snapToGrid w:val="0"/>
          <w:color w:val="000000" w:themeColor="text1"/>
          <w:kern w:val="0"/>
          <w:sz w:val="24"/>
          <w:szCs w:val="24"/>
        </w:rPr>
        <w:t>、定标</w:t>
      </w:r>
      <w:bookmarkEnd w:id="51"/>
      <w:bookmarkEnd w:id="52"/>
      <w:bookmarkEnd w:id="53"/>
      <w:bookmarkEnd w:id="54"/>
      <w:bookmarkEnd w:id="55"/>
      <w:bookmarkEnd w:id="56"/>
      <w:bookmarkEnd w:id="57"/>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 xml:space="preserve">19、开标 </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19.1 招标文件“前附表”规定的时间、地点主持公开开标。</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19.2 开标时，招标代理机构将宣读投标人名称、修改或撤回投标的通知、投标声明以及招标代理机构认为合适的其他内容。</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20、投标文件初审</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20.1投标文件的初审分为：</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1）资格审查。依据法律法规和招标文件的规定，</w:t>
      </w:r>
      <w:r>
        <w:rPr>
          <w:rFonts w:hint="eastAsia" w:ascii="仿宋" w:hAnsi="仿宋" w:eastAsia="仿宋" w:cs="仿宋"/>
          <w:bCs/>
          <w:color w:val="000000" w:themeColor="text1"/>
          <w:sz w:val="24"/>
          <w:szCs w:val="24"/>
        </w:rPr>
        <w:t>磋商小组</w:t>
      </w:r>
      <w:r>
        <w:rPr>
          <w:rFonts w:hint="eastAsia" w:ascii="仿宋" w:hAnsi="仿宋" w:eastAsia="仿宋" w:cs="仿宋"/>
          <w:snapToGrid w:val="0"/>
          <w:color w:val="000000" w:themeColor="text1"/>
          <w:kern w:val="0"/>
          <w:sz w:val="24"/>
          <w:szCs w:val="24"/>
        </w:rPr>
        <w:t>依法对投标人的资格进行审查，以确定投标人是否具备投标资格。投标人不符合招标文件规定资格要求的为不具备投标资格。</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2）符合性检查。依据招标文件的规定，从投标文件的有效性、完整性和对招标文件的响应程度、有无计算错误进行审查，以确定是否对招标文件的要求做出响应。</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20.2评标委员会可以允许投标文件中存在不构成实质性偏差的不正规、不一致或不规范的进行修改，但不能损害或影响任何投标人的相对排序。</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20.3评标委员会决定投标响应，只根据投标本身真实无误的内容，而不依据外部的证据，但投标有不真实不正确内容除外。</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21、投标的澄清：</w:t>
      </w:r>
      <w:r>
        <w:rPr>
          <w:rFonts w:hint="eastAsia" w:ascii="仿宋" w:hAnsi="仿宋" w:eastAsia="仿宋" w:cs="仿宋"/>
          <w:snapToGrid w:val="0"/>
          <w:color w:val="000000" w:themeColor="text1"/>
          <w:kern w:val="0"/>
          <w:sz w:val="24"/>
          <w:szCs w:val="24"/>
        </w:rPr>
        <w:t>在评标期间，评标委员会可要求投标人对其投标文件进行澄清，但澄清不得对投标价格等实质性内容做任何修改。有关澄清的要求和答复均应以书面形式提交，投标人的澄清、说明书面材料，由其授权的代表签字生效。</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22、评标委员会和评标</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lang w:val="en-GB"/>
        </w:rPr>
        <w:t>22</w:t>
      </w:r>
      <w:r>
        <w:rPr>
          <w:rFonts w:hint="eastAsia" w:ascii="仿宋" w:hAnsi="仿宋" w:eastAsia="仿宋" w:cs="仿宋"/>
          <w:snapToGrid w:val="0"/>
          <w:color w:val="000000" w:themeColor="text1"/>
          <w:kern w:val="0"/>
          <w:sz w:val="24"/>
          <w:szCs w:val="24"/>
        </w:rPr>
        <w:t>.1</w:t>
      </w:r>
      <w:r>
        <w:rPr>
          <w:rFonts w:hint="eastAsia" w:ascii="仿宋" w:hAnsi="仿宋" w:eastAsia="仿宋" w:cs="仿宋"/>
          <w:color w:val="000000" w:themeColor="text1"/>
          <w:kern w:val="0"/>
          <w:sz w:val="24"/>
          <w:szCs w:val="24"/>
        </w:rPr>
        <w:t>招标人依法</w:t>
      </w:r>
      <w:r>
        <w:rPr>
          <w:rFonts w:hint="eastAsia" w:ascii="仿宋" w:hAnsi="仿宋" w:eastAsia="仿宋" w:cs="仿宋"/>
          <w:snapToGrid w:val="0"/>
          <w:color w:val="000000" w:themeColor="text1"/>
          <w:kern w:val="0"/>
          <w:sz w:val="24"/>
          <w:szCs w:val="24"/>
        </w:rPr>
        <w:t>组建评标委员会（</w:t>
      </w:r>
      <w:r>
        <w:rPr>
          <w:rFonts w:hint="eastAsia" w:ascii="仿宋" w:hAnsi="仿宋" w:eastAsia="仿宋" w:cs="仿宋"/>
          <w:bCs/>
          <w:snapToGrid w:val="0"/>
          <w:color w:val="000000" w:themeColor="text1"/>
          <w:sz w:val="24"/>
          <w:szCs w:val="24"/>
        </w:rPr>
        <w:t>磋商小组</w:t>
      </w:r>
      <w:r>
        <w:rPr>
          <w:rFonts w:hint="eastAsia" w:ascii="仿宋" w:hAnsi="仿宋" w:eastAsia="仿宋" w:cs="仿宋"/>
          <w:snapToGrid w:val="0"/>
          <w:color w:val="000000" w:themeColor="text1"/>
          <w:kern w:val="0"/>
          <w:sz w:val="24"/>
          <w:szCs w:val="24"/>
        </w:rPr>
        <w:t>），评标由评标委员会负责。</w:t>
      </w:r>
    </w:p>
    <w:p>
      <w:pPr>
        <w:tabs>
          <w:tab w:val="left" w:pos="645"/>
        </w:tabs>
        <w:adjustRightInd w:val="0"/>
        <w:snapToGrid w:val="0"/>
        <w:spacing w:line="400" w:lineRule="exact"/>
        <w:ind w:firstLine="480" w:firstLineChars="200"/>
        <w:jc w:val="left"/>
        <w:rPr>
          <w:rFonts w:ascii="仿宋" w:hAnsi="仿宋" w:eastAsia="仿宋" w:cs="仿宋"/>
          <w:bCs/>
          <w:snapToGrid w:val="0"/>
          <w:color w:val="000000" w:themeColor="text1"/>
          <w:sz w:val="24"/>
          <w:szCs w:val="24"/>
        </w:rPr>
      </w:pPr>
      <w:bookmarkStart w:id="58" w:name="_Toc192150656"/>
      <w:r>
        <w:rPr>
          <w:rFonts w:hint="eastAsia" w:ascii="仿宋" w:hAnsi="仿宋" w:eastAsia="仿宋" w:cs="仿宋"/>
          <w:snapToGrid w:val="0"/>
          <w:color w:val="000000" w:themeColor="text1"/>
          <w:kern w:val="0"/>
          <w:sz w:val="24"/>
          <w:szCs w:val="24"/>
        </w:rPr>
        <w:t>22.2</w:t>
      </w:r>
      <w:r>
        <w:rPr>
          <w:rFonts w:hint="eastAsia" w:ascii="仿宋" w:hAnsi="仿宋" w:eastAsia="仿宋" w:cs="仿宋"/>
          <w:bCs/>
          <w:snapToGrid w:val="0"/>
          <w:color w:val="000000" w:themeColor="text1"/>
          <w:sz w:val="24"/>
          <w:szCs w:val="24"/>
        </w:rPr>
        <w:t>评标委员会成员就实质性要求进行谈判磋商</w:t>
      </w:r>
    </w:p>
    <w:p>
      <w:pPr>
        <w:tabs>
          <w:tab w:val="left" w:pos="645"/>
        </w:tabs>
        <w:adjustRightInd w:val="0"/>
        <w:snapToGrid w:val="0"/>
        <w:spacing w:line="400" w:lineRule="exact"/>
        <w:ind w:firstLine="480" w:firstLineChars="200"/>
        <w:jc w:val="left"/>
        <w:rPr>
          <w:rFonts w:ascii="仿宋" w:hAnsi="仿宋" w:eastAsia="仿宋" w:cs="仿宋"/>
          <w:bCs/>
          <w:snapToGrid w:val="0"/>
          <w:color w:val="000000" w:themeColor="text1"/>
          <w:sz w:val="24"/>
          <w:szCs w:val="24"/>
        </w:rPr>
      </w:pPr>
      <w:r>
        <w:rPr>
          <w:rFonts w:hint="eastAsia" w:ascii="仿宋" w:hAnsi="仿宋" w:eastAsia="仿宋" w:cs="仿宋"/>
          <w:snapToGrid w:val="0"/>
          <w:color w:val="000000" w:themeColor="text1"/>
          <w:kern w:val="0"/>
          <w:sz w:val="24"/>
          <w:szCs w:val="24"/>
        </w:rPr>
        <w:t>22.3</w:t>
      </w:r>
      <w:r>
        <w:rPr>
          <w:rFonts w:hint="eastAsia" w:ascii="仿宋" w:hAnsi="仿宋" w:eastAsia="仿宋" w:cs="仿宋"/>
          <w:bCs/>
          <w:snapToGrid w:val="0"/>
          <w:color w:val="000000" w:themeColor="text1"/>
          <w:sz w:val="24"/>
          <w:szCs w:val="24"/>
        </w:rPr>
        <w:t>竞争性磋商以抽签或其他的形式确定谈判磋商顺序，由评标委员会分别与各投标人进行技术谈判磋商并对技术条款进行修改或补充，同时告之各投标人。</w:t>
      </w:r>
    </w:p>
    <w:p>
      <w:pPr>
        <w:tabs>
          <w:tab w:val="left" w:pos="645"/>
        </w:tabs>
        <w:adjustRightInd w:val="0"/>
        <w:snapToGrid w:val="0"/>
        <w:spacing w:line="400" w:lineRule="exact"/>
        <w:ind w:firstLine="480" w:firstLineChars="200"/>
        <w:jc w:val="left"/>
        <w:rPr>
          <w:rFonts w:ascii="仿宋" w:hAnsi="仿宋" w:eastAsia="仿宋" w:cs="仿宋"/>
          <w:bCs/>
          <w:snapToGrid w:val="0"/>
          <w:color w:val="000000" w:themeColor="text1"/>
          <w:sz w:val="24"/>
          <w:szCs w:val="24"/>
        </w:rPr>
      </w:pPr>
      <w:r>
        <w:rPr>
          <w:rFonts w:hint="eastAsia" w:ascii="仿宋" w:hAnsi="仿宋" w:eastAsia="仿宋" w:cs="仿宋"/>
          <w:snapToGrid w:val="0"/>
          <w:color w:val="000000" w:themeColor="text1"/>
          <w:kern w:val="0"/>
          <w:sz w:val="24"/>
          <w:szCs w:val="24"/>
        </w:rPr>
        <w:t>22.4</w:t>
      </w:r>
      <w:r>
        <w:rPr>
          <w:rFonts w:hint="eastAsia" w:ascii="仿宋" w:hAnsi="仿宋" w:eastAsia="仿宋" w:cs="仿宋"/>
          <w:bCs/>
          <w:snapToGrid w:val="0"/>
          <w:color w:val="000000" w:themeColor="text1"/>
          <w:sz w:val="24"/>
          <w:szCs w:val="24"/>
        </w:rPr>
        <w:t>第二轮谈判磋商进行以价格为主的一次或多次商务谈判磋商；</w:t>
      </w:r>
    </w:p>
    <w:p>
      <w:pPr>
        <w:tabs>
          <w:tab w:val="left" w:pos="645"/>
        </w:tabs>
        <w:adjustRightInd w:val="0"/>
        <w:snapToGrid w:val="0"/>
        <w:spacing w:line="400" w:lineRule="exact"/>
        <w:ind w:firstLine="480" w:firstLineChars="200"/>
        <w:jc w:val="left"/>
        <w:rPr>
          <w:rFonts w:ascii="仿宋" w:hAnsi="仿宋" w:eastAsia="仿宋" w:cs="仿宋"/>
          <w:bCs/>
          <w:snapToGrid w:val="0"/>
          <w:color w:val="000000" w:themeColor="text1"/>
          <w:sz w:val="24"/>
          <w:szCs w:val="24"/>
        </w:rPr>
      </w:pPr>
      <w:r>
        <w:rPr>
          <w:rFonts w:hint="eastAsia" w:ascii="仿宋" w:hAnsi="仿宋" w:eastAsia="仿宋" w:cs="仿宋"/>
          <w:snapToGrid w:val="0"/>
          <w:color w:val="000000" w:themeColor="text1"/>
          <w:kern w:val="0"/>
          <w:sz w:val="24"/>
          <w:szCs w:val="24"/>
        </w:rPr>
        <w:t>22.5</w:t>
      </w:r>
      <w:r>
        <w:rPr>
          <w:rFonts w:hint="eastAsia" w:ascii="仿宋" w:hAnsi="仿宋" w:eastAsia="仿宋" w:cs="仿宋"/>
          <w:bCs/>
          <w:snapToGrid w:val="0"/>
          <w:color w:val="000000" w:themeColor="text1"/>
          <w:sz w:val="24"/>
          <w:szCs w:val="24"/>
        </w:rPr>
        <w:t>面对面谈判磋商结束后，进行最后一轮竞价，投标人最终报价为确定成交最终依据。</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22.6评标委员会将按照评标办法和评审标准，对投标文件进行评审。</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22.7评标委员会对评议过程和结果不作解释。</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2</w:t>
      </w:r>
      <w:bookmarkEnd w:id="58"/>
      <w:r>
        <w:rPr>
          <w:rFonts w:hint="eastAsia" w:ascii="仿宋" w:hAnsi="仿宋" w:eastAsia="仿宋" w:cs="仿宋"/>
          <w:b/>
          <w:snapToGrid w:val="0"/>
          <w:color w:val="000000" w:themeColor="text1"/>
          <w:kern w:val="0"/>
          <w:sz w:val="24"/>
          <w:szCs w:val="24"/>
        </w:rPr>
        <w:t>3、推荐中标候选人</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23.1</w:t>
      </w:r>
      <w:r>
        <w:rPr>
          <w:rFonts w:hint="eastAsia" w:ascii="仿宋" w:hAnsi="仿宋" w:eastAsia="仿宋" w:cs="仿宋"/>
          <w:bCs/>
          <w:snapToGrid w:val="0"/>
          <w:color w:val="000000" w:themeColor="text1"/>
          <w:sz w:val="24"/>
          <w:szCs w:val="24"/>
        </w:rPr>
        <w:t>评标委员会将对实质性响应投标文件要求的投标人进行评审。完全响应谈判磋商要求的前提下，确定1-3名预中标人排序。</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23.2</w:t>
      </w:r>
      <w:r>
        <w:rPr>
          <w:rFonts w:hint="eastAsia" w:ascii="仿宋" w:hAnsi="仿宋" w:eastAsia="仿宋" w:cs="仿宋"/>
          <w:color w:val="000000" w:themeColor="text1"/>
          <w:kern w:val="0"/>
          <w:sz w:val="24"/>
          <w:szCs w:val="24"/>
        </w:rPr>
        <w:t>招标人</w:t>
      </w:r>
      <w:r>
        <w:rPr>
          <w:rFonts w:hint="eastAsia" w:ascii="仿宋" w:hAnsi="仿宋" w:eastAsia="仿宋" w:cs="仿宋"/>
          <w:snapToGrid w:val="0"/>
          <w:color w:val="000000" w:themeColor="text1"/>
          <w:kern w:val="0"/>
          <w:sz w:val="24"/>
          <w:szCs w:val="24"/>
        </w:rPr>
        <w:t>依法确定中标人，招标代理机构将在指定的网站上发布公示，公示期为1个工作日。</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24、</w:t>
      </w:r>
      <w:r>
        <w:rPr>
          <w:rFonts w:hint="eastAsia" w:ascii="仿宋" w:hAnsi="仿宋" w:eastAsia="仿宋" w:cs="仿宋"/>
          <w:b/>
          <w:bCs/>
          <w:snapToGrid w:val="0"/>
          <w:color w:val="000000" w:themeColor="text1"/>
          <w:sz w:val="24"/>
          <w:szCs w:val="24"/>
        </w:rPr>
        <w:t>确定成交及</w:t>
      </w:r>
      <w:r>
        <w:rPr>
          <w:rFonts w:hint="eastAsia" w:ascii="仿宋" w:hAnsi="仿宋" w:eastAsia="仿宋" w:cs="仿宋"/>
          <w:b/>
          <w:snapToGrid w:val="0"/>
          <w:color w:val="000000" w:themeColor="text1"/>
          <w:kern w:val="0"/>
          <w:sz w:val="24"/>
          <w:szCs w:val="24"/>
        </w:rPr>
        <w:t>签订合同</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24.1预中标公示</w:t>
      </w:r>
      <w:r>
        <w:rPr>
          <w:rFonts w:hint="eastAsia" w:ascii="仿宋" w:hAnsi="仿宋" w:eastAsia="仿宋" w:cs="仿宋"/>
          <w:bCs/>
          <w:color w:val="000000" w:themeColor="text1"/>
          <w:sz w:val="24"/>
          <w:szCs w:val="24"/>
        </w:rPr>
        <w:t>和</w:t>
      </w:r>
      <w:r>
        <w:rPr>
          <w:rFonts w:hint="eastAsia" w:ascii="仿宋" w:hAnsi="仿宋" w:eastAsia="仿宋" w:cs="仿宋"/>
          <w:snapToGrid w:val="0"/>
          <w:color w:val="000000" w:themeColor="text1"/>
          <w:kern w:val="0"/>
          <w:sz w:val="24"/>
          <w:szCs w:val="24"/>
        </w:rPr>
        <w:t>质疑期满后，招标代理机构将向中标企业发出中标通知书。中标通知书是合同的一个组成部分。</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24.2中标通知书发出后，招标代理机构将不通知未中标的投标人。</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24.3中标人应按中标通知书规定的时间、地点与招标人签订合同。</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24.4招标文件、中标人的投标文件及评标过程中有关澄清文件均应作为合同附件。</w:t>
      </w: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59" w:name="_Toc451122799"/>
      <w:bookmarkStart w:id="60" w:name="_Toc15083743"/>
      <w:bookmarkStart w:id="61" w:name="_Toc508987646"/>
      <w:bookmarkStart w:id="62" w:name="_Toc34984024"/>
      <w:bookmarkStart w:id="63" w:name="_Toc26741880"/>
      <w:bookmarkStart w:id="64" w:name="_Toc17539281"/>
      <w:bookmarkStart w:id="65" w:name="_Toc17272971"/>
      <w:r>
        <w:rPr>
          <w:rFonts w:hint="eastAsia" w:ascii="仿宋" w:hAnsi="仿宋" w:eastAsia="仿宋" w:cs="仿宋"/>
          <w:snapToGrid w:val="0"/>
          <w:color w:val="000000" w:themeColor="text1"/>
          <w:kern w:val="0"/>
          <w:sz w:val="24"/>
          <w:szCs w:val="24"/>
        </w:rPr>
        <w:t>七、质疑、投诉</w:t>
      </w:r>
      <w:bookmarkEnd w:id="59"/>
      <w:bookmarkEnd w:id="60"/>
      <w:bookmarkEnd w:id="61"/>
      <w:r>
        <w:rPr>
          <w:rFonts w:hint="eastAsia" w:ascii="仿宋" w:hAnsi="仿宋" w:eastAsia="仿宋" w:cs="仿宋"/>
          <w:snapToGrid w:val="0"/>
          <w:color w:val="000000" w:themeColor="text1"/>
          <w:kern w:val="0"/>
          <w:sz w:val="24"/>
          <w:szCs w:val="24"/>
        </w:rPr>
        <w:t>及其他</w:t>
      </w:r>
      <w:bookmarkEnd w:id="62"/>
      <w:bookmarkEnd w:id="63"/>
      <w:bookmarkEnd w:id="64"/>
      <w:bookmarkEnd w:id="65"/>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25、质疑</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25.1潜在投标人依法获取其可质疑招标文件的，或是参与所质疑项目采购活动的，可以提出质疑。</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25.2对招标文件和成交结果提出质疑的，为各采购程序环节期限届满之日起7个工作日内；并在法定质疑期内一次性提出质疑事项。</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25.3质疑函应当包括下列内容（格式参照“中国政府采购网”下载专区《政府采购供应商质疑函范本》和按《政府采购质疑和投诉办法》第十一条、第十二条之规定）：</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1）质疑人的法定代表人章印、主要负责人，或者其授权代表签字或者章印，并加盖质疑人单位公章，送达日期，送达人及身份证，联系电话和邮箱等；被质疑人的名称等；</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2）具体的质疑事项、事实和法律依据以及相关证明材料（按照“谁主张、谁举证”的原则，若无举证证明的视为无效质疑）；</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3）提起质疑请求；</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26、答疑：</w:t>
      </w:r>
      <w:r>
        <w:rPr>
          <w:rFonts w:hint="eastAsia" w:ascii="仿宋" w:hAnsi="仿宋" w:eastAsia="仿宋" w:cs="仿宋"/>
          <w:snapToGrid w:val="0"/>
          <w:color w:val="000000" w:themeColor="text1"/>
          <w:kern w:val="0"/>
          <w:sz w:val="24"/>
          <w:szCs w:val="24"/>
        </w:rPr>
        <w:t>招标代理机构自收到书面质疑后七个工作日内以书面形式答复质疑企业，但答复内容不涉及商业秘密。若调查论证产生费用的，遵循“谁过错谁负担”的原则，有过错的一方承担调查论证费用，费用在投标保证金中扣除。</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27、投诉：</w:t>
      </w:r>
      <w:r>
        <w:rPr>
          <w:rFonts w:hint="eastAsia" w:ascii="仿宋" w:hAnsi="仿宋" w:eastAsia="仿宋" w:cs="仿宋"/>
          <w:snapToGrid w:val="0"/>
          <w:color w:val="000000" w:themeColor="text1"/>
          <w:kern w:val="0"/>
          <w:sz w:val="24"/>
          <w:szCs w:val="24"/>
        </w:rPr>
        <w:t>质疑企业对招标代理机构的答疑不满意，或招标代理机构未在法定时间内做出答复的，可以在答疑期满后十五个工作日内向采购项目同级财政部门投诉。</w:t>
      </w:r>
    </w:p>
    <w:p>
      <w:pPr>
        <w:adjustRightInd w:val="0"/>
        <w:snapToGrid w:val="0"/>
        <w:spacing w:line="400" w:lineRule="exact"/>
        <w:ind w:firstLine="482"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28、</w:t>
      </w:r>
      <w:r>
        <w:rPr>
          <w:rFonts w:hint="eastAsia" w:ascii="仿宋" w:hAnsi="仿宋" w:eastAsia="仿宋" w:cs="仿宋"/>
          <w:snapToGrid w:val="0"/>
          <w:color w:val="000000" w:themeColor="text1"/>
          <w:kern w:val="0"/>
          <w:sz w:val="24"/>
          <w:szCs w:val="24"/>
        </w:rPr>
        <w:t>若预中标排序在前的，出现《中华人民共和国政府采购法》第七十七条中第（一）至（五）项情形之一的，中标、成交无效。招标人可以按照评审报告推荐的中标或者成交候选人名单排序，确定下一候选人为中标或者成交供应商，也可以重新组织采购。</w:t>
      </w:r>
    </w:p>
    <w:p>
      <w:pPr>
        <w:adjustRightInd w:val="0"/>
        <w:snapToGrid w:val="0"/>
        <w:spacing w:line="400" w:lineRule="exact"/>
        <w:ind w:firstLine="482"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29、诚实信用</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29.1投标人之间不得相互串通投标，不得妨碍其他企业的公平竞争，不得损害招标人的合法权益。投标人不得虚假质疑（或投诉）和恶意质疑（或投诉），并对质疑（或投诉）内容的真实性承担责任。投标人或者其他利害关系人通过捏造事实、伪造证明材料等方式提出异议或投诉，阻碍招投标活动正常进行的，依照《政府采购质疑和投诉办法》(部长令第94号) 第三十七条第二款之规定“将其列入不良行为记录名单，禁止其1至3年内参加政府采购活动”。</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29.2 已经递交投标保证金的投标人，若不参加本项目投标，应在投标截止时间一天前书面通知招标代理机构，否则属于失信用，不得再参加该项目的投标等。</w:t>
      </w:r>
    </w:p>
    <w:p>
      <w:pPr>
        <w:adjustRightInd w:val="0"/>
        <w:snapToGrid w:val="0"/>
        <w:spacing w:line="400" w:lineRule="exact"/>
        <w:ind w:firstLine="482"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30、解释权：</w:t>
      </w:r>
      <w:r>
        <w:rPr>
          <w:rFonts w:hint="eastAsia" w:ascii="仿宋" w:hAnsi="仿宋" w:eastAsia="仿宋" w:cs="仿宋"/>
          <w:snapToGrid w:val="0"/>
          <w:color w:val="000000" w:themeColor="text1"/>
          <w:kern w:val="0"/>
          <w:sz w:val="24"/>
          <w:szCs w:val="24"/>
        </w:rPr>
        <w:t>本招标文件是根据国家有关法律、法规以及政府采购管理有关规定编制，解释权属本招标代理机构。</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p>
    <w:p>
      <w:pPr>
        <w:pStyle w:val="4"/>
        <w:adjustRightInd w:val="0"/>
        <w:snapToGrid w:val="0"/>
        <w:spacing w:before="0" w:after="0" w:line="400" w:lineRule="exact"/>
        <w:ind w:firstLine="482" w:firstLineChars="200"/>
        <w:jc w:val="center"/>
        <w:rPr>
          <w:rFonts w:ascii="仿宋" w:hAnsi="仿宋" w:eastAsia="仿宋" w:cs="仿宋"/>
          <w:snapToGrid w:val="0"/>
          <w:color w:val="000000"/>
          <w:kern w:val="0"/>
          <w:sz w:val="24"/>
          <w:szCs w:val="24"/>
        </w:rPr>
      </w:pPr>
      <w:bookmarkStart w:id="66" w:name="_Toc476122384"/>
      <w:bookmarkStart w:id="67" w:name="_Toc10406392"/>
      <w:bookmarkStart w:id="68" w:name="_Toc17539282"/>
      <w:bookmarkStart w:id="69" w:name="_Toc26741881"/>
      <w:bookmarkStart w:id="70" w:name="_Toc34984025"/>
      <w:r>
        <w:rPr>
          <w:rFonts w:hint="eastAsia" w:ascii="仿宋" w:hAnsi="仿宋" w:eastAsia="仿宋" w:cs="仿宋"/>
          <w:bCs w:val="0"/>
          <w:snapToGrid w:val="0"/>
          <w:color w:val="000000" w:themeColor="text1"/>
          <w:sz w:val="24"/>
          <w:szCs w:val="24"/>
        </w:rPr>
        <w:t>第三章</w:t>
      </w:r>
      <w:r>
        <w:rPr>
          <w:rFonts w:hint="eastAsia" w:ascii="仿宋" w:hAnsi="仿宋" w:eastAsia="仿宋" w:cs="仿宋"/>
          <w:snapToGrid w:val="0"/>
          <w:color w:val="000000"/>
          <w:kern w:val="0"/>
          <w:sz w:val="24"/>
          <w:szCs w:val="24"/>
        </w:rPr>
        <w:t>竞争性磋商采购需求与技术和商务要求</w:t>
      </w:r>
      <w:bookmarkEnd w:id="66"/>
      <w:bookmarkEnd w:id="67"/>
      <w:bookmarkEnd w:id="68"/>
      <w:bookmarkEnd w:id="69"/>
      <w:bookmarkEnd w:id="70"/>
    </w:p>
    <w:p>
      <w:pPr>
        <w:rPr>
          <w:rFonts w:ascii="仿宋" w:hAnsi="仿宋" w:eastAsia="仿宋" w:cs="仿宋"/>
          <w:snapToGrid w:val="0"/>
          <w:color w:val="000000"/>
          <w:kern w:val="0"/>
          <w:sz w:val="24"/>
          <w:szCs w:val="24"/>
        </w:rPr>
      </w:pPr>
      <w:r>
        <w:rPr>
          <w:rFonts w:hint="eastAsia" w:ascii="仿宋" w:hAnsi="仿宋" w:eastAsia="仿宋" w:cs="仿宋"/>
          <w:sz w:val="24"/>
          <w:szCs w:val="24"/>
        </w:rPr>
        <w:t>一、</w:t>
      </w:r>
      <w:r>
        <w:rPr>
          <w:rFonts w:hint="eastAsia" w:ascii="仿宋" w:hAnsi="仿宋" w:eastAsia="仿宋" w:cs="仿宋"/>
          <w:b/>
          <w:bCs/>
          <w:snapToGrid w:val="0"/>
          <w:color w:val="000000"/>
          <w:kern w:val="0"/>
          <w:sz w:val="24"/>
          <w:szCs w:val="24"/>
        </w:rPr>
        <w:t>采购需求清单</w:t>
      </w:r>
      <w:r>
        <w:rPr>
          <w:rFonts w:hint="eastAsia" w:ascii="仿宋" w:hAnsi="仿宋" w:eastAsia="仿宋" w:cs="仿宋"/>
          <w:snapToGrid w:val="0"/>
          <w:color w:val="000000"/>
          <w:kern w:val="0"/>
          <w:sz w:val="24"/>
          <w:szCs w:val="24"/>
        </w:rPr>
        <w:t>（价格：人民币元）</w:t>
      </w:r>
    </w:p>
    <w:tbl>
      <w:tblPr>
        <w:tblStyle w:val="1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768"/>
        <w:gridCol w:w="2410"/>
        <w:gridCol w:w="1701"/>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83" w:type="dxa"/>
            <w:vAlign w:val="center"/>
          </w:tcPr>
          <w:p>
            <w:pPr>
              <w:spacing w:line="360" w:lineRule="auto"/>
              <w:jc w:val="center"/>
              <w:rPr>
                <w:rFonts w:ascii="宋体" w:hAnsi="宋体"/>
                <w:b/>
              </w:rPr>
            </w:pPr>
            <w:r>
              <w:rPr>
                <w:rFonts w:hint="eastAsia" w:ascii="宋体" w:hAnsi="宋体"/>
                <w:b/>
              </w:rPr>
              <w:t>序号</w:t>
            </w:r>
          </w:p>
        </w:tc>
        <w:tc>
          <w:tcPr>
            <w:tcW w:w="1768" w:type="dxa"/>
            <w:vAlign w:val="center"/>
          </w:tcPr>
          <w:p>
            <w:pPr>
              <w:spacing w:line="360" w:lineRule="auto"/>
              <w:jc w:val="center"/>
              <w:rPr>
                <w:rFonts w:ascii="宋体" w:hAnsi="宋体"/>
                <w:b/>
              </w:rPr>
            </w:pPr>
            <w:r>
              <w:rPr>
                <w:rFonts w:hint="eastAsia" w:ascii="宋体" w:hAnsi="宋体"/>
                <w:b/>
              </w:rPr>
              <w:t>产品名称</w:t>
            </w:r>
          </w:p>
        </w:tc>
        <w:tc>
          <w:tcPr>
            <w:tcW w:w="2410" w:type="dxa"/>
            <w:vAlign w:val="center"/>
          </w:tcPr>
          <w:p>
            <w:pPr>
              <w:spacing w:line="360" w:lineRule="auto"/>
              <w:jc w:val="center"/>
              <w:rPr>
                <w:rFonts w:ascii="宋体" w:hAnsi="宋体"/>
                <w:b/>
              </w:rPr>
            </w:pPr>
            <w:r>
              <w:rPr>
                <w:rFonts w:hint="eastAsia" w:ascii="宋体" w:hAnsi="宋体"/>
                <w:b/>
              </w:rPr>
              <w:t>规格、型号（W*D*H）</w:t>
            </w:r>
          </w:p>
        </w:tc>
        <w:tc>
          <w:tcPr>
            <w:tcW w:w="1701" w:type="dxa"/>
            <w:vAlign w:val="center"/>
          </w:tcPr>
          <w:p>
            <w:pPr>
              <w:spacing w:line="360" w:lineRule="auto"/>
              <w:jc w:val="center"/>
              <w:rPr>
                <w:rFonts w:ascii="宋体" w:hAnsi="宋体"/>
                <w:b/>
              </w:rPr>
            </w:pPr>
            <w:r>
              <w:rPr>
                <w:rFonts w:hint="eastAsia" w:ascii="宋体" w:hAnsi="宋体"/>
                <w:b/>
              </w:rPr>
              <w:t>数量/单位</w:t>
            </w:r>
          </w:p>
        </w:tc>
        <w:tc>
          <w:tcPr>
            <w:tcW w:w="2660" w:type="dxa"/>
            <w:vAlign w:val="center"/>
          </w:tcPr>
          <w:p>
            <w:pPr>
              <w:spacing w:line="360" w:lineRule="auto"/>
              <w:jc w:val="center"/>
              <w:rPr>
                <w:rFonts w:ascii="宋体" w:hAnsi="宋体"/>
                <w:b/>
              </w:rPr>
            </w:pPr>
            <w:r>
              <w:rPr>
                <w:rFonts w:hint="eastAsia" w:ascii="宋体" w:hAnsi="宋体"/>
                <w:b/>
              </w:rPr>
              <w:t>存放量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1</w:t>
            </w:r>
          </w:p>
        </w:tc>
        <w:tc>
          <w:tcPr>
            <w:tcW w:w="1768" w:type="dxa"/>
            <w:vAlign w:val="center"/>
          </w:tcPr>
          <w:p>
            <w:pPr>
              <w:spacing w:line="360" w:lineRule="auto"/>
              <w:jc w:val="center"/>
              <w:rPr>
                <w:rFonts w:ascii="宋体" w:hAnsi="宋体"/>
                <w:szCs w:val="21"/>
              </w:rPr>
            </w:pPr>
            <w:r>
              <w:rPr>
                <w:rFonts w:hint="eastAsia" w:ascii="宋体" w:hAnsi="宋体"/>
                <w:szCs w:val="21"/>
              </w:rPr>
              <w:t>智能手枪柜</w:t>
            </w:r>
          </w:p>
        </w:tc>
        <w:tc>
          <w:tcPr>
            <w:tcW w:w="2410" w:type="dxa"/>
            <w:vAlign w:val="center"/>
          </w:tcPr>
          <w:p>
            <w:pPr>
              <w:spacing w:line="360" w:lineRule="auto"/>
              <w:jc w:val="center"/>
              <w:rPr>
                <w:rFonts w:ascii="宋体" w:hAnsi="宋体"/>
                <w:szCs w:val="21"/>
              </w:rPr>
            </w:pPr>
            <w:r>
              <w:rPr>
                <w:rFonts w:hint="eastAsia" w:ascii="宋体" w:hAnsi="宋体"/>
                <w:szCs w:val="21"/>
              </w:rPr>
              <w:t>1000*500*1800mm</w:t>
            </w:r>
          </w:p>
        </w:tc>
        <w:tc>
          <w:tcPr>
            <w:tcW w:w="1701" w:type="dxa"/>
            <w:vAlign w:val="center"/>
          </w:tcPr>
          <w:p>
            <w:pPr>
              <w:spacing w:line="360" w:lineRule="auto"/>
              <w:jc w:val="center"/>
              <w:rPr>
                <w:rFonts w:ascii="宋体" w:hAnsi="宋体"/>
                <w:szCs w:val="21"/>
              </w:rPr>
            </w:pPr>
            <w:r>
              <w:rPr>
                <w:rFonts w:hint="eastAsia" w:ascii="宋体" w:hAnsi="宋体"/>
                <w:szCs w:val="21"/>
              </w:rPr>
              <w:t>3台</w:t>
            </w:r>
          </w:p>
        </w:tc>
        <w:tc>
          <w:tcPr>
            <w:tcW w:w="2660" w:type="dxa"/>
            <w:vAlign w:val="center"/>
          </w:tcPr>
          <w:p>
            <w:pPr>
              <w:spacing w:line="360" w:lineRule="auto"/>
              <w:jc w:val="center"/>
              <w:rPr>
                <w:rFonts w:ascii="宋体" w:hAnsi="宋体"/>
                <w:szCs w:val="21"/>
              </w:rPr>
            </w:pPr>
            <w:r>
              <w:rPr>
                <w:rFonts w:hint="eastAsia" w:ascii="宋体" w:hAnsi="宋体"/>
                <w:szCs w:val="21"/>
              </w:rPr>
              <w:t>内存放50支手枪。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2</w:t>
            </w:r>
          </w:p>
        </w:tc>
        <w:tc>
          <w:tcPr>
            <w:tcW w:w="1768" w:type="dxa"/>
            <w:vAlign w:val="center"/>
          </w:tcPr>
          <w:p>
            <w:pPr>
              <w:jc w:val="center"/>
              <w:rPr>
                <w:rFonts w:ascii="宋体" w:hAnsi="宋体"/>
                <w:szCs w:val="21"/>
              </w:rPr>
            </w:pPr>
            <w:r>
              <w:rPr>
                <w:rFonts w:hint="eastAsia" w:ascii="宋体" w:hAnsi="宋体"/>
                <w:szCs w:val="21"/>
              </w:rPr>
              <w:t>智能长枪柜</w:t>
            </w:r>
          </w:p>
        </w:tc>
        <w:tc>
          <w:tcPr>
            <w:tcW w:w="2410" w:type="dxa"/>
            <w:vAlign w:val="center"/>
          </w:tcPr>
          <w:p>
            <w:pPr>
              <w:jc w:val="center"/>
              <w:rPr>
                <w:rFonts w:ascii="宋体" w:hAnsi="宋体"/>
                <w:szCs w:val="21"/>
              </w:rPr>
            </w:pPr>
            <w:r>
              <w:rPr>
                <w:rFonts w:hint="eastAsia" w:ascii="宋体" w:hAnsi="宋体"/>
                <w:szCs w:val="21"/>
              </w:rPr>
              <w:t>1000*500*1800mm</w:t>
            </w:r>
          </w:p>
        </w:tc>
        <w:tc>
          <w:tcPr>
            <w:tcW w:w="1701" w:type="dxa"/>
            <w:vAlign w:val="center"/>
          </w:tcPr>
          <w:p>
            <w:pPr>
              <w:jc w:val="center"/>
              <w:rPr>
                <w:rFonts w:ascii="宋体" w:hAnsi="宋体"/>
                <w:szCs w:val="21"/>
              </w:rPr>
            </w:pPr>
            <w:r>
              <w:rPr>
                <w:rFonts w:hint="eastAsia" w:ascii="宋体" w:hAnsi="宋体"/>
                <w:szCs w:val="21"/>
              </w:rPr>
              <w:t>2台</w:t>
            </w:r>
          </w:p>
        </w:tc>
        <w:tc>
          <w:tcPr>
            <w:tcW w:w="2660" w:type="dxa"/>
            <w:vAlign w:val="center"/>
          </w:tcPr>
          <w:p>
            <w:pPr>
              <w:jc w:val="center"/>
              <w:rPr>
                <w:rFonts w:ascii="宋体" w:hAnsi="宋体"/>
                <w:szCs w:val="21"/>
              </w:rPr>
            </w:pPr>
            <w:r>
              <w:rPr>
                <w:rFonts w:hint="eastAsia" w:ascii="宋体" w:hAnsi="宋体"/>
                <w:szCs w:val="21"/>
              </w:rPr>
              <w:t>内存放18支微冲、防暴或步枪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3</w:t>
            </w:r>
          </w:p>
        </w:tc>
        <w:tc>
          <w:tcPr>
            <w:tcW w:w="1768" w:type="dxa"/>
            <w:vAlign w:val="center"/>
          </w:tcPr>
          <w:p>
            <w:pPr>
              <w:jc w:val="center"/>
              <w:rPr>
                <w:rFonts w:ascii="宋体" w:hAnsi="宋体"/>
                <w:szCs w:val="21"/>
              </w:rPr>
            </w:pPr>
            <w:r>
              <w:rPr>
                <w:rFonts w:hint="eastAsia" w:ascii="宋体" w:hAnsi="宋体"/>
                <w:szCs w:val="21"/>
              </w:rPr>
              <w:t>智能弹柜1</w:t>
            </w:r>
          </w:p>
        </w:tc>
        <w:tc>
          <w:tcPr>
            <w:tcW w:w="2410" w:type="dxa"/>
            <w:vAlign w:val="center"/>
          </w:tcPr>
          <w:p>
            <w:pPr>
              <w:jc w:val="center"/>
              <w:rPr>
                <w:rFonts w:ascii="宋体" w:hAnsi="宋体"/>
                <w:szCs w:val="21"/>
              </w:rPr>
            </w:pPr>
            <w:r>
              <w:rPr>
                <w:rFonts w:hint="eastAsia" w:ascii="宋体" w:hAnsi="宋体"/>
                <w:szCs w:val="21"/>
              </w:rPr>
              <w:t>1000*500*1800mm</w:t>
            </w:r>
          </w:p>
        </w:tc>
        <w:tc>
          <w:tcPr>
            <w:tcW w:w="1701" w:type="dxa"/>
            <w:vAlign w:val="center"/>
          </w:tcPr>
          <w:p>
            <w:pPr>
              <w:jc w:val="center"/>
              <w:rPr>
                <w:rFonts w:ascii="宋体" w:hAnsi="宋体"/>
                <w:szCs w:val="21"/>
              </w:rPr>
            </w:pPr>
            <w:r>
              <w:rPr>
                <w:rFonts w:hint="eastAsia" w:ascii="宋体" w:hAnsi="宋体"/>
                <w:szCs w:val="21"/>
              </w:rPr>
              <w:t>1台</w:t>
            </w:r>
          </w:p>
        </w:tc>
        <w:tc>
          <w:tcPr>
            <w:tcW w:w="2660" w:type="dxa"/>
            <w:vAlign w:val="center"/>
          </w:tcPr>
          <w:p>
            <w:pPr>
              <w:pStyle w:val="31"/>
              <w:jc w:val="center"/>
              <w:rPr>
                <w:rFonts w:ascii="宋体" w:hAnsi="宋体" w:cs="宋体"/>
                <w:sz w:val="21"/>
                <w:szCs w:val="21"/>
              </w:rPr>
            </w:pPr>
            <w:r>
              <w:rPr>
                <w:rFonts w:hint="eastAsia" w:ascii="宋体" w:hAnsi="宋体" w:cs="宋体"/>
                <w:sz w:val="21"/>
                <w:szCs w:val="21"/>
              </w:rPr>
              <w:t>内做12个电子自动计数弹屉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4</w:t>
            </w:r>
          </w:p>
        </w:tc>
        <w:tc>
          <w:tcPr>
            <w:tcW w:w="1768" w:type="dxa"/>
            <w:vAlign w:val="center"/>
          </w:tcPr>
          <w:p>
            <w:pPr>
              <w:jc w:val="center"/>
              <w:rPr>
                <w:rFonts w:ascii="宋体" w:hAnsi="宋体"/>
                <w:szCs w:val="21"/>
              </w:rPr>
            </w:pPr>
            <w:r>
              <w:rPr>
                <w:rFonts w:hint="eastAsia" w:ascii="宋体" w:hAnsi="宋体"/>
                <w:szCs w:val="21"/>
              </w:rPr>
              <w:t>智能弹柜2</w:t>
            </w:r>
          </w:p>
        </w:tc>
        <w:tc>
          <w:tcPr>
            <w:tcW w:w="2410" w:type="dxa"/>
            <w:vAlign w:val="center"/>
          </w:tcPr>
          <w:p>
            <w:pPr>
              <w:jc w:val="center"/>
              <w:rPr>
                <w:rFonts w:ascii="宋体" w:hAnsi="宋体"/>
                <w:szCs w:val="21"/>
              </w:rPr>
            </w:pPr>
            <w:r>
              <w:rPr>
                <w:rFonts w:hint="eastAsia" w:ascii="宋体" w:hAnsi="宋体"/>
                <w:szCs w:val="21"/>
              </w:rPr>
              <w:t>1000*500*1800mm</w:t>
            </w:r>
          </w:p>
        </w:tc>
        <w:tc>
          <w:tcPr>
            <w:tcW w:w="1701" w:type="dxa"/>
            <w:vAlign w:val="center"/>
          </w:tcPr>
          <w:p>
            <w:pPr>
              <w:jc w:val="center"/>
              <w:rPr>
                <w:rFonts w:ascii="宋体" w:hAnsi="宋体"/>
                <w:szCs w:val="21"/>
              </w:rPr>
            </w:pPr>
            <w:r>
              <w:rPr>
                <w:rFonts w:hint="eastAsia" w:ascii="宋体" w:hAnsi="宋体"/>
                <w:szCs w:val="21"/>
              </w:rPr>
              <w:t>2台</w:t>
            </w:r>
          </w:p>
        </w:tc>
        <w:tc>
          <w:tcPr>
            <w:tcW w:w="2660" w:type="dxa"/>
            <w:vAlign w:val="center"/>
          </w:tcPr>
          <w:p>
            <w:pPr>
              <w:pStyle w:val="31"/>
              <w:jc w:val="center"/>
              <w:rPr>
                <w:rFonts w:ascii="宋体" w:hAnsi="宋体" w:cs="宋体"/>
                <w:sz w:val="21"/>
                <w:szCs w:val="21"/>
              </w:rPr>
            </w:pPr>
            <w:r>
              <w:rPr>
                <w:rFonts w:hint="eastAsia" w:ascii="宋体" w:hAnsi="宋体" w:cs="宋体"/>
                <w:sz w:val="21"/>
                <w:szCs w:val="21"/>
              </w:rPr>
              <w:t>内平分4层托板固定。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5</w:t>
            </w:r>
          </w:p>
        </w:tc>
        <w:tc>
          <w:tcPr>
            <w:tcW w:w="1768" w:type="dxa"/>
            <w:vAlign w:val="center"/>
          </w:tcPr>
          <w:p>
            <w:pPr>
              <w:jc w:val="center"/>
              <w:rPr>
                <w:rFonts w:ascii="宋体" w:hAnsi="宋体"/>
                <w:szCs w:val="21"/>
              </w:rPr>
            </w:pPr>
            <w:r>
              <w:rPr>
                <w:rFonts w:hint="eastAsia" w:ascii="宋体" w:hAnsi="宋体"/>
                <w:szCs w:val="21"/>
              </w:rPr>
              <w:t>服务器</w:t>
            </w:r>
          </w:p>
        </w:tc>
        <w:tc>
          <w:tcPr>
            <w:tcW w:w="2410" w:type="dxa"/>
            <w:vAlign w:val="center"/>
          </w:tcPr>
          <w:p>
            <w:pPr>
              <w:jc w:val="center"/>
              <w:rPr>
                <w:rFonts w:ascii="宋体" w:hAnsi="宋体"/>
                <w:szCs w:val="21"/>
              </w:rPr>
            </w:pPr>
            <w:r>
              <w:rPr>
                <w:rStyle w:val="30"/>
                <w:rFonts w:hint="eastAsia" w:ascii="宋体" w:hAnsi="宋体"/>
                <w:szCs w:val="21"/>
              </w:rPr>
              <w:t>H3CT1100</w:t>
            </w:r>
          </w:p>
        </w:tc>
        <w:tc>
          <w:tcPr>
            <w:tcW w:w="1701" w:type="dxa"/>
            <w:vAlign w:val="center"/>
          </w:tcPr>
          <w:p>
            <w:pPr>
              <w:jc w:val="center"/>
              <w:rPr>
                <w:rFonts w:ascii="宋体" w:hAnsi="宋体"/>
                <w:szCs w:val="21"/>
              </w:rPr>
            </w:pPr>
            <w:r>
              <w:rPr>
                <w:rFonts w:hint="eastAsia" w:ascii="宋体" w:hAnsi="宋体"/>
                <w:szCs w:val="21"/>
              </w:rPr>
              <w:t>1台</w:t>
            </w:r>
          </w:p>
        </w:tc>
        <w:tc>
          <w:tcPr>
            <w:tcW w:w="2660" w:type="dxa"/>
            <w:vAlign w:val="center"/>
          </w:tcPr>
          <w:p>
            <w:pPr>
              <w:jc w:val="center"/>
              <w:rPr>
                <w:rFonts w:ascii="宋体" w:hAnsi="宋体"/>
                <w:szCs w:val="21"/>
              </w:rPr>
            </w:pPr>
            <w:r>
              <w:rPr>
                <w:rFonts w:hint="eastAsia" w:ascii="宋体" w:hAnsi="宋体"/>
                <w:szCs w:val="21"/>
              </w:rPr>
              <w:t>支持5000个设备的接入。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jc w:val="center"/>
              <w:rPr>
                <w:rFonts w:ascii="宋体" w:hAnsi="宋体"/>
                <w:szCs w:val="21"/>
              </w:rPr>
            </w:pPr>
            <w:r>
              <w:rPr>
                <w:rFonts w:hint="eastAsia" w:ascii="宋体" w:hAnsi="宋体"/>
                <w:szCs w:val="21"/>
              </w:rPr>
              <w:t>6</w:t>
            </w:r>
          </w:p>
        </w:tc>
        <w:tc>
          <w:tcPr>
            <w:tcW w:w="1768" w:type="dxa"/>
            <w:vAlign w:val="center"/>
          </w:tcPr>
          <w:p>
            <w:pPr>
              <w:jc w:val="center"/>
              <w:rPr>
                <w:rFonts w:ascii="宋体" w:hAnsi="宋体"/>
                <w:szCs w:val="21"/>
              </w:rPr>
            </w:pPr>
            <w:r>
              <w:rPr>
                <w:rFonts w:hint="eastAsia" w:ascii="宋体" w:hAnsi="宋体"/>
                <w:szCs w:val="21"/>
              </w:rPr>
              <w:t>智能管理系统平台软件</w:t>
            </w:r>
          </w:p>
        </w:tc>
        <w:tc>
          <w:tcPr>
            <w:tcW w:w="2410" w:type="dxa"/>
            <w:vAlign w:val="center"/>
          </w:tcPr>
          <w:p>
            <w:pPr>
              <w:jc w:val="center"/>
              <w:rPr>
                <w:rFonts w:ascii="宋体" w:hAnsi="宋体"/>
                <w:szCs w:val="21"/>
              </w:rPr>
            </w:pPr>
            <w:r>
              <w:rPr>
                <w:rFonts w:hint="eastAsia" w:ascii="宋体" w:hAnsi="宋体"/>
                <w:szCs w:val="21"/>
              </w:rPr>
              <w:t>中间件服务IOT-SERVER，数据库MYSQL 5.0</w:t>
            </w:r>
          </w:p>
        </w:tc>
        <w:tc>
          <w:tcPr>
            <w:tcW w:w="1701" w:type="dxa"/>
            <w:vAlign w:val="center"/>
          </w:tcPr>
          <w:p>
            <w:pPr>
              <w:jc w:val="center"/>
              <w:rPr>
                <w:rFonts w:ascii="宋体" w:hAnsi="宋体"/>
                <w:szCs w:val="21"/>
              </w:rPr>
            </w:pPr>
            <w:r>
              <w:rPr>
                <w:rFonts w:hint="eastAsia" w:ascii="宋体" w:hAnsi="宋体"/>
                <w:szCs w:val="21"/>
              </w:rPr>
              <w:t>1套</w:t>
            </w:r>
          </w:p>
        </w:tc>
        <w:tc>
          <w:tcPr>
            <w:tcW w:w="2660" w:type="dxa"/>
            <w:vAlign w:val="center"/>
          </w:tcPr>
          <w:p>
            <w:pPr>
              <w:jc w:val="center"/>
              <w:rPr>
                <w:rFonts w:ascii="宋体" w:hAnsi="宋体"/>
                <w:szCs w:val="21"/>
              </w:rPr>
            </w:pPr>
            <w:r>
              <w:rPr>
                <w:rFonts w:hint="eastAsia" w:ascii="宋体" w:hAnsi="宋体"/>
                <w:szCs w:val="21"/>
              </w:rPr>
              <w:t>支持5000个设备的接入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7</w:t>
            </w:r>
          </w:p>
        </w:tc>
        <w:tc>
          <w:tcPr>
            <w:tcW w:w="1768" w:type="dxa"/>
            <w:vAlign w:val="center"/>
          </w:tcPr>
          <w:p>
            <w:pPr>
              <w:spacing w:line="360" w:lineRule="auto"/>
              <w:jc w:val="center"/>
              <w:rPr>
                <w:rFonts w:ascii="宋体" w:hAnsi="宋体"/>
                <w:szCs w:val="21"/>
              </w:rPr>
            </w:pPr>
            <w:r>
              <w:rPr>
                <w:rFonts w:hint="eastAsia" w:ascii="宋体" w:hAnsi="宋体"/>
                <w:szCs w:val="21"/>
              </w:rPr>
              <w:t>短信报警器</w:t>
            </w:r>
          </w:p>
        </w:tc>
        <w:tc>
          <w:tcPr>
            <w:tcW w:w="2410" w:type="dxa"/>
            <w:vAlign w:val="center"/>
          </w:tcPr>
          <w:p>
            <w:pPr>
              <w:spacing w:line="360" w:lineRule="auto"/>
              <w:jc w:val="center"/>
              <w:rPr>
                <w:rFonts w:ascii="宋体" w:hAnsi="宋体"/>
                <w:szCs w:val="21"/>
              </w:rPr>
            </w:pPr>
            <w:r>
              <w:rPr>
                <w:rFonts w:hint="eastAsia" w:ascii="宋体" w:hAnsi="宋体"/>
                <w:szCs w:val="21"/>
              </w:rPr>
              <w:t>/</w:t>
            </w:r>
          </w:p>
        </w:tc>
        <w:tc>
          <w:tcPr>
            <w:tcW w:w="1701" w:type="dxa"/>
            <w:vAlign w:val="center"/>
          </w:tcPr>
          <w:p>
            <w:pPr>
              <w:spacing w:line="360" w:lineRule="auto"/>
              <w:jc w:val="center"/>
              <w:rPr>
                <w:rFonts w:ascii="宋体" w:hAnsi="宋体"/>
                <w:szCs w:val="21"/>
              </w:rPr>
            </w:pPr>
            <w:r>
              <w:rPr>
                <w:rFonts w:hint="eastAsia" w:ascii="宋体" w:hAnsi="宋体"/>
                <w:szCs w:val="21"/>
              </w:rPr>
              <w:t>1台</w:t>
            </w:r>
          </w:p>
        </w:tc>
        <w:tc>
          <w:tcPr>
            <w:tcW w:w="2660" w:type="dxa"/>
            <w:vAlign w:val="center"/>
          </w:tcPr>
          <w:p>
            <w:pPr>
              <w:spacing w:line="360" w:lineRule="auto"/>
              <w:jc w:val="center"/>
              <w:rPr>
                <w:rFonts w:ascii="宋体" w:hAnsi="宋体"/>
                <w:szCs w:val="21"/>
              </w:rPr>
            </w:pPr>
            <w:r>
              <w:rPr>
                <w:rFonts w:hint="eastAsia" w:ascii="宋体" w:hAnsi="宋体"/>
                <w:szCs w:val="21"/>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8</w:t>
            </w:r>
          </w:p>
        </w:tc>
        <w:tc>
          <w:tcPr>
            <w:tcW w:w="1768" w:type="dxa"/>
            <w:vAlign w:val="center"/>
          </w:tcPr>
          <w:p>
            <w:pPr>
              <w:jc w:val="center"/>
              <w:rPr>
                <w:rFonts w:ascii="宋体" w:hAnsi="宋体"/>
                <w:szCs w:val="21"/>
              </w:rPr>
            </w:pPr>
            <w:r>
              <w:rPr>
                <w:rFonts w:hint="eastAsia" w:ascii="宋体" w:hAnsi="宋体"/>
                <w:szCs w:val="21"/>
              </w:rPr>
              <w:t>交换机</w:t>
            </w:r>
          </w:p>
        </w:tc>
        <w:tc>
          <w:tcPr>
            <w:tcW w:w="2410" w:type="dxa"/>
            <w:vAlign w:val="center"/>
          </w:tcPr>
          <w:p>
            <w:pPr>
              <w:jc w:val="center"/>
              <w:rPr>
                <w:rFonts w:ascii="宋体" w:hAnsi="宋体"/>
                <w:szCs w:val="21"/>
              </w:rPr>
            </w:pPr>
            <w:r>
              <w:rPr>
                <w:rFonts w:hint="eastAsia" w:ascii="宋体" w:hAnsi="宋体"/>
                <w:szCs w:val="21"/>
              </w:rPr>
              <w:t>24口</w:t>
            </w:r>
            <w:r>
              <w:rPr>
                <w:rFonts w:ascii="宋体" w:hAnsi="宋体"/>
                <w:szCs w:val="21"/>
              </w:rPr>
              <w:t>企业级全</w:t>
            </w:r>
            <w:r>
              <w:rPr>
                <w:rFonts w:hint="eastAsia" w:ascii="宋体" w:hAnsi="宋体"/>
                <w:szCs w:val="21"/>
              </w:rPr>
              <w:t>千</w:t>
            </w:r>
            <w:r>
              <w:rPr>
                <w:rFonts w:ascii="宋体" w:hAnsi="宋体"/>
                <w:szCs w:val="21"/>
              </w:rPr>
              <w:t>兆交换机</w:t>
            </w:r>
          </w:p>
        </w:tc>
        <w:tc>
          <w:tcPr>
            <w:tcW w:w="1701" w:type="dxa"/>
            <w:vAlign w:val="center"/>
          </w:tcPr>
          <w:p>
            <w:pPr>
              <w:spacing w:line="360" w:lineRule="auto"/>
              <w:jc w:val="center"/>
              <w:rPr>
                <w:rFonts w:ascii="宋体" w:hAnsi="宋体"/>
                <w:szCs w:val="21"/>
              </w:rPr>
            </w:pPr>
            <w:r>
              <w:rPr>
                <w:rFonts w:hint="eastAsia" w:ascii="宋体" w:hAnsi="宋体"/>
                <w:szCs w:val="21"/>
              </w:rPr>
              <w:t>1台</w:t>
            </w:r>
          </w:p>
        </w:tc>
        <w:tc>
          <w:tcPr>
            <w:tcW w:w="2660" w:type="dxa"/>
            <w:vAlign w:val="center"/>
          </w:tcPr>
          <w:p>
            <w:pPr>
              <w:spacing w:line="360" w:lineRule="auto"/>
              <w:jc w:val="center"/>
              <w:rPr>
                <w:rFonts w:ascii="宋体" w:hAnsi="宋体"/>
                <w:szCs w:val="21"/>
              </w:rPr>
            </w:pPr>
            <w:r>
              <w:rPr>
                <w:rFonts w:hint="eastAsia" w:ascii="宋体" w:hAnsi="宋体"/>
                <w:szCs w:val="21"/>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9</w:t>
            </w:r>
          </w:p>
        </w:tc>
        <w:tc>
          <w:tcPr>
            <w:tcW w:w="1768" w:type="dxa"/>
            <w:vAlign w:val="center"/>
          </w:tcPr>
          <w:p>
            <w:pPr>
              <w:jc w:val="center"/>
              <w:rPr>
                <w:rFonts w:ascii="宋体" w:hAnsi="宋体"/>
                <w:szCs w:val="21"/>
              </w:rPr>
            </w:pPr>
            <w:r>
              <w:rPr>
                <w:rFonts w:hint="eastAsia" w:ascii="宋体" w:hAnsi="宋体"/>
                <w:szCs w:val="21"/>
              </w:rPr>
              <w:t>UPS备用电源</w:t>
            </w:r>
          </w:p>
        </w:tc>
        <w:tc>
          <w:tcPr>
            <w:tcW w:w="2410" w:type="dxa"/>
            <w:vAlign w:val="center"/>
          </w:tcPr>
          <w:p>
            <w:pPr>
              <w:jc w:val="center"/>
              <w:rPr>
                <w:rFonts w:ascii="宋体" w:hAnsi="宋体"/>
                <w:szCs w:val="21"/>
              </w:rPr>
            </w:pPr>
            <w:r>
              <w:rPr>
                <w:rFonts w:hint="eastAsia" w:ascii="宋体" w:hAnsi="宋体"/>
                <w:bCs/>
                <w:szCs w:val="21"/>
              </w:rPr>
              <w:t>3KVA/2.4KW 后备电源</w:t>
            </w:r>
          </w:p>
        </w:tc>
        <w:tc>
          <w:tcPr>
            <w:tcW w:w="1701" w:type="dxa"/>
            <w:vAlign w:val="center"/>
          </w:tcPr>
          <w:p>
            <w:pPr>
              <w:spacing w:line="360" w:lineRule="auto"/>
              <w:jc w:val="center"/>
              <w:rPr>
                <w:rFonts w:ascii="宋体" w:hAnsi="宋体"/>
                <w:szCs w:val="21"/>
              </w:rPr>
            </w:pPr>
            <w:r>
              <w:rPr>
                <w:rFonts w:hint="eastAsia" w:ascii="宋体" w:hAnsi="宋体"/>
                <w:szCs w:val="21"/>
              </w:rPr>
              <w:t>1台</w:t>
            </w:r>
          </w:p>
        </w:tc>
        <w:tc>
          <w:tcPr>
            <w:tcW w:w="2660" w:type="dxa"/>
            <w:vAlign w:val="center"/>
          </w:tcPr>
          <w:p>
            <w:pPr>
              <w:spacing w:line="360" w:lineRule="auto"/>
              <w:jc w:val="center"/>
              <w:rPr>
                <w:rFonts w:ascii="宋体" w:hAnsi="宋体"/>
                <w:szCs w:val="21"/>
              </w:rPr>
            </w:pPr>
            <w:r>
              <w:rPr>
                <w:rFonts w:hint="eastAsia" w:ascii="宋体" w:hAnsi="宋体"/>
                <w:szCs w:val="21"/>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10</w:t>
            </w:r>
          </w:p>
        </w:tc>
        <w:tc>
          <w:tcPr>
            <w:tcW w:w="1768" w:type="dxa"/>
            <w:vAlign w:val="center"/>
          </w:tcPr>
          <w:p>
            <w:pPr>
              <w:spacing w:line="360" w:lineRule="auto"/>
              <w:jc w:val="center"/>
              <w:rPr>
                <w:rFonts w:ascii="宋体" w:hAnsi="宋体"/>
                <w:szCs w:val="21"/>
              </w:rPr>
            </w:pPr>
            <w:r>
              <w:rPr>
                <w:rFonts w:hint="eastAsia" w:ascii="宋体" w:hAnsi="宋体"/>
                <w:szCs w:val="21"/>
              </w:rPr>
              <w:t>机柜</w:t>
            </w:r>
          </w:p>
        </w:tc>
        <w:tc>
          <w:tcPr>
            <w:tcW w:w="2410" w:type="dxa"/>
            <w:vAlign w:val="center"/>
          </w:tcPr>
          <w:p>
            <w:pPr>
              <w:spacing w:line="360" w:lineRule="auto"/>
              <w:jc w:val="center"/>
              <w:rPr>
                <w:rFonts w:ascii="宋体" w:hAnsi="宋体"/>
                <w:bCs/>
                <w:szCs w:val="21"/>
              </w:rPr>
            </w:pPr>
            <w:r>
              <w:rPr>
                <w:rFonts w:hint="eastAsia" w:ascii="宋体" w:hAnsi="宋体"/>
                <w:bCs/>
                <w:szCs w:val="21"/>
              </w:rPr>
              <w:t>600*600*1200mm</w:t>
            </w:r>
          </w:p>
        </w:tc>
        <w:tc>
          <w:tcPr>
            <w:tcW w:w="1701" w:type="dxa"/>
            <w:vAlign w:val="center"/>
          </w:tcPr>
          <w:p>
            <w:pPr>
              <w:spacing w:line="360" w:lineRule="auto"/>
              <w:jc w:val="center"/>
              <w:rPr>
                <w:rFonts w:ascii="宋体" w:hAnsi="宋体"/>
                <w:szCs w:val="21"/>
              </w:rPr>
            </w:pPr>
            <w:r>
              <w:rPr>
                <w:rFonts w:hint="eastAsia" w:ascii="宋体" w:hAnsi="宋体"/>
                <w:szCs w:val="21"/>
              </w:rPr>
              <w:t>1台</w:t>
            </w:r>
          </w:p>
        </w:tc>
        <w:tc>
          <w:tcPr>
            <w:tcW w:w="2660" w:type="dxa"/>
            <w:vAlign w:val="center"/>
          </w:tcPr>
          <w:p>
            <w:pPr>
              <w:spacing w:line="360" w:lineRule="auto"/>
              <w:jc w:val="center"/>
              <w:rPr>
                <w:rFonts w:ascii="宋体" w:hAnsi="宋体"/>
                <w:szCs w:val="21"/>
              </w:rPr>
            </w:pPr>
            <w:r>
              <w:rPr>
                <w:rFonts w:hint="eastAsia" w:ascii="宋体" w:hAnsi="宋体"/>
                <w:szCs w:val="21"/>
              </w:rPr>
              <w:t>详见参数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3" w:type="dxa"/>
            <w:vAlign w:val="center"/>
          </w:tcPr>
          <w:p>
            <w:pPr>
              <w:spacing w:line="360" w:lineRule="auto"/>
              <w:jc w:val="center"/>
              <w:rPr>
                <w:rFonts w:ascii="宋体" w:hAnsi="宋体"/>
                <w:szCs w:val="21"/>
              </w:rPr>
            </w:pPr>
            <w:r>
              <w:rPr>
                <w:rFonts w:hint="eastAsia" w:ascii="宋体" w:hAnsi="宋体"/>
                <w:szCs w:val="21"/>
              </w:rPr>
              <w:t>11</w:t>
            </w:r>
          </w:p>
        </w:tc>
        <w:tc>
          <w:tcPr>
            <w:tcW w:w="1768" w:type="dxa"/>
            <w:vAlign w:val="center"/>
          </w:tcPr>
          <w:p>
            <w:pPr>
              <w:spacing w:line="360" w:lineRule="auto"/>
              <w:jc w:val="center"/>
              <w:rPr>
                <w:rFonts w:ascii="宋体" w:hAnsi="宋体"/>
                <w:szCs w:val="21"/>
              </w:rPr>
            </w:pPr>
            <w:r>
              <w:rPr>
                <w:rFonts w:hint="eastAsia" w:ascii="宋体" w:hAnsi="宋体"/>
                <w:szCs w:val="21"/>
              </w:rPr>
              <w:t>擦枪台</w:t>
            </w:r>
          </w:p>
        </w:tc>
        <w:tc>
          <w:tcPr>
            <w:tcW w:w="2410" w:type="dxa"/>
            <w:vAlign w:val="center"/>
          </w:tcPr>
          <w:p>
            <w:pPr>
              <w:spacing w:line="360" w:lineRule="auto"/>
              <w:jc w:val="center"/>
              <w:rPr>
                <w:rFonts w:ascii="宋体" w:hAnsi="宋体"/>
                <w:bCs/>
                <w:szCs w:val="21"/>
              </w:rPr>
            </w:pPr>
            <w:r>
              <w:rPr>
                <w:rFonts w:hint="eastAsia" w:ascii="宋体" w:hAnsi="宋体"/>
                <w:szCs w:val="21"/>
              </w:rPr>
              <w:t>1500*600*800mm</w:t>
            </w:r>
          </w:p>
        </w:tc>
        <w:tc>
          <w:tcPr>
            <w:tcW w:w="1701" w:type="dxa"/>
            <w:vAlign w:val="center"/>
          </w:tcPr>
          <w:p>
            <w:pPr>
              <w:spacing w:line="360" w:lineRule="auto"/>
              <w:jc w:val="center"/>
              <w:rPr>
                <w:rFonts w:ascii="宋体" w:hAnsi="宋体"/>
                <w:szCs w:val="21"/>
              </w:rPr>
            </w:pPr>
            <w:r>
              <w:rPr>
                <w:rFonts w:hint="eastAsia" w:ascii="宋体" w:hAnsi="宋体"/>
                <w:szCs w:val="21"/>
              </w:rPr>
              <w:t>1台</w:t>
            </w:r>
          </w:p>
        </w:tc>
        <w:tc>
          <w:tcPr>
            <w:tcW w:w="2660" w:type="dxa"/>
            <w:vAlign w:val="center"/>
          </w:tcPr>
          <w:p>
            <w:pPr>
              <w:spacing w:line="360" w:lineRule="auto"/>
              <w:jc w:val="center"/>
              <w:rPr>
                <w:rFonts w:ascii="宋体" w:hAnsi="宋体"/>
                <w:szCs w:val="21"/>
              </w:rPr>
            </w:pPr>
            <w:r>
              <w:rPr>
                <w:rFonts w:hint="eastAsia" w:ascii="宋体" w:hAnsi="宋体"/>
                <w:szCs w:val="21"/>
              </w:rPr>
              <w:t>详见参数</w:t>
            </w:r>
          </w:p>
        </w:tc>
      </w:tr>
    </w:tbl>
    <w:p>
      <w:pPr>
        <w:rPr>
          <w:rFonts w:ascii="仿宋" w:hAnsi="仿宋" w:eastAsia="仿宋" w:cs="仿宋"/>
          <w:snapToGrid w:val="0"/>
          <w:color w:val="000000"/>
          <w:kern w:val="0"/>
          <w:sz w:val="24"/>
          <w:szCs w:val="24"/>
        </w:rPr>
      </w:pPr>
    </w:p>
    <w:p>
      <w:pPr>
        <w:pStyle w:val="5"/>
        <w:adjustRightInd w:val="0"/>
        <w:snapToGrid w:val="0"/>
        <w:spacing w:before="0" w:after="0" w:line="400" w:lineRule="exact"/>
        <w:jc w:val="left"/>
        <w:rPr>
          <w:rFonts w:ascii="宋体" w:hAnsi="宋体"/>
          <w:sz w:val="30"/>
          <w:szCs w:val="30"/>
        </w:rPr>
      </w:pPr>
      <w:bookmarkStart w:id="71" w:name="_Toc10406393"/>
      <w:bookmarkStart w:id="72" w:name="_Toc17539283"/>
      <w:bookmarkStart w:id="73" w:name="_Toc26741882"/>
      <w:bookmarkStart w:id="74" w:name="_Toc34984026"/>
      <w:r>
        <w:rPr>
          <w:rFonts w:hint="eastAsia" w:ascii="仿宋" w:hAnsi="仿宋" w:eastAsia="仿宋" w:cs="仿宋"/>
          <w:snapToGrid w:val="0"/>
          <w:kern w:val="0"/>
          <w:sz w:val="24"/>
          <w:szCs w:val="24"/>
        </w:rPr>
        <w:t>二、</w:t>
      </w:r>
      <w:bookmarkEnd w:id="71"/>
      <w:bookmarkEnd w:id="72"/>
      <w:r>
        <w:rPr>
          <w:rFonts w:hint="eastAsia" w:ascii="仿宋" w:hAnsi="仿宋" w:eastAsia="仿宋" w:cs="仿宋"/>
          <w:snapToGrid w:val="0"/>
          <w:kern w:val="0"/>
          <w:sz w:val="24"/>
          <w:szCs w:val="24"/>
        </w:rPr>
        <w:t>技术参数及要求</w:t>
      </w:r>
      <w:bookmarkEnd w:id="73"/>
      <w:bookmarkEnd w:id="74"/>
    </w:p>
    <w:p>
      <w:pPr>
        <w:spacing w:line="360" w:lineRule="auto"/>
        <w:rPr>
          <w:rFonts w:ascii="仿宋" w:hAnsi="仿宋" w:eastAsia="仿宋" w:cs="仿宋"/>
          <w:b/>
          <w:bCs/>
          <w:snapToGrid w:val="0"/>
          <w:kern w:val="0"/>
          <w:sz w:val="24"/>
          <w:szCs w:val="24"/>
        </w:rPr>
      </w:pPr>
      <w:bookmarkStart w:id="75" w:name="_Toc26741883"/>
      <w:bookmarkStart w:id="76" w:name="_Toc17539285"/>
      <w:bookmarkStart w:id="77" w:name="_Toc10406395"/>
      <w:bookmarkStart w:id="78" w:name="_Toc34984027"/>
      <w:r>
        <w:rPr>
          <w:rFonts w:hint="eastAsia" w:ascii="仿宋" w:hAnsi="仿宋" w:eastAsia="仿宋" w:cs="仿宋"/>
          <w:b/>
          <w:bCs/>
          <w:snapToGrid w:val="0"/>
          <w:kern w:val="0"/>
          <w:sz w:val="24"/>
          <w:szCs w:val="24"/>
        </w:rPr>
        <w:t>(一)智能枪（弹）柜主要技术参数和功能配置要求</w:t>
      </w:r>
    </w:p>
    <w:tbl>
      <w:tblPr>
        <w:tblStyle w:val="15"/>
        <w:tblW w:w="5054" w:type="pct"/>
        <w:jc w:val="center"/>
        <w:tblLayout w:type="autofit"/>
        <w:tblCellMar>
          <w:top w:w="0" w:type="dxa"/>
          <w:left w:w="108" w:type="dxa"/>
          <w:bottom w:w="0" w:type="dxa"/>
          <w:right w:w="108" w:type="dxa"/>
        </w:tblCellMar>
      </w:tblPr>
      <w:tblGrid>
        <w:gridCol w:w="600"/>
        <w:gridCol w:w="1197"/>
        <w:gridCol w:w="8163"/>
      </w:tblGrid>
      <w:tr>
        <w:tblPrEx>
          <w:tblCellMar>
            <w:top w:w="0" w:type="dxa"/>
            <w:left w:w="108" w:type="dxa"/>
            <w:bottom w:w="0" w:type="dxa"/>
            <w:right w:w="108" w:type="dxa"/>
          </w:tblCellMar>
        </w:tblPrEx>
        <w:trPr>
          <w:trHeight w:val="164" w:hRule="atLeast"/>
          <w:jc w:val="center"/>
        </w:trPr>
        <w:tc>
          <w:tcPr>
            <w:tcW w:w="301" w:type="pct"/>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r>
              <w:rPr>
                <w:rFonts w:hint="eastAsia" w:ascii="宋体" w:hAnsi="宋体"/>
                <w:b/>
                <w:bCs/>
                <w:szCs w:val="21"/>
              </w:rPr>
              <w:t>序号</w:t>
            </w:r>
          </w:p>
        </w:tc>
        <w:tc>
          <w:tcPr>
            <w:tcW w:w="601" w:type="pct"/>
            <w:tcBorders>
              <w:top w:val="single" w:color="auto" w:sz="4" w:space="0"/>
              <w:left w:val="nil"/>
              <w:bottom w:val="single" w:color="auto" w:sz="4" w:space="0"/>
              <w:right w:val="single" w:color="auto" w:sz="4" w:space="0"/>
            </w:tcBorders>
            <w:vAlign w:val="center"/>
          </w:tcPr>
          <w:p>
            <w:pPr>
              <w:spacing w:line="276" w:lineRule="auto"/>
              <w:rPr>
                <w:rFonts w:ascii="宋体" w:hAnsi="宋体"/>
                <w:b/>
                <w:bCs/>
                <w:szCs w:val="21"/>
              </w:rPr>
            </w:pPr>
            <w:r>
              <w:rPr>
                <w:rFonts w:hint="eastAsia" w:ascii="宋体" w:hAnsi="宋体"/>
                <w:b/>
                <w:bCs/>
                <w:szCs w:val="21"/>
              </w:rPr>
              <w:t>货物名称</w:t>
            </w:r>
          </w:p>
        </w:tc>
        <w:tc>
          <w:tcPr>
            <w:tcW w:w="4097" w:type="pct"/>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b/>
                <w:bCs/>
                <w:szCs w:val="21"/>
              </w:rPr>
            </w:pPr>
            <w:r>
              <w:rPr>
                <w:rFonts w:hint="eastAsia" w:ascii="宋体" w:hAnsi="宋体"/>
                <w:b/>
                <w:bCs/>
                <w:szCs w:val="21"/>
              </w:rPr>
              <w:t>主要技术参数</w:t>
            </w:r>
          </w:p>
        </w:tc>
      </w:tr>
      <w:tr>
        <w:tblPrEx>
          <w:tblCellMar>
            <w:top w:w="0" w:type="dxa"/>
            <w:left w:w="108" w:type="dxa"/>
            <w:bottom w:w="0" w:type="dxa"/>
            <w:right w:w="108" w:type="dxa"/>
          </w:tblCellMar>
        </w:tblPrEx>
        <w:trPr>
          <w:trHeight w:val="164" w:hRule="atLeast"/>
          <w:jc w:val="center"/>
        </w:trPr>
        <w:tc>
          <w:tcPr>
            <w:tcW w:w="301" w:type="pct"/>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1</w:t>
            </w:r>
          </w:p>
        </w:tc>
        <w:tc>
          <w:tcPr>
            <w:tcW w:w="601" w:type="pct"/>
            <w:tcBorders>
              <w:top w:val="single" w:color="auto" w:sz="4" w:space="0"/>
              <w:left w:val="nil"/>
              <w:bottom w:val="single" w:color="auto" w:sz="4" w:space="0"/>
              <w:right w:val="single" w:color="auto" w:sz="4" w:space="0"/>
            </w:tcBorders>
            <w:vAlign w:val="center"/>
          </w:tcPr>
          <w:p>
            <w:pPr>
              <w:pStyle w:val="31"/>
              <w:spacing w:line="276" w:lineRule="auto"/>
              <w:rPr>
                <w:rFonts w:ascii="宋体" w:hAnsi="宋体"/>
                <w:kern w:val="2"/>
                <w:sz w:val="21"/>
                <w:szCs w:val="21"/>
              </w:rPr>
            </w:pPr>
            <w:r>
              <w:rPr>
                <w:rFonts w:hint="eastAsia" w:ascii="宋体" w:hAnsi="宋体"/>
                <w:kern w:val="2"/>
                <w:sz w:val="21"/>
                <w:szCs w:val="21"/>
              </w:rPr>
              <w:t>智能枪（弹）柜</w:t>
            </w:r>
          </w:p>
        </w:tc>
        <w:tc>
          <w:tcPr>
            <w:tcW w:w="4097" w:type="pct"/>
            <w:tcBorders>
              <w:top w:val="single" w:color="auto" w:sz="4" w:space="0"/>
              <w:left w:val="nil"/>
              <w:bottom w:val="single" w:color="auto" w:sz="4" w:space="0"/>
              <w:right w:val="single" w:color="auto" w:sz="4" w:space="0"/>
            </w:tcBorders>
            <w:vAlign w:val="center"/>
          </w:tcPr>
          <w:p>
            <w:pPr>
              <w:pStyle w:val="31"/>
              <w:spacing w:line="276" w:lineRule="auto"/>
              <w:rPr>
                <w:rFonts w:ascii="宋体" w:hAnsi="宋体"/>
                <w:kern w:val="2"/>
                <w:sz w:val="21"/>
                <w:szCs w:val="21"/>
              </w:rPr>
            </w:pPr>
            <w:r>
              <w:rPr>
                <w:rFonts w:hint="eastAsia" w:ascii="宋体" w:hAnsi="宋体"/>
                <w:kern w:val="2"/>
                <w:sz w:val="21"/>
                <w:szCs w:val="21"/>
              </w:rPr>
              <w:t>1、规格≤W1000*D500*H1800mm；</w:t>
            </w:r>
          </w:p>
          <w:p>
            <w:pPr>
              <w:pStyle w:val="31"/>
              <w:spacing w:line="276" w:lineRule="auto"/>
              <w:rPr>
                <w:rFonts w:ascii="宋体" w:hAnsi="宋体"/>
                <w:kern w:val="2"/>
                <w:sz w:val="21"/>
                <w:szCs w:val="21"/>
              </w:rPr>
            </w:pPr>
            <w:r>
              <w:rPr>
                <w:rFonts w:hint="eastAsia" w:ascii="宋体" w:hAnsi="宋体"/>
                <w:kern w:val="2"/>
                <w:sz w:val="21"/>
                <w:szCs w:val="21"/>
              </w:rPr>
              <w:t>2、</w:t>
            </w:r>
            <w:r>
              <w:rPr>
                <w:rFonts w:hint="eastAsia" w:ascii="宋体" w:hAnsi="宋体" w:cs="宋体"/>
                <w:kern w:val="2"/>
                <w:sz w:val="21"/>
                <w:szCs w:val="21"/>
              </w:rPr>
              <w:t>内存放数量详见采购清单</w:t>
            </w:r>
            <w:r>
              <w:rPr>
                <w:rFonts w:hint="eastAsia" w:ascii="宋体" w:hAnsi="宋体"/>
                <w:kern w:val="2"/>
                <w:sz w:val="21"/>
                <w:szCs w:val="21"/>
              </w:rPr>
              <w:t>。</w:t>
            </w:r>
          </w:p>
          <w:p>
            <w:pPr>
              <w:pStyle w:val="31"/>
              <w:spacing w:line="276" w:lineRule="auto"/>
              <w:rPr>
                <w:rFonts w:ascii="宋体" w:hAnsi="宋体"/>
                <w:kern w:val="2"/>
                <w:sz w:val="21"/>
                <w:szCs w:val="21"/>
              </w:rPr>
            </w:pPr>
            <w:r>
              <w:rPr>
                <w:rFonts w:hint="eastAsia" w:ascii="宋体" w:hAnsi="宋体"/>
                <w:kern w:val="2"/>
                <w:sz w:val="21"/>
                <w:szCs w:val="21"/>
              </w:rPr>
              <w:t>3、柜门配置2把机械防盗锁(应急锁)和1套智能枪（弹）柜嵌入式控制系统，12寸电容式触摸屏,触摸屏面板集成活体指静脉、声纹识别、语音提示、微型摄像头、能识别身份的非吹气式酒精测试模块，柜门上设有柜门开、关状态指示灯。</w:t>
            </w:r>
          </w:p>
          <w:p>
            <w:pPr>
              <w:pStyle w:val="31"/>
              <w:spacing w:line="276" w:lineRule="auto"/>
              <w:rPr>
                <w:rFonts w:ascii="宋体" w:hAnsi="宋体"/>
                <w:bCs/>
                <w:kern w:val="2"/>
                <w:sz w:val="21"/>
                <w:szCs w:val="21"/>
              </w:rPr>
            </w:pPr>
            <w:r>
              <w:rPr>
                <w:rFonts w:hint="eastAsia" w:ascii="宋体" w:hAnsi="宋体"/>
                <w:kern w:val="2"/>
                <w:sz w:val="21"/>
                <w:szCs w:val="21"/>
              </w:rPr>
              <w:t>4、柜体采用优质低碳合金高强度结构钢板，门板料厚≥10mm，柜体料厚≥6mm，防破坏等级达到I级以上；智能枪（弹）柜采用联动互锁双开门（不是简单的主门压住副门边，而是主门锁栓和副门4个天地锁栓互锁）；柜体主门≧9点门锁栓(锁栓直径≥</w:t>
            </w:r>
            <w:r>
              <w:rPr>
                <w:rFonts w:hint="eastAsia" w:ascii="宋体" w:hAnsi="宋体" w:cs="宋体"/>
                <w:kern w:val="2"/>
                <w:sz w:val="21"/>
                <w:szCs w:val="21"/>
              </w:rPr>
              <w:t>Ф</w:t>
            </w:r>
            <w:r>
              <w:rPr>
                <w:rFonts w:hint="eastAsia" w:ascii="宋体" w:hAnsi="宋体"/>
                <w:kern w:val="2"/>
                <w:sz w:val="21"/>
                <w:szCs w:val="21"/>
              </w:rPr>
              <w:t>30mm,必须有4 个天地锁栓）。</w:t>
            </w:r>
          </w:p>
          <w:p>
            <w:pPr>
              <w:pStyle w:val="31"/>
              <w:spacing w:line="276" w:lineRule="auto"/>
              <w:rPr>
                <w:rFonts w:ascii="宋体" w:hAnsi="宋体"/>
                <w:bCs/>
                <w:kern w:val="2"/>
                <w:sz w:val="21"/>
                <w:szCs w:val="21"/>
              </w:rPr>
            </w:pPr>
            <w:r>
              <w:rPr>
                <w:rFonts w:hint="eastAsia" w:ascii="宋体" w:hAnsi="宋体"/>
                <w:kern w:val="2"/>
                <w:sz w:val="21"/>
                <w:szCs w:val="21"/>
              </w:rPr>
              <w:t>5、柜门采用内门铰和不锈钢大力矩手柄，提高柜门锁机构防撬防破坏能力。</w:t>
            </w:r>
          </w:p>
          <w:p>
            <w:pPr>
              <w:pStyle w:val="31"/>
              <w:spacing w:line="276" w:lineRule="auto"/>
              <w:rPr>
                <w:rFonts w:ascii="宋体" w:hAnsi="宋体"/>
                <w:bCs/>
                <w:kern w:val="2"/>
                <w:sz w:val="21"/>
                <w:szCs w:val="21"/>
              </w:rPr>
            </w:pPr>
            <w:r>
              <w:rPr>
                <w:rFonts w:hint="eastAsia" w:ascii="宋体" w:hAnsi="宋体"/>
                <w:kern w:val="2"/>
                <w:sz w:val="21"/>
                <w:szCs w:val="21"/>
              </w:rPr>
              <w:t>6、柜门具有柜门启闭检测和机械方式解锁检测功能的柜门主锁，支持电控方式和机械方式的上锁/解锁。柜门机械应急锁采用高安全锁具（机械钥匙采用GA标志机械钥匙，不得采用简单的一字锁机械钥匙）。柜内内衬优质毛毯；柜体配有脚轮，采用高承重能力的工程塑料万向轮，并带有锁紧固定装置。</w:t>
            </w:r>
          </w:p>
          <w:p>
            <w:pPr>
              <w:pStyle w:val="31"/>
              <w:spacing w:line="276" w:lineRule="auto"/>
              <w:rPr>
                <w:rFonts w:ascii="宋体" w:hAnsi="宋体"/>
                <w:b/>
                <w:kern w:val="2"/>
                <w:sz w:val="21"/>
                <w:szCs w:val="21"/>
              </w:rPr>
            </w:pPr>
            <w:r>
              <w:rPr>
                <w:rFonts w:hint="eastAsia" w:ascii="宋体" w:hAnsi="宋体"/>
                <w:kern w:val="2"/>
                <w:sz w:val="21"/>
                <w:szCs w:val="21"/>
              </w:rPr>
              <w:t>7、控制系统防黑、防毒能力强，反应速度快，采用工业级ARM嵌入式控制板（不是X86架构主机），ARM主板CPU采用不低于1.8GHZ的四核cortexA17芯片，操作系统采用定制linux系统不得采用windows系统。</w:t>
            </w:r>
          </w:p>
          <w:p>
            <w:pPr>
              <w:spacing w:line="276" w:lineRule="auto"/>
              <w:ind w:right="4"/>
              <w:rPr>
                <w:rFonts w:ascii="宋体" w:hAnsi="宋体"/>
                <w:b/>
                <w:bCs/>
                <w:szCs w:val="21"/>
              </w:rPr>
            </w:pPr>
            <w:r>
              <w:rPr>
                <w:rFonts w:hint="eastAsia" w:ascii="宋体" w:hAnsi="宋体"/>
                <w:szCs w:val="21"/>
              </w:rPr>
              <w:t>7.1、可在触摸式液晶显示屏上显示“linux 3.10.0”的系统信息。</w:t>
            </w:r>
          </w:p>
          <w:p>
            <w:pPr>
              <w:pStyle w:val="31"/>
              <w:spacing w:line="276" w:lineRule="auto"/>
              <w:rPr>
                <w:rFonts w:ascii="宋体" w:hAnsi="宋体"/>
                <w:kern w:val="2"/>
                <w:sz w:val="21"/>
                <w:szCs w:val="21"/>
              </w:rPr>
            </w:pPr>
            <w:r>
              <w:rPr>
                <w:rFonts w:hint="eastAsia" w:ascii="宋体" w:hAnsi="宋体"/>
                <w:kern w:val="2"/>
                <w:sz w:val="21"/>
                <w:szCs w:val="21"/>
              </w:rPr>
              <w:t>8、采用交流220V-250V供电, 配置漏电保护电源线，发生漏电时能自动断电；柜体内部自带备用电源，在市电切断的情况下自动切换至备用电源工作，切换期间电子线路系统应正常工作；备用电源可供系统正常运行8小时以上。</w:t>
            </w:r>
          </w:p>
          <w:p>
            <w:pPr>
              <w:pStyle w:val="31"/>
              <w:spacing w:line="276" w:lineRule="auto"/>
              <w:rPr>
                <w:rFonts w:ascii="宋体" w:hAnsi="宋体"/>
                <w:kern w:val="2"/>
                <w:sz w:val="21"/>
                <w:szCs w:val="21"/>
              </w:rPr>
            </w:pPr>
            <w:r>
              <w:rPr>
                <w:rFonts w:hint="eastAsia" w:ascii="宋体" w:hAnsi="宋体"/>
                <w:kern w:val="2"/>
                <w:sz w:val="21"/>
                <w:szCs w:val="21"/>
              </w:rPr>
              <w:t>9、柜体操作面板为电容式彩色液晶触摸屏及电控设备，分辨率≧1024*768。</w:t>
            </w:r>
          </w:p>
          <w:p>
            <w:pPr>
              <w:pStyle w:val="31"/>
              <w:spacing w:line="276" w:lineRule="auto"/>
              <w:rPr>
                <w:rFonts w:ascii="宋体" w:hAnsi="宋体"/>
                <w:b/>
                <w:kern w:val="2"/>
                <w:sz w:val="21"/>
                <w:szCs w:val="21"/>
              </w:rPr>
            </w:pPr>
            <w:r>
              <w:rPr>
                <w:rFonts w:hint="eastAsia" w:ascii="宋体" w:hAnsi="宋体"/>
                <w:kern w:val="2"/>
                <w:sz w:val="21"/>
                <w:szCs w:val="21"/>
              </w:rPr>
              <w:t>10、柜体操作面板自带活体指静脉、声纹识别模块，指静脉识别失效的情况下可通过声纹进行身份验证开锁,互为备用，杜绝使用IC卡或密码备用开门，保证系统安全。采用指静脉生物识别技术，比对时间&lt;1秒,</w:t>
            </w:r>
            <w:r>
              <w:rPr>
                <w:rFonts w:hint="eastAsia" w:ascii="宋体" w:hAnsi="宋体" w:cs="Verdana"/>
                <w:kern w:val="2"/>
                <w:sz w:val="21"/>
                <w:szCs w:val="21"/>
              </w:rPr>
              <w:t>FRR（拒真率）小于0.01%，FAR（认假率）小于0.0001%</w:t>
            </w:r>
            <w:r>
              <w:rPr>
                <w:rFonts w:hint="eastAsia" w:ascii="宋体" w:hAnsi="宋体"/>
                <w:kern w:val="2"/>
                <w:sz w:val="21"/>
                <w:szCs w:val="21"/>
              </w:rPr>
              <w:t>。指静脉信息存放在枪柜系统中，同时备份存放于服务器上，两者要实现同步。其他生物识别符合国家相关标准。</w:t>
            </w:r>
            <w:r>
              <w:rPr>
                <w:rFonts w:hint="eastAsia" w:ascii="宋体" w:hAnsi="宋体"/>
                <w:b/>
                <w:kern w:val="2"/>
                <w:sz w:val="21"/>
                <w:szCs w:val="21"/>
              </w:rPr>
              <w:t>（样品验证）</w:t>
            </w:r>
          </w:p>
          <w:p>
            <w:pPr>
              <w:pStyle w:val="31"/>
              <w:spacing w:line="276" w:lineRule="auto"/>
              <w:rPr>
                <w:rFonts w:ascii="宋体" w:hAnsi="宋体"/>
                <w:bCs/>
                <w:kern w:val="2"/>
                <w:sz w:val="21"/>
                <w:szCs w:val="21"/>
              </w:rPr>
            </w:pPr>
            <w:r>
              <w:rPr>
                <w:rFonts w:hint="eastAsia" w:ascii="宋体" w:hAnsi="宋体"/>
                <w:kern w:val="2"/>
                <w:sz w:val="21"/>
                <w:szCs w:val="21"/>
              </w:rPr>
              <w:t>▲</w:t>
            </w:r>
            <w:r>
              <w:rPr>
                <w:rFonts w:hint="eastAsia" w:ascii="宋体" w:hAnsi="宋体"/>
                <w:b/>
                <w:kern w:val="2"/>
                <w:sz w:val="21"/>
                <w:szCs w:val="21"/>
              </w:rPr>
              <w:t>10.1</w:t>
            </w:r>
            <w:r>
              <w:rPr>
                <w:rFonts w:hint="eastAsia" w:ascii="宋体" w:hAnsi="宋体"/>
                <w:bCs/>
                <w:kern w:val="2"/>
                <w:sz w:val="21"/>
                <w:szCs w:val="21"/>
              </w:rPr>
              <w:t>具备声纹识别开锁功能。</w:t>
            </w:r>
          </w:p>
          <w:p>
            <w:pPr>
              <w:pStyle w:val="31"/>
              <w:spacing w:line="276" w:lineRule="auto"/>
              <w:rPr>
                <w:rFonts w:ascii="宋体" w:hAnsi="宋体"/>
                <w:b/>
                <w:bCs/>
                <w:kern w:val="2"/>
                <w:sz w:val="21"/>
                <w:szCs w:val="21"/>
              </w:rPr>
            </w:pPr>
            <w:r>
              <w:rPr>
                <w:rFonts w:hint="eastAsia" w:ascii="宋体" w:hAnsi="宋体"/>
                <w:b/>
                <w:kern w:val="2"/>
                <w:sz w:val="21"/>
                <w:szCs w:val="21"/>
              </w:rPr>
              <w:t>▲10.2</w:t>
            </w:r>
            <w:r>
              <w:rPr>
                <w:rFonts w:hint="eastAsia" w:ascii="宋体" w:hAnsi="宋体"/>
                <w:b/>
                <w:bCs/>
                <w:kern w:val="2"/>
                <w:sz w:val="21"/>
                <w:szCs w:val="21"/>
              </w:rPr>
              <w:t>可通过智能柜内置麦克风采集现场声音。</w:t>
            </w:r>
          </w:p>
          <w:p>
            <w:pPr>
              <w:pStyle w:val="31"/>
              <w:spacing w:line="276" w:lineRule="auto"/>
              <w:rPr>
                <w:rFonts w:ascii="宋体" w:hAnsi="宋体"/>
                <w:b/>
                <w:bCs/>
                <w:kern w:val="2"/>
                <w:sz w:val="21"/>
                <w:szCs w:val="21"/>
              </w:rPr>
            </w:pPr>
            <w:r>
              <w:rPr>
                <w:rFonts w:hint="eastAsia" w:ascii="宋体" w:hAnsi="宋体"/>
                <w:b/>
                <w:kern w:val="2"/>
                <w:sz w:val="21"/>
                <w:szCs w:val="21"/>
              </w:rPr>
              <w:t>▲10.3</w:t>
            </w:r>
            <w:r>
              <w:rPr>
                <w:rFonts w:hint="eastAsia" w:ascii="宋体" w:hAnsi="宋体"/>
                <w:b/>
                <w:bCs/>
                <w:kern w:val="2"/>
                <w:sz w:val="21"/>
                <w:szCs w:val="21"/>
              </w:rPr>
              <w:t>可通过手机扫描触摸显示屏上的二维码生成授权开锁的动态密码进行开锁。</w:t>
            </w:r>
          </w:p>
          <w:p>
            <w:pPr>
              <w:pStyle w:val="31"/>
              <w:spacing w:line="276" w:lineRule="auto"/>
              <w:rPr>
                <w:rFonts w:ascii="宋体" w:hAnsi="宋体"/>
                <w:b/>
                <w:bCs/>
                <w:kern w:val="2"/>
                <w:sz w:val="21"/>
                <w:szCs w:val="21"/>
              </w:rPr>
            </w:pPr>
            <w:r>
              <w:rPr>
                <w:rFonts w:hint="eastAsia" w:ascii="宋体" w:hAnsi="宋体"/>
                <w:b/>
                <w:kern w:val="2"/>
                <w:sz w:val="21"/>
                <w:szCs w:val="21"/>
              </w:rPr>
              <w:t>▲10.4</w:t>
            </w:r>
            <w:r>
              <w:rPr>
                <w:rFonts w:hint="eastAsia" w:ascii="宋体" w:hAnsi="宋体"/>
                <w:b/>
                <w:bCs/>
                <w:kern w:val="2"/>
                <w:sz w:val="21"/>
                <w:szCs w:val="21"/>
              </w:rPr>
              <w:t>在无环境噪声干扰的情况下，可通过语音方式查询智能柜内枪支/弹药是否在位。</w:t>
            </w:r>
          </w:p>
          <w:p>
            <w:pPr>
              <w:pStyle w:val="31"/>
              <w:spacing w:line="276" w:lineRule="auto"/>
              <w:rPr>
                <w:rFonts w:ascii="宋体" w:hAnsi="宋体"/>
                <w:b/>
                <w:kern w:val="2"/>
                <w:sz w:val="21"/>
                <w:szCs w:val="21"/>
              </w:rPr>
            </w:pPr>
            <w:r>
              <w:rPr>
                <w:rFonts w:hint="eastAsia" w:ascii="宋体" w:hAnsi="宋体"/>
                <w:b/>
                <w:bCs/>
                <w:kern w:val="2"/>
                <w:sz w:val="21"/>
                <w:szCs w:val="21"/>
              </w:rPr>
              <w:t>11、</w:t>
            </w:r>
            <w:r>
              <w:rPr>
                <w:rFonts w:hint="eastAsia" w:ascii="宋体" w:hAnsi="宋体"/>
                <w:kern w:val="2"/>
                <w:sz w:val="21"/>
                <w:szCs w:val="21"/>
              </w:rPr>
              <w:t>柜体操作面板自带声纹身份识别的声纹酒精测试（能识别身份的非吹气式酒精测试），系统必须有语音提示酒精测试是否通过，当检测到的酒精浓度超过设定的阈值时，触摸屏上软件界面应由枪支弹药领取界面自动返回至主界面，系统同时记录酒精浓度超标人身份。做到既认气体浓度又认人，防止非领枪人代替进行酒精测试。</w:t>
            </w:r>
            <w:r>
              <w:rPr>
                <w:rFonts w:hint="eastAsia" w:ascii="宋体" w:hAnsi="宋体"/>
                <w:b/>
                <w:kern w:val="2"/>
                <w:sz w:val="21"/>
                <w:szCs w:val="21"/>
              </w:rPr>
              <w:t>（样品验证）</w:t>
            </w:r>
          </w:p>
          <w:p>
            <w:pPr>
              <w:spacing w:line="276" w:lineRule="auto"/>
              <w:ind w:right="4"/>
              <w:rPr>
                <w:rFonts w:ascii="宋体"/>
                <w:szCs w:val="21"/>
              </w:rPr>
            </w:pPr>
            <w:r>
              <w:rPr>
                <w:rFonts w:hint="eastAsia" w:ascii="宋体" w:hAnsi="宋体"/>
                <w:szCs w:val="21"/>
              </w:rPr>
              <w:t>▲</w:t>
            </w:r>
            <w:r>
              <w:rPr>
                <w:rFonts w:hint="eastAsia" w:ascii="宋体" w:hAnsi="宋体"/>
                <w:b/>
                <w:bCs/>
                <w:szCs w:val="21"/>
              </w:rPr>
              <w:t>11.1</w:t>
            </w:r>
            <w:r>
              <w:rPr>
                <w:rFonts w:hint="eastAsia" w:ascii="宋体" w:hAnsi="宋体"/>
                <w:szCs w:val="21"/>
              </w:rPr>
              <w:t>柜体操作面板自带声纹识别的酒精检测锁具功能（能识别身份的非吹气式酒精测试），酒精检测锁具在采集声音的同时验证声音来源的酒精含量，酒精含量超过预设值则无法打开锁具。</w:t>
            </w:r>
          </w:p>
          <w:p>
            <w:pPr>
              <w:pStyle w:val="31"/>
              <w:widowControl w:val="0"/>
              <w:numPr>
                <w:ilvl w:val="0"/>
                <w:numId w:val="1"/>
              </w:numPr>
              <w:spacing w:line="276" w:lineRule="auto"/>
              <w:jc w:val="both"/>
              <w:rPr>
                <w:rFonts w:ascii="宋体" w:hAnsi="宋体"/>
                <w:b/>
                <w:kern w:val="2"/>
                <w:sz w:val="21"/>
                <w:szCs w:val="21"/>
              </w:rPr>
            </w:pPr>
            <w:r>
              <w:rPr>
                <w:rFonts w:hint="eastAsia" w:ascii="宋体" w:hAnsi="宋体"/>
                <w:kern w:val="2"/>
                <w:sz w:val="21"/>
                <w:szCs w:val="21"/>
              </w:rPr>
              <w:t>柜体自带视频图像监控模块，提供柜体操作抓拍图像信息给管理平台。</w:t>
            </w:r>
          </w:p>
          <w:p>
            <w:pPr>
              <w:pStyle w:val="31"/>
              <w:spacing w:line="276" w:lineRule="auto"/>
              <w:rPr>
                <w:rFonts w:ascii="宋体" w:hAnsi="宋体"/>
                <w:kern w:val="2"/>
                <w:sz w:val="21"/>
                <w:szCs w:val="21"/>
              </w:rPr>
            </w:pPr>
            <w:r>
              <w:rPr>
                <w:rFonts w:hint="eastAsia" w:ascii="宋体" w:hAnsi="宋体"/>
                <w:kern w:val="2"/>
                <w:sz w:val="21"/>
                <w:szCs w:val="21"/>
              </w:rPr>
              <w:t>▲</w:t>
            </w:r>
            <w:r>
              <w:rPr>
                <w:rFonts w:hint="eastAsia" w:ascii="宋体" w:hAnsi="宋体"/>
                <w:b/>
                <w:bCs/>
                <w:kern w:val="2"/>
                <w:sz w:val="21"/>
                <w:szCs w:val="21"/>
              </w:rPr>
              <w:t>12.1</w:t>
            </w:r>
            <w:r>
              <w:rPr>
                <w:rFonts w:hint="eastAsia" w:ascii="宋体" w:hAnsi="宋体"/>
                <w:kern w:val="2"/>
                <w:sz w:val="21"/>
                <w:szCs w:val="21"/>
              </w:rPr>
              <w:t>可通过智能柜内置摄像头和外接硬盘录像机实现视频监控功能，并通过客户端软件查看视频监控录像，包括智能柜开锁、取还枪支等。</w:t>
            </w:r>
          </w:p>
          <w:p>
            <w:pPr>
              <w:pStyle w:val="31"/>
              <w:spacing w:line="276" w:lineRule="auto"/>
              <w:rPr>
                <w:rFonts w:ascii="宋体" w:hAnsi="宋体"/>
                <w:kern w:val="2"/>
                <w:sz w:val="21"/>
                <w:szCs w:val="21"/>
              </w:rPr>
            </w:pPr>
            <w:r>
              <w:rPr>
                <w:rFonts w:hint="eastAsia" w:ascii="宋体" w:hAnsi="宋体"/>
                <w:kern w:val="2"/>
                <w:sz w:val="21"/>
                <w:szCs w:val="21"/>
              </w:rPr>
              <w:t>▲</w:t>
            </w:r>
            <w:r>
              <w:rPr>
                <w:rFonts w:hint="eastAsia" w:ascii="宋体" w:hAnsi="宋体"/>
                <w:b/>
                <w:bCs/>
                <w:kern w:val="2"/>
                <w:sz w:val="21"/>
                <w:szCs w:val="21"/>
              </w:rPr>
              <w:t>12.2</w:t>
            </w:r>
            <w:r>
              <w:rPr>
                <w:rFonts w:hint="eastAsia" w:ascii="宋体" w:hAnsi="宋体"/>
                <w:kern w:val="2"/>
                <w:sz w:val="21"/>
                <w:szCs w:val="21"/>
              </w:rPr>
              <w:t>可通过智能柜内置摄像头和外接硬盘录像机对周围环境进行视频监控，当非管理人员接近智能柜或非正常状态下开启智能柜时，应能产生报警，并将报警信息上传至系统客户端软件。</w:t>
            </w:r>
          </w:p>
          <w:p>
            <w:pPr>
              <w:pStyle w:val="31"/>
              <w:spacing w:line="276" w:lineRule="auto"/>
              <w:rPr>
                <w:rFonts w:ascii="宋体" w:hAnsi="宋体"/>
                <w:b/>
                <w:kern w:val="2"/>
                <w:sz w:val="21"/>
                <w:szCs w:val="21"/>
              </w:rPr>
            </w:pPr>
            <w:r>
              <w:rPr>
                <w:rFonts w:hint="eastAsia" w:ascii="宋体" w:hAnsi="宋体"/>
                <w:b/>
                <w:kern w:val="2"/>
                <w:sz w:val="21"/>
                <w:szCs w:val="21"/>
              </w:rPr>
              <w:t>▲</w:t>
            </w:r>
            <w:r>
              <w:rPr>
                <w:rFonts w:hint="eastAsia" w:ascii="宋体" w:hAnsi="宋体"/>
                <w:b/>
                <w:bCs/>
                <w:kern w:val="2"/>
                <w:sz w:val="21"/>
                <w:szCs w:val="21"/>
              </w:rPr>
              <w:t>12.3</w:t>
            </w:r>
            <w:r>
              <w:rPr>
                <w:rFonts w:hint="eastAsia" w:ascii="宋体" w:hAnsi="宋体"/>
                <w:b/>
                <w:kern w:val="2"/>
                <w:sz w:val="21"/>
                <w:szCs w:val="21"/>
              </w:rPr>
              <w:t>当内置摄像头监视区域内出现人脸时，可将该人脸图像和已注册的人脸图像进行自动比对，比对通过后应主动以文字或语音两种形式给出身份信息和交互提示。</w:t>
            </w:r>
          </w:p>
          <w:p>
            <w:pPr>
              <w:pStyle w:val="31"/>
              <w:spacing w:line="276" w:lineRule="auto"/>
              <w:rPr>
                <w:rFonts w:ascii="宋体" w:hAnsi="宋体"/>
                <w:kern w:val="2"/>
                <w:sz w:val="21"/>
                <w:szCs w:val="21"/>
              </w:rPr>
            </w:pPr>
            <w:r>
              <w:rPr>
                <w:rFonts w:hint="eastAsia" w:ascii="宋体" w:hAnsi="宋体"/>
                <w:b/>
                <w:bCs/>
                <w:kern w:val="2"/>
                <w:sz w:val="21"/>
                <w:szCs w:val="21"/>
              </w:rPr>
              <w:t>13、</w:t>
            </w:r>
            <w:r>
              <w:rPr>
                <w:rFonts w:hint="eastAsia" w:ascii="宋体" w:hAnsi="宋体"/>
                <w:kern w:val="2"/>
                <w:sz w:val="21"/>
                <w:szCs w:val="21"/>
              </w:rPr>
              <w:t>柜体内部自带语音提示模块，在操作过程中提供全程语音提示。</w:t>
            </w:r>
          </w:p>
          <w:p>
            <w:pPr>
              <w:pStyle w:val="31"/>
              <w:spacing w:line="276" w:lineRule="auto"/>
              <w:rPr>
                <w:rFonts w:ascii="宋体" w:hAnsi="宋体"/>
                <w:kern w:val="2"/>
                <w:sz w:val="21"/>
                <w:szCs w:val="21"/>
              </w:rPr>
            </w:pPr>
            <w:r>
              <w:rPr>
                <w:rFonts w:hint="eastAsia" w:ascii="宋体" w:hAnsi="宋体"/>
                <w:b/>
                <w:bCs/>
                <w:kern w:val="2"/>
                <w:sz w:val="21"/>
                <w:szCs w:val="21"/>
              </w:rPr>
              <w:t>13.1</w:t>
            </w:r>
            <w:r>
              <w:rPr>
                <w:rFonts w:hint="eastAsia" w:ascii="宋体" w:hAnsi="宋体" w:cs="宋体"/>
                <w:bCs/>
                <w:kern w:val="2"/>
                <w:sz w:val="21"/>
                <w:szCs w:val="21"/>
              </w:rPr>
              <w:t>音视频对讲功能：可在智能柜和服务器之间进行双向语音对讲，同时进行双向视频。</w:t>
            </w:r>
            <w:r>
              <w:rPr>
                <w:rFonts w:hint="eastAsia" w:ascii="宋体" w:hAnsi="宋体"/>
                <w:b/>
                <w:kern w:val="2"/>
                <w:sz w:val="21"/>
                <w:szCs w:val="21"/>
              </w:rPr>
              <w:t>（样品验证）</w:t>
            </w:r>
          </w:p>
          <w:p>
            <w:pPr>
              <w:spacing w:line="276" w:lineRule="auto"/>
              <w:ind w:right="4"/>
              <w:rPr>
                <w:rFonts w:ascii="宋体" w:hAnsi="宋体"/>
                <w:szCs w:val="21"/>
              </w:rPr>
            </w:pPr>
            <w:r>
              <w:rPr>
                <w:rFonts w:hint="eastAsia" w:ascii="宋体" w:hAnsi="宋体"/>
                <w:b/>
                <w:bCs/>
                <w:szCs w:val="21"/>
              </w:rPr>
              <w:t>14、</w:t>
            </w:r>
            <w:r>
              <w:rPr>
                <w:rFonts w:hint="eastAsia" w:ascii="宋体" w:hAnsi="宋体"/>
                <w:szCs w:val="21"/>
              </w:rPr>
              <w:t>智能枪弹柜具备联网功能，柜体自带10M/100M网络接口，接入公安内网（或指定内网）,数据转输加密；</w:t>
            </w:r>
          </w:p>
          <w:p>
            <w:pPr>
              <w:spacing w:line="276" w:lineRule="auto"/>
              <w:ind w:right="4"/>
              <w:rPr>
                <w:rFonts w:ascii="宋体" w:hAnsi="宋体"/>
                <w:szCs w:val="21"/>
              </w:rPr>
            </w:pPr>
            <w:r>
              <w:rPr>
                <w:rFonts w:hint="eastAsia" w:ascii="宋体" w:hAnsi="宋体"/>
                <w:b/>
                <w:bCs/>
                <w:szCs w:val="21"/>
              </w:rPr>
              <w:t>14.1</w:t>
            </w:r>
            <w:r>
              <w:rPr>
                <w:rFonts w:hint="eastAsia" w:ascii="宋体" w:hAnsi="宋体"/>
                <w:szCs w:val="21"/>
              </w:rPr>
              <w:t>、可在触摸屏上对智能柜的IP地址、子网掩码、网关等参数进行设置，智能柜与服务器的IP地址设置为同一网段时，智能柜与服务器之间应能正常通信，并通过网络将智能柜的操作信息、报警信息及采集的视频图像上传至服务器，智能柜内不应设有路由器或网络交换机。</w:t>
            </w:r>
          </w:p>
          <w:p>
            <w:pPr>
              <w:spacing w:line="276" w:lineRule="auto"/>
              <w:ind w:right="4"/>
              <w:rPr>
                <w:rFonts w:ascii="宋体" w:hAnsi="宋体"/>
                <w:szCs w:val="21"/>
              </w:rPr>
            </w:pPr>
            <w:r>
              <w:rPr>
                <w:rFonts w:hint="eastAsia" w:ascii="宋体" w:hAnsi="宋体"/>
                <w:szCs w:val="21"/>
              </w:rPr>
              <w:t>▲</w:t>
            </w:r>
            <w:r>
              <w:rPr>
                <w:rFonts w:hint="eastAsia" w:ascii="宋体" w:hAnsi="宋体"/>
                <w:b/>
                <w:bCs/>
                <w:szCs w:val="21"/>
              </w:rPr>
              <w:t>14.2、</w:t>
            </w:r>
            <w:r>
              <w:rPr>
                <w:rFonts w:hint="eastAsia" w:ascii="宋体" w:hAnsi="宋体"/>
                <w:szCs w:val="21"/>
              </w:rPr>
              <w:t>具备数据传输加密功能：对智能柜和服务器之间传输的数据进行加密，符合GM/T0024—2014《SSL VPN技术规范》相关要求。（投标人须提供国家密码局商用密码产品型号证明材料佐证,原件备查）</w:t>
            </w:r>
          </w:p>
          <w:p>
            <w:pPr>
              <w:pStyle w:val="31"/>
              <w:spacing w:line="276" w:lineRule="auto"/>
              <w:rPr>
                <w:rFonts w:ascii="宋体" w:hAnsi="宋体"/>
                <w:kern w:val="2"/>
                <w:sz w:val="21"/>
                <w:szCs w:val="21"/>
              </w:rPr>
            </w:pPr>
            <w:r>
              <w:rPr>
                <w:rFonts w:hint="eastAsia" w:ascii="宋体" w:hAnsi="宋体"/>
                <w:b/>
                <w:bCs/>
                <w:kern w:val="2"/>
                <w:sz w:val="21"/>
                <w:szCs w:val="21"/>
              </w:rPr>
              <w:t>15、</w:t>
            </w:r>
            <w:r>
              <w:rPr>
                <w:rFonts w:hint="eastAsia" w:ascii="宋体" w:hAnsi="宋体"/>
                <w:kern w:val="2"/>
                <w:sz w:val="21"/>
                <w:szCs w:val="21"/>
              </w:rPr>
              <w:t>柜体嵌入软件首屏提供领取、归还、在位状态、终端设置等功能方便操作人员使用。</w:t>
            </w:r>
          </w:p>
          <w:p>
            <w:pPr>
              <w:pStyle w:val="31"/>
              <w:spacing w:line="276" w:lineRule="auto"/>
              <w:rPr>
                <w:rFonts w:ascii="宋体" w:hAnsi="宋体"/>
                <w:kern w:val="2"/>
                <w:sz w:val="21"/>
                <w:szCs w:val="21"/>
              </w:rPr>
            </w:pPr>
            <w:r>
              <w:rPr>
                <w:rFonts w:hint="eastAsia" w:ascii="宋体" w:hAnsi="宋体"/>
                <w:kern w:val="2"/>
                <w:sz w:val="21"/>
                <w:szCs w:val="21"/>
              </w:rPr>
              <w:t>（1）领取功能：可选择远程审批或现场审批；</w:t>
            </w:r>
          </w:p>
          <w:p>
            <w:pPr>
              <w:pStyle w:val="31"/>
              <w:spacing w:line="276" w:lineRule="auto"/>
              <w:rPr>
                <w:rFonts w:ascii="宋体" w:hAnsi="宋体"/>
                <w:kern w:val="2"/>
                <w:sz w:val="21"/>
                <w:szCs w:val="21"/>
              </w:rPr>
            </w:pPr>
            <w:r>
              <w:rPr>
                <w:rFonts w:hint="eastAsia" w:ascii="宋体" w:hAnsi="宋体"/>
                <w:kern w:val="2"/>
                <w:sz w:val="21"/>
                <w:szCs w:val="21"/>
              </w:rPr>
              <w:t>（2）归还：可选择领导是否在场，并判断同任务批次下的枪支弹药在不同时间进行归还后，管理平台报表在同一任务下进行显示；</w:t>
            </w:r>
          </w:p>
          <w:p>
            <w:pPr>
              <w:pStyle w:val="31"/>
              <w:spacing w:line="276" w:lineRule="auto"/>
              <w:rPr>
                <w:rFonts w:ascii="宋体" w:hAnsi="宋体"/>
                <w:kern w:val="2"/>
                <w:sz w:val="21"/>
                <w:szCs w:val="21"/>
              </w:rPr>
            </w:pPr>
            <w:r>
              <w:rPr>
                <w:rFonts w:hint="eastAsia" w:ascii="宋体" w:hAnsi="宋体"/>
                <w:kern w:val="2"/>
                <w:sz w:val="21"/>
                <w:szCs w:val="21"/>
              </w:rPr>
              <w:t>（3）在位状态：显示枪支在位、借出、异常的数据；</w:t>
            </w:r>
          </w:p>
          <w:p>
            <w:pPr>
              <w:pStyle w:val="31"/>
              <w:spacing w:line="276" w:lineRule="auto"/>
              <w:rPr>
                <w:rFonts w:ascii="宋体" w:hAnsi="宋体"/>
                <w:kern w:val="2"/>
                <w:sz w:val="21"/>
                <w:szCs w:val="21"/>
              </w:rPr>
            </w:pPr>
            <w:r>
              <w:rPr>
                <w:rFonts w:hint="eastAsia" w:ascii="宋体" w:hAnsi="宋体"/>
                <w:kern w:val="2"/>
                <w:sz w:val="21"/>
                <w:szCs w:val="21"/>
              </w:rPr>
              <w:t>（4）终端设置：最大限度的方便设备的日常维护；</w:t>
            </w:r>
          </w:p>
          <w:p>
            <w:pPr>
              <w:pStyle w:val="31"/>
              <w:spacing w:line="276" w:lineRule="auto"/>
              <w:rPr>
                <w:rFonts w:ascii="宋体" w:hAnsi="宋体"/>
                <w:kern w:val="2"/>
                <w:sz w:val="21"/>
                <w:szCs w:val="21"/>
              </w:rPr>
            </w:pPr>
            <w:r>
              <w:rPr>
                <w:rFonts w:hint="eastAsia" w:ascii="宋体" w:hAnsi="宋体"/>
                <w:b/>
                <w:bCs/>
                <w:kern w:val="2"/>
                <w:sz w:val="21"/>
                <w:szCs w:val="21"/>
              </w:rPr>
              <w:t>16、</w:t>
            </w:r>
            <w:r>
              <w:rPr>
                <w:rFonts w:hint="eastAsia" w:ascii="宋体" w:hAnsi="宋体"/>
                <w:kern w:val="2"/>
                <w:sz w:val="21"/>
                <w:szCs w:val="21"/>
              </w:rPr>
              <w:t>柜体发生断电、网络故障、柜门异常开启、柜门未按操作流程关闭、撞击、移动时发出报警信息；同时可将报警信息以短信形式发送至指定人员手机上。</w:t>
            </w:r>
          </w:p>
          <w:p>
            <w:pPr>
              <w:pStyle w:val="31"/>
              <w:spacing w:line="276" w:lineRule="auto"/>
              <w:rPr>
                <w:rFonts w:ascii="宋体" w:hAnsi="宋体"/>
                <w:b/>
                <w:kern w:val="2"/>
                <w:sz w:val="21"/>
                <w:szCs w:val="21"/>
              </w:rPr>
            </w:pPr>
            <w:r>
              <w:rPr>
                <w:rFonts w:hint="eastAsia" w:ascii="宋体" w:hAnsi="宋体"/>
                <w:kern w:val="2"/>
                <w:sz w:val="21"/>
                <w:szCs w:val="21"/>
              </w:rPr>
              <w:t>▲</w:t>
            </w:r>
            <w:r>
              <w:rPr>
                <w:rFonts w:hint="eastAsia" w:ascii="宋体" w:hAnsi="宋体"/>
                <w:b/>
                <w:kern w:val="2"/>
                <w:sz w:val="21"/>
                <w:szCs w:val="21"/>
              </w:rPr>
              <w:t>16.1可通过平台软件对各种报警信息进行统计，并以柱状图、饼状图形显示统计结果。</w:t>
            </w:r>
          </w:p>
          <w:p>
            <w:pPr>
              <w:pStyle w:val="31"/>
              <w:spacing w:line="276" w:lineRule="auto"/>
              <w:rPr>
                <w:rFonts w:ascii="宋体" w:hAnsi="宋体"/>
                <w:b/>
                <w:bCs/>
                <w:kern w:val="2"/>
                <w:sz w:val="21"/>
                <w:szCs w:val="21"/>
              </w:rPr>
            </w:pPr>
            <w:r>
              <w:rPr>
                <w:rFonts w:hint="eastAsia" w:ascii="宋体" w:hAnsi="宋体"/>
                <w:b/>
                <w:bCs/>
                <w:kern w:val="2"/>
                <w:sz w:val="21"/>
                <w:szCs w:val="21"/>
              </w:rPr>
              <w:t>17、</w:t>
            </w:r>
            <w:r>
              <w:rPr>
                <w:rFonts w:hint="eastAsia" w:ascii="宋体" w:hAnsi="宋体"/>
                <w:kern w:val="2"/>
                <w:sz w:val="21"/>
                <w:szCs w:val="21"/>
              </w:rPr>
              <w:t>枪锁为全自动卡扣枪锁；并且具有上锁检测、枪支在位检测功能，和指静脉、声纹（或其它生物识别）自动解锁功能并且自带独立机械开启，枪锁应有开、关状态指示灯。（只限于智能枪柜）</w:t>
            </w:r>
          </w:p>
          <w:p>
            <w:pPr>
              <w:pStyle w:val="31"/>
              <w:spacing w:line="276" w:lineRule="auto"/>
              <w:rPr>
                <w:rFonts w:ascii="宋体" w:hAnsi="宋体"/>
                <w:b/>
                <w:bCs/>
                <w:kern w:val="2"/>
                <w:sz w:val="21"/>
                <w:szCs w:val="21"/>
              </w:rPr>
            </w:pPr>
            <w:r>
              <w:rPr>
                <w:rFonts w:hint="eastAsia" w:ascii="宋体" w:hAnsi="宋体"/>
                <w:b/>
                <w:bCs/>
                <w:kern w:val="2"/>
                <w:sz w:val="21"/>
                <w:szCs w:val="21"/>
              </w:rPr>
              <w:t>18、</w:t>
            </w:r>
            <w:r>
              <w:rPr>
                <w:rFonts w:hint="eastAsia" w:ascii="宋体" w:hAnsi="宋体"/>
                <w:kern w:val="2"/>
                <w:sz w:val="21"/>
                <w:szCs w:val="21"/>
              </w:rPr>
              <w:t>全自动卡扣枪锁的启闭瞬间冲击电流小于或等于3.5A；持续通电电流小于或等于150mA。（只限于智能枪柜）</w:t>
            </w:r>
          </w:p>
          <w:p>
            <w:pPr>
              <w:spacing w:line="276" w:lineRule="auto"/>
              <w:rPr>
                <w:rFonts w:ascii="宋体" w:hAnsi="宋体"/>
                <w:szCs w:val="21"/>
              </w:rPr>
            </w:pPr>
            <w:r>
              <w:rPr>
                <w:rFonts w:hint="eastAsia" w:ascii="宋体" w:hAnsi="宋体"/>
                <w:szCs w:val="21"/>
              </w:rPr>
              <w:t>▲</w:t>
            </w:r>
            <w:r>
              <w:rPr>
                <w:rFonts w:hint="eastAsia" w:ascii="宋体" w:hAnsi="宋体"/>
                <w:b/>
                <w:bCs/>
                <w:szCs w:val="21"/>
              </w:rPr>
              <w:t>18.1</w:t>
            </w:r>
            <w:r>
              <w:rPr>
                <w:rFonts w:hint="eastAsia" w:ascii="宋体"/>
                <w:szCs w:val="21"/>
              </w:rPr>
              <w:t>枪锁具有枪支在位状态感知功能。枪锁配备机械钥匙应急开启功能。枪锁经10万次连续启闭后应能正常工作。枪锁可通过指示灯状态变化提示枪支在位状态和开启锁闭状态。输入开锁信号至执行开锁动作的响应时间不大于1秒。</w:t>
            </w:r>
            <w:r>
              <w:rPr>
                <w:rFonts w:hint="eastAsia" w:ascii="宋体" w:hAnsi="宋体"/>
                <w:szCs w:val="21"/>
              </w:rPr>
              <w:t>（只限于智能枪柜）</w:t>
            </w:r>
          </w:p>
          <w:p>
            <w:pPr>
              <w:spacing w:line="276" w:lineRule="auto"/>
              <w:rPr>
                <w:rFonts w:ascii="宋体" w:hAnsi="宋体"/>
                <w:szCs w:val="21"/>
              </w:rPr>
            </w:pPr>
            <w:r>
              <w:rPr>
                <w:rFonts w:hint="eastAsia" w:ascii="宋体" w:hAnsi="宋体"/>
                <w:szCs w:val="21"/>
              </w:rPr>
              <w:t>▲</w:t>
            </w:r>
            <w:r>
              <w:rPr>
                <w:rFonts w:hint="eastAsia" w:ascii="宋体" w:hAnsi="宋体"/>
                <w:b/>
                <w:bCs/>
                <w:szCs w:val="21"/>
              </w:rPr>
              <w:t>18.2 枪具功能检测，具有在位检测功能，可对枪具进行固定和加紧，可上下/左右调节枪具。</w:t>
            </w:r>
          </w:p>
          <w:p>
            <w:pPr>
              <w:pStyle w:val="31"/>
              <w:spacing w:line="276" w:lineRule="auto"/>
              <w:rPr>
                <w:rFonts w:ascii="宋体" w:hAnsi="宋体"/>
                <w:kern w:val="2"/>
                <w:sz w:val="21"/>
                <w:szCs w:val="21"/>
              </w:rPr>
            </w:pPr>
            <w:r>
              <w:rPr>
                <w:rFonts w:hint="eastAsia" w:ascii="宋体" w:hAnsi="宋体" w:cs="宋体"/>
                <w:kern w:val="2"/>
                <w:sz w:val="21"/>
                <w:szCs w:val="21"/>
              </w:rPr>
              <w:t>▲</w:t>
            </w:r>
            <w:r>
              <w:rPr>
                <w:rFonts w:hint="eastAsia" w:ascii="宋体" w:hAnsi="宋体" w:cs="宋体"/>
                <w:b/>
                <w:bCs/>
                <w:kern w:val="2"/>
                <w:sz w:val="21"/>
                <w:szCs w:val="21"/>
              </w:rPr>
              <w:t>19</w:t>
            </w:r>
            <w:r>
              <w:rPr>
                <w:rFonts w:hint="eastAsia" w:ascii="宋体" w:hAnsi="宋体"/>
                <w:b/>
                <w:bCs/>
                <w:kern w:val="2"/>
                <w:sz w:val="21"/>
                <w:szCs w:val="21"/>
              </w:rPr>
              <w:t>、</w:t>
            </w:r>
            <w:r>
              <w:rPr>
                <w:rFonts w:hint="eastAsia" w:ascii="宋体" w:hAnsi="宋体"/>
                <w:kern w:val="2"/>
                <w:sz w:val="21"/>
                <w:szCs w:val="21"/>
              </w:rPr>
              <w:t>具有枪锁断线提示功能，枪锁与智能柜主控单元的连接线断开，应能在触摸屏上给出相应的提示。（只限于智能枪柜）</w:t>
            </w:r>
          </w:p>
          <w:p>
            <w:pPr>
              <w:pStyle w:val="31"/>
              <w:spacing w:line="276" w:lineRule="auto"/>
              <w:rPr>
                <w:rFonts w:ascii="宋体" w:hAnsi="宋体"/>
                <w:kern w:val="2"/>
                <w:sz w:val="21"/>
                <w:szCs w:val="21"/>
              </w:rPr>
            </w:pPr>
            <w:r>
              <w:rPr>
                <w:rFonts w:hint="eastAsia" w:ascii="宋体" w:hAnsi="宋体"/>
                <w:b/>
                <w:bCs/>
                <w:kern w:val="2"/>
                <w:sz w:val="21"/>
                <w:szCs w:val="21"/>
              </w:rPr>
              <w:t>20、</w:t>
            </w:r>
            <w:r>
              <w:rPr>
                <w:rFonts w:hint="eastAsia" w:ascii="宋体"/>
                <w:kern w:val="2"/>
                <w:sz w:val="21"/>
                <w:szCs w:val="21"/>
              </w:rPr>
              <w:t>自动计数弹屉每屉存放1951年式7.62mm手枪弹（铅心））数量不少于1000发。应能遵照系统指令信息对子弹种类、数量进行发放。</w:t>
            </w:r>
            <w:r>
              <w:rPr>
                <w:rFonts w:hint="eastAsia" w:ascii="宋体" w:hAnsi="宋体"/>
                <w:kern w:val="2"/>
                <w:sz w:val="21"/>
                <w:szCs w:val="21"/>
              </w:rPr>
              <w:t>（只限于智能弹柜）</w:t>
            </w:r>
            <w:r>
              <w:rPr>
                <w:rFonts w:hint="eastAsia" w:ascii="宋体" w:hAnsi="宋体"/>
                <w:b/>
                <w:kern w:val="2"/>
                <w:sz w:val="21"/>
                <w:szCs w:val="21"/>
              </w:rPr>
              <w:t>（样品验证）</w:t>
            </w:r>
          </w:p>
          <w:p>
            <w:pPr>
              <w:pStyle w:val="31"/>
              <w:spacing w:line="276" w:lineRule="auto"/>
              <w:rPr>
                <w:rFonts w:ascii="宋体" w:hAnsi="宋体"/>
                <w:kern w:val="2"/>
                <w:sz w:val="21"/>
                <w:szCs w:val="21"/>
              </w:rPr>
            </w:pPr>
            <w:r>
              <w:rPr>
                <w:rFonts w:hint="eastAsia" w:ascii="宋体" w:hAnsi="宋体"/>
                <w:kern w:val="2"/>
                <w:sz w:val="21"/>
                <w:szCs w:val="21"/>
              </w:rPr>
              <w:t>▲</w:t>
            </w:r>
            <w:r>
              <w:rPr>
                <w:rFonts w:hint="eastAsia" w:ascii="宋体" w:hAnsi="宋体"/>
                <w:b/>
                <w:bCs/>
                <w:kern w:val="2"/>
                <w:sz w:val="21"/>
                <w:szCs w:val="21"/>
              </w:rPr>
              <w:t>20.1</w:t>
            </w:r>
            <w:r>
              <w:rPr>
                <w:rFonts w:hint="eastAsia" w:ascii="宋体" w:hAnsi="宋体"/>
                <w:kern w:val="2"/>
                <w:sz w:val="21"/>
                <w:szCs w:val="21"/>
              </w:rPr>
              <w:t>可通过智能柜内的弹盒实时显示存储的弹药数量。（只限于智能弹柜）</w:t>
            </w:r>
          </w:p>
          <w:p>
            <w:pPr>
              <w:spacing w:line="276" w:lineRule="auto"/>
              <w:ind w:right="4"/>
              <w:rPr>
                <w:rFonts w:ascii="宋体" w:hAnsi="宋体"/>
                <w:szCs w:val="21"/>
              </w:rPr>
            </w:pPr>
            <w:r>
              <w:rPr>
                <w:rFonts w:hint="eastAsia" w:ascii="宋体" w:hAnsi="宋体"/>
                <w:b/>
                <w:bCs/>
                <w:szCs w:val="21"/>
              </w:rPr>
              <w:t>20.2子</w:t>
            </w:r>
            <w:r>
              <w:rPr>
                <w:rFonts w:hint="eastAsia" w:ascii="宋体" w:hAnsi="宋体"/>
                <w:szCs w:val="21"/>
              </w:rPr>
              <w:t>弹抽屉具有称重自动计数功能，通过内置4个LED数码显示管显示子弹计数结果，通过显示放入子弹抽屉的砝码重量对子弹抽屉的称重结果进行校正，在触摸屏上具有存入子弹类型的设置选项。当显示计数结果与实际数量不符时，可对显示的计数结果进行修正。（只限于智能弹柜）。</w:t>
            </w:r>
          </w:p>
          <w:p>
            <w:pPr>
              <w:spacing w:line="276" w:lineRule="auto"/>
              <w:ind w:right="4"/>
              <w:rPr>
                <w:rFonts w:ascii="宋体" w:hAnsi="宋体"/>
                <w:szCs w:val="21"/>
              </w:rPr>
            </w:pPr>
            <w:r>
              <w:rPr>
                <w:rFonts w:hint="eastAsia" w:ascii="宋体" w:hAnsi="宋体"/>
                <w:szCs w:val="21"/>
              </w:rPr>
              <w:t>▲</w:t>
            </w:r>
            <w:r>
              <w:rPr>
                <w:rFonts w:hint="eastAsia" w:ascii="宋体" w:hAnsi="宋体"/>
                <w:b/>
                <w:bCs/>
                <w:szCs w:val="21"/>
              </w:rPr>
              <w:t>20.3、</w:t>
            </w:r>
            <w:r>
              <w:rPr>
                <w:rFonts w:hint="eastAsia" w:ascii="宋体" w:hAnsi="宋体"/>
                <w:szCs w:val="21"/>
              </w:rPr>
              <w:t>具有子弹抽屉锁断线提示功能，子弹抽屉锁与智能柜主控单元的连接线断开后，应能在触摸屏上给出提示。（只限于智能弹柜）。</w:t>
            </w:r>
          </w:p>
          <w:p>
            <w:pPr>
              <w:pStyle w:val="31"/>
              <w:spacing w:line="276" w:lineRule="auto"/>
              <w:rPr>
                <w:rFonts w:ascii="宋体" w:hAnsi="宋体"/>
                <w:kern w:val="2"/>
                <w:sz w:val="21"/>
                <w:szCs w:val="21"/>
              </w:rPr>
            </w:pPr>
            <w:r>
              <w:rPr>
                <w:rFonts w:hint="eastAsia" w:ascii="宋体" w:hAnsi="宋体"/>
                <w:b/>
                <w:bCs/>
                <w:kern w:val="2"/>
                <w:sz w:val="21"/>
                <w:szCs w:val="21"/>
              </w:rPr>
              <w:t>21、</w:t>
            </w:r>
            <w:r>
              <w:rPr>
                <w:rFonts w:hint="eastAsia" w:ascii="宋体" w:hAnsi="宋体"/>
                <w:kern w:val="2"/>
                <w:sz w:val="21"/>
                <w:szCs w:val="21"/>
              </w:rPr>
              <w:t>具有断网续传功能，断网情况下的操作信息，在网络恢复正常时可自动发送至服务器。</w:t>
            </w:r>
          </w:p>
          <w:p>
            <w:pPr>
              <w:pStyle w:val="31"/>
              <w:spacing w:line="276" w:lineRule="auto"/>
              <w:rPr>
                <w:rFonts w:ascii="宋体" w:hAnsi="宋体"/>
                <w:kern w:val="2"/>
                <w:sz w:val="21"/>
                <w:szCs w:val="21"/>
              </w:rPr>
            </w:pPr>
            <w:r>
              <w:rPr>
                <w:rFonts w:hint="eastAsia" w:ascii="宋体" w:hAnsi="宋体"/>
                <w:kern w:val="2"/>
                <w:sz w:val="21"/>
                <w:szCs w:val="21"/>
              </w:rPr>
              <w:t>▲</w:t>
            </w:r>
            <w:r>
              <w:rPr>
                <w:rFonts w:hint="eastAsia" w:ascii="宋体" w:hAnsi="宋体"/>
                <w:b/>
                <w:bCs/>
                <w:kern w:val="2"/>
                <w:sz w:val="21"/>
                <w:szCs w:val="21"/>
              </w:rPr>
              <w:t>21.1</w:t>
            </w:r>
            <w:r>
              <w:rPr>
                <w:rFonts w:hint="eastAsia" w:ascii="宋体" w:hAnsi="宋体"/>
                <w:kern w:val="2"/>
                <w:sz w:val="21"/>
                <w:szCs w:val="21"/>
              </w:rPr>
              <w:t>智能柜断电重启后恢复至工作状态的时间应≤3s。</w:t>
            </w:r>
          </w:p>
          <w:p>
            <w:pPr>
              <w:spacing w:line="276" w:lineRule="auto"/>
              <w:ind w:right="4"/>
              <w:rPr>
                <w:szCs w:val="21"/>
              </w:rPr>
            </w:pPr>
            <w:r>
              <w:rPr>
                <w:rFonts w:hint="eastAsia" w:ascii="宋体" w:hAnsi="宋体"/>
                <w:b/>
                <w:bCs/>
                <w:szCs w:val="21"/>
              </w:rPr>
              <w:t>22、</w:t>
            </w:r>
            <w:r>
              <w:rPr>
                <w:rFonts w:hint="eastAsia" w:ascii="宋体" w:hAnsi="宋体"/>
                <w:szCs w:val="21"/>
              </w:rPr>
              <w:t>在无需人为调整的情况下，柜体上的时间记录可与服务器时间同步。</w:t>
            </w:r>
          </w:p>
          <w:p>
            <w:pPr>
              <w:spacing w:line="276" w:lineRule="auto"/>
              <w:ind w:right="4"/>
              <w:rPr>
                <w:rFonts w:ascii="宋体" w:hAnsi="宋体"/>
                <w:szCs w:val="21"/>
              </w:rPr>
            </w:pPr>
            <w:r>
              <w:rPr>
                <w:rFonts w:hint="eastAsia" w:ascii="宋体" w:hAnsi="宋体"/>
                <w:szCs w:val="21"/>
              </w:rPr>
              <w:t>▲</w:t>
            </w:r>
            <w:r>
              <w:rPr>
                <w:rFonts w:hint="eastAsia" w:ascii="宋体" w:hAnsi="宋体"/>
                <w:b/>
                <w:bCs/>
                <w:szCs w:val="21"/>
              </w:rPr>
              <w:t>22.1</w:t>
            </w:r>
            <w:r>
              <w:rPr>
                <w:rFonts w:hint="eastAsia" w:ascii="宋体" w:hAnsi="宋体"/>
                <w:szCs w:val="21"/>
              </w:rPr>
              <w:t>联网运行的智能柜具备自动校时功能，时钟与北京时间的偏差应≤10s。</w:t>
            </w:r>
          </w:p>
          <w:p>
            <w:pPr>
              <w:spacing w:line="276" w:lineRule="auto"/>
              <w:ind w:right="4"/>
              <w:rPr>
                <w:rFonts w:ascii="宋体" w:hAnsi="宋体"/>
                <w:b/>
                <w:bCs/>
                <w:szCs w:val="21"/>
              </w:rPr>
            </w:pPr>
            <w:r>
              <w:rPr>
                <w:rFonts w:hint="eastAsia" w:ascii="宋体" w:hAnsi="宋体"/>
                <w:szCs w:val="21"/>
              </w:rPr>
              <w:t>▲</w:t>
            </w:r>
            <w:r>
              <w:rPr>
                <w:rFonts w:hint="eastAsia" w:ascii="宋体" w:hAnsi="宋体"/>
                <w:b/>
                <w:bCs/>
                <w:szCs w:val="21"/>
              </w:rPr>
              <w:t>23.具有管理权限的人员可通过触摸显示屏进行故障诊断，包括摄像头、指纹模块、枪锁、子弹抽屉。</w:t>
            </w:r>
          </w:p>
          <w:p>
            <w:pPr>
              <w:spacing w:line="276" w:lineRule="auto"/>
              <w:ind w:right="4"/>
              <w:rPr>
                <w:rFonts w:ascii="宋体" w:hAnsi="宋体"/>
                <w:b/>
                <w:bCs/>
                <w:szCs w:val="21"/>
              </w:rPr>
            </w:pPr>
            <w:r>
              <w:rPr>
                <w:rFonts w:hint="eastAsia" w:ascii="宋体" w:hAnsi="宋体"/>
                <w:b/>
                <w:bCs/>
                <w:szCs w:val="21"/>
              </w:rPr>
              <w:t>24、</w:t>
            </w:r>
            <w:r>
              <w:rPr>
                <w:rFonts w:hint="eastAsia" w:ascii="宋体" w:hAnsi="宋体"/>
                <w:b/>
                <w:szCs w:val="21"/>
              </w:rPr>
              <w:t>可通过手机APP软件进行枪支弹药在线申请和枪支弹药在线授权审批，并查询操作日志、取换枪支/弹药日志。（样品验证）</w:t>
            </w:r>
          </w:p>
          <w:p>
            <w:pPr>
              <w:pStyle w:val="31"/>
              <w:spacing w:line="276" w:lineRule="auto"/>
              <w:rPr>
                <w:rFonts w:ascii="宋体" w:hAnsi="宋体"/>
                <w:kern w:val="2"/>
                <w:sz w:val="21"/>
                <w:szCs w:val="21"/>
              </w:rPr>
            </w:pPr>
            <w:r>
              <w:rPr>
                <w:rFonts w:hint="eastAsia" w:ascii="宋体" w:hAnsi="宋体"/>
                <w:b/>
                <w:bCs/>
                <w:kern w:val="2"/>
                <w:sz w:val="21"/>
                <w:szCs w:val="21"/>
              </w:rPr>
              <w:t>25、</w:t>
            </w:r>
            <w:r>
              <w:rPr>
                <w:rFonts w:hint="eastAsia" w:ascii="宋体" w:hAnsi="宋体"/>
                <w:kern w:val="2"/>
                <w:sz w:val="21"/>
                <w:szCs w:val="21"/>
              </w:rPr>
              <w:t>符合公安部《GA1051-2013》枪支弹药专用保险柜标准。</w:t>
            </w:r>
          </w:p>
          <w:p>
            <w:pPr>
              <w:pStyle w:val="31"/>
              <w:spacing w:line="276" w:lineRule="auto"/>
              <w:rPr>
                <w:rFonts w:ascii="宋体" w:hAnsi="宋体"/>
                <w:kern w:val="2"/>
                <w:sz w:val="21"/>
                <w:szCs w:val="21"/>
              </w:rPr>
            </w:pPr>
            <w:r>
              <w:rPr>
                <w:rFonts w:hint="eastAsia" w:hAnsi="宋体" w:cs="仿宋"/>
                <w:kern w:val="2"/>
                <w:sz w:val="21"/>
                <w:szCs w:val="21"/>
              </w:rPr>
              <w:t>须提供国家安全防范报警系统产品质量监督检验中心</w:t>
            </w:r>
            <w:r>
              <w:rPr>
                <w:rFonts w:hint="eastAsia" w:ascii="宋体" w:hAnsi="宋体" w:cs="仿宋"/>
                <w:kern w:val="2"/>
                <w:sz w:val="21"/>
                <w:szCs w:val="21"/>
              </w:rPr>
              <w:t>或</w:t>
            </w:r>
            <w:r>
              <w:rPr>
                <w:rFonts w:hint="eastAsia" w:ascii="宋体" w:hAnsi="宋体"/>
                <w:bCs/>
                <w:kern w:val="2"/>
                <w:sz w:val="21"/>
                <w:szCs w:val="21"/>
              </w:rPr>
              <w:t>公安部特种警用装备质量监督检验中心</w:t>
            </w:r>
            <w:r>
              <w:rPr>
                <w:rFonts w:hint="eastAsia" w:hAnsi="宋体" w:cs="仿宋"/>
                <w:kern w:val="2"/>
                <w:sz w:val="21"/>
                <w:szCs w:val="21"/>
              </w:rPr>
              <w:t>出具的检测报告</w:t>
            </w:r>
            <w:r>
              <w:rPr>
                <w:rFonts w:hint="eastAsia" w:ascii="新宋体" w:hAnsi="新宋体" w:eastAsia="新宋体" w:cs="新宋体"/>
                <w:kern w:val="2"/>
                <w:sz w:val="21"/>
                <w:szCs w:val="21"/>
              </w:rPr>
              <w:t>或</w:t>
            </w:r>
            <w:r>
              <w:rPr>
                <w:rFonts w:hint="eastAsia" w:hAnsi="宋体" w:cs="仿宋"/>
                <w:kern w:val="2"/>
                <w:sz w:val="21"/>
                <w:szCs w:val="21"/>
              </w:rPr>
              <w:t>提供</w:t>
            </w:r>
            <w:r>
              <w:rPr>
                <w:rFonts w:hint="eastAsia" w:ascii="宋体" w:hAnsi="宋体"/>
                <w:kern w:val="2"/>
                <w:sz w:val="21"/>
                <w:szCs w:val="21"/>
              </w:rPr>
              <w:t>国家密码局商用密码产品型号证明</w:t>
            </w:r>
            <w:r>
              <w:rPr>
                <w:rFonts w:hint="eastAsia" w:ascii="新宋体" w:hAnsi="新宋体" w:eastAsia="新宋体" w:cs="新宋体"/>
                <w:kern w:val="2"/>
                <w:sz w:val="21"/>
                <w:szCs w:val="21"/>
              </w:rPr>
              <w:t>佐证材料</w:t>
            </w:r>
            <w:r>
              <w:rPr>
                <w:rFonts w:hint="eastAsia" w:hAnsi="宋体" w:cs="仿宋"/>
                <w:kern w:val="2"/>
                <w:sz w:val="21"/>
                <w:szCs w:val="21"/>
              </w:rPr>
              <w:t>，注“</w:t>
            </w:r>
            <w:r>
              <w:rPr>
                <w:rFonts w:hint="eastAsia" w:hAnsi="宋体" w:cs="宋体"/>
                <w:kern w:val="2"/>
                <w:sz w:val="21"/>
                <w:szCs w:val="21"/>
              </w:rPr>
              <w:t>▲</w:t>
            </w:r>
            <w:r>
              <w:rPr>
                <w:rFonts w:hint="eastAsia" w:hAnsi="宋体" w:cs="仿宋"/>
                <w:kern w:val="2"/>
                <w:sz w:val="21"/>
                <w:szCs w:val="21"/>
              </w:rPr>
              <w:t>”项目参数在</w:t>
            </w:r>
            <w:r>
              <w:rPr>
                <w:rFonts w:hint="eastAsia" w:hAnsi="宋体" w:cs="新宋体"/>
                <w:kern w:val="2"/>
                <w:sz w:val="21"/>
                <w:szCs w:val="21"/>
              </w:rPr>
              <w:t>报告和证明材料中必须有功能检测合格的描述</w:t>
            </w:r>
            <w:r>
              <w:rPr>
                <w:rFonts w:hint="eastAsia" w:hAnsi="宋体" w:cs="仿宋"/>
                <w:kern w:val="2"/>
                <w:sz w:val="21"/>
                <w:szCs w:val="21"/>
              </w:rPr>
              <w:t>。(提供复印件加盖公章，原件备查)。</w:t>
            </w:r>
          </w:p>
        </w:tc>
      </w:tr>
      <w:tr>
        <w:tblPrEx>
          <w:tblCellMar>
            <w:top w:w="0" w:type="dxa"/>
            <w:left w:w="108" w:type="dxa"/>
            <w:bottom w:w="0" w:type="dxa"/>
            <w:right w:w="108" w:type="dxa"/>
          </w:tblCellMar>
        </w:tblPrEx>
        <w:trPr>
          <w:trHeight w:val="164" w:hRule="atLeast"/>
          <w:jc w:val="center"/>
        </w:trPr>
        <w:tc>
          <w:tcPr>
            <w:tcW w:w="301" w:type="pct"/>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2</w:t>
            </w:r>
          </w:p>
        </w:tc>
        <w:tc>
          <w:tcPr>
            <w:tcW w:w="601" w:type="pct"/>
            <w:tcBorders>
              <w:top w:val="single" w:color="auto" w:sz="4" w:space="0"/>
              <w:left w:val="nil"/>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智能枪弹柜管理系统（含平台软件）</w:t>
            </w:r>
          </w:p>
        </w:tc>
        <w:tc>
          <w:tcPr>
            <w:tcW w:w="4097" w:type="pct"/>
            <w:tcBorders>
              <w:top w:val="single" w:color="auto" w:sz="4" w:space="0"/>
              <w:left w:val="nil"/>
              <w:bottom w:val="single" w:color="auto" w:sz="4" w:space="0"/>
              <w:right w:val="single" w:color="auto" w:sz="4" w:space="0"/>
            </w:tcBorders>
            <w:vAlign w:val="center"/>
          </w:tcPr>
          <w:p>
            <w:pPr>
              <w:numPr>
                <w:ilvl w:val="0"/>
                <w:numId w:val="2"/>
              </w:numPr>
              <w:spacing w:line="276" w:lineRule="auto"/>
              <w:ind w:left="360" w:right="4" w:hanging="360"/>
              <w:rPr>
                <w:rFonts w:ascii="宋体" w:hAnsi="宋体"/>
                <w:b/>
                <w:bCs/>
                <w:szCs w:val="21"/>
              </w:rPr>
            </w:pPr>
            <w:r>
              <w:rPr>
                <w:rFonts w:hint="eastAsia" w:ascii="宋体" w:hAnsi="宋体"/>
                <w:szCs w:val="21"/>
              </w:rPr>
              <w:t>智能枪（弹）柜管理系统必须具有完整的网络管理模式，实现与公安网、全国枪支信息管理系统、厅局指挥中心或装备管理等系统对接，与全国枪支管理信息系统联网运行时，应能将指定信息上传。联网要求符合公安部GA1051-2013《枪支弹药专用保险柜》标准。</w:t>
            </w:r>
          </w:p>
          <w:p>
            <w:pPr>
              <w:tabs>
                <w:tab w:val="left" w:pos="420"/>
              </w:tabs>
              <w:spacing w:line="276" w:lineRule="auto"/>
              <w:ind w:right="4"/>
              <w:rPr>
                <w:rFonts w:ascii="宋体" w:hAnsi="宋体"/>
                <w:szCs w:val="21"/>
              </w:rPr>
            </w:pPr>
            <w:r>
              <w:rPr>
                <w:rFonts w:hint="eastAsia" w:ascii="宋体" w:hAnsi="宋体"/>
                <w:szCs w:val="21"/>
              </w:rPr>
              <w:t>▲2、新增用户，修改用户，删除用户，查询用户。可在客户端上添加、删除、修改用户，并能将用户信息下发至智能柜；也可在智能柜上添加、删除、修改用户，并能将用户信息上传至服务器，可手动调整用户在服务器上的显示顺序。</w:t>
            </w:r>
          </w:p>
          <w:p>
            <w:pPr>
              <w:pStyle w:val="36"/>
              <w:numPr>
                <w:ilvl w:val="0"/>
                <w:numId w:val="3"/>
              </w:numPr>
              <w:tabs>
                <w:tab w:val="left" w:pos="420"/>
              </w:tabs>
              <w:spacing w:line="276" w:lineRule="auto"/>
              <w:ind w:right="4" w:firstLineChars="0"/>
              <w:rPr>
                <w:rFonts w:ascii="宋体" w:hAnsi="宋体"/>
                <w:szCs w:val="21"/>
              </w:rPr>
            </w:pPr>
            <w:r>
              <w:rPr>
                <w:rFonts w:hint="eastAsia" w:ascii="宋体" w:hAnsi="宋体"/>
                <w:szCs w:val="21"/>
              </w:rPr>
              <w:t>指定用户，指定手指（8个），发送活体指静脉到指定枪柜；</w:t>
            </w:r>
          </w:p>
          <w:p>
            <w:pPr>
              <w:numPr>
                <w:ilvl w:val="0"/>
                <w:numId w:val="3"/>
              </w:numPr>
              <w:tabs>
                <w:tab w:val="left" w:pos="420"/>
              </w:tabs>
              <w:spacing w:line="276" w:lineRule="auto"/>
              <w:ind w:right="4"/>
              <w:rPr>
                <w:rFonts w:ascii="宋体" w:hAnsi="宋体"/>
                <w:szCs w:val="21"/>
              </w:rPr>
            </w:pPr>
            <w:r>
              <w:rPr>
                <w:rFonts w:hint="eastAsia" w:ascii="宋体" w:hAnsi="宋体"/>
                <w:szCs w:val="21"/>
              </w:rPr>
              <w:t>将现有活体指静脉同步到其他未录入指静脉的枪柜。</w:t>
            </w:r>
          </w:p>
          <w:p>
            <w:pPr>
              <w:numPr>
                <w:ilvl w:val="0"/>
                <w:numId w:val="3"/>
              </w:numPr>
              <w:tabs>
                <w:tab w:val="left" w:pos="420"/>
              </w:tabs>
              <w:spacing w:line="276" w:lineRule="auto"/>
              <w:ind w:right="4"/>
              <w:rPr>
                <w:rFonts w:ascii="宋体" w:hAnsi="宋体"/>
                <w:szCs w:val="21"/>
              </w:rPr>
            </w:pPr>
            <w:r>
              <w:rPr>
                <w:rFonts w:hint="eastAsia" w:ascii="宋体" w:hAnsi="宋体"/>
                <w:szCs w:val="21"/>
              </w:rPr>
              <w:t>给用户角色分配可管理或可查看的功能模块。</w:t>
            </w:r>
          </w:p>
          <w:p>
            <w:pPr>
              <w:numPr>
                <w:ilvl w:val="0"/>
                <w:numId w:val="3"/>
              </w:numPr>
              <w:tabs>
                <w:tab w:val="left" w:pos="420"/>
              </w:tabs>
              <w:spacing w:line="276" w:lineRule="auto"/>
              <w:ind w:right="4"/>
              <w:rPr>
                <w:rFonts w:ascii="宋体" w:hAnsi="宋体"/>
                <w:szCs w:val="21"/>
              </w:rPr>
            </w:pPr>
            <w:r>
              <w:rPr>
                <w:rFonts w:hint="eastAsia" w:ascii="宋体" w:hAnsi="宋体"/>
                <w:szCs w:val="21"/>
              </w:rPr>
              <w:t>新增机构，修改机构，删除机构，机构树形展现。</w:t>
            </w:r>
          </w:p>
          <w:p>
            <w:pPr>
              <w:numPr>
                <w:ilvl w:val="0"/>
                <w:numId w:val="3"/>
              </w:numPr>
              <w:tabs>
                <w:tab w:val="left" w:pos="420"/>
              </w:tabs>
              <w:spacing w:line="276" w:lineRule="auto"/>
              <w:ind w:right="4"/>
              <w:rPr>
                <w:rFonts w:ascii="宋体" w:hAnsi="宋体"/>
                <w:szCs w:val="21"/>
              </w:rPr>
            </w:pPr>
            <w:r>
              <w:rPr>
                <w:rFonts w:hint="eastAsia" w:ascii="宋体" w:hAnsi="宋体"/>
                <w:szCs w:val="21"/>
              </w:rPr>
              <w:t>用户所属部门，可对部门名称进行维护；</w:t>
            </w:r>
          </w:p>
          <w:p>
            <w:pPr>
              <w:numPr>
                <w:ilvl w:val="0"/>
                <w:numId w:val="3"/>
              </w:numPr>
              <w:tabs>
                <w:tab w:val="left" w:pos="420"/>
              </w:tabs>
              <w:spacing w:line="276" w:lineRule="auto"/>
              <w:ind w:right="4"/>
              <w:rPr>
                <w:rFonts w:ascii="宋体" w:hAnsi="宋体"/>
                <w:szCs w:val="21"/>
              </w:rPr>
            </w:pPr>
            <w:r>
              <w:rPr>
                <w:rFonts w:hint="eastAsia" w:ascii="宋体" w:hAnsi="宋体"/>
                <w:szCs w:val="21"/>
              </w:rPr>
              <w:t>用户所属职位，可对职位名称进行维护。</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当活体指静脉验证失败时可用声纹验证身份。</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设置枪支申请的审批步骤，和每个步骤的审批人，也可以设置直接审批人。</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设置短信提醒的模板以及短信接收人。</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新增枪支类型。</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录入枪支编号、枪证号，查询统计入库枪支。</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新增枪柜，修改枪柜信息，删除枪柜。</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配置枪柜类型，如：此枪柜放置什么类型的子弹，此枪柜放置哪把枪支。</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对枪柜端的报警（如：震动等）设定是否设防，如设防产生报警，不设防则忽略。</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实时查看管辖范围内枪柜端的枪支在位情况，和子弹库存情况。</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可设置枪柜在一段时间内为封闭状态，此状态下枪柜端不允许任何操作。</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枪柜被封闭后，可设定手动解除。</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用枪人可填写需要借用的枪支和子弹数量提交到领导审批。</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领导对提交上来的用枪申请进行审批，审批最终通过后任务发送至枪柜，用枪人和管理员在枪柜端即可完成取枪（只可取出申请填写的枪支和子弹数量），此种取枪方式为“领导远程授权取枪”。</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可通过手机APP软件进行枪支弹药在线申请和枪支弹药在线授权审批，并查询操作日志、取换枪支/弹药日志。</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管理平台自动记录子弹消耗信息，并提供子弹消耗记录补填功能，可填写子弹消耗原因等信息。</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系统自动记录到期未归还的枪支（枪支逾期归还）。</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外单位人员临时将枪支存放在本单位枪柜，需要填写相关信息，以寄存的方式存入。</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领导远程授权选择要领用的枪支和子弹数量，枪柜端由管理员和用枪人开启枪柜取出相应的枪弹。</w:t>
            </w:r>
          </w:p>
          <w:p>
            <w:pPr>
              <w:numPr>
                <w:ilvl w:val="0"/>
                <w:numId w:val="3"/>
              </w:numPr>
              <w:tabs>
                <w:tab w:val="left" w:pos="420"/>
              </w:tabs>
              <w:spacing w:line="276" w:lineRule="auto"/>
              <w:ind w:left="501" w:right="4" w:hanging="501"/>
              <w:rPr>
                <w:rFonts w:ascii="宋体" w:hAnsi="宋体"/>
                <w:szCs w:val="21"/>
              </w:rPr>
            </w:pPr>
            <w:r>
              <w:rPr>
                <w:rFonts w:hint="eastAsia" w:ascii="宋体" w:hAnsi="宋体"/>
                <w:szCs w:val="21"/>
              </w:rPr>
              <w:t>查询管辖范围内的枪支弹药使用情况，系统详细的记录了枪支弹药的取还信息、子弹消耗信息、领导授权信息、现场拍摄的图片信息和报警信息等，可通过“时间段” “枪支编号”“领用人”等关键字查询，并且可导出取还枪（弹）等记录。</w:t>
            </w:r>
          </w:p>
          <w:p>
            <w:pPr>
              <w:tabs>
                <w:tab w:val="left" w:pos="420"/>
              </w:tabs>
              <w:spacing w:line="276" w:lineRule="auto"/>
              <w:ind w:right="4"/>
              <w:rPr>
                <w:rFonts w:ascii="宋体" w:hAnsi="宋体"/>
                <w:szCs w:val="21"/>
              </w:rPr>
            </w:pPr>
            <w:r>
              <w:rPr>
                <w:rFonts w:hint="eastAsia" w:ascii="宋体" w:hAnsi="宋体"/>
                <w:szCs w:val="21"/>
              </w:rPr>
              <w:t>▲28、在无环境噪声干扰的情况下，可通过语音方式查询智能柜内枪支/弹药是否在位。</w:t>
            </w:r>
          </w:p>
          <w:p>
            <w:pPr>
              <w:pStyle w:val="36"/>
              <w:numPr>
                <w:ilvl w:val="0"/>
                <w:numId w:val="4"/>
              </w:numPr>
              <w:tabs>
                <w:tab w:val="left" w:pos="420"/>
              </w:tabs>
              <w:spacing w:line="276" w:lineRule="auto"/>
              <w:ind w:right="4" w:firstLineChars="0"/>
              <w:rPr>
                <w:rFonts w:ascii="宋体" w:hAnsi="宋体"/>
                <w:szCs w:val="21"/>
              </w:rPr>
            </w:pPr>
            <w:r>
              <w:rPr>
                <w:rFonts w:hint="eastAsia" w:ascii="宋体" w:hAnsi="宋体"/>
                <w:szCs w:val="21"/>
              </w:rPr>
              <w:t>当管理平台监测到枪柜发生震动等报警时，弹出提示窗口并以短信的形式通知到监管人。</w:t>
            </w:r>
          </w:p>
          <w:p>
            <w:pPr>
              <w:tabs>
                <w:tab w:val="left" w:pos="420"/>
              </w:tabs>
              <w:spacing w:line="276" w:lineRule="auto"/>
              <w:ind w:right="4"/>
              <w:rPr>
                <w:rFonts w:ascii="宋体" w:hAnsi="宋体"/>
                <w:szCs w:val="21"/>
              </w:rPr>
            </w:pPr>
            <w:r>
              <w:rPr>
                <w:rFonts w:hint="eastAsia" w:ascii="宋体" w:hAnsi="宋体"/>
                <w:szCs w:val="21"/>
              </w:rPr>
              <w:t>▲30、可将报警/开关门/取还枪信息以GSM短信形式发送至设定人员手机；当网络断开并恢复后，可将断网期间的报警/开关门/取还枪信息以GSM短信形式发送至设定人员手机。</w:t>
            </w:r>
          </w:p>
          <w:p>
            <w:pPr>
              <w:pStyle w:val="31"/>
              <w:spacing w:line="276" w:lineRule="auto"/>
              <w:rPr>
                <w:rFonts w:ascii="宋体" w:hAnsi="宋体"/>
                <w:b/>
                <w:kern w:val="2"/>
                <w:sz w:val="21"/>
                <w:szCs w:val="21"/>
              </w:rPr>
            </w:pPr>
            <w:r>
              <w:rPr>
                <w:rFonts w:hint="eastAsia" w:ascii="宋体" w:hAnsi="宋体"/>
                <w:kern w:val="2"/>
                <w:sz w:val="21"/>
                <w:szCs w:val="21"/>
              </w:rPr>
              <w:t>▲30.1</w:t>
            </w:r>
            <w:r>
              <w:rPr>
                <w:rFonts w:hint="eastAsia" w:ascii="宋体" w:hAnsi="宋体"/>
                <w:b/>
                <w:kern w:val="2"/>
                <w:sz w:val="21"/>
                <w:szCs w:val="21"/>
              </w:rPr>
              <w:t>可通过平台软件对各种报警信息进行统计，并以柱状图、饼状图形显示统计结果。</w:t>
            </w:r>
          </w:p>
          <w:p>
            <w:pPr>
              <w:tabs>
                <w:tab w:val="left" w:pos="420"/>
              </w:tabs>
              <w:spacing w:line="276" w:lineRule="auto"/>
              <w:ind w:right="4"/>
              <w:rPr>
                <w:rFonts w:ascii="宋体" w:hAnsi="宋体"/>
                <w:szCs w:val="21"/>
              </w:rPr>
            </w:pPr>
            <w:r>
              <w:rPr>
                <w:rFonts w:hint="eastAsia" w:ascii="宋体" w:hAnsi="宋体"/>
                <w:szCs w:val="21"/>
              </w:rPr>
              <w:t>31、当管理平台监测到有取还枪弹操作时，弹出提示窗口并以短信的形式通知到监管人。</w:t>
            </w:r>
          </w:p>
          <w:p>
            <w:pPr>
              <w:tabs>
                <w:tab w:val="left" w:pos="420"/>
              </w:tabs>
              <w:spacing w:line="276" w:lineRule="auto"/>
              <w:ind w:right="4"/>
              <w:rPr>
                <w:szCs w:val="21"/>
              </w:rPr>
            </w:pPr>
            <w:r>
              <w:rPr>
                <w:rFonts w:hint="eastAsia" w:ascii="宋体" w:hAnsi="宋体"/>
                <w:szCs w:val="21"/>
              </w:rPr>
              <w:t>32、当管理平台监测到取出的枪支在指定时间内未归还，弹出提示窗口并以短信的形式通知到监管人提醒归还。</w:t>
            </w:r>
          </w:p>
          <w:p>
            <w:pPr>
              <w:tabs>
                <w:tab w:val="left" w:pos="420"/>
              </w:tabs>
              <w:spacing w:line="276" w:lineRule="auto"/>
              <w:ind w:right="4"/>
              <w:rPr>
                <w:szCs w:val="21"/>
              </w:rPr>
            </w:pPr>
            <w:r>
              <w:rPr>
                <w:rFonts w:hint="eastAsia" w:ascii="宋体" w:hAnsi="宋体"/>
                <w:b/>
                <w:szCs w:val="21"/>
              </w:rPr>
              <w:t>▲</w:t>
            </w:r>
            <w:r>
              <w:rPr>
                <w:rFonts w:hint="eastAsia" w:ascii="宋体" w:hAnsi="宋体"/>
                <w:szCs w:val="21"/>
              </w:rPr>
              <w:t>33、</w:t>
            </w:r>
            <w:r>
              <w:rPr>
                <w:rFonts w:hint="eastAsia"/>
                <w:b/>
                <w:szCs w:val="21"/>
              </w:rPr>
              <w:t>RFID识别功能：当被管理设备入柜前，可通过外接RFID读写器识别带有RFID标签的被管理设备信息。</w:t>
            </w:r>
          </w:p>
          <w:p>
            <w:pPr>
              <w:tabs>
                <w:tab w:val="left" w:pos="420"/>
              </w:tabs>
              <w:spacing w:line="276" w:lineRule="auto"/>
              <w:ind w:right="4"/>
              <w:rPr>
                <w:szCs w:val="21"/>
              </w:rPr>
            </w:pPr>
            <w:r>
              <w:rPr>
                <w:rFonts w:hint="eastAsia" w:ascii="宋体" w:hAnsi="宋体"/>
                <w:b/>
                <w:szCs w:val="21"/>
              </w:rPr>
              <w:t>▲</w:t>
            </w:r>
            <w:r>
              <w:rPr>
                <w:rFonts w:hint="eastAsia" w:ascii="宋体" w:hAnsi="宋体"/>
                <w:szCs w:val="21"/>
              </w:rPr>
              <w:t>34、</w:t>
            </w:r>
            <w:r>
              <w:rPr>
                <w:rFonts w:hint="eastAsia" w:ascii="宋体" w:hAnsi="宋体"/>
                <w:b/>
                <w:szCs w:val="21"/>
              </w:rPr>
              <w:t>当内置摄像头监视区域内出现人脸时，可将该人脸图像和已注册的人脸图像进行自动比对，比对通过后应主动以文字或语音两种形式给出身份信息和交互提示。</w:t>
            </w:r>
          </w:p>
          <w:p>
            <w:pPr>
              <w:tabs>
                <w:tab w:val="left" w:pos="420"/>
              </w:tabs>
              <w:spacing w:line="276" w:lineRule="auto"/>
              <w:ind w:right="4"/>
              <w:rPr>
                <w:szCs w:val="21"/>
              </w:rPr>
            </w:pPr>
            <w:r>
              <w:rPr>
                <w:rFonts w:hint="eastAsia" w:ascii="宋体" w:hAnsi="宋体"/>
                <w:szCs w:val="21"/>
              </w:rPr>
              <w:t>▲35、可在管理平台服务器上将操作信息、报警信息等生成报表并打印输出。</w:t>
            </w:r>
          </w:p>
          <w:p>
            <w:pPr>
              <w:tabs>
                <w:tab w:val="left" w:pos="420"/>
              </w:tabs>
              <w:spacing w:line="276" w:lineRule="auto"/>
              <w:ind w:right="4"/>
              <w:rPr>
                <w:szCs w:val="21"/>
              </w:rPr>
            </w:pPr>
            <w:r>
              <w:rPr>
                <w:rFonts w:hint="eastAsia"/>
                <w:szCs w:val="21"/>
              </w:rPr>
              <w:t>36、其它要求</w:t>
            </w:r>
          </w:p>
          <w:p>
            <w:pPr>
              <w:pStyle w:val="31"/>
              <w:spacing w:line="276" w:lineRule="auto"/>
              <w:rPr>
                <w:kern w:val="2"/>
                <w:sz w:val="21"/>
                <w:szCs w:val="21"/>
              </w:rPr>
            </w:pPr>
            <w:r>
              <w:rPr>
                <w:rFonts w:hint="eastAsia"/>
                <w:kern w:val="2"/>
                <w:sz w:val="21"/>
                <w:szCs w:val="21"/>
              </w:rPr>
              <w:t>（1）、投标人建立了信息安全管理体系，必须提供信息安全管理体系认证证书。</w:t>
            </w:r>
          </w:p>
          <w:p>
            <w:pPr>
              <w:pStyle w:val="31"/>
              <w:spacing w:line="276" w:lineRule="auto"/>
              <w:rPr>
                <w:kern w:val="2"/>
                <w:sz w:val="21"/>
                <w:szCs w:val="21"/>
              </w:rPr>
            </w:pPr>
            <w:r>
              <w:rPr>
                <w:rFonts w:hint="eastAsia"/>
                <w:kern w:val="2"/>
                <w:sz w:val="21"/>
                <w:szCs w:val="21"/>
              </w:rPr>
              <w:t>（2）、投标人建立了信息技术服务管理体系，必须提供信息技术服务管理体系认证证书。</w:t>
            </w:r>
          </w:p>
          <w:p>
            <w:pPr>
              <w:pStyle w:val="31"/>
              <w:spacing w:line="276" w:lineRule="auto"/>
              <w:rPr>
                <w:b/>
                <w:kern w:val="2"/>
                <w:sz w:val="21"/>
                <w:szCs w:val="21"/>
              </w:rPr>
            </w:pPr>
            <w:r>
              <w:rPr>
                <w:rFonts w:hint="eastAsia" w:hAnsi="宋体" w:cs="仿宋"/>
                <w:kern w:val="2"/>
                <w:sz w:val="21"/>
                <w:szCs w:val="21"/>
              </w:rPr>
              <w:t>须提供国家安全防范报警系统产品质量监督检验中心</w:t>
            </w:r>
            <w:r>
              <w:rPr>
                <w:rFonts w:hint="eastAsia" w:ascii="宋体" w:hAnsi="宋体" w:cs="仿宋"/>
                <w:kern w:val="2"/>
                <w:sz w:val="21"/>
                <w:szCs w:val="21"/>
              </w:rPr>
              <w:t>或</w:t>
            </w:r>
            <w:r>
              <w:rPr>
                <w:rFonts w:hint="eastAsia" w:ascii="宋体" w:hAnsi="宋体"/>
                <w:bCs/>
                <w:kern w:val="2"/>
                <w:sz w:val="21"/>
                <w:szCs w:val="21"/>
              </w:rPr>
              <w:t>公安部特种警用装备质量监督检验中心</w:t>
            </w:r>
            <w:r>
              <w:rPr>
                <w:rFonts w:hint="eastAsia" w:hAnsi="宋体" w:cs="仿宋"/>
                <w:kern w:val="2"/>
                <w:sz w:val="21"/>
                <w:szCs w:val="21"/>
              </w:rPr>
              <w:t>出具的检测报告，注“</w:t>
            </w:r>
            <w:r>
              <w:rPr>
                <w:rFonts w:hint="eastAsia" w:hAnsi="宋体" w:cs="宋体"/>
                <w:kern w:val="2"/>
                <w:sz w:val="21"/>
                <w:szCs w:val="21"/>
              </w:rPr>
              <w:t>▲</w:t>
            </w:r>
            <w:r>
              <w:rPr>
                <w:rFonts w:hint="eastAsia" w:hAnsi="宋体" w:cs="仿宋"/>
                <w:kern w:val="2"/>
                <w:sz w:val="21"/>
                <w:szCs w:val="21"/>
              </w:rPr>
              <w:t>”项目参数在</w:t>
            </w:r>
            <w:r>
              <w:rPr>
                <w:rFonts w:hint="eastAsia" w:hAnsi="宋体" w:cs="新宋体"/>
                <w:kern w:val="2"/>
                <w:sz w:val="21"/>
                <w:szCs w:val="21"/>
              </w:rPr>
              <w:t>报告中必须有功能检测合格的描述</w:t>
            </w:r>
            <w:r>
              <w:rPr>
                <w:rFonts w:hint="eastAsia" w:hAnsi="宋体" w:cs="仿宋"/>
                <w:kern w:val="2"/>
                <w:sz w:val="21"/>
                <w:szCs w:val="21"/>
              </w:rPr>
              <w:t>。(提供复印件加盖公章，原件备查)。</w:t>
            </w:r>
          </w:p>
        </w:tc>
      </w:tr>
    </w:tbl>
    <w:p>
      <w:pPr>
        <w:spacing w:line="360" w:lineRule="auto"/>
        <w:rPr>
          <w:rFonts w:ascii="宋体" w:hAnsi="宋体"/>
          <w:b/>
          <w:bCs/>
        </w:rPr>
      </w:pPr>
      <w:r>
        <w:rPr>
          <w:rFonts w:hint="eastAsia" w:ascii="宋体" w:hAnsi="宋体"/>
          <w:b/>
          <w:bCs/>
        </w:rPr>
        <w:t>（二）智能枪(弹)柜功能配置要求</w:t>
      </w:r>
    </w:p>
    <w:tbl>
      <w:tblPr>
        <w:tblStyle w:val="15"/>
        <w:tblW w:w="5000" w:type="pct"/>
        <w:jc w:val="center"/>
        <w:tblLayout w:type="autofit"/>
        <w:tblCellMar>
          <w:top w:w="0" w:type="dxa"/>
          <w:left w:w="108" w:type="dxa"/>
          <w:bottom w:w="0" w:type="dxa"/>
          <w:right w:w="108" w:type="dxa"/>
        </w:tblCellMar>
      </w:tblPr>
      <w:tblGrid>
        <w:gridCol w:w="1060"/>
        <w:gridCol w:w="1648"/>
        <w:gridCol w:w="7146"/>
      </w:tblGrid>
      <w:tr>
        <w:tblPrEx>
          <w:tblCellMar>
            <w:top w:w="0" w:type="dxa"/>
            <w:left w:w="108" w:type="dxa"/>
            <w:bottom w:w="0" w:type="dxa"/>
            <w:right w:w="108" w:type="dxa"/>
          </w:tblCellMar>
        </w:tblPrEx>
        <w:trPr>
          <w:trHeight w:val="273" w:hRule="atLeast"/>
          <w:jc w:val="center"/>
        </w:trPr>
        <w:tc>
          <w:tcPr>
            <w:tcW w:w="35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w:t>
            </w:r>
          </w:p>
          <w:p>
            <w:pPr>
              <w:spacing w:line="360" w:lineRule="auto"/>
              <w:rPr>
                <w:rFonts w:ascii="宋体" w:hAnsi="宋体"/>
                <w:szCs w:val="21"/>
              </w:rPr>
            </w:pPr>
            <w:r>
              <w:rPr>
                <w:rFonts w:hint="eastAsia" w:ascii="宋体" w:hAnsi="宋体"/>
                <w:b/>
                <w:bCs/>
                <w:szCs w:val="21"/>
              </w:rPr>
              <w:t>柜体要求</w:t>
            </w: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柜体材质</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低碳合金优质钢材,符合公安部GA 1051-2013柜体标准，防破坏等级达到I级以上。</w:t>
            </w:r>
          </w:p>
        </w:tc>
      </w:tr>
      <w:tr>
        <w:tblPrEx>
          <w:tblCellMar>
            <w:top w:w="0" w:type="dxa"/>
            <w:left w:w="108" w:type="dxa"/>
            <w:bottom w:w="0" w:type="dxa"/>
            <w:right w:w="108" w:type="dxa"/>
          </w:tblCellMar>
        </w:tblPrEx>
        <w:trPr>
          <w:trHeight w:val="273"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柜体用材标准</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门、柜体均采用低碳合金优质钢板，柜体钢板厚度应≥6mm，柜门钢板厚度应≥10mm，内衬优质绒毯。</w:t>
            </w:r>
          </w:p>
        </w:tc>
      </w:tr>
      <w:tr>
        <w:tblPrEx>
          <w:tblCellMar>
            <w:top w:w="0" w:type="dxa"/>
            <w:left w:w="108" w:type="dxa"/>
            <w:bottom w:w="0" w:type="dxa"/>
            <w:right w:w="108" w:type="dxa"/>
          </w:tblCellMar>
        </w:tblPrEx>
        <w:trPr>
          <w:trHeight w:val="267"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表面处理</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表面静电喷涂</w:t>
            </w:r>
          </w:p>
        </w:tc>
      </w:tr>
      <w:tr>
        <w:tblPrEx>
          <w:tblCellMar>
            <w:top w:w="0" w:type="dxa"/>
            <w:left w:w="108" w:type="dxa"/>
            <w:bottom w:w="0" w:type="dxa"/>
            <w:right w:w="108" w:type="dxa"/>
          </w:tblCellMar>
        </w:tblPrEx>
        <w:trPr>
          <w:trHeight w:val="259"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颜色</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柜体公安蓝色，柜门灰白色。</w:t>
            </w:r>
          </w:p>
        </w:tc>
      </w:tr>
      <w:tr>
        <w:tblPrEx>
          <w:tblCellMar>
            <w:top w:w="0" w:type="dxa"/>
            <w:left w:w="108" w:type="dxa"/>
            <w:bottom w:w="0" w:type="dxa"/>
            <w:right w:w="108" w:type="dxa"/>
          </w:tblCellMar>
        </w:tblPrEx>
        <w:trPr>
          <w:trHeight w:val="285"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外观尺寸（mm）</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≤H1800*D500*W1000(mm)</w:t>
            </w:r>
          </w:p>
        </w:tc>
      </w:tr>
      <w:tr>
        <w:tblPrEx>
          <w:tblCellMar>
            <w:top w:w="0" w:type="dxa"/>
            <w:left w:w="108" w:type="dxa"/>
            <w:bottom w:w="0" w:type="dxa"/>
            <w:right w:w="108" w:type="dxa"/>
          </w:tblCellMar>
        </w:tblPrEx>
        <w:trPr>
          <w:trHeight w:val="283"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门体结构</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联动互锁双开门或单门。</w:t>
            </w:r>
          </w:p>
        </w:tc>
      </w:tr>
      <w:tr>
        <w:tblPrEx>
          <w:tblCellMar>
            <w:top w:w="0" w:type="dxa"/>
            <w:left w:w="108" w:type="dxa"/>
            <w:bottom w:w="0" w:type="dxa"/>
            <w:right w:w="108" w:type="dxa"/>
          </w:tblCellMar>
        </w:tblPrEx>
        <w:trPr>
          <w:trHeight w:val="275"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门铰和把手</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防夹内门铰，不锈钢大力矩把手</w:t>
            </w:r>
          </w:p>
        </w:tc>
      </w:tr>
      <w:tr>
        <w:tblPrEx>
          <w:tblCellMar>
            <w:top w:w="0" w:type="dxa"/>
            <w:left w:w="108" w:type="dxa"/>
            <w:bottom w:w="0" w:type="dxa"/>
            <w:right w:w="108" w:type="dxa"/>
          </w:tblCellMar>
        </w:tblPrEx>
        <w:trPr>
          <w:trHeight w:val="160"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特种机械锁</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双人双钥匙（</w:t>
            </w:r>
            <w:r>
              <w:rPr>
                <w:rFonts w:ascii="宋体" w:hAnsi="宋体"/>
                <w:szCs w:val="21"/>
              </w:rPr>
              <w:t>采用GA标志机械钥匙，不得采用简单的一字锁机械钥匙）</w:t>
            </w:r>
          </w:p>
        </w:tc>
      </w:tr>
      <w:tr>
        <w:tblPrEx>
          <w:tblCellMar>
            <w:top w:w="0" w:type="dxa"/>
            <w:left w:w="108" w:type="dxa"/>
            <w:bottom w:w="0" w:type="dxa"/>
            <w:right w:w="108" w:type="dxa"/>
          </w:tblCellMar>
        </w:tblPrEx>
        <w:trPr>
          <w:trHeight w:val="160"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门开启方式</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指静脉、声纹识别、机械锁（双人双钥匙应急开启）。</w:t>
            </w:r>
          </w:p>
        </w:tc>
      </w:tr>
      <w:tr>
        <w:tblPrEx>
          <w:tblCellMar>
            <w:top w:w="0" w:type="dxa"/>
            <w:left w:w="108" w:type="dxa"/>
            <w:bottom w:w="0" w:type="dxa"/>
            <w:right w:w="108" w:type="dxa"/>
          </w:tblCellMar>
        </w:tblPrEx>
        <w:trPr>
          <w:trHeight w:val="450" w:hRule="atLeast"/>
          <w:jc w:val="center"/>
        </w:trPr>
        <w:tc>
          <w:tcPr>
            <w:tcW w:w="356" w:type="pct"/>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r>
              <w:rPr>
                <w:rFonts w:hint="eastAsia" w:ascii="宋体" w:hAnsi="宋体"/>
                <w:b/>
                <w:bCs/>
                <w:szCs w:val="21"/>
              </w:rPr>
              <w:t>枪（弹）柜电子系统要求</w:t>
            </w: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枪锁</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独立全自动卡扣枪锁（锁枪支扳机护圈）、带机械钥匙应急开锁、枪支在位感应。（只限于智能枪柜 ）。</w:t>
            </w:r>
          </w:p>
        </w:tc>
      </w:tr>
      <w:tr>
        <w:tblPrEx>
          <w:tblCellMar>
            <w:top w:w="0" w:type="dxa"/>
            <w:left w:w="108" w:type="dxa"/>
            <w:bottom w:w="0" w:type="dxa"/>
            <w:right w:w="108" w:type="dxa"/>
          </w:tblCellMar>
        </w:tblPrEx>
        <w:trPr>
          <w:trHeight w:val="145"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显示屏类型</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12寸， 1024*768分辨率， 电容式触控显示一体屏 。</w:t>
            </w:r>
          </w:p>
        </w:tc>
      </w:tr>
      <w:tr>
        <w:tblPrEx>
          <w:tblCellMar>
            <w:top w:w="0" w:type="dxa"/>
            <w:left w:w="108" w:type="dxa"/>
            <w:bottom w:w="0" w:type="dxa"/>
            <w:right w:w="108" w:type="dxa"/>
          </w:tblCellMar>
        </w:tblPrEx>
        <w:trPr>
          <w:trHeight w:val="166"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身份验证方式</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指静脉、声纹双模生物识别验证可自由选择、相互补充。</w:t>
            </w:r>
          </w:p>
        </w:tc>
      </w:tr>
      <w:tr>
        <w:tblPrEx>
          <w:tblCellMar>
            <w:top w:w="0" w:type="dxa"/>
            <w:left w:w="108" w:type="dxa"/>
            <w:bottom w:w="0" w:type="dxa"/>
            <w:right w:w="108" w:type="dxa"/>
          </w:tblCellMar>
        </w:tblPrEx>
        <w:trPr>
          <w:trHeight w:val="171"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指静脉头</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活体指静脉模块 </w:t>
            </w:r>
          </w:p>
        </w:tc>
      </w:tr>
      <w:tr>
        <w:tblPrEx>
          <w:tblCellMar>
            <w:top w:w="0" w:type="dxa"/>
            <w:left w:w="108" w:type="dxa"/>
            <w:bottom w:w="0" w:type="dxa"/>
            <w:right w:w="108" w:type="dxa"/>
          </w:tblCellMar>
        </w:tblPrEx>
        <w:trPr>
          <w:trHeight w:val="163"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指静脉储数量</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≥1000枚</w:t>
            </w:r>
          </w:p>
        </w:tc>
      </w:tr>
      <w:tr>
        <w:tblPrEx>
          <w:tblCellMar>
            <w:top w:w="0" w:type="dxa"/>
            <w:left w:w="108" w:type="dxa"/>
            <w:bottom w:w="0" w:type="dxa"/>
            <w:right w:w="108" w:type="dxa"/>
          </w:tblCellMar>
        </w:tblPrEx>
        <w:trPr>
          <w:trHeight w:val="155"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权限</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多级管理模式</w:t>
            </w:r>
          </w:p>
        </w:tc>
      </w:tr>
      <w:tr>
        <w:tblPrEx>
          <w:tblCellMar>
            <w:top w:w="0" w:type="dxa"/>
            <w:left w:w="108" w:type="dxa"/>
            <w:bottom w:w="0" w:type="dxa"/>
            <w:right w:w="108" w:type="dxa"/>
          </w:tblCellMar>
        </w:tblPrEx>
        <w:trPr>
          <w:trHeight w:val="161"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管理员认证方式</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指静脉、警号+动态口令（声纹生物识别）。</w:t>
            </w:r>
          </w:p>
        </w:tc>
      </w:tr>
      <w:tr>
        <w:tblPrEx>
          <w:tblCellMar>
            <w:top w:w="0" w:type="dxa"/>
            <w:left w:w="108" w:type="dxa"/>
            <w:bottom w:w="0" w:type="dxa"/>
            <w:right w:w="108" w:type="dxa"/>
          </w:tblCellMar>
        </w:tblPrEx>
        <w:trPr>
          <w:trHeight w:val="167"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指静脉用户实名制</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有</w:t>
            </w:r>
          </w:p>
        </w:tc>
      </w:tr>
      <w:tr>
        <w:tblPrEx>
          <w:tblCellMar>
            <w:top w:w="0" w:type="dxa"/>
            <w:left w:w="108" w:type="dxa"/>
            <w:bottom w:w="0" w:type="dxa"/>
            <w:right w:w="108" w:type="dxa"/>
          </w:tblCellMar>
        </w:tblPrEx>
        <w:trPr>
          <w:trHeight w:val="215"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指静脉增加</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有 </w:t>
            </w:r>
          </w:p>
        </w:tc>
      </w:tr>
      <w:tr>
        <w:tblPrEx>
          <w:tblCellMar>
            <w:top w:w="0" w:type="dxa"/>
            <w:left w:w="108" w:type="dxa"/>
            <w:bottom w:w="0" w:type="dxa"/>
            <w:right w:w="108" w:type="dxa"/>
          </w:tblCellMar>
        </w:tblPrEx>
        <w:trPr>
          <w:trHeight w:val="261"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指静脉删除</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有</w:t>
            </w:r>
          </w:p>
        </w:tc>
      </w:tr>
      <w:tr>
        <w:tblPrEx>
          <w:tblCellMar>
            <w:top w:w="0" w:type="dxa"/>
            <w:left w:w="108" w:type="dxa"/>
            <w:bottom w:w="0" w:type="dxa"/>
            <w:right w:w="108" w:type="dxa"/>
          </w:tblCellMar>
        </w:tblPrEx>
        <w:trPr>
          <w:trHeight w:val="137"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清空功能</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有</w:t>
            </w:r>
          </w:p>
        </w:tc>
      </w:tr>
      <w:tr>
        <w:tblPrEx>
          <w:tblCellMar>
            <w:top w:w="0" w:type="dxa"/>
            <w:left w:w="108" w:type="dxa"/>
            <w:bottom w:w="0" w:type="dxa"/>
            <w:right w:w="108" w:type="dxa"/>
          </w:tblCellMar>
        </w:tblPrEx>
        <w:trPr>
          <w:trHeight w:val="317"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日志查询</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有取还枪支弹药记录、申请记录、审批记录、报警信息记录、保养记录等。</w:t>
            </w:r>
          </w:p>
        </w:tc>
      </w:tr>
      <w:tr>
        <w:tblPrEx>
          <w:tblCellMar>
            <w:top w:w="0" w:type="dxa"/>
            <w:left w:w="108" w:type="dxa"/>
            <w:bottom w:w="0" w:type="dxa"/>
            <w:right w:w="108" w:type="dxa"/>
          </w:tblCellMar>
        </w:tblPrEx>
        <w:trPr>
          <w:trHeight w:val="173"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掉电保护</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有</w:t>
            </w:r>
          </w:p>
        </w:tc>
      </w:tr>
      <w:tr>
        <w:tblPrEx>
          <w:tblCellMar>
            <w:top w:w="0" w:type="dxa"/>
            <w:left w:w="108" w:type="dxa"/>
            <w:bottom w:w="0" w:type="dxa"/>
            <w:right w:w="108" w:type="dxa"/>
          </w:tblCellMar>
        </w:tblPrEx>
        <w:trPr>
          <w:trHeight w:val="219"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主电源</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220V  </w:t>
            </w:r>
          </w:p>
        </w:tc>
      </w:tr>
      <w:tr>
        <w:tblPrEx>
          <w:tblCellMar>
            <w:top w:w="0" w:type="dxa"/>
            <w:left w:w="108" w:type="dxa"/>
            <w:bottom w:w="0" w:type="dxa"/>
            <w:right w:w="108" w:type="dxa"/>
          </w:tblCellMar>
        </w:tblPrEx>
        <w:trPr>
          <w:trHeight w:val="321"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应急电源</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可保证断电情况下枪支正常待机8小时以上。</w:t>
            </w:r>
          </w:p>
        </w:tc>
      </w:tr>
      <w:tr>
        <w:tblPrEx>
          <w:tblCellMar>
            <w:top w:w="0" w:type="dxa"/>
            <w:left w:w="108" w:type="dxa"/>
            <w:bottom w:w="0" w:type="dxa"/>
            <w:right w:w="108" w:type="dxa"/>
          </w:tblCellMar>
        </w:tblPrEx>
        <w:trPr>
          <w:trHeight w:val="319"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通讯方式</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TCP/IP </w:t>
            </w:r>
          </w:p>
        </w:tc>
      </w:tr>
      <w:tr>
        <w:tblPrEx>
          <w:tblCellMar>
            <w:top w:w="0" w:type="dxa"/>
            <w:left w:w="108" w:type="dxa"/>
            <w:bottom w:w="0" w:type="dxa"/>
            <w:right w:w="108" w:type="dxa"/>
          </w:tblCellMar>
        </w:tblPrEx>
        <w:trPr>
          <w:trHeight w:val="169"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指静脉上传</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有 </w:t>
            </w:r>
          </w:p>
        </w:tc>
      </w:tr>
      <w:tr>
        <w:tblPrEx>
          <w:tblCellMar>
            <w:top w:w="0" w:type="dxa"/>
            <w:left w:w="108" w:type="dxa"/>
            <w:bottom w:w="0" w:type="dxa"/>
            <w:right w:w="108" w:type="dxa"/>
          </w:tblCellMar>
        </w:tblPrEx>
        <w:trPr>
          <w:trHeight w:val="303"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报警方式</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现场声音报警、后台提醒、远程短信报警。</w:t>
            </w:r>
          </w:p>
        </w:tc>
      </w:tr>
      <w:tr>
        <w:tblPrEx>
          <w:tblCellMar>
            <w:top w:w="0" w:type="dxa"/>
            <w:left w:w="108" w:type="dxa"/>
            <w:bottom w:w="0" w:type="dxa"/>
            <w:right w:w="108" w:type="dxa"/>
          </w:tblCellMar>
        </w:tblPrEx>
        <w:trPr>
          <w:trHeight w:val="309"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报警功能</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断网报警、断电报警、非法移动报警、非法震动（破坏）报警、非法开启枪锁弹盒报警、超时还枪报警。</w:t>
            </w:r>
          </w:p>
        </w:tc>
      </w:tr>
      <w:tr>
        <w:tblPrEx>
          <w:tblCellMar>
            <w:top w:w="0" w:type="dxa"/>
            <w:left w:w="108" w:type="dxa"/>
            <w:bottom w:w="0" w:type="dxa"/>
            <w:right w:w="108" w:type="dxa"/>
          </w:tblCellMar>
        </w:tblPrEx>
        <w:trPr>
          <w:trHeight w:val="235"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解除报警</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管理员可通过身份识别登陆授权解除报警 。</w:t>
            </w:r>
          </w:p>
        </w:tc>
      </w:tr>
      <w:tr>
        <w:tblPrEx>
          <w:tblCellMar>
            <w:top w:w="0" w:type="dxa"/>
            <w:left w:w="108" w:type="dxa"/>
            <w:bottom w:w="0" w:type="dxa"/>
            <w:right w:w="108" w:type="dxa"/>
          </w:tblCellMar>
        </w:tblPrEx>
        <w:trPr>
          <w:trHeight w:val="440"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枪支在位检测</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触点式或红外枪支在位检测、可通过软件在枪弹柜端和管理平台查看实时枪支在位情况。 </w:t>
            </w:r>
          </w:p>
        </w:tc>
      </w:tr>
      <w:tr>
        <w:tblPrEx>
          <w:tblCellMar>
            <w:top w:w="0" w:type="dxa"/>
            <w:left w:w="108" w:type="dxa"/>
            <w:bottom w:w="0" w:type="dxa"/>
            <w:right w:w="108" w:type="dxa"/>
          </w:tblCellMar>
        </w:tblPrEx>
        <w:trPr>
          <w:trHeight w:val="505"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语音提示</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全程语音操作提示 。</w:t>
            </w:r>
          </w:p>
        </w:tc>
      </w:tr>
      <w:tr>
        <w:tblPrEx>
          <w:tblCellMar>
            <w:top w:w="0" w:type="dxa"/>
            <w:left w:w="108" w:type="dxa"/>
            <w:bottom w:w="0" w:type="dxa"/>
            <w:right w:w="108" w:type="dxa"/>
          </w:tblCellMar>
        </w:tblPrEx>
        <w:trPr>
          <w:trHeight w:val="470"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视频图像监控</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柜体自带视频图像监控模块，提供柜体操作抓拍图像信息给管理平台。视频图像监控模块具有移动侦测功能，当系统侦测到摄像头采集的图像中有移动目标时，应能自动抓拍图像，并给出响应的提示。</w:t>
            </w:r>
          </w:p>
        </w:tc>
      </w:tr>
      <w:tr>
        <w:tblPrEx>
          <w:tblCellMar>
            <w:top w:w="0" w:type="dxa"/>
            <w:left w:w="108" w:type="dxa"/>
            <w:bottom w:w="0" w:type="dxa"/>
            <w:right w:w="108" w:type="dxa"/>
          </w:tblCellMar>
        </w:tblPrEx>
        <w:trPr>
          <w:trHeight w:val="367"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摄像头</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配置红外夜视高清摄像，≥130万像素。</w:t>
            </w:r>
          </w:p>
        </w:tc>
      </w:tr>
      <w:tr>
        <w:tblPrEx>
          <w:tblCellMar>
            <w:top w:w="0" w:type="dxa"/>
            <w:left w:w="108" w:type="dxa"/>
            <w:bottom w:w="0" w:type="dxa"/>
            <w:right w:w="108" w:type="dxa"/>
          </w:tblCellMar>
        </w:tblPrEx>
        <w:trPr>
          <w:trHeight w:val="557"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right w:val="single" w:color="auto" w:sz="4" w:space="0"/>
            </w:tcBorders>
            <w:vAlign w:val="center"/>
          </w:tcPr>
          <w:p>
            <w:pPr>
              <w:spacing w:line="360" w:lineRule="auto"/>
              <w:rPr>
                <w:rFonts w:ascii="宋体" w:hAnsi="宋体"/>
                <w:szCs w:val="21"/>
              </w:rPr>
            </w:pPr>
            <w:r>
              <w:rPr>
                <w:rFonts w:hint="eastAsia" w:ascii="宋体" w:hAnsi="宋体"/>
                <w:szCs w:val="21"/>
              </w:rPr>
              <w:t>能识别身份的酒精测试</w:t>
            </w:r>
          </w:p>
        </w:tc>
        <w:tc>
          <w:tcPr>
            <w:tcW w:w="3717" w:type="pct"/>
            <w:tcBorders>
              <w:top w:val="single" w:color="auto" w:sz="4" w:space="0"/>
              <w:left w:val="nil"/>
              <w:right w:val="single" w:color="auto" w:sz="4" w:space="0"/>
            </w:tcBorders>
            <w:vAlign w:val="center"/>
          </w:tcPr>
          <w:p>
            <w:pPr>
              <w:spacing w:line="360" w:lineRule="auto"/>
              <w:rPr>
                <w:rFonts w:ascii="宋体" w:hAnsi="宋体"/>
                <w:szCs w:val="21"/>
              </w:rPr>
            </w:pPr>
            <w:r>
              <w:rPr>
                <w:rFonts w:hint="eastAsia" w:ascii="宋体" w:hAnsi="宋体"/>
                <w:szCs w:val="21"/>
              </w:rPr>
              <w:t>声纹身份识别的酒精测试（或其它能识别身份的非吹气式酒精测试），系统必须有语音提示酒精测试是否通过，当检测到的酒精浓度超过设定的阈值时，触摸屏上软件界面应由枪支弹药领取界面自动返回至主界面，系统同时记录酒精浓度超标人身份。做到既认气体浓度又认人，防止非领枪人代替进行酒精测试，真正做到领枪人酒精超标不能领枪，防止酒后用枪。</w:t>
            </w:r>
          </w:p>
        </w:tc>
      </w:tr>
      <w:tr>
        <w:tblPrEx>
          <w:tblCellMar>
            <w:top w:w="0" w:type="dxa"/>
            <w:left w:w="108" w:type="dxa"/>
            <w:bottom w:w="0" w:type="dxa"/>
            <w:right w:w="108" w:type="dxa"/>
          </w:tblCellMar>
        </w:tblPrEx>
        <w:trPr>
          <w:trHeight w:val="351" w:hRule="atLeast"/>
          <w:jc w:val="center"/>
        </w:trPr>
        <w:tc>
          <w:tcPr>
            <w:tcW w:w="356" w:type="pct"/>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r>
              <w:rPr>
                <w:rFonts w:hint="eastAsia" w:ascii="宋体" w:hAnsi="宋体"/>
                <w:b/>
                <w:bCs/>
                <w:szCs w:val="21"/>
              </w:rPr>
              <w:t>取枪（弹）、还枪（弹）流程</w:t>
            </w: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取枪、弹流程：</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警员利用联网电脑申请---领导利用联网电脑审批同意——警员到枪库连同枪管员双人双指静脉开枪柜、弹柜——完成取枪、弹流程。</w:t>
            </w:r>
          </w:p>
        </w:tc>
      </w:tr>
      <w:tr>
        <w:tblPrEx>
          <w:tblCellMar>
            <w:top w:w="0" w:type="dxa"/>
            <w:left w:w="108" w:type="dxa"/>
            <w:bottom w:w="0" w:type="dxa"/>
            <w:right w:w="108" w:type="dxa"/>
          </w:tblCellMar>
        </w:tblPrEx>
        <w:trPr>
          <w:trHeight w:val="442"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还枪、弹流程：</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警员用枪完毕利用联网电脑进行还枪登记——登记完毕到枪库连同枪管员双人双指静脉开启枪、弹柜还枪——完成还枪还弹流程。</w:t>
            </w:r>
          </w:p>
        </w:tc>
      </w:tr>
      <w:tr>
        <w:tblPrEx>
          <w:tblCellMar>
            <w:top w:w="0" w:type="dxa"/>
            <w:left w:w="108" w:type="dxa"/>
            <w:bottom w:w="0" w:type="dxa"/>
            <w:right w:w="108" w:type="dxa"/>
          </w:tblCellMar>
        </w:tblPrEx>
        <w:trPr>
          <w:trHeight w:val="520"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紧急流程：</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 出现紧急情况——领导到枪库连同枪管员（或领导远程授权）双人双指静脉紧急开启枪柜、弹柜——所有枪锁、弹锁全部开启，进入紧急取枪、弹。</w:t>
            </w:r>
          </w:p>
        </w:tc>
      </w:tr>
      <w:tr>
        <w:tblPrEx>
          <w:tblCellMar>
            <w:top w:w="0" w:type="dxa"/>
            <w:left w:w="108" w:type="dxa"/>
            <w:bottom w:w="0" w:type="dxa"/>
            <w:right w:w="108" w:type="dxa"/>
          </w:tblCellMar>
        </w:tblPrEx>
        <w:trPr>
          <w:trHeight w:val="520" w:hRule="atLeast"/>
          <w:jc w:val="center"/>
        </w:trPr>
        <w:tc>
          <w:tcPr>
            <w:tcW w:w="35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b/>
                <w:bCs/>
                <w:szCs w:val="21"/>
              </w:rPr>
            </w:pPr>
          </w:p>
        </w:tc>
        <w:tc>
          <w:tcPr>
            <w:tcW w:w="92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其他流程</w:t>
            </w:r>
          </w:p>
        </w:tc>
        <w:tc>
          <w:tcPr>
            <w:tcW w:w="3717" w:type="pct"/>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代领取还：一个人代多人取还。</w:t>
            </w:r>
          </w:p>
          <w:p>
            <w:pPr>
              <w:spacing w:line="360" w:lineRule="auto"/>
              <w:rPr>
                <w:rFonts w:ascii="宋体" w:hAnsi="宋体"/>
                <w:szCs w:val="21"/>
              </w:rPr>
            </w:pPr>
            <w:r>
              <w:rPr>
                <w:rFonts w:hint="eastAsia" w:ascii="宋体" w:hAnsi="宋体"/>
                <w:szCs w:val="21"/>
              </w:rPr>
              <w:t>多人取还：多人轮流取还。</w:t>
            </w:r>
          </w:p>
        </w:tc>
      </w:tr>
    </w:tbl>
    <w:p>
      <w:pPr>
        <w:spacing w:line="360" w:lineRule="auto"/>
        <w:rPr>
          <w:rFonts w:ascii="宋体" w:hAnsi="宋体"/>
          <w:b/>
          <w:bCs/>
          <w:sz w:val="28"/>
          <w:szCs w:val="28"/>
        </w:rPr>
      </w:pPr>
      <w:r>
        <w:rPr>
          <w:rFonts w:hint="eastAsia" w:ascii="宋体" w:hAnsi="宋体"/>
          <w:b/>
          <w:bCs/>
          <w:sz w:val="28"/>
          <w:szCs w:val="28"/>
        </w:rPr>
        <w:t>（三）智能枪弹柜其它配套设备主要技术参数和功能配置要求</w:t>
      </w:r>
    </w:p>
    <w:tbl>
      <w:tblPr>
        <w:tblStyle w:val="15"/>
        <w:tblW w:w="5000" w:type="pct"/>
        <w:tblInd w:w="0" w:type="dxa"/>
        <w:tblLayout w:type="autofit"/>
        <w:tblCellMar>
          <w:top w:w="0" w:type="dxa"/>
          <w:left w:w="108" w:type="dxa"/>
          <w:bottom w:w="0" w:type="dxa"/>
          <w:right w:w="108" w:type="dxa"/>
        </w:tblCellMar>
      </w:tblPr>
      <w:tblGrid>
        <w:gridCol w:w="494"/>
        <w:gridCol w:w="824"/>
        <w:gridCol w:w="8536"/>
      </w:tblGrid>
      <w:tr>
        <w:tblPrEx>
          <w:tblCellMar>
            <w:top w:w="0" w:type="dxa"/>
            <w:left w:w="108" w:type="dxa"/>
            <w:bottom w:w="0" w:type="dxa"/>
            <w:right w:w="108" w:type="dxa"/>
          </w:tblCellMar>
        </w:tblPrEx>
        <w:tc>
          <w:tcPr>
            <w:tcW w:w="251"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b/>
                <w:bCs/>
                <w:szCs w:val="21"/>
              </w:rPr>
            </w:pPr>
            <w:r>
              <w:rPr>
                <w:rFonts w:hint="eastAsia" w:ascii="宋体" w:hAnsi="宋体"/>
                <w:b/>
                <w:bCs/>
                <w:szCs w:val="21"/>
              </w:rPr>
              <w:t>序号</w:t>
            </w:r>
          </w:p>
        </w:tc>
        <w:tc>
          <w:tcPr>
            <w:tcW w:w="418" w:type="pct"/>
            <w:tcBorders>
              <w:top w:val="single" w:color="000000" w:sz="4" w:space="0"/>
              <w:left w:val="nil"/>
              <w:bottom w:val="single" w:color="000000" w:sz="4" w:space="0"/>
              <w:right w:val="single" w:color="000000" w:sz="4" w:space="0"/>
            </w:tcBorders>
            <w:vAlign w:val="center"/>
          </w:tcPr>
          <w:p>
            <w:pPr>
              <w:spacing w:line="360" w:lineRule="auto"/>
              <w:rPr>
                <w:rFonts w:ascii="宋体" w:hAnsi="宋体"/>
                <w:b/>
                <w:bCs/>
                <w:szCs w:val="21"/>
              </w:rPr>
            </w:pPr>
            <w:r>
              <w:rPr>
                <w:rFonts w:hint="eastAsia" w:ascii="宋体" w:hAnsi="宋体"/>
                <w:b/>
                <w:bCs/>
                <w:szCs w:val="21"/>
              </w:rPr>
              <w:t>货物名称</w:t>
            </w:r>
          </w:p>
        </w:tc>
        <w:tc>
          <w:tcPr>
            <w:tcW w:w="4331" w:type="pct"/>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b/>
                <w:bCs/>
                <w:szCs w:val="21"/>
              </w:rPr>
            </w:pPr>
            <w:r>
              <w:rPr>
                <w:rFonts w:hint="eastAsia" w:ascii="宋体" w:hAnsi="宋体"/>
                <w:b/>
                <w:bCs/>
                <w:szCs w:val="21"/>
              </w:rPr>
              <w:t>主要技术参数</w:t>
            </w:r>
          </w:p>
        </w:tc>
      </w:tr>
      <w:tr>
        <w:tblPrEx>
          <w:tblCellMar>
            <w:top w:w="0" w:type="dxa"/>
            <w:left w:w="108" w:type="dxa"/>
            <w:bottom w:w="0" w:type="dxa"/>
            <w:right w:w="108" w:type="dxa"/>
          </w:tblCellMar>
        </w:tblPrEx>
        <w:tc>
          <w:tcPr>
            <w:tcW w:w="251"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Cs w:val="21"/>
              </w:rPr>
            </w:pPr>
            <w:r>
              <w:rPr>
                <w:rFonts w:hint="eastAsia" w:ascii="宋体" w:hAnsi="宋体"/>
                <w:szCs w:val="21"/>
              </w:rPr>
              <w:t>1</w:t>
            </w:r>
          </w:p>
        </w:tc>
        <w:tc>
          <w:tcPr>
            <w:tcW w:w="418" w:type="pct"/>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bCs/>
              </w:rPr>
            </w:pPr>
            <w:r>
              <w:rPr>
                <w:rFonts w:hint="eastAsia" w:ascii="宋体" w:hAnsi="宋体"/>
                <w:bCs/>
              </w:rPr>
              <w:t>服务器</w:t>
            </w:r>
          </w:p>
        </w:tc>
        <w:tc>
          <w:tcPr>
            <w:tcW w:w="4331" w:type="pct"/>
            <w:tcBorders>
              <w:top w:val="single" w:color="000000" w:sz="4" w:space="0"/>
              <w:left w:val="nil"/>
              <w:bottom w:val="single" w:color="000000" w:sz="4" w:space="0"/>
              <w:right w:val="single" w:color="000000" w:sz="4" w:space="0"/>
            </w:tcBorders>
            <w:vAlign w:val="center"/>
          </w:tcPr>
          <w:p>
            <w:pPr>
              <w:pStyle w:val="31"/>
              <w:spacing w:line="360" w:lineRule="auto"/>
              <w:rPr>
                <w:rFonts w:ascii="宋体" w:hAnsi="宋体"/>
                <w:kern w:val="2"/>
                <w:sz w:val="21"/>
                <w:szCs w:val="21"/>
              </w:rPr>
            </w:pPr>
            <w:r>
              <w:rPr>
                <w:rFonts w:hint="eastAsia" w:ascii="宋体" w:hAnsi="宋体"/>
                <w:kern w:val="2"/>
                <w:sz w:val="21"/>
                <w:szCs w:val="21"/>
              </w:rPr>
              <w:t>1、1颗lntelG4560处理器</w:t>
            </w:r>
          </w:p>
          <w:p>
            <w:pPr>
              <w:pStyle w:val="31"/>
              <w:spacing w:line="360" w:lineRule="auto"/>
              <w:rPr>
                <w:rFonts w:ascii="宋体" w:hAnsi="宋体"/>
                <w:kern w:val="2"/>
                <w:sz w:val="21"/>
                <w:szCs w:val="21"/>
              </w:rPr>
            </w:pPr>
            <w:r>
              <w:rPr>
                <w:rFonts w:hint="eastAsia" w:ascii="宋体" w:hAnsi="宋体"/>
                <w:kern w:val="2"/>
                <w:sz w:val="21"/>
                <w:szCs w:val="21"/>
              </w:rPr>
              <w:t>2、内存配置4GBDDR4内存，4个内存插槽，支持DDR42400MHz，</w:t>
            </w:r>
          </w:p>
          <w:p>
            <w:pPr>
              <w:pStyle w:val="31"/>
              <w:spacing w:line="360" w:lineRule="auto"/>
              <w:rPr>
                <w:rFonts w:ascii="宋体" w:hAnsi="宋体"/>
                <w:kern w:val="2"/>
                <w:sz w:val="21"/>
                <w:szCs w:val="21"/>
              </w:rPr>
            </w:pPr>
            <w:r>
              <w:rPr>
                <w:rFonts w:hint="eastAsia" w:ascii="宋体" w:hAnsi="宋体"/>
                <w:kern w:val="2"/>
                <w:sz w:val="21"/>
                <w:szCs w:val="21"/>
              </w:rPr>
              <w:t>3、硬盘配置1块1TSATA硬盘，最大支持硬盘5个</w:t>
            </w:r>
          </w:p>
          <w:p>
            <w:pPr>
              <w:pStyle w:val="31"/>
              <w:spacing w:line="360" w:lineRule="auto"/>
              <w:rPr>
                <w:rFonts w:ascii="宋体" w:hAnsi="宋体"/>
                <w:kern w:val="2"/>
                <w:sz w:val="21"/>
                <w:szCs w:val="21"/>
              </w:rPr>
            </w:pPr>
            <w:r>
              <w:rPr>
                <w:rFonts w:hint="eastAsia" w:ascii="宋体" w:hAnsi="宋体"/>
                <w:kern w:val="2"/>
                <w:sz w:val="21"/>
                <w:szCs w:val="21"/>
              </w:rPr>
              <w:t>4、RAID支持Intelhostraid0，1，5，10</w:t>
            </w:r>
          </w:p>
          <w:p>
            <w:pPr>
              <w:pStyle w:val="31"/>
              <w:spacing w:line="360" w:lineRule="auto"/>
              <w:rPr>
                <w:rFonts w:ascii="宋体" w:hAnsi="宋体"/>
                <w:kern w:val="2"/>
                <w:sz w:val="21"/>
                <w:szCs w:val="21"/>
              </w:rPr>
            </w:pPr>
            <w:r>
              <w:rPr>
                <w:rFonts w:hint="eastAsia" w:ascii="宋体" w:hAnsi="宋体"/>
                <w:kern w:val="2"/>
                <w:sz w:val="21"/>
                <w:szCs w:val="21"/>
              </w:rPr>
              <w:t>5、1Gb网络控制器</w:t>
            </w:r>
          </w:p>
          <w:p>
            <w:pPr>
              <w:pStyle w:val="31"/>
              <w:spacing w:line="360" w:lineRule="auto"/>
              <w:rPr>
                <w:rFonts w:ascii="宋体" w:hAnsi="宋体"/>
                <w:kern w:val="2"/>
                <w:sz w:val="21"/>
                <w:szCs w:val="21"/>
              </w:rPr>
            </w:pPr>
            <w:r>
              <w:rPr>
                <w:rFonts w:hint="eastAsia" w:ascii="宋体" w:hAnsi="宋体"/>
                <w:kern w:val="2"/>
                <w:sz w:val="21"/>
                <w:szCs w:val="21"/>
              </w:rPr>
              <w:t>6、I/O插槽支持4个PCI扩展槽，</w:t>
            </w:r>
          </w:p>
          <w:p>
            <w:pPr>
              <w:pStyle w:val="31"/>
              <w:spacing w:line="360" w:lineRule="auto"/>
              <w:rPr>
                <w:rFonts w:ascii="宋体" w:hAnsi="宋体"/>
                <w:kern w:val="2"/>
                <w:sz w:val="21"/>
                <w:szCs w:val="21"/>
              </w:rPr>
            </w:pPr>
            <w:r>
              <w:rPr>
                <w:rFonts w:hint="eastAsia" w:ascii="宋体" w:hAnsi="宋体"/>
                <w:kern w:val="2"/>
                <w:sz w:val="21"/>
                <w:szCs w:val="21"/>
              </w:rPr>
              <w:t>7、1块服务器专用电源；</w:t>
            </w:r>
          </w:p>
        </w:tc>
      </w:tr>
      <w:tr>
        <w:tblPrEx>
          <w:tblCellMar>
            <w:top w:w="0" w:type="dxa"/>
            <w:left w:w="108" w:type="dxa"/>
            <w:bottom w:w="0" w:type="dxa"/>
            <w:right w:w="108" w:type="dxa"/>
          </w:tblCellMar>
        </w:tblPrEx>
        <w:tc>
          <w:tcPr>
            <w:tcW w:w="251"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Cs w:val="21"/>
              </w:rPr>
            </w:pPr>
            <w:r>
              <w:rPr>
                <w:rFonts w:hint="eastAsia" w:ascii="宋体" w:hAnsi="宋体"/>
                <w:szCs w:val="21"/>
              </w:rPr>
              <w:t>2</w:t>
            </w:r>
          </w:p>
        </w:tc>
        <w:tc>
          <w:tcPr>
            <w:tcW w:w="418" w:type="pct"/>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Cs w:val="21"/>
              </w:rPr>
            </w:pPr>
            <w:r>
              <w:rPr>
                <w:rFonts w:hint="eastAsia" w:ascii="宋体" w:hAnsi="宋体"/>
                <w:szCs w:val="21"/>
              </w:rPr>
              <w:t>交换机</w:t>
            </w:r>
          </w:p>
        </w:tc>
        <w:tc>
          <w:tcPr>
            <w:tcW w:w="4331" w:type="pct"/>
            <w:tcBorders>
              <w:top w:val="single" w:color="000000" w:sz="4" w:space="0"/>
              <w:left w:val="nil"/>
              <w:bottom w:val="single" w:color="000000" w:sz="4" w:space="0"/>
              <w:right w:val="single" w:color="000000" w:sz="4" w:space="0"/>
            </w:tcBorders>
            <w:vAlign w:val="center"/>
          </w:tcPr>
          <w:p>
            <w:pPr>
              <w:adjustRightInd w:val="0"/>
              <w:snapToGrid w:val="0"/>
              <w:spacing w:line="360" w:lineRule="auto"/>
              <w:rPr>
                <w:rFonts w:ascii="宋体" w:hAnsi="宋体"/>
                <w:szCs w:val="21"/>
              </w:rPr>
            </w:pPr>
            <w:r>
              <w:rPr>
                <w:rFonts w:hint="eastAsia" w:ascii="宋体" w:hAnsi="宋体"/>
                <w:szCs w:val="21"/>
              </w:rPr>
              <w:t>24口网络交换机，具有24个10/100/1000M自适应以太网端口，应用层级为二层。所有端口均有独享的</w:t>
            </w:r>
            <w:r>
              <w:fldChar w:fldCharType="begin"/>
            </w:r>
            <w:r>
              <w:instrText xml:space="preserve"> HYPERLINK "http://baike.baidu.com/view/1226532.htm" </w:instrText>
            </w:r>
            <w:r>
              <w:fldChar w:fldCharType="separate"/>
            </w:r>
            <w:r>
              <w:rPr>
                <w:rStyle w:val="19"/>
                <w:rFonts w:hint="eastAsia" w:ascii="宋体" w:hAnsi="宋体"/>
                <w:color w:val="auto"/>
                <w:szCs w:val="21"/>
              </w:rPr>
              <w:t>信道带宽</w:t>
            </w:r>
            <w:r>
              <w:rPr>
                <w:rStyle w:val="19"/>
                <w:rFonts w:hint="eastAsia" w:ascii="宋体" w:hAnsi="宋体"/>
                <w:color w:val="auto"/>
                <w:szCs w:val="21"/>
              </w:rPr>
              <w:fldChar w:fldCharType="end"/>
            </w:r>
            <w:r>
              <w:rPr>
                <w:rFonts w:ascii="宋体" w:hAnsi="宋体"/>
                <w:szCs w:val="21"/>
              </w:rPr>
              <w:t>，以保证每个端口上数据的快速有效传输。</w:t>
            </w:r>
          </w:p>
        </w:tc>
      </w:tr>
      <w:tr>
        <w:tblPrEx>
          <w:tblCellMar>
            <w:top w:w="0" w:type="dxa"/>
            <w:left w:w="108" w:type="dxa"/>
            <w:bottom w:w="0" w:type="dxa"/>
            <w:right w:w="108" w:type="dxa"/>
          </w:tblCellMar>
        </w:tblPrEx>
        <w:tc>
          <w:tcPr>
            <w:tcW w:w="251"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Cs w:val="21"/>
              </w:rPr>
            </w:pPr>
            <w:r>
              <w:rPr>
                <w:rFonts w:hint="eastAsia" w:ascii="宋体" w:hAnsi="宋体"/>
                <w:szCs w:val="21"/>
              </w:rPr>
              <w:t>3</w:t>
            </w:r>
          </w:p>
        </w:tc>
        <w:tc>
          <w:tcPr>
            <w:tcW w:w="418" w:type="pct"/>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Cs w:val="21"/>
              </w:rPr>
            </w:pPr>
            <w:r>
              <w:rPr>
                <w:rFonts w:hint="eastAsia" w:ascii="宋体" w:hAnsi="宋体"/>
                <w:szCs w:val="21"/>
              </w:rPr>
              <w:t>短信报警器</w:t>
            </w:r>
          </w:p>
        </w:tc>
        <w:tc>
          <w:tcPr>
            <w:tcW w:w="4331" w:type="pct"/>
            <w:tcBorders>
              <w:top w:val="single" w:color="000000" w:sz="4" w:space="0"/>
              <w:left w:val="nil"/>
              <w:bottom w:val="single" w:color="000000" w:sz="4" w:space="0"/>
              <w:right w:val="single" w:color="000000" w:sz="4" w:space="0"/>
            </w:tcBorders>
            <w:vAlign w:val="center"/>
          </w:tcPr>
          <w:p>
            <w:pPr>
              <w:adjustRightInd w:val="0"/>
              <w:snapToGrid w:val="0"/>
              <w:spacing w:line="360" w:lineRule="auto"/>
              <w:rPr>
                <w:rFonts w:ascii="宋体" w:hAnsi="宋体"/>
                <w:szCs w:val="21"/>
              </w:rPr>
            </w:pPr>
            <w:r>
              <w:rPr>
                <w:rFonts w:hint="eastAsia" w:ascii="宋体" w:hAnsi="宋体"/>
                <w:szCs w:val="21"/>
              </w:rPr>
              <w:t>无线模块:采用工业级无线模块</w:t>
            </w:r>
          </w:p>
          <w:p>
            <w:pPr>
              <w:adjustRightInd w:val="0"/>
              <w:snapToGrid w:val="0"/>
              <w:spacing w:line="360" w:lineRule="auto"/>
              <w:rPr>
                <w:rFonts w:ascii="宋体" w:hAnsi="宋体"/>
                <w:szCs w:val="21"/>
              </w:rPr>
            </w:pPr>
            <w:r>
              <w:rPr>
                <w:rFonts w:hint="eastAsia" w:ascii="宋体" w:hAnsi="宋体"/>
                <w:szCs w:val="21"/>
              </w:rPr>
              <w:t>标准及频段:2405MHz～2480MHz</w:t>
            </w:r>
          </w:p>
          <w:p>
            <w:pPr>
              <w:adjustRightInd w:val="0"/>
              <w:snapToGrid w:val="0"/>
              <w:spacing w:line="360" w:lineRule="auto"/>
              <w:rPr>
                <w:rFonts w:ascii="宋体" w:hAnsi="宋体"/>
                <w:szCs w:val="21"/>
              </w:rPr>
            </w:pPr>
            <w:r>
              <w:rPr>
                <w:rFonts w:hint="eastAsia" w:ascii="宋体" w:hAnsi="宋体"/>
                <w:szCs w:val="21"/>
              </w:rPr>
              <w:t>通信协议标准 :IEEE 802.15.4 Zigbee2007pro</w:t>
            </w:r>
          </w:p>
          <w:p>
            <w:pPr>
              <w:adjustRightInd w:val="0"/>
              <w:snapToGrid w:val="0"/>
              <w:spacing w:line="360" w:lineRule="auto"/>
              <w:rPr>
                <w:rFonts w:ascii="宋体" w:hAnsi="宋体"/>
                <w:szCs w:val="21"/>
              </w:rPr>
            </w:pPr>
            <w:r>
              <w:rPr>
                <w:rFonts w:hint="eastAsia" w:ascii="宋体" w:hAnsi="宋体"/>
                <w:szCs w:val="21"/>
              </w:rPr>
              <w:t>网络拓扑结构 :点对点，点对多点，网状</w:t>
            </w:r>
          </w:p>
          <w:p>
            <w:pPr>
              <w:adjustRightInd w:val="0"/>
              <w:snapToGrid w:val="0"/>
              <w:spacing w:line="360" w:lineRule="auto"/>
              <w:rPr>
                <w:rFonts w:ascii="宋体" w:hAnsi="宋体"/>
                <w:szCs w:val="21"/>
              </w:rPr>
            </w:pPr>
            <w:r>
              <w:rPr>
                <w:rFonts w:hint="eastAsia" w:ascii="宋体" w:hAnsi="宋体"/>
                <w:szCs w:val="21"/>
              </w:rPr>
              <w:t>调整方式 :DSSS(O-QPSK)</w:t>
            </w:r>
          </w:p>
          <w:p>
            <w:pPr>
              <w:adjustRightInd w:val="0"/>
              <w:snapToGrid w:val="0"/>
              <w:spacing w:line="360" w:lineRule="auto"/>
              <w:rPr>
                <w:rFonts w:ascii="宋体" w:hAnsi="宋体"/>
                <w:szCs w:val="21"/>
              </w:rPr>
            </w:pPr>
            <w:r>
              <w:rPr>
                <w:rFonts w:hint="eastAsia" w:ascii="宋体" w:hAnsi="宋体"/>
                <w:szCs w:val="21"/>
              </w:rPr>
              <w:t>通信速率 :250kbps</w:t>
            </w:r>
          </w:p>
          <w:p>
            <w:pPr>
              <w:adjustRightInd w:val="0"/>
              <w:snapToGrid w:val="0"/>
              <w:spacing w:line="360" w:lineRule="auto"/>
              <w:rPr>
                <w:rFonts w:ascii="宋体" w:hAnsi="宋体"/>
                <w:szCs w:val="21"/>
              </w:rPr>
            </w:pPr>
            <w:r>
              <w:rPr>
                <w:rFonts w:hint="eastAsia" w:ascii="宋体" w:hAnsi="宋体"/>
                <w:szCs w:val="21"/>
              </w:rPr>
              <w:t>通信距离:空旷场合2000米</w:t>
            </w:r>
          </w:p>
          <w:p>
            <w:pPr>
              <w:adjustRightInd w:val="0"/>
              <w:snapToGrid w:val="0"/>
              <w:spacing w:line="360" w:lineRule="auto"/>
              <w:rPr>
                <w:rFonts w:ascii="宋体" w:hAnsi="宋体"/>
                <w:szCs w:val="21"/>
              </w:rPr>
            </w:pPr>
            <w:r>
              <w:rPr>
                <w:rFonts w:hint="eastAsia" w:ascii="宋体" w:hAnsi="宋体"/>
                <w:szCs w:val="21"/>
              </w:rPr>
              <w:t>寻址方式 :64位IEEE地址，8位网络地址</w:t>
            </w:r>
          </w:p>
          <w:p>
            <w:pPr>
              <w:adjustRightInd w:val="0"/>
              <w:snapToGrid w:val="0"/>
              <w:spacing w:line="360" w:lineRule="auto"/>
              <w:rPr>
                <w:rFonts w:ascii="宋体" w:hAnsi="宋体"/>
                <w:szCs w:val="21"/>
              </w:rPr>
            </w:pPr>
            <w:r>
              <w:rPr>
                <w:rFonts w:hint="eastAsia" w:ascii="宋体" w:hAnsi="宋体"/>
                <w:szCs w:val="21"/>
              </w:rPr>
              <w:t>数据加密 :128bit AES</w:t>
            </w:r>
          </w:p>
          <w:p>
            <w:pPr>
              <w:adjustRightInd w:val="0"/>
              <w:snapToGrid w:val="0"/>
              <w:spacing w:line="360" w:lineRule="auto"/>
              <w:rPr>
                <w:rFonts w:ascii="宋体" w:hAnsi="宋体"/>
                <w:szCs w:val="21"/>
              </w:rPr>
            </w:pPr>
            <w:r>
              <w:rPr>
                <w:rFonts w:hint="eastAsia" w:ascii="宋体" w:hAnsi="宋体"/>
                <w:szCs w:val="21"/>
              </w:rPr>
              <w:t>错误校验:CRC16/32</w:t>
            </w:r>
          </w:p>
          <w:p>
            <w:pPr>
              <w:adjustRightInd w:val="0"/>
              <w:snapToGrid w:val="0"/>
              <w:spacing w:line="360" w:lineRule="auto"/>
              <w:rPr>
                <w:rFonts w:ascii="宋体" w:hAnsi="宋体"/>
                <w:szCs w:val="21"/>
              </w:rPr>
            </w:pPr>
            <w:r>
              <w:rPr>
                <w:rFonts w:hint="eastAsia" w:ascii="宋体" w:hAnsi="宋体"/>
                <w:szCs w:val="21"/>
              </w:rPr>
              <w:t>信道接入方式:CSMA-CA和时隙化的CSMA-CA</w:t>
            </w:r>
          </w:p>
          <w:p>
            <w:pPr>
              <w:adjustRightInd w:val="0"/>
              <w:snapToGrid w:val="0"/>
              <w:spacing w:line="360" w:lineRule="auto"/>
              <w:rPr>
                <w:rFonts w:ascii="宋体" w:hAnsi="宋体"/>
                <w:szCs w:val="21"/>
              </w:rPr>
            </w:pPr>
            <w:r>
              <w:rPr>
                <w:rFonts w:hint="eastAsia" w:ascii="宋体" w:hAnsi="宋体"/>
                <w:szCs w:val="21"/>
              </w:rPr>
              <w:t>信道数:16</w:t>
            </w:r>
          </w:p>
          <w:p>
            <w:pPr>
              <w:adjustRightInd w:val="0"/>
              <w:snapToGrid w:val="0"/>
              <w:spacing w:line="360" w:lineRule="auto"/>
              <w:rPr>
                <w:rFonts w:ascii="宋体" w:hAnsi="宋体"/>
                <w:szCs w:val="21"/>
              </w:rPr>
            </w:pPr>
            <w:r>
              <w:rPr>
                <w:rFonts w:hint="eastAsia" w:ascii="宋体" w:hAnsi="宋体"/>
                <w:szCs w:val="21"/>
              </w:rPr>
              <w:t>发射功率:&lt;20dBm</w:t>
            </w:r>
          </w:p>
          <w:p>
            <w:pPr>
              <w:adjustRightInd w:val="0"/>
              <w:snapToGrid w:val="0"/>
              <w:spacing w:line="360" w:lineRule="auto"/>
              <w:rPr>
                <w:rFonts w:ascii="宋体" w:hAnsi="宋体"/>
                <w:szCs w:val="21"/>
              </w:rPr>
            </w:pPr>
            <w:r>
              <w:rPr>
                <w:rFonts w:hint="eastAsia" w:ascii="宋体" w:hAnsi="宋体"/>
                <w:szCs w:val="21"/>
              </w:rPr>
              <w:t>接收灵敏度:&lt;-98.8dBm</w:t>
            </w:r>
          </w:p>
        </w:tc>
      </w:tr>
      <w:tr>
        <w:tblPrEx>
          <w:tblCellMar>
            <w:top w:w="0" w:type="dxa"/>
            <w:left w:w="108" w:type="dxa"/>
            <w:bottom w:w="0" w:type="dxa"/>
            <w:right w:w="108" w:type="dxa"/>
          </w:tblCellMar>
        </w:tblPrEx>
        <w:tc>
          <w:tcPr>
            <w:tcW w:w="251"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Cs w:val="21"/>
              </w:rPr>
            </w:pPr>
            <w:r>
              <w:rPr>
                <w:rFonts w:hint="eastAsia" w:ascii="宋体" w:hAnsi="宋体"/>
                <w:szCs w:val="21"/>
              </w:rPr>
              <w:t>4</w:t>
            </w:r>
          </w:p>
        </w:tc>
        <w:tc>
          <w:tcPr>
            <w:tcW w:w="418" w:type="pct"/>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Cs w:val="21"/>
              </w:rPr>
            </w:pPr>
            <w:r>
              <w:rPr>
                <w:rFonts w:hint="eastAsia" w:ascii="宋体" w:hAnsi="宋体"/>
                <w:szCs w:val="21"/>
              </w:rPr>
              <w:t>UPS备用电源</w:t>
            </w:r>
          </w:p>
        </w:tc>
        <w:tc>
          <w:tcPr>
            <w:tcW w:w="4331" w:type="pct"/>
            <w:tcBorders>
              <w:top w:val="single" w:color="000000" w:sz="4" w:space="0"/>
              <w:left w:val="nil"/>
              <w:bottom w:val="single" w:color="000000" w:sz="4" w:space="0"/>
              <w:right w:val="single" w:color="000000" w:sz="4" w:space="0"/>
            </w:tcBorders>
            <w:vAlign w:val="center"/>
          </w:tcPr>
          <w:p>
            <w:pPr>
              <w:adjustRightInd w:val="0"/>
              <w:snapToGrid w:val="0"/>
              <w:spacing w:line="360" w:lineRule="auto"/>
              <w:rPr>
                <w:rFonts w:ascii="宋体" w:hAnsi="宋体"/>
                <w:bCs/>
                <w:szCs w:val="21"/>
              </w:rPr>
            </w:pPr>
            <w:r>
              <w:rPr>
                <w:rFonts w:hint="eastAsia" w:ascii="宋体" w:hAnsi="宋体"/>
                <w:bCs/>
                <w:szCs w:val="21"/>
              </w:rPr>
              <w:t xml:space="preserve">UPS不间断电源 3KVA/2.4KW 后备电源                                      </w:t>
            </w:r>
          </w:p>
          <w:p>
            <w:pPr>
              <w:adjustRightInd w:val="0"/>
              <w:snapToGrid w:val="0"/>
              <w:spacing w:line="360" w:lineRule="auto"/>
              <w:rPr>
                <w:rFonts w:ascii="宋体" w:hAnsi="宋体"/>
                <w:bCs/>
                <w:szCs w:val="21"/>
              </w:rPr>
            </w:pPr>
            <w:r>
              <w:rPr>
                <w:rFonts w:hint="eastAsia" w:ascii="宋体" w:hAnsi="宋体"/>
                <w:bCs/>
                <w:szCs w:val="21"/>
              </w:rPr>
              <w:t>UPS类型 在线式</w:t>
            </w:r>
          </w:p>
          <w:p>
            <w:pPr>
              <w:adjustRightInd w:val="0"/>
              <w:snapToGrid w:val="0"/>
              <w:spacing w:line="360" w:lineRule="auto"/>
              <w:rPr>
                <w:rFonts w:ascii="宋体" w:hAnsi="宋体"/>
                <w:bCs/>
                <w:szCs w:val="21"/>
              </w:rPr>
            </w:pPr>
            <w:r>
              <w:rPr>
                <w:rFonts w:hint="eastAsia" w:ascii="宋体" w:hAnsi="宋体"/>
                <w:bCs/>
                <w:szCs w:val="21"/>
              </w:rPr>
              <w:t>额定功率 3W</w:t>
            </w:r>
          </w:p>
          <w:p>
            <w:pPr>
              <w:adjustRightInd w:val="0"/>
              <w:snapToGrid w:val="0"/>
              <w:spacing w:line="360" w:lineRule="auto"/>
              <w:rPr>
                <w:rFonts w:ascii="宋体" w:hAnsi="宋体"/>
                <w:bCs/>
                <w:szCs w:val="21"/>
              </w:rPr>
            </w:pPr>
            <w:r>
              <w:rPr>
                <w:rFonts w:hint="eastAsia" w:ascii="宋体" w:hAnsi="宋体"/>
                <w:bCs/>
                <w:szCs w:val="21"/>
              </w:rPr>
              <w:t>输入电压范围 115-300V</w:t>
            </w:r>
          </w:p>
          <w:p>
            <w:pPr>
              <w:adjustRightInd w:val="0"/>
              <w:snapToGrid w:val="0"/>
              <w:spacing w:line="360" w:lineRule="auto"/>
              <w:rPr>
                <w:rFonts w:ascii="宋体" w:hAnsi="宋体"/>
                <w:bCs/>
                <w:szCs w:val="21"/>
              </w:rPr>
            </w:pPr>
            <w:r>
              <w:rPr>
                <w:rFonts w:hint="eastAsia" w:ascii="宋体" w:hAnsi="宋体"/>
                <w:bCs/>
                <w:szCs w:val="21"/>
              </w:rPr>
              <w:t>输入频率范围 40-60Hz</w:t>
            </w:r>
          </w:p>
          <w:p>
            <w:pPr>
              <w:adjustRightInd w:val="0"/>
              <w:snapToGrid w:val="0"/>
              <w:spacing w:line="360" w:lineRule="auto"/>
              <w:rPr>
                <w:rFonts w:ascii="宋体" w:hAnsi="宋体"/>
                <w:bCs/>
                <w:szCs w:val="21"/>
              </w:rPr>
            </w:pPr>
            <w:r>
              <w:rPr>
                <w:rFonts w:hint="eastAsia" w:ascii="宋体" w:hAnsi="宋体"/>
                <w:bCs/>
                <w:szCs w:val="21"/>
              </w:rPr>
              <w:t>输出电压范围 220*（1±2%）V</w:t>
            </w:r>
          </w:p>
          <w:p>
            <w:pPr>
              <w:adjustRightInd w:val="0"/>
              <w:snapToGrid w:val="0"/>
              <w:spacing w:line="360" w:lineRule="auto"/>
              <w:rPr>
                <w:rFonts w:ascii="宋体" w:hAnsi="宋体"/>
                <w:bCs/>
                <w:szCs w:val="21"/>
              </w:rPr>
            </w:pPr>
            <w:r>
              <w:rPr>
                <w:rFonts w:hint="eastAsia" w:ascii="宋体" w:hAnsi="宋体"/>
                <w:bCs/>
                <w:szCs w:val="21"/>
              </w:rPr>
              <w:t>输出频率范围 电池模式：50±0.2%Hz</w:t>
            </w:r>
          </w:p>
          <w:p>
            <w:pPr>
              <w:adjustRightInd w:val="0"/>
              <w:snapToGrid w:val="0"/>
              <w:spacing w:line="360" w:lineRule="auto"/>
              <w:rPr>
                <w:rFonts w:ascii="宋体" w:hAnsi="宋体"/>
                <w:bCs/>
                <w:szCs w:val="21"/>
              </w:rPr>
            </w:pPr>
            <w:r>
              <w:rPr>
                <w:rFonts w:hint="eastAsia" w:ascii="宋体" w:hAnsi="宋体"/>
                <w:bCs/>
                <w:szCs w:val="21"/>
              </w:rPr>
              <w:t>输出电压波形 正弦波</w:t>
            </w:r>
          </w:p>
          <w:p>
            <w:pPr>
              <w:adjustRightInd w:val="0"/>
              <w:snapToGrid w:val="0"/>
              <w:spacing w:line="360" w:lineRule="auto"/>
              <w:rPr>
                <w:rFonts w:ascii="宋体" w:hAnsi="宋体"/>
                <w:bCs/>
                <w:szCs w:val="21"/>
              </w:rPr>
            </w:pPr>
            <w:r>
              <w:rPr>
                <w:rFonts w:hint="eastAsia" w:ascii="宋体" w:hAnsi="宋体"/>
                <w:bCs/>
                <w:szCs w:val="21"/>
              </w:rPr>
              <w:t>其它输出参数 转换时间：0ms</w:t>
            </w:r>
          </w:p>
          <w:p>
            <w:pPr>
              <w:adjustRightInd w:val="0"/>
              <w:snapToGrid w:val="0"/>
              <w:spacing w:line="360" w:lineRule="auto"/>
              <w:rPr>
                <w:rFonts w:ascii="宋体" w:hAnsi="宋体"/>
                <w:bCs/>
                <w:szCs w:val="21"/>
              </w:rPr>
            </w:pPr>
            <w:r>
              <w:rPr>
                <w:rFonts w:hint="eastAsia" w:ascii="宋体" w:hAnsi="宋体"/>
                <w:bCs/>
                <w:szCs w:val="21"/>
              </w:rPr>
              <w:t>后备时间 半载&gt;11分钟</w:t>
            </w:r>
          </w:p>
        </w:tc>
      </w:tr>
      <w:tr>
        <w:tblPrEx>
          <w:tblCellMar>
            <w:top w:w="0" w:type="dxa"/>
            <w:left w:w="108" w:type="dxa"/>
            <w:bottom w:w="0" w:type="dxa"/>
            <w:right w:w="108" w:type="dxa"/>
          </w:tblCellMar>
        </w:tblPrEx>
        <w:tc>
          <w:tcPr>
            <w:tcW w:w="251"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Cs w:val="21"/>
              </w:rPr>
            </w:pPr>
            <w:r>
              <w:rPr>
                <w:rFonts w:hint="eastAsia" w:ascii="宋体" w:hAnsi="宋体"/>
                <w:szCs w:val="21"/>
              </w:rPr>
              <w:t>5</w:t>
            </w:r>
          </w:p>
        </w:tc>
        <w:tc>
          <w:tcPr>
            <w:tcW w:w="418" w:type="pct"/>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Cs w:val="21"/>
              </w:rPr>
            </w:pPr>
            <w:r>
              <w:rPr>
                <w:rFonts w:hint="eastAsia" w:ascii="宋体" w:hAnsi="宋体"/>
                <w:szCs w:val="21"/>
              </w:rPr>
              <w:t>机柜</w:t>
            </w:r>
          </w:p>
        </w:tc>
        <w:tc>
          <w:tcPr>
            <w:tcW w:w="4331" w:type="pct"/>
            <w:tcBorders>
              <w:top w:val="single" w:color="000000" w:sz="4" w:space="0"/>
              <w:left w:val="nil"/>
              <w:bottom w:val="single" w:color="000000" w:sz="4" w:space="0"/>
              <w:right w:val="single" w:color="000000" w:sz="4" w:space="0"/>
            </w:tcBorders>
            <w:vAlign w:val="center"/>
          </w:tcPr>
          <w:p>
            <w:pPr>
              <w:adjustRightInd w:val="0"/>
              <w:snapToGrid w:val="0"/>
              <w:spacing w:line="360" w:lineRule="auto"/>
              <w:rPr>
                <w:rFonts w:ascii="宋体" w:hAnsi="宋体"/>
                <w:bCs/>
                <w:szCs w:val="21"/>
              </w:rPr>
            </w:pPr>
            <w:r>
              <w:rPr>
                <w:rFonts w:hint="eastAsia" w:ascii="宋体" w:hAnsi="宋体"/>
                <w:bCs/>
                <w:szCs w:val="21"/>
              </w:rPr>
              <w:t>采用0.8mm的冷轧钢板</w:t>
            </w:r>
          </w:p>
          <w:p>
            <w:pPr>
              <w:adjustRightInd w:val="0"/>
              <w:snapToGrid w:val="0"/>
              <w:spacing w:line="360" w:lineRule="auto"/>
              <w:rPr>
                <w:rFonts w:ascii="宋体" w:hAnsi="宋体"/>
                <w:bCs/>
                <w:szCs w:val="21"/>
              </w:rPr>
            </w:pPr>
            <w:r>
              <w:rPr>
                <w:rFonts w:hint="eastAsia" w:ascii="宋体" w:hAnsi="宋体"/>
                <w:bCs/>
                <w:szCs w:val="21"/>
              </w:rPr>
              <w:t>内2块高度可调节的活动托板</w:t>
            </w:r>
          </w:p>
          <w:p>
            <w:pPr>
              <w:adjustRightInd w:val="0"/>
              <w:snapToGrid w:val="0"/>
              <w:spacing w:line="360" w:lineRule="auto"/>
              <w:rPr>
                <w:rFonts w:ascii="宋体" w:hAnsi="宋体"/>
                <w:bCs/>
                <w:szCs w:val="21"/>
              </w:rPr>
            </w:pPr>
            <w:r>
              <w:rPr>
                <w:rFonts w:hint="eastAsia" w:ascii="宋体" w:hAnsi="宋体"/>
                <w:bCs/>
                <w:szCs w:val="21"/>
              </w:rPr>
              <w:t>前后带门、前面门板带透明材质，后面门板冲散热孔</w:t>
            </w:r>
          </w:p>
          <w:p>
            <w:pPr>
              <w:adjustRightInd w:val="0"/>
              <w:snapToGrid w:val="0"/>
              <w:spacing w:line="360" w:lineRule="auto"/>
              <w:rPr>
                <w:rFonts w:ascii="宋体" w:hAnsi="宋体"/>
                <w:bCs/>
                <w:szCs w:val="21"/>
              </w:rPr>
            </w:pPr>
            <w:r>
              <w:rPr>
                <w:rFonts w:hint="eastAsia" w:ascii="宋体" w:hAnsi="宋体"/>
                <w:bCs/>
                <w:szCs w:val="21"/>
              </w:rPr>
              <w:t>内部后面让开托板位置留孔或焊支架扎线</w:t>
            </w:r>
          </w:p>
          <w:p>
            <w:pPr>
              <w:adjustRightInd w:val="0"/>
              <w:snapToGrid w:val="0"/>
              <w:spacing w:line="360" w:lineRule="auto"/>
              <w:rPr>
                <w:rFonts w:ascii="宋体" w:hAnsi="宋体"/>
                <w:bCs/>
                <w:szCs w:val="21"/>
              </w:rPr>
            </w:pPr>
            <w:r>
              <w:rPr>
                <w:rFonts w:hint="eastAsia" w:ascii="宋体" w:hAnsi="宋体"/>
                <w:bCs/>
                <w:szCs w:val="21"/>
              </w:rPr>
              <w:t>托板深度约800mm，上面冲散热孔，底板开孔，从下面走线</w:t>
            </w:r>
          </w:p>
          <w:p>
            <w:pPr>
              <w:adjustRightInd w:val="0"/>
              <w:snapToGrid w:val="0"/>
              <w:spacing w:line="360" w:lineRule="auto"/>
              <w:rPr>
                <w:rFonts w:ascii="宋体" w:hAnsi="宋体"/>
                <w:bCs/>
                <w:szCs w:val="21"/>
              </w:rPr>
            </w:pPr>
            <w:r>
              <w:rPr>
                <w:rFonts w:hint="eastAsia" w:ascii="宋体" w:hAnsi="宋体"/>
                <w:bCs/>
                <w:szCs w:val="21"/>
              </w:rPr>
              <w:t>底部带4个万向轮。</w:t>
            </w:r>
          </w:p>
        </w:tc>
      </w:tr>
      <w:tr>
        <w:tblPrEx>
          <w:tblCellMar>
            <w:top w:w="0" w:type="dxa"/>
            <w:left w:w="108" w:type="dxa"/>
            <w:bottom w:w="0" w:type="dxa"/>
            <w:right w:w="108" w:type="dxa"/>
          </w:tblCellMar>
        </w:tblPrEx>
        <w:tc>
          <w:tcPr>
            <w:tcW w:w="251"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Cs w:val="21"/>
              </w:rPr>
            </w:pPr>
            <w:r>
              <w:rPr>
                <w:rFonts w:hint="eastAsia" w:ascii="宋体" w:hAnsi="宋体"/>
                <w:szCs w:val="21"/>
              </w:rPr>
              <w:t>6</w:t>
            </w:r>
          </w:p>
        </w:tc>
        <w:tc>
          <w:tcPr>
            <w:tcW w:w="418" w:type="pct"/>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Cs w:val="21"/>
              </w:rPr>
            </w:pPr>
            <w:r>
              <w:rPr>
                <w:rFonts w:hint="eastAsia" w:ascii="宋体" w:hAnsi="宋体"/>
                <w:szCs w:val="21"/>
              </w:rPr>
              <w:t>擦枪台</w:t>
            </w:r>
          </w:p>
        </w:tc>
        <w:tc>
          <w:tcPr>
            <w:tcW w:w="4331" w:type="pct"/>
            <w:tcBorders>
              <w:top w:val="single" w:color="000000" w:sz="4" w:space="0"/>
              <w:left w:val="nil"/>
              <w:bottom w:val="single" w:color="000000" w:sz="4" w:space="0"/>
              <w:right w:val="single" w:color="000000" w:sz="4" w:space="0"/>
            </w:tcBorders>
            <w:vAlign w:val="center"/>
          </w:tcPr>
          <w:p>
            <w:pPr>
              <w:adjustRightInd w:val="0"/>
              <w:snapToGrid w:val="0"/>
              <w:spacing w:line="360" w:lineRule="auto"/>
              <w:rPr>
                <w:rFonts w:ascii="宋体" w:hAnsi="宋体"/>
                <w:szCs w:val="21"/>
              </w:rPr>
            </w:pPr>
            <w:r>
              <w:rPr>
                <w:rFonts w:hint="eastAsia" w:ascii="宋体" w:hAnsi="宋体"/>
                <w:szCs w:val="21"/>
              </w:rPr>
              <w:t>1.台面采用1.0 mm厚不锈钢钢板，面板底部粘免漆板。</w:t>
            </w:r>
          </w:p>
          <w:p>
            <w:pPr>
              <w:adjustRightInd w:val="0"/>
              <w:snapToGrid w:val="0"/>
              <w:spacing w:line="360" w:lineRule="auto"/>
              <w:rPr>
                <w:rFonts w:ascii="宋体" w:hAnsi="宋体"/>
                <w:szCs w:val="21"/>
              </w:rPr>
            </w:pPr>
            <w:r>
              <w:rPr>
                <w:rFonts w:hint="eastAsia" w:ascii="宋体" w:hAnsi="宋体"/>
                <w:szCs w:val="21"/>
              </w:rPr>
              <w:t>2.脚采用38*38*1.2mm不锈钢钢管。</w:t>
            </w:r>
          </w:p>
          <w:p>
            <w:pPr>
              <w:adjustRightInd w:val="0"/>
              <w:snapToGrid w:val="0"/>
              <w:spacing w:line="360" w:lineRule="auto"/>
              <w:rPr>
                <w:rFonts w:ascii="宋体" w:hAnsi="宋体"/>
                <w:szCs w:val="21"/>
              </w:rPr>
            </w:pPr>
            <w:r>
              <w:rPr>
                <w:rFonts w:hint="eastAsia" w:ascii="宋体" w:hAnsi="宋体"/>
                <w:szCs w:val="21"/>
              </w:rPr>
              <w:t>3.拉管采用25*25*1.0mm不锈钢。</w:t>
            </w:r>
          </w:p>
          <w:p>
            <w:pPr>
              <w:adjustRightInd w:val="0"/>
              <w:snapToGrid w:val="0"/>
              <w:spacing w:line="360" w:lineRule="auto"/>
              <w:rPr>
                <w:rFonts w:ascii="宋体" w:hAnsi="宋体"/>
                <w:szCs w:val="21"/>
              </w:rPr>
            </w:pPr>
            <w:r>
              <w:rPr>
                <w:rFonts w:hint="eastAsia" w:ascii="宋体" w:hAnsi="宋体"/>
                <w:szCs w:val="21"/>
              </w:rPr>
              <w:t>4.擦枪台台面下面左右个做1个抽屉。</w:t>
            </w:r>
          </w:p>
        </w:tc>
      </w:tr>
    </w:tbl>
    <w:p>
      <w:pPr>
        <w:rPr>
          <w:rFonts w:ascii="宋体" w:hAnsi="宋体"/>
          <w:b/>
          <w:bCs/>
          <w:sz w:val="28"/>
          <w:szCs w:val="28"/>
        </w:rPr>
      </w:pPr>
      <w:r>
        <w:rPr>
          <w:rFonts w:hint="eastAsia" w:ascii="宋体" w:hAnsi="宋体"/>
          <w:b/>
          <w:bCs/>
          <w:sz w:val="28"/>
          <w:szCs w:val="28"/>
        </w:rPr>
        <w:t>（四）智能枪（弹）柜管理系统功能需求</w:t>
      </w:r>
    </w:p>
    <w:p>
      <w:pPr>
        <w:rPr>
          <w:rFonts w:ascii="宋体" w:hAnsi="宋体"/>
          <w:szCs w:val="21"/>
        </w:rPr>
      </w:pPr>
      <w:r>
        <w:rPr>
          <w:rFonts w:hint="eastAsia" w:ascii="宋体" w:hAnsi="宋体"/>
          <w:b/>
          <w:bCs/>
          <w:szCs w:val="21"/>
        </w:rPr>
        <w:t>1）．基础设施建设需求。</w:t>
      </w:r>
      <w:r>
        <w:rPr>
          <w:rFonts w:hint="eastAsia" w:ascii="宋体" w:hAnsi="宋体"/>
          <w:szCs w:val="21"/>
        </w:rPr>
        <w:t>实现对全市公安机关配枪单位中心枪库、基层配枪单位装配智能管理装置的枪弹保险柜。并将公安内网（或指定内网）联至每台智能枪弹柜，逐柜配置一个IP地址。</w:t>
      </w:r>
    </w:p>
    <w:p>
      <w:pPr>
        <w:rPr>
          <w:rFonts w:ascii="宋体" w:hAnsi="宋体"/>
          <w:szCs w:val="21"/>
        </w:rPr>
      </w:pPr>
      <w:r>
        <w:rPr>
          <w:rFonts w:hint="eastAsia" w:ascii="宋体" w:hAnsi="宋体"/>
          <w:b/>
          <w:bCs/>
          <w:szCs w:val="21"/>
        </w:rPr>
        <w:t>2）.联机事务处理需求。</w:t>
      </w:r>
      <w:r>
        <w:rPr>
          <w:rFonts w:hint="eastAsia" w:ascii="宋体" w:hAnsi="宋体"/>
          <w:szCs w:val="21"/>
        </w:rPr>
        <w:t>经公安内网（或指定内网）相联，完成系统集成，实现全系统联网运行。市、县（区）、基层配枪单位三级公安机关的职能部门和配枪部门根据分配的权限，运用计算机登陆系统进行管理应用。市、县（区）、基层配枪单位根据权限分配管理、监控范围，市局为最高权限，可实现对全系统智能枪柜的管理、监控，县（区）权限可实现对本县（区）智能枪柜的管理、监控，以此类推。</w:t>
      </w:r>
    </w:p>
    <w:p>
      <w:pPr>
        <w:spacing w:line="360" w:lineRule="auto"/>
        <w:rPr>
          <w:rFonts w:ascii="宋体" w:hAnsi="宋体"/>
          <w:szCs w:val="21"/>
        </w:rPr>
      </w:pPr>
      <w:r>
        <w:rPr>
          <w:rFonts w:hint="eastAsia" w:ascii="宋体" w:hAnsi="宋体"/>
          <w:b/>
          <w:bCs/>
          <w:szCs w:val="21"/>
        </w:rPr>
        <w:t>3）．数据录入管理需求。</w:t>
      </w:r>
      <w:r>
        <w:rPr>
          <w:rFonts w:hint="eastAsia" w:ascii="宋体" w:hAnsi="宋体"/>
          <w:szCs w:val="21"/>
        </w:rPr>
        <w:t>完成公安机关配枪单位、配枪部门、枪支弹药、持枪民警指静脉、声纹、酒精浓度等基础信息的采集录入、下发、比对等，实现枪支弹药领用、归还等信息的实时录入和管理；同时实现枪弹库进入人员和取还枪弹操作过程的视频监控。</w:t>
      </w:r>
    </w:p>
    <w:p>
      <w:pPr>
        <w:spacing w:line="360" w:lineRule="auto"/>
        <w:rPr>
          <w:rFonts w:ascii="宋体" w:hAnsi="宋体"/>
          <w:szCs w:val="21"/>
        </w:rPr>
      </w:pPr>
      <w:r>
        <w:rPr>
          <w:rFonts w:hint="eastAsia" w:ascii="宋体" w:hAnsi="宋体"/>
          <w:b/>
          <w:bCs/>
          <w:szCs w:val="21"/>
        </w:rPr>
        <w:t>4）．运行维护保障。</w:t>
      </w:r>
      <w:r>
        <w:rPr>
          <w:rFonts w:hint="eastAsia" w:ascii="宋体" w:hAnsi="宋体"/>
          <w:szCs w:val="21"/>
        </w:rPr>
        <w:t>能够适应系统运行环境，保障系统安全稳定运行。能够建立执行系统管理使用制度，有效提升系统应用效能。</w:t>
      </w:r>
    </w:p>
    <w:p>
      <w:pPr>
        <w:spacing w:line="360" w:lineRule="auto"/>
        <w:rPr>
          <w:rFonts w:ascii="宋体" w:hAnsi="宋体"/>
          <w:b/>
          <w:bCs/>
          <w:szCs w:val="21"/>
        </w:rPr>
      </w:pPr>
      <w:r>
        <w:rPr>
          <w:rFonts w:hint="eastAsia" w:ascii="宋体" w:hAnsi="宋体"/>
          <w:b/>
          <w:bCs/>
          <w:szCs w:val="21"/>
        </w:rPr>
        <w:t>5）、系统网络结构图</w:t>
      </w:r>
    </w:p>
    <w:p>
      <w:pPr>
        <w:spacing w:line="360" w:lineRule="auto"/>
        <w:rPr>
          <w:rFonts w:ascii="宋体" w:hAnsi="宋体"/>
          <w:b/>
          <w:bCs/>
          <w:szCs w:val="21"/>
        </w:rPr>
      </w:pPr>
      <w:r>
        <w:rPr>
          <w:rFonts w:hint="eastAsia" w:ascii="宋体" w:hAnsi="宋体"/>
          <w:szCs w:val="21"/>
        </w:rPr>
        <w:drawing>
          <wp:inline distT="0" distB="0" distL="114300" distR="114300">
            <wp:extent cx="5475605" cy="3716655"/>
            <wp:effectExtent l="0" t="0" r="10795" b="1905"/>
            <wp:docPr id="1" name="图片 1" descr="QQ图片20170809202810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70809202810_看图王"/>
                    <pic:cNvPicPr>
                      <a:picLocks noChangeAspect="1"/>
                    </pic:cNvPicPr>
                  </pic:nvPicPr>
                  <pic:blipFill>
                    <a:blip r:embed="rId9" cstate="print"/>
                    <a:stretch>
                      <a:fillRect/>
                    </a:stretch>
                  </pic:blipFill>
                  <pic:spPr>
                    <a:xfrm>
                      <a:off x="0" y="0"/>
                      <a:ext cx="5475605" cy="3716655"/>
                    </a:xfrm>
                    <a:prstGeom prst="rect">
                      <a:avLst/>
                    </a:prstGeom>
                    <a:noFill/>
                    <a:ln>
                      <a:noFill/>
                    </a:ln>
                  </pic:spPr>
                </pic:pic>
              </a:graphicData>
            </a:graphic>
          </wp:inline>
        </w:drawing>
      </w:r>
    </w:p>
    <w:p>
      <w:pPr>
        <w:spacing w:line="360" w:lineRule="auto"/>
        <w:rPr>
          <w:rFonts w:ascii="宋体" w:hAnsi="宋体"/>
          <w:szCs w:val="21"/>
        </w:rPr>
      </w:pPr>
      <w:r>
        <w:rPr>
          <w:rFonts w:hint="eastAsia" w:ascii="宋体" w:hAnsi="宋体"/>
          <w:szCs w:val="21"/>
        </w:rPr>
        <w:t>说明：省、市、县三级公安机关的督察、治安、信通等职能部门以及一线配枪单位，分别根据各自管理职能获得相应的用户权限，运用计算机登陆系统进行管理和应用。</w:t>
      </w:r>
    </w:p>
    <w:p>
      <w:pPr>
        <w:spacing w:line="360" w:lineRule="auto"/>
        <w:rPr>
          <w:rFonts w:ascii="宋体" w:hAnsi="宋体"/>
          <w:b/>
          <w:bCs/>
          <w:szCs w:val="21"/>
        </w:rPr>
      </w:pPr>
      <w:r>
        <w:rPr>
          <w:rFonts w:hint="eastAsia" w:ascii="宋体" w:hAnsi="宋体"/>
          <w:b/>
          <w:bCs/>
          <w:szCs w:val="21"/>
        </w:rPr>
        <w:t>6）、智能枪（弹）柜及管理系统分项技术要求</w:t>
      </w:r>
    </w:p>
    <w:p>
      <w:pPr>
        <w:spacing w:line="360" w:lineRule="auto"/>
        <w:rPr>
          <w:rFonts w:ascii="宋体" w:hAnsi="宋体"/>
          <w:b/>
          <w:bCs/>
          <w:szCs w:val="21"/>
        </w:rPr>
      </w:pPr>
      <w:r>
        <w:rPr>
          <w:rFonts w:hint="eastAsia" w:ascii="宋体" w:hAnsi="宋体"/>
          <w:b/>
          <w:bCs/>
          <w:szCs w:val="21"/>
        </w:rPr>
        <w:t>（一）智能枪弹管理平台整体框架、平台和多级联网、枪弹柜系统操作流程要求</w:t>
      </w:r>
    </w:p>
    <w:p>
      <w:pPr>
        <w:spacing w:line="360" w:lineRule="auto"/>
        <w:ind w:firstLine="315" w:firstLineChars="150"/>
        <w:rPr>
          <w:rFonts w:ascii="宋体" w:hAnsi="宋体"/>
          <w:szCs w:val="21"/>
        </w:rPr>
      </w:pPr>
      <w:r>
        <w:rPr>
          <w:rFonts w:hint="eastAsia" w:ascii="宋体" w:hAnsi="宋体"/>
          <w:szCs w:val="21"/>
        </w:rPr>
        <w:t>各级枪柜联网后，各机构可通过网站对枪（弹）柜进行管理。网站作为统一的管理平台，部署在分局的服务器上。各派出所枪柜通过接入公安内网连接到网站，与网站进行数据通信。</w:t>
      </w:r>
    </w:p>
    <w:p>
      <w:pPr>
        <w:spacing w:line="360" w:lineRule="auto"/>
        <w:rPr>
          <w:rFonts w:ascii="宋体" w:hAnsi="宋体"/>
          <w:szCs w:val="21"/>
        </w:rPr>
      </w:pPr>
      <w:r>
        <w:rPr>
          <w:rFonts w:hint="eastAsia" w:ascii="宋体" w:hAnsi="宋体"/>
          <w:szCs w:val="21"/>
        </w:rPr>
        <w:t>（1）管理平台采用独立部署，分级管理模式。</w:t>
      </w:r>
    </w:p>
    <w:p>
      <w:pPr>
        <w:spacing w:line="360" w:lineRule="auto"/>
        <w:ind w:firstLine="315" w:firstLineChars="150"/>
        <w:rPr>
          <w:rFonts w:ascii="宋体" w:hAnsi="宋体"/>
          <w:szCs w:val="21"/>
        </w:rPr>
      </w:pPr>
      <w:r>
        <w:rPr>
          <w:rFonts w:hint="eastAsia" w:ascii="宋体" w:hAnsi="宋体"/>
          <w:szCs w:val="21"/>
        </w:rPr>
        <w:t>各分部可以各自部署服务器，各分部所属枪弹柜使用信息可以实时的传递到服务器上进行保存。各枪弹柜相互独立，即使断网，也不影响枪柜的正常使用。断网期间的操作记录会保存在枪柜中，联网后会立即同步到服务器中。</w:t>
      </w:r>
    </w:p>
    <w:p>
      <w:pPr>
        <w:spacing w:line="360" w:lineRule="auto"/>
        <w:rPr>
          <w:rFonts w:ascii="宋体" w:hAnsi="宋体"/>
          <w:szCs w:val="21"/>
        </w:rPr>
      </w:pPr>
      <w:r>
        <w:rPr>
          <w:rFonts w:hint="eastAsia" w:ascii="宋体" w:hAnsi="宋体"/>
          <w:szCs w:val="21"/>
        </w:rPr>
        <w:t>（2）管理平台采用中间件技术，采用B/S架构。所有的操作数据通过数据库进行存储，各枪柜相互独立，枪柜与服务器之间通过网络进行互联。用户直接在电脑上通过IE浏览器，输入网址登入枪柜管理平台，对所辖枪柜进行管理使用。</w:t>
      </w:r>
    </w:p>
    <w:p>
      <w:pPr>
        <w:spacing w:line="360" w:lineRule="auto"/>
        <w:rPr>
          <w:rFonts w:ascii="宋体" w:hAnsi="宋体"/>
          <w:szCs w:val="21"/>
        </w:rPr>
      </w:pPr>
      <w:r>
        <w:rPr>
          <w:rFonts w:hint="eastAsia" w:ascii="宋体" w:hAnsi="宋体"/>
          <w:szCs w:val="21"/>
        </w:rPr>
        <w:t>（3）枪柜与管理平台（网站）之间的通信通过中间软件来完成，避免枪柜与网站直接通信，保证枪弹柜与内部网的安全隔离，网内任意终端无法直接访问到枪弹柜。</w:t>
      </w:r>
    </w:p>
    <w:p>
      <w:pPr>
        <w:spacing w:line="360" w:lineRule="auto"/>
        <w:rPr>
          <w:rFonts w:ascii="宋体" w:hAnsi="宋体"/>
          <w:szCs w:val="21"/>
        </w:rPr>
      </w:pPr>
      <w:r>
        <w:rPr>
          <w:rFonts w:hint="eastAsia" w:ascii="宋体" w:hAnsi="宋体"/>
          <w:szCs w:val="21"/>
        </w:rPr>
        <w:t>（4）管理平台可以设置不同的用户组，不同用户组的权限不同。用户组的权限可以由最高管理员通过指静脉仪进行设置。</w:t>
      </w:r>
    </w:p>
    <w:p>
      <w:pPr>
        <w:spacing w:line="360" w:lineRule="auto"/>
        <w:rPr>
          <w:rFonts w:ascii="宋体" w:hAnsi="宋体"/>
          <w:szCs w:val="21"/>
        </w:rPr>
      </w:pPr>
      <w:r>
        <w:rPr>
          <w:rFonts w:hint="eastAsia" w:ascii="宋体" w:hAnsi="宋体"/>
          <w:szCs w:val="21"/>
        </w:rPr>
        <w:t>（5）管理平台的使用需要进行用户名和密码的验证，实时记录使用人的操作记录。各枪弹柜也需要指静脉、声纹识别验证才能进行操作，保证数据和操作安全。</w:t>
      </w:r>
    </w:p>
    <w:p>
      <w:pPr>
        <w:spacing w:line="360" w:lineRule="auto"/>
        <w:rPr>
          <w:rFonts w:ascii="宋体" w:hAnsi="宋体"/>
          <w:szCs w:val="21"/>
        </w:rPr>
      </w:pPr>
      <w:r>
        <w:rPr>
          <w:rFonts w:hint="eastAsia" w:ascii="宋体" w:hAnsi="宋体"/>
          <w:szCs w:val="21"/>
        </w:rPr>
        <w:t>（6）拥有权限的人员，可以通过指静脉、声纹或密码登入管理平台查看所辖枪柜的实时状态，包括柜内枪支的在位情况、各弹盒内子弹的数量等信息。</w:t>
      </w:r>
    </w:p>
    <w:p>
      <w:pPr>
        <w:spacing w:line="360" w:lineRule="auto"/>
        <w:rPr>
          <w:rFonts w:ascii="宋体" w:hAnsi="宋体"/>
          <w:szCs w:val="21"/>
        </w:rPr>
      </w:pPr>
      <w:r>
        <w:rPr>
          <w:rFonts w:hint="eastAsia" w:ascii="宋体" w:hAnsi="宋体"/>
          <w:szCs w:val="21"/>
        </w:rPr>
        <w:t>（7）管理平台具有枪支出入柜以及取还枪的审批授权功能。用户提交相应的申请后，需要领导进行审批，审批完成之后才能获得授权，到各枪弹柜进行相应的枪弹操作。</w:t>
      </w:r>
    </w:p>
    <w:p>
      <w:pPr>
        <w:spacing w:line="360" w:lineRule="auto"/>
        <w:rPr>
          <w:rFonts w:ascii="宋体" w:hAnsi="宋体"/>
          <w:szCs w:val="21"/>
        </w:rPr>
      </w:pPr>
      <w:r>
        <w:rPr>
          <w:rFonts w:hint="eastAsia" w:ascii="宋体" w:hAnsi="宋体"/>
          <w:szCs w:val="21"/>
        </w:rPr>
        <w:t>（8）通过管理平台可以直接对枪柜的各枪支进行配枪，设置枪支的公用、专用属性，设置枪柜的管理员以及各枪柜的值班表等信息。信息设置完成后会实时的传输到枪柜，同步枪柜上的相关信息。</w:t>
      </w:r>
    </w:p>
    <w:p>
      <w:pPr>
        <w:spacing w:line="360" w:lineRule="auto"/>
        <w:rPr>
          <w:rFonts w:ascii="宋体" w:hAnsi="宋体"/>
          <w:szCs w:val="21"/>
        </w:rPr>
      </w:pPr>
      <w:r>
        <w:rPr>
          <w:rFonts w:hint="eastAsia" w:ascii="宋体" w:hAnsi="宋体"/>
          <w:szCs w:val="21"/>
        </w:rPr>
        <w:t>（9）枪柜上发生异常操作时，可以及时的进行报警。报警信息可以实时的上传到管理平台。同时还可以提供短信报警，产生异常操作后，管理平台弹出提示窗口，同时报警信息通过短信的方式及时的发送到相关人员的手机上。</w:t>
      </w:r>
    </w:p>
    <w:p>
      <w:pPr>
        <w:pStyle w:val="31"/>
        <w:spacing w:line="276" w:lineRule="auto"/>
        <w:rPr>
          <w:rFonts w:ascii="宋体" w:hAnsi="宋体"/>
          <w:sz w:val="21"/>
          <w:szCs w:val="21"/>
        </w:rPr>
      </w:pPr>
      <w:r>
        <w:rPr>
          <w:rFonts w:hint="eastAsia" w:ascii="宋体" w:hAnsi="宋体"/>
          <w:sz w:val="21"/>
          <w:szCs w:val="21"/>
        </w:rPr>
        <w:t>（10）柜体自带视频图像监控模块，提供柜体操作抓拍图像信息给管理平台。视频图像监控模块可通过智能柜内置摄像头和外接硬盘录像机实现视频监控功能，并通过客户端软件查看视频监控录像，包括智能柜开锁、取还枪支等。视频图像监控模块可通过智能柜内置摄像头和外接硬盘录像机对周围环境进行视频监控，当非管理人员接近智能柜或非正常状态下开启智能柜时，应能产生报警，并将报警信息上传至系统客户端软件。</w:t>
      </w:r>
    </w:p>
    <w:p>
      <w:pPr>
        <w:spacing w:line="360" w:lineRule="auto"/>
        <w:rPr>
          <w:rFonts w:ascii="宋体" w:hAnsi="宋体"/>
          <w:b/>
          <w:bCs/>
          <w:szCs w:val="21"/>
        </w:rPr>
      </w:pPr>
      <w:r>
        <w:rPr>
          <w:rFonts w:hint="eastAsia" w:ascii="宋体" w:hAnsi="宋体"/>
          <w:b/>
          <w:bCs/>
          <w:szCs w:val="21"/>
        </w:rPr>
        <w:t>（二）柜体要求</w:t>
      </w:r>
    </w:p>
    <w:p>
      <w:pPr>
        <w:spacing w:line="360" w:lineRule="auto"/>
        <w:rPr>
          <w:rFonts w:ascii="宋体" w:hAnsi="宋体"/>
          <w:szCs w:val="21"/>
        </w:rPr>
      </w:pPr>
      <w:r>
        <w:rPr>
          <w:rFonts w:hint="eastAsia" w:ascii="宋体" w:hAnsi="宋体"/>
          <w:szCs w:val="21"/>
        </w:rPr>
        <w:t>1、柜体采用低碳合金优质钢板制作，产品防破坏等级达到I级以上（柜体钢板厚度应大于或等于6mm，柜门钢板厚度应大于或等于10mm）。柜体应光洁无毛刺。柜内搁板应能承受30g/cm²的均布载荷放置10min，搁板及相应设施不应有损坏和明显的变形。柜体内设置可依据不同枪支类型的调节机构。</w:t>
      </w:r>
    </w:p>
    <w:p>
      <w:pPr>
        <w:spacing w:line="360" w:lineRule="auto"/>
        <w:rPr>
          <w:rFonts w:ascii="宋体" w:hAnsi="宋体"/>
          <w:szCs w:val="21"/>
        </w:rPr>
      </w:pPr>
      <w:r>
        <w:rPr>
          <w:rFonts w:hint="eastAsia" w:ascii="宋体" w:hAnsi="宋体"/>
          <w:szCs w:val="21"/>
        </w:rPr>
        <w:t>2、柜门应配置两把特制备用防盗锁具（</w:t>
      </w:r>
      <w:r>
        <w:rPr>
          <w:rFonts w:ascii="宋体" w:hAnsi="宋体"/>
          <w:szCs w:val="21"/>
        </w:rPr>
        <w:t>机械钥匙采用GA标志机械钥匙，不得采用简单的一字锁机械钥匙）</w:t>
      </w:r>
      <w:r>
        <w:rPr>
          <w:rFonts w:hint="eastAsia" w:ascii="宋体" w:hAnsi="宋体"/>
          <w:szCs w:val="21"/>
        </w:rPr>
        <w:t>，实现柜门由两人操作才能开启，达到双人管控的目的。锁孔要有特殊设计，应符合GA/T 73-1994和GA1051-2013中的防钻、防技术开启的要求。</w:t>
      </w:r>
    </w:p>
    <w:p>
      <w:pPr>
        <w:spacing w:line="360" w:lineRule="auto"/>
        <w:rPr>
          <w:rFonts w:ascii="宋体" w:hAnsi="宋体"/>
          <w:szCs w:val="21"/>
        </w:rPr>
      </w:pPr>
      <w:r>
        <w:rPr>
          <w:rFonts w:hint="eastAsia" w:ascii="宋体" w:hAnsi="宋体"/>
          <w:szCs w:val="21"/>
        </w:rPr>
        <w:t>3、柜门采用天地锁栓结构，门扇高度大于1300mm时，门扇开启侧门栓和天地栓数量应大于等于7个（必须有天地锁栓）；扇高度小1300mm时，门扇开启侧门栓和天地栓数量应大于等于5个（必须有天地锁栓）；有效伸出长度应大于等于 20 mm。</w:t>
      </w:r>
    </w:p>
    <w:p>
      <w:pPr>
        <w:spacing w:line="360" w:lineRule="auto"/>
        <w:rPr>
          <w:rFonts w:ascii="宋体" w:hAnsi="宋体"/>
          <w:szCs w:val="21"/>
        </w:rPr>
      </w:pPr>
      <w:r>
        <w:rPr>
          <w:rFonts w:hint="eastAsia" w:ascii="宋体" w:hAnsi="宋体"/>
          <w:szCs w:val="21"/>
        </w:rPr>
        <w:t>4、框体在柜体板厚的基础上采用加强结构，以提高防撬能力。</w:t>
      </w:r>
    </w:p>
    <w:p>
      <w:pPr>
        <w:spacing w:line="360" w:lineRule="auto"/>
        <w:rPr>
          <w:rFonts w:ascii="宋体" w:hAnsi="宋体"/>
          <w:szCs w:val="21"/>
        </w:rPr>
      </w:pPr>
      <w:r>
        <w:rPr>
          <w:rFonts w:hint="eastAsia" w:ascii="宋体" w:hAnsi="宋体"/>
          <w:szCs w:val="21"/>
        </w:rPr>
        <w:t>5、锁具安装部位、柜体对应门栓部位应有≥8mm厚防钻加强板。</w:t>
      </w:r>
    </w:p>
    <w:p>
      <w:pPr>
        <w:spacing w:line="360" w:lineRule="auto"/>
        <w:rPr>
          <w:rFonts w:ascii="宋体" w:hAnsi="宋体"/>
          <w:szCs w:val="21"/>
        </w:rPr>
      </w:pPr>
      <w:r>
        <w:rPr>
          <w:rFonts w:hint="eastAsia" w:ascii="宋体" w:hAnsi="宋体"/>
          <w:szCs w:val="21"/>
        </w:rPr>
        <w:t>6、门体内锁栓及机械锁，锁机构的运动，采用齿轮传动机构。</w:t>
      </w:r>
    </w:p>
    <w:p>
      <w:pPr>
        <w:spacing w:line="360" w:lineRule="auto"/>
        <w:rPr>
          <w:rFonts w:ascii="宋体" w:hAnsi="宋体"/>
          <w:szCs w:val="21"/>
        </w:rPr>
      </w:pPr>
      <w:r>
        <w:rPr>
          <w:rFonts w:hint="eastAsia" w:ascii="宋体" w:hAnsi="宋体"/>
          <w:szCs w:val="21"/>
        </w:rPr>
        <w:t>7、柜体配有脚轮，应采用高承重能力的工程塑料万向轮，并带有锁紧固定装置。</w:t>
      </w:r>
    </w:p>
    <w:p>
      <w:pPr>
        <w:spacing w:line="360" w:lineRule="auto"/>
        <w:rPr>
          <w:rFonts w:ascii="宋体" w:hAnsi="宋体"/>
          <w:szCs w:val="21"/>
        </w:rPr>
      </w:pPr>
      <w:r>
        <w:rPr>
          <w:rFonts w:hint="eastAsia" w:ascii="宋体" w:hAnsi="宋体"/>
          <w:szCs w:val="21"/>
        </w:rPr>
        <w:t>8、柜门与柜体必须采用内门铰的结合形式，并设有防夹装置，柜门开启角度应大于90°。</w:t>
      </w:r>
    </w:p>
    <w:p>
      <w:pPr>
        <w:spacing w:line="360" w:lineRule="auto"/>
        <w:rPr>
          <w:rFonts w:ascii="宋体" w:hAnsi="宋体"/>
          <w:szCs w:val="21"/>
        </w:rPr>
      </w:pPr>
      <w:r>
        <w:rPr>
          <w:rFonts w:hint="eastAsia" w:ascii="宋体" w:hAnsi="宋体"/>
          <w:szCs w:val="21"/>
        </w:rPr>
        <w:t>9、柜内衬贴优质绒毯。</w:t>
      </w:r>
    </w:p>
    <w:p>
      <w:pPr>
        <w:spacing w:line="360" w:lineRule="auto"/>
        <w:rPr>
          <w:rFonts w:ascii="宋体" w:hAnsi="宋体"/>
          <w:szCs w:val="21"/>
        </w:rPr>
      </w:pPr>
      <w:r>
        <w:rPr>
          <w:rFonts w:hint="eastAsia" w:ascii="宋体" w:hAnsi="宋体"/>
          <w:szCs w:val="21"/>
        </w:rPr>
        <w:t>10、柜体结构，箱体对角线误差满足GA1051-2013标准 。外结构采用无缝对接，具有防钻、防电焊、防潮、防腐蚀等功能。</w:t>
      </w:r>
    </w:p>
    <w:p>
      <w:pPr>
        <w:spacing w:line="360" w:lineRule="auto"/>
        <w:rPr>
          <w:rFonts w:ascii="宋体" w:hAnsi="宋体"/>
          <w:b/>
          <w:bCs/>
          <w:szCs w:val="21"/>
        </w:rPr>
      </w:pPr>
      <w:r>
        <w:rPr>
          <w:rFonts w:hint="eastAsia" w:ascii="宋体" w:hAnsi="宋体"/>
          <w:b/>
          <w:bCs/>
          <w:szCs w:val="21"/>
        </w:rPr>
        <w:t>（三）长短枪锁架、枪托、枪卡要求：</w:t>
      </w:r>
    </w:p>
    <w:p>
      <w:pPr>
        <w:spacing w:line="360" w:lineRule="auto"/>
        <w:rPr>
          <w:rFonts w:ascii="宋体" w:hAnsi="宋体"/>
          <w:szCs w:val="21"/>
        </w:rPr>
      </w:pPr>
      <w:r>
        <w:rPr>
          <w:rFonts w:hint="eastAsia" w:ascii="宋体" w:hAnsi="宋体"/>
          <w:szCs w:val="21"/>
        </w:rPr>
        <w:t>1、长枪锁架要求采用2.5mm厚度钢板，安装方式模块化，枪锁可以自由装配互换性好。</w:t>
      </w:r>
    </w:p>
    <w:p>
      <w:pPr>
        <w:spacing w:line="360" w:lineRule="auto"/>
        <w:rPr>
          <w:rFonts w:ascii="宋体" w:hAnsi="宋体"/>
          <w:szCs w:val="21"/>
        </w:rPr>
      </w:pPr>
      <w:r>
        <w:rPr>
          <w:rFonts w:hint="eastAsia" w:ascii="宋体" w:hAnsi="宋体"/>
          <w:szCs w:val="21"/>
        </w:rPr>
        <w:t>2、长枪托要求支架采用2.5mm厚度钢板，中间托采用0.8mm优质冷轧板，枪托和枪位隔采用优质工程塑料，可以适合任意不同枪型的竖直整齐排放，枪托可以实现角度调节。</w:t>
      </w:r>
    </w:p>
    <w:p>
      <w:pPr>
        <w:spacing w:line="360" w:lineRule="auto"/>
        <w:rPr>
          <w:rFonts w:ascii="宋体" w:hAnsi="宋体"/>
          <w:szCs w:val="21"/>
        </w:rPr>
      </w:pPr>
      <w:r>
        <w:rPr>
          <w:rFonts w:hint="eastAsia" w:ascii="宋体" w:hAnsi="宋体"/>
          <w:szCs w:val="21"/>
        </w:rPr>
        <w:t>3、长枪卡要求：采用2.5mm厚度碳素钢制作，每支枪卡实现单独上、下调节，安装调节滑槽部件可实现拆装，便于维护。</w:t>
      </w:r>
    </w:p>
    <w:p>
      <w:pPr>
        <w:spacing w:line="360" w:lineRule="auto"/>
        <w:rPr>
          <w:rFonts w:ascii="宋体" w:hAnsi="宋体"/>
          <w:szCs w:val="21"/>
        </w:rPr>
      </w:pPr>
      <w:r>
        <w:rPr>
          <w:rFonts w:hint="eastAsia" w:ascii="宋体" w:hAnsi="宋体"/>
          <w:szCs w:val="21"/>
        </w:rPr>
        <w:t>4、短枪锁架采用1.0mm优质冷板，安装方式模块化，枪锁可以自由装配，互换性好。</w:t>
      </w:r>
    </w:p>
    <w:p>
      <w:pPr>
        <w:spacing w:line="360" w:lineRule="auto"/>
        <w:rPr>
          <w:rFonts w:ascii="宋体" w:hAnsi="宋体"/>
          <w:szCs w:val="21"/>
        </w:rPr>
      </w:pPr>
      <w:r>
        <w:rPr>
          <w:rFonts w:hint="eastAsia" w:ascii="宋体" w:hAnsi="宋体"/>
          <w:szCs w:val="21"/>
        </w:rPr>
        <w:t>5、短枪托和枪位隔采用优质工程塑料，短枪位可以宽窄夹紧调节，可以适合任意不同枪型的整齐排放。</w:t>
      </w:r>
    </w:p>
    <w:p>
      <w:pPr>
        <w:spacing w:line="360" w:lineRule="auto"/>
        <w:rPr>
          <w:rFonts w:ascii="宋体" w:hAnsi="宋体"/>
          <w:b/>
          <w:bCs/>
          <w:szCs w:val="21"/>
        </w:rPr>
      </w:pPr>
      <w:r>
        <w:rPr>
          <w:rFonts w:hint="eastAsia" w:ascii="宋体" w:hAnsi="宋体"/>
          <w:b/>
          <w:bCs/>
          <w:szCs w:val="21"/>
        </w:rPr>
        <w:t>（四）柜体中有关要求</w:t>
      </w:r>
    </w:p>
    <w:p>
      <w:pPr>
        <w:spacing w:line="360" w:lineRule="auto"/>
        <w:rPr>
          <w:rFonts w:ascii="宋体" w:hAnsi="宋体"/>
          <w:b/>
          <w:bCs/>
          <w:szCs w:val="21"/>
        </w:rPr>
      </w:pPr>
      <w:r>
        <w:rPr>
          <w:rFonts w:hint="eastAsia" w:ascii="宋体" w:hAnsi="宋体"/>
          <w:b/>
          <w:bCs/>
          <w:szCs w:val="21"/>
        </w:rPr>
        <w:t>（1）电子枪锁要求</w:t>
      </w:r>
    </w:p>
    <w:p>
      <w:pPr>
        <w:spacing w:line="360" w:lineRule="auto"/>
        <w:rPr>
          <w:rFonts w:ascii="宋体" w:hAnsi="宋体"/>
          <w:szCs w:val="21"/>
        </w:rPr>
      </w:pPr>
      <w:r>
        <w:rPr>
          <w:rFonts w:hint="eastAsia" w:ascii="宋体" w:hAnsi="宋体"/>
          <w:szCs w:val="21"/>
        </w:rPr>
        <w:t xml:space="preserve">   1、枪锁应为独立完整终端产品，具备通用性；同一枪锁能够灵活设置编号，使用位置不受限制；</w:t>
      </w:r>
    </w:p>
    <w:p>
      <w:pPr>
        <w:spacing w:line="360" w:lineRule="auto"/>
        <w:rPr>
          <w:rFonts w:ascii="宋体" w:hAnsi="宋体"/>
        </w:rPr>
      </w:pPr>
      <w:r>
        <w:rPr>
          <w:rFonts w:hint="eastAsia" w:ascii="宋体" w:hAnsi="宋体"/>
          <w:szCs w:val="21"/>
        </w:rPr>
        <w:t xml:space="preserve">   2、电控枪锁锁扣部分为锌合金材料。应为电机锁 ，额定电压应小于等于DC12V。在额定电压下，锁具启闭瞬间冲击电流应小于或等于5A；锁具持续通电电流应小于或等于500mA。电控枪锁连续通电5S不应损坏。电控枪锁外壳温度应小于或等于60℃。</w:t>
      </w:r>
    </w:p>
    <w:p>
      <w:pPr>
        <w:spacing w:line="360" w:lineRule="auto"/>
        <w:rPr>
          <w:rFonts w:ascii="宋体" w:hAnsi="宋体"/>
          <w:szCs w:val="21"/>
        </w:rPr>
      </w:pPr>
      <w:r>
        <w:rPr>
          <w:rFonts w:hint="eastAsia" w:ascii="宋体" w:hAnsi="宋体"/>
          <w:szCs w:val="21"/>
        </w:rPr>
        <w:t xml:space="preserve">   3、故障发生时应保证剩余枪锁正常工作。电子枪锁的电子控制板，记录所有的开关锁操作日志，即使在停电或者主控系统被破坏的情况下，电子枪锁仍具备脱机记录机械开锁事件，脱机记录的时间不低于1个月、脱机保存记录的容量不少于10000条，脱机记录保持在控制板中的flash存储器，有1百万次擦写寿命。</w:t>
      </w:r>
    </w:p>
    <w:p>
      <w:pPr>
        <w:spacing w:line="360" w:lineRule="auto"/>
        <w:rPr>
          <w:rFonts w:ascii="宋体" w:hAnsi="宋体"/>
          <w:szCs w:val="21"/>
        </w:rPr>
      </w:pPr>
      <w:r>
        <w:rPr>
          <w:rFonts w:hint="eastAsia" w:ascii="宋体" w:hAnsi="宋体"/>
          <w:szCs w:val="21"/>
        </w:rPr>
        <w:t xml:space="preserve">   4、采用全自动卡扣式枪锁，取还枪要求一个动作完成。</w:t>
      </w:r>
    </w:p>
    <w:p>
      <w:pPr>
        <w:spacing w:line="360" w:lineRule="auto"/>
        <w:rPr>
          <w:rFonts w:ascii="宋体" w:hAnsi="宋体"/>
          <w:szCs w:val="21"/>
        </w:rPr>
      </w:pPr>
      <w:r>
        <w:rPr>
          <w:rFonts w:hint="eastAsia" w:ascii="宋体" w:hAnsi="宋体"/>
          <w:szCs w:val="21"/>
        </w:rPr>
        <w:t xml:space="preserve">   5、具备防误操作保护和实时在位检测，防止制造枪支归还假象。</w:t>
      </w:r>
    </w:p>
    <w:p>
      <w:pPr>
        <w:spacing w:line="360" w:lineRule="auto"/>
        <w:rPr>
          <w:rFonts w:ascii="宋体" w:hAnsi="宋体"/>
          <w:szCs w:val="21"/>
        </w:rPr>
      </w:pPr>
      <w:r>
        <w:rPr>
          <w:rFonts w:hint="eastAsia" w:ascii="宋体" w:hAnsi="宋体"/>
          <w:szCs w:val="21"/>
        </w:rPr>
        <w:t xml:space="preserve">   6、可自检锁闭，枪锁未关闭系统自动检测锁闭。</w:t>
      </w:r>
    </w:p>
    <w:p>
      <w:pPr>
        <w:spacing w:line="360" w:lineRule="auto"/>
        <w:rPr>
          <w:rFonts w:ascii="宋体" w:hAnsi="宋体"/>
          <w:szCs w:val="21"/>
        </w:rPr>
      </w:pPr>
      <w:r>
        <w:rPr>
          <w:rFonts w:hint="eastAsia" w:ascii="宋体" w:hAnsi="宋体"/>
          <w:szCs w:val="21"/>
        </w:rPr>
        <w:t xml:space="preserve">   7、防卡阻功能，枪支锁闭不到位枪锁遇到阻碍能够保护并提示用户正确操作。</w:t>
      </w:r>
    </w:p>
    <w:p>
      <w:pPr>
        <w:spacing w:line="360" w:lineRule="auto"/>
        <w:rPr>
          <w:rFonts w:ascii="宋体" w:hAnsi="宋体"/>
          <w:szCs w:val="21"/>
        </w:rPr>
      </w:pPr>
      <w:r>
        <w:rPr>
          <w:rFonts w:hint="eastAsia" w:ascii="宋体" w:hAnsi="宋体"/>
          <w:szCs w:val="21"/>
        </w:rPr>
        <w:t xml:space="preserve">   8、枪锁配有一对一应急机械锁。</w:t>
      </w:r>
    </w:p>
    <w:p>
      <w:pPr>
        <w:spacing w:line="360" w:lineRule="auto"/>
        <w:rPr>
          <w:rFonts w:ascii="宋体" w:hAnsi="宋体"/>
          <w:szCs w:val="21"/>
        </w:rPr>
      </w:pPr>
      <w:r>
        <w:rPr>
          <w:rFonts w:hint="eastAsia" w:ascii="宋体" w:hAnsi="宋体"/>
          <w:szCs w:val="21"/>
        </w:rPr>
        <w:t xml:space="preserve">   9、枪锁通过指示灯状态变化提示枪支在位状态和开启锁闭状态。</w:t>
      </w:r>
    </w:p>
    <w:p>
      <w:pPr>
        <w:spacing w:line="360" w:lineRule="auto"/>
        <w:rPr>
          <w:rFonts w:ascii="宋体" w:hAnsi="宋体"/>
          <w:szCs w:val="21"/>
        </w:rPr>
      </w:pPr>
      <w:r>
        <w:rPr>
          <w:rFonts w:hint="eastAsia" w:ascii="宋体" w:hAnsi="宋体"/>
          <w:szCs w:val="21"/>
        </w:rPr>
        <w:t xml:space="preserve">   10、紧急情况下，应能由两人通过特定授权指令一次性开启所有电控锁具。</w:t>
      </w:r>
    </w:p>
    <w:p>
      <w:pPr>
        <w:spacing w:line="360" w:lineRule="auto"/>
        <w:rPr>
          <w:rFonts w:ascii="宋体" w:hAnsi="宋体"/>
          <w:b/>
          <w:bCs/>
          <w:szCs w:val="21"/>
        </w:rPr>
      </w:pPr>
      <w:r>
        <w:rPr>
          <w:rFonts w:hint="eastAsia" w:ascii="宋体" w:hAnsi="宋体"/>
          <w:b/>
          <w:bCs/>
          <w:szCs w:val="21"/>
        </w:rPr>
        <w:t>（2）电子抽屉要求</w:t>
      </w:r>
    </w:p>
    <w:p>
      <w:pPr>
        <w:spacing w:line="360" w:lineRule="auto"/>
        <w:ind w:firstLine="315" w:firstLineChars="150"/>
        <w:rPr>
          <w:rFonts w:ascii="宋体"/>
          <w:b/>
          <w:bCs/>
          <w:szCs w:val="21"/>
        </w:rPr>
      </w:pPr>
      <w:r>
        <w:rPr>
          <w:rFonts w:hint="eastAsia" w:ascii="宋体"/>
          <w:szCs w:val="21"/>
        </w:rPr>
        <w:t>1、电子抽屉要没有间缝，防撬、防钻。</w:t>
      </w:r>
    </w:p>
    <w:p>
      <w:pPr>
        <w:spacing w:line="360" w:lineRule="auto"/>
        <w:ind w:firstLine="315" w:firstLineChars="150"/>
        <w:rPr>
          <w:rFonts w:ascii="宋体"/>
          <w:szCs w:val="21"/>
        </w:rPr>
      </w:pPr>
      <w:r>
        <w:rPr>
          <w:rFonts w:hint="eastAsia" w:ascii="宋体"/>
          <w:szCs w:val="21"/>
        </w:rPr>
        <w:t>2、紧急情况下，应能由两人通过特定授权指令一次性开启所有电控锁具。</w:t>
      </w:r>
    </w:p>
    <w:p>
      <w:pPr>
        <w:spacing w:line="360" w:lineRule="auto"/>
        <w:ind w:firstLine="315" w:firstLineChars="150"/>
        <w:rPr>
          <w:rFonts w:ascii="宋体"/>
          <w:szCs w:val="21"/>
        </w:rPr>
      </w:pPr>
      <w:r>
        <w:rPr>
          <w:rFonts w:hint="eastAsia" w:ascii="宋体"/>
          <w:szCs w:val="21"/>
        </w:rPr>
        <w:t>3电子抽屉采用电机锁控制，锁具启闭瞬间冲击电流应小于或等于5A；锁具持续通电电流应小于或等于500mA。电控枪锁连续通电5S不应损坏。电控枪锁外壳温度应小于或等于60℃。</w:t>
      </w:r>
    </w:p>
    <w:p>
      <w:pPr>
        <w:spacing w:line="360" w:lineRule="auto"/>
        <w:ind w:firstLine="315" w:firstLineChars="150"/>
        <w:rPr>
          <w:rFonts w:ascii="宋体"/>
          <w:szCs w:val="21"/>
        </w:rPr>
      </w:pPr>
      <w:r>
        <w:rPr>
          <w:rFonts w:hint="eastAsia" w:ascii="宋体"/>
          <w:szCs w:val="21"/>
        </w:rPr>
        <w:t>4、电子抽屉的电子控制板，记录所有的开关锁操作日志，即使在停电或者主控系统被破坏的情况下，仍具备脱机记录机械开锁事件，脱机记录的时间不低于1个月、脱机保存记录的容量不少于10000条，脱机记录保持在控制板中的flash存储器，有1百万次擦写寿命。</w:t>
      </w:r>
    </w:p>
    <w:p>
      <w:pPr>
        <w:spacing w:line="360" w:lineRule="auto"/>
        <w:ind w:firstLine="315" w:firstLineChars="150"/>
        <w:rPr>
          <w:rFonts w:ascii="宋体"/>
          <w:szCs w:val="21"/>
        </w:rPr>
      </w:pPr>
      <w:r>
        <w:rPr>
          <w:rFonts w:hint="eastAsia" w:ascii="宋体"/>
          <w:szCs w:val="21"/>
        </w:rPr>
        <w:t>5、电子抽屉要配有可靠准确的子弹计数功能，电子抽屉能适应实现任何一种子弹的精确计数，电子抽屉可支持≥1000颗子弹的装载量。</w:t>
      </w:r>
    </w:p>
    <w:p>
      <w:pPr>
        <w:spacing w:line="360" w:lineRule="auto"/>
        <w:ind w:firstLine="315" w:firstLineChars="150"/>
        <w:rPr>
          <w:rFonts w:ascii="宋体"/>
          <w:szCs w:val="21"/>
        </w:rPr>
      </w:pPr>
      <w:r>
        <w:rPr>
          <w:rFonts w:hint="eastAsia" w:ascii="宋体"/>
          <w:szCs w:val="21"/>
        </w:rPr>
        <w:t>6、电子抽屉能自动精确统计柜内子弹数量，监控取、还子弹的数量，并能实时显示在操作屏上。各存储单元能满足不同类型子弹的调整。该机构能满足连续5000次、随机取还弹不出现任何问题。</w:t>
      </w:r>
    </w:p>
    <w:p>
      <w:pPr>
        <w:spacing w:line="360" w:lineRule="auto"/>
        <w:ind w:firstLine="315" w:firstLineChars="150"/>
        <w:rPr>
          <w:rFonts w:ascii="宋体"/>
          <w:szCs w:val="21"/>
        </w:rPr>
      </w:pPr>
      <w:r>
        <w:rPr>
          <w:rFonts w:hint="eastAsia" w:ascii="宋体"/>
          <w:szCs w:val="21"/>
        </w:rPr>
        <w:t>7、每个抽屉要配有独立的备用机械锁。锁孔要有特殊设计，应符合GA1051-2013中的防钻、防技术开启的要求。</w:t>
      </w:r>
    </w:p>
    <w:p>
      <w:pPr>
        <w:spacing w:line="360" w:lineRule="auto"/>
        <w:ind w:firstLine="315" w:firstLineChars="150"/>
        <w:rPr>
          <w:rFonts w:ascii="宋体"/>
          <w:szCs w:val="21"/>
        </w:rPr>
      </w:pPr>
      <w:r>
        <w:rPr>
          <w:rFonts w:hint="eastAsia" w:ascii="宋体"/>
          <w:szCs w:val="21"/>
        </w:rPr>
        <w:t>8、弹抽屉锁要具有防钻防撬功能。</w:t>
      </w:r>
    </w:p>
    <w:p>
      <w:pPr>
        <w:spacing w:line="360" w:lineRule="auto"/>
        <w:ind w:firstLine="315" w:firstLineChars="150"/>
        <w:rPr>
          <w:rFonts w:ascii="宋体"/>
          <w:szCs w:val="21"/>
        </w:rPr>
      </w:pPr>
      <w:r>
        <w:rPr>
          <w:rFonts w:hint="eastAsia" w:ascii="宋体"/>
          <w:szCs w:val="21"/>
        </w:rPr>
        <w:t>9、电子、机械双重开锁方式。</w:t>
      </w:r>
    </w:p>
    <w:p>
      <w:pPr>
        <w:spacing w:line="360" w:lineRule="auto"/>
        <w:ind w:firstLine="315" w:firstLineChars="150"/>
        <w:rPr>
          <w:rFonts w:ascii="宋体"/>
          <w:szCs w:val="21"/>
        </w:rPr>
      </w:pPr>
      <w:r>
        <w:rPr>
          <w:rFonts w:hint="eastAsia" w:ascii="宋体"/>
          <w:szCs w:val="21"/>
        </w:rPr>
        <w:t>10、弹药抽屉应有各自独立的备用机械开启方式。</w:t>
      </w:r>
    </w:p>
    <w:p>
      <w:pPr>
        <w:spacing w:line="360" w:lineRule="auto"/>
        <w:ind w:firstLine="315" w:firstLineChars="150"/>
        <w:rPr>
          <w:rFonts w:ascii="宋体" w:hAnsi="宋体"/>
          <w:szCs w:val="21"/>
        </w:rPr>
      </w:pPr>
      <w:r>
        <w:rPr>
          <w:rFonts w:hint="eastAsia" w:ascii="宋体"/>
          <w:szCs w:val="21"/>
        </w:rPr>
        <w:t>11、所有抽屉要配有指示灯，具有取弹导寻指引，抽屉未锁闭提醒功能。</w:t>
      </w:r>
    </w:p>
    <w:p>
      <w:pPr>
        <w:spacing w:line="360" w:lineRule="auto"/>
        <w:rPr>
          <w:rFonts w:ascii="宋体" w:hAnsi="宋体"/>
          <w:b/>
          <w:bCs/>
          <w:szCs w:val="21"/>
        </w:rPr>
      </w:pPr>
      <w:r>
        <w:rPr>
          <w:rFonts w:hint="eastAsia" w:ascii="宋体" w:hAnsi="宋体"/>
          <w:b/>
          <w:bCs/>
          <w:szCs w:val="21"/>
        </w:rPr>
        <w:t>（3）智能主控制器要求</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硬件平台采用工业等级嵌入式ARM控制板，软件平台采用嵌入式操作系统；操作系统采用linux、uc/os、uclinux等嵌入式操作系统，不得采用windows操作系统作为柜体操作系统。</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具备人机操作界面，可以是电容式触摸屏操作。人机界面要求美观，可操作性强，简单快捷操作，实现30秒的快速取还枪。</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 xml:space="preserve"> 触摸屏应为液晶屏且大于或者等于12寸,分辨率不低于1024×768，操作界面各项功能需满足日常操作需求，布局需简捷、清晰。液晶屏显示操作过程信息。</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具备语音提醒模块，普通话语音提醒每一步操作。</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具备麦克风录音模块，拥有声纹识别功能。</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柜体操作面板自带活体指静脉、声纹模块，指静脉识别失效的情况下可通过声纹进行身份验证开锁。 采用活体指静脉识别技术，采用指静脉生物识别技术，比对时间&lt;1秒,</w:t>
      </w:r>
      <w:r>
        <w:rPr>
          <w:rFonts w:hint="eastAsia" w:ascii="宋体" w:hAnsi="宋体" w:cs="Verdana"/>
          <w:szCs w:val="21"/>
        </w:rPr>
        <w:t>FRR（拒真率）小于0.01%，FAR（认假率）小于0.0001%</w:t>
      </w:r>
      <w:r>
        <w:rPr>
          <w:rFonts w:hint="eastAsia" w:ascii="宋体" w:hAnsi="宋体"/>
          <w:szCs w:val="21"/>
        </w:rPr>
        <w:t>。指静脉信息存放在枪柜系统中，同时备份存放于服务器上，两者要实现同步，枪柜系统仅存放本单位警员指静脉和管理员指静脉等有关信息。其他生物识别符合国家相关标准。</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柜体操作面板自带声纹身份识别的酒精测试，有效防止酒后用枪。</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现场总线和接口技术：现场总线应选用485总线、CAN总线、profibus总线等，接口技术可采用USB口、串口、I2C、I2S、PCI等。为保证系统功能和稳定性，可以自主研发关键的通讯技术和接口技术，采用可靠的加密机制和算法， 加密算法有DES,3DES,DSA,AES，TEA等。</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配有声光报警器。</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具备电控和机械式双人双锁开启大门。</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主机+机械（二级操作）：停电时系统自动降级为机械开启，机械开启情况下，系统仍记录所有的开关锁操作日志，即使在停电或者主控系统被破坏的情况下，电子枪锁仍具备脱机记录机械开锁事件，脱机记录的时间不低于1个月、脱机保存记录的容量不少于1000条，脱机记录保持在控制板中的flash存储器，有1百万次擦写寿命。</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bCs/>
          <w:szCs w:val="21"/>
        </w:rPr>
        <w:t>柜体自带视频图像监控模块，摄像头安装在触摸屏面板上，提供柜体操作抓拍图像信息给管理平台。</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bCs/>
          <w:szCs w:val="21"/>
        </w:rPr>
        <w:t>视频图像监控模块具有移动侦测功能，当系统侦测到内置摄像头采集的图像中有移动目标时，应能自动抓拍图像，并给出响应的提示。</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枪柜上安装防拆开关电子控制部分盖板上应安装防拆开关，在非允许状态下打开则报警，有效预防系统遭受入侵，保证柜子内枪支的安全。系统能自动将报警信号发送给服务器；服务器通过短信将报警信息发送至管理员及值班室、指挥中心。</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 xml:space="preserve">实时监控功能：系统能实时对系统管理的所有枪柜情况（系统运行、网络、枪支、子弹在位情况、电源等）进行检测和记录，对于出现系统故障、网络中断、电源故障等能够实时报警，并向相应人员和部门发送告警信号。  </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 xml:space="preserve"> 报警功能可分为现场报警、向操作（值班）员报警、异地传输报警等。报警信号的传输方式可以是有线的或无线的，报警信号的显示可以是可见的光显示和声音指示。</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应有专用电源检测模块，实时监测外部输入电源以及UPS 电源的运行情况，断电即发出报警声音并且将报警信号发送给服务器；服务器通过短信将断电告警发送至枪柜管理员。</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柜内要有后备供电设置，后备电源采用长效聚合物锂电池，确保10年的使用寿命，保障停电后不影响枪弹柜正常工作。</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具备后备电源自动设换，交流电源断电时启动备用电源工作，恢复后自动转回交流电源，同时充电备用。在交流电源断电时，备用电源应能支持连续工作大于或等于8h，并在该时段应能支持大于或等于8次的紧急取枪。</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智能枪柜要与智能弹柜联动，在系统指令下，当枪支离位时，相应子弹抽屉对应开启。</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预留门禁、安防及联网功能接口：系统能与门禁、安防系统联网，使用枪单位内部形成一指通。</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具备可扩展RFID的接口，可升级接入全国枪支弹药管理信息系统。</w:t>
      </w:r>
    </w:p>
    <w:p>
      <w:pPr>
        <w:numPr>
          <w:ilvl w:val="0"/>
          <w:numId w:val="5"/>
        </w:numPr>
        <w:tabs>
          <w:tab w:val="left" w:pos="567"/>
          <w:tab w:val="left" w:pos="709"/>
          <w:tab w:val="left" w:pos="993"/>
        </w:tabs>
        <w:spacing w:line="360" w:lineRule="auto"/>
        <w:ind w:left="248" w:leftChars="118" w:firstLine="1"/>
        <w:rPr>
          <w:rFonts w:ascii="宋体" w:hAnsi="宋体"/>
          <w:szCs w:val="21"/>
        </w:rPr>
      </w:pPr>
      <w:r>
        <w:rPr>
          <w:rFonts w:hint="eastAsia" w:ascii="宋体" w:hAnsi="宋体"/>
          <w:szCs w:val="21"/>
        </w:rPr>
        <w:t>具备通过短信平台发送GSM短信报警功能，报警信息能够以短信形式发送到设定人员手机。</w:t>
      </w:r>
      <w:r>
        <w:rPr>
          <w:rFonts w:hint="eastAsia" w:ascii="宋体" w:hAnsi="宋体" w:cs="仿宋"/>
          <w:szCs w:val="21"/>
        </w:rPr>
        <w:t>系统可根据要求，高频率快速发送报警、通知等，且不受条件限制。支持警务通手机，可通过手机客户端软件完成枪支弹药申请、审批业务。手机客户端能够实时反映枪支在位状态，报警信息实时推送。</w:t>
      </w:r>
    </w:p>
    <w:p>
      <w:pPr>
        <w:numPr>
          <w:ilvl w:val="0"/>
          <w:numId w:val="5"/>
        </w:numPr>
        <w:tabs>
          <w:tab w:val="left" w:pos="567"/>
          <w:tab w:val="left" w:pos="709"/>
          <w:tab w:val="left" w:pos="993"/>
        </w:tabs>
        <w:spacing w:line="360" w:lineRule="auto"/>
        <w:ind w:left="248" w:leftChars="118" w:firstLine="1"/>
        <w:rPr>
          <w:rFonts w:ascii="仿宋" w:hAnsi="仿宋" w:eastAsia="仿宋" w:cs="仿宋"/>
          <w:snapToGrid w:val="0"/>
          <w:kern w:val="0"/>
          <w:sz w:val="24"/>
          <w:szCs w:val="24"/>
        </w:rPr>
      </w:pPr>
      <w:r>
        <w:rPr>
          <w:rFonts w:hint="eastAsia" w:ascii="宋体" w:hAnsi="宋体"/>
          <w:szCs w:val="21"/>
        </w:rPr>
        <w:t>智能枪（弹）柜管理系统必须具有完整的网络管理模式，能与全国枪支信息管理系统对接，与全国枪支管理信息系统联网运行时，应能将指定信息上传。联网要求符合公安部GA1051-2013《枪支弹药专用保险柜》标准。</w:t>
      </w:r>
    </w:p>
    <w:p>
      <w:pPr>
        <w:spacing w:line="360" w:lineRule="auto"/>
        <w:rPr>
          <w:rFonts w:ascii="仿宋" w:hAnsi="仿宋" w:eastAsia="仿宋" w:cs="仿宋"/>
          <w:snapToGrid w:val="0"/>
          <w:kern w:val="0"/>
          <w:sz w:val="24"/>
          <w:szCs w:val="24"/>
        </w:rPr>
      </w:pPr>
      <w:r>
        <w:rPr>
          <w:rFonts w:hint="eastAsia" w:ascii="宋体" w:hAnsi="宋体" w:cs="新宋体"/>
          <w:b/>
          <w:szCs w:val="21"/>
        </w:rPr>
        <w:t>注：“▲项”和“样品验证”项为技术加分项，其他项为“基础技术要求项”，“基础技术要求项”有一项不满足或负偏离的按无效标处理。</w:t>
      </w:r>
      <w:bookmarkStart w:id="211" w:name="_GoBack"/>
      <w:bookmarkEnd w:id="211"/>
    </w:p>
    <w:p>
      <w:pPr>
        <w:pStyle w:val="5"/>
        <w:adjustRightInd w:val="0"/>
        <w:snapToGrid w:val="0"/>
        <w:spacing w:before="0" w:after="0" w:line="400" w:lineRule="exact"/>
        <w:ind w:firstLine="482" w:firstLineChars="200"/>
        <w:jc w:val="left"/>
        <w:rPr>
          <w:rFonts w:ascii="仿宋" w:hAnsi="仿宋" w:eastAsia="仿宋" w:cs="仿宋"/>
          <w:snapToGrid w:val="0"/>
          <w:kern w:val="0"/>
          <w:sz w:val="24"/>
          <w:szCs w:val="24"/>
        </w:rPr>
      </w:pPr>
      <w:r>
        <w:rPr>
          <w:rFonts w:hint="eastAsia" w:ascii="仿宋" w:hAnsi="仿宋" w:eastAsia="仿宋" w:cs="仿宋"/>
          <w:snapToGrid w:val="0"/>
          <w:kern w:val="0"/>
          <w:sz w:val="24"/>
          <w:szCs w:val="24"/>
        </w:rPr>
        <w:t>三、商务要求</w:t>
      </w:r>
      <w:bookmarkEnd w:id="75"/>
      <w:bookmarkEnd w:id="76"/>
      <w:bookmarkEnd w:id="77"/>
      <w:bookmarkEnd w:id="78"/>
    </w:p>
    <w:p>
      <w:pPr>
        <w:spacing w:line="420" w:lineRule="exact"/>
        <w:rPr>
          <w:rFonts w:ascii="宋体"/>
          <w:b/>
          <w:bCs/>
        </w:rPr>
      </w:pPr>
      <w:r>
        <w:rPr>
          <w:rFonts w:hint="eastAsia" w:ascii="宋体" w:hAnsi="宋体" w:cs="宋体"/>
          <w:b/>
          <w:bCs/>
        </w:rPr>
        <w:t>（一）售后服务要求</w:t>
      </w:r>
    </w:p>
    <w:p>
      <w:pPr>
        <w:spacing w:line="420" w:lineRule="exact"/>
        <w:ind w:firstLine="448"/>
        <w:outlineLvl w:val="0"/>
        <w:rPr>
          <w:rStyle w:val="34"/>
          <w:rFonts w:ascii="宋体"/>
        </w:rPr>
      </w:pPr>
      <w:r>
        <w:rPr>
          <w:rStyle w:val="34"/>
          <w:rFonts w:ascii="宋体" w:hAnsi="宋体" w:cs="宋体"/>
        </w:rPr>
        <w:t>1</w:t>
      </w:r>
      <w:r>
        <w:rPr>
          <w:rStyle w:val="34"/>
          <w:rFonts w:ascii="宋体" w:cs="宋体"/>
        </w:rPr>
        <w:t>.</w:t>
      </w:r>
      <w:r>
        <w:rPr>
          <w:rStyle w:val="34"/>
          <w:rFonts w:hint="eastAsia" w:ascii="宋体" w:hAnsi="宋体" w:cs="宋体"/>
        </w:rPr>
        <w:t>免费质量保证期贰年，（相关标准大于的，则按相关标准执行）。保修期内，因产品质量问题而不能正常运行的，负责免费维修或更换。保修期从所有安装完毕并通过验收合格签字之日算起。</w:t>
      </w:r>
    </w:p>
    <w:p>
      <w:pPr>
        <w:spacing w:line="420" w:lineRule="exact"/>
        <w:ind w:firstLine="480"/>
        <w:outlineLvl w:val="0"/>
        <w:rPr>
          <w:rStyle w:val="34"/>
          <w:rFonts w:ascii="宋体"/>
        </w:rPr>
      </w:pPr>
      <w:r>
        <w:rPr>
          <w:rStyle w:val="34"/>
          <w:rFonts w:ascii="宋体" w:hAnsi="宋体" w:cs="宋体"/>
        </w:rPr>
        <w:t>2.</w:t>
      </w:r>
      <w:r>
        <w:rPr>
          <w:rStyle w:val="34"/>
          <w:rFonts w:hint="eastAsia" w:ascii="宋体" w:hAnsi="宋体" w:cs="宋体"/>
        </w:rPr>
        <w:t>要求供货商所供货设备外包箱注明用户信息，原厂货物完整，不得拆封；</w:t>
      </w:r>
    </w:p>
    <w:p>
      <w:pPr>
        <w:spacing w:line="420" w:lineRule="exact"/>
        <w:ind w:firstLine="480"/>
        <w:rPr>
          <w:rFonts w:ascii="宋体"/>
        </w:rPr>
      </w:pPr>
      <w:r>
        <w:rPr>
          <w:rFonts w:ascii="宋体" w:hAnsi="宋体" w:cs="宋体"/>
        </w:rPr>
        <w:t>3.</w:t>
      </w:r>
      <w:r>
        <w:rPr>
          <w:rFonts w:hint="eastAsia" w:ascii="宋体" w:hAnsi="宋体" w:cs="宋体"/>
        </w:rPr>
        <w:t>在质量保证期内，接到故障通知后</w:t>
      </w:r>
      <w:r>
        <w:rPr>
          <w:rFonts w:ascii="宋体" w:hAnsi="宋体" w:cs="宋体"/>
        </w:rPr>
        <w:t>2</w:t>
      </w:r>
      <w:r>
        <w:rPr>
          <w:rFonts w:hint="eastAsia" w:ascii="宋体" w:hAnsi="宋体" w:cs="宋体"/>
        </w:rPr>
        <w:t>小时内响应</w:t>
      </w:r>
      <w:r>
        <w:rPr>
          <w:rFonts w:ascii="宋体" w:hAnsi="宋体" w:cs="宋体"/>
        </w:rPr>
        <w:t>,4</w:t>
      </w:r>
      <w:r>
        <w:rPr>
          <w:rFonts w:hint="eastAsia" w:ascii="宋体" w:hAnsi="宋体" w:cs="宋体"/>
        </w:rPr>
        <w:t>小时内到现场，如超过</w:t>
      </w:r>
      <w:r>
        <w:rPr>
          <w:rFonts w:ascii="宋体" w:hAnsi="宋体" w:cs="宋体"/>
        </w:rPr>
        <w:t>24</w:t>
      </w:r>
      <w:r>
        <w:rPr>
          <w:rFonts w:hint="eastAsia" w:ascii="宋体" w:hAnsi="宋体" w:cs="宋体"/>
        </w:rPr>
        <w:t>小时仍不能排除故障，投标人应在</w:t>
      </w:r>
      <w:r>
        <w:rPr>
          <w:rFonts w:ascii="宋体" w:hAnsi="宋体" w:cs="宋体"/>
        </w:rPr>
        <w:t>3</w:t>
      </w:r>
      <w:r>
        <w:rPr>
          <w:rFonts w:hint="eastAsia" w:ascii="宋体" w:hAnsi="宋体" w:cs="宋体"/>
        </w:rPr>
        <w:t>个工作日内无偿提供备用品或零件供用户使用；质量保证期内的维修发生的一切费用由投标人承担；终身免费保养。</w:t>
      </w:r>
    </w:p>
    <w:p>
      <w:pPr>
        <w:spacing w:line="420" w:lineRule="exact"/>
        <w:ind w:firstLine="480"/>
        <w:rPr>
          <w:rFonts w:ascii="宋体"/>
        </w:rPr>
      </w:pPr>
      <w:r>
        <w:rPr>
          <w:rFonts w:ascii="宋体" w:hAnsi="宋体" w:cs="宋体"/>
        </w:rPr>
        <w:t>4.</w:t>
      </w:r>
      <w:r>
        <w:rPr>
          <w:rFonts w:hint="eastAsia" w:ascii="宋体" w:hAnsi="宋体" w:cs="宋体"/>
        </w:rPr>
        <w:t>质量保证期内所有货物保修服务方式均为上门保修即由投标人派员到用户设备使用现场维修。由此产生的一切费用均由投标人承担。</w:t>
      </w:r>
    </w:p>
    <w:p>
      <w:pPr>
        <w:spacing w:line="420" w:lineRule="exact"/>
        <w:ind w:firstLine="480"/>
        <w:rPr>
          <w:rFonts w:ascii="宋体"/>
        </w:rPr>
      </w:pPr>
      <w:r>
        <w:rPr>
          <w:rFonts w:ascii="宋体" w:hAnsi="宋体" w:cs="宋体"/>
        </w:rPr>
        <w:t>5</w:t>
      </w:r>
      <w:r>
        <w:rPr>
          <w:rFonts w:hint="eastAsia" w:ascii="宋体" w:hAnsi="宋体" w:cs="宋体"/>
        </w:rPr>
        <w:t>、中标方应派出</w:t>
      </w:r>
      <w:r>
        <w:rPr>
          <w:rFonts w:ascii="宋体" w:hAnsi="宋体" w:cs="宋体"/>
        </w:rPr>
        <w:t>1</w:t>
      </w:r>
      <w:r>
        <w:rPr>
          <w:rFonts w:hint="eastAsia" w:ascii="宋体" w:hAnsi="宋体" w:cs="宋体"/>
        </w:rPr>
        <w:t>至</w:t>
      </w:r>
      <w:r>
        <w:rPr>
          <w:rFonts w:ascii="宋体" w:hAnsi="宋体" w:cs="宋体"/>
        </w:rPr>
        <w:t>2</w:t>
      </w:r>
      <w:r>
        <w:rPr>
          <w:rFonts w:hint="eastAsia" w:ascii="宋体" w:hAnsi="宋体" w:cs="宋体"/>
        </w:rPr>
        <w:t>名技术人员在采购人施工安装现场进行技术指导工作。</w:t>
      </w:r>
    </w:p>
    <w:p>
      <w:pPr>
        <w:spacing w:line="420" w:lineRule="exact"/>
        <w:ind w:firstLine="480"/>
        <w:rPr>
          <w:rFonts w:ascii="宋体"/>
        </w:rPr>
      </w:pPr>
      <w:r>
        <w:rPr>
          <w:rFonts w:ascii="宋体" w:hAnsi="宋体" w:cs="宋体"/>
        </w:rPr>
        <w:t>6</w:t>
      </w:r>
      <w:r>
        <w:rPr>
          <w:rFonts w:hint="eastAsia" w:ascii="宋体" w:hAnsi="宋体" w:cs="宋体"/>
        </w:rPr>
        <w:t>、如遇厂方兼并或代理商不再代理该产品，须与采购方做好移交手续。本合同、协议继续有效。</w:t>
      </w:r>
    </w:p>
    <w:p>
      <w:pPr>
        <w:spacing w:line="360" w:lineRule="auto"/>
        <w:ind w:firstLine="422" w:firstLineChars="200"/>
        <w:rPr>
          <w:rFonts w:ascii="宋体" w:cs="宋体"/>
        </w:rPr>
      </w:pPr>
      <w:r>
        <w:rPr>
          <w:rFonts w:hint="eastAsia" w:ascii="宋体" w:hAnsi="宋体" w:cs="宋体"/>
          <w:b/>
          <w:bCs/>
        </w:rPr>
        <w:t>（二）付款方式</w:t>
      </w:r>
      <w:r>
        <w:rPr>
          <w:rFonts w:ascii="宋体" w:hAnsi="宋体" w:cs="宋体"/>
          <w:b/>
          <w:bCs/>
          <w:lang w:val="zh-CN"/>
        </w:rPr>
        <w:t>:</w:t>
      </w:r>
      <w:r>
        <w:rPr>
          <w:rFonts w:hint="eastAsia" w:ascii="宋体" w:hAnsi="宋体" w:cs="宋体"/>
        </w:rPr>
        <w:t>中标单位和采购人双方签订合同后，所有合同项下项目安装实施完工付至合同总价的</w:t>
      </w:r>
      <w:r>
        <w:rPr>
          <w:rFonts w:ascii="宋体" w:hAnsi="宋体" w:cs="宋体"/>
        </w:rPr>
        <w:t>70%</w:t>
      </w:r>
      <w:r>
        <w:rPr>
          <w:rFonts w:hint="eastAsia" w:ascii="宋体" w:hAnsi="宋体" w:cs="宋体"/>
        </w:rPr>
        <w:t>，经采购人组织验收合格后付至合同总价的</w:t>
      </w:r>
      <w:r>
        <w:rPr>
          <w:rFonts w:ascii="宋体" w:hAnsi="宋体" w:cs="宋体"/>
        </w:rPr>
        <w:t>9</w:t>
      </w:r>
      <w:r>
        <w:rPr>
          <w:rFonts w:hint="eastAsia" w:ascii="宋体" w:hAnsi="宋体" w:cs="宋体"/>
        </w:rPr>
        <w:t>5</w:t>
      </w:r>
      <w:r>
        <w:rPr>
          <w:rFonts w:ascii="宋体" w:hAnsi="宋体" w:cs="宋体"/>
        </w:rPr>
        <w:t>%</w:t>
      </w:r>
      <w:r>
        <w:rPr>
          <w:rFonts w:hint="eastAsia" w:ascii="宋体" w:hAnsi="宋体" w:cs="宋体"/>
        </w:rPr>
        <w:t>，剩余5%货款在质保期一年满后一次性无息付清。</w:t>
      </w:r>
    </w:p>
    <w:p>
      <w:pPr>
        <w:spacing w:line="420" w:lineRule="exact"/>
        <w:rPr>
          <w:rFonts w:ascii="宋体"/>
        </w:rPr>
      </w:pPr>
      <w:r>
        <w:rPr>
          <w:rFonts w:hint="eastAsia" w:ascii="宋体" w:hAnsi="宋体" w:cs="宋体"/>
          <w:b/>
          <w:bCs/>
        </w:rPr>
        <w:t>（三）</w:t>
      </w:r>
      <w:r>
        <w:rPr>
          <w:rFonts w:hint="eastAsia" w:ascii="宋体" w:hAnsi="宋体" w:cs="宋体"/>
          <w:b/>
          <w:bCs/>
          <w:lang w:val="zh-CN"/>
        </w:rPr>
        <w:t>交货及安装地点</w:t>
      </w:r>
      <w:r>
        <w:rPr>
          <w:rFonts w:ascii="宋体" w:hAnsi="宋体" w:cs="宋体"/>
          <w:b/>
          <w:bCs/>
          <w:lang w:val="zh-CN"/>
        </w:rPr>
        <w:t>:</w:t>
      </w:r>
      <w:r>
        <w:rPr>
          <w:rFonts w:hint="eastAsia" w:ascii="宋体" w:hAnsi="宋体" w:cs="宋体"/>
          <w:lang w:val="zh-CN"/>
        </w:rPr>
        <w:t>采购单位指定地点</w:t>
      </w:r>
      <w:r>
        <w:rPr>
          <w:rFonts w:hint="eastAsia" w:ascii="宋体" w:hAnsi="宋体" w:cs="宋体"/>
          <w:b/>
          <w:bCs/>
          <w:lang w:val="zh-CN"/>
        </w:rPr>
        <w:t>。　</w:t>
      </w:r>
    </w:p>
    <w:p>
      <w:pPr>
        <w:adjustRightInd w:val="0"/>
        <w:snapToGrid w:val="0"/>
        <w:spacing w:line="420" w:lineRule="exact"/>
        <w:rPr>
          <w:rFonts w:ascii="宋体" w:cs="宋体"/>
        </w:rPr>
      </w:pPr>
      <w:r>
        <w:rPr>
          <w:rFonts w:hint="eastAsia" w:ascii="宋体" w:hAnsi="宋体" w:cs="宋体"/>
          <w:b/>
          <w:bCs/>
        </w:rPr>
        <w:t>（四）</w:t>
      </w:r>
      <w:r>
        <w:rPr>
          <w:rFonts w:hint="eastAsia" w:ascii="宋体" w:hAnsi="宋体" w:cs="宋体"/>
          <w:b/>
          <w:bCs/>
          <w:lang w:val="zh-CN"/>
        </w:rPr>
        <w:t>交货时间</w:t>
      </w:r>
      <w:r>
        <w:rPr>
          <w:rFonts w:ascii="宋体" w:hAnsi="宋体" w:cs="宋体"/>
          <w:b/>
          <w:bCs/>
          <w:lang w:val="zh-CN"/>
        </w:rPr>
        <w:t>:</w:t>
      </w:r>
      <w:r>
        <w:rPr>
          <w:rFonts w:hint="eastAsia" w:ascii="宋体" w:hAnsi="宋体" w:cs="宋体"/>
        </w:rPr>
        <w:t>合同签订后并经招标人通知开始安装施工之日起1个月内完成。</w:t>
      </w:r>
    </w:p>
    <w:p>
      <w:pPr>
        <w:adjustRightInd w:val="0"/>
        <w:snapToGrid w:val="0"/>
        <w:spacing w:line="420" w:lineRule="exact"/>
        <w:rPr>
          <w:rFonts w:ascii="宋体"/>
          <w:b/>
          <w:bCs/>
          <w:lang w:val="zh-CN"/>
        </w:rPr>
      </w:pPr>
      <w:r>
        <w:rPr>
          <w:rFonts w:hint="eastAsia" w:ascii="宋体" w:hAnsi="宋体" w:cs="宋体"/>
          <w:b/>
          <w:bCs/>
        </w:rPr>
        <w:t>（五）</w:t>
      </w:r>
      <w:r>
        <w:rPr>
          <w:rFonts w:hint="eastAsia" w:ascii="宋体" w:hAnsi="宋体" w:cs="宋体"/>
          <w:b/>
          <w:bCs/>
          <w:lang w:val="zh-CN"/>
        </w:rPr>
        <w:t>交货包装：</w:t>
      </w:r>
    </w:p>
    <w:p>
      <w:pPr>
        <w:autoSpaceDE w:val="0"/>
        <w:autoSpaceDN w:val="0"/>
        <w:snapToGrid w:val="0"/>
        <w:spacing w:line="420" w:lineRule="exact"/>
        <w:ind w:firstLine="420" w:firstLineChars="200"/>
        <w:rPr>
          <w:rFonts w:ascii="宋体"/>
          <w:b/>
          <w:bCs/>
          <w:lang w:val="zh-CN"/>
        </w:rPr>
      </w:pPr>
      <w:r>
        <w:rPr>
          <w:rFonts w:ascii="宋体" w:hAnsi="宋体" w:cs="宋体"/>
        </w:rPr>
        <w:fldChar w:fldCharType="begin"/>
      </w:r>
      <w:r>
        <w:rPr>
          <w:rFonts w:ascii="宋体" w:hAnsi="宋体" w:cs="宋体"/>
        </w:rPr>
        <w:instrText xml:space="preserve"> = 1 \* GB3 \* MERGEFORMAT </w:instrText>
      </w:r>
      <w:r>
        <w:rPr>
          <w:rFonts w:ascii="宋体" w:hAnsi="宋体" w:cs="宋体"/>
        </w:rPr>
        <w:fldChar w:fldCharType="separate"/>
      </w:r>
      <w:r>
        <w:rPr>
          <w:rFonts w:hint="eastAsia" w:ascii="宋体" w:hAnsi="宋体" w:cs="宋体"/>
        </w:rPr>
        <w:t>①</w:t>
      </w:r>
      <w:r>
        <w:rPr>
          <w:rFonts w:ascii="宋体" w:hAnsi="宋体" w:cs="宋体"/>
        </w:rPr>
        <w:fldChar w:fldCharType="end"/>
      </w:r>
      <w:r>
        <w:rPr>
          <w:rFonts w:ascii="宋体" w:cs="宋体"/>
        </w:rPr>
        <w:t>.</w:t>
      </w:r>
      <w:r>
        <w:rPr>
          <w:rFonts w:hint="eastAsia" w:ascii="宋体" w:hAnsi="宋体" w:cs="宋体"/>
        </w:rPr>
        <w:t>投标人提供的全部货物均应确保货物安全无损运抵指定现场。由于货物损坏和损失均由投标人负责。</w:t>
      </w:r>
    </w:p>
    <w:p>
      <w:pPr>
        <w:autoSpaceDE w:val="0"/>
        <w:autoSpaceDN w:val="0"/>
        <w:snapToGrid w:val="0"/>
        <w:spacing w:line="420" w:lineRule="exact"/>
        <w:ind w:firstLine="420" w:firstLineChars="200"/>
        <w:rPr>
          <w:rFonts w:ascii="宋体"/>
        </w:rPr>
      </w:pPr>
      <w:r>
        <w:rPr>
          <w:rFonts w:ascii="宋体" w:hAnsi="宋体" w:cs="宋体"/>
        </w:rPr>
        <w:fldChar w:fldCharType="begin"/>
      </w:r>
      <w:r>
        <w:rPr>
          <w:rFonts w:ascii="宋体" w:hAnsi="宋体" w:cs="宋体"/>
        </w:rPr>
        <w:instrText xml:space="preserve"> = 2 \* GB3 \* MERGEFORMAT </w:instrText>
      </w:r>
      <w:r>
        <w:rPr>
          <w:rFonts w:ascii="宋体" w:hAnsi="宋体" w:cs="宋体"/>
        </w:rPr>
        <w:fldChar w:fldCharType="separate"/>
      </w:r>
      <w:r>
        <w:rPr>
          <w:rFonts w:hint="eastAsia" w:ascii="宋体" w:hAnsi="宋体" w:cs="宋体"/>
        </w:rPr>
        <w:t>②</w:t>
      </w:r>
      <w:r>
        <w:rPr>
          <w:rFonts w:ascii="宋体" w:hAnsi="宋体" w:cs="宋体"/>
        </w:rPr>
        <w:fldChar w:fldCharType="end"/>
      </w:r>
      <w:r>
        <w:rPr>
          <w:rFonts w:ascii="宋体" w:cs="宋体"/>
        </w:rPr>
        <w:t>.</w:t>
      </w:r>
      <w:r>
        <w:rPr>
          <w:rFonts w:hint="eastAsia" w:ascii="宋体" w:hAnsi="宋体" w:cs="宋体"/>
        </w:rPr>
        <w:t>投标人交货时，须提供设备的全部资料，如出厂检验报告、产品合格证等。除供应商自主生产的产品，其他需要外购的产品必须征得业主同意后参照相应的标准方可购买提供。</w:t>
      </w:r>
    </w:p>
    <w:p>
      <w:pPr>
        <w:autoSpaceDE w:val="0"/>
        <w:autoSpaceDN w:val="0"/>
        <w:snapToGrid w:val="0"/>
        <w:spacing w:line="420" w:lineRule="exact"/>
        <w:ind w:firstLine="420" w:firstLineChars="200"/>
        <w:rPr>
          <w:rFonts w:ascii="宋体"/>
        </w:rPr>
      </w:pPr>
      <w:r>
        <w:rPr>
          <w:rFonts w:ascii="宋体" w:hAnsi="宋体" w:cs="宋体"/>
        </w:rPr>
        <w:fldChar w:fldCharType="begin"/>
      </w:r>
      <w:r>
        <w:rPr>
          <w:rFonts w:ascii="宋体" w:hAnsi="宋体" w:cs="宋体"/>
        </w:rPr>
        <w:instrText xml:space="preserve"> = 3 \* GB3 \* MERGEFORMAT </w:instrText>
      </w:r>
      <w:r>
        <w:rPr>
          <w:rFonts w:ascii="宋体" w:hAnsi="宋体" w:cs="宋体"/>
        </w:rPr>
        <w:fldChar w:fldCharType="separate"/>
      </w:r>
      <w:r>
        <w:rPr>
          <w:rFonts w:hint="eastAsia" w:ascii="宋体" w:hAnsi="宋体" w:cs="宋体"/>
        </w:rPr>
        <w:t>③</w:t>
      </w:r>
      <w:r>
        <w:rPr>
          <w:rFonts w:ascii="宋体" w:hAnsi="宋体" w:cs="宋体"/>
        </w:rPr>
        <w:fldChar w:fldCharType="end"/>
      </w:r>
      <w:r>
        <w:rPr>
          <w:rFonts w:ascii="宋体" w:cs="宋体"/>
        </w:rPr>
        <w:t>.</w:t>
      </w:r>
      <w:r>
        <w:rPr>
          <w:rFonts w:hint="eastAsia" w:ascii="宋体" w:hAnsi="宋体" w:cs="宋体"/>
        </w:rPr>
        <w:t>投标人提供的全部货物所有附件必须都配备齐全。</w:t>
      </w:r>
    </w:p>
    <w:p>
      <w:pPr>
        <w:autoSpaceDE w:val="0"/>
        <w:autoSpaceDN w:val="0"/>
        <w:snapToGrid w:val="0"/>
        <w:spacing w:line="420" w:lineRule="exact"/>
        <w:ind w:firstLine="420" w:firstLineChars="200"/>
        <w:rPr>
          <w:rFonts w:ascii="宋体" w:hAnsi="宋体" w:cs="宋体"/>
        </w:rPr>
      </w:pPr>
      <w:r>
        <w:rPr>
          <w:rFonts w:ascii="宋体" w:hAnsi="宋体" w:cs="宋体"/>
        </w:rPr>
        <w:fldChar w:fldCharType="begin"/>
      </w:r>
      <w:r>
        <w:rPr>
          <w:rFonts w:ascii="宋体" w:hAnsi="宋体" w:cs="宋体"/>
        </w:rPr>
        <w:instrText xml:space="preserve"> = 4 \* GB3 \* MERGEFORMAT </w:instrText>
      </w:r>
      <w:r>
        <w:rPr>
          <w:rFonts w:ascii="宋体" w:hAnsi="宋体" w:cs="宋体"/>
        </w:rPr>
        <w:fldChar w:fldCharType="separate"/>
      </w:r>
      <w:r>
        <w:rPr>
          <w:rFonts w:hint="eastAsia" w:ascii="宋体" w:hAnsi="宋体" w:cs="宋体"/>
        </w:rPr>
        <w:t>④</w:t>
      </w:r>
      <w:r>
        <w:rPr>
          <w:rFonts w:ascii="宋体" w:hAnsi="宋体" w:cs="宋体"/>
        </w:rPr>
        <w:fldChar w:fldCharType="end"/>
      </w:r>
      <w:r>
        <w:rPr>
          <w:rFonts w:ascii="宋体" w:cs="宋体"/>
        </w:rPr>
        <w:t>.</w:t>
      </w:r>
      <w:r>
        <w:rPr>
          <w:rFonts w:hint="eastAsia" w:ascii="宋体" w:hAnsi="宋体" w:cs="宋体"/>
        </w:rPr>
        <w:t>如果投标人没有按照合同规定或采购人同意延长的时间交货，每延期五天，按合同总金额的</w:t>
      </w:r>
      <w:r>
        <w:rPr>
          <w:rFonts w:ascii="宋体" w:hAnsi="宋体" w:cs="宋体"/>
        </w:rPr>
        <w:t>1%</w:t>
      </w:r>
      <w:r>
        <w:rPr>
          <w:rFonts w:hint="eastAsia" w:ascii="宋体" w:hAnsi="宋体" w:cs="宋体"/>
        </w:rPr>
        <w:t>交付违约金（从履约保证金中扣除）；如果投标人在达到最高限额（合同总额</w:t>
      </w:r>
      <w:r>
        <w:rPr>
          <w:rFonts w:ascii="宋体" w:hAnsi="宋体" w:cs="宋体"/>
        </w:rPr>
        <w:t>5%</w:t>
      </w:r>
      <w:r>
        <w:rPr>
          <w:rFonts w:hint="eastAsia" w:ascii="宋体" w:hAnsi="宋体" w:cs="宋体"/>
        </w:rPr>
        <w:t>）后仍不能交付的，采购人可终止合同，因此产生的一切经济损失由投标人承担；因质量问题延期交付设备时，按延期交付产品处理。</w:t>
      </w:r>
    </w:p>
    <w:p>
      <w:pPr>
        <w:autoSpaceDE w:val="0"/>
        <w:autoSpaceDN w:val="0"/>
        <w:adjustRightInd w:val="0"/>
        <w:snapToGrid w:val="0"/>
        <w:spacing w:line="420" w:lineRule="exact"/>
        <w:rPr>
          <w:rFonts w:ascii="宋体" w:hAnsi="宋体" w:cs="宋体"/>
          <w:b/>
          <w:bCs/>
          <w:lang w:val="zh-CN"/>
        </w:rPr>
      </w:pPr>
      <w:r>
        <w:rPr>
          <w:rFonts w:hint="eastAsia" w:ascii="宋体" w:hAnsi="宋体" w:cs="宋体"/>
          <w:b/>
          <w:bCs/>
        </w:rPr>
        <w:t>（六）</w:t>
      </w:r>
      <w:r>
        <w:rPr>
          <w:rFonts w:hint="eastAsia" w:ascii="宋体" w:hAnsi="宋体" w:cs="宋体"/>
          <w:b/>
          <w:bCs/>
          <w:lang w:val="zh-CN"/>
        </w:rPr>
        <w:t>安装、验收</w:t>
      </w:r>
      <w:r>
        <w:rPr>
          <w:rFonts w:ascii="宋体" w:hAnsi="宋体" w:cs="宋体"/>
          <w:b/>
          <w:bCs/>
          <w:lang w:val="zh-CN"/>
        </w:rPr>
        <w:t>:</w:t>
      </w:r>
    </w:p>
    <w:p>
      <w:pPr>
        <w:autoSpaceDE w:val="0"/>
        <w:autoSpaceDN w:val="0"/>
        <w:adjustRightInd w:val="0"/>
        <w:snapToGrid w:val="0"/>
        <w:spacing w:line="420" w:lineRule="exact"/>
        <w:ind w:firstLine="420" w:firstLineChars="200"/>
        <w:rPr>
          <w:rFonts w:ascii="宋体"/>
        </w:rPr>
      </w:pPr>
      <w:r>
        <w:rPr>
          <w:rFonts w:ascii="宋体" w:hAnsi="宋体" w:cs="宋体"/>
        </w:rPr>
        <w:t>1.</w:t>
      </w:r>
      <w:r>
        <w:rPr>
          <w:rFonts w:hint="eastAsia" w:ascii="宋体" w:hAnsi="宋体" w:cs="宋体"/>
        </w:rPr>
        <w:t>投标人在交货及安装截止时间内向采购方现场交货，有关运输和保险的一切费用由投标人承担。所有货物运抵现场指导施工队伍安装、验收合格后的日期为</w:t>
      </w:r>
      <w:r>
        <w:rPr>
          <w:rFonts w:hint="eastAsia" w:ascii="宋体" w:hAnsi="宋体" w:cs="宋体"/>
          <w:highlight w:val="white"/>
        </w:rPr>
        <w:t>安装结束并经验收合格之日</w:t>
      </w:r>
      <w:r>
        <w:rPr>
          <w:rFonts w:hint="eastAsia" w:ascii="宋体" w:hAnsi="宋体" w:cs="宋体"/>
        </w:rPr>
        <w:t>；</w:t>
      </w:r>
    </w:p>
    <w:p>
      <w:pPr>
        <w:autoSpaceDE w:val="0"/>
        <w:autoSpaceDN w:val="0"/>
        <w:adjustRightInd w:val="0"/>
        <w:snapToGrid w:val="0"/>
        <w:spacing w:line="420" w:lineRule="exact"/>
        <w:ind w:firstLine="420" w:firstLineChars="200"/>
        <w:rPr>
          <w:rFonts w:ascii="宋体"/>
        </w:rPr>
      </w:pPr>
      <w:r>
        <w:rPr>
          <w:rFonts w:ascii="宋体" w:hAnsi="宋体" w:cs="宋体"/>
        </w:rPr>
        <w:t>2.</w:t>
      </w:r>
      <w:r>
        <w:rPr>
          <w:rFonts w:hint="eastAsia" w:ascii="宋体" w:hAnsi="宋体" w:cs="宋体"/>
        </w:rPr>
        <w:t>货物到现场后，</w:t>
      </w:r>
      <w:r>
        <w:rPr>
          <w:rFonts w:hint="eastAsia" w:cs="宋体"/>
          <w:b/>
          <w:bCs/>
        </w:rPr>
        <w:t>由采购人组织技术专家对项目进行验收，验收结果须交采购监督部门备案。</w:t>
      </w:r>
      <w:r>
        <w:rPr>
          <w:rFonts w:hint="eastAsia" w:ascii="宋体" w:hAnsi="宋体" w:cs="宋体"/>
        </w:rPr>
        <w:t>并由采购人（或其授权代表）和投标人组织相关人员共同对到货货物的数量、外观、质量等进行检查，双方书面确认后开始安装、调试；</w:t>
      </w:r>
    </w:p>
    <w:p>
      <w:pPr>
        <w:autoSpaceDE w:val="0"/>
        <w:autoSpaceDN w:val="0"/>
        <w:adjustRightInd w:val="0"/>
        <w:snapToGrid w:val="0"/>
        <w:spacing w:line="420" w:lineRule="exact"/>
        <w:ind w:firstLine="420" w:firstLineChars="200"/>
        <w:rPr>
          <w:rFonts w:ascii="宋体"/>
        </w:rPr>
      </w:pPr>
      <w:r>
        <w:rPr>
          <w:rFonts w:ascii="宋体" w:hAnsi="宋体" w:cs="宋体"/>
        </w:rPr>
        <w:t>3.</w:t>
      </w:r>
      <w:r>
        <w:rPr>
          <w:rFonts w:hint="eastAsia" w:ascii="宋体" w:hAnsi="宋体" w:cs="宋体"/>
        </w:rPr>
        <w:t>货物供货完成以后，在</w:t>
      </w:r>
      <w:r>
        <w:rPr>
          <w:rFonts w:ascii="宋体" w:hAnsi="宋体" w:cs="宋体"/>
        </w:rPr>
        <w:t>7</w:t>
      </w:r>
      <w:r>
        <w:rPr>
          <w:rFonts w:hint="eastAsia" w:ascii="宋体" w:hAnsi="宋体" w:cs="宋体"/>
        </w:rPr>
        <w:t>个工作日内由采购人（或其授权代表）对货物依照招标文件上的技术规格要求、以及国家有关标准进行验收；货物性能达到技术要求的，给予签收；验收合格后由采购人（或其授权代表）签署确认验收合格文件；验收报告一式三份，投标人、采购单位、政府采购办各执一份。验收时如发现货物的质量、性能不符合招标文件规定标准的，本项目采购人有权在货物验收时予以拒收；因此产生的一切经济损失由投标人承担；</w:t>
      </w:r>
    </w:p>
    <w:p>
      <w:pPr>
        <w:autoSpaceDE w:val="0"/>
        <w:autoSpaceDN w:val="0"/>
        <w:adjustRightInd w:val="0"/>
        <w:snapToGrid w:val="0"/>
        <w:spacing w:line="420" w:lineRule="exact"/>
        <w:ind w:firstLine="420" w:firstLineChars="200"/>
        <w:rPr>
          <w:rFonts w:ascii="宋体"/>
        </w:rPr>
      </w:pPr>
      <w:r>
        <w:rPr>
          <w:rFonts w:ascii="宋体" w:hAnsi="宋体" w:cs="宋体"/>
        </w:rPr>
        <w:t>4.</w:t>
      </w:r>
      <w:r>
        <w:rPr>
          <w:rFonts w:hint="eastAsia" w:ascii="宋体" w:hAnsi="宋体" w:cs="宋体"/>
        </w:rPr>
        <w:t>交付验收标准：依次序对照适用标准为：</w:t>
      </w:r>
    </w:p>
    <w:p>
      <w:pPr>
        <w:autoSpaceDE w:val="0"/>
        <w:autoSpaceDN w:val="0"/>
        <w:adjustRightInd w:val="0"/>
        <w:snapToGrid w:val="0"/>
        <w:spacing w:line="420" w:lineRule="exact"/>
        <w:ind w:firstLine="420" w:firstLineChars="200"/>
        <w:rPr>
          <w:rFonts w:ascii="宋体"/>
        </w:rPr>
      </w:pPr>
      <w:r>
        <w:rPr>
          <w:rFonts w:hint="eastAsia" w:ascii="宋体" w:hAnsi="宋体" w:cs="宋体"/>
        </w:rPr>
        <w:t>①符合中华人民共和国国家安全质量标准、环保标准或行业标准；</w:t>
      </w:r>
    </w:p>
    <w:p>
      <w:pPr>
        <w:autoSpaceDE w:val="0"/>
        <w:autoSpaceDN w:val="0"/>
        <w:adjustRightInd w:val="0"/>
        <w:snapToGrid w:val="0"/>
        <w:spacing w:line="420" w:lineRule="exact"/>
        <w:ind w:firstLine="420" w:firstLineChars="200"/>
        <w:rPr>
          <w:rFonts w:ascii="宋体"/>
        </w:rPr>
      </w:pPr>
      <w:r>
        <w:rPr>
          <w:rFonts w:hint="eastAsia" w:ascii="宋体" w:hAnsi="宋体" w:cs="宋体"/>
        </w:rPr>
        <w:t>②符合招标文件和投标承诺中采购人认可的合理最佳配置、参数及各项要求；</w:t>
      </w:r>
    </w:p>
    <w:p>
      <w:pPr>
        <w:autoSpaceDE w:val="0"/>
        <w:autoSpaceDN w:val="0"/>
        <w:adjustRightInd w:val="0"/>
        <w:snapToGrid w:val="0"/>
        <w:spacing w:line="420" w:lineRule="exact"/>
        <w:ind w:firstLine="420" w:firstLineChars="200"/>
        <w:rPr>
          <w:rFonts w:ascii="宋体"/>
        </w:rPr>
      </w:pPr>
      <w:r>
        <w:rPr>
          <w:rFonts w:hint="eastAsia" w:ascii="宋体" w:hAnsi="宋体" w:cs="宋体"/>
        </w:rPr>
        <w:t>③货物来源国官方标准。上述标准必须是有关官方机构发布的最新版本的标准；</w:t>
      </w:r>
    </w:p>
    <w:p>
      <w:pPr>
        <w:autoSpaceDE w:val="0"/>
        <w:autoSpaceDN w:val="0"/>
        <w:adjustRightInd w:val="0"/>
        <w:snapToGrid w:val="0"/>
        <w:spacing w:line="420" w:lineRule="exact"/>
        <w:ind w:firstLine="420" w:firstLineChars="200"/>
        <w:rPr>
          <w:rFonts w:ascii="宋体"/>
        </w:rPr>
      </w:pPr>
      <w:r>
        <w:rPr>
          <w:rFonts w:ascii="宋体" w:hAnsi="宋体" w:cs="宋体"/>
        </w:rPr>
        <w:t>5.</w:t>
      </w:r>
      <w:r>
        <w:rPr>
          <w:rFonts w:hint="eastAsia" w:ascii="宋体" w:hAnsi="宋体" w:cs="宋体"/>
        </w:rPr>
        <w:t>投标人须为验收提供必需的设备、工具及其他便利条件；</w:t>
      </w:r>
    </w:p>
    <w:p>
      <w:pPr>
        <w:autoSpaceDE w:val="0"/>
        <w:autoSpaceDN w:val="0"/>
        <w:adjustRightInd w:val="0"/>
        <w:snapToGrid w:val="0"/>
        <w:spacing w:line="420" w:lineRule="exact"/>
        <w:ind w:firstLine="404" w:firstLineChars="200"/>
        <w:rPr>
          <w:rFonts w:ascii="宋体"/>
          <w:spacing w:val="-4"/>
        </w:rPr>
      </w:pPr>
      <w:r>
        <w:rPr>
          <w:rFonts w:ascii="宋体" w:hAnsi="宋体" w:cs="宋体"/>
          <w:spacing w:val="-4"/>
        </w:rPr>
        <w:t>6.</w:t>
      </w:r>
      <w:r>
        <w:rPr>
          <w:rFonts w:hint="eastAsia" w:ascii="宋体" w:hAnsi="宋体" w:cs="宋体"/>
          <w:spacing w:val="-4"/>
        </w:rPr>
        <w:t>在验收过程中发现有质量、技术等问题，投标人应负责按照采购人的要求采取更换或退货等措施妥善处理，并承担由此发生的一切费用和损失；</w:t>
      </w:r>
    </w:p>
    <w:p>
      <w:pPr>
        <w:autoSpaceDE w:val="0"/>
        <w:autoSpaceDN w:val="0"/>
        <w:adjustRightInd w:val="0"/>
        <w:snapToGrid w:val="0"/>
        <w:spacing w:line="420" w:lineRule="exact"/>
        <w:ind w:firstLine="420" w:firstLineChars="200"/>
        <w:rPr>
          <w:rFonts w:ascii="宋体"/>
        </w:rPr>
      </w:pPr>
      <w:r>
        <w:rPr>
          <w:rFonts w:ascii="宋体" w:hAnsi="宋体" w:cs="宋体"/>
        </w:rPr>
        <w:t>7.</w:t>
      </w:r>
      <w:r>
        <w:rPr>
          <w:rFonts w:hint="eastAsia" w:ascii="宋体" w:hAnsi="宋体" w:cs="宋体"/>
        </w:rPr>
        <w:t>对于不合格的货物，投标人必须在</w:t>
      </w:r>
      <w:r>
        <w:rPr>
          <w:rFonts w:ascii="宋体" w:hAnsi="宋体" w:cs="宋体"/>
        </w:rPr>
        <w:t>7</w:t>
      </w:r>
      <w:r>
        <w:rPr>
          <w:rFonts w:hint="eastAsia" w:ascii="宋体" w:hAnsi="宋体" w:cs="宋体"/>
        </w:rPr>
        <w:t>个工作日里及时完成更换并重新对更换货物进行验收。</w:t>
      </w:r>
    </w:p>
    <w:p>
      <w:pPr>
        <w:autoSpaceDE w:val="0"/>
        <w:autoSpaceDN w:val="0"/>
        <w:adjustRightInd w:val="0"/>
        <w:snapToGrid w:val="0"/>
        <w:spacing w:line="420" w:lineRule="exact"/>
        <w:ind w:firstLine="420" w:firstLineChars="200"/>
        <w:rPr>
          <w:rFonts w:ascii="宋体" w:cs="宋体"/>
        </w:rPr>
      </w:pPr>
      <w:r>
        <w:rPr>
          <w:rFonts w:ascii="宋体" w:hAnsi="宋体" w:cs="宋体"/>
        </w:rPr>
        <w:t>8.</w:t>
      </w:r>
      <w:r>
        <w:rPr>
          <w:rFonts w:hint="eastAsia" w:ascii="宋体" w:hAnsi="宋体" w:cs="宋体"/>
        </w:rPr>
        <w:t>最终验收合格经双方签字后进入质保期，验收费用由中标人支付。</w:t>
      </w:r>
    </w:p>
    <w:p>
      <w:pPr>
        <w:autoSpaceDE w:val="0"/>
        <w:autoSpaceDN w:val="0"/>
        <w:adjustRightInd w:val="0"/>
        <w:snapToGrid w:val="0"/>
        <w:spacing w:line="420" w:lineRule="exact"/>
        <w:ind w:firstLine="420" w:firstLineChars="200"/>
        <w:rPr>
          <w:rFonts w:ascii="宋体"/>
        </w:rPr>
      </w:pPr>
      <w:r>
        <w:rPr>
          <w:rFonts w:ascii="宋体" w:hAnsi="宋体" w:cs="宋体"/>
        </w:rPr>
        <w:t>9.</w:t>
      </w:r>
      <w:r>
        <w:rPr>
          <w:rFonts w:hint="eastAsia" w:ascii="宋体" w:hAnsi="宋体" w:cs="宋体"/>
        </w:rPr>
        <w:t>安装、验收服务除本招标文件约定条款外，采购单位和中标商合同可另行约定。</w:t>
      </w:r>
    </w:p>
    <w:p>
      <w:pPr>
        <w:tabs>
          <w:tab w:val="left" w:pos="360"/>
        </w:tabs>
        <w:spacing w:line="420" w:lineRule="exact"/>
        <w:rPr>
          <w:rFonts w:ascii="宋体" w:hAnsi="宋体" w:cs="宋体"/>
        </w:rPr>
      </w:pPr>
      <w:r>
        <w:rPr>
          <w:rFonts w:hint="eastAsia" w:ascii="宋体" w:hAnsi="宋体" w:cs="宋体"/>
          <w:b/>
          <w:bCs/>
        </w:rPr>
        <w:t>（七）其它要求</w:t>
      </w:r>
      <w:r>
        <w:rPr>
          <w:rFonts w:ascii="宋体" w:hAnsi="宋体" w:cs="宋体"/>
        </w:rPr>
        <w:t>:</w:t>
      </w:r>
    </w:p>
    <w:p>
      <w:pPr>
        <w:autoSpaceDE w:val="0"/>
        <w:autoSpaceDN w:val="0"/>
        <w:adjustRightInd w:val="0"/>
        <w:snapToGrid w:val="0"/>
        <w:spacing w:line="420" w:lineRule="exact"/>
        <w:ind w:firstLine="420" w:firstLineChars="200"/>
        <w:rPr>
          <w:rFonts w:ascii="宋体"/>
        </w:rPr>
      </w:pPr>
      <w:r>
        <w:rPr>
          <w:rFonts w:ascii="宋体" w:hAnsi="宋体" w:cs="宋体"/>
        </w:rPr>
        <w:t>1</w:t>
      </w:r>
      <w:r>
        <w:rPr>
          <w:rFonts w:hint="eastAsia" w:ascii="宋体" w:hAnsi="宋体" w:cs="宋体"/>
        </w:rPr>
        <w:t>、项目所需的材料、配件、运输及保险、税费、售后服务等应满足国家规范要求和使用要求，所有费用纳入报价之中，如有遗漏由投标人负责，中标价不得调整。</w:t>
      </w:r>
    </w:p>
    <w:p>
      <w:pPr>
        <w:autoSpaceDE w:val="0"/>
        <w:autoSpaceDN w:val="0"/>
        <w:adjustRightInd w:val="0"/>
        <w:snapToGrid w:val="0"/>
        <w:spacing w:line="420" w:lineRule="exact"/>
        <w:ind w:firstLine="420" w:firstLineChars="200"/>
        <w:rPr>
          <w:rFonts w:ascii="宋体"/>
        </w:rPr>
      </w:pPr>
      <w:r>
        <w:rPr>
          <w:rFonts w:ascii="宋体" w:hAnsi="宋体" w:cs="宋体"/>
        </w:rPr>
        <w:t>2</w:t>
      </w:r>
      <w:r>
        <w:rPr>
          <w:rFonts w:hint="eastAsia" w:ascii="宋体" w:hAnsi="宋体" w:cs="宋体"/>
        </w:rPr>
        <w:t>、中标人应保证采购人在中华人民共和国使用中标人所提供的货物或货物的任何一部分时，免受第三方提出的侵犯其专利权、商标权或工业设计权的起诉；如果任何第三方提出侵权指控，中标人承担一切与之有关的责任。</w:t>
      </w:r>
    </w:p>
    <w:p>
      <w:pPr>
        <w:autoSpaceDE w:val="0"/>
        <w:autoSpaceDN w:val="0"/>
        <w:adjustRightInd w:val="0"/>
        <w:snapToGrid w:val="0"/>
        <w:spacing w:line="420" w:lineRule="exact"/>
        <w:ind w:firstLine="420" w:firstLineChars="200"/>
        <w:rPr>
          <w:rFonts w:ascii="宋体"/>
        </w:rPr>
      </w:pPr>
      <w:r>
        <w:rPr>
          <w:rFonts w:ascii="宋体" w:hAnsi="宋体" w:cs="宋体"/>
        </w:rPr>
        <w:t>3</w:t>
      </w:r>
      <w:r>
        <w:rPr>
          <w:rFonts w:hint="eastAsia" w:ascii="宋体" w:hAnsi="宋体" w:cs="宋体"/>
        </w:rPr>
        <w:t>、投标方自行安排时间进行实地考察，以获得由投标方自己负责的有关编制投标文件和签署合同的所有信息，一旦中标这种考察即被认为其结果已在投标文件中充分反映。</w:t>
      </w:r>
    </w:p>
    <w:p>
      <w:pPr>
        <w:autoSpaceDE w:val="0"/>
        <w:autoSpaceDN w:val="0"/>
        <w:adjustRightInd w:val="0"/>
        <w:snapToGrid w:val="0"/>
        <w:spacing w:line="420" w:lineRule="exact"/>
        <w:ind w:firstLine="420" w:firstLineChars="200"/>
        <w:rPr>
          <w:rFonts w:ascii="宋体"/>
        </w:rPr>
      </w:pPr>
      <w:r>
        <w:rPr>
          <w:rFonts w:ascii="宋体" w:hAnsi="宋体" w:cs="宋体"/>
        </w:rPr>
        <w:t>4</w:t>
      </w:r>
      <w:r>
        <w:rPr>
          <w:rFonts w:hint="eastAsia" w:ascii="宋体" w:hAnsi="宋体" w:cs="宋体"/>
        </w:rPr>
        <w:t>、如采购人在工程的实施过程中对产品的需求如工程量、型号等有变化，按实际工程量计量，单价按中标单价计算。</w:t>
      </w:r>
    </w:p>
    <w:p>
      <w:pPr>
        <w:autoSpaceDE w:val="0"/>
        <w:autoSpaceDN w:val="0"/>
        <w:adjustRightInd w:val="0"/>
        <w:snapToGrid w:val="0"/>
        <w:spacing w:line="420" w:lineRule="exact"/>
        <w:ind w:firstLine="420" w:firstLineChars="200"/>
        <w:rPr>
          <w:rFonts w:ascii="宋体"/>
        </w:rPr>
      </w:pPr>
      <w:r>
        <w:rPr>
          <w:rFonts w:ascii="宋体" w:hAnsi="宋体" w:cs="宋体"/>
        </w:rPr>
        <w:t>5</w:t>
      </w:r>
      <w:r>
        <w:rPr>
          <w:rFonts w:hint="eastAsia" w:ascii="宋体" w:hAnsi="宋体" w:cs="宋体"/>
        </w:rPr>
        <w:t>、投标人提供产品与以上条款不符时，已中标者取消中标资格，已供货的全部退货并扣收履约保证金，并承担由此引起的全部费用，对中标单位和所提供的品牌产品提出警告并在相关媒体公布，且承担由此可能引发的法律责任。</w:t>
      </w:r>
      <w:bookmarkStart w:id="79" w:name="_Toc26624_WPSOffice_Level1"/>
    </w:p>
    <w:p>
      <w:pPr>
        <w:spacing w:line="460" w:lineRule="exact"/>
        <w:ind w:firstLine="405" w:firstLineChars="196"/>
        <w:rPr>
          <w:rFonts w:ascii="宋体"/>
          <w:b/>
          <w:bCs/>
          <w:spacing w:val="-2"/>
          <w:kern w:val="0"/>
        </w:rPr>
      </w:pPr>
      <w:r>
        <w:rPr>
          <w:rFonts w:hint="eastAsia" w:ascii="宋体" w:hAnsi="宋体" w:cs="宋体"/>
          <w:b/>
          <w:bCs/>
          <w:spacing w:val="-2"/>
          <w:kern w:val="0"/>
        </w:rPr>
        <w:t>特别说明：</w:t>
      </w:r>
      <w:bookmarkEnd w:id="79"/>
    </w:p>
    <w:p>
      <w:pPr>
        <w:spacing w:line="460" w:lineRule="exact"/>
        <w:ind w:firstLine="413" w:firstLineChars="196"/>
        <w:rPr>
          <w:b/>
          <w:bCs/>
        </w:rPr>
      </w:pPr>
      <w:r>
        <w:rPr>
          <w:b/>
          <w:bCs/>
        </w:rPr>
        <w:t>1</w:t>
      </w:r>
      <w:r>
        <w:rPr>
          <w:rFonts w:hint="eastAsia" w:cs="宋体"/>
          <w:b/>
          <w:bCs/>
        </w:rPr>
        <w:t>、提供的产品（技术指标除另作规定外）均应符合现行国际、国内和行业相关标准。</w:t>
      </w:r>
      <w:r>
        <w:rPr>
          <w:rFonts w:hint="eastAsia" w:ascii="宋体" w:hAnsi="宋体" w:cs="宋体"/>
          <w:b/>
          <w:bCs/>
          <w:spacing w:val="-2"/>
          <w:kern w:val="0"/>
        </w:rPr>
        <w:t>投标人应保证，采购人在中华人民共和国使用投标人所提供的货物或货物的任何一部分时，免受第三方提出的侵犯其专利权、商标权或工业设计权的起诉；</w:t>
      </w:r>
    </w:p>
    <w:p>
      <w:pPr>
        <w:spacing w:line="400" w:lineRule="exact"/>
        <w:ind w:firstLine="413" w:firstLineChars="196"/>
        <w:rPr>
          <w:b/>
          <w:bCs/>
        </w:rPr>
      </w:pPr>
      <w:r>
        <w:rPr>
          <w:b/>
          <w:bCs/>
        </w:rPr>
        <w:t>2</w:t>
      </w:r>
      <w:r>
        <w:rPr>
          <w:rFonts w:hint="eastAsia" w:cs="宋体"/>
          <w:b/>
          <w:bCs/>
        </w:rPr>
        <w:t>、产品的包装应为生产厂商出产时的原包装，包装箱内必须附有详细的装箱清单，产品合格证书；进口产品应提供海关报关单、通关单及中标单位所在地商检局证明。</w:t>
      </w:r>
    </w:p>
    <w:p>
      <w:pPr>
        <w:spacing w:line="360" w:lineRule="exact"/>
        <w:ind w:firstLine="422" w:firstLineChars="200"/>
        <w:rPr>
          <w:b/>
          <w:bCs/>
        </w:rPr>
      </w:pPr>
      <w:r>
        <w:rPr>
          <w:b/>
          <w:bCs/>
        </w:rPr>
        <w:t>3</w:t>
      </w:r>
      <w:r>
        <w:rPr>
          <w:rFonts w:hint="eastAsia" w:cs="宋体"/>
          <w:b/>
          <w:bCs/>
        </w:rPr>
        <w:t>、中标方在项目实施或服务过程中发生的重大人员、产品质量事故，或因中标企业管理不善等原因造成的人员伤亡等责任事故均由中标方负责，采购人不承担任何法律及经济责任。</w:t>
      </w:r>
    </w:p>
    <w:p>
      <w:pPr>
        <w:spacing w:line="400" w:lineRule="exact"/>
        <w:ind w:firstLine="422" w:firstLineChars="200"/>
        <w:rPr>
          <w:rFonts w:ascii="宋体"/>
          <w:b/>
          <w:bCs/>
        </w:rPr>
      </w:pPr>
      <w:r>
        <w:rPr>
          <w:b/>
          <w:bCs/>
        </w:rPr>
        <w:t>4</w:t>
      </w:r>
      <w:r>
        <w:rPr>
          <w:rFonts w:hint="eastAsia" w:cs="宋体"/>
          <w:b/>
          <w:bCs/>
        </w:rPr>
        <w:t>、</w:t>
      </w:r>
      <w:r>
        <w:rPr>
          <w:rFonts w:hint="eastAsia" w:ascii="宋体" w:hAnsi="宋体" w:cs="宋体"/>
          <w:b/>
          <w:bCs/>
        </w:rPr>
        <w:t>投标方自行安排时间进行实地考察，以获得由投标方自己负责的有关编制投标文件和签署合同的所有信息，一旦中标这种考察即被认为其结果已在投标文件中的充分反映。考察现场的费用由投标方自行承担</w:t>
      </w:r>
      <w:r>
        <w:rPr>
          <w:rFonts w:hint="eastAsia" w:cs="宋体"/>
          <w:b/>
          <w:bCs/>
        </w:rPr>
        <w:t>。</w:t>
      </w:r>
    </w:p>
    <w:p>
      <w:pPr>
        <w:spacing w:line="400" w:lineRule="exact"/>
        <w:ind w:firstLine="422" w:firstLineChars="200"/>
        <w:rPr>
          <w:b/>
          <w:bCs/>
        </w:rPr>
      </w:pPr>
      <w:r>
        <w:rPr>
          <w:b/>
          <w:bCs/>
        </w:rPr>
        <w:t>5</w:t>
      </w:r>
      <w:r>
        <w:rPr>
          <w:rFonts w:hint="eastAsia" w:cs="宋体"/>
          <w:b/>
          <w:bCs/>
        </w:rPr>
        <w:t>、投标人提供产品与以上条款不符时，已中标者取消中标资格，已供货的全部退货并扣收履约保证金，并承担由此引起的全部费用，对中标单位和所提供的品牌产品提出警告并在相关媒体公布，且承担由此可能引发的法律责任。</w:t>
      </w:r>
    </w:p>
    <w:p>
      <w:pPr>
        <w:spacing w:line="360" w:lineRule="exact"/>
        <w:ind w:firstLine="422" w:firstLineChars="200"/>
        <w:rPr>
          <w:b/>
          <w:bCs/>
        </w:rPr>
      </w:pPr>
      <w:r>
        <w:rPr>
          <w:b/>
          <w:bCs/>
        </w:rPr>
        <w:t>6</w:t>
      </w:r>
      <w:r>
        <w:rPr>
          <w:rFonts w:hint="eastAsia" w:cs="宋体"/>
          <w:b/>
          <w:bCs/>
        </w:rPr>
        <w:t>、如采购人在工程的实施过程中对采购货物的需求如数量等有变化，按实际数量计量，单价按中标单价计算。</w:t>
      </w:r>
    </w:p>
    <w:p>
      <w:pPr>
        <w:spacing w:line="360" w:lineRule="auto"/>
        <w:ind w:firstLine="413" w:firstLineChars="196"/>
        <w:rPr>
          <w:b/>
          <w:bCs/>
        </w:rPr>
      </w:pPr>
      <w:r>
        <w:rPr>
          <w:b/>
          <w:bCs/>
        </w:rPr>
        <w:t>7</w:t>
      </w:r>
      <w:r>
        <w:rPr>
          <w:rFonts w:hint="eastAsia" w:cs="宋体"/>
          <w:b/>
          <w:bCs/>
        </w:rPr>
        <w:t>、技术未尽事宜，请与新干县公安局</w:t>
      </w:r>
      <w:r>
        <w:rPr>
          <w:rFonts w:hint="eastAsia" w:hAnsi="宋体" w:cs="宋体"/>
          <w:b/>
          <w:bCs/>
        </w:rPr>
        <w:t>联系</w:t>
      </w:r>
      <w:r>
        <w:rPr>
          <w:rFonts w:hint="eastAsia" w:cs="宋体"/>
          <w:b/>
          <w:bCs/>
        </w:rPr>
        <w:t>。</w:t>
      </w:r>
    </w:p>
    <w:p>
      <w:pPr>
        <w:shd w:val="clear" w:color="auto" w:fill="FFFFFF"/>
        <w:snapToGrid w:val="0"/>
        <w:rPr>
          <w:rFonts w:hAnsi="宋体"/>
          <w:b/>
          <w:bCs/>
        </w:rPr>
      </w:pPr>
    </w:p>
    <w:p>
      <w:r>
        <w:rPr>
          <w:rFonts w:ascii="宋体"/>
          <w:b/>
          <w:bCs/>
          <w:sz w:val="24"/>
          <w:szCs w:val="24"/>
        </w:rPr>
        <w:br w:type="page"/>
      </w:r>
    </w:p>
    <w:p/>
    <w:p>
      <w:pPr>
        <w:pStyle w:val="2"/>
        <w:adjustRightInd w:val="0"/>
        <w:snapToGrid w:val="0"/>
        <w:spacing w:before="0" w:after="0" w:line="400" w:lineRule="exact"/>
        <w:ind w:firstLine="482" w:firstLineChars="200"/>
        <w:jc w:val="center"/>
        <w:rPr>
          <w:rFonts w:ascii="仿宋" w:hAnsi="仿宋" w:eastAsia="仿宋" w:cs="仿宋"/>
          <w:color w:val="000000" w:themeColor="text1"/>
          <w:sz w:val="24"/>
          <w:szCs w:val="24"/>
        </w:rPr>
      </w:pPr>
      <w:bookmarkStart w:id="80" w:name="_Toc15083749"/>
      <w:bookmarkStart w:id="81" w:name="_Toc17539286"/>
      <w:bookmarkStart w:id="82" w:name="_Toc26741884"/>
      <w:bookmarkStart w:id="83" w:name="_Toc34984028"/>
      <w:bookmarkStart w:id="84" w:name="_Toc14972966"/>
      <w:bookmarkStart w:id="85" w:name="_Toc17272975"/>
      <w:r>
        <w:rPr>
          <w:rFonts w:hint="eastAsia" w:ascii="仿宋" w:hAnsi="仿宋" w:eastAsia="仿宋" w:cs="仿宋"/>
          <w:color w:val="000000" w:themeColor="text1"/>
          <w:sz w:val="24"/>
          <w:szCs w:val="24"/>
        </w:rPr>
        <w:t>第四章 合同条款</w:t>
      </w:r>
      <w:bookmarkEnd w:id="80"/>
      <w:bookmarkEnd w:id="81"/>
      <w:bookmarkEnd w:id="82"/>
      <w:bookmarkEnd w:id="83"/>
      <w:bookmarkEnd w:id="84"/>
      <w:bookmarkEnd w:id="85"/>
    </w:p>
    <w:p>
      <w:pPr>
        <w:adjustRightInd w:val="0"/>
        <w:snapToGrid w:val="0"/>
        <w:spacing w:line="400" w:lineRule="exact"/>
        <w:ind w:firstLine="482" w:firstLineChars="200"/>
        <w:jc w:val="left"/>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1、定义</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本合同下列术语应解释为：</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1）“甲方”是指招标人（新干县公安局）。</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2）“乙方”是指中标人（根据合同规定提供货物、服务的中标企业）。</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3）“合同”是指甲乙双方签署的、合同格式中载明的甲乙双方所达成的协议，包括所有的附件、附录和构成合同的其它文件。</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4）“合同价”是指本合同规定乙方在完全履行合同义务后甲方应支付给乙方的价款。</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5）“验收”指合同双方依据规定的程序和条件确认合同项下的货物、服务符合技术规范和数量要求的活动。</w:t>
      </w:r>
      <w:bookmarkStart w:id="86" w:name="_Toc313398784"/>
    </w:p>
    <w:p>
      <w:pPr>
        <w:adjustRightInd w:val="0"/>
        <w:snapToGrid w:val="0"/>
        <w:spacing w:line="400" w:lineRule="exact"/>
        <w:ind w:firstLine="482" w:firstLineChars="200"/>
        <w:jc w:val="left"/>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2</w:t>
      </w:r>
      <w:bookmarkEnd w:id="86"/>
      <w:r>
        <w:rPr>
          <w:rFonts w:hint="eastAsia" w:ascii="仿宋" w:hAnsi="仿宋" w:eastAsia="仿宋" w:cs="仿宋"/>
          <w:b/>
          <w:snapToGrid w:val="0"/>
          <w:color w:val="000000" w:themeColor="text1"/>
          <w:sz w:val="24"/>
          <w:szCs w:val="24"/>
        </w:rPr>
        <w:t>、合同正文</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1）政府采购编号：</w:t>
      </w:r>
      <w:r>
        <w:rPr>
          <w:rFonts w:hint="eastAsia" w:ascii="仿宋" w:hAnsi="仿宋" w:eastAsia="仿宋" w:cs="仿宋"/>
          <w:snapToGrid w:val="0"/>
          <w:color w:val="000000" w:themeColor="text1"/>
          <w:sz w:val="24"/>
          <w:szCs w:val="24"/>
          <w:u w:val="single"/>
        </w:rPr>
        <w:t xml:space="preserve">           　</w:t>
      </w:r>
      <w:r>
        <w:rPr>
          <w:rFonts w:hint="eastAsia" w:ascii="仿宋" w:hAnsi="仿宋" w:eastAsia="仿宋" w:cs="仿宋"/>
          <w:snapToGrid w:val="0"/>
          <w:color w:val="000000" w:themeColor="text1"/>
          <w:sz w:val="24"/>
          <w:szCs w:val="24"/>
        </w:rPr>
        <w:t>；</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2）采购内容：</w:t>
      </w:r>
      <w:r>
        <w:rPr>
          <w:rFonts w:hint="eastAsia" w:ascii="仿宋" w:hAnsi="仿宋" w:eastAsia="仿宋" w:cs="仿宋"/>
          <w:snapToGrid w:val="0"/>
          <w:color w:val="000000" w:themeColor="text1"/>
          <w:sz w:val="24"/>
          <w:szCs w:val="24"/>
          <w:u w:val="single"/>
        </w:rPr>
        <w:t xml:space="preserve">           　</w:t>
      </w:r>
      <w:r>
        <w:rPr>
          <w:rFonts w:hint="eastAsia" w:ascii="仿宋" w:hAnsi="仿宋" w:eastAsia="仿宋" w:cs="仿宋"/>
          <w:snapToGrid w:val="0"/>
          <w:color w:val="000000" w:themeColor="text1"/>
          <w:sz w:val="24"/>
          <w:szCs w:val="24"/>
        </w:rPr>
        <w:t>；</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3）中标总金额：（小写）</w:t>
      </w:r>
      <w:r>
        <w:rPr>
          <w:rFonts w:hint="eastAsia" w:ascii="仿宋" w:hAnsi="仿宋" w:eastAsia="仿宋" w:cs="仿宋"/>
          <w:snapToGrid w:val="0"/>
          <w:color w:val="000000" w:themeColor="text1"/>
          <w:sz w:val="24"/>
          <w:szCs w:val="24"/>
          <w:u w:val="single"/>
        </w:rPr>
        <w:t xml:space="preserve">           　</w:t>
      </w:r>
      <w:r>
        <w:rPr>
          <w:rFonts w:hint="eastAsia" w:ascii="仿宋" w:hAnsi="仿宋" w:eastAsia="仿宋" w:cs="仿宋"/>
          <w:snapToGrid w:val="0"/>
          <w:color w:val="000000" w:themeColor="text1"/>
          <w:sz w:val="24"/>
          <w:szCs w:val="24"/>
        </w:rPr>
        <w:t>；（大写）</w:t>
      </w:r>
      <w:r>
        <w:rPr>
          <w:rFonts w:hint="eastAsia" w:ascii="仿宋" w:hAnsi="仿宋" w:eastAsia="仿宋" w:cs="仿宋"/>
          <w:snapToGrid w:val="0"/>
          <w:color w:val="000000" w:themeColor="text1"/>
          <w:sz w:val="24"/>
          <w:szCs w:val="24"/>
          <w:u w:val="single"/>
        </w:rPr>
        <w:t xml:space="preserve">           　</w:t>
      </w:r>
      <w:r>
        <w:rPr>
          <w:rFonts w:hint="eastAsia" w:ascii="仿宋" w:hAnsi="仿宋" w:eastAsia="仿宋" w:cs="仿宋"/>
          <w:snapToGrid w:val="0"/>
          <w:color w:val="000000" w:themeColor="text1"/>
          <w:sz w:val="24"/>
          <w:szCs w:val="24"/>
        </w:rPr>
        <w:t>；</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4）货物、服务要求及验收标准：</w:t>
      </w:r>
      <w:r>
        <w:rPr>
          <w:rFonts w:hint="eastAsia" w:ascii="仿宋" w:hAnsi="仿宋" w:eastAsia="仿宋" w:cs="仿宋"/>
          <w:snapToGrid w:val="0"/>
          <w:color w:val="000000" w:themeColor="text1"/>
          <w:sz w:val="24"/>
          <w:szCs w:val="24"/>
          <w:u w:val="single"/>
        </w:rPr>
        <w:t xml:space="preserve">           　</w:t>
      </w:r>
      <w:r>
        <w:rPr>
          <w:rFonts w:hint="eastAsia" w:ascii="仿宋" w:hAnsi="仿宋" w:eastAsia="仿宋" w:cs="仿宋"/>
          <w:snapToGrid w:val="0"/>
          <w:color w:val="000000" w:themeColor="text1"/>
          <w:sz w:val="24"/>
          <w:szCs w:val="24"/>
        </w:rPr>
        <w:t>；</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5）货物发送地点和方式：</w:t>
      </w:r>
      <w:r>
        <w:rPr>
          <w:rFonts w:hint="eastAsia" w:ascii="仿宋" w:hAnsi="仿宋" w:eastAsia="仿宋" w:cs="仿宋"/>
          <w:snapToGrid w:val="0"/>
          <w:color w:val="000000" w:themeColor="text1"/>
          <w:sz w:val="24"/>
          <w:szCs w:val="24"/>
          <w:u w:val="single"/>
        </w:rPr>
        <w:t xml:space="preserve">           　</w:t>
      </w:r>
      <w:r>
        <w:rPr>
          <w:rFonts w:hint="eastAsia" w:ascii="仿宋" w:hAnsi="仿宋" w:eastAsia="仿宋" w:cs="仿宋"/>
          <w:snapToGrid w:val="0"/>
          <w:color w:val="000000" w:themeColor="text1"/>
          <w:sz w:val="24"/>
          <w:szCs w:val="24"/>
        </w:rPr>
        <w:t>；</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6）质保期限：</w:t>
      </w:r>
      <w:r>
        <w:rPr>
          <w:rFonts w:hint="eastAsia" w:ascii="仿宋" w:hAnsi="仿宋" w:eastAsia="仿宋" w:cs="仿宋"/>
          <w:snapToGrid w:val="0"/>
          <w:color w:val="000000" w:themeColor="text1"/>
          <w:sz w:val="24"/>
          <w:szCs w:val="24"/>
          <w:u w:val="single"/>
        </w:rPr>
        <w:t xml:space="preserve">           　</w:t>
      </w:r>
      <w:r>
        <w:rPr>
          <w:rFonts w:hint="eastAsia" w:ascii="仿宋" w:hAnsi="仿宋" w:eastAsia="仿宋" w:cs="仿宋"/>
          <w:snapToGrid w:val="0"/>
          <w:color w:val="000000" w:themeColor="text1"/>
          <w:sz w:val="24"/>
          <w:szCs w:val="24"/>
        </w:rPr>
        <w:t>；</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7）售后服务：</w:t>
      </w:r>
      <w:r>
        <w:rPr>
          <w:rFonts w:hint="eastAsia" w:ascii="仿宋" w:hAnsi="仿宋" w:eastAsia="仿宋" w:cs="仿宋"/>
          <w:snapToGrid w:val="0"/>
          <w:color w:val="000000" w:themeColor="text1"/>
          <w:sz w:val="24"/>
          <w:szCs w:val="24"/>
          <w:u w:val="single"/>
        </w:rPr>
        <w:t xml:space="preserve">           　</w:t>
      </w:r>
      <w:r>
        <w:rPr>
          <w:rFonts w:hint="eastAsia" w:ascii="仿宋" w:hAnsi="仿宋" w:eastAsia="仿宋" w:cs="仿宋"/>
          <w:snapToGrid w:val="0"/>
          <w:color w:val="000000" w:themeColor="text1"/>
          <w:sz w:val="24"/>
          <w:szCs w:val="24"/>
        </w:rPr>
        <w:t>；</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8）违约责任：</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(1）乙方所提供的货物（或服务）规格、技术标准、材料等质量不合格的，应及时更换，更换不及时的按逾期交货，乙方应向甲方支付合同金额5%违约金并赔偿甲方经济损失。</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2）乙方提供的货物（或服务）如侵犯了第三方合法权益（包括但不限于知识产权）而引发的任何纠纷或诉讼，均由乙方负责交涉并承担全部责任；由此给甲方造成的损失（包括但不限于侵权赔款、行政罚款、诉讼费、律师费、差旅费等），乙方应当全额赔偿给甲方。</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（3）乙方变更、背离合同约定内容，或向他人转让中标项目，或违反项目分包约定进行肢解分包的，履约保证金将被没收，甲方有权拒付合同款，如果违约金不足以支付甲方所受损失的，甲方有权要求其赔偿。</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（4）甲方逾期退还履约保证金的，除应当退还履约保证金本金外，还应当按中国人民银行同期贷款基准利率上浮20％后的利率支付超期资金占用费，但因投标人自身原因导致无法及时退还的除外。</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（5）甲方自收到发票后30日内，对于满足合同约定支付条件的，应当支付到合同约定账户。否则，按中国人民银行同期贷款基准利率上浮20％后的利率支付超期资金占用费，但因投标人自身原因导致的除外。</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9）合同款支付步骤和办法：</w:t>
      </w:r>
      <w:r>
        <w:rPr>
          <w:rFonts w:hint="eastAsia" w:ascii="仿宋" w:hAnsi="仿宋" w:eastAsia="仿宋" w:cs="仿宋"/>
          <w:snapToGrid w:val="0"/>
          <w:color w:val="000000" w:themeColor="text1"/>
          <w:sz w:val="24"/>
          <w:szCs w:val="24"/>
          <w:u w:val="single"/>
        </w:rPr>
        <w:t xml:space="preserve">           　</w:t>
      </w:r>
      <w:r>
        <w:rPr>
          <w:rFonts w:hint="eastAsia" w:ascii="仿宋" w:hAnsi="仿宋" w:eastAsia="仿宋" w:cs="仿宋"/>
          <w:snapToGrid w:val="0"/>
          <w:color w:val="000000" w:themeColor="text1"/>
          <w:sz w:val="24"/>
          <w:szCs w:val="24"/>
        </w:rPr>
        <w:t>；</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10）解决争议的方式：</w:t>
      </w:r>
      <w:r>
        <w:rPr>
          <w:rFonts w:hint="eastAsia" w:ascii="仿宋" w:hAnsi="仿宋" w:eastAsia="仿宋" w:cs="仿宋"/>
          <w:snapToGrid w:val="0"/>
          <w:color w:val="000000" w:themeColor="text1"/>
          <w:sz w:val="24"/>
          <w:szCs w:val="24"/>
          <w:u w:val="single"/>
        </w:rPr>
        <w:t xml:space="preserve">           　</w:t>
      </w:r>
      <w:r>
        <w:rPr>
          <w:rFonts w:hint="eastAsia" w:ascii="仿宋" w:hAnsi="仿宋" w:eastAsia="仿宋" w:cs="仿宋"/>
          <w:snapToGrid w:val="0"/>
          <w:color w:val="000000" w:themeColor="text1"/>
          <w:sz w:val="24"/>
          <w:szCs w:val="24"/>
        </w:rPr>
        <w:t>；</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11）其它事项：</w:t>
      </w:r>
      <w:r>
        <w:rPr>
          <w:rFonts w:hint="eastAsia" w:ascii="仿宋" w:hAnsi="仿宋" w:eastAsia="仿宋" w:cs="仿宋"/>
          <w:snapToGrid w:val="0"/>
          <w:color w:val="000000" w:themeColor="text1"/>
          <w:sz w:val="24"/>
          <w:szCs w:val="24"/>
          <w:u w:val="single"/>
        </w:rPr>
        <w:t xml:space="preserve">           　</w:t>
      </w:r>
      <w:r>
        <w:rPr>
          <w:rFonts w:hint="eastAsia" w:ascii="仿宋" w:hAnsi="仿宋" w:eastAsia="仿宋" w:cs="仿宋"/>
          <w:snapToGrid w:val="0"/>
          <w:color w:val="000000" w:themeColor="text1"/>
          <w:sz w:val="24"/>
          <w:szCs w:val="24"/>
        </w:rPr>
        <w:t>；</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12）不可抗力：任何一方由于不可抗力原因不能履行合同的，可部分或全部免于承担违约责任。</w:t>
      </w:r>
    </w:p>
    <w:p>
      <w:pPr>
        <w:adjustRightInd w:val="0"/>
        <w:snapToGrid w:val="0"/>
        <w:spacing w:line="400" w:lineRule="exact"/>
        <w:ind w:firstLine="482" w:firstLineChars="200"/>
        <w:jc w:val="left"/>
        <w:rPr>
          <w:rFonts w:ascii="仿宋" w:hAnsi="仿宋" w:eastAsia="仿宋" w:cs="仿宋"/>
          <w:snapToGrid w:val="0"/>
          <w:color w:val="000000" w:themeColor="text1"/>
          <w:sz w:val="24"/>
          <w:szCs w:val="24"/>
        </w:rPr>
      </w:pPr>
      <w:r>
        <w:rPr>
          <w:rFonts w:hint="eastAsia" w:ascii="仿宋" w:hAnsi="仿宋" w:eastAsia="仿宋" w:cs="仿宋"/>
          <w:b/>
          <w:snapToGrid w:val="0"/>
          <w:color w:val="000000" w:themeColor="text1"/>
          <w:sz w:val="24"/>
          <w:szCs w:val="24"/>
        </w:rPr>
        <w:t>3、合同不可分割部分：</w:t>
      </w:r>
      <w:r>
        <w:rPr>
          <w:rFonts w:hint="eastAsia" w:ascii="仿宋" w:hAnsi="仿宋" w:eastAsia="仿宋" w:cs="仿宋"/>
          <w:snapToGrid w:val="0"/>
          <w:color w:val="000000" w:themeColor="text1"/>
          <w:sz w:val="24"/>
          <w:szCs w:val="24"/>
        </w:rPr>
        <w:t>招标文件、投标文件、合同条款及中标通知书，中标人在投标、评标过程中所作其它有关承诺、声明、书面澄清等均为合同不可分割的部分，与主合同具有同等法律效力。</w:t>
      </w:r>
    </w:p>
    <w:p>
      <w:pPr>
        <w:adjustRightInd w:val="0"/>
        <w:snapToGrid w:val="0"/>
        <w:spacing w:line="400" w:lineRule="exact"/>
        <w:ind w:firstLine="482" w:firstLineChars="200"/>
        <w:jc w:val="left"/>
        <w:rPr>
          <w:rFonts w:ascii="仿宋" w:hAnsi="仿宋" w:eastAsia="仿宋" w:cs="仿宋"/>
          <w:snapToGrid w:val="0"/>
          <w:color w:val="000000" w:themeColor="text1"/>
          <w:sz w:val="24"/>
          <w:szCs w:val="24"/>
        </w:rPr>
      </w:pPr>
      <w:r>
        <w:rPr>
          <w:rFonts w:hint="eastAsia" w:ascii="仿宋" w:hAnsi="仿宋" w:eastAsia="仿宋" w:cs="仿宋"/>
          <w:b/>
          <w:snapToGrid w:val="0"/>
          <w:color w:val="000000" w:themeColor="text1"/>
          <w:sz w:val="24"/>
          <w:szCs w:val="24"/>
        </w:rPr>
        <w:t>4、生效与解除：</w:t>
      </w:r>
      <w:r>
        <w:rPr>
          <w:rFonts w:hint="eastAsia" w:ascii="仿宋" w:hAnsi="仿宋" w:eastAsia="仿宋" w:cs="仿宋"/>
          <w:snapToGrid w:val="0"/>
          <w:color w:val="000000" w:themeColor="text1"/>
          <w:sz w:val="24"/>
          <w:szCs w:val="24"/>
        </w:rPr>
        <w:t>签字盖章生效至合同履约期满后，合同自动解除。</w:t>
      </w:r>
    </w:p>
    <w:p>
      <w:pPr>
        <w:adjustRightInd w:val="0"/>
        <w:snapToGrid w:val="0"/>
        <w:spacing w:line="400" w:lineRule="exact"/>
        <w:ind w:firstLine="482" w:firstLineChars="200"/>
        <w:jc w:val="left"/>
        <w:rPr>
          <w:rFonts w:ascii="仿宋" w:hAnsi="仿宋" w:eastAsia="仿宋" w:cs="仿宋"/>
          <w:snapToGrid w:val="0"/>
          <w:color w:val="000000" w:themeColor="text1"/>
          <w:sz w:val="24"/>
          <w:szCs w:val="24"/>
        </w:rPr>
      </w:pPr>
      <w:r>
        <w:rPr>
          <w:rFonts w:hint="eastAsia" w:ascii="仿宋" w:hAnsi="仿宋" w:eastAsia="仿宋" w:cs="仿宋"/>
          <w:b/>
          <w:snapToGrid w:val="0"/>
          <w:color w:val="000000" w:themeColor="text1"/>
          <w:sz w:val="24"/>
          <w:szCs w:val="24"/>
        </w:rPr>
        <w:t>5、合同备案：</w:t>
      </w:r>
      <w:r>
        <w:rPr>
          <w:rFonts w:hint="eastAsia" w:ascii="仿宋" w:hAnsi="仿宋" w:eastAsia="仿宋" w:cs="仿宋"/>
          <w:snapToGrid w:val="0"/>
          <w:color w:val="000000" w:themeColor="text1"/>
          <w:sz w:val="24"/>
          <w:szCs w:val="24"/>
        </w:rPr>
        <w:t>本合同一式六份，甲乙双方各执二份。政府采购办和招标代理机构各一份。</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招标人（甲方）：（盖章）           中标人（乙方）：（盖章）</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地址：                               地址： </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法定（授权）代表人：                 法定（授权）代表人： </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签字时间：                  　　　　 签字时间：</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开户银行：                  　　　　 开户银行：</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帐号：                        　　　 帐号：</w:t>
      </w:r>
      <w:bookmarkStart w:id="87" w:name="_Toc15083750"/>
    </w:p>
    <w:p>
      <w:pPr>
        <w:pStyle w:val="2"/>
        <w:numPr>
          <w:ilvl w:val="0"/>
          <w:numId w:val="6"/>
        </w:numPr>
        <w:adjustRightInd w:val="0"/>
        <w:snapToGrid w:val="0"/>
        <w:spacing w:before="0" w:after="0" w:line="400" w:lineRule="exact"/>
        <w:ind w:firstLine="482" w:firstLineChars="200"/>
        <w:jc w:val="center"/>
        <w:rPr>
          <w:rFonts w:ascii="仿宋" w:hAnsi="仿宋" w:eastAsia="仿宋" w:cs="仿宋"/>
          <w:color w:val="000000"/>
          <w:sz w:val="24"/>
          <w:szCs w:val="24"/>
        </w:rPr>
      </w:pPr>
      <w:bookmarkStart w:id="88" w:name="_Toc17272976"/>
      <w:bookmarkStart w:id="89" w:name="_Toc17539287"/>
      <w:bookmarkStart w:id="90" w:name="_Toc26741885"/>
      <w:bookmarkStart w:id="91" w:name="_Toc34984029"/>
      <w:r>
        <w:rPr>
          <w:rFonts w:hint="eastAsia" w:ascii="仿宋" w:hAnsi="仿宋" w:eastAsia="仿宋" w:cs="仿宋"/>
          <w:color w:val="000000" w:themeColor="text1"/>
          <w:sz w:val="24"/>
          <w:szCs w:val="24"/>
        </w:rPr>
        <w:t>附件</w:t>
      </w:r>
      <w:bookmarkEnd w:id="88"/>
      <w:bookmarkEnd w:id="89"/>
      <w:bookmarkEnd w:id="90"/>
      <w:bookmarkEnd w:id="91"/>
    </w:p>
    <w:p>
      <w:pPr>
        <w:pStyle w:val="5"/>
        <w:adjustRightInd w:val="0"/>
        <w:snapToGrid w:val="0"/>
        <w:spacing w:before="0" w:after="0" w:line="400" w:lineRule="exact"/>
        <w:ind w:firstLine="482"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附件一、评分细则</w:t>
      </w:r>
    </w:p>
    <w:p>
      <w:pPr>
        <w:spacing w:line="400" w:lineRule="exact"/>
        <w:ind w:firstLine="617" w:firstLineChars="294"/>
        <w:rPr>
          <w:rFonts w:ascii="宋体" w:cs="宋体"/>
          <w:color w:val="000000"/>
        </w:rPr>
      </w:pPr>
      <w:r>
        <w:rPr>
          <w:rFonts w:hint="eastAsia" w:ascii="宋体" w:hAnsi="宋体" w:cs="宋体"/>
          <w:color w:val="000000"/>
        </w:rPr>
        <w:t>本次项目招标采用百分制综合评审。其中：价格部分</w:t>
      </w:r>
      <w:r>
        <w:rPr>
          <w:rFonts w:ascii="宋体" w:hAnsi="宋体" w:cs="宋体"/>
          <w:color w:val="000000"/>
        </w:rPr>
        <w:t>3</w:t>
      </w:r>
      <w:r>
        <w:rPr>
          <w:rFonts w:ascii="宋体" w:cs="宋体"/>
          <w:color w:val="000000"/>
        </w:rPr>
        <w:t>0</w:t>
      </w:r>
      <w:r>
        <w:rPr>
          <w:rFonts w:hint="eastAsia" w:ascii="宋体" w:hAnsi="宋体" w:cs="宋体"/>
          <w:color w:val="000000"/>
        </w:rPr>
        <w:t>分，技术部分5</w:t>
      </w:r>
      <w:r>
        <w:rPr>
          <w:rFonts w:ascii="宋体" w:cs="宋体"/>
          <w:color w:val="000000"/>
        </w:rPr>
        <w:t>0</w:t>
      </w:r>
      <w:r>
        <w:rPr>
          <w:rFonts w:hint="eastAsia" w:ascii="宋体" w:hAnsi="宋体" w:cs="宋体"/>
          <w:color w:val="000000"/>
        </w:rPr>
        <w:t>分，商务部分2</w:t>
      </w:r>
      <w:r>
        <w:rPr>
          <w:rFonts w:ascii="宋体" w:cs="宋体"/>
          <w:color w:val="000000"/>
        </w:rPr>
        <w:t>0</w:t>
      </w:r>
      <w:r>
        <w:rPr>
          <w:rFonts w:hint="eastAsia" w:ascii="宋体" w:hAnsi="宋体" w:cs="宋体"/>
          <w:color w:val="000000"/>
        </w:rPr>
        <w:t>分。综合得分最高的为预中标单位。如果出现分数相同，按投标报价由低到高顺序排列。得分且投标报价相同的，按技术指标优劣顺序排列。</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804"/>
        <w:gridCol w:w="647"/>
        <w:gridCol w:w="6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新宋体"/>
                <w:szCs w:val="21"/>
              </w:rPr>
            </w:pPr>
            <w:bookmarkStart w:id="92" w:name="_Toc457258254"/>
            <w:bookmarkStart w:id="93" w:name="_Toc478595474"/>
            <w:bookmarkStart w:id="94" w:name="_Toc475538231"/>
            <w:bookmarkStart w:id="95" w:name="_Toc451943457"/>
            <w:r>
              <w:rPr>
                <w:rFonts w:hint="eastAsia" w:ascii="宋体" w:hAnsi="宋体" w:cs="新宋体"/>
                <w:szCs w:val="21"/>
              </w:rPr>
              <w:t>评审名称</w:t>
            </w:r>
          </w:p>
        </w:tc>
        <w:tc>
          <w:tcPr>
            <w:tcW w:w="64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新宋体"/>
                <w:szCs w:val="21"/>
              </w:rPr>
            </w:pPr>
            <w:r>
              <w:rPr>
                <w:rFonts w:hint="eastAsia" w:ascii="宋体" w:hAnsi="宋体" w:cs="新宋体"/>
                <w:szCs w:val="21"/>
              </w:rPr>
              <w:t>分值</w:t>
            </w:r>
          </w:p>
        </w:tc>
        <w:tc>
          <w:tcPr>
            <w:tcW w:w="688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新宋体"/>
                <w:szCs w:val="21"/>
              </w:rPr>
            </w:pPr>
            <w:r>
              <w:rPr>
                <w:rFonts w:hint="eastAsia" w:ascii="宋体" w:hAnsi="宋体" w:cs="新宋体"/>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新宋体"/>
                <w:szCs w:val="21"/>
              </w:rPr>
            </w:pPr>
            <w:r>
              <w:rPr>
                <w:rFonts w:hint="eastAsia" w:ascii="宋体" w:hAnsi="宋体" w:cs="新宋体"/>
                <w:szCs w:val="21"/>
              </w:rPr>
              <w:t>价格部分（30分）</w:t>
            </w:r>
          </w:p>
        </w:tc>
        <w:tc>
          <w:tcPr>
            <w:tcW w:w="804" w:type="dxa"/>
            <w:tcBorders>
              <w:top w:val="single" w:color="auto" w:sz="4" w:space="0"/>
              <w:left w:val="nil"/>
              <w:right w:val="single" w:color="auto" w:sz="4" w:space="0"/>
            </w:tcBorders>
            <w:vAlign w:val="center"/>
          </w:tcPr>
          <w:p>
            <w:pPr>
              <w:spacing w:line="360" w:lineRule="auto"/>
              <w:jc w:val="center"/>
              <w:rPr>
                <w:rFonts w:ascii="宋体" w:hAnsi="宋体" w:cs="新宋体"/>
                <w:szCs w:val="21"/>
              </w:rPr>
            </w:pPr>
            <w:r>
              <w:rPr>
                <w:rFonts w:hint="eastAsia" w:ascii="宋体" w:hAnsi="宋体" w:cs="新宋体"/>
                <w:szCs w:val="21"/>
              </w:rPr>
              <w:t>价格</w:t>
            </w:r>
          </w:p>
        </w:tc>
        <w:tc>
          <w:tcPr>
            <w:tcW w:w="647" w:type="dxa"/>
            <w:tcBorders>
              <w:top w:val="single" w:color="auto" w:sz="4" w:space="0"/>
              <w:left w:val="nil"/>
              <w:right w:val="single" w:color="auto" w:sz="4" w:space="0"/>
            </w:tcBorders>
            <w:vAlign w:val="center"/>
          </w:tcPr>
          <w:p>
            <w:pPr>
              <w:spacing w:line="360" w:lineRule="auto"/>
              <w:jc w:val="center"/>
              <w:rPr>
                <w:rFonts w:ascii="宋体" w:hAnsi="宋体" w:cs="新宋体"/>
                <w:szCs w:val="21"/>
              </w:rPr>
            </w:pPr>
            <w:r>
              <w:rPr>
                <w:rFonts w:hint="eastAsia" w:ascii="宋体" w:hAnsi="宋体" w:cs="新宋体"/>
                <w:szCs w:val="21"/>
              </w:rPr>
              <w:t>30</w:t>
            </w:r>
          </w:p>
        </w:tc>
        <w:tc>
          <w:tcPr>
            <w:tcW w:w="6889" w:type="dxa"/>
            <w:tcBorders>
              <w:top w:val="single" w:color="auto" w:sz="4" w:space="0"/>
              <w:left w:val="nil"/>
              <w:right w:val="single" w:color="auto" w:sz="4" w:space="0"/>
            </w:tcBorders>
          </w:tcPr>
          <w:p>
            <w:pPr>
              <w:spacing w:line="360" w:lineRule="auto"/>
              <w:rPr>
                <w:rFonts w:ascii="宋体" w:hAnsi="宋体" w:cs="新宋体"/>
                <w:szCs w:val="21"/>
              </w:rPr>
            </w:pPr>
            <w:r>
              <w:rPr>
                <w:rFonts w:hint="eastAsia" w:ascii="宋体" w:hAnsi="宋体" w:cs="新宋体"/>
                <w:szCs w:val="21"/>
              </w:rPr>
              <w:t>价格分的计算：投标报价得分=评标基准价/投标报价）×30（满足招标文件要求且投标价格最低的投标报价为评标基准价，其价格为满分）。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77" w:type="dxa"/>
            <w:tcBorders>
              <w:left w:val="single" w:color="auto" w:sz="4" w:space="0"/>
              <w:right w:val="single" w:color="auto" w:sz="4" w:space="0"/>
            </w:tcBorders>
            <w:vAlign w:val="center"/>
          </w:tcPr>
          <w:p>
            <w:pPr>
              <w:spacing w:line="360" w:lineRule="auto"/>
              <w:jc w:val="center"/>
              <w:rPr>
                <w:rFonts w:ascii="宋体" w:hAnsi="宋体" w:cs="新宋体"/>
                <w:szCs w:val="21"/>
              </w:rPr>
            </w:pPr>
            <w:r>
              <w:rPr>
                <w:rFonts w:hint="eastAsia" w:ascii="宋体" w:hAnsi="宋体" w:cs="新宋体"/>
                <w:szCs w:val="21"/>
              </w:rPr>
              <w:t>技术部分（50分）</w:t>
            </w:r>
          </w:p>
        </w:tc>
        <w:tc>
          <w:tcPr>
            <w:tcW w:w="804" w:type="dxa"/>
            <w:tcBorders>
              <w:top w:val="single" w:color="auto" w:sz="4" w:space="0"/>
              <w:left w:val="nil"/>
              <w:right w:val="single" w:color="auto" w:sz="4" w:space="0"/>
            </w:tcBorders>
            <w:vAlign w:val="center"/>
          </w:tcPr>
          <w:p>
            <w:pPr>
              <w:spacing w:line="360" w:lineRule="auto"/>
              <w:jc w:val="center"/>
              <w:rPr>
                <w:rFonts w:ascii="宋体" w:hAnsi="宋体" w:cs="新宋体"/>
                <w:szCs w:val="21"/>
              </w:rPr>
            </w:pPr>
            <w:r>
              <w:rPr>
                <w:rFonts w:hint="eastAsia" w:ascii="宋体" w:hAnsi="宋体" w:cs="新宋体"/>
                <w:szCs w:val="21"/>
              </w:rPr>
              <w:t>产品</w:t>
            </w:r>
          </w:p>
          <w:p>
            <w:pPr>
              <w:spacing w:line="360" w:lineRule="auto"/>
              <w:jc w:val="center"/>
              <w:rPr>
                <w:rFonts w:ascii="宋体" w:hAnsi="宋体" w:cs="新宋体"/>
                <w:szCs w:val="21"/>
              </w:rPr>
            </w:pPr>
            <w:r>
              <w:rPr>
                <w:rFonts w:hint="eastAsia" w:ascii="宋体" w:hAnsi="宋体" w:cs="新宋体"/>
                <w:szCs w:val="21"/>
              </w:rPr>
              <w:t>技术参数功能指标</w:t>
            </w:r>
          </w:p>
        </w:tc>
        <w:tc>
          <w:tcPr>
            <w:tcW w:w="647" w:type="dxa"/>
            <w:tcBorders>
              <w:top w:val="single" w:color="auto" w:sz="4" w:space="0"/>
              <w:left w:val="nil"/>
              <w:right w:val="single" w:color="auto" w:sz="4" w:space="0"/>
            </w:tcBorders>
            <w:vAlign w:val="center"/>
          </w:tcPr>
          <w:p>
            <w:pPr>
              <w:spacing w:line="360" w:lineRule="auto"/>
              <w:rPr>
                <w:rFonts w:ascii="宋体" w:hAnsi="宋体" w:cs="新宋体"/>
                <w:color w:val="FF0000"/>
                <w:szCs w:val="21"/>
              </w:rPr>
            </w:pPr>
            <w:r>
              <w:rPr>
                <w:rFonts w:hint="eastAsia" w:ascii="宋体" w:hAnsi="宋体" w:cs="新宋体"/>
                <w:szCs w:val="21"/>
              </w:rPr>
              <w:t>50</w:t>
            </w:r>
          </w:p>
        </w:tc>
        <w:tc>
          <w:tcPr>
            <w:tcW w:w="6889" w:type="dxa"/>
            <w:tcBorders>
              <w:top w:val="single" w:color="auto" w:sz="4" w:space="0"/>
              <w:left w:val="nil"/>
              <w:right w:val="single" w:color="auto" w:sz="4" w:space="0"/>
            </w:tcBorders>
          </w:tcPr>
          <w:p>
            <w:pPr>
              <w:spacing w:line="360" w:lineRule="auto"/>
              <w:rPr>
                <w:rFonts w:ascii="宋体" w:hAnsi="宋体" w:cs="新宋体"/>
                <w:szCs w:val="21"/>
              </w:rPr>
            </w:pPr>
            <w:r>
              <w:rPr>
                <w:rFonts w:hint="eastAsia" w:ascii="宋体" w:hAnsi="宋体" w:cs="新宋体"/>
                <w:szCs w:val="21"/>
              </w:rPr>
              <w:t>一、基础技术分（30分）：除“▲项”和“样品验证”项，其他项为“基础技术要求项”，投标人所投产品完全满足“基础技术要求项”,得30分，有一项不满足或负偏离的按无效标处理。（根据技术条款偏离表评审）。</w:t>
            </w:r>
          </w:p>
          <w:p>
            <w:pPr>
              <w:spacing w:line="360" w:lineRule="auto"/>
              <w:rPr>
                <w:rFonts w:ascii="宋体" w:hAnsi="宋体" w:cs="新宋体"/>
                <w:szCs w:val="21"/>
              </w:rPr>
            </w:pPr>
            <w:r>
              <w:rPr>
                <w:rFonts w:hint="eastAsia" w:ascii="宋体" w:hAnsi="宋体" w:cs="新宋体"/>
                <w:szCs w:val="21"/>
              </w:rPr>
              <w:t>二、技术加分项（20分）“▲项”和“样品验证”项为技术加分项：</w:t>
            </w:r>
          </w:p>
          <w:p>
            <w:pPr>
              <w:spacing w:line="360" w:lineRule="auto"/>
              <w:rPr>
                <w:rFonts w:ascii="宋体" w:hAnsi="宋体" w:cs="新宋体"/>
                <w:szCs w:val="21"/>
              </w:rPr>
            </w:pPr>
            <w:r>
              <w:rPr>
                <w:rFonts w:hint="eastAsia" w:ascii="宋体" w:hAnsi="宋体" w:cs="新宋体"/>
                <w:szCs w:val="21"/>
              </w:rPr>
              <w:t>1.注“样品验证”项，每项需用小样样品演示佐证（提供控制系统组合演示小样：包含主控系统、枪锁、柜门主锁、电子自动计数弹屉、备用电源等）进行演示佐证，一项不合格本项为0分。</w:t>
            </w:r>
          </w:p>
          <w:p>
            <w:pPr>
              <w:spacing w:line="360" w:lineRule="auto"/>
              <w:rPr>
                <w:rFonts w:ascii="宋体" w:hAnsi="宋体" w:cs="新宋体"/>
                <w:szCs w:val="21"/>
              </w:rPr>
            </w:pPr>
            <w:r>
              <w:rPr>
                <w:rFonts w:hint="eastAsia" w:ascii="宋体" w:hAnsi="宋体" w:cs="新宋体"/>
                <w:szCs w:val="21"/>
              </w:rPr>
              <w:t>2.注▲项，需提供</w:t>
            </w:r>
            <w:r>
              <w:rPr>
                <w:rFonts w:hint="eastAsia" w:hAnsi="宋体" w:cs="仿宋"/>
                <w:szCs w:val="21"/>
              </w:rPr>
              <w:t>国家安全防范报警系统产品质量监督检验中心或</w:t>
            </w:r>
            <w:r>
              <w:rPr>
                <w:rFonts w:hint="eastAsia" w:ascii="宋体" w:hAnsi="宋体"/>
                <w:bCs/>
                <w:szCs w:val="21"/>
              </w:rPr>
              <w:t>公安部特种警用装备质量监督检验中心出具的检测报告</w:t>
            </w:r>
            <w:r>
              <w:rPr>
                <w:rFonts w:hint="eastAsia" w:ascii="宋体" w:hAnsi="宋体" w:cs="新宋体"/>
                <w:szCs w:val="21"/>
              </w:rPr>
              <w:t>或国家密码局商用密码产品型号证明 (报告或证明材料中必须有该功能项检测合格的描述）佐证材料为评审依据，否则，相应项视为偏离项，如有一项偏离扣5分，扣完为止。（提供报告或证明材料复印件加盖投标人公章，原件备查）。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6" w:hRule="atLeast"/>
        </w:trPr>
        <w:tc>
          <w:tcPr>
            <w:tcW w:w="1177" w:type="dxa"/>
            <w:vMerge w:val="restart"/>
            <w:tcBorders>
              <w:left w:val="single" w:color="auto" w:sz="4" w:space="0"/>
              <w:right w:val="single" w:color="auto" w:sz="4" w:space="0"/>
            </w:tcBorders>
            <w:vAlign w:val="center"/>
          </w:tcPr>
          <w:p>
            <w:pPr>
              <w:spacing w:line="360" w:lineRule="auto"/>
              <w:jc w:val="center"/>
              <w:rPr>
                <w:rFonts w:ascii="宋体" w:hAnsi="宋体" w:cs="新宋体"/>
                <w:szCs w:val="21"/>
              </w:rPr>
            </w:pPr>
            <w:r>
              <w:rPr>
                <w:rFonts w:hint="eastAsia" w:ascii="宋体" w:hAnsi="宋体" w:cs="新宋体"/>
                <w:szCs w:val="21"/>
              </w:rPr>
              <w:t>商务部分（20分）</w:t>
            </w:r>
          </w:p>
        </w:tc>
        <w:tc>
          <w:tcPr>
            <w:tcW w:w="804" w:type="dxa"/>
            <w:vMerge w:val="restart"/>
            <w:tcBorders>
              <w:left w:val="nil"/>
              <w:right w:val="single" w:color="auto" w:sz="4" w:space="0"/>
            </w:tcBorders>
            <w:vAlign w:val="center"/>
          </w:tcPr>
          <w:p>
            <w:pPr>
              <w:spacing w:line="360" w:lineRule="auto"/>
              <w:jc w:val="center"/>
              <w:rPr>
                <w:rFonts w:ascii="宋体" w:hAnsi="宋体" w:cs="新宋体"/>
                <w:szCs w:val="21"/>
              </w:rPr>
            </w:pPr>
            <w:r>
              <w:rPr>
                <w:rFonts w:hint="eastAsia" w:ascii="宋体" w:hAnsi="宋体"/>
                <w:szCs w:val="21"/>
                <w:lang w:bidi="zh-CN"/>
              </w:rPr>
              <w:t>企业、</w:t>
            </w:r>
          </w:p>
          <w:p>
            <w:pPr>
              <w:spacing w:line="360" w:lineRule="auto"/>
              <w:jc w:val="center"/>
              <w:rPr>
                <w:rFonts w:ascii="宋体" w:hAnsi="宋体" w:cs="新宋体"/>
                <w:szCs w:val="21"/>
              </w:rPr>
            </w:pPr>
            <w:r>
              <w:rPr>
                <w:rFonts w:hint="eastAsia" w:ascii="宋体" w:hAnsi="宋体" w:cs="新宋体"/>
                <w:szCs w:val="21"/>
              </w:rPr>
              <w:t>产品检测和认证</w:t>
            </w:r>
          </w:p>
          <w:p>
            <w:pPr>
              <w:spacing w:line="360" w:lineRule="auto"/>
              <w:jc w:val="center"/>
              <w:rPr>
                <w:rFonts w:ascii="宋体" w:hAnsi="宋体" w:cs="新宋体"/>
                <w:szCs w:val="21"/>
              </w:rPr>
            </w:pPr>
          </w:p>
        </w:tc>
        <w:tc>
          <w:tcPr>
            <w:tcW w:w="647" w:type="dxa"/>
            <w:vMerge w:val="restart"/>
            <w:tcBorders>
              <w:top w:val="single" w:color="auto" w:sz="4" w:space="0"/>
              <w:left w:val="nil"/>
              <w:right w:val="single" w:color="auto" w:sz="4" w:space="0"/>
            </w:tcBorders>
            <w:vAlign w:val="center"/>
          </w:tcPr>
          <w:p>
            <w:pPr>
              <w:spacing w:line="360" w:lineRule="auto"/>
              <w:jc w:val="center"/>
              <w:rPr>
                <w:rFonts w:ascii="宋体" w:hAnsi="宋体" w:cs="新宋体"/>
                <w:szCs w:val="21"/>
              </w:rPr>
            </w:pPr>
          </w:p>
          <w:p>
            <w:pPr>
              <w:spacing w:line="360" w:lineRule="auto"/>
              <w:jc w:val="center"/>
              <w:rPr>
                <w:rFonts w:ascii="宋体" w:hAnsi="宋体" w:cs="新宋体"/>
                <w:szCs w:val="21"/>
              </w:rPr>
            </w:pPr>
            <w:r>
              <w:rPr>
                <w:rFonts w:hint="eastAsia" w:ascii="宋体" w:hAnsi="宋体" w:cs="新宋体"/>
                <w:szCs w:val="21"/>
              </w:rPr>
              <w:t>14.5</w:t>
            </w:r>
          </w:p>
          <w:p>
            <w:pPr>
              <w:spacing w:line="360" w:lineRule="auto"/>
              <w:jc w:val="center"/>
              <w:rPr>
                <w:rFonts w:ascii="宋体" w:hAnsi="宋体" w:cs="新宋体"/>
                <w:szCs w:val="21"/>
              </w:rPr>
            </w:pPr>
          </w:p>
        </w:tc>
        <w:tc>
          <w:tcPr>
            <w:tcW w:w="6889" w:type="dxa"/>
            <w:tcBorders>
              <w:top w:val="single" w:color="auto" w:sz="4" w:space="0"/>
              <w:left w:val="nil"/>
              <w:right w:val="single" w:color="auto" w:sz="4" w:space="0"/>
            </w:tcBorders>
          </w:tcPr>
          <w:p>
            <w:pPr>
              <w:pStyle w:val="6"/>
              <w:numPr>
                <w:ilvl w:val="0"/>
                <w:numId w:val="7"/>
              </w:numPr>
              <w:autoSpaceDE w:val="0"/>
              <w:autoSpaceDN w:val="0"/>
              <w:adjustRightInd w:val="0"/>
              <w:spacing w:line="440" w:lineRule="exact"/>
              <w:rPr>
                <w:rFonts w:ascii="宋体" w:hAnsi="宋体" w:eastAsia="宋体" w:cs="宋体"/>
                <w:b w:val="0"/>
                <w:sz w:val="21"/>
                <w:szCs w:val="21"/>
                <w:lang w:val="en-US"/>
              </w:rPr>
            </w:pPr>
            <w:r>
              <w:rPr>
                <w:rFonts w:hint="eastAsia" w:ascii="宋体" w:hAnsi="宋体" w:eastAsia="宋体" w:cs="宋体"/>
                <w:b w:val="0"/>
                <w:sz w:val="21"/>
                <w:szCs w:val="21"/>
                <w:lang w:val="en-US"/>
              </w:rPr>
              <w:t>投标人获得省级以上（含省级）发展和改革委员会认定的金属家具智能化工程研究中心的得</w:t>
            </w:r>
            <w:r>
              <w:rPr>
                <w:rFonts w:hint="eastAsia" w:ascii="宋体" w:hAnsi="宋体" w:eastAsia="宋体" w:cs="宋体"/>
                <w:b w:val="0"/>
                <w:sz w:val="21"/>
                <w:szCs w:val="21"/>
                <w:lang w:val="en-US" w:bidi="zh-CN"/>
              </w:rPr>
              <w:t>1分</w:t>
            </w:r>
            <w:r>
              <w:rPr>
                <w:rFonts w:hint="eastAsia" w:ascii="宋体" w:hAnsi="宋体" w:eastAsia="宋体" w:cs="宋体"/>
                <w:b w:val="0"/>
                <w:sz w:val="21"/>
                <w:szCs w:val="21"/>
                <w:lang w:val="en-US"/>
              </w:rPr>
              <w:t>。(提供政府机构网上公示证明截图)。</w:t>
            </w:r>
          </w:p>
          <w:p>
            <w:pPr>
              <w:pStyle w:val="35"/>
              <w:widowControl w:val="0"/>
              <w:spacing w:line="360" w:lineRule="auto"/>
              <w:rPr>
                <w:rFonts w:ascii="宋体" w:hAnsi="宋体" w:cs="宋体"/>
              </w:rPr>
            </w:pPr>
            <w:r>
              <w:rPr>
                <w:rFonts w:hint="eastAsia" w:ascii="宋体" w:hAnsi="宋体" w:cs="宋体"/>
              </w:rPr>
              <w:t>2、投标人获得省级以上（含省级）工业和信息化厅颁发的智能制造示范试点企业得</w:t>
            </w:r>
            <w:r>
              <w:rPr>
                <w:rFonts w:hint="eastAsia" w:ascii="宋体" w:hAnsi="宋体" w:cs="宋体"/>
                <w:lang w:bidi="zh-CN"/>
              </w:rPr>
              <w:t>1分</w:t>
            </w:r>
            <w:r>
              <w:rPr>
                <w:rFonts w:hint="eastAsia" w:ascii="宋体" w:hAnsi="宋体" w:cs="宋体"/>
              </w:rPr>
              <w:t>。(提供政府机构网上公示证明截图)。</w:t>
            </w:r>
          </w:p>
          <w:p>
            <w:pPr>
              <w:pStyle w:val="35"/>
              <w:widowControl w:val="0"/>
              <w:spacing w:line="360" w:lineRule="auto"/>
              <w:rPr>
                <w:rFonts w:ascii="宋体" w:hAnsi="宋体" w:cs="新宋体"/>
              </w:rPr>
            </w:pPr>
            <w:r>
              <w:rPr>
                <w:rFonts w:hint="eastAsia" w:ascii="宋体" w:hAnsi="宋体" w:cs="新宋体"/>
              </w:rPr>
              <w:t>3、投标人获得国家版权局颁发的覆盖枪弹库综合管理系统软件、智能枪弹柜手机移动终端控制管理软件、馆库计算机集中监控软件、酒精测试软件、智能枪弹柜控制操作系统软件著作权登记证书的，得2分，缺一项得0分。（提供证书复印件加盖投标人公章，原件备查）。</w:t>
            </w:r>
          </w:p>
          <w:p>
            <w:pPr>
              <w:spacing w:line="360" w:lineRule="auto"/>
              <w:rPr>
                <w:rFonts w:ascii="宋体" w:hAnsi="宋体" w:cs="新宋体"/>
                <w:szCs w:val="21"/>
              </w:rPr>
            </w:pPr>
            <w:r>
              <w:rPr>
                <w:rFonts w:hint="eastAsia" w:ascii="宋体" w:hAnsi="宋体" w:cs="新宋体"/>
                <w:szCs w:val="21"/>
              </w:rPr>
              <w:t>4、投标人提供公安部智能枪支专用保险柜检验报告、智能弹药专用保险柜检验报告（按公安部 2013 年 5 月份以后的新标准），Ⅰ级得 0.5分，Ⅱ级得 1.0分,Ⅲ级得1.5分，报告不全的为0分，本项满分1.5分，不重复得分。（提供报告复印件加盖投标人公章，原件备查）。</w:t>
            </w:r>
          </w:p>
          <w:p>
            <w:pPr>
              <w:spacing w:line="360" w:lineRule="auto"/>
              <w:rPr>
                <w:rFonts w:ascii="宋体" w:hAnsi="宋体" w:cs="新宋体"/>
                <w:szCs w:val="21"/>
              </w:rPr>
            </w:pPr>
            <w:r>
              <w:rPr>
                <w:rFonts w:hint="eastAsia" w:ascii="宋体" w:hAnsi="宋体" w:cs="新宋体"/>
                <w:szCs w:val="21"/>
              </w:rPr>
              <w:t>5、投标人提供公安部智能枪弹柜控制系统检测报告、智能枪弹柜（库）管理系统平台软件测试报告，</w:t>
            </w:r>
            <w:r>
              <w:rPr>
                <w:rStyle w:val="30"/>
                <w:rFonts w:hint="eastAsia" w:ascii="宋体" w:hAnsi="宋体"/>
                <w:sz w:val="21"/>
                <w:szCs w:val="21"/>
              </w:rPr>
              <w:t>得</w:t>
            </w:r>
            <w:r>
              <w:rPr>
                <w:rFonts w:hint="eastAsia" w:ascii="宋体" w:hAnsi="宋体" w:cs="新宋体"/>
                <w:szCs w:val="21"/>
              </w:rPr>
              <w:t>分1分。（提供报告复印件加盖投标人公章，原件备查）。</w:t>
            </w:r>
          </w:p>
          <w:p>
            <w:pPr>
              <w:spacing w:line="360" w:lineRule="auto"/>
              <w:rPr>
                <w:rFonts w:ascii="宋体" w:hAnsi="宋体" w:cs="新宋体"/>
                <w:szCs w:val="21"/>
              </w:rPr>
            </w:pPr>
            <w:r>
              <w:rPr>
                <w:rFonts w:hint="eastAsia" w:ascii="宋体" w:hAnsi="宋体"/>
                <w:szCs w:val="21"/>
              </w:rPr>
              <w:t>6、投标人提供枪支专用保险柜、弹药专用保险柜</w:t>
            </w:r>
            <w:r>
              <w:rPr>
                <w:rFonts w:hint="eastAsia" w:ascii="宋体" w:hAnsi="宋体" w:cs="新宋体"/>
                <w:szCs w:val="21"/>
              </w:rPr>
              <w:t>的</w:t>
            </w:r>
            <w:r>
              <w:rPr>
                <w:rFonts w:hint="eastAsia" w:ascii="宋体" w:hAnsi="宋体"/>
                <w:szCs w:val="21"/>
              </w:rPr>
              <w:t>中国公共安全产品认证证书，</w:t>
            </w:r>
            <w:r>
              <w:rPr>
                <w:rStyle w:val="30"/>
                <w:rFonts w:hint="eastAsia" w:ascii="宋体" w:hAnsi="宋体"/>
                <w:sz w:val="21"/>
                <w:szCs w:val="21"/>
              </w:rPr>
              <w:t>得1分，缺一项为</w:t>
            </w:r>
            <w:r>
              <w:rPr>
                <w:rStyle w:val="30"/>
                <w:rFonts w:ascii="宋体" w:hAnsi="宋体"/>
                <w:sz w:val="21"/>
                <w:szCs w:val="21"/>
              </w:rPr>
              <w:t>0</w:t>
            </w:r>
            <w:r>
              <w:rPr>
                <w:rStyle w:val="30"/>
                <w:rFonts w:hint="eastAsia" w:ascii="宋体" w:hAnsi="宋体"/>
                <w:sz w:val="21"/>
                <w:szCs w:val="21"/>
              </w:rPr>
              <w:t>分。</w:t>
            </w:r>
            <w:r>
              <w:rPr>
                <w:rFonts w:hint="eastAsia" w:ascii="宋体" w:hAnsi="宋体"/>
                <w:szCs w:val="21"/>
              </w:rPr>
              <w:t>（提供证书复印件加盖投标人公章，原件备查）。</w:t>
            </w:r>
          </w:p>
          <w:p>
            <w:pPr>
              <w:pStyle w:val="35"/>
              <w:widowControl w:val="0"/>
              <w:spacing w:line="360" w:lineRule="auto"/>
              <w:rPr>
                <w:rFonts w:ascii="宋体" w:hAnsi="宋体"/>
              </w:rPr>
            </w:pPr>
            <w:r>
              <w:rPr>
                <w:rFonts w:hint="eastAsia" w:ascii="宋体" w:hAnsi="宋体"/>
              </w:rPr>
              <w:t>7、投标人获得两化融合管理体系评定证书、信息安全管理体系认证证书、省级保密资格审查认证委员会批准的三级保</w:t>
            </w:r>
            <w:r>
              <w:rPr>
                <w:rStyle w:val="30"/>
                <w:rFonts w:hint="eastAsia" w:ascii="宋体" w:hAnsi="宋体"/>
                <w:sz w:val="21"/>
                <w:szCs w:val="21"/>
              </w:rPr>
              <w:t>密资格单位证书的，得1分，缺一项为</w:t>
            </w:r>
            <w:r>
              <w:rPr>
                <w:rStyle w:val="30"/>
                <w:rFonts w:ascii="宋体" w:hAnsi="宋体"/>
                <w:sz w:val="21"/>
                <w:szCs w:val="21"/>
              </w:rPr>
              <w:t>0</w:t>
            </w:r>
            <w:r>
              <w:rPr>
                <w:rStyle w:val="30"/>
                <w:rFonts w:hint="eastAsia" w:ascii="宋体" w:hAnsi="宋体"/>
                <w:sz w:val="21"/>
                <w:szCs w:val="21"/>
              </w:rPr>
              <w:t>分。（提供证书复印件加盖投标人公章，原件备查）。</w:t>
            </w:r>
          </w:p>
          <w:p>
            <w:pPr>
              <w:pStyle w:val="35"/>
              <w:widowControl w:val="0"/>
              <w:spacing w:line="360" w:lineRule="auto"/>
              <w:rPr>
                <w:rFonts w:ascii="宋体" w:hAnsi="宋体" w:cs="新宋体"/>
              </w:rPr>
            </w:pPr>
            <w:r>
              <w:rPr>
                <w:rFonts w:hint="eastAsia" w:ascii="宋体" w:hAnsi="宋体" w:cs="新宋体"/>
              </w:rPr>
              <w:t>8、投标人是国家高新技术企业，并具有中国安全技术防范行业协议颁发的“系统设计、施工、维护”资质证书，一级得1分，二级得0.5分，三级得0.25分。（提供证书</w:t>
            </w:r>
            <w:r>
              <w:rPr>
                <w:rStyle w:val="30"/>
                <w:rFonts w:hint="eastAsia" w:ascii="宋体" w:hAnsi="宋体"/>
                <w:sz w:val="21"/>
                <w:szCs w:val="21"/>
              </w:rPr>
              <w:t>复印件加盖投标人公章</w:t>
            </w:r>
            <w:r>
              <w:rPr>
                <w:rFonts w:hint="eastAsia" w:ascii="宋体" w:hAnsi="宋体" w:cs="新宋体"/>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8" w:hRule="atLeast"/>
        </w:trPr>
        <w:tc>
          <w:tcPr>
            <w:tcW w:w="1177" w:type="dxa"/>
            <w:vMerge w:val="continue"/>
            <w:tcBorders>
              <w:left w:val="single" w:color="auto" w:sz="4" w:space="0"/>
              <w:right w:val="single" w:color="auto" w:sz="4" w:space="0"/>
            </w:tcBorders>
            <w:vAlign w:val="center"/>
          </w:tcPr>
          <w:p>
            <w:pPr>
              <w:spacing w:line="360" w:lineRule="auto"/>
              <w:jc w:val="center"/>
              <w:rPr>
                <w:rFonts w:ascii="宋体" w:hAnsi="宋体" w:cs="新宋体"/>
                <w:szCs w:val="21"/>
              </w:rPr>
            </w:pPr>
          </w:p>
        </w:tc>
        <w:tc>
          <w:tcPr>
            <w:tcW w:w="804" w:type="dxa"/>
            <w:vMerge w:val="continue"/>
            <w:tcBorders>
              <w:left w:val="nil"/>
              <w:right w:val="single" w:color="auto" w:sz="4" w:space="0"/>
            </w:tcBorders>
            <w:vAlign w:val="center"/>
          </w:tcPr>
          <w:p>
            <w:pPr>
              <w:spacing w:line="360" w:lineRule="auto"/>
              <w:jc w:val="center"/>
              <w:rPr>
                <w:rFonts w:ascii="宋体" w:hAnsi="宋体" w:cs="新宋体"/>
                <w:szCs w:val="21"/>
              </w:rPr>
            </w:pPr>
          </w:p>
        </w:tc>
        <w:tc>
          <w:tcPr>
            <w:tcW w:w="647" w:type="dxa"/>
            <w:vMerge w:val="continue"/>
            <w:tcBorders>
              <w:left w:val="nil"/>
              <w:right w:val="single" w:color="auto" w:sz="4" w:space="0"/>
            </w:tcBorders>
            <w:vAlign w:val="center"/>
          </w:tcPr>
          <w:p>
            <w:pPr>
              <w:spacing w:line="360" w:lineRule="auto"/>
              <w:jc w:val="center"/>
              <w:rPr>
                <w:rFonts w:ascii="宋体" w:hAnsi="宋体" w:cs="新宋体"/>
                <w:szCs w:val="21"/>
              </w:rPr>
            </w:pPr>
          </w:p>
        </w:tc>
        <w:tc>
          <w:tcPr>
            <w:tcW w:w="6889" w:type="dxa"/>
            <w:tcBorders>
              <w:top w:val="single" w:color="auto" w:sz="4" w:space="0"/>
              <w:left w:val="nil"/>
              <w:right w:val="single" w:color="auto" w:sz="4" w:space="0"/>
            </w:tcBorders>
          </w:tcPr>
          <w:p>
            <w:pPr>
              <w:pStyle w:val="31"/>
              <w:spacing w:line="360" w:lineRule="auto"/>
              <w:rPr>
                <w:rFonts w:ascii="宋体" w:hAnsi="宋体"/>
                <w:kern w:val="2"/>
                <w:sz w:val="21"/>
                <w:szCs w:val="21"/>
              </w:rPr>
            </w:pPr>
            <w:r>
              <w:rPr>
                <w:rFonts w:hint="eastAsia" w:ascii="宋体" w:hAnsi="宋体"/>
                <w:kern w:val="2"/>
                <w:sz w:val="21"/>
                <w:szCs w:val="21"/>
              </w:rPr>
              <w:t>9、投标人获得工业和信息化部组织的中国质量协会颁发的全国质量标杆企业证书的得1分，没有不得分。（提供证书</w:t>
            </w:r>
            <w:r>
              <w:rPr>
                <w:rStyle w:val="30"/>
                <w:rFonts w:hint="eastAsia" w:ascii="宋体" w:hAnsi="宋体"/>
                <w:sz w:val="21"/>
                <w:szCs w:val="21"/>
              </w:rPr>
              <w:t>复印件加盖投标人公章</w:t>
            </w:r>
            <w:r>
              <w:rPr>
                <w:rFonts w:hint="eastAsia" w:ascii="宋体" w:hAnsi="宋体"/>
                <w:kern w:val="2"/>
                <w:sz w:val="21"/>
                <w:szCs w:val="21"/>
              </w:rPr>
              <w:t>,原件备查）。</w:t>
            </w:r>
          </w:p>
          <w:p>
            <w:pPr>
              <w:pStyle w:val="31"/>
              <w:spacing w:line="360" w:lineRule="auto"/>
              <w:rPr>
                <w:rFonts w:ascii="宋体" w:hAnsi="宋体"/>
                <w:kern w:val="2"/>
                <w:sz w:val="21"/>
                <w:szCs w:val="21"/>
              </w:rPr>
            </w:pPr>
            <w:r>
              <w:rPr>
                <w:rFonts w:hint="eastAsia" w:ascii="宋体" w:hAnsi="宋体"/>
                <w:kern w:val="2"/>
                <w:sz w:val="21"/>
                <w:szCs w:val="21"/>
              </w:rPr>
              <w:t>10、投标人获得两期地级市（含）以上人民政府颁发的质量奖的得1分。（提供证书</w:t>
            </w:r>
            <w:r>
              <w:rPr>
                <w:rStyle w:val="30"/>
                <w:rFonts w:hint="eastAsia" w:ascii="宋体" w:hAnsi="宋体"/>
                <w:sz w:val="21"/>
                <w:szCs w:val="21"/>
              </w:rPr>
              <w:t>复印件加盖投标人公章</w:t>
            </w:r>
            <w:r>
              <w:rPr>
                <w:rFonts w:hint="eastAsia" w:ascii="宋体" w:hAnsi="宋体"/>
                <w:kern w:val="2"/>
                <w:sz w:val="21"/>
                <w:szCs w:val="21"/>
              </w:rPr>
              <w:t>,原件备查）。</w:t>
            </w:r>
          </w:p>
          <w:p>
            <w:pPr>
              <w:pStyle w:val="31"/>
              <w:spacing w:line="360" w:lineRule="auto"/>
              <w:rPr>
                <w:rFonts w:ascii="宋体" w:hAnsi="宋体"/>
                <w:kern w:val="2"/>
                <w:sz w:val="21"/>
                <w:szCs w:val="21"/>
              </w:rPr>
            </w:pPr>
            <w:r>
              <w:rPr>
                <w:rFonts w:hint="eastAsia" w:ascii="宋体" w:hAnsi="宋体"/>
                <w:kern w:val="2"/>
                <w:sz w:val="21"/>
                <w:szCs w:val="21"/>
              </w:rPr>
              <w:t>11、投标人获得省级人民政府颁发的科技创新示范企业的得1分。</w:t>
            </w:r>
          </w:p>
          <w:p>
            <w:pPr>
              <w:pStyle w:val="31"/>
              <w:spacing w:line="360" w:lineRule="auto"/>
              <w:rPr>
                <w:rFonts w:ascii="宋体" w:hAnsi="宋体"/>
                <w:kern w:val="2"/>
                <w:sz w:val="21"/>
                <w:szCs w:val="21"/>
              </w:rPr>
            </w:pPr>
            <w:r>
              <w:rPr>
                <w:rFonts w:hint="eastAsia" w:ascii="宋体" w:hAnsi="宋体"/>
                <w:kern w:val="2"/>
                <w:sz w:val="21"/>
                <w:szCs w:val="21"/>
              </w:rPr>
              <w:t>（提供网上公示证明截图）</w:t>
            </w:r>
          </w:p>
          <w:p>
            <w:pPr>
              <w:pStyle w:val="31"/>
              <w:spacing w:line="360" w:lineRule="auto"/>
              <w:rPr>
                <w:rFonts w:ascii="宋体" w:hAnsi="宋体"/>
                <w:kern w:val="2"/>
                <w:sz w:val="21"/>
                <w:szCs w:val="21"/>
              </w:rPr>
            </w:pPr>
            <w:r>
              <w:rPr>
                <w:rFonts w:hint="eastAsia" w:ascii="宋体" w:hAnsi="宋体"/>
                <w:kern w:val="2"/>
                <w:sz w:val="21"/>
                <w:szCs w:val="21"/>
              </w:rPr>
              <w:t>12、投标人获得GB/T15496-2017《企业标准体系要求》AAAA级标准化良好行为企业的得1分； (需提供全国认证认可信息公共服务平台网上查询页截图，提供证书原件备查)。</w:t>
            </w:r>
          </w:p>
          <w:p>
            <w:pPr>
              <w:pStyle w:val="31"/>
              <w:spacing w:line="360" w:lineRule="auto"/>
              <w:rPr>
                <w:rFonts w:ascii="宋体" w:hAnsi="宋体"/>
                <w:kern w:val="2"/>
                <w:sz w:val="21"/>
                <w:szCs w:val="21"/>
              </w:rPr>
            </w:pPr>
            <w:r>
              <w:rPr>
                <w:rFonts w:hint="eastAsia" w:ascii="宋体" w:hAnsi="宋体"/>
                <w:kern w:val="2"/>
                <w:sz w:val="21"/>
                <w:szCs w:val="21"/>
              </w:rPr>
              <w:t>13、投标人获得省级（含）以上应急管理厅颁发的安全生产标准化二级企业的得1分。（提供证书</w:t>
            </w:r>
            <w:r>
              <w:rPr>
                <w:rStyle w:val="30"/>
                <w:rFonts w:hint="eastAsia" w:ascii="宋体" w:hAnsi="宋体"/>
                <w:sz w:val="21"/>
                <w:szCs w:val="21"/>
              </w:rPr>
              <w:t>复印件加盖投标人公章</w:t>
            </w:r>
            <w:r>
              <w:rPr>
                <w:rFonts w:hint="eastAsia" w:ascii="宋体" w:hAnsi="宋体"/>
                <w:kern w:val="2"/>
                <w:sz w:val="21"/>
                <w:szCs w:val="21"/>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Merge w:val="continue"/>
            <w:tcBorders>
              <w:left w:val="single" w:color="auto" w:sz="4" w:space="0"/>
              <w:right w:val="single" w:color="auto" w:sz="4" w:space="0"/>
            </w:tcBorders>
            <w:vAlign w:val="center"/>
          </w:tcPr>
          <w:p>
            <w:pPr>
              <w:spacing w:line="360" w:lineRule="auto"/>
              <w:rPr>
                <w:rFonts w:ascii="宋体" w:hAnsi="宋体" w:cs="新宋体"/>
                <w:szCs w:val="21"/>
              </w:rPr>
            </w:pPr>
          </w:p>
        </w:tc>
        <w:tc>
          <w:tcPr>
            <w:tcW w:w="80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新宋体"/>
                <w:szCs w:val="21"/>
              </w:rPr>
            </w:pPr>
            <w:r>
              <w:rPr>
                <w:rFonts w:hint="eastAsia" w:ascii="宋体" w:hAnsi="宋体" w:cs="新宋体"/>
                <w:szCs w:val="21"/>
              </w:rPr>
              <w:t>类似业绩</w:t>
            </w:r>
          </w:p>
        </w:tc>
        <w:tc>
          <w:tcPr>
            <w:tcW w:w="64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新宋体"/>
                <w:szCs w:val="21"/>
              </w:rPr>
            </w:pPr>
            <w:r>
              <w:rPr>
                <w:rFonts w:hint="eastAsia" w:ascii="宋体" w:hAnsi="宋体" w:cs="新宋体"/>
                <w:szCs w:val="21"/>
              </w:rPr>
              <w:t>2.5</w:t>
            </w:r>
          </w:p>
        </w:tc>
        <w:tc>
          <w:tcPr>
            <w:tcW w:w="6889" w:type="dxa"/>
            <w:tcBorders>
              <w:top w:val="single" w:color="auto" w:sz="4" w:space="0"/>
              <w:left w:val="nil"/>
              <w:bottom w:val="single" w:color="auto" w:sz="4" w:space="0"/>
              <w:right w:val="single" w:color="auto" w:sz="4" w:space="0"/>
            </w:tcBorders>
          </w:tcPr>
          <w:p>
            <w:pPr>
              <w:pStyle w:val="31"/>
              <w:spacing w:line="360" w:lineRule="auto"/>
              <w:rPr>
                <w:rFonts w:ascii="宋体" w:hAnsi="宋体"/>
                <w:kern w:val="2"/>
                <w:sz w:val="21"/>
                <w:szCs w:val="21"/>
              </w:rPr>
            </w:pPr>
            <w:r>
              <w:rPr>
                <w:rFonts w:hint="eastAsia" w:ascii="宋体" w:hAnsi="宋体"/>
                <w:kern w:val="2"/>
                <w:sz w:val="21"/>
                <w:szCs w:val="21"/>
              </w:rPr>
              <w:t>1、投标人在2015年以来在公检法系统内完成过同类智能枪弹柜项目，每个得0.5分，最高得1分。（必须提供中标通知书或合同原件的复印件，原件备查）。</w:t>
            </w:r>
          </w:p>
          <w:p>
            <w:pPr>
              <w:pStyle w:val="31"/>
              <w:spacing w:line="360" w:lineRule="auto"/>
              <w:rPr>
                <w:rFonts w:ascii="宋体" w:hAnsi="宋体"/>
                <w:kern w:val="2"/>
                <w:sz w:val="21"/>
                <w:szCs w:val="21"/>
              </w:rPr>
            </w:pPr>
            <w:r>
              <w:rPr>
                <w:rFonts w:hint="eastAsia" w:ascii="宋体" w:hAnsi="宋体"/>
                <w:kern w:val="2"/>
                <w:sz w:val="21"/>
                <w:szCs w:val="21"/>
              </w:rPr>
              <w:t>2、投标人智能枪弹柜项目获得分布在三个省（含）以上的市级公安机关联网和项目质量认可函，明确能够与全国枪支管理信息系统无缝对接和对项目质量的认可。每一个得0.5分，满分1.5分。（必须提供函件原件的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cs="新宋体"/>
                <w:szCs w:val="21"/>
              </w:rPr>
            </w:pPr>
          </w:p>
        </w:tc>
        <w:tc>
          <w:tcPr>
            <w:tcW w:w="80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新宋体"/>
                <w:szCs w:val="21"/>
              </w:rPr>
            </w:pPr>
            <w:r>
              <w:rPr>
                <w:rFonts w:hint="eastAsia" w:ascii="宋体" w:hAnsi="宋体" w:cs="新宋体"/>
                <w:szCs w:val="21"/>
              </w:rPr>
              <w:t>售后服务</w:t>
            </w:r>
          </w:p>
        </w:tc>
        <w:tc>
          <w:tcPr>
            <w:tcW w:w="64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新宋体"/>
                <w:szCs w:val="21"/>
              </w:rPr>
            </w:pPr>
            <w:r>
              <w:rPr>
                <w:rFonts w:hint="eastAsia" w:ascii="宋体" w:hAnsi="宋体" w:cs="新宋体"/>
                <w:szCs w:val="21"/>
              </w:rPr>
              <w:t>3.00</w:t>
            </w:r>
          </w:p>
        </w:tc>
        <w:tc>
          <w:tcPr>
            <w:tcW w:w="6889" w:type="dxa"/>
            <w:tcBorders>
              <w:top w:val="single" w:color="auto" w:sz="4" w:space="0"/>
              <w:left w:val="nil"/>
              <w:bottom w:val="single" w:color="auto" w:sz="4" w:space="0"/>
              <w:right w:val="single" w:color="auto" w:sz="4" w:space="0"/>
            </w:tcBorders>
          </w:tcPr>
          <w:p>
            <w:pPr>
              <w:pStyle w:val="31"/>
              <w:spacing w:line="360" w:lineRule="auto"/>
              <w:rPr>
                <w:rFonts w:ascii="宋体" w:hAnsi="宋体"/>
                <w:kern w:val="2"/>
                <w:sz w:val="21"/>
                <w:szCs w:val="21"/>
              </w:rPr>
            </w:pPr>
            <w:r>
              <w:rPr>
                <w:rFonts w:hint="eastAsia" w:ascii="宋体" w:hAnsi="宋体"/>
                <w:kern w:val="2"/>
                <w:sz w:val="21"/>
                <w:szCs w:val="21"/>
              </w:rPr>
              <w:t>一、根据各投标人具体售后服务承诺、软件升级服务承诺、故障响应时间及故障处理方案、定期巡检方案进行评分：</w:t>
            </w:r>
          </w:p>
          <w:p>
            <w:pPr>
              <w:pStyle w:val="31"/>
              <w:spacing w:line="360" w:lineRule="auto"/>
              <w:rPr>
                <w:rFonts w:ascii="宋体" w:hAnsi="宋体"/>
                <w:kern w:val="2"/>
                <w:sz w:val="21"/>
                <w:szCs w:val="21"/>
              </w:rPr>
            </w:pPr>
            <w:r>
              <w:rPr>
                <w:rFonts w:hint="eastAsia" w:ascii="宋体" w:hAnsi="宋体"/>
                <w:kern w:val="2"/>
                <w:sz w:val="21"/>
                <w:szCs w:val="21"/>
              </w:rPr>
              <w:t>1、服务承诺、软件升级服务承诺详细具体、故障响应时间快（承诺响应时间在1小时内）及故障处理及定期巡检方案详细完善的得1分；</w:t>
            </w:r>
          </w:p>
          <w:p>
            <w:pPr>
              <w:pStyle w:val="31"/>
              <w:spacing w:line="360" w:lineRule="auto"/>
              <w:rPr>
                <w:rFonts w:ascii="宋体" w:hAnsi="宋体"/>
                <w:kern w:val="2"/>
                <w:sz w:val="21"/>
                <w:szCs w:val="21"/>
              </w:rPr>
            </w:pPr>
            <w:r>
              <w:rPr>
                <w:rFonts w:hint="eastAsia" w:ascii="宋体" w:hAnsi="宋体"/>
                <w:kern w:val="2"/>
                <w:sz w:val="21"/>
                <w:szCs w:val="21"/>
              </w:rPr>
              <w:t>2、服务承诺、软件升级服务承诺一般、故障响应时间较快（承诺响应时间在2小时内）及故障处理及定期巡检方案一般的得0.5分；</w:t>
            </w:r>
          </w:p>
          <w:p>
            <w:pPr>
              <w:pStyle w:val="31"/>
              <w:spacing w:line="360" w:lineRule="auto"/>
              <w:rPr>
                <w:rFonts w:ascii="宋体" w:hAnsi="宋体"/>
                <w:kern w:val="2"/>
                <w:sz w:val="21"/>
                <w:szCs w:val="21"/>
              </w:rPr>
            </w:pPr>
            <w:r>
              <w:rPr>
                <w:rFonts w:hint="eastAsia" w:ascii="宋体" w:hAnsi="宋体"/>
                <w:kern w:val="2"/>
                <w:sz w:val="21"/>
                <w:szCs w:val="21"/>
              </w:rPr>
              <w:t>3、服务承诺、软件升级服务承诺差、故障响应时间慢（承诺响应时间在2小时以上）及故障处理及定期巡检方案差的得0分；</w:t>
            </w:r>
          </w:p>
          <w:p>
            <w:pPr>
              <w:pStyle w:val="31"/>
              <w:spacing w:line="360" w:lineRule="auto"/>
              <w:rPr>
                <w:rFonts w:ascii="宋体" w:hAnsi="宋体"/>
                <w:kern w:val="2"/>
                <w:sz w:val="21"/>
                <w:szCs w:val="21"/>
              </w:rPr>
            </w:pPr>
            <w:r>
              <w:rPr>
                <w:rFonts w:hint="eastAsia" w:ascii="宋体" w:hAnsi="宋体"/>
                <w:kern w:val="2"/>
                <w:sz w:val="21"/>
                <w:szCs w:val="21"/>
              </w:rPr>
              <w:t>（提供售后服务方案）</w:t>
            </w:r>
          </w:p>
          <w:p>
            <w:pPr>
              <w:pStyle w:val="31"/>
              <w:spacing w:line="360" w:lineRule="auto"/>
              <w:rPr>
                <w:rFonts w:ascii="宋体" w:hAnsi="宋体"/>
                <w:kern w:val="2"/>
                <w:sz w:val="21"/>
                <w:szCs w:val="21"/>
              </w:rPr>
            </w:pPr>
            <w:r>
              <w:rPr>
                <w:rFonts w:hint="eastAsia" w:ascii="宋体" w:hAnsi="宋体"/>
                <w:kern w:val="2"/>
                <w:sz w:val="21"/>
                <w:szCs w:val="21"/>
              </w:rPr>
              <w:t>二、投标人获得GB/T27925-2011五星品牌服务认证证书的得1分；没有的不得分。投标人获得GB/T27922-2011五星售后服务认证证书的得1分；没有的不得分。（提供证书</w:t>
            </w:r>
            <w:r>
              <w:rPr>
                <w:rStyle w:val="30"/>
                <w:rFonts w:hint="eastAsia" w:ascii="宋体" w:hAnsi="宋体"/>
                <w:sz w:val="21"/>
                <w:szCs w:val="21"/>
              </w:rPr>
              <w:t>复印件加盖投标人公章</w:t>
            </w:r>
            <w:r>
              <w:rPr>
                <w:rFonts w:hint="eastAsia" w:ascii="宋体" w:hAnsi="宋体"/>
                <w:kern w:val="2"/>
                <w:sz w:val="21"/>
                <w:szCs w:val="21"/>
              </w:rPr>
              <w:t>,原件备查）。</w:t>
            </w:r>
          </w:p>
        </w:tc>
      </w:tr>
      <w:bookmarkEnd w:id="92"/>
      <w:bookmarkEnd w:id="93"/>
      <w:bookmarkEnd w:id="94"/>
      <w:bookmarkEnd w:id="95"/>
    </w:tbl>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96" w:name="_Toc15083752"/>
      <w:bookmarkStart w:id="97" w:name="_Toc523072918"/>
      <w:bookmarkStart w:id="98" w:name="_Toc24305550"/>
      <w:bookmarkStart w:id="99" w:name="_Toc23869178"/>
      <w:bookmarkStart w:id="100" w:name="_Toc26136496"/>
      <w:bookmarkStart w:id="101" w:name="_Toc26136587"/>
      <w:bookmarkStart w:id="102" w:name="_Toc34984031"/>
      <w:bookmarkStart w:id="103" w:name="_Toc523072921"/>
      <w:bookmarkStart w:id="104" w:name="_Toc15083755"/>
      <w:bookmarkStart w:id="105" w:name="_Toc26741891"/>
      <w:bookmarkStart w:id="106" w:name="_Toc17272982"/>
      <w:r>
        <w:rPr>
          <w:rFonts w:hint="eastAsia" w:ascii="仿宋" w:hAnsi="仿宋" w:eastAsia="仿宋" w:cs="仿宋"/>
          <w:color w:val="000000" w:themeColor="text1"/>
          <w:sz w:val="24"/>
          <w:szCs w:val="24"/>
        </w:rPr>
        <w:t>附件</w:t>
      </w:r>
      <w:r>
        <w:rPr>
          <w:rFonts w:hint="eastAsia" w:ascii="仿宋" w:hAnsi="仿宋" w:eastAsia="仿宋" w:cs="仿宋"/>
          <w:snapToGrid w:val="0"/>
          <w:color w:val="000000" w:themeColor="text1"/>
          <w:kern w:val="0"/>
          <w:sz w:val="24"/>
          <w:szCs w:val="24"/>
        </w:rPr>
        <w:t>二</w:t>
      </w:r>
      <w:bookmarkEnd w:id="96"/>
      <w:bookmarkEnd w:id="97"/>
      <w:r>
        <w:rPr>
          <w:rFonts w:hint="eastAsia" w:ascii="仿宋" w:hAnsi="仿宋" w:eastAsia="仿宋" w:cs="仿宋"/>
          <w:snapToGrid w:val="0"/>
          <w:color w:val="000000" w:themeColor="text1"/>
          <w:kern w:val="0"/>
          <w:sz w:val="24"/>
          <w:szCs w:val="24"/>
        </w:rPr>
        <w:t>：相关法规</w:t>
      </w:r>
      <w:bookmarkEnd w:id="98"/>
      <w:bookmarkEnd w:id="99"/>
      <w:bookmarkEnd w:id="100"/>
      <w:bookmarkEnd w:id="101"/>
      <w:bookmarkEnd w:id="102"/>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107" w:name="_Toc34984032"/>
      <w:bookmarkStart w:id="108" w:name="_Toc18364980"/>
      <w:bookmarkStart w:id="109" w:name="_Toc30528428"/>
      <w:bookmarkStart w:id="110" w:name="_Toc30663060"/>
      <w:bookmarkStart w:id="111" w:name="_Toc21380085"/>
      <w:r>
        <w:rPr>
          <w:rFonts w:hint="eastAsia" w:ascii="仿宋" w:hAnsi="仿宋" w:eastAsia="仿宋" w:cs="仿宋"/>
          <w:snapToGrid w:val="0"/>
          <w:color w:val="000000" w:themeColor="text1"/>
          <w:kern w:val="0"/>
          <w:sz w:val="24"/>
          <w:szCs w:val="24"/>
        </w:rPr>
        <w:t>1：无效投标条款</w:t>
      </w:r>
      <w:bookmarkEnd w:id="107"/>
      <w:bookmarkEnd w:id="108"/>
      <w:bookmarkEnd w:id="109"/>
      <w:bookmarkEnd w:id="110"/>
      <w:bookmarkEnd w:id="111"/>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如发生下列情况之一的，其投标无效：</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1、提交了可调整报价的或超过招标人预算的；</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2、违反国家限制经营、特许经营以及法律、行政法规禁止经营规定的；</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3、法律法规规定的无效投标情形。</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1）单位负责人为同一人或者存在直接控股、管理关系的不同供应商，不得参加同一合同项下的采购活动。</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2）为本项目提供整体设计、规范编制或者项目管理、监理、检测等服务的供应商不得参加本项目的采购活动。</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3）被“信用中国”网站列入失信被执行人和重大税收违法案件当事人名单的、被“中国政府采购网”网站列入政府采购严重违法失信行为记录名单并处罚期限尚未届满的，不得参与本项目的政府采购活动。</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bookmarkStart w:id="112" w:name="_Toc478595475"/>
      <w:bookmarkStart w:id="113" w:name="_Toc523072919"/>
      <w:r>
        <w:rPr>
          <w:rFonts w:hint="eastAsia" w:ascii="仿宋" w:hAnsi="仿宋" w:eastAsia="仿宋" w:cs="仿宋"/>
          <w:snapToGrid w:val="0"/>
          <w:color w:val="000000" w:themeColor="text1"/>
          <w:kern w:val="0"/>
          <w:sz w:val="24"/>
          <w:szCs w:val="24"/>
        </w:rPr>
        <w:t>4、投标人的家数计算</w:t>
      </w:r>
      <w:bookmarkEnd w:id="112"/>
      <w:bookmarkEnd w:id="113"/>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以下情形只能由一家投标人参加投标，如果有多家投标人参加投标时，以有效投标，且最低投标价的投标人为有效投标人。</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1）单品目货物投标时，同一制造商的同一型号产品；</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2）多品目货物投标时，所有品目均为同一制造商的同一型号产品。</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3）同一制造商不同型号产品（指所有品目均为同一制造商不同型号产品）的投标人参加投标不得超过两家，如果超过两家，以有效投标，且投标报价低的两家为有效投标人。</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5、依据《政府采购进口产品管理办法》规定，招标文件中未注明进口产品的，均为国产产品，并不允许采用进口产品参加投标，若选用进口产品投标的视为无效投标。</w:t>
      </w: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114" w:name="_Toc18364981"/>
      <w:bookmarkStart w:id="115" w:name="_Toc17503588"/>
      <w:bookmarkStart w:id="116" w:name="_Toc30663061"/>
      <w:bookmarkStart w:id="117" w:name="_Toc21380086"/>
      <w:bookmarkStart w:id="118" w:name="_Toc34984033"/>
      <w:bookmarkStart w:id="119" w:name="_Toc30528429"/>
      <w:bookmarkStart w:id="120" w:name="_Toc15083753"/>
      <w:r>
        <w:rPr>
          <w:rFonts w:hint="eastAsia" w:ascii="仿宋" w:hAnsi="仿宋" w:eastAsia="仿宋" w:cs="仿宋"/>
          <w:snapToGrid w:val="0"/>
          <w:color w:val="000000" w:themeColor="text1"/>
          <w:kern w:val="0"/>
          <w:sz w:val="24"/>
          <w:szCs w:val="24"/>
        </w:rPr>
        <w:t>2：</w:t>
      </w:r>
      <w:r>
        <w:rPr>
          <w:rFonts w:hint="eastAsia" w:ascii="仿宋" w:hAnsi="仿宋" w:eastAsia="仿宋" w:cs="仿宋"/>
          <w:color w:val="000000" w:themeColor="text1"/>
          <w:kern w:val="0"/>
          <w:sz w:val="24"/>
          <w:szCs w:val="24"/>
        </w:rPr>
        <w:t>报价修正</w:t>
      </w:r>
      <w:bookmarkEnd w:id="114"/>
      <w:bookmarkEnd w:id="115"/>
      <w:bookmarkEnd w:id="116"/>
      <w:bookmarkEnd w:id="117"/>
      <w:bookmarkEnd w:id="118"/>
      <w:bookmarkEnd w:id="119"/>
      <w:bookmarkEnd w:id="120"/>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投标文件报价出现前后不一致的，按照下列规定修正：</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1）投标文件中开标一览表（报价表）内容与投标文件中相应内容不一致的，以开标一览表（报价表）为准；</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2）大写金额和小写金额不一致的，以大写金额为准；</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3）单价金额小数点或者百分比有明显错位的，以开标一览表的总价为准，并修改单价；</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4）总价金额与按单价汇总金额不一致的，以单价金额计算结果为准。</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121" w:name="_Toc18364982"/>
      <w:bookmarkStart w:id="122" w:name="_Toc30663062"/>
      <w:bookmarkStart w:id="123" w:name="_Toc30528430"/>
      <w:bookmarkStart w:id="124" w:name="_Toc523072920"/>
      <w:bookmarkStart w:id="125" w:name="_Toc15083754"/>
      <w:bookmarkStart w:id="126" w:name="_Toc21380087"/>
      <w:bookmarkStart w:id="127" w:name="_Toc17503589"/>
      <w:bookmarkStart w:id="128" w:name="_Toc34984034"/>
      <w:r>
        <w:rPr>
          <w:rFonts w:hint="eastAsia" w:ascii="仿宋" w:hAnsi="仿宋" w:eastAsia="仿宋" w:cs="仿宋"/>
          <w:snapToGrid w:val="0"/>
          <w:color w:val="000000" w:themeColor="text1"/>
          <w:kern w:val="0"/>
          <w:sz w:val="24"/>
          <w:szCs w:val="24"/>
        </w:rPr>
        <w:t>3：政策功能</w:t>
      </w:r>
      <w:bookmarkEnd w:id="121"/>
      <w:bookmarkEnd w:id="122"/>
      <w:bookmarkEnd w:id="123"/>
      <w:bookmarkEnd w:id="124"/>
      <w:bookmarkEnd w:id="125"/>
      <w:bookmarkEnd w:id="126"/>
      <w:bookmarkEnd w:id="127"/>
      <w:bookmarkEnd w:id="128"/>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1、按照现行《财政部、国家发展改革委关于调整节能产品政府采购清单的通知》、《财政部、环保部关于调整环境标志产品政府采购清单的通知》文件要求，对政府采购清单中的节能产品和环境标志产品采用优先采购和强制采购的评标中以加分形式予以鼓励。“环境标志产品政府采购清单”、“《节能产品政府采购清单》”的产品，以招标公告发布之日前《中国政府采购网》发布的最新一期为准。</w:t>
      </w:r>
    </w:p>
    <w:p>
      <w:pPr>
        <w:adjustRightInd w:val="0"/>
        <w:snapToGrid w:val="0"/>
        <w:spacing w:line="400" w:lineRule="exact"/>
        <w:ind w:firstLine="480" w:firstLineChars="200"/>
        <w:jc w:val="left"/>
        <w:rPr>
          <w:rFonts w:ascii="仿宋" w:hAnsi="仿宋" w:eastAsia="仿宋" w:cs="仿宋"/>
          <w:color w:val="000000" w:themeColor="text1"/>
          <w:sz w:val="24"/>
          <w:szCs w:val="24"/>
        </w:rPr>
      </w:pPr>
      <w:r>
        <w:rPr>
          <w:rFonts w:hint="eastAsia" w:ascii="仿宋" w:hAnsi="仿宋" w:eastAsia="仿宋" w:cs="仿宋"/>
          <w:snapToGrid w:val="0"/>
          <w:color w:val="000000" w:themeColor="text1"/>
          <w:sz w:val="24"/>
          <w:szCs w:val="24"/>
        </w:rPr>
        <w:t>2、根据财政部发布的《政府采购促进中小企业发展暂行办法》、《关于促进残疾人就业政府采购政策的通知》和《关于政府采购支持监狱企业发展有关问题的通知》规定，本项目对小型、微型企业，监狱企业和残疾人福利性单位产品的价格给予6%的扣除。</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备注：小微企业（或残疾人福利性单位视同小型、微型企业，但残疾人福利性单位属于小型、微型企业的，不重复享受政策）以投标人出具的《中小企业声明函》、《残疾人福利性单位声明函》为判定标准；监狱企业须投标人提供由省级以上监狱管理局、戒毒管理局（含新疆生产建设兵团）出具的属于监狱企业的证明文件为判定标准，否则不予认定。</w:t>
      </w: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129" w:name="_Toc34984035"/>
      <w:r>
        <w:rPr>
          <w:rFonts w:hint="eastAsia" w:ascii="仿宋" w:hAnsi="仿宋" w:eastAsia="仿宋" w:cs="仿宋"/>
          <w:snapToGrid w:val="0"/>
          <w:color w:val="000000" w:themeColor="text1"/>
          <w:kern w:val="0"/>
          <w:sz w:val="24"/>
          <w:szCs w:val="24"/>
        </w:rPr>
        <w:t>附件三：投标文件格式</w:t>
      </w:r>
      <w:bookmarkEnd w:id="103"/>
      <w:bookmarkEnd w:id="104"/>
      <w:bookmarkEnd w:id="105"/>
      <w:bookmarkEnd w:id="106"/>
      <w:bookmarkEnd w:id="129"/>
    </w:p>
    <w:p>
      <w:pPr>
        <w:adjustRightInd w:val="0"/>
        <w:snapToGrid w:val="0"/>
        <w:spacing w:line="400" w:lineRule="exact"/>
        <w:ind w:firstLine="480" w:firstLineChars="200"/>
        <w:jc w:val="left"/>
        <w:rPr>
          <w:rFonts w:ascii="仿宋" w:hAnsi="仿宋" w:eastAsia="仿宋" w:cs="仿宋"/>
          <w:b/>
          <w:snapToGrid w:val="0"/>
          <w:color w:val="000000" w:themeColor="text1"/>
          <w:kern w:val="0"/>
          <w:sz w:val="24"/>
          <w:szCs w:val="24"/>
        </w:rPr>
      </w:pPr>
      <w:r>
        <w:rPr>
          <w:rFonts w:hint="eastAsia" w:ascii="仿宋" w:hAnsi="仿宋" w:eastAsia="仿宋" w:cs="仿宋"/>
          <w:snapToGrid w:val="0"/>
          <w:color w:val="000000" w:themeColor="text1"/>
          <w:kern w:val="0"/>
          <w:sz w:val="24"/>
          <w:szCs w:val="24"/>
        </w:rPr>
        <w:t>请另附。</w:t>
      </w:r>
    </w:p>
    <w:p>
      <w:pPr>
        <w:snapToGrid w:val="0"/>
        <w:spacing w:line="400" w:lineRule="exact"/>
        <w:ind w:firstLine="482" w:firstLineChars="200"/>
        <w:jc w:val="center"/>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BKWZC[2020]006号</w:t>
      </w:r>
      <w:r>
        <w:rPr>
          <w:rFonts w:hint="eastAsia" w:ascii="仿宋" w:hAnsi="仿宋" w:eastAsia="仿宋" w:cs="仿宋"/>
          <w:snapToGrid w:val="0"/>
          <w:color w:val="000000" w:themeColor="text1"/>
          <w:kern w:val="0"/>
          <w:sz w:val="24"/>
          <w:szCs w:val="24"/>
        </w:rPr>
        <w:t>竞争性磋商</w:t>
      </w:r>
      <w:r>
        <w:rPr>
          <w:rFonts w:hint="eastAsia" w:ascii="仿宋" w:hAnsi="仿宋" w:eastAsia="仿宋" w:cs="仿宋"/>
          <w:b/>
          <w:snapToGrid w:val="0"/>
          <w:color w:val="000000" w:themeColor="text1"/>
          <w:kern w:val="0"/>
          <w:sz w:val="24"/>
          <w:szCs w:val="24"/>
        </w:rPr>
        <w:t>招标文件</w:t>
      </w:r>
    </w:p>
    <w:p>
      <w:pPr>
        <w:snapToGrid w:val="0"/>
        <w:spacing w:line="400" w:lineRule="exact"/>
        <w:ind w:firstLine="482" w:firstLineChars="200"/>
        <w:jc w:val="center"/>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采购单位审核意见</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51" w:type="dxa"/>
          </w:tcPr>
          <w:p>
            <w:pPr>
              <w:widowControl/>
              <w:snapToGrid w:val="0"/>
              <w:spacing w:line="400" w:lineRule="exact"/>
              <w:ind w:firstLine="360" w:firstLineChars="150"/>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本项目拟采用竞争磋商招标方式采购，经审核同意备案和挂网。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251" w:type="dxa"/>
            <w:vAlign w:val="center"/>
          </w:tcPr>
          <w:p>
            <w:pPr>
              <w:widowControl/>
              <w:snapToGrid w:val="0"/>
              <w:spacing w:line="400" w:lineRule="exac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招标单位（章）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251" w:type="dxa"/>
            <w:vAlign w:val="center"/>
          </w:tcPr>
          <w:p>
            <w:pPr>
              <w:widowControl/>
              <w:snapToGrid w:val="0"/>
              <w:spacing w:line="400" w:lineRule="exac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251" w:type="dxa"/>
            <w:vAlign w:val="center"/>
          </w:tcPr>
          <w:p>
            <w:pPr>
              <w:widowControl/>
              <w:snapToGrid w:val="0"/>
              <w:spacing w:line="400" w:lineRule="exact"/>
              <w:jc w:val="righ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二0二0年   月  日</w:t>
            </w:r>
          </w:p>
        </w:tc>
      </w:tr>
      <w:bookmarkEnd w:id="87"/>
    </w:tbl>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竞标文件格式（正式制作时删除,仅供参考，如本格式如有不当或缺失，请投标人自行增删）纸质投标文件须胶装</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封面</w:t>
      </w:r>
    </w:p>
    <w:p>
      <w:pPr>
        <w:adjustRightInd w:val="0"/>
        <w:snapToGrid w:val="0"/>
        <w:spacing w:line="400" w:lineRule="exact"/>
        <w:jc w:val="left"/>
        <w:rPr>
          <w:rFonts w:ascii="仿宋" w:hAnsi="仿宋" w:eastAsia="仿宋" w:cs="仿宋"/>
          <w:snapToGrid w:val="0"/>
          <w:color w:val="000000" w:themeColor="text1"/>
          <w:kern w:val="0"/>
          <w:sz w:val="24"/>
          <w:szCs w:val="24"/>
        </w:rPr>
      </w:pPr>
    </w:p>
    <w:p>
      <w:pPr>
        <w:adjustRightInd w:val="0"/>
        <w:snapToGrid w:val="0"/>
        <w:spacing w:line="360" w:lineRule="auto"/>
        <w:ind w:firstLine="480" w:firstLineChars="200"/>
        <w:jc w:val="center"/>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竞争性磋商投标文件</w:t>
      </w: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项目名称：</w:t>
      </w: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项目编号：</w:t>
      </w: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标段号：</w:t>
      </w: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投标单位（公章）：</w:t>
      </w: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法定代表人（印章或签名）</w:t>
      </w: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授权代表人（签名）：</w:t>
      </w: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联系电话：</w:t>
      </w: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编制时间：</w:t>
      </w: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adjustRightInd w:val="0"/>
        <w:snapToGrid w:val="0"/>
        <w:spacing w:line="360" w:lineRule="auto"/>
        <w:ind w:firstLine="720" w:firstLineChars="300"/>
        <w:jc w:val="left"/>
        <w:rPr>
          <w:rFonts w:ascii="仿宋" w:hAnsi="仿宋" w:eastAsia="仿宋" w:cs="仿宋"/>
          <w:snapToGrid w:val="0"/>
          <w:color w:val="000000" w:themeColor="text1"/>
          <w:sz w:val="24"/>
          <w:szCs w:val="24"/>
        </w:rPr>
      </w:pPr>
    </w:p>
    <w:p>
      <w:pPr>
        <w:spacing w:afterLines="75"/>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目录</w:t>
      </w:r>
    </w:p>
    <w:p>
      <w:pPr>
        <w:pStyle w:val="13"/>
        <w:tabs>
          <w:tab w:val="right" w:leader="dot" w:pos="9628"/>
        </w:tabs>
        <w:rPr>
          <w:rFonts w:ascii="仿宋" w:hAnsi="仿宋" w:eastAsia="仿宋" w:cs="仿宋"/>
          <w:color w:val="000000" w:themeColor="text1"/>
          <w:sz w:val="24"/>
          <w:szCs w:val="24"/>
        </w:rPr>
      </w:pPr>
      <w:r>
        <w:rPr>
          <w:rFonts w:hint="eastAsia" w:ascii="仿宋" w:hAnsi="仿宋" w:eastAsia="仿宋" w:cs="仿宋"/>
          <w:b/>
          <w:bCs/>
          <w:iCs/>
          <w:color w:val="000000" w:themeColor="text1"/>
          <w:sz w:val="24"/>
          <w:szCs w:val="24"/>
        </w:rPr>
        <w:fldChar w:fldCharType="begin"/>
      </w:r>
      <w:r>
        <w:rPr>
          <w:rFonts w:hint="eastAsia" w:ascii="仿宋" w:hAnsi="仿宋" w:eastAsia="仿宋" w:cs="仿宋"/>
          <w:color w:val="000000" w:themeColor="text1"/>
          <w:sz w:val="24"/>
          <w:szCs w:val="24"/>
        </w:rPr>
        <w:instrText xml:space="preserve"> TOC \o "1-3" \h \z \u </w:instrText>
      </w:r>
      <w:r>
        <w:rPr>
          <w:rFonts w:hint="eastAsia" w:ascii="仿宋" w:hAnsi="仿宋" w:eastAsia="仿宋" w:cs="仿宋"/>
          <w:b/>
          <w:bCs/>
          <w:iCs/>
          <w:color w:val="000000" w:themeColor="text1"/>
          <w:sz w:val="24"/>
          <w:szCs w:val="24"/>
        </w:rPr>
        <w:fldChar w:fldCharType="separate"/>
      </w:r>
    </w:p>
    <w:p>
      <w:pPr>
        <w:pStyle w:val="7"/>
        <w:tabs>
          <w:tab w:val="right" w:leader="dot" w:pos="9628"/>
        </w:tabs>
        <w:ind w:left="840"/>
        <w:rPr>
          <w:rFonts w:ascii="仿宋" w:hAnsi="仿宋" w:eastAsia="仿宋" w:cs="仿宋"/>
          <w:color w:val="000000" w:themeColor="text1"/>
          <w:sz w:val="24"/>
          <w:szCs w:val="24"/>
        </w:rPr>
      </w:pPr>
    </w:p>
    <w:p>
      <w:pPr>
        <w:pStyle w:val="7"/>
        <w:tabs>
          <w:tab w:val="right" w:leader="dot" w:pos="9628"/>
        </w:tabs>
        <w:ind w:left="840"/>
        <w:rPr>
          <w:rFonts w:ascii="仿宋" w:hAnsi="仿宋" w:eastAsia="仿宋" w:cs="仿宋"/>
          <w:color w:val="000000" w:themeColor="text1"/>
          <w:sz w:val="24"/>
          <w:szCs w:val="24"/>
        </w:rPr>
      </w:pPr>
      <w:r>
        <w:fldChar w:fldCharType="begin"/>
      </w:r>
      <w:r>
        <w:instrText xml:space="preserve"> HYPERLINK \l "_Toc26741891" </w:instrText>
      </w:r>
      <w:r>
        <w:fldChar w:fldCharType="separate"/>
      </w:r>
      <w:r>
        <w:rPr>
          <w:rStyle w:val="19"/>
          <w:rFonts w:hint="eastAsia" w:ascii="仿宋" w:hAnsi="仿宋" w:eastAsia="仿宋" w:cs="仿宋"/>
          <w:snapToGrid w:val="0"/>
          <w:color w:val="000000" w:themeColor="text1"/>
          <w:kern w:val="0"/>
          <w:sz w:val="24"/>
          <w:szCs w:val="24"/>
        </w:rPr>
        <w:t>附件三：投标文件格式</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_Toc26741891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31</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dot" w:pos="9628"/>
        </w:tabs>
        <w:ind w:left="840"/>
        <w:rPr>
          <w:rFonts w:ascii="仿宋" w:hAnsi="仿宋" w:eastAsia="仿宋" w:cs="仿宋"/>
          <w:color w:val="000000" w:themeColor="text1"/>
          <w:sz w:val="24"/>
          <w:szCs w:val="24"/>
        </w:rPr>
      </w:pPr>
      <w:r>
        <w:fldChar w:fldCharType="begin"/>
      </w:r>
      <w:r>
        <w:instrText xml:space="preserve"> HYPERLINK \l "_Toc26741892" </w:instrText>
      </w:r>
      <w:r>
        <w:fldChar w:fldCharType="separate"/>
      </w:r>
      <w:r>
        <w:rPr>
          <w:rStyle w:val="19"/>
          <w:rFonts w:hint="eastAsia" w:ascii="仿宋" w:hAnsi="仿宋" w:eastAsia="仿宋" w:cs="仿宋"/>
          <w:snapToGrid w:val="0"/>
          <w:color w:val="000000" w:themeColor="text1"/>
          <w:kern w:val="0"/>
          <w:sz w:val="24"/>
          <w:szCs w:val="24"/>
        </w:rPr>
        <w:t>1、投标书</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_Toc26741892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36</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dot" w:pos="9628"/>
        </w:tabs>
        <w:ind w:left="840"/>
        <w:rPr>
          <w:rFonts w:ascii="仿宋" w:hAnsi="仿宋" w:eastAsia="仿宋" w:cs="仿宋"/>
          <w:color w:val="000000" w:themeColor="text1"/>
          <w:sz w:val="24"/>
          <w:szCs w:val="24"/>
        </w:rPr>
      </w:pPr>
      <w:r>
        <w:fldChar w:fldCharType="begin"/>
      </w:r>
      <w:r>
        <w:instrText xml:space="preserve"> HYPERLINK \l "_Toc26741893" </w:instrText>
      </w:r>
      <w:r>
        <w:fldChar w:fldCharType="separate"/>
      </w:r>
      <w:r>
        <w:rPr>
          <w:rStyle w:val="19"/>
          <w:rFonts w:hint="eastAsia" w:ascii="仿宋" w:hAnsi="仿宋" w:eastAsia="仿宋" w:cs="仿宋"/>
          <w:snapToGrid w:val="0"/>
          <w:color w:val="000000" w:themeColor="text1"/>
          <w:kern w:val="0"/>
          <w:sz w:val="24"/>
          <w:szCs w:val="24"/>
        </w:rPr>
        <w:t>2、开标一览表</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_Toc26741893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37</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dot" w:pos="9628"/>
        </w:tabs>
        <w:ind w:left="840"/>
        <w:rPr>
          <w:rFonts w:ascii="仿宋" w:hAnsi="仿宋" w:eastAsia="仿宋" w:cs="仿宋"/>
          <w:color w:val="000000" w:themeColor="text1"/>
          <w:sz w:val="24"/>
          <w:szCs w:val="24"/>
        </w:rPr>
      </w:pPr>
      <w:r>
        <w:fldChar w:fldCharType="begin"/>
      </w:r>
      <w:r>
        <w:instrText xml:space="preserve"> HYPERLINK \l "_Toc26741894" </w:instrText>
      </w:r>
      <w:r>
        <w:fldChar w:fldCharType="separate"/>
      </w:r>
      <w:r>
        <w:rPr>
          <w:rStyle w:val="19"/>
          <w:rFonts w:hint="eastAsia" w:ascii="仿宋" w:hAnsi="仿宋" w:eastAsia="仿宋" w:cs="仿宋"/>
          <w:snapToGrid w:val="0"/>
          <w:color w:val="000000" w:themeColor="text1"/>
          <w:kern w:val="0"/>
          <w:sz w:val="24"/>
          <w:szCs w:val="24"/>
        </w:rPr>
        <w:t>3、项目报价一览明细</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_Toc26741894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38</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dot" w:pos="9628"/>
        </w:tabs>
        <w:ind w:left="840"/>
        <w:rPr>
          <w:rFonts w:ascii="仿宋" w:hAnsi="仿宋" w:eastAsia="仿宋" w:cs="仿宋"/>
          <w:color w:val="000000" w:themeColor="text1"/>
          <w:sz w:val="24"/>
          <w:szCs w:val="24"/>
        </w:rPr>
      </w:pPr>
      <w:r>
        <w:fldChar w:fldCharType="begin"/>
      </w:r>
      <w:r>
        <w:instrText xml:space="preserve"> HYPERLINK \l "_Toc26741895" </w:instrText>
      </w:r>
      <w:r>
        <w:fldChar w:fldCharType="separate"/>
      </w:r>
      <w:r>
        <w:rPr>
          <w:rStyle w:val="19"/>
          <w:rFonts w:hint="eastAsia" w:ascii="仿宋" w:hAnsi="仿宋" w:eastAsia="仿宋" w:cs="仿宋"/>
          <w:snapToGrid w:val="0"/>
          <w:color w:val="000000" w:themeColor="text1"/>
          <w:kern w:val="0"/>
          <w:sz w:val="24"/>
          <w:szCs w:val="24"/>
        </w:rPr>
        <w:t>4、技术条款偏离表</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_Toc26741895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39</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dot" w:pos="9628"/>
        </w:tabs>
        <w:ind w:left="840"/>
        <w:rPr>
          <w:rFonts w:ascii="仿宋" w:hAnsi="仿宋" w:eastAsia="仿宋" w:cs="仿宋"/>
          <w:color w:val="000000" w:themeColor="text1"/>
          <w:sz w:val="24"/>
          <w:szCs w:val="24"/>
        </w:rPr>
      </w:pPr>
      <w:r>
        <w:fldChar w:fldCharType="begin"/>
      </w:r>
      <w:r>
        <w:instrText xml:space="preserve"> HYPERLINK \l "_Toc26741896" </w:instrText>
      </w:r>
      <w:r>
        <w:fldChar w:fldCharType="separate"/>
      </w:r>
      <w:r>
        <w:rPr>
          <w:rStyle w:val="19"/>
          <w:rFonts w:hint="eastAsia" w:ascii="仿宋" w:hAnsi="仿宋" w:eastAsia="仿宋" w:cs="仿宋"/>
          <w:snapToGrid w:val="0"/>
          <w:color w:val="000000" w:themeColor="text1"/>
          <w:kern w:val="0"/>
          <w:sz w:val="24"/>
          <w:szCs w:val="24"/>
        </w:rPr>
        <w:t>5、商务条款偏离表</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_Toc26741896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40</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dot" w:pos="9628"/>
        </w:tabs>
        <w:ind w:left="840"/>
        <w:rPr>
          <w:rFonts w:ascii="仿宋" w:hAnsi="仿宋" w:eastAsia="仿宋" w:cs="仿宋"/>
          <w:color w:val="000000" w:themeColor="text1"/>
          <w:sz w:val="24"/>
          <w:szCs w:val="24"/>
        </w:rPr>
      </w:pPr>
      <w:r>
        <w:fldChar w:fldCharType="begin"/>
      </w:r>
      <w:r>
        <w:instrText xml:space="preserve"> HYPERLINK \l "_Toc26741897" </w:instrText>
      </w:r>
      <w:r>
        <w:fldChar w:fldCharType="separate"/>
      </w:r>
      <w:r>
        <w:rPr>
          <w:rStyle w:val="19"/>
          <w:rFonts w:hint="eastAsia" w:ascii="仿宋" w:hAnsi="仿宋" w:eastAsia="仿宋" w:cs="仿宋"/>
          <w:snapToGrid w:val="0"/>
          <w:color w:val="000000" w:themeColor="text1"/>
          <w:kern w:val="0"/>
          <w:sz w:val="24"/>
          <w:szCs w:val="24"/>
        </w:rPr>
        <w:t>6、投标人关于资格的声明函</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_Toc26741897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40</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dot" w:pos="9628"/>
        </w:tabs>
        <w:ind w:left="840"/>
        <w:rPr>
          <w:rFonts w:ascii="仿宋" w:hAnsi="仿宋" w:eastAsia="仿宋" w:cs="仿宋"/>
          <w:color w:val="000000" w:themeColor="text1"/>
          <w:sz w:val="24"/>
          <w:szCs w:val="24"/>
        </w:rPr>
      </w:pPr>
      <w:r>
        <w:fldChar w:fldCharType="begin"/>
      </w:r>
      <w:r>
        <w:instrText xml:space="preserve"> HYPERLINK \l "_Toc26741898" </w:instrText>
      </w:r>
      <w:r>
        <w:fldChar w:fldCharType="separate"/>
      </w:r>
      <w:r>
        <w:rPr>
          <w:rStyle w:val="19"/>
          <w:rFonts w:hint="eastAsia" w:ascii="仿宋" w:hAnsi="仿宋" w:eastAsia="仿宋" w:cs="仿宋"/>
          <w:snapToGrid w:val="0"/>
          <w:color w:val="000000" w:themeColor="text1"/>
          <w:kern w:val="0"/>
          <w:sz w:val="24"/>
          <w:szCs w:val="24"/>
        </w:rPr>
        <w:t>7、投标人关于中小企业声明函</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_Toc26741898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41</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pStyle w:val="7"/>
        <w:tabs>
          <w:tab w:val="right" w:leader="dot" w:pos="9628"/>
        </w:tabs>
        <w:ind w:left="840"/>
        <w:rPr>
          <w:rFonts w:ascii="仿宋" w:hAnsi="仿宋" w:eastAsia="仿宋" w:cs="仿宋"/>
          <w:color w:val="000000" w:themeColor="text1"/>
          <w:sz w:val="24"/>
          <w:szCs w:val="24"/>
        </w:rPr>
      </w:pPr>
      <w:r>
        <w:fldChar w:fldCharType="begin"/>
      </w:r>
      <w:r>
        <w:instrText xml:space="preserve"> HYPERLINK \l "_Toc26741899" </w:instrText>
      </w:r>
      <w:r>
        <w:fldChar w:fldCharType="separate"/>
      </w:r>
      <w:r>
        <w:rPr>
          <w:rStyle w:val="19"/>
          <w:rFonts w:hint="eastAsia" w:ascii="仿宋" w:hAnsi="仿宋" w:eastAsia="仿宋" w:cs="仿宋"/>
          <w:snapToGrid w:val="0"/>
          <w:color w:val="000000" w:themeColor="text1"/>
          <w:kern w:val="0"/>
          <w:sz w:val="24"/>
          <w:szCs w:val="24"/>
        </w:rPr>
        <w:t>8、资格证明文件</w:t>
      </w:r>
      <w:r>
        <w:rPr>
          <w:rFonts w:hint="eastAsia" w:ascii="仿宋" w:hAnsi="仿宋" w:eastAsia="仿宋" w:cs="仿宋"/>
          <w:color w:val="000000" w:themeColor="text1"/>
          <w:sz w:val="24"/>
          <w:szCs w:val="24"/>
        </w:rPr>
        <w:tab/>
      </w:r>
      <w:r>
        <w:rPr>
          <w:rFonts w:hint="eastAsia" w:ascii="仿宋" w:hAnsi="仿宋" w:eastAsia="仿宋" w:cs="仿宋"/>
          <w:color w:val="000000" w:themeColor="text1"/>
          <w:sz w:val="24"/>
          <w:szCs w:val="24"/>
        </w:rPr>
        <w:fldChar w:fldCharType="begin"/>
      </w:r>
      <w:r>
        <w:rPr>
          <w:rFonts w:hint="eastAsia" w:ascii="仿宋" w:hAnsi="仿宋" w:eastAsia="仿宋" w:cs="仿宋"/>
          <w:color w:val="000000" w:themeColor="text1"/>
          <w:sz w:val="24"/>
          <w:szCs w:val="24"/>
        </w:rPr>
        <w:instrText xml:space="preserve"> PAGEREF _Toc26741899 \h </w:instrText>
      </w:r>
      <w:r>
        <w:rPr>
          <w:rFonts w:hint="eastAsia" w:ascii="仿宋" w:hAnsi="仿宋" w:eastAsia="仿宋" w:cs="仿宋"/>
          <w:color w:val="000000" w:themeColor="text1"/>
          <w:sz w:val="24"/>
          <w:szCs w:val="24"/>
        </w:rPr>
        <w:fldChar w:fldCharType="separate"/>
      </w:r>
      <w:r>
        <w:rPr>
          <w:rFonts w:ascii="仿宋" w:hAnsi="仿宋" w:eastAsia="仿宋" w:cs="仿宋"/>
          <w:color w:val="000000" w:themeColor="text1"/>
          <w:sz w:val="24"/>
          <w:szCs w:val="24"/>
        </w:rPr>
        <w:t>42</w:t>
      </w:r>
      <w:r>
        <w:rPr>
          <w:rFonts w:hint="eastAsia" w:ascii="仿宋" w:hAnsi="仿宋" w:eastAsia="仿宋" w:cs="仿宋"/>
          <w:color w:val="000000" w:themeColor="text1"/>
          <w:sz w:val="24"/>
          <w:szCs w:val="24"/>
        </w:rPr>
        <w:fldChar w:fldCharType="end"/>
      </w:r>
      <w:r>
        <w:rPr>
          <w:rFonts w:hint="eastAsia" w:ascii="仿宋" w:hAnsi="仿宋" w:eastAsia="仿宋" w:cs="仿宋"/>
          <w:color w:val="000000" w:themeColor="text1"/>
          <w:sz w:val="24"/>
          <w:szCs w:val="24"/>
        </w:rPr>
        <w:fldChar w:fldCharType="end"/>
      </w:r>
    </w:p>
    <w:p>
      <w:pPr>
        <w:adjustRightInd w:val="0"/>
        <w:snapToGrid w:val="0"/>
        <w:spacing w:line="360" w:lineRule="auto"/>
        <w:ind w:firstLine="720" w:firstLineChars="3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fldChar w:fldCharType="end"/>
      </w: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ind w:firstLine="720" w:firstLineChars="300"/>
        <w:jc w:val="left"/>
        <w:rPr>
          <w:rFonts w:ascii="仿宋" w:hAnsi="仿宋" w:eastAsia="仿宋" w:cs="仿宋"/>
          <w:color w:val="000000" w:themeColor="text1"/>
          <w:sz w:val="24"/>
          <w:szCs w:val="24"/>
        </w:rPr>
      </w:pPr>
    </w:p>
    <w:p>
      <w:pPr>
        <w:adjustRightInd w:val="0"/>
        <w:snapToGrid w:val="0"/>
        <w:spacing w:line="360" w:lineRule="auto"/>
        <w:jc w:val="left"/>
        <w:rPr>
          <w:rFonts w:ascii="仿宋" w:hAnsi="仿宋" w:eastAsia="仿宋" w:cs="仿宋"/>
          <w:snapToGrid w:val="0"/>
          <w:color w:val="000000" w:themeColor="text1"/>
          <w:sz w:val="24"/>
          <w:szCs w:val="24"/>
        </w:rPr>
      </w:pP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130" w:name="_Toc463899745"/>
      <w:bookmarkStart w:id="131" w:name="_Toc476122395"/>
      <w:bookmarkStart w:id="132" w:name="_Toc504635187"/>
      <w:bookmarkStart w:id="133" w:name="_Toc509266985"/>
      <w:bookmarkStart w:id="134" w:name="_Toc509267071"/>
      <w:bookmarkStart w:id="135" w:name="_Toc509355957"/>
      <w:bookmarkStart w:id="136" w:name="_Toc10406403"/>
      <w:bookmarkStart w:id="137" w:name="_Toc17503415"/>
      <w:bookmarkStart w:id="138" w:name="_Toc26741892"/>
      <w:bookmarkStart w:id="139" w:name="_Toc34984036"/>
      <w:r>
        <w:rPr>
          <w:rFonts w:hint="eastAsia" w:ascii="仿宋" w:hAnsi="仿宋" w:eastAsia="仿宋" w:cs="仿宋"/>
          <w:snapToGrid w:val="0"/>
          <w:color w:val="000000" w:themeColor="text1"/>
          <w:kern w:val="0"/>
          <w:sz w:val="24"/>
          <w:szCs w:val="24"/>
        </w:rPr>
        <w:t>1、投标书</w:t>
      </w:r>
      <w:bookmarkEnd w:id="130"/>
      <w:bookmarkEnd w:id="131"/>
      <w:bookmarkEnd w:id="132"/>
      <w:bookmarkEnd w:id="133"/>
      <w:bookmarkEnd w:id="134"/>
      <w:bookmarkEnd w:id="135"/>
      <w:bookmarkEnd w:id="136"/>
      <w:bookmarkEnd w:id="137"/>
      <w:bookmarkEnd w:id="138"/>
      <w:bookmarkEnd w:id="139"/>
    </w:p>
    <w:p>
      <w:pPr>
        <w:adjustRightInd w:val="0"/>
        <w:snapToGrid w:val="0"/>
        <w:spacing w:line="360" w:lineRule="auto"/>
        <w:jc w:val="center"/>
        <w:rPr>
          <w:rFonts w:ascii="仿宋" w:hAnsi="仿宋" w:eastAsia="仿宋" w:cs="仿宋"/>
          <w:b/>
          <w:color w:val="000000" w:themeColor="text1"/>
          <w:sz w:val="24"/>
          <w:szCs w:val="24"/>
        </w:rPr>
      </w:pPr>
      <w:r>
        <w:rPr>
          <w:rFonts w:hint="eastAsia" w:ascii="仿宋" w:hAnsi="仿宋" w:eastAsia="仿宋" w:cs="仿宋"/>
          <w:b/>
          <w:snapToGrid w:val="0"/>
          <w:color w:val="000000" w:themeColor="text1"/>
          <w:sz w:val="24"/>
          <w:szCs w:val="24"/>
        </w:rPr>
        <w:t>投标书</w:t>
      </w:r>
    </w:p>
    <w:p>
      <w:pPr>
        <w:adjustRightInd w:val="0"/>
        <w:snapToGrid w:val="0"/>
        <w:spacing w:line="360" w:lineRule="auto"/>
        <w:jc w:val="left"/>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致：江西省博可为工程管理有限公司：</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根据贵方的(项目名称）项目招标采购货物及服务的投标公告(项目编号），(标段号）签字代表（姓名、职务）经正式授权并代表投标人（投标人名称、地址）提交正本一份及副本三份的纸质文件: </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据此函,签字代表宣布同意如下: </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1）所附开标一览表中规定的是交付的货物和服务投标总价</w:t>
      </w:r>
      <w:r>
        <w:rPr>
          <w:rFonts w:hint="eastAsia" w:ascii="仿宋" w:hAnsi="仿宋" w:eastAsia="仿宋" w:cs="仿宋"/>
          <w:snapToGrid w:val="0"/>
          <w:color w:val="000000" w:themeColor="text1"/>
          <w:kern w:val="0"/>
          <w:sz w:val="24"/>
          <w:szCs w:val="24"/>
        </w:rPr>
        <w:t>(单价、总价）或单价报价的只报单价。</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2）投标人已详细审查全部招标文件，包括(编号、补遗书)(如果有的话)。我们完全理解并同意放弃对这方面有不明及误解的权力。 </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3）本投标有效期为自开标日起90个历日天。 </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4）按招标文件交纳投标保证金元（详见招标文件</w:t>
      </w:r>
      <w:bookmarkStart w:id="140" w:name="_Toc451943442"/>
      <w:r>
        <w:rPr>
          <w:rFonts w:hint="eastAsia" w:ascii="仿宋" w:hAnsi="仿宋" w:eastAsia="仿宋" w:cs="仿宋"/>
          <w:snapToGrid w:val="0"/>
          <w:color w:val="000000" w:themeColor="text1"/>
          <w:sz w:val="24"/>
          <w:szCs w:val="24"/>
        </w:rPr>
        <w:t>投标须知前附表</w:t>
      </w:r>
      <w:bookmarkEnd w:id="140"/>
      <w:r>
        <w:rPr>
          <w:rFonts w:hint="eastAsia" w:ascii="仿宋" w:hAnsi="仿宋" w:eastAsia="仿宋" w:cs="仿宋"/>
          <w:snapToGrid w:val="0"/>
          <w:color w:val="000000" w:themeColor="text1"/>
          <w:sz w:val="24"/>
          <w:szCs w:val="24"/>
        </w:rPr>
        <w:t>的金额）。</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5）投标报价组成：详见招标文件中的商务要求条款。</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6）交货地点（填写内容详见招标文件</w:t>
      </w:r>
      <w:bookmarkStart w:id="141" w:name="_Toc451943450"/>
      <w:r>
        <w:rPr>
          <w:rFonts w:hint="eastAsia" w:ascii="仿宋" w:hAnsi="仿宋" w:eastAsia="仿宋" w:cs="仿宋"/>
          <w:snapToGrid w:val="0"/>
          <w:color w:val="000000" w:themeColor="text1"/>
          <w:sz w:val="24"/>
          <w:szCs w:val="24"/>
        </w:rPr>
        <w:t>中的商务要求</w:t>
      </w:r>
      <w:bookmarkEnd w:id="141"/>
      <w:r>
        <w:rPr>
          <w:rFonts w:hint="eastAsia" w:ascii="仿宋" w:hAnsi="仿宋" w:eastAsia="仿宋" w:cs="仿宋"/>
          <w:snapToGrid w:val="0"/>
          <w:color w:val="000000" w:themeColor="text1"/>
          <w:sz w:val="24"/>
          <w:szCs w:val="24"/>
        </w:rPr>
        <w:t>条款或签署合同时约定）。</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7）付款方式（填写内容详见招标文件中的商务要求条款）。</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8) 依据招标人与招标代理机构的招标代理协议，中标人在领取中标通知书的同时向招标代理机构缴纳投标须知前附表规定的代理服务费，税前（该费已经计入成本）。</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9）投标人同意提供按照贵方可能要求的与其投标有关的一切数据或资料，完全理解贵方不一定接受最低价的投标。 </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10）与本投标有关的一切正式往来信函请寄: </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地址：                 电话：               电子邮件：</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投标单位（盖章）：</w:t>
      </w:r>
    </w:p>
    <w:p>
      <w:pPr>
        <w:adjustRightInd w:val="0"/>
        <w:snapToGrid w:val="0"/>
        <w:spacing w:line="360" w:lineRule="auto"/>
        <w:ind w:firstLine="480" w:firstLineChars="20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  日期：  年   月   日</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142" w:name="_Toc26741893"/>
      <w:bookmarkStart w:id="143" w:name="_Toc509267072"/>
      <w:bookmarkStart w:id="144" w:name="_Toc509355958"/>
      <w:bookmarkStart w:id="145" w:name="_Toc504635188"/>
      <w:bookmarkStart w:id="146" w:name="_Toc10406404"/>
      <w:bookmarkStart w:id="147" w:name="_Toc509266986"/>
      <w:bookmarkStart w:id="148" w:name="_Toc17503416"/>
      <w:bookmarkStart w:id="149" w:name="_Toc463899746"/>
      <w:bookmarkStart w:id="150" w:name="_Toc476122396"/>
      <w:bookmarkStart w:id="151" w:name="_Toc34984037"/>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p>
    <w:bookmarkEnd w:id="142"/>
    <w:bookmarkEnd w:id="143"/>
    <w:bookmarkEnd w:id="144"/>
    <w:bookmarkEnd w:id="145"/>
    <w:bookmarkEnd w:id="146"/>
    <w:bookmarkEnd w:id="147"/>
    <w:bookmarkEnd w:id="148"/>
    <w:bookmarkEnd w:id="149"/>
    <w:bookmarkEnd w:id="150"/>
    <w:bookmarkEnd w:id="151"/>
    <w:p>
      <w:pPr>
        <w:shd w:val="clear" w:color="auto" w:fill="FFFFFF"/>
        <w:snapToGrid w:val="0"/>
        <w:spacing w:line="440" w:lineRule="exact"/>
        <w:jc w:val="center"/>
        <w:rPr>
          <w:b/>
          <w:bCs/>
        </w:rPr>
      </w:pPr>
      <w:r>
        <w:rPr>
          <w:rFonts w:hint="eastAsia" w:hAnsi="宋体" w:cs="宋体"/>
          <w:b/>
          <w:bCs/>
        </w:rPr>
        <w:t>（三）开标一览表</w:t>
      </w:r>
    </w:p>
    <w:p>
      <w:pPr>
        <w:shd w:val="clear" w:color="auto" w:fill="FFFFFF"/>
        <w:adjustRightInd w:val="0"/>
        <w:snapToGrid w:val="0"/>
        <w:spacing w:line="360" w:lineRule="auto"/>
        <w:rPr>
          <w:rFonts w:ascii="宋体"/>
        </w:rPr>
      </w:pPr>
      <w:r>
        <w:rPr>
          <w:rFonts w:ascii="宋体"/>
        </w:rPr>
        <w:t> </w:t>
      </w:r>
    </w:p>
    <w:p>
      <w:pPr>
        <w:shd w:val="clear" w:color="auto" w:fill="FFFFFF"/>
        <w:adjustRightInd w:val="0"/>
        <w:snapToGrid w:val="0"/>
        <w:spacing w:line="360" w:lineRule="auto"/>
        <w:rPr>
          <w:rFonts w:ascii="宋体"/>
        </w:rPr>
      </w:pPr>
      <w:r>
        <w:rPr>
          <w:rFonts w:hint="eastAsia" w:ascii="宋体" w:hAnsi="宋体" w:cs="宋体"/>
        </w:rPr>
        <w:t>致：江西省博可为工程管理有限公司</w:t>
      </w:r>
    </w:p>
    <w:p>
      <w:pPr>
        <w:shd w:val="clear" w:color="auto" w:fill="FFFFFF"/>
        <w:adjustRightInd w:val="0"/>
        <w:snapToGrid w:val="0"/>
        <w:spacing w:line="360" w:lineRule="auto"/>
        <w:ind w:firstLine="420" w:firstLineChars="200"/>
        <w:rPr>
          <w:rFonts w:ascii="宋体"/>
        </w:rPr>
      </w:pPr>
      <w:r>
        <w:rPr>
          <w:rFonts w:hint="eastAsia" w:ascii="宋体" w:hAnsi="宋体" w:cs="宋体"/>
        </w:rPr>
        <w:t>在研究了招标文件中所有文件和设备的技术资料后，我们对《采购项目》（招标编号：）投标报价如下：</w:t>
      </w:r>
    </w:p>
    <w:tbl>
      <w:tblPr>
        <w:tblStyle w:val="15"/>
        <w:tblW w:w="9269" w:type="dxa"/>
        <w:jc w:val="center"/>
        <w:tblLayout w:type="fixed"/>
        <w:tblCellMar>
          <w:top w:w="0" w:type="dxa"/>
          <w:left w:w="42" w:type="dxa"/>
          <w:bottom w:w="0" w:type="dxa"/>
          <w:right w:w="42" w:type="dxa"/>
        </w:tblCellMar>
      </w:tblPr>
      <w:tblGrid>
        <w:gridCol w:w="2562"/>
        <w:gridCol w:w="1260"/>
        <w:gridCol w:w="1980"/>
        <w:gridCol w:w="1080"/>
        <w:gridCol w:w="1156"/>
        <w:gridCol w:w="1231"/>
      </w:tblGrid>
      <w:tr>
        <w:tblPrEx>
          <w:tblCellMar>
            <w:top w:w="0" w:type="dxa"/>
            <w:left w:w="42" w:type="dxa"/>
            <w:bottom w:w="0" w:type="dxa"/>
            <w:right w:w="42" w:type="dxa"/>
          </w:tblCellMar>
        </w:tblPrEx>
        <w:trPr>
          <w:cantSplit/>
          <w:trHeight w:val="509" w:hRule="atLeast"/>
          <w:jc w:val="center"/>
        </w:trPr>
        <w:tc>
          <w:tcPr>
            <w:tcW w:w="2562"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rPr>
            </w:pPr>
            <w:r>
              <w:rPr>
                <w:rFonts w:hint="eastAsia" w:ascii="宋体" w:hAnsi="宋体" w:cs="宋体"/>
              </w:rPr>
              <w:t>项目名称</w:t>
            </w:r>
          </w:p>
        </w:tc>
        <w:tc>
          <w:tcPr>
            <w:tcW w:w="126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rPr>
            </w:pPr>
            <w:r>
              <w:rPr>
                <w:rFonts w:hint="eastAsia" w:ascii="宋体" w:hAnsi="宋体" w:cs="宋体"/>
              </w:rPr>
              <w:t>数量</w:t>
            </w:r>
          </w:p>
        </w:tc>
        <w:tc>
          <w:tcPr>
            <w:tcW w:w="198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rPr>
            </w:pPr>
            <w:r>
              <w:rPr>
                <w:rFonts w:hint="eastAsia" w:ascii="宋体" w:hAnsi="宋体" w:cs="宋体"/>
              </w:rPr>
              <w:t>投标总金额</w:t>
            </w:r>
          </w:p>
          <w:p>
            <w:pPr>
              <w:adjustRightInd w:val="0"/>
              <w:snapToGrid w:val="0"/>
              <w:spacing w:line="360" w:lineRule="auto"/>
              <w:jc w:val="center"/>
              <w:rPr>
                <w:rFonts w:ascii="宋体"/>
              </w:rPr>
            </w:pPr>
            <w:r>
              <w:rPr>
                <w:rFonts w:hint="eastAsia" w:ascii="宋体" w:hAnsi="宋体" w:cs="宋体"/>
              </w:rPr>
              <w:t>（人民币元）</w:t>
            </w:r>
          </w:p>
        </w:tc>
        <w:tc>
          <w:tcPr>
            <w:tcW w:w="108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rPr>
            </w:pPr>
            <w:r>
              <w:rPr>
                <w:rFonts w:hint="eastAsia" w:ascii="宋体" w:hAnsi="宋体" w:cs="宋体"/>
              </w:rPr>
              <w:t>交货期</w:t>
            </w:r>
          </w:p>
          <w:p>
            <w:pPr>
              <w:adjustRightInd w:val="0"/>
              <w:snapToGrid w:val="0"/>
              <w:spacing w:line="360" w:lineRule="auto"/>
              <w:jc w:val="center"/>
              <w:rPr>
                <w:rFonts w:ascii="宋体"/>
              </w:rPr>
            </w:pPr>
            <w:r>
              <w:rPr>
                <w:rFonts w:hint="eastAsia" w:ascii="宋体" w:hAnsi="宋体" w:cs="宋体"/>
              </w:rPr>
              <w:t>（天）</w:t>
            </w:r>
          </w:p>
        </w:tc>
        <w:tc>
          <w:tcPr>
            <w:tcW w:w="1156" w:type="dxa"/>
            <w:tcBorders>
              <w:top w:val="single" w:color="auto" w:sz="6" w:space="0"/>
              <w:left w:val="single" w:color="auto" w:sz="4" w:space="0"/>
              <w:bottom w:val="single" w:color="auto" w:sz="6" w:space="0"/>
              <w:right w:val="single" w:color="auto" w:sz="4" w:space="0"/>
            </w:tcBorders>
          </w:tcPr>
          <w:p>
            <w:pPr>
              <w:adjustRightInd w:val="0"/>
              <w:snapToGrid w:val="0"/>
              <w:spacing w:line="360" w:lineRule="auto"/>
              <w:jc w:val="center"/>
              <w:rPr>
                <w:rFonts w:ascii="宋体"/>
              </w:rPr>
            </w:pPr>
            <w:r>
              <w:rPr>
                <w:rFonts w:hint="eastAsia" w:ascii="宋体" w:hAnsi="宋体" w:cs="宋体"/>
              </w:rPr>
              <w:t>投标保证金</w:t>
            </w:r>
          </w:p>
        </w:tc>
        <w:tc>
          <w:tcPr>
            <w:tcW w:w="1231"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rPr>
            </w:pPr>
            <w:r>
              <w:rPr>
                <w:rFonts w:hint="eastAsia" w:ascii="宋体" w:hAnsi="宋体" w:cs="宋体"/>
              </w:rPr>
              <w:t>备注</w:t>
            </w:r>
          </w:p>
        </w:tc>
      </w:tr>
      <w:tr>
        <w:tblPrEx>
          <w:tblCellMar>
            <w:top w:w="0" w:type="dxa"/>
            <w:left w:w="42" w:type="dxa"/>
            <w:bottom w:w="0" w:type="dxa"/>
            <w:right w:w="42" w:type="dxa"/>
          </w:tblCellMar>
        </w:tblPrEx>
        <w:trPr>
          <w:cantSplit/>
          <w:trHeight w:val="609" w:hRule="atLeast"/>
          <w:jc w:val="center"/>
        </w:trPr>
        <w:tc>
          <w:tcPr>
            <w:tcW w:w="2562"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color w:val="000000"/>
              </w:rPr>
            </w:pPr>
          </w:p>
        </w:tc>
        <w:tc>
          <w:tcPr>
            <w:tcW w:w="126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rPr>
            </w:pP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rPr>
            </w:pPr>
            <w:r>
              <w:rPr>
                <w:rFonts w:hint="eastAsia" w:ascii="宋体" w:hAnsi="宋体" w:cs="宋体"/>
              </w:rPr>
              <w:t>小写：</w:t>
            </w:r>
          </w:p>
          <w:p>
            <w:pPr>
              <w:adjustRightInd w:val="0"/>
              <w:snapToGrid w:val="0"/>
              <w:spacing w:line="360" w:lineRule="auto"/>
              <w:rPr>
                <w:rFonts w:ascii="宋体"/>
              </w:rPr>
            </w:pPr>
            <w:r>
              <w:rPr>
                <w:rFonts w:hint="eastAsia" w:ascii="宋体" w:hAnsi="宋体" w:cs="宋体"/>
              </w:rPr>
              <w:t>大写：</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rPr>
            </w:pPr>
            <w:r>
              <w:rPr>
                <w:rFonts w:ascii="宋体"/>
              </w:rPr>
              <w:t> </w:t>
            </w:r>
          </w:p>
        </w:tc>
        <w:tc>
          <w:tcPr>
            <w:tcW w:w="115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rPr>
            </w:pPr>
          </w:p>
        </w:tc>
        <w:tc>
          <w:tcPr>
            <w:tcW w:w="1231"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360" w:lineRule="auto"/>
              <w:rPr>
                <w:rFonts w:ascii="宋体"/>
              </w:rPr>
            </w:pPr>
            <w:r>
              <w:rPr>
                <w:rFonts w:ascii="宋体"/>
              </w:rPr>
              <w:t> </w:t>
            </w:r>
          </w:p>
        </w:tc>
      </w:tr>
    </w:tbl>
    <w:p>
      <w:pPr>
        <w:shd w:val="clear" w:color="auto" w:fill="FFFFFF"/>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宋体"/>
        </w:rPr>
      </w:pPr>
    </w:p>
    <w:p>
      <w:pPr>
        <w:shd w:val="clear" w:color="auto" w:fill="FFFFFF"/>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ind w:left="970" w:hanging="970"/>
        <w:rPr>
          <w:rFonts w:ascii="宋体"/>
          <w:lang w:val="zh-CN"/>
        </w:rPr>
      </w:pPr>
      <w:r>
        <w:rPr>
          <w:rFonts w:hint="eastAsia" w:ascii="宋体" w:hAnsi="宋体" w:cs="宋体"/>
          <w:lang w:val="zh-CN"/>
        </w:rPr>
        <w:t>注：</w:t>
      </w:r>
      <w:r>
        <w:rPr>
          <w:rFonts w:ascii="宋体" w:hAnsi="宋体" w:cs="宋体"/>
          <w:lang w:val="zh-CN"/>
        </w:rPr>
        <w:t>1</w:t>
      </w:r>
      <w:r>
        <w:rPr>
          <w:rFonts w:hint="eastAsia" w:ascii="宋体" w:hAnsi="宋体" w:cs="宋体"/>
          <w:lang w:val="zh-CN"/>
        </w:rPr>
        <w:t>、“交货期”指从合同生效之日计起，完成合同规定的全部货物的交付所需的天数；</w:t>
      </w:r>
    </w:p>
    <w:p>
      <w:pPr>
        <w:shd w:val="clear" w:color="auto" w:fill="FFFFFF"/>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ind w:left="966" w:leftChars="200" w:hanging="546" w:hangingChars="260"/>
        <w:rPr>
          <w:rFonts w:ascii="宋体"/>
          <w:lang w:val="zh-CN"/>
        </w:rPr>
      </w:pPr>
      <w:r>
        <w:rPr>
          <w:rFonts w:ascii="宋体" w:hAnsi="宋体" w:cs="宋体"/>
          <w:lang w:val="zh-CN"/>
        </w:rPr>
        <w:t>2</w:t>
      </w:r>
      <w:r>
        <w:rPr>
          <w:rFonts w:hint="eastAsia" w:ascii="宋体" w:hAnsi="宋体" w:cs="宋体"/>
          <w:lang w:val="zh-CN"/>
        </w:rPr>
        <w:t>、投标单位如果需要对报价或其它内容加以说明，可在备注栏填写；</w:t>
      </w:r>
    </w:p>
    <w:p>
      <w:pPr>
        <w:shd w:val="clear" w:color="auto" w:fill="FFFFFF"/>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ind w:left="966" w:leftChars="200" w:hanging="546" w:hangingChars="260"/>
        <w:rPr>
          <w:rFonts w:ascii="宋体"/>
          <w:lang w:val="zh-CN"/>
        </w:rPr>
      </w:pPr>
      <w:r>
        <w:rPr>
          <w:rFonts w:ascii="宋体" w:hAnsi="宋体" w:cs="宋体"/>
          <w:lang w:val="zh-CN"/>
        </w:rPr>
        <w:t>3</w:t>
      </w:r>
      <w:r>
        <w:rPr>
          <w:rFonts w:hint="eastAsia" w:ascii="宋体" w:hAnsi="宋体" w:cs="宋体"/>
          <w:lang w:val="zh-CN"/>
        </w:rPr>
        <w:t>、此表应经法定代表人或法定代表授权委托人签名，并盖上公章；</w:t>
      </w:r>
    </w:p>
    <w:p>
      <w:pPr>
        <w:shd w:val="clear" w:color="auto" w:fill="FFFFFF"/>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ind w:left="966" w:leftChars="200" w:hanging="546" w:hangingChars="260"/>
        <w:rPr>
          <w:rFonts w:ascii="宋体"/>
          <w:b/>
          <w:bCs/>
          <w:lang w:val="zh-CN"/>
        </w:rPr>
      </w:pPr>
      <w:r>
        <w:rPr>
          <w:rFonts w:ascii="宋体" w:hAnsi="宋体" w:cs="宋体"/>
          <w:lang w:val="zh-CN"/>
        </w:rPr>
        <w:t>4</w:t>
      </w:r>
      <w:r>
        <w:rPr>
          <w:rFonts w:hint="eastAsia" w:ascii="宋体" w:hAnsi="宋体" w:cs="宋体"/>
          <w:lang w:val="zh-CN"/>
        </w:rPr>
        <w:t>、</w:t>
      </w:r>
      <w:r>
        <w:rPr>
          <w:rFonts w:hint="eastAsia" w:ascii="宋体" w:hAnsi="宋体" w:cs="宋体"/>
          <w:b/>
          <w:bCs/>
          <w:lang w:val="zh-CN"/>
        </w:rPr>
        <w:t>此表按招标文件</w:t>
      </w:r>
      <w:r>
        <w:rPr>
          <w:rFonts w:hint="eastAsia" w:ascii="宋体" w:hAnsi="宋体" w:cs="宋体"/>
          <w:b/>
          <w:bCs/>
        </w:rPr>
        <w:t>规定密封标记</w:t>
      </w:r>
      <w:r>
        <w:rPr>
          <w:rFonts w:hint="eastAsia" w:ascii="宋体" w:hAnsi="宋体" w:cs="宋体"/>
          <w:b/>
          <w:bCs/>
          <w:lang w:val="zh-CN"/>
        </w:rPr>
        <w:t>要求密封递交。</w:t>
      </w:r>
    </w:p>
    <w:p>
      <w:pPr>
        <w:shd w:val="clear" w:color="auto" w:fill="FFFFFF"/>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ind w:left="966" w:leftChars="200" w:hanging="546" w:hangingChars="260"/>
        <w:rPr>
          <w:rFonts w:ascii="宋体"/>
        </w:rPr>
      </w:pPr>
      <w:r>
        <w:rPr>
          <w:rFonts w:ascii="宋体" w:hAnsi="宋体" w:cs="宋体"/>
          <w:lang w:val="zh-CN"/>
        </w:rPr>
        <w:t>5</w:t>
      </w:r>
      <w:r>
        <w:rPr>
          <w:rFonts w:hint="eastAsia" w:ascii="宋体" w:hAnsi="宋体" w:cs="宋体"/>
          <w:lang w:val="zh-CN"/>
        </w:rPr>
        <w:t>、若本表与投标文件在内容上有出入，以本表为准。</w:t>
      </w:r>
      <w:r>
        <w:rPr>
          <w:rFonts w:ascii="宋体" w:hAnsi="宋体" w:cs="宋体"/>
          <w:lang w:val="zh-CN"/>
        </w:rPr>
        <w:t>(</w:t>
      </w:r>
      <w:r>
        <w:rPr>
          <w:rFonts w:hint="eastAsia" w:ascii="宋体" w:hAnsi="宋体" w:cs="宋体"/>
        </w:rPr>
        <w:t>此表中，投标总价应</w:t>
      </w:r>
    </w:p>
    <w:p>
      <w:pPr>
        <w:shd w:val="clear" w:color="auto" w:fill="FFFFFF"/>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宋体"/>
          <w:lang w:val="zh-CN"/>
        </w:rPr>
      </w:pPr>
      <w:r>
        <w:rPr>
          <w:rFonts w:hint="eastAsia" w:ascii="宋体" w:hAnsi="宋体" w:cs="宋体"/>
        </w:rPr>
        <w:t>和</w:t>
      </w:r>
      <w:r>
        <w:rPr>
          <w:rFonts w:ascii="宋体" w:hAnsi="宋体" w:cs="宋体"/>
        </w:rPr>
        <w:t>(</w:t>
      </w:r>
      <w:r>
        <w:rPr>
          <w:rFonts w:hint="eastAsia" w:ascii="宋体" w:hAnsi="宋体" w:cs="宋体"/>
        </w:rPr>
        <w:t>四</w:t>
      </w:r>
      <w:r>
        <w:rPr>
          <w:rFonts w:ascii="宋体" w:hAnsi="宋体" w:cs="宋体"/>
        </w:rPr>
        <w:t>)</w:t>
      </w:r>
      <w:r>
        <w:rPr>
          <w:rFonts w:hint="eastAsia" w:ascii="宋体" w:hAnsi="宋体" w:cs="宋体"/>
        </w:rPr>
        <w:t>中的总价相一致）</w:t>
      </w:r>
    </w:p>
    <w:p>
      <w:pPr>
        <w:shd w:val="clear" w:color="auto" w:fill="FFFFFF"/>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ind w:left="966" w:leftChars="200" w:hanging="546" w:hangingChars="260"/>
        <w:rPr>
          <w:rFonts w:ascii="宋体"/>
          <w:lang w:val="zh-CN"/>
        </w:rPr>
      </w:pPr>
      <w:r>
        <w:rPr>
          <w:rFonts w:ascii="宋体" w:hAnsi="宋体" w:cs="宋体"/>
          <w:lang w:val="zh-CN"/>
        </w:rPr>
        <w:t>6</w:t>
      </w:r>
      <w:r>
        <w:rPr>
          <w:rFonts w:hint="eastAsia" w:ascii="宋体" w:hAnsi="宋体" w:cs="宋体"/>
          <w:lang w:val="zh-CN"/>
        </w:rPr>
        <w:t>、不得填报有选择性报价方案（如有优惠折扣声明，请在此表“备注”栏</w:t>
      </w:r>
    </w:p>
    <w:p>
      <w:pPr>
        <w:shd w:val="clear" w:color="auto" w:fill="FFFFFF"/>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ind w:left="168" w:leftChars="80"/>
        <w:rPr>
          <w:rFonts w:ascii="宋体"/>
          <w:lang w:val="zh-CN"/>
        </w:rPr>
      </w:pPr>
      <w:r>
        <w:rPr>
          <w:rFonts w:hint="eastAsia" w:ascii="宋体" w:hAnsi="宋体" w:cs="宋体"/>
          <w:lang w:val="zh-CN"/>
        </w:rPr>
        <w:t>中列出，最终以优惠后的“投标总金额”填报，并以此为准。除此以外不再接受降价函或其他形式的优惠声明）。</w:t>
      </w:r>
    </w:p>
    <w:p>
      <w:pPr>
        <w:shd w:val="clear" w:color="auto" w:fill="FFFFFF"/>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ind w:left="966" w:leftChars="200" w:hanging="546" w:hangingChars="260"/>
        <w:rPr>
          <w:rFonts w:ascii="宋体"/>
          <w:lang w:val="zh-CN"/>
        </w:rPr>
      </w:pPr>
      <w:r>
        <w:rPr>
          <w:rFonts w:ascii="宋体" w:hAnsi="宋体" w:cs="宋体"/>
          <w:lang w:val="zh-CN"/>
        </w:rPr>
        <w:t>7</w:t>
      </w:r>
      <w:r>
        <w:rPr>
          <w:rFonts w:hint="eastAsia" w:ascii="宋体" w:hAnsi="宋体" w:cs="宋体"/>
          <w:lang w:val="zh-CN"/>
        </w:rPr>
        <w:t>、如因投标人填写有误，导致无法唱标，责任由投标人自负。</w:t>
      </w:r>
      <w:r>
        <w:rPr>
          <w:rFonts w:ascii="宋体"/>
        </w:rPr>
        <w:t> </w:t>
      </w:r>
    </w:p>
    <w:p>
      <w:pPr>
        <w:shd w:val="clear" w:color="auto" w:fill="FFFFFF"/>
        <w:adjustRightInd w:val="0"/>
        <w:snapToGrid w:val="0"/>
        <w:spacing w:line="360" w:lineRule="auto"/>
        <w:ind w:firstLine="420" w:firstLineChars="200"/>
        <w:rPr>
          <w:rFonts w:ascii="宋体"/>
        </w:rPr>
      </w:pPr>
      <w:r>
        <w:rPr>
          <w:rFonts w:hint="eastAsia" w:ascii="宋体" w:hAnsi="宋体" w:cs="宋体"/>
        </w:rPr>
        <w:t>投标人名称：（加盖公章）</w:t>
      </w:r>
    </w:p>
    <w:p>
      <w:pPr>
        <w:shd w:val="clear" w:color="auto" w:fill="FFFFFF"/>
        <w:adjustRightInd w:val="0"/>
        <w:snapToGrid w:val="0"/>
        <w:spacing w:line="360" w:lineRule="auto"/>
        <w:ind w:firstLine="420" w:firstLineChars="200"/>
        <w:rPr>
          <w:rFonts w:ascii="宋体"/>
          <w:u w:val="single"/>
        </w:rPr>
      </w:pPr>
      <w:r>
        <w:rPr>
          <w:rFonts w:hint="eastAsia" w:ascii="宋体" w:hAnsi="宋体" w:cs="宋体"/>
        </w:rPr>
        <w:t>法定代表人签名（或其委托的全权代表人）：</w:t>
      </w:r>
    </w:p>
    <w:p>
      <w:pPr>
        <w:shd w:val="clear" w:color="auto" w:fill="FFFFFF"/>
        <w:adjustRightInd w:val="0"/>
        <w:snapToGrid w:val="0"/>
        <w:spacing w:line="360" w:lineRule="auto"/>
        <w:ind w:firstLine="420" w:firstLineChars="200"/>
        <w:rPr>
          <w:rFonts w:ascii="宋体"/>
        </w:rPr>
      </w:pPr>
      <w:r>
        <w:rPr>
          <w:rFonts w:hint="eastAsia" w:ascii="宋体" w:hAnsi="宋体" w:cs="宋体"/>
        </w:rPr>
        <w:t>日期：年月日</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jc w:val="left"/>
        <w:rPr>
          <w:rFonts w:ascii="仿宋" w:hAnsi="仿宋" w:eastAsia="仿宋" w:cs="仿宋"/>
          <w:snapToGrid w:val="0"/>
          <w:color w:val="000000" w:themeColor="text1"/>
          <w:sz w:val="24"/>
          <w:szCs w:val="24"/>
        </w:rPr>
      </w:pP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152" w:name="_Toc10406405"/>
      <w:bookmarkStart w:id="153" w:name="_Toc17503418"/>
      <w:bookmarkStart w:id="154" w:name="_Toc26741894"/>
      <w:bookmarkStart w:id="155" w:name="_Toc34984038"/>
      <w:r>
        <w:rPr>
          <w:rFonts w:hint="eastAsia" w:ascii="仿宋" w:hAnsi="仿宋" w:eastAsia="仿宋" w:cs="仿宋"/>
          <w:snapToGrid w:val="0"/>
          <w:color w:val="000000" w:themeColor="text1"/>
          <w:kern w:val="0"/>
          <w:sz w:val="24"/>
          <w:szCs w:val="24"/>
        </w:rPr>
        <w:t>3、</w:t>
      </w:r>
      <w:bookmarkEnd w:id="152"/>
      <w:r>
        <w:rPr>
          <w:rFonts w:hint="eastAsia" w:ascii="仿宋" w:hAnsi="仿宋" w:eastAsia="仿宋" w:cs="仿宋"/>
          <w:snapToGrid w:val="0"/>
          <w:color w:val="000000" w:themeColor="text1"/>
          <w:kern w:val="0"/>
          <w:sz w:val="24"/>
          <w:szCs w:val="24"/>
        </w:rPr>
        <w:t>项目报价一览明细</w:t>
      </w:r>
      <w:bookmarkEnd w:id="153"/>
      <w:bookmarkEnd w:id="154"/>
      <w:bookmarkEnd w:id="155"/>
    </w:p>
    <w:p>
      <w:pPr>
        <w:adjustRightInd w:val="0"/>
        <w:snapToGrid w:val="0"/>
        <w:spacing w:line="360" w:lineRule="auto"/>
        <w:jc w:val="center"/>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项目报价一览明细</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项目编号：</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项目名称：</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标段号：</w:t>
      </w:r>
    </w:p>
    <w:tbl>
      <w:tblPr>
        <w:tblStyle w:val="15"/>
        <w:tblW w:w="0" w:type="auto"/>
        <w:tblInd w:w="0" w:type="dxa"/>
        <w:tblLayout w:type="autofit"/>
        <w:tblCellMar>
          <w:top w:w="0" w:type="dxa"/>
          <w:left w:w="108" w:type="dxa"/>
          <w:bottom w:w="0" w:type="dxa"/>
          <w:right w:w="108" w:type="dxa"/>
        </w:tblCellMar>
      </w:tblPr>
      <w:tblGrid>
        <w:gridCol w:w="621"/>
        <w:gridCol w:w="1450"/>
        <w:gridCol w:w="1525"/>
        <w:gridCol w:w="1193"/>
        <w:gridCol w:w="622"/>
        <w:gridCol w:w="622"/>
        <w:gridCol w:w="1268"/>
        <w:gridCol w:w="1268"/>
        <w:gridCol w:w="1285"/>
      </w:tblGrid>
      <w:tr>
        <w:tblPrEx>
          <w:tblCellMar>
            <w:top w:w="0" w:type="dxa"/>
            <w:left w:w="108" w:type="dxa"/>
            <w:bottom w:w="0" w:type="dxa"/>
            <w:right w:w="108" w:type="dxa"/>
          </w:tblCellMar>
        </w:tblPrEx>
        <w:trPr>
          <w:trHeight w:val="342"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序号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货物或服务名称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生产厂家、品牌</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型号、规格</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单位</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数量</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单价（元）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总价（元）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rPr>
                <w:rFonts w:ascii="仿宋" w:hAnsi="仿宋" w:eastAsia="仿宋" w:cs="仿宋"/>
                <w:sz w:val="24"/>
                <w:szCs w:val="24"/>
              </w:rPr>
            </w:pPr>
            <w:r>
              <w:rPr>
                <w:rFonts w:hint="eastAsia" w:ascii="仿宋" w:hAnsi="仿宋" w:eastAsia="仿宋" w:cs="仿宋"/>
                <w:sz w:val="24"/>
                <w:szCs w:val="24"/>
              </w:rPr>
              <w:t>是否属于政策</w:t>
            </w:r>
          </w:p>
          <w:p>
            <w:pPr>
              <w:widowControl/>
              <w:snapToGrid w:val="0"/>
              <w:spacing w:line="240" w:lineRule="atLeast"/>
              <w:rPr>
                <w:rFonts w:ascii="仿宋" w:hAnsi="仿宋" w:eastAsia="仿宋" w:cs="仿宋"/>
                <w:sz w:val="24"/>
                <w:szCs w:val="24"/>
              </w:rPr>
            </w:pPr>
            <w:r>
              <w:rPr>
                <w:rFonts w:hint="eastAsia" w:ascii="仿宋" w:hAnsi="仿宋" w:eastAsia="仿宋" w:cs="仿宋"/>
                <w:sz w:val="24"/>
                <w:szCs w:val="24"/>
              </w:rPr>
              <w:t>优惠产品</w:t>
            </w:r>
          </w:p>
        </w:tc>
      </w:tr>
      <w:tr>
        <w:tblPrEx>
          <w:tblCellMar>
            <w:top w:w="0" w:type="dxa"/>
            <w:left w:w="108" w:type="dxa"/>
            <w:bottom w:w="0" w:type="dxa"/>
            <w:right w:w="108" w:type="dxa"/>
          </w:tblCellMar>
        </w:tblPrEx>
        <w:trPr>
          <w:trHeight w:val="34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4"/>
                <w:szCs w:val="24"/>
              </w:rPr>
            </w:pPr>
            <w:r>
              <w:rPr>
                <w:rFonts w:hint="eastAsia" w:ascii="仿宋" w:hAnsi="仿宋" w:eastAsia="仿宋" w:cs="仿宋"/>
                <w:sz w:val="24"/>
                <w:szCs w:val="24"/>
              </w:rPr>
              <w:t>1</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r>
      <w:tr>
        <w:tblPrEx>
          <w:tblCellMar>
            <w:top w:w="0" w:type="dxa"/>
            <w:left w:w="108" w:type="dxa"/>
            <w:bottom w:w="0" w:type="dxa"/>
            <w:right w:w="108" w:type="dxa"/>
          </w:tblCellMar>
        </w:tblPrEx>
        <w:trPr>
          <w:trHeight w:val="325"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4"/>
                <w:szCs w:val="24"/>
              </w:rPr>
            </w:pPr>
            <w:r>
              <w:rPr>
                <w:rFonts w:hint="eastAsia" w:ascii="仿宋" w:hAnsi="仿宋" w:eastAsia="仿宋" w:cs="仿宋"/>
                <w:sz w:val="24"/>
                <w:szCs w:val="24"/>
              </w:rPr>
              <w:t>2</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r>
      <w:tr>
        <w:tblPrEx>
          <w:tblCellMar>
            <w:top w:w="0" w:type="dxa"/>
            <w:left w:w="108" w:type="dxa"/>
            <w:bottom w:w="0" w:type="dxa"/>
            <w:right w:w="108" w:type="dxa"/>
          </w:tblCellMar>
        </w:tblPrEx>
        <w:trPr>
          <w:trHeight w:val="34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4"/>
                <w:szCs w:val="24"/>
              </w:rPr>
            </w:pPr>
            <w:r>
              <w:rPr>
                <w:rFonts w:hint="eastAsia" w:ascii="仿宋" w:hAnsi="仿宋" w:eastAsia="仿宋" w:cs="仿宋"/>
                <w:sz w:val="24"/>
                <w:szCs w:val="24"/>
              </w:rPr>
              <w:t>3</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r>
      <w:tr>
        <w:tblPrEx>
          <w:tblCellMar>
            <w:top w:w="0" w:type="dxa"/>
            <w:left w:w="108" w:type="dxa"/>
            <w:bottom w:w="0" w:type="dxa"/>
            <w:right w:w="108" w:type="dxa"/>
          </w:tblCellMar>
        </w:tblPrEx>
        <w:trPr>
          <w:trHeight w:val="34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4"/>
                <w:szCs w:val="24"/>
              </w:rPr>
            </w:pPr>
            <w:r>
              <w:rPr>
                <w:rFonts w:hint="eastAsia" w:ascii="仿宋" w:hAnsi="仿宋" w:eastAsia="仿宋" w:cs="仿宋"/>
                <w:sz w:val="24"/>
                <w:szCs w:val="24"/>
              </w:rPr>
              <w:t>…</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r>
      <w:tr>
        <w:tblPrEx>
          <w:tblCellMar>
            <w:top w:w="0" w:type="dxa"/>
            <w:left w:w="108" w:type="dxa"/>
            <w:bottom w:w="0" w:type="dxa"/>
            <w:right w:w="108" w:type="dxa"/>
          </w:tblCellMar>
        </w:tblPrEx>
        <w:trPr>
          <w:trHeight w:val="342" w:hRule="atLeast"/>
        </w:trPr>
        <w:tc>
          <w:tcPr>
            <w:tcW w:w="0" w:type="auto"/>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4"/>
                <w:szCs w:val="24"/>
              </w:rPr>
            </w:pPr>
            <w:r>
              <w:rPr>
                <w:rFonts w:hint="eastAsia" w:ascii="仿宋" w:hAnsi="仿宋" w:eastAsia="仿宋" w:cs="仿宋"/>
                <w:sz w:val="24"/>
                <w:szCs w:val="24"/>
              </w:rPr>
              <w:t>合计</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sz w:val="24"/>
                <w:szCs w:val="24"/>
              </w:rPr>
            </w:pPr>
            <w:r>
              <w:rPr>
                <w:rFonts w:hint="eastAsia" w:ascii="仿宋" w:hAnsi="仿宋" w:eastAsia="仿宋" w:cs="仿宋"/>
                <w:sz w:val="24"/>
                <w:szCs w:val="24"/>
              </w:rPr>
              <w:t>　</w:t>
            </w:r>
          </w:p>
        </w:tc>
      </w:tr>
    </w:tbl>
    <w:p>
      <w:pPr>
        <w:snapToGrid w:val="0"/>
        <w:spacing w:line="360" w:lineRule="auto"/>
        <w:rPr>
          <w:rFonts w:ascii="仿宋" w:hAnsi="仿宋" w:eastAsia="仿宋" w:cs="仿宋"/>
          <w:snapToGrid w:val="0"/>
          <w:sz w:val="24"/>
          <w:szCs w:val="24"/>
        </w:rPr>
      </w:pPr>
      <w:r>
        <w:rPr>
          <w:rFonts w:hint="eastAsia" w:ascii="仿宋" w:hAnsi="仿宋" w:eastAsia="仿宋" w:cs="仿宋"/>
          <w:snapToGrid w:val="0"/>
          <w:sz w:val="24"/>
          <w:szCs w:val="24"/>
        </w:rPr>
        <w:t>注：1、属于小、微企业产品或监狱企业产品、残疾人福利性单位产品请在明细表中注明，并在投标文件中提供相应证明材料，否则产生的一切后果由投标人承担。</w:t>
      </w:r>
    </w:p>
    <w:p>
      <w:pPr>
        <w:spacing w:line="360" w:lineRule="auto"/>
        <w:rPr>
          <w:rFonts w:ascii="仿宋" w:hAnsi="仿宋" w:eastAsia="仿宋" w:cs="仿宋"/>
          <w:snapToGrid w:val="0"/>
          <w:sz w:val="24"/>
          <w:szCs w:val="24"/>
        </w:rPr>
      </w:pPr>
      <w:r>
        <w:rPr>
          <w:rFonts w:hint="eastAsia" w:ascii="仿宋" w:hAnsi="仿宋" w:eastAsia="仿宋" w:cs="仿宋"/>
          <w:snapToGrid w:val="0"/>
          <w:sz w:val="24"/>
          <w:szCs w:val="24"/>
        </w:rPr>
        <w:t>2、投标报价为含税价（包含国家规定的所有税费），投标报价是招标文件所确定的报价范围内全部工作内容的价格体现。应包括货物、社会化服务费、附件、安装施工、运保费、装卸费、安装费、管理费、调试费、检测、培训、维护、利润、税金和政策性文件规定应计取的合法取费等各项费用。</w:t>
      </w:r>
    </w:p>
    <w:p>
      <w:pPr>
        <w:spacing w:line="360" w:lineRule="auto"/>
        <w:rPr>
          <w:rFonts w:ascii="仿宋" w:hAnsi="仿宋" w:eastAsia="仿宋" w:cs="仿宋"/>
          <w:sz w:val="24"/>
          <w:szCs w:val="24"/>
        </w:rPr>
      </w:pPr>
      <w:r>
        <w:rPr>
          <w:rFonts w:hint="eastAsia" w:ascii="仿宋" w:hAnsi="仿宋" w:eastAsia="仿宋" w:cs="仿宋"/>
          <w:snapToGrid w:val="0"/>
          <w:color w:val="000000" w:themeColor="text1"/>
          <w:sz w:val="24"/>
          <w:szCs w:val="24"/>
        </w:rPr>
        <w:t>3、依据招标的子目（请按招标文件的顺序）提供详细分项报价。</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投标单位（盖章）：</w:t>
      </w:r>
    </w:p>
    <w:p>
      <w:pPr>
        <w:adjustRightInd w:val="0"/>
        <w:snapToGrid w:val="0"/>
        <w:spacing w:line="360" w:lineRule="auto"/>
        <w:ind w:firstLine="2280" w:firstLineChars="95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   日期：  年   月   日</w:t>
      </w:r>
    </w:p>
    <w:p>
      <w:pPr>
        <w:snapToGrid w:val="0"/>
        <w:spacing w:line="360" w:lineRule="auto"/>
        <w:ind w:right="720" w:firstLine="4560" w:firstLineChars="1900"/>
        <w:rPr>
          <w:rFonts w:ascii="仿宋" w:hAnsi="仿宋" w:eastAsia="仿宋" w:cs="仿宋"/>
          <w:snapToGrid w:val="0"/>
          <w:color w:val="000000" w:themeColor="text1"/>
          <w:sz w:val="24"/>
          <w:szCs w:val="24"/>
        </w:rPr>
      </w:pPr>
    </w:p>
    <w:p>
      <w:pPr>
        <w:snapToGrid w:val="0"/>
        <w:spacing w:line="360" w:lineRule="auto"/>
        <w:ind w:right="720" w:firstLine="4560" w:firstLineChars="1900"/>
        <w:rPr>
          <w:rFonts w:ascii="仿宋" w:hAnsi="仿宋" w:eastAsia="仿宋" w:cs="仿宋"/>
          <w:snapToGrid w:val="0"/>
          <w:color w:val="000000" w:themeColor="text1"/>
          <w:sz w:val="24"/>
          <w:szCs w:val="24"/>
        </w:rPr>
      </w:pPr>
    </w:p>
    <w:p>
      <w:pPr>
        <w:snapToGrid w:val="0"/>
        <w:spacing w:line="360" w:lineRule="auto"/>
        <w:ind w:right="720" w:firstLine="4560" w:firstLineChars="1900"/>
        <w:rPr>
          <w:rFonts w:ascii="仿宋" w:hAnsi="仿宋" w:eastAsia="仿宋" w:cs="仿宋"/>
          <w:snapToGrid w:val="0"/>
          <w:color w:val="000000" w:themeColor="text1"/>
          <w:sz w:val="24"/>
          <w:szCs w:val="24"/>
        </w:rPr>
      </w:pPr>
    </w:p>
    <w:p>
      <w:pPr>
        <w:snapToGrid w:val="0"/>
        <w:spacing w:line="360" w:lineRule="auto"/>
        <w:ind w:right="720" w:firstLine="4560" w:firstLineChars="1900"/>
        <w:rPr>
          <w:rFonts w:ascii="仿宋" w:hAnsi="仿宋" w:eastAsia="仿宋" w:cs="仿宋"/>
          <w:snapToGrid w:val="0"/>
          <w:color w:val="000000" w:themeColor="text1"/>
          <w:sz w:val="24"/>
          <w:szCs w:val="24"/>
        </w:rPr>
      </w:pPr>
    </w:p>
    <w:p>
      <w:pPr>
        <w:snapToGrid w:val="0"/>
        <w:spacing w:line="360" w:lineRule="auto"/>
        <w:ind w:right="720" w:firstLine="4560" w:firstLineChars="1900"/>
        <w:rPr>
          <w:rFonts w:ascii="仿宋" w:hAnsi="仿宋" w:eastAsia="仿宋" w:cs="仿宋"/>
          <w:snapToGrid w:val="0"/>
          <w:color w:val="000000" w:themeColor="text1"/>
          <w:sz w:val="24"/>
          <w:szCs w:val="24"/>
        </w:rPr>
      </w:pPr>
    </w:p>
    <w:p>
      <w:pPr>
        <w:snapToGrid w:val="0"/>
        <w:spacing w:line="360" w:lineRule="auto"/>
        <w:ind w:right="720" w:firstLine="4560" w:firstLineChars="1900"/>
        <w:rPr>
          <w:rFonts w:ascii="仿宋" w:hAnsi="仿宋" w:eastAsia="仿宋" w:cs="仿宋"/>
          <w:snapToGrid w:val="0"/>
          <w:color w:val="000000" w:themeColor="text1"/>
          <w:sz w:val="24"/>
          <w:szCs w:val="24"/>
        </w:rPr>
      </w:pPr>
    </w:p>
    <w:p>
      <w:pPr>
        <w:snapToGrid w:val="0"/>
        <w:spacing w:line="360" w:lineRule="auto"/>
        <w:ind w:right="720" w:firstLine="4560" w:firstLineChars="1900"/>
        <w:rPr>
          <w:rFonts w:ascii="仿宋" w:hAnsi="仿宋" w:eastAsia="仿宋" w:cs="仿宋"/>
          <w:snapToGrid w:val="0"/>
          <w:color w:val="000000" w:themeColor="text1"/>
          <w:sz w:val="24"/>
          <w:szCs w:val="24"/>
        </w:rPr>
      </w:pPr>
    </w:p>
    <w:p>
      <w:pPr>
        <w:snapToGrid w:val="0"/>
        <w:spacing w:line="360" w:lineRule="auto"/>
        <w:ind w:right="720" w:firstLine="4560" w:firstLineChars="1900"/>
        <w:rPr>
          <w:rFonts w:ascii="仿宋" w:hAnsi="仿宋" w:eastAsia="仿宋" w:cs="仿宋"/>
          <w:snapToGrid w:val="0"/>
          <w:color w:val="000000" w:themeColor="text1"/>
          <w:sz w:val="24"/>
          <w:szCs w:val="24"/>
        </w:rPr>
      </w:pPr>
    </w:p>
    <w:p>
      <w:pPr>
        <w:snapToGrid w:val="0"/>
        <w:spacing w:line="360" w:lineRule="auto"/>
        <w:ind w:right="720"/>
        <w:rPr>
          <w:rFonts w:ascii="仿宋" w:hAnsi="仿宋" w:eastAsia="仿宋" w:cs="仿宋"/>
          <w:snapToGrid w:val="0"/>
          <w:color w:val="000000" w:themeColor="text1"/>
          <w:sz w:val="24"/>
          <w:szCs w:val="24"/>
        </w:rPr>
      </w:pP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156" w:name="_Toc26741895"/>
      <w:bookmarkStart w:id="157" w:name="_Toc476122399"/>
      <w:bookmarkStart w:id="158" w:name="_Toc463899749"/>
      <w:bookmarkStart w:id="159" w:name="_Toc504635189"/>
      <w:bookmarkStart w:id="160" w:name="_Toc509355959"/>
      <w:bookmarkStart w:id="161" w:name="_Toc509266987"/>
      <w:bookmarkStart w:id="162" w:name="_Toc10406406"/>
      <w:bookmarkStart w:id="163" w:name="_Toc17503419"/>
      <w:bookmarkStart w:id="164" w:name="_Toc509267073"/>
      <w:bookmarkStart w:id="165" w:name="_Toc34984039"/>
      <w:r>
        <w:rPr>
          <w:rFonts w:hint="eastAsia" w:ascii="仿宋" w:hAnsi="仿宋" w:eastAsia="仿宋" w:cs="仿宋"/>
          <w:snapToGrid w:val="0"/>
          <w:color w:val="000000" w:themeColor="text1"/>
          <w:kern w:val="0"/>
          <w:sz w:val="24"/>
          <w:szCs w:val="24"/>
        </w:rPr>
        <w:t>4、技术条款偏离表</w:t>
      </w:r>
      <w:bookmarkEnd w:id="156"/>
      <w:bookmarkEnd w:id="157"/>
      <w:bookmarkEnd w:id="158"/>
      <w:bookmarkEnd w:id="159"/>
      <w:bookmarkEnd w:id="160"/>
      <w:bookmarkEnd w:id="161"/>
      <w:bookmarkEnd w:id="162"/>
      <w:bookmarkEnd w:id="163"/>
      <w:bookmarkEnd w:id="164"/>
      <w:bookmarkEnd w:id="165"/>
      <w:r>
        <w:rPr>
          <w:rFonts w:hint="eastAsia" w:ascii="仿宋" w:hAnsi="仿宋" w:eastAsia="仿宋" w:cs="仿宋"/>
          <w:color w:val="000000" w:themeColor="text1"/>
          <w:sz w:val="24"/>
          <w:szCs w:val="24"/>
        </w:rPr>
        <w:t>（注：除技术加分项外）</w:t>
      </w:r>
    </w:p>
    <w:p>
      <w:pPr>
        <w:adjustRightInd w:val="0"/>
        <w:snapToGrid w:val="0"/>
        <w:spacing w:line="360" w:lineRule="auto"/>
        <w:jc w:val="center"/>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技术</w:t>
      </w:r>
      <w:r>
        <w:rPr>
          <w:rFonts w:hint="eastAsia" w:ascii="仿宋" w:hAnsi="仿宋" w:eastAsia="仿宋" w:cs="仿宋"/>
          <w:b/>
          <w:snapToGrid w:val="0"/>
          <w:color w:val="000000" w:themeColor="text1"/>
          <w:kern w:val="0"/>
          <w:sz w:val="24"/>
          <w:szCs w:val="24"/>
        </w:rPr>
        <w:t>条款</w:t>
      </w:r>
      <w:r>
        <w:rPr>
          <w:rFonts w:hint="eastAsia" w:ascii="仿宋" w:hAnsi="仿宋" w:eastAsia="仿宋" w:cs="仿宋"/>
          <w:b/>
          <w:snapToGrid w:val="0"/>
          <w:color w:val="000000" w:themeColor="text1"/>
          <w:sz w:val="24"/>
          <w:szCs w:val="24"/>
        </w:rPr>
        <w:t>偏离表</w:t>
      </w:r>
      <w:r>
        <w:rPr>
          <w:rFonts w:hint="eastAsia" w:ascii="仿宋" w:hAnsi="仿宋" w:eastAsia="仿宋" w:cs="仿宋"/>
          <w:color w:val="000000" w:themeColor="text1"/>
          <w:sz w:val="24"/>
          <w:szCs w:val="24"/>
        </w:rPr>
        <w:t>（注：除技术加分项外）</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项目编号：</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项目名称：</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标段号：</w:t>
      </w:r>
    </w:p>
    <w:p>
      <w:pPr>
        <w:adjustRightInd w:val="0"/>
        <w:snapToGrid w:val="0"/>
        <w:spacing w:line="360" w:lineRule="auto"/>
        <w:ind w:firstLine="480" w:firstLineChars="200"/>
        <w:jc w:val="left"/>
        <w:rPr>
          <w:rFonts w:ascii="仿宋" w:hAnsi="仿宋" w:eastAsia="仿宋" w:cs="仿宋"/>
          <w:snapToGrid w:val="0"/>
          <w:kern w:val="0"/>
          <w:sz w:val="24"/>
          <w:szCs w:val="24"/>
        </w:rPr>
      </w:pPr>
      <w:r>
        <w:rPr>
          <w:rFonts w:hint="eastAsia" w:ascii="仿宋" w:hAnsi="仿宋" w:eastAsia="仿宋" w:cs="仿宋"/>
          <w:snapToGrid w:val="0"/>
          <w:kern w:val="0"/>
          <w:sz w:val="24"/>
          <w:szCs w:val="24"/>
        </w:rPr>
        <w:t>1)技术参数</w:t>
      </w:r>
      <w:r>
        <w:rPr>
          <w:rFonts w:hint="eastAsia" w:ascii="仿宋" w:hAnsi="仿宋" w:eastAsia="仿宋" w:cs="仿宋"/>
          <w:color w:val="000000" w:themeColor="text1"/>
          <w:sz w:val="24"/>
          <w:szCs w:val="24"/>
        </w:rPr>
        <w:t>（注：除技术加分项外</w:t>
      </w:r>
      <w:r>
        <w:rPr>
          <w:rFonts w:hint="eastAsia" w:ascii="仿宋" w:hAnsi="仿宋" w:eastAsia="仿宋" w:cs="仿宋"/>
          <w:snapToGrid w:val="0"/>
          <w:kern w:val="0"/>
          <w:sz w:val="24"/>
          <w:szCs w:val="24"/>
        </w:rPr>
        <w:t>）</w:t>
      </w:r>
    </w:p>
    <w:tbl>
      <w:tblPr>
        <w:tblStyle w:val="15"/>
        <w:tblW w:w="0" w:type="auto"/>
        <w:jc w:val="center"/>
        <w:tblLayout w:type="autofit"/>
        <w:tblCellMar>
          <w:top w:w="0" w:type="dxa"/>
          <w:left w:w="108" w:type="dxa"/>
          <w:bottom w:w="0" w:type="dxa"/>
          <w:right w:w="108" w:type="dxa"/>
        </w:tblCellMar>
      </w:tblPr>
      <w:tblGrid>
        <w:gridCol w:w="696"/>
        <w:gridCol w:w="1176"/>
        <w:gridCol w:w="1656"/>
        <w:gridCol w:w="1656"/>
        <w:gridCol w:w="1296"/>
        <w:gridCol w:w="696"/>
      </w:tblGrid>
      <w:tr>
        <w:tblPrEx>
          <w:tblCellMar>
            <w:top w:w="0" w:type="dxa"/>
            <w:left w:w="108" w:type="dxa"/>
            <w:bottom w:w="0" w:type="dxa"/>
            <w:right w:w="108" w:type="dxa"/>
          </w:tblCellMar>
        </w:tblPrEx>
        <w:trPr>
          <w:trHeight w:val="33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货物名称</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招标参数要求</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投标响应参数</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响应/偏离</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备注</w:t>
            </w:r>
          </w:p>
        </w:tc>
      </w:tr>
      <w:tr>
        <w:tblPrEx>
          <w:tblCellMar>
            <w:top w:w="0" w:type="dxa"/>
            <w:left w:w="108" w:type="dxa"/>
            <w:bottom w:w="0" w:type="dxa"/>
            <w:right w:w="108" w:type="dxa"/>
          </w:tblCellMar>
        </w:tblPrEx>
        <w:trPr>
          <w:trHeight w:val="424"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260"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260"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CellMar>
            <w:top w:w="0" w:type="dxa"/>
            <w:left w:w="108" w:type="dxa"/>
            <w:bottom w:w="0" w:type="dxa"/>
            <w:right w:w="108" w:type="dxa"/>
          </w:tblCellMar>
        </w:tblPrEx>
        <w:trPr>
          <w:trHeight w:val="22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22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bl>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sz w:val="24"/>
          <w:szCs w:val="24"/>
        </w:rPr>
        <w:t>说明：1）“偏离”系指“</w:t>
      </w:r>
      <w:r>
        <w:rPr>
          <w:rFonts w:hint="eastAsia" w:ascii="仿宋" w:hAnsi="仿宋" w:eastAsia="仿宋" w:cs="仿宋"/>
          <w:snapToGrid w:val="0"/>
          <w:color w:val="000000" w:themeColor="text1"/>
          <w:sz w:val="24"/>
          <w:szCs w:val="24"/>
        </w:rPr>
        <w:t>正偏离”、“负偏离”或“无偏离”。</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color w:val="000000" w:themeColor="text1"/>
          <w:sz w:val="24"/>
          <w:szCs w:val="24"/>
        </w:rPr>
        <w:t>2）请逐条对应招标文件的中的“</w:t>
      </w:r>
      <w:r>
        <w:rPr>
          <w:rFonts w:hint="eastAsia" w:ascii="仿宋" w:hAnsi="仿宋" w:eastAsia="仿宋" w:cs="仿宋"/>
          <w:snapToGrid w:val="0"/>
          <w:color w:val="000000" w:themeColor="text1"/>
          <w:kern w:val="0"/>
          <w:sz w:val="24"/>
          <w:szCs w:val="24"/>
        </w:rPr>
        <w:t>技术参数及要求</w:t>
      </w:r>
      <w:r>
        <w:rPr>
          <w:rFonts w:hint="eastAsia" w:ascii="仿宋" w:hAnsi="仿宋" w:eastAsia="仿宋" w:cs="仿宋"/>
          <w:color w:val="000000" w:themeColor="text1"/>
          <w:sz w:val="24"/>
          <w:szCs w:val="24"/>
        </w:rPr>
        <w:t>”内容的条款（注：除技术加分项外），未填写完整的，评委有可能会作出对投标人不利评判。</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3）投标人须按本表格式认真填写和招标文件要求提供必要的佐证材料。</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4）凡不按规定要求的，评标委员会有权判定为负偏离或无效。</w:t>
      </w:r>
    </w:p>
    <w:p>
      <w:pPr>
        <w:adjustRightInd w:val="0"/>
        <w:snapToGrid w:val="0"/>
        <w:spacing w:line="360" w:lineRule="auto"/>
        <w:ind w:firstLine="480" w:firstLineChars="200"/>
        <w:jc w:val="left"/>
        <w:rPr>
          <w:rFonts w:ascii="仿宋" w:hAnsi="仿宋" w:eastAsia="仿宋" w:cs="仿宋"/>
          <w:b/>
          <w:color w:val="000000" w:themeColor="text1"/>
          <w:sz w:val="24"/>
          <w:szCs w:val="24"/>
        </w:rPr>
      </w:pPr>
      <w:r>
        <w:rPr>
          <w:rFonts w:hint="eastAsia" w:ascii="仿宋" w:hAnsi="仿宋" w:eastAsia="仿宋" w:cs="仿宋"/>
          <w:snapToGrid w:val="0"/>
          <w:color w:val="000000" w:themeColor="text1"/>
          <w:sz w:val="24"/>
          <w:szCs w:val="24"/>
        </w:rPr>
        <w:t>5）表格行数不足的请自行增加行。</w:t>
      </w:r>
    </w:p>
    <w:p>
      <w:pPr>
        <w:adjustRightInd w:val="0"/>
        <w:snapToGrid w:val="0"/>
        <w:spacing w:line="360" w:lineRule="auto"/>
        <w:ind w:firstLine="2280" w:firstLineChars="95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投标单位（盖章）：</w:t>
      </w:r>
    </w:p>
    <w:p>
      <w:pPr>
        <w:adjustRightInd w:val="0"/>
        <w:snapToGrid w:val="0"/>
        <w:spacing w:line="360" w:lineRule="auto"/>
        <w:ind w:firstLine="2280" w:firstLineChars="95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   日期：  年   月   日</w:t>
      </w:r>
    </w:p>
    <w:p>
      <w:pPr>
        <w:pStyle w:val="5"/>
        <w:adjustRightInd w:val="0"/>
        <w:snapToGrid w:val="0"/>
        <w:spacing w:before="0" w:after="0" w:line="400" w:lineRule="exact"/>
        <w:jc w:val="left"/>
        <w:rPr>
          <w:rFonts w:ascii="仿宋" w:hAnsi="仿宋" w:eastAsia="仿宋" w:cs="仿宋"/>
          <w:snapToGrid w:val="0"/>
          <w:color w:val="000000" w:themeColor="text1"/>
          <w:kern w:val="0"/>
          <w:sz w:val="24"/>
          <w:szCs w:val="24"/>
        </w:rPr>
      </w:pPr>
      <w:bookmarkStart w:id="166" w:name="_Toc15509355"/>
      <w:bookmarkStart w:id="167" w:name="_Toc15509261"/>
      <w:bookmarkStart w:id="168" w:name="_Toc14729798"/>
      <w:bookmarkStart w:id="169" w:name="_Toc17503420"/>
      <w:bookmarkStart w:id="170" w:name="_Toc26741896"/>
      <w:bookmarkStart w:id="171" w:name="_Toc34984040"/>
      <w:bookmarkStart w:id="172" w:name="_Toc506841491"/>
    </w:p>
    <w:p>
      <w:pPr>
        <w:rPr>
          <w:rFonts w:ascii="仿宋" w:hAnsi="仿宋" w:eastAsia="仿宋" w:cs="仿宋"/>
          <w:snapToGrid w:val="0"/>
          <w:color w:val="000000" w:themeColor="text1"/>
          <w:kern w:val="0"/>
          <w:sz w:val="24"/>
          <w:szCs w:val="24"/>
        </w:rPr>
      </w:pPr>
    </w:p>
    <w:p>
      <w:pPr>
        <w:rPr>
          <w:rFonts w:ascii="仿宋" w:hAnsi="仿宋" w:eastAsia="仿宋" w:cs="仿宋"/>
          <w:snapToGrid w:val="0"/>
          <w:color w:val="000000" w:themeColor="text1"/>
          <w:kern w:val="0"/>
          <w:sz w:val="24"/>
          <w:szCs w:val="24"/>
        </w:rPr>
      </w:pPr>
    </w:p>
    <w:p>
      <w:pPr>
        <w:rPr>
          <w:rFonts w:ascii="仿宋" w:hAnsi="仿宋" w:eastAsia="仿宋" w:cs="仿宋"/>
          <w:snapToGrid w:val="0"/>
          <w:color w:val="000000" w:themeColor="text1"/>
          <w:kern w:val="0"/>
          <w:sz w:val="24"/>
          <w:szCs w:val="24"/>
        </w:rPr>
      </w:pPr>
    </w:p>
    <w:p>
      <w:pPr>
        <w:rPr>
          <w:rFonts w:ascii="仿宋" w:hAnsi="仿宋" w:eastAsia="仿宋" w:cs="仿宋"/>
          <w:snapToGrid w:val="0"/>
          <w:color w:val="000000" w:themeColor="text1"/>
          <w:kern w:val="0"/>
          <w:sz w:val="24"/>
          <w:szCs w:val="24"/>
        </w:rPr>
      </w:pPr>
    </w:p>
    <w:p>
      <w:pPr>
        <w:rPr>
          <w:rFonts w:ascii="仿宋" w:hAnsi="仿宋" w:eastAsia="仿宋" w:cs="仿宋"/>
          <w:snapToGrid w:val="0"/>
          <w:color w:val="000000" w:themeColor="text1"/>
          <w:kern w:val="0"/>
          <w:sz w:val="24"/>
          <w:szCs w:val="24"/>
        </w:rPr>
      </w:pPr>
    </w:p>
    <w:p>
      <w:pPr>
        <w:rPr>
          <w:rFonts w:ascii="仿宋" w:hAnsi="仿宋" w:eastAsia="仿宋" w:cs="仿宋"/>
          <w:snapToGrid w:val="0"/>
          <w:color w:val="000000" w:themeColor="text1"/>
          <w:kern w:val="0"/>
          <w:sz w:val="24"/>
          <w:szCs w:val="24"/>
        </w:rPr>
      </w:pPr>
    </w:p>
    <w:p>
      <w:pPr>
        <w:rPr>
          <w:rFonts w:ascii="仿宋" w:hAnsi="仿宋" w:eastAsia="仿宋" w:cs="仿宋"/>
          <w:snapToGrid w:val="0"/>
          <w:color w:val="000000" w:themeColor="text1"/>
          <w:kern w:val="0"/>
          <w:sz w:val="24"/>
          <w:szCs w:val="24"/>
        </w:rPr>
      </w:pPr>
    </w:p>
    <w:p>
      <w:pPr>
        <w:rPr>
          <w:rFonts w:ascii="仿宋" w:hAnsi="仿宋" w:eastAsia="仿宋" w:cs="仿宋"/>
          <w:snapToGrid w:val="0"/>
          <w:color w:val="000000" w:themeColor="text1"/>
          <w:kern w:val="0"/>
          <w:sz w:val="24"/>
          <w:szCs w:val="24"/>
        </w:rPr>
      </w:pPr>
    </w:p>
    <w:p>
      <w:pPr>
        <w:rPr>
          <w:rFonts w:ascii="仿宋" w:hAnsi="仿宋" w:eastAsia="仿宋" w:cs="仿宋"/>
          <w:snapToGrid w:val="0"/>
          <w:color w:val="000000" w:themeColor="text1"/>
          <w:kern w:val="0"/>
          <w:sz w:val="24"/>
          <w:szCs w:val="24"/>
        </w:rPr>
      </w:pPr>
    </w:p>
    <w:p>
      <w:pPr>
        <w:rPr>
          <w:rFonts w:ascii="仿宋" w:hAnsi="仿宋" w:eastAsia="仿宋" w:cs="仿宋"/>
          <w:snapToGrid w:val="0"/>
          <w:color w:val="000000" w:themeColor="text1"/>
          <w:kern w:val="0"/>
          <w:sz w:val="24"/>
          <w:szCs w:val="24"/>
        </w:rPr>
      </w:pPr>
    </w:p>
    <w:p>
      <w:pPr>
        <w:rPr>
          <w:rFonts w:ascii="仿宋" w:hAnsi="仿宋" w:eastAsia="仿宋" w:cs="仿宋"/>
          <w:snapToGrid w:val="0"/>
          <w:color w:val="000000" w:themeColor="text1"/>
          <w:kern w:val="0"/>
          <w:sz w:val="24"/>
          <w:szCs w:val="24"/>
        </w:rPr>
      </w:pPr>
    </w:p>
    <w:p>
      <w:pPr>
        <w:rPr>
          <w:rFonts w:ascii="仿宋" w:hAnsi="仿宋" w:eastAsia="仿宋" w:cs="仿宋"/>
          <w:snapToGrid w:val="0"/>
          <w:color w:val="000000" w:themeColor="text1"/>
          <w:kern w:val="0"/>
          <w:sz w:val="24"/>
          <w:szCs w:val="24"/>
        </w:rPr>
      </w:pPr>
    </w:p>
    <w:p>
      <w:pPr>
        <w:rPr>
          <w:rFonts w:ascii="仿宋" w:hAnsi="仿宋" w:eastAsia="仿宋" w:cs="仿宋"/>
          <w:snapToGrid w:val="0"/>
          <w:color w:val="000000" w:themeColor="text1"/>
          <w:kern w:val="0"/>
          <w:sz w:val="24"/>
          <w:szCs w:val="24"/>
        </w:rPr>
      </w:pP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p>
    <w:p/>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5、商务条款偏离表</w:t>
      </w:r>
      <w:bookmarkEnd w:id="166"/>
      <w:bookmarkEnd w:id="167"/>
      <w:bookmarkEnd w:id="168"/>
      <w:bookmarkEnd w:id="169"/>
      <w:bookmarkEnd w:id="170"/>
      <w:bookmarkEnd w:id="171"/>
      <w:bookmarkEnd w:id="172"/>
    </w:p>
    <w:p>
      <w:pPr>
        <w:adjustRightInd w:val="0"/>
        <w:snapToGrid w:val="0"/>
        <w:spacing w:line="360" w:lineRule="auto"/>
        <w:ind w:firstLine="482" w:firstLineChars="200"/>
        <w:jc w:val="center"/>
        <w:rPr>
          <w:rFonts w:ascii="仿宋" w:hAnsi="仿宋" w:eastAsia="仿宋" w:cs="仿宋"/>
          <w:b/>
          <w:snapToGrid w:val="0"/>
          <w:color w:val="000000" w:themeColor="text1"/>
          <w:kern w:val="0"/>
          <w:sz w:val="24"/>
          <w:szCs w:val="24"/>
        </w:rPr>
      </w:pPr>
      <w:r>
        <w:rPr>
          <w:rFonts w:hint="eastAsia" w:ascii="仿宋" w:hAnsi="仿宋" w:eastAsia="仿宋" w:cs="仿宋"/>
          <w:b/>
          <w:snapToGrid w:val="0"/>
          <w:color w:val="000000" w:themeColor="text1"/>
          <w:kern w:val="0"/>
          <w:sz w:val="24"/>
          <w:szCs w:val="24"/>
        </w:rPr>
        <w:t>商务条款偏离表</w:t>
      </w: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项目编号：</w:t>
      </w: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项目名称：</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标段号：</w:t>
      </w:r>
    </w:p>
    <w:p>
      <w:pPr>
        <w:adjustRightInd w:val="0"/>
        <w:snapToGrid w:val="0"/>
        <w:spacing w:line="360" w:lineRule="auto"/>
        <w:ind w:firstLine="480" w:firstLineChars="200"/>
        <w:jc w:val="left"/>
        <w:rPr>
          <w:rFonts w:ascii="仿宋" w:hAnsi="仿宋" w:eastAsia="仿宋" w:cs="仿宋"/>
          <w:snapToGrid w:val="0"/>
          <w:sz w:val="24"/>
          <w:szCs w:val="24"/>
        </w:rPr>
      </w:pPr>
      <w:r>
        <w:rPr>
          <w:rFonts w:hint="eastAsia" w:ascii="仿宋" w:hAnsi="仿宋" w:eastAsia="仿宋" w:cs="仿宋"/>
          <w:snapToGrid w:val="0"/>
          <w:kern w:val="0"/>
          <w:sz w:val="24"/>
          <w:szCs w:val="24"/>
        </w:rPr>
        <w:t>1)</w:t>
      </w:r>
      <w:r>
        <w:rPr>
          <w:rFonts w:hint="eastAsia" w:ascii="仿宋" w:hAnsi="仿宋" w:eastAsia="仿宋" w:cs="仿宋"/>
          <w:sz w:val="24"/>
          <w:szCs w:val="24"/>
        </w:rPr>
        <w:t>商务要求</w:t>
      </w:r>
    </w:p>
    <w:tbl>
      <w:tblPr>
        <w:tblStyle w:val="15"/>
        <w:tblW w:w="0" w:type="auto"/>
        <w:jc w:val="center"/>
        <w:tblLayout w:type="fixed"/>
        <w:tblCellMar>
          <w:top w:w="0" w:type="dxa"/>
          <w:left w:w="108" w:type="dxa"/>
          <w:bottom w:w="0" w:type="dxa"/>
          <w:right w:w="108" w:type="dxa"/>
        </w:tblCellMar>
      </w:tblPr>
      <w:tblGrid>
        <w:gridCol w:w="616"/>
        <w:gridCol w:w="1816"/>
        <w:gridCol w:w="2216"/>
        <w:gridCol w:w="1116"/>
        <w:gridCol w:w="616"/>
      </w:tblGrid>
      <w:tr>
        <w:tblPrEx>
          <w:tblCellMar>
            <w:top w:w="0" w:type="dxa"/>
            <w:left w:w="108" w:type="dxa"/>
            <w:bottom w:w="0" w:type="dxa"/>
            <w:right w:w="108" w:type="dxa"/>
          </w:tblCellMar>
        </w:tblPrEx>
        <w:trPr>
          <w:trHeight w:val="600"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序号</w:t>
            </w:r>
          </w:p>
        </w:tc>
        <w:tc>
          <w:tcPr>
            <w:tcW w:w="18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招标文件商务条款</w:t>
            </w:r>
          </w:p>
        </w:tc>
        <w:tc>
          <w:tcPr>
            <w:tcW w:w="22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投标文件响应商务条款</w:t>
            </w:r>
          </w:p>
        </w:tc>
        <w:tc>
          <w:tcPr>
            <w:tcW w:w="11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响应/偏离</w:t>
            </w:r>
          </w:p>
        </w:tc>
        <w:tc>
          <w:tcPr>
            <w:tcW w:w="61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说明</w:t>
            </w:r>
          </w:p>
        </w:tc>
      </w:tr>
      <w:tr>
        <w:tblPrEx>
          <w:tblCellMar>
            <w:top w:w="0" w:type="dxa"/>
            <w:left w:w="108" w:type="dxa"/>
            <w:bottom w:w="0" w:type="dxa"/>
            <w:right w:w="108" w:type="dxa"/>
          </w:tblCellMar>
        </w:tblPrEx>
        <w:trPr>
          <w:trHeight w:val="600" w:hRule="atLeast"/>
          <w:jc w:val="center"/>
        </w:trPr>
        <w:tc>
          <w:tcPr>
            <w:tcW w:w="616"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w:t>
            </w:r>
          </w:p>
        </w:tc>
        <w:tc>
          <w:tcPr>
            <w:tcW w:w="18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6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600" w:hRule="atLeast"/>
          <w:jc w:val="center"/>
        </w:trPr>
        <w:tc>
          <w:tcPr>
            <w:tcW w:w="616"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2</w:t>
            </w:r>
          </w:p>
        </w:tc>
        <w:tc>
          <w:tcPr>
            <w:tcW w:w="18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6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600" w:hRule="atLeast"/>
          <w:jc w:val="center"/>
        </w:trPr>
        <w:tc>
          <w:tcPr>
            <w:tcW w:w="616"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3</w:t>
            </w:r>
          </w:p>
        </w:tc>
        <w:tc>
          <w:tcPr>
            <w:tcW w:w="18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6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600" w:hRule="atLeast"/>
          <w:jc w:val="center"/>
        </w:trPr>
        <w:tc>
          <w:tcPr>
            <w:tcW w:w="616"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w:t>
            </w:r>
          </w:p>
        </w:tc>
        <w:tc>
          <w:tcPr>
            <w:tcW w:w="18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616"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bl>
    <w:p>
      <w:pPr>
        <w:pStyle w:val="8"/>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说明：1）“偏离”系指“正偏离”、“负偏离”或“无偏离”。</w:t>
      </w:r>
    </w:p>
    <w:p>
      <w:pPr>
        <w:pStyle w:val="8"/>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2）请逐条对应招标文件的中的“商务要求”内容的全部条款，未填写完整的，评委有可能会作出对投标人不利评判。 </w:t>
      </w:r>
    </w:p>
    <w:p>
      <w:pPr>
        <w:adjustRightInd w:val="0"/>
        <w:snapToGrid w:val="0"/>
        <w:spacing w:line="360" w:lineRule="auto"/>
        <w:ind w:firstLine="480" w:firstLineChars="200"/>
        <w:jc w:val="left"/>
        <w:rPr>
          <w:rFonts w:ascii="仿宋" w:hAnsi="仿宋" w:eastAsia="仿宋" w:cs="仿宋"/>
          <w:color w:val="000000" w:themeColor="text1"/>
          <w:sz w:val="24"/>
          <w:szCs w:val="24"/>
        </w:rPr>
      </w:pPr>
      <w:r>
        <w:rPr>
          <w:rFonts w:hint="eastAsia" w:ascii="仿宋" w:hAnsi="仿宋" w:eastAsia="仿宋" w:cs="仿宋"/>
          <w:snapToGrid w:val="0"/>
          <w:color w:val="000000" w:themeColor="text1"/>
          <w:sz w:val="24"/>
          <w:szCs w:val="24"/>
        </w:rPr>
        <w:t>3）表格行数不足的请自行增加行。</w:t>
      </w:r>
    </w:p>
    <w:p>
      <w:pPr>
        <w:adjustRightInd w:val="0"/>
        <w:snapToGrid w:val="0"/>
        <w:spacing w:line="360" w:lineRule="auto"/>
        <w:ind w:firstLine="2280" w:firstLineChars="95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投标单位（盖章）：</w:t>
      </w:r>
    </w:p>
    <w:p>
      <w:pPr>
        <w:adjustRightInd w:val="0"/>
        <w:snapToGrid w:val="0"/>
        <w:spacing w:line="360" w:lineRule="auto"/>
        <w:ind w:firstLine="2280" w:firstLineChars="95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   日期：  年   月   日</w:t>
      </w:r>
    </w:p>
    <w:p>
      <w:pPr>
        <w:pStyle w:val="8"/>
        <w:snapToGrid w:val="0"/>
        <w:spacing w:line="360" w:lineRule="auto"/>
        <w:ind w:firstLine="480" w:firstLineChars="200"/>
        <w:rPr>
          <w:rFonts w:ascii="仿宋" w:hAnsi="仿宋" w:eastAsia="仿宋" w:cs="仿宋"/>
          <w:color w:val="000000" w:themeColor="text1"/>
          <w:sz w:val="24"/>
          <w:szCs w:val="24"/>
        </w:rPr>
      </w:pPr>
    </w:p>
    <w:p>
      <w:pPr>
        <w:pStyle w:val="8"/>
        <w:snapToGrid w:val="0"/>
        <w:spacing w:line="360" w:lineRule="auto"/>
        <w:rPr>
          <w:rFonts w:ascii="仿宋" w:hAnsi="仿宋" w:eastAsia="仿宋" w:cs="仿宋"/>
          <w:color w:val="000000" w:themeColor="text1"/>
          <w:sz w:val="24"/>
          <w:szCs w:val="24"/>
        </w:rPr>
      </w:pP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sz w:val="24"/>
          <w:szCs w:val="24"/>
        </w:rPr>
      </w:pPr>
      <w:bookmarkStart w:id="173" w:name="_Toc509266988"/>
      <w:bookmarkStart w:id="174" w:name="_Toc504635191"/>
      <w:bookmarkStart w:id="175" w:name="_Toc476122401"/>
      <w:bookmarkStart w:id="176" w:name="_Toc463899751"/>
      <w:bookmarkStart w:id="177" w:name="_Toc509267074"/>
      <w:bookmarkStart w:id="178" w:name="_Toc509355960"/>
      <w:bookmarkStart w:id="179" w:name="_Toc10406407"/>
      <w:bookmarkStart w:id="180" w:name="_Toc17503421"/>
      <w:bookmarkStart w:id="181" w:name="_Toc26741897"/>
      <w:bookmarkStart w:id="182" w:name="_Toc34984041"/>
      <w:r>
        <w:rPr>
          <w:rFonts w:hint="eastAsia" w:ascii="仿宋" w:hAnsi="仿宋" w:eastAsia="仿宋" w:cs="仿宋"/>
          <w:snapToGrid w:val="0"/>
          <w:color w:val="000000" w:themeColor="text1"/>
          <w:kern w:val="0"/>
          <w:sz w:val="24"/>
          <w:szCs w:val="24"/>
        </w:rPr>
        <w:t>6、投标人关于资格的声明函</w:t>
      </w:r>
      <w:bookmarkEnd w:id="173"/>
      <w:bookmarkEnd w:id="174"/>
      <w:bookmarkEnd w:id="175"/>
      <w:bookmarkEnd w:id="176"/>
      <w:bookmarkEnd w:id="177"/>
      <w:bookmarkEnd w:id="178"/>
      <w:bookmarkEnd w:id="179"/>
      <w:bookmarkEnd w:id="180"/>
      <w:bookmarkEnd w:id="181"/>
      <w:bookmarkEnd w:id="182"/>
    </w:p>
    <w:p>
      <w:pPr>
        <w:adjustRightInd w:val="0"/>
        <w:snapToGrid w:val="0"/>
        <w:spacing w:line="360" w:lineRule="auto"/>
        <w:jc w:val="center"/>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投标人关于资格的声明函</w:t>
      </w:r>
    </w:p>
    <w:p>
      <w:pPr>
        <w:adjustRightInd w:val="0"/>
        <w:snapToGrid w:val="0"/>
        <w:spacing w:line="360" w:lineRule="auto"/>
        <w:jc w:val="left"/>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致：江西省博可为工程管理有限公司：</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我公司愿意对本项目（项目名称：；项目编号：标段号：）进行投标，投标文件中所有关于投标人资格的文件、证明、陈述和具有良好的商业信誉、财务会计制度健全；依法缴纳税收和社会保障资金良好</w:t>
      </w:r>
      <w:r>
        <w:rPr>
          <w:rFonts w:hint="eastAsia" w:ascii="仿宋" w:hAnsi="仿宋" w:eastAsia="仿宋" w:cs="仿宋"/>
          <w:color w:val="000000" w:themeColor="text1"/>
          <w:sz w:val="24"/>
          <w:szCs w:val="24"/>
        </w:rPr>
        <w:t>；提供的</w:t>
      </w:r>
      <w:r>
        <w:rPr>
          <w:rFonts w:hint="eastAsia" w:ascii="仿宋" w:hAnsi="仿宋" w:eastAsia="仿宋" w:cs="仿宋"/>
          <w:snapToGrid w:val="0"/>
          <w:color w:val="000000" w:themeColor="text1"/>
          <w:sz w:val="24"/>
          <w:szCs w:val="24"/>
        </w:rPr>
        <w:t>企业法人营业执照副本等其他材料</w:t>
      </w:r>
      <w:r>
        <w:rPr>
          <w:rFonts w:hint="eastAsia" w:ascii="仿宋" w:hAnsi="仿宋" w:eastAsia="仿宋" w:cs="仿宋"/>
          <w:color w:val="000000" w:themeColor="text1"/>
          <w:sz w:val="24"/>
          <w:szCs w:val="24"/>
        </w:rPr>
        <w:t>等</w:t>
      </w:r>
      <w:r>
        <w:rPr>
          <w:rFonts w:hint="eastAsia" w:ascii="仿宋" w:hAnsi="仿宋" w:eastAsia="仿宋" w:cs="仿宋"/>
          <w:snapToGrid w:val="0"/>
          <w:color w:val="000000" w:themeColor="text1"/>
          <w:sz w:val="24"/>
          <w:szCs w:val="24"/>
        </w:rPr>
        <w:t>均是真实的、准确的。若有违背，我公司承担由此而产生的一切后果。</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特此声明！</w:t>
      </w:r>
    </w:p>
    <w:p>
      <w:pPr>
        <w:adjustRightInd w:val="0"/>
        <w:snapToGrid w:val="0"/>
        <w:spacing w:line="360" w:lineRule="auto"/>
        <w:ind w:firstLine="480" w:firstLineChars="20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投标单位（盖章）：</w:t>
      </w:r>
    </w:p>
    <w:p>
      <w:pPr>
        <w:adjustRightInd w:val="0"/>
        <w:snapToGrid w:val="0"/>
        <w:spacing w:line="360" w:lineRule="auto"/>
        <w:ind w:firstLine="480" w:firstLineChars="20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  日期：  年   月   日</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pStyle w:val="5"/>
        <w:adjustRightInd w:val="0"/>
        <w:snapToGrid w:val="0"/>
        <w:spacing w:before="0" w:after="0" w:line="360" w:lineRule="auto"/>
        <w:ind w:firstLine="482" w:firstLineChars="200"/>
        <w:jc w:val="left"/>
        <w:rPr>
          <w:rFonts w:ascii="仿宋" w:hAnsi="仿宋" w:eastAsia="仿宋" w:cs="仿宋"/>
          <w:snapToGrid w:val="0"/>
          <w:color w:val="000000" w:themeColor="text1"/>
          <w:kern w:val="0"/>
          <w:sz w:val="24"/>
          <w:szCs w:val="24"/>
        </w:rPr>
      </w:pPr>
      <w:bookmarkStart w:id="183" w:name="_Toc26741898"/>
      <w:bookmarkStart w:id="184" w:name="_Toc17503422"/>
      <w:bookmarkStart w:id="185" w:name="_Toc10406408"/>
      <w:bookmarkStart w:id="186" w:name="_Toc509355961"/>
      <w:bookmarkStart w:id="187" w:name="_Toc509267075"/>
      <w:bookmarkStart w:id="188" w:name="_Toc476122402"/>
      <w:bookmarkStart w:id="189" w:name="_Toc509266989"/>
      <w:bookmarkStart w:id="190" w:name="_Toc504635192"/>
      <w:bookmarkStart w:id="191" w:name="_Toc463899752"/>
      <w:bookmarkStart w:id="192" w:name="_Toc34984042"/>
      <w:r>
        <w:rPr>
          <w:rFonts w:hint="eastAsia" w:ascii="仿宋" w:hAnsi="仿宋" w:eastAsia="仿宋" w:cs="仿宋"/>
          <w:snapToGrid w:val="0"/>
          <w:color w:val="000000" w:themeColor="text1"/>
          <w:kern w:val="0"/>
          <w:sz w:val="24"/>
          <w:szCs w:val="24"/>
        </w:rPr>
        <w:t>7、投标人关于中小企业声明函</w:t>
      </w:r>
      <w:bookmarkEnd w:id="183"/>
      <w:bookmarkEnd w:id="184"/>
      <w:bookmarkEnd w:id="185"/>
      <w:bookmarkEnd w:id="186"/>
      <w:bookmarkEnd w:id="187"/>
      <w:bookmarkEnd w:id="188"/>
      <w:bookmarkEnd w:id="189"/>
      <w:bookmarkEnd w:id="190"/>
      <w:bookmarkEnd w:id="191"/>
      <w:bookmarkEnd w:id="192"/>
    </w:p>
    <w:p>
      <w:pPr>
        <w:adjustRightInd w:val="0"/>
        <w:snapToGrid w:val="0"/>
        <w:spacing w:line="360" w:lineRule="auto"/>
        <w:jc w:val="center"/>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投标人关于中小企业声明函</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本公司郑重声明，根据《政府采购促进中小企业发展暂行办法》（财库〔2011〕181号）的规定，本公司为（请填写：中型、小型、微型）企业。即，本公司同时满足以下条件： </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u w:val="single"/>
        </w:rPr>
      </w:pPr>
      <w:r>
        <w:rPr>
          <w:rFonts w:hint="eastAsia" w:ascii="仿宋" w:hAnsi="仿宋" w:eastAsia="仿宋" w:cs="仿宋"/>
          <w:snapToGrid w:val="0"/>
          <w:color w:val="000000" w:themeColor="text1"/>
          <w:sz w:val="24"/>
          <w:szCs w:val="24"/>
        </w:rPr>
        <w:t xml:space="preserve">1.根据《工业和信息化部、国家统计局、国家发展和改革委员会、财政部关于印发中小企业划型标准规定的通知》（工信部联企业〔2011〕300号）规定的划分标准，本公司为（请填写：中型、小型、微型）企业。 </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2.本公司参加单位的项目采购活动提供本企业制造的货物，由本企业承担工程、提供服务，或者提供其他（请填写：中型、小型、微型）企业制造的货物。本条所称货物不包括使用大型企业注册商标的货物。</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本公司对上述声明的真实性负责。如有虚假，将依法承担相应责任。</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特此声明！</w:t>
      </w:r>
    </w:p>
    <w:p>
      <w:pPr>
        <w:adjustRightInd w:val="0"/>
        <w:snapToGrid w:val="0"/>
        <w:spacing w:line="360" w:lineRule="auto"/>
        <w:ind w:firstLine="2280" w:firstLineChars="95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投标单位（盖章）：</w:t>
      </w:r>
    </w:p>
    <w:p>
      <w:pPr>
        <w:adjustRightInd w:val="0"/>
        <w:snapToGrid w:val="0"/>
        <w:spacing w:line="360" w:lineRule="auto"/>
        <w:ind w:firstLine="2280" w:firstLineChars="95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日期：  年   月   日</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附：必须附有相关规定的证明，否则不能享受优惠。</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附件1：中、小、微企业认定证明</w:t>
      </w:r>
    </w:p>
    <w:p>
      <w:pPr>
        <w:snapToGrid w:val="0"/>
        <w:spacing w:line="360" w:lineRule="auto"/>
        <w:ind w:firstLine="480" w:firstLineChars="20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编号：</w:t>
      </w:r>
    </w:p>
    <w:tbl>
      <w:tblPr>
        <w:tblStyle w:val="15"/>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877"/>
        <w:gridCol w:w="992"/>
        <w:gridCol w:w="1843"/>
        <w:gridCol w:w="709"/>
        <w:gridCol w:w="127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Merge w:val="restart"/>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企业基本情况</w:t>
            </w:r>
          </w:p>
        </w:tc>
        <w:tc>
          <w:tcPr>
            <w:tcW w:w="1877"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企业名称</w:t>
            </w:r>
          </w:p>
        </w:tc>
        <w:tc>
          <w:tcPr>
            <w:tcW w:w="992" w:type="dxa"/>
            <w:vAlign w:val="center"/>
          </w:tcPr>
          <w:p>
            <w:pPr>
              <w:snapToGrid w:val="0"/>
              <w:spacing w:line="240" w:lineRule="atLeast"/>
              <w:rPr>
                <w:rFonts w:ascii="仿宋" w:hAnsi="仿宋" w:eastAsia="仿宋" w:cs="仿宋"/>
                <w:color w:val="000000" w:themeColor="text1"/>
                <w:sz w:val="24"/>
                <w:szCs w:val="24"/>
              </w:rPr>
            </w:pPr>
          </w:p>
        </w:tc>
        <w:tc>
          <w:tcPr>
            <w:tcW w:w="1843"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组织机构代码</w:t>
            </w:r>
          </w:p>
        </w:tc>
        <w:tc>
          <w:tcPr>
            <w:tcW w:w="709" w:type="dxa"/>
            <w:vAlign w:val="center"/>
          </w:tcPr>
          <w:p>
            <w:pPr>
              <w:snapToGrid w:val="0"/>
              <w:spacing w:line="240" w:lineRule="atLeast"/>
              <w:rPr>
                <w:rFonts w:ascii="仿宋" w:hAnsi="仿宋" w:eastAsia="仿宋" w:cs="仿宋"/>
                <w:color w:val="000000" w:themeColor="text1"/>
                <w:sz w:val="24"/>
                <w:szCs w:val="24"/>
              </w:rPr>
            </w:pPr>
          </w:p>
        </w:tc>
        <w:tc>
          <w:tcPr>
            <w:tcW w:w="1275"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法定代表人</w:t>
            </w:r>
          </w:p>
        </w:tc>
        <w:tc>
          <w:tcPr>
            <w:tcW w:w="1418" w:type="dxa"/>
            <w:vAlign w:val="center"/>
          </w:tcPr>
          <w:p>
            <w:pPr>
              <w:snapToGrid w:val="0"/>
              <w:spacing w:line="240" w:lineRule="atLeast"/>
              <w:rPr>
                <w:rFonts w:ascii="仿宋" w:hAnsi="仿宋" w:eastAsia="仿宋" w:cs="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Merge w:val="continue"/>
            <w:vAlign w:val="center"/>
          </w:tcPr>
          <w:p>
            <w:pPr>
              <w:snapToGrid w:val="0"/>
              <w:spacing w:line="240" w:lineRule="atLeast"/>
              <w:rPr>
                <w:rFonts w:ascii="仿宋" w:hAnsi="仿宋" w:eastAsia="仿宋" w:cs="仿宋"/>
                <w:color w:val="000000" w:themeColor="text1"/>
                <w:sz w:val="24"/>
                <w:szCs w:val="24"/>
              </w:rPr>
            </w:pPr>
          </w:p>
        </w:tc>
        <w:tc>
          <w:tcPr>
            <w:tcW w:w="1877"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行业代码（见赣财购[2012]3号文）</w:t>
            </w:r>
          </w:p>
        </w:tc>
        <w:tc>
          <w:tcPr>
            <w:tcW w:w="992" w:type="dxa"/>
            <w:vAlign w:val="center"/>
          </w:tcPr>
          <w:p>
            <w:pPr>
              <w:snapToGrid w:val="0"/>
              <w:spacing w:line="240" w:lineRule="atLeast"/>
              <w:rPr>
                <w:rFonts w:ascii="仿宋" w:hAnsi="仿宋" w:eastAsia="仿宋" w:cs="仿宋"/>
                <w:color w:val="000000" w:themeColor="text1"/>
                <w:sz w:val="24"/>
                <w:szCs w:val="24"/>
              </w:rPr>
            </w:pPr>
          </w:p>
        </w:tc>
        <w:tc>
          <w:tcPr>
            <w:tcW w:w="1843"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注册类型（见赣财购[2012]3号文）</w:t>
            </w:r>
          </w:p>
        </w:tc>
        <w:tc>
          <w:tcPr>
            <w:tcW w:w="709" w:type="dxa"/>
            <w:vAlign w:val="center"/>
          </w:tcPr>
          <w:p>
            <w:pPr>
              <w:snapToGrid w:val="0"/>
              <w:spacing w:line="240" w:lineRule="atLeast"/>
              <w:rPr>
                <w:rFonts w:ascii="仿宋" w:hAnsi="仿宋" w:eastAsia="仿宋" w:cs="仿宋"/>
                <w:color w:val="000000" w:themeColor="text1"/>
                <w:sz w:val="24"/>
                <w:szCs w:val="24"/>
              </w:rPr>
            </w:pPr>
          </w:p>
        </w:tc>
        <w:tc>
          <w:tcPr>
            <w:tcW w:w="1275"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联系人</w:t>
            </w:r>
          </w:p>
        </w:tc>
        <w:tc>
          <w:tcPr>
            <w:tcW w:w="1418" w:type="dxa"/>
            <w:vAlign w:val="center"/>
          </w:tcPr>
          <w:p>
            <w:pPr>
              <w:snapToGrid w:val="0"/>
              <w:spacing w:line="240" w:lineRule="atLeast"/>
              <w:rPr>
                <w:rFonts w:ascii="仿宋" w:hAnsi="仿宋" w:eastAsia="仿宋" w:cs="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2" w:type="dxa"/>
            <w:vMerge w:val="continue"/>
            <w:vAlign w:val="center"/>
          </w:tcPr>
          <w:p>
            <w:pPr>
              <w:snapToGrid w:val="0"/>
              <w:spacing w:line="240" w:lineRule="atLeast"/>
              <w:rPr>
                <w:rFonts w:ascii="仿宋" w:hAnsi="仿宋" w:eastAsia="仿宋" w:cs="仿宋"/>
                <w:color w:val="000000" w:themeColor="text1"/>
                <w:sz w:val="24"/>
                <w:szCs w:val="24"/>
              </w:rPr>
            </w:pPr>
          </w:p>
        </w:tc>
        <w:tc>
          <w:tcPr>
            <w:tcW w:w="1877"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主营业务（万元）</w:t>
            </w:r>
          </w:p>
        </w:tc>
        <w:tc>
          <w:tcPr>
            <w:tcW w:w="992" w:type="dxa"/>
            <w:vAlign w:val="center"/>
          </w:tcPr>
          <w:p>
            <w:pPr>
              <w:snapToGrid w:val="0"/>
              <w:spacing w:line="240" w:lineRule="atLeast"/>
              <w:rPr>
                <w:rFonts w:ascii="仿宋" w:hAnsi="仿宋" w:eastAsia="仿宋" w:cs="仿宋"/>
                <w:color w:val="000000" w:themeColor="text1"/>
                <w:sz w:val="24"/>
                <w:szCs w:val="24"/>
              </w:rPr>
            </w:pPr>
          </w:p>
        </w:tc>
        <w:tc>
          <w:tcPr>
            <w:tcW w:w="1843"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联系地址</w:t>
            </w:r>
          </w:p>
        </w:tc>
        <w:tc>
          <w:tcPr>
            <w:tcW w:w="709" w:type="dxa"/>
            <w:vAlign w:val="center"/>
          </w:tcPr>
          <w:p>
            <w:pPr>
              <w:snapToGrid w:val="0"/>
              <w:spacing w:line="240" w:lineRule="atLeast"/>
              <w:rPr>
                <w:rFonts w:ascii="仿宋" w:hAnsi="仿宋" w:eastAsia="仿宋" w:cs="仿宋"/>
                <w:color w:val="000000" w:themeColor="text1"/>
                <w:sz w:val="24"/>
                <w:szCs w:val="24"/>
              </w:rPr>
            </w:pPr>
          </w:p>
        </w:tc>
        <w:tc>
          <w:tcPr>
            <w:tcW w:w="1275"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邮政编码</w:t>
            </w:r>
          </w:p>
        </w:tc>
        <w:tc>
          <w:tcPr>
            <w:tcW w:w="1418" w:type="dxa"/>
            <w:vAlign w:val="center"/>
          </w:tcPr>
          <w:p>
            <w:pPr>
              <w:snapToGrid w:val="0"/>
              <w:spacing w:line="240" w:lineRule="atLeast"/>
              <w:rPr>
                <w:rFonts w:ascii="仿宋" w:hAnsi="仿宋" w:eastAsia="仿宋" w:cs="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Merge w:val="continue"/>
            <w:vAlign w:val="center"/>
          </w:tcPr>
          <w:p>
            <w:pPr>
              <w:snapToGrid w:val="0"/>
              <w:spacing w:line="240" w:lineRule="atLeast"/>
              <w:rPr>
                <w:rFonts w:ascii="仿宋" w:hAnsi="仿宋" w:eastAsia="仿宋" w:cs="仿宋"/>
                <w:color w:val="000000" w:themeColor="text1"/>
                <w:sz w:val="24"/>
                <w:szCs w:val="24"/>
              </w:rPr>
            </w:pPr>
          </w:p>
        </w:tc>
        <w:tc>
          <w:tcPr>
            <w:tcW w:w="1877"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联系电话</w:t>
            </w:r>
          </w:p>
        </w:tc>
        <w:tc>
          <w:tcPr>
            <w:tcW w:w="992" w:type="dxa"/>
            <w:vAlign w:val="center"/>
          </w:tcPr>
          <w:p>
            <w:pPr>
              <w:snapToGrid w:val="0"/>
              <w:spacing w:line="240" w:lineRule="atLeast"/>
              <w:rPr>
                <w:rFonts w:ascii="仿宋" w:hAnsi="仿宋" w:eastAsia="仿宋" w:cs="仿宋"/>
                <w:color w:val="000000" w:themeColor="text1"/>
                <w:sz w:val="24"/>
                <w:szCs w:val="24"/>
              </w:rPr>
            </w:pPr>
          </w:p>
        </w:tc>
        <w:tc>
          <w:tcPr>
            <w:tcW w:w="1843"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传真</w:t>
            </w:r>
          </w:p>
        </w:tc>
        <w:tc>
          <w:tcPr>
            <w:tcW w:w="709" w:type="dxa"/>
            <w:vAlign w:val="center"/>
          </w:tcPr>
          <w:p>
            <w:pPr>
              <w:snapToGrid w:val="0"/>
              <w:spacing w:line="240" w:lineRule="atLeast"/>
              <w:rPr>
                <w:rFonts w:ascii="仿宋" w:hAnsi="仿宋" w:eastAsia="仿宋" w:cs="仿宋"/>
                <w:color w:val="000000" w:themeColor="text1"/>
                <w:sz w:val="24"/>
                <w:szCs w:val="24"/>
              </w:rPr>
            </w:pPr>
          </w:p>
        </w:tc>
        <w:tc>
          <w:tcPr>
            <w:tcW w:w="1275"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电子邮箱</w:t>
            </w:r>
          </w:p>
        </w:tc>
        <w:tc>
          <w:tcPr>
            <w:tcW w:w="1418" w:type="dxa"/>
            <w:vAlign w:val="center"/>
          </w:tcPr>
          <w:p>
            <w:pPr>
              <w:snapToGrid w:val="0"/>
              <w:spacing w:line="240" w:lineRule="atLeast"/>
              <w:rPr>
                <w:rFonts w:ascii="仿宋" w:hAnsi="仿宋" w:eastAsia="仿宋" w:cs="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862" w:type="dxa"/>
            <w:vMerge w:val="continue"/>
            <w:vAlign w:val="center"/>
          </w:tcPr>
          <w:p>
            <w:pPr>
              <w:snapToGrid w:val="0"/>
              <w:spacing w:line="240" w:lineRule="atLeast"/>
              <w:rPr>
                <w:rFonts w:ascii="仿宋" w:hAnsi="仿宋" w:eastAsia="仿宋" w:cs="仿宋"/>
                <w:color w:val="000000" w:themeColor="text1"/>
                <w:sz w:val="24"/>
                <w:szCs w:val="24"/>
              </w:rPr>
            </w:pPr>
          </w:p>
        </w:tc>
        <w:tc>
          <w:tcPr>
            <w:tcW w:w="1877"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营业收入</w:t>
            </w:r>
          </w:p>
        </w:tc>
        <w:tc>
          <w:tcPr>
            <w:tcW w:w="992" w:type="dxa"/>
            <w:vAlign w:val="center"/>
          </w:tcPr>
          <w:p>
            <w:pPr>
              <w:snapToGrid w:val="0"/>
              <w:spacing w:line="240" w:lineRule="atLeast"/>
              <w:rPr>
                <w:rFonts w:ascii="仿宋" w:hAnsi="仿宋" w:eastAsia="仿宋" w:cs="仿宋"/>
                <w:color w:val="000000" w:themeColor="text1"/>
                <w:sz w:val="24"/>
                <w:szCs w:val="24"/>
              </w:rPr>
            </w:pPr>
          </w:p>
        </w:tc>
        <w:tc>
          <w:tcPr>
            <w:tcW w:w="1843"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从业人员</w:t>
            </w:r>
          </w:p>
        </w:tc>
        <w:tc>
          <w:tcPr>
            <w:tcW w:w="709" w:type="dxa"/>
            <w:vAlign w:val="center"/>
          </w:tcPr>
          <w:p>
            <w:pPr>
              <w:snapToGrid w:val="0"/>
              <w:spacing w:line="240" w:lineRule="atLeast"/>
              <w:rPr>
                <w:rFonts w:ascii="仿宋" w:hAnsi="仿宋" w:eastAsia="仿宋" w:cs="仿宋"/>
                <w:color w:val="000000" w:themeColor="text1"/>
                <w:sz w:val="24"/>
                <w:szCs w:val="24"/>
              </w:rPr>
            </w:pPr>
          </w:p>
        </w:tc>
        <w:tc>
          <w:tcPr>
            <w:tcW w:w="1275"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开业时间</w:t>
            </w:r>
          </w:p>
        </w:tc>
        <w:tc>
          <w:tcPr>
            <w:tcW w:w="1418"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862" w:type="dxa"/>
            <w:vAlign w:val="center"/>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县级中小企业主管部门认定意见</w:t>
            </w:r>
          </w:p>
        </w:tc>
        <w:tc>
          <w:tcPr>
            <w:tcW w:w="8114" w:type="dxa"/>
            <w:gridSpan w:val="6"/>
          </w:tcPr>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经调查核实，该企业属行业（请填写：中型、小型、微型）企业，有效期至本年底。</w:t>
            </w:r>
          </w:p>
          <w:p>
            <w:pPr>
              <w:snapToGrid w:val="0"/>
              <w:spacing w:line="240" w:lineRule="atLeast"/>
              <w:rPr>
                <w:rFonts w:ascii="仿宋" w:hAnsi="仿宋" w:eastAsia="仿宋" w:cs="仿宋"/>
                <w:color w:val="000000" w:themeColor="text1"/>
                <w:sz w:val="24"/>
                <w:szCs w:val="24"/>
              </w:rPr>
            </w:pPr>
          </w:p>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盖章：</w:t>
            </w:r>
          </w:p>
          <w:p>
            <w:pPr>
              <w:snapToGrid w:val="0"/>
              <w:spacing w:line="240" w:lineRule="atLeas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日期：</w:t>
            </w:r>
          </w:p>
        </w:tc>
      </w:tr>
    </w:tbl>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备注：1、省级以上监狱管理局、戒毒管理局（含新疆生产建设兵团）出具的属于监狱企业证明文件格式由出具单位提供；</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2、不符合小型、微型企业条件或不属于监狱企业的不需提供。</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附2：残疾人福利性单位声明函</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本单位对上述声明的真实性负责。如有虚假，将依法承担相应责任。</w:t>
      </w:r>
    </w:p>
    <w:p>
      <w:pPr>
        <w:adjustRightInd w:val="0"/>
        <w:snapToGrid w:val="0"/>
        <w:spacing w:line="360" w:lineRule="auto"/>
        <w:ind w:firstLine="480" w:firstLineChars="20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单位名称（盖章）：</w:t>
      </w:r>
    </w:p>
    <w:p>
      <w:pPr>
        <w:adjustRightInd w:val="0"/>
        <w:snapToGrid w:val="0"/>
        <w:spacing w:line="360" w:lineRule="auto"/>
        <w:ind w:firstLine="480" w:firstLineChars="20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   日期：  年   月   日</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附3：节能产品环境标志产品声明函</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本单位郑重声明，根据《财政部、国家发展改革委关于调整节能产品政府采购清单的通知》、《财政部、环保部关于调整环境标志产品政府采购清单的通知》文件要求，本单位提供的产品为政府采购清单中的节能产品和环境标志产品。</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本单位对上述声明的真实性负责。如有虚假，将依法承担相应责任。</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特此声明！</w:t>
      </w:r>
    </w:p>
    <w:p>
      <w:pPr>
        <w:adjustRightInd w:val="0"/>
        <w:snapToGrid w:val="0"/>
        <w:spacing w:line="360" w:lineRule="auto"/>
        <w:ind w:firstLine="480" w:firstLineChars="20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单位名称（盖章）：</w:t>
      </w:r>
    </w:p>
    <w:p>
      <w:pPr>
        <w:adjustRightInd w:val="0"/>
        <w:snapToGrid w:val="0"/>
        <w:spacing w:line="360" w:lineRule="auto"/>
        <w:ind w:firstLine="480" w:firstLineChars="20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   日期：  年   月   日</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附：招标公告发布之日前《中国政府采购网》发布的最新一期产品佐证材料。</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pStyle w:val="5"/>
        <w:adjustRightInd w:val="0"/>
        <w:snapToGrid w:val="0"/>
        <w:spacing w:before="0" w:after="0" w:line="400" w:lineRule="exact"/>
        <w:ind w:firstLine="482" w:firstLineChars="200"/>
        <w:jc w:val="left"/>
        <w:rPr>
          <w:rFonts w:ascii="仿宋" w:hAnsi="仿宋" w:eastAsia="仿宋" w:cs="仿宋"/>
          <w:snapToGrid w:val="0"/>
          <w:color w:val="000000" w:themeColor="text1"/>
          <w:kern w:val="0"/>
          <w:sz w:val="24"/>
          <w:szCs w:val="24"/>
        </w:rPr>
      </w:pPr>
      <w:bookmarkStart w:id="193" w:name="_Toc506844603"/>
      <w:bookmarkStart w:id="194" w:name="_Toc506841494"/>
      <w:bookmarkStart w:id="195" w:name="_Toc509266990"/>
      <w:bookmarkStart w:id="196" w:name="_Toc509267076"/>
      <w:bookmarkStart w:id="197" w:name="_Toc509355962"/>
      <w:bookmarkStart w:id="198" w:name="_Toc10406409"/>
      <w:bookmarkStart w:id="199" w:name="_Toc17503423"/>
      <w:bookmarkStart w:id="200" w:name="_Toc26741899"/>
      <w:bookmarkStart w:id="201" w:name="_Toc34984043"/>
      <w:r>
        <w:rPr>
          <w:rFonts w:hint="eastAsia" w:ascii="仿宋" w:hAnsi="仿宋" w:eastAsia="仿宋" w:cs="仿宋"/>
          <w:snapToGrid w:val="0"/>
          <w:color w:val="000000" w:themeColor="text1"/>
          <w:kern w:val="0"/>
          <w:sz w:val="24"/>
          <w:szCs w:val="24"/>
        </w:rPr>
        <w:t>8、资格证明文件</w:t>
      </w:r>
      <w:bookmarkEnd w:id="193"/>
      <w:bookmarkEnd w:id="194"/>
      <w:bookmarkEnd w:id="195"/>
      <w:bookmarkEnd w:id="196"/>
      <w:bookmarkEnd w:id="197"/>
      <w:bookmarkEnd w:id="198"/>
      <w:bookmarkEnd w:id="199"/>
      <w:bookmarkEnd w:id="200"/>
      <w:bookmarkEnd w:id="201"/>
    </w:p>
    <w:p>
      <w:pPr>
        <w:adjustRightInd w:val="0"/>
        <w:snapToGrid w:val="0"/>
        <w:spacing w:line="360" w:lineRule="auto"/>
        <w:jc w:val="center"/>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资格证明文件</w:t>
      </w:r>
    </w:p>
    <w:p>
      <w:pPr>
        <w:adjustRightInd w:val="0"/>
        <w:snapToGrid w:val="0"/>
        <w:spacing w:line="360" w:lineRule="auto"/>
        <w:ind w:firstLine="480" w:firstLineChars="200"/>
        <w:jc w:val="left"/>
        <w:rPr>
          <w:rFonts w:ascii="仿宋" w:hAnsi="仿宋" w:eastAsia="仿宋" w:cs="仿宋"/>
          <w:snapToGrid w:val="0"/>
          <w:color w:val="000000" w:themeColor="text1"/>
          <w:kern w:val="0"/>
          <w:sz w:val="24"/>
          <w:szCs w:val="24"/>
        </w:rPr>
      </w:pPr>
      <w:bookmarkStart w:id="202" w:name="_Toc463899757"/>
      <w:bookmarkStart w:id="203" w:name="_Toc506841496"/>
      <w:bookmarkStart w:id="204" w:name="_Toc506844605"/>
      <w:bookmarkStart w:id="205" w:name="_Toc509266992"/>
      <w:bookmarkStart w:id="206" w:name="_Toc509267078"/>
      <w:bookmarkStart w:id="207" w:name="_Toc509355964"/>
      <w:r>
        <w:rPr>
          <w:rFonts w:hint="eastAsia" w:ascii="仿宋" w:hAnsi="仿宋" w:eastAsia="仿宋" w:cs="仿宋"/>
          <w:snapToGrid w:val="0"/>
          <w:color w:val="000000" w:themeColor="text1"/>
          <w:kern w:val="0"/>
          <w:sz w:val="24"/>
          <w:szCs w:val="24"/>
        </w:rPr>
        <w:t>1)具有独立承担民事责任的能力（提供营业执照，或事业单位查询网址，或自然人的身份证原件，或上述证照复印件加盖单位的公章）；</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2、</w:t>
      </w:r>
      <w:r>
        <w:rPr>
          <w:rFonts w:hint="eastAsia" w:ascii="仿宋" w:hAnsi="仿宋" w:eastAsia="仿宋" w:cs="仿宋"/>
          <w:color w:val="000000"/>
          <w:sz w:val="24"/>
          <w:szCs w:val="24"/>
          <w:shd w:val="clear" w:color="auto" w:fill="FFFFFF"/>
        </w:rPr>
        <w:t>具有良好的商业信誉和健全的财务会计制度（提供开标时间前近6个月内任意一个月的财务报表或2019年度财务审计报告复印件或开标时间前近6个月内任意时间基本开户银行的资信证明）；</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3、具有履行合同所必需的设备和专业技术能力（提供其承诺函原件）；</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4、有依法缴纳税收和社会保障资金的良好记录（提供开标时间前6个月内任意时间缴税和缴纳社保凭证（或社保局社保缴纳明细）原件，或免税和不需缴纳社保相关文件证明原件）；</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5、参加政府采购活动前三年内，在经营活动中没有重大违法记录（提供其承诺函和开标前七日内“信用中国网”和“中国政府采购网”查询截图）；</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6、法律、法规规定的其他条件：</w:t>
      </w:r>
    </w:p>
    <w:p>
      <w:pPr>
        <w:adjustRightInd w:val="0"/>
        <w:snapToGrid w:val="0"/>
        <w:spacing w:line="400" w:lineRule="exact"/>
        <w:ind w:firstLine="480" w:firstLineChars="200"/>
        <w:jc w:val="left"/>
        <w:rPr>
          <w:rFonts w:ascii="仿宋" w:hAnsi="仿宋" w:eastAsia="仿宋" w:cs="仿宋"/>
          <w:snapToGrid w:val="0"/>
          <w:color w:val="000000" w:themeColor="text1"/>
          <w:kern w:val="0"/>
          <w:sz w:val="24"/>
          <w:szCs w:val="24"/>
        </w:rPr>
      </w:pPr>
      <w:r>
        <w:rPr>
          <w:rFonts w:hint="eastAsia" w:ascii="仿宋" w:hAnsi="仿宋" w:eastAsia="仿宋" w:cs="仿宋"/>
          <w:snapToGrid w:val="0"/>
          <w:color w:val="000000" w:themeColor="text1"/>
          <w:kern w:val="0"/>
          <w:sz w:val="24"/>
          <w:szCs w:val="24"/>
        </w:rPr>
        <w:t>1）非法定代表人出席开标现场的，须有法定代表人授权书；</w:t>
      </w: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2）本项目不接受联合</w:t>
      </w:r>
      <w:r>
        <w:rPr>
          <w:rFonts w:hint="eastAsia" w:ascii="仿宋" w:hAnsi="仿宋" w:eastAsia="仿宋" w:cs="仿宋"/>
          <w:snapToGrid w:val="0"/>
          <w:color w:val="000000" w:themeColor="text1"/>
          <w:kern w:val="0"/>
          <w:sz w:val="24"/>
          <w:szCs w:val="24"/>
        </w:rPr>
        <w:t>体。</w:t>
      </w:r>
    </w:p>
    <w:p>
      <w:pPr>
        <w:adjustRightInd w:val="0"/>
        <w:snapToGrid w:val="0"/>
        <w:spacing w:line="360" w:lineRule="auto"/>
        <w:ind w:firstLine="482" w:firstLineChars="200"/>
        <w:jc w:val="left"/>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以上</w:t>
      </w:r>
      <w:bookmarkStart w:id="208" w:name="_Toc491205679"/>
      <w:r>
        <w:rPr>
          <w:rFonts w:hint="eastAsia" w:ascii="仿宋" w:hAnsi="仿宋" w:eastAsia="仿宋" w:cs="仿宋"/>
          <w:b/>
          <w:snapToGrid w:val="0"/>
          <w:color w:val="000000" w:themeColor="text1"/>
          <w:sz w:val="24"/>
          <w:szCs w:val="24"/>
        </w:rPr>
        <w:t>请按投标文件的第一章招标公告</w:t>
      </w:r>
      <w:bookmarkEnd w:id="208"/>
      <w:r>
        <w:rPr>
          <w:rFonts w:hint="eastAsia" w:ascii="仿宋" w:hAnsi="仿宋" w:eastAsia="仿宋" w:cs="仿宋"/>
          <w:b/>
          <w:snapToGrid w:val="0"/>
          <w:color w:val="000000" w:themeColor="text1"/>
          <w:sz w:val="24"/>
          <w:szCs w:val="24"/>
        </w:rPr>
        <w:t>之“投标人资格”要求提供</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7）保证金缴纳声明函的扫描件；</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附格式：</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1）具有履行合同所需的设备和专业技术能力承诺（函）</w:t>
      </w:r>
    </w:p>
    <w:p>
      <w:pPr>
        <w:adjustRightInd w:val="0"/>
        <w:snapToGrid w:val="0"/>
        <w:spacing w:line="360" w:lineRule="auto"/>
        <w:jc w:val="center"/>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具有履行合同所需的设备和专业技术能力承诺（函）</w:t>
      </w:r>
    </w:p>
    <w:p>
      <w:pPr>
        <w:adjustRightInd w:val="0"/>
        <w:snapToGrid w:val="0"/>
        <w:spacing w:line="360" w:lineRule="auto"/>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江西省博可为工程管理有限公司：</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我公司参加贵公司组织的（项目名称），（项目编号）投标，我公司郑重承诺：本公司具有履行合同所需的设备和专业技术能力，并符合政府采购法第二十二条规定的资格条件，本公司对上述承诺的真实性负责。如有虚假，将依法承担相应责任。</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 特此承诺!  </w:t>
      </w:r>
    </w:p>
    <w:p>
      <w:pPr>
        <w:adjustRightInd w:val="0"/>
        <w:snapToGrid w:val="0"/>
        <w:spacing w:line="360" w:lineRule="auto"/>
        <w:ind w:firstLine="480" w:firstLineChars="20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投标单位（盖章）：</w:t>
      </w:r>
    </w:p>
    <w:p>
      <w:pPr>
        <w:adjustRightInd w:val="0"/>
        <w:snapToGrid w:val="0"/>
        <w:spacing w:line="360" w:lineRule="auto"/>
        <w:ind w:firstLine="480" w:firstLineChars="20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   日期：  年   月   日</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2）无重大违法记录声明函</w:t>
      </w:r>
    </w:p>
    <w:p>
      <w:pPr>
        <w:snapToGrid w:val="0"/>
        <w:spacing w:line="360" w:lineRule="auto"/>
        <w:jc w:val="center"/>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无重大违法记录声明函</w:t>
      </w:r>
    </w:p>
    <w:p>
      <w:pPr>
        <w:adjustRightInd w:val="0"/>
        <w:snapToGrid w:val="0"/>
        <w:spacing w:line="360" w:lineRule="auto"/>
        <w:jc w:val="left"/>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致：江西省博可为工程管理有限公司：</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针对贵方组织的（项目名称）（项目编号：标段号：），我方郑重承诺：</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参加本次政府采购活动前三年内，在经营活动中没有重大违法记录。</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本公司对上述声明的真实性负责。如有虚假，将依法承担相关责任。</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特此声明。</w:t>
      </w:r>
    </w:p>
    <w:p>
      <w:pPr>
        <w:adjustRightInd w:val="0"/>
        <w:snapToGrid w:val="0"/>
        <w:spacing w:line="360" w:lineRule="auto"/>
        <w:ind w:firstLine="480" w:firstLineChars="20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投标单位（盖章）：</w:t>
      </w:r>
    </w:p>
    <w:p>
      <w:pPr>
        <w:adjustRightInd w:val="0"/>
        <w:snapToGrid w:val="0"/>
        <w:spacing w:line="360" w:lineRule="auto"/>
        <w:ind w:firstLine="480" w:firstLineChars="200"/>
        <w:jc w:val="center"/>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 xml:space="preserve">  日期：  年   月   日</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3）投标人信用网站查询网址</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略</w:t>
      </w: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p>
    <w:p>
      <w:pPr>
        <w:adjustRightInd w:val="0"/>
        <w:snapToGrid w:val="0"/>
        <w:spacing w:line="360" w:lineRule="auto"/>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4）保证金缴纳声明函</w:t>
      </w:r>
    </w:p>
    <w:p>
      <w:pPr>
        <w:snapToGrid w:val="0"/>
        <w:spacing w:line="360" w:lineRule="auto"/>
        <w:jc w:val="center"/>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保证金缴纳声明函</w:t>
      </w:r>
    </w:p>
    <w:p>
      <w:pPr>
        <w:snapToGrid w:val="0"/>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致：江西省博可为工程管理有限公司</w:t>
      </w:r>
    </w:p>
    <w:p>
      <w:pPr>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我方为项目名称（项目编号：)递交保证金人民币元(大写：人民币元)已于年月日以方式汇入招标文件规定的帐户。</w:t>
      </w:r>
    </w:p>
    <w:p>
      <w:pPr>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详见附件：保证金缴纳凭证复印件（或扫描件）。</w:t>
      </w:r>
    </w:p>
    <w:p>
      <w:pPr>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退还保证金时请按以下内容汇入至我方帐户。若因内容不全、错误、字迹潦草模糊导致该项目保证金未能及时退还或退还过程中发生错误，我方将承担全部责任和损失。</w:t>
      </w:r>
    </w:p>
    <w:p>
      <w:pPr>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单位全称：                  开户银行：</w:t>
      </w:r>
    </w:p>
    <w:p>
      <w:pPr>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开户帐号：                  地址：</w:t>
      </w:r>
    </w:p>
    <w:p>
      <w:pPr>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项目联系人：                电话(手机)：</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jc w:val="center"/>
        </w:trPr>
        <w:tc>
          <w:tcPr>
            <w:tcW w:w="8798" w:type="dxa"/>
            <w:vAlign w:val="center"/>
          </w:tcPr>
          <w:p>
            <w:pPr>
              <w:ind w:firstLine="56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(保证金缴纳凭证粘贴处)</w:t>
            </w:r>
          </w:p>
        </w:tc>
      </w:tr>
    </w:tbl>
    <w:p>
      <w:pPr>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注:供应商应详细填写本文件,并按要求粘贴凭证复印件,连同响应文件一起交给招标公司，以便项目结束后办理保证金的退回手续。</w:t>
      </w:r>
    </w:p>
    <w:p>
      <w:pPr>
        <w:snapToGrid w:val="0"/>
        <w:spacing w:line="360" w:lineRule="auto"/>
        <w:ind w:firstLine="480" w:firstLineChars="200"/>
        <w:rPr>
          <w:rFonts w:ascii="仿宋" w:hAnsi="仿宋" w:eastAsia="仿宋" w:cs="仿宋"/>
          <w:color w:val="000000" w:themeColor="text1"/>
          <w:sz w:val="24"/>
          <w:szCs w:val="24"/>
        </w:rPr>
      </w:pPr>
    </w:p>
    <w:p>
      <w:pPr>
        <w:snapToGrid w:val="0"/>
        <w:spacing w:line="360" w:lineRule="auto"/>
        <w:ind w:firstLine="480" w:firstLineChars="200"/>
        <w:rPr>
          <w:rFonts w:ascii="仿宋" w:hAnsi="仿宋" w:eastAsia="仿宋" w:cs="仿宋"/>
          <w:color w:val="000000" w:themeColor="text1"/>
          <w:sz w:val="24"/>
          <w:szCs w:val="24"/>
        </w:rPr>
      </w:pPr>
    </w:p>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5）保证金缴纳声明函</w:t>
      </w:r>
    </w:p>
    <w:p>
      <w:pPr>
        <w:snapToGrid w:val="0"/>
        <w:spacing w:line="360" w:lineRule="auto"/>
        <w:jc w:val="center"/>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保证金缴纳声明函</w:t>
      </w:r>
    </w:p>
    <w:p>
      <w:pPr>
        <w:snapToGrid w:val="0"/>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致：江西省博可为工程管理有限公司</w:t>
      </w:r>
    </w:p>
    <w:p>
      <w:pPr>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我方为项目名称（项目编号：)递交保证金人民币元(大写：人民币元)已于年月日以方式汇入招标文件规定的帐户。</w:t>
      </w:r>
    </w:p>
    <w:p>
      <w:pPr>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详见附件：保证金缴纳凭证复印件（或扫描件）。</w:t>
      </w:r>
    </w:p>
    <w:p>
      <w:pPr>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退还保证金时请按以下内容汇入至我方帐户。若因内容不全、错误、字迹潦草模糊导致该项目保证金未能及时退还或退还过程中发生错误，我方将承担全部责任和损失。</w:t>
      </w:r>
    </w:p>
    <w:p>
      <w:pPr>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单位全称：                  开户银行：</w:t>
      </w:r>
    </w:p>
    <w:p>
      <w:pPr>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开户帐号：                  地址：</w:t>
      </w:r>
    </w:p>
    <w:p>
      <w:pPr>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项目联系人：                电话(手机)：</w:t>
      </w:r>
    </w:p>
    <w:tbl>
      <w:tblPr>
        <w:tblStyle w:val="15"/>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1" w:hRule="atLeast"/>
          <w:jc w:val="center"/>
        </w:trPr>
        <w:tc>
          <w:tcPr>
            <w:tcW w:w="8798" w:type="dxa"/>
            <w:tcBorders>
              <w:top w:val="single" w:color="auto" w:sz="4" w:space="0"/>
              <w:left w:val="single" w:color="auto" w:sz="4" w:space="0"/>
              <w:bottom w:val="single" w:color="auto" w:sz="4" w:space="0"/>
              <w:right w:val="single" w:color="auto" w:sz="4" w:space="0"/>
            </w:tcBorders>
            <w:vAlign w:val="center"/>
          </w:tcPr>
          <w:p>
            <w:pPr>
              <w:ind w:firstLine="56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 (保证金缴纳凭证粘贴处)</w:t>
            </w:r>
          </w:p>
        </w:tc>
      </w:tr>
    </w:tbl>
    <w:p>
      <w:pPr>
        <w:snapToGrid w:val="0"/>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注:供应商应详细填写本文件,并按要求粘贴凭证复印件,连同响应文件一起交给招标公司，以便项目结束后办理保证金的退回手续。</w:t>
      </w:r>
    </w:p>
    <w:p>
      <w:pPr>
        <w:snapToGrid w:val="0"/>
        <w:spacing w:line="400" w:lineRule="exact"/>
        <w:ind w:firstLine="480" w:firstLineChars="200"/>
        <w:rPr>
          <w:rFonts w:ascii="仿宋" w:hAnsi="仿宋" w:eastAsia="仿宋" w:cs="仿宋"/>
          <w:snapToGrid w:val="0"/>
          <w:color w:val="000000" w:themeColor="text1"/>
          <w:sz w:val="24"/>
          <w:szCs w:val="24"/>
        </w:rPr>
      </w:pPr>
      <w:bookmarkStart w:id="209" w:name="_Toc506841495"/>
      <w:bookmarkStart w:id="210" w:name="_Toc523076979"/>
      <w:r>
        <w:rPr>
          <w:rFonts w:hint="eastAsia" w:ascii="仿宋" w:hAnsi="仿宋" w:eastAsia="仿宋" w:cs="仿宋"/>
          <w:snapToGrid w:val="0"/>
          <w:color w:val="000000" w:themeColor="text1"/>
          <w:sz w:val="24"/>
          <w:szCs w:val="24"/>
        </w:rPr>
        <w:t>6）法定代表人授权书</w:t>
      </w:r>
      <w:bookmarkEnd w:id="209"/>
      <w:bookmarkEnd w:id="210"/>
    </w:p>
    <w:p>
      <w:pPr>
        <w:snapToGrid w:val="0"/>
        <w:spacing w:line="360" w:lineRule="auto"/>
        <w:jc w:val="center"/>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法定代表人授权书</w:t>
      </w:r>
    </w:p>
    <w:p>
      <w:pPr>
        <w:snapToGrid w:val="0"/>
        <w:spacing w:line="360" w:lineRule="auto"/>
        <w:rPr>
          <w:rFonts w:ascii="仿宋" w:hAnsi="仿宋" w:eastAsia="仿宋" w:cs="仿宋"/>
          <w:b/>
          <w:snapToGrid w:val="0"/>
          <w:color w:val="000000" w:themeColor="text1"/>
          <w:sz w:val="24"/>
          <w:szCs w:val="24"/>
        </w:rPr>
      </w:pPr>
      <w:r>
        <w:rPr>
          <w:rFonts w:hint="eastAsia" w:ascii="仿宋" w:hAnsi="仿宋" w:eastAsia="仿宋" w:cs="仿宋"/>
          <w:b/>
          <w:snapToGrid w:val="0"/>
          <w:color w:val="000000" w:themeColor="text1"/>
          <w:sz w:val="24"/>
          <w:szCs w:val="24"/>
        </w:rPr>
        <w:t>致: 江西省博可为工程管理有限公司：</w:t>
      </w:r>
    </w:p>
    <w:p>
      <w:pPr>
        <w:snapToGrid w:val="0"/>
        <w:spacing w:line="360" w:lineRule="auto"/>
        <w:ind w:firstLine="960" w:firstLineChars="400"/>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u w:val="single"/>
        </w:rPr>
        <w:t>（投标人全称）</w:t>
      </w:r>
      <w:r>
        <w:rPr>
          <w:rFonts w:hint="eastAsia" w:ascii="仿宋" w:hAnsi="仿宋" w:eastAsia="仿宋" w:cs="仿宋"/>
          <w:snapToGrid w:val="0"/>
          <w:color w:val="000000" w:themeColor="text1"/>
          <w:sz w:val="24"/>
          <w:szCs w:val="24"/>
        </w:rPr>
        <w:t>法定代表人授权（全权代表姓名）为全权代表,参加贵处组织的（项目名称）（项目编号：）项目招标活动，全权代表我方处理招标活动中的一切事宜。</w:t>
      </w:r>
    </w:p>
    <w:p>
      <w:pPr>
        <w:snapToGrid w:val="0"/>
        <w:spacing w:line="360" w:lineRule="auto"/>
        <w:ind w:firstLine="4920" w:firstLineChars="2050"/>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投标单位（盖章）：</w:t>
      </w:r>
    </w:p>
    <w:p>
      <w:pPr>
        <w:snapToGrid w:val="0"/>
        <w:spacing w:line="360" w:lineRule="auto"/>
        <w:ind w:firstLine="4920" w:firstLineChars="2050"/>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法定代表人（印章或签名）</w:t>
      </w:r>
    </w:p>
    <w:p>
      <w:pPr>
        <w:snapToGrid w:val="0"/>
        <w:spacing w:line="360" w:lineRule="auto"/>
        <w:ind w:firstLine="4920" w:firstLineChars="2050"/>
        <w:rPr>
          <w:rFonts w:ascii="仿宋" w:hAnsi="仿宋" w:eastAsia="仿宋" w:cs="仿宋"/>
          <w:snapToGrid w:val="0"/>
          <w:color w:val="000000" w:themeColor="text1"/>
          <w:sz w:val="24"/>
          <w:szCs w:val="24"/>
        </w:rPr>
      </w:pPr>
    </w:p>
    <w:p>
      <w:pPr>
        <w:snapToGrid w:val="0"/>
        <w:spacing w:line="360" w:lineRule="auto"/>
        <w:ind w:firstLine="4920" w:firstLineChars="2050"/>
        <w:rPr>
          <w:rFonts w:ascii="仿宋" w:hAnsi="仿宋" w:eastAsia="仿宋" w:cs="仿宋"/>
          <w:snapToGrid w:val="0"/>
          <w:color w:val="000000" w:themeColor="text1"/>
          <w:sz w:val="24"/>
          <w:szCs w:val="24"/>
        </w:rPr>
      </w:pPr>
      <w:r>
        <w:rPr>
          <w:rFonts w:hint="eastAsia" w:ascii="仿宋" w:hAnsi="仿宋" w:eastAsia="仿宋" w:cs="仿宋"/>
          <w:snapToGrid w:val="0"/>
          <w:color w:val="000000" w:themeColor="text1"/>
          <w:sz w:val="24"/>
          <w:szCs w:val="24"/>
        </w:rPr>
        <w:t>日期： 年   月   日</w:t>
      </w:r>
    </w:p>
    <w:tbl>
      <w:tblPr>
        <w:tblStyle w:val="15"/>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15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771" w:hRule="atLeast"/>
          <w:jc w:val="center"/>
        </w:trPr>
        <w:tc>
          <w:tcPr>
            <w:tcW w:w="6157" w:type="dxa"/>
            <w:vAlign w:val="center"/>
          </w:tcPr>
          <w:p>
            <w:pPr>
              <w:spacing w:line="300" w:lineRule="auto"/>
              <w:rPr>
                <w:rFonts w:ascii="仿宋" w:hAnsi="仿宋" w:eastAsia="仿宋" w:cs="仿宋"/>
                <w:color w:val="000000" w:themeColor="text1"/>
                <w:sz w:val="24"/>
                <w:szCs w:val="24"/>
              </w:rPr>
            </w:pPr>
            <w:r>
              <w:rPr>
                <w:rFonts w:hint="eastAsia" w:ascii="仿宋" w:hAnsi="仿宋" w:eastAsia="仿宋" w:cs="仿宋"/>
                <w:snapToGrid w:val="0"/>
                <w:color w:val="000000" w:themeColor="text1"/>
                <w:sz w:val="24"/>
                <w:szCs w:val="24"/>
              </w:rPr>
              <w:t>全权代表</w:t>
            </w:r>
            <w:r>
              <w:rPr>
                <w:rFonts w:hint="eastAsia" w:ascii="仿宋" w:hAnsi="仿宋" w:eastAsia="仿宋" w:cs="仿宋"/>
                <w:color w:val="000000" w:themeColor="text1"/>
                <w:sz w:val="24"/>
                <w:szCs w:val="24"/>
              </w:rPr>
              <w:t>身份证复印件粘贴处</w:t>
            </w:r>
          </w:p>
        </w:tc>
      </w:tr>
      <w:bookmarkEnd w:id="202"/>
      <w:bookmarkEnd w:id="203"/>
      <w:bookmarkEnd w:id="204"/>
      <w:bookmarkEnd w:id="205"/>
      <w:bookmarkEnd w:id="206"/>
      <w:bookmarkEnd w:id="207"/>
    </w:tbl>
    <w:p>
      <w:pPr>
        <w:adjustRightInd w:val="0"/>
        <w:snapToGrid w:val="0"/>
        <w:spacing w:line="400" w:lineRule="exact"/>
        <w:ind w:firstLine="480" w:firstLineChars="200"/>
        <w:jc w:val="left"/>
        <w:rPr>
          <w:rFonts w:ascii="仿宋" w:hAnsi="仿宋" w:eastAsia="仿宋" w:cs="仿宋"/>
          <w:snapToGrid w:val="0"/>
          <w:color w:val="000000" w:themeColor="text1"/>
          <w:sz w:val="24"/>
          <w:szCs w:val="24"/>
        </w:rPr>
      </w:pPr>
    </w:p>
    <w:p>
      <w:pPr>
        <w:rPr>
          <w:rFonts w:ascii="仿宋" w:hAnsi="仿宋" w:eastAsia="仿宋" w:cs="仿宋"/>
          <w:color w:val="000000" w:themeColor="text1"/>
          <w:sz w:val="24"/>
          <w:szCs w:val="24"/>
        </w:rPr>
      </w:pPr>
    </w:p>
    <w:sectPr>
      <w:headerReference r:id="rId6" w:type="default"/>
      <w:footerReference r:id="rId7" w:type="default"/>
      <w:pgSz w:w="11906" w:h="16838"/>
      <w:pgMar w:top="1134" w:right="1134" w:bottom="1134" w:left="1134"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r>
      <w:rPr>
        <w:rFonts w:hint="eastAsia"/>
        <w:szCs w:val="21"/>
      </w:rPr>
      <w:t>第</w:t>
    </w:r>
    <w:r>
      <w:rPr>
        <w:szCs w:val="21"/>
      </w:rPr>
      <w:fldChar w:fldCharType="begin"/>
    </w:r>
    <w:r>
      <w:rPr>
        <w:szCs w:val="21"/>
      </w:rPr>
      <w:instrText xml:space="preserve"> PAGE </w:instrText>
    </w:r>
    <w:r>
      <w:rPr>
        <w:szCs w:val="21"/>
      </w:rPr>
      <w:fldChar w:fldCharType="separate"/>
    </w:r>
    <w:r>
      <w:rPr>
        <w:szCs w:val="21"/>
      </w:rPr>
      <w:t>1</w:t>
    </w:r>
    <w:r>
      <w:rPr>
        <w:szCs w:val="21"/>
      </w:rPr>
      <w:fldChar w:fldCharType="end"/>
    </w:r>
    <w:r>
      <w:rPr>
        <w:rFonts w:hint="eastAsia"/>
        <w:szCs w:val="21"/>
      </w:rPr>
      <w:t>页共</w:t>
    </w:r>
    <w:r>
      <w:rPr>
        <w:szCs w:val="21"/>
      </w:rPr>
      <w:fldChar w:fldCharType="begin"/>
    </w:r>
    <w:r>
      <w:rPr>
        <w:szCs w:val="21"/>
      </w:rPr>
      <w:instrText xml:space="preserve"> NUMPAGES </w:instrText>
    </w:r>
    <w:r>
      <w:rPr>
        <w:szCs w:val="21"/>
      </w:rPr>
      <w:fldChar w:fldCharType="separate"/>
    </w:r>
    <w:r>
      <w:rPr>
        <w:szCs w:val="21"/>
      </w:rPr>
      <w:t>45</w:t>
    </w:r>
    <w:r>
      <w:rPr>
        <w:szCs w:val="21"/>
      </w:rPr>
      <w:fldChar w:fldCharType="end"/>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rPr>
        <w:rStyle w:val="18"/>
      </w:rPr>
      <w:instrText xml:space="preserve"> PAGE </w:instrText>
    </w:r>
    <w:r>
      <w:fldChar w:fldCharType="separate"/>
    </w:r>
    <w:r>
      <w:rPr>
        <w:rStyle w:val="18"/>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r>
      <w:rPr>
        <w:rFonts w:hint="eastAsia"/>
        <w:szCs w:val="21"/>
      </w:rPr>
      <w:t>第</w:t>
    </w:r>
    <w:r>
      <w:rPr>
        <w:szCs w:val="21"/>
      </w:rPr>
      <w:fldChar w:fldCharType="begin"/>
    </w:r>
    <w:r>
      <w:rPr>
        <w:szCs w:val="21"/>
      </w:rPr>
      <w:instrText xml:space="preserve"> PAGE </w:instrText>
    </w:r>
    <w:r>
      <w:rPr>
        <w:szCs w:val="21"/>
      </w:rPr>
      <w:fldChar w:fldCharType="separate"/>
    </w:r>
    <w:r>
      <w:rPr>
        <w:szCs w:val="21"/>
      </w:rPr>
      <w:t>43</w:t>
    </w:r>
    <w:r>
      <w:rPr>
        <w:szCs w:val="21"/>
      </w:rPr>
      <w:fldChar w:fldCharType="end"/>
    </w:r>
    <w:r>
      <w:rPr>
        <w:rFonts w:hint="eastAsia"/>
        <w:szCs w:val="21"/>
      </w:rPr>
      <w:t>页共</w:t>
    </w:r>
    <w:r>
      <w:rPr>
        <w:szCs w:val="21"/>
      </w:rPr>
      <w:fldChar w:fldCharType="begin"/>
    </w:r>
    <w:r>
      <w:rPr>
        <w:szCs w:val="21"/>
      </w:rPr>
      <w:instrText xml:space="preserve"> NUMPAGES </w:instrText>
    </w:r>
    <w:r>
      <w:rPr>
        <w:szCs w:val="21"/>
      </w:rPr>
      <w:fldChar w:fldCharType="separate"/>
    </w:r>
    <w:r>
      <w:rPr>
        <w:szCs w:val="21"/>
      </w:rPr>
      <w:t>45</w:t>
    </w:r>
    <w:r>
      <w:rPr>
        <w:szCs w:val="21"/>
      </w:rPr>
      <w:fldChar w:fldCharType="end"/>
    </w:r>
    <w:r>
      <w:rPr>
        <w:rFonts w:hint="eastAsia"/>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Cs w:val="20"/>
      </w:rPr>
    </w:pPr>
    <w:r>
      <w:rPr>
        <w:rFonts w:hint="eastAsia"/>
        <w:szCs w:val="20"/>
      </w:rPr>
      <w:t>江西省博可为工程管理有限公司竞争性磋商文件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color w:val="999999"/>
        <w:sz w:val="20"/>
        <w:szCs w:val="20"/>
      </w:rPr>
    </w:pPr>
    <w:r>
      <w:rPr>
        <w:rFonts w:hint="eastAsia" w:ascii="仿宋" w:hAnsi="仿宋" w:eastAsia="仿宋"/>
        <w:color w:val="999999"/>
        <w:sz w:val="20"/>
        <w:szCs w:val="20"/>
      </w:rPr>
      <w:t>江西省博可为工程管理有限公司</w:t>
    </w:r>
    <w:r>
      <w:rPr>
        <w:rFonts w:hint="eastAsia" w:ascii="仿宋" w:hAnsi="仿宋" w:eastAsia="仿宋"/>
        <w:color w:val="999999"/>
        <w:sz w:val="20"/>
        <w:szCs w:val="20"/>
        <w:lang w:val="zh-CN"/>
      </w:rPr>
      <w:t>竞争性</w:t>
    </w:r>
    <w:r>
      <w:rPr>
        <w:rFonts w:hint="eastAsia" w:ascii="仿宋" w:hAnsi="仿宋" w:eastAsia="仿宋"/>
        <w:color w:val="999999"/>
        <w:sz w:val="20"/>
        <w:szCs w:val="20"/>
      </w:rPr>
      <w:t>磋商招标</w:t>
    </w:r>
    <w:r>
      <w:rPr>
        <w:rFonts w:hint="eastAsia" w:ascii="仿宋" w:hAnsi="仿宋" w:eastAsia="仿宋"/>
        <w:color w:val="999999"/>
        <w:sz w:val="20"/>
        <w:szCs w:val="20"/>
        <w:lang w:val="zh-CN"/>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BFB26"/>
    <w:multiLevelType w:val="singleLevel"/>
    <w:tmpl w:val="871BFB26"/>
    <w:lvl w:ilvl="0" w:tentative="0">
      <w:start w:val="1"/>
      <w:numFmt w:val="decimal"/>
      <w:suff w:val="nothing"/>
      <w:lvlText w:val="%1、"/>
      <w:lvlJc w:val="left"/>
    </w:lvl>
  </w:abstractNum>
  <w:abstractNum w:abstractNumId="1">
    <w:nsid w:val="C89266FA"/>
    <w:multiLevelType w:val="singleLevel"/>
    <w:tmpl w:val="C89266FA"/>
    <w:lvl w:ilvl="0" w:tentative="0">
      <w:start w:val="5"/>
      <w:numFmt w:val="chineseCounting"/>
      <w:suff w:val="space"/>
      <w:lvlText w:val="第%1章"/>
      <w:lvlJc w:val="left"/>
      <w:rPr>
        <w:rFonts w:hint="eastAsia"/>
      </w:rPr>
    </w:lvl>
  </w:abstractNum>
  <w:abstractNum w:abstractNumId="2">
    <w:nsid w:val="F0EB209E"/>
    <w:multiLevelType w:val="singleLevel"/>
    <w:tmpl w:val="F0EB209E"/>
    <w:lvl w:ilvl="0" w:tentative="0">
      <w:start w:val="12"/>
      <w:numFmt w:val="decimal"/>
      <w:suff w:val="nothing"/>
      <w:lvlText w:val="%1、"/>
      <w:lvlJc w:val="left"/>
    </w:lvl>
  </w:abstractNum>
  <w:abstractNum w:abstractNumId="3">
    <w:nsid w:val="069530B7"/>
    <w:multiLevelType w:val="multilevel"/>
    <w:tmpl w:val="069530B7"/>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decimal"/>
      <w:lvlText w:val="（%2）"/>
      <w:lvlJc w:val="left"/>
      <w:pPr>
        <w:tabs>
          <w:tab w:val="left" w:pos="420"/>
        </w:tabs>
        <w:ind w:left="1140" w:hanging="720"/>
      </w:pPr>
      <w:rPr>
        <w:rFonts w:hint="eastAsia" w:ascii="宋体" w:hAnsi="宋体" w:eastAsia="宋体"/>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4">
    <w:nsid w:val="2F0D2F9C"/>
    <w:multiLevelType w:val="multilevel"/>
    <w:tmpl w:val="2F0D2F9C"/>
    <w:lvl w:ilvl="0" w:tentative="0">
      <w:start w:val="29"/>
      <w:numFmt w:val="decimal"/>
      <w:lvlText w:val="%1、"/>
      <w:lvlJc w:val="left"/>
      <w:pPr>
        <w:ind w:left="405" w:hanging="4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2331A8F"/>
    <w:multiLevelType w:val="multilevel"/>
    <w:tmpl w:val="32331A8F"/>
    <w:lvl w:ilvl="0" w:tentative="0">
      <w:start w:val="1"/>
      <w:numFmt w:val="decimal"/>
      <w:lvlText w:val="%1、"/>
      <w:lvlJc w:val="left"/>
      <w:pPr>
        <w:ind w:left="420" w:hanging="42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AA07017"/>
    <w:multiLevelType w:val="multilevel"/>
    <w:tmpl w:val="5AA07017"/>
    <w:lvl w:ilvl="0" w:tentative="0">
      <w:start w:val="3"/>
      <w:numFmt w:val="decimal"/>
      <w:lvlText w:val="%1、"/>
      <w:lvlJc w:val="left"/>
      <w:pPr>
        <w:ind w:left="360" w:hanging="360"/>
      </w:pPr>
      <w:rPr>
        <w:rFonts w:hint="default"/>
      </w:rPr>
    </w:lvl>
    <w:lvl w:ilvl="1" w:tentative="0">
      <w:start w:val="36"/>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F492F"/>
    <w:rsid w:val="000017BD"/>
    <w:rsid w:val="0001310A"/>
    <w:rsid w:val="00021720"/>
    <w:rsid w:val="00034AC0"/>
    <w:rsid w:val="0005007D"/>
    <w:rsid w:val="00062B15"/>
    <w:rsid w:val="000775D1"/>
    <w:rsid w:val="00087C17"/>
    <w:rsid w:val="000B4E61"/>
    <w:rsid w:val="000C013C"/>
    <w:rsid w:val="000D2459"/>
    <w:rsid w:val="000F7020"/>
    <w:rsid w:val="00107B7F"/>
    <w:rsid w:val="00113F02"/>
    <w:rsid w:val="0012593B"/>
    <w:rsid w:val="0015358B"/>
    <w:rsid w:val="00155A6C"/>
    <w:rsid w:val="001621A5"/>
    <w:rsid w:val="001807B5"/>
    <w:rsid w:val="00191A2A"/>
    <w:rsid w:val="00197468"/>
    <w:rsid w:val="001A7AF2"/>
    <w:rsid w:val="001E2B1D"/>
    <w:rsid w:val="001F42C9"/>
    <w:rsid w:val="00220F67"/>
    <w:rsid w:val="0022699A"/>
    <w:rsid w:val="00230F52"/>
    <w:rsid w:val="002624D6"/>
    <w:rsid w:val="0027644C"/>
    <w:rsid w:val="00282336"/>
    <w:rsid w:val="00297079"/>
    <w:rsid w:val="002A1499"/>
    <w:rsid w:val="002C32F5"/>
    <w:rsid w:val="002D107C"/>
    <w:rsid w:val="002D2C5A"/>
    <w:rsid w:val="002D5762"/>
    <w:rsid w:val="002E7DFC"/>
    <w:rsid w:val="00306172"/>
    <w:rsid w:val="0031128B"/>
    <w:rsid w:val="00324349"/>
    <w:rsid w:val="00341A07"/>
    <w:rsid w:val="0034556D"/>
    <w:rsid w:val="00346D52"/>
    <w:rsid w:val="00360A8D"/>
    <w:rsid w:val="003817D1"/>
    <w:rsid w:val="00381C8D"/>
    <w:rsid w:val="003923F4"/>
    <w:rsid w:val="003930B0"/>
    <w:rsid w:val="00395323"/>
    <w:rsid w:val="003A0A9F"/>
    <w:rsid w:val="004260A4"/>
    <w:rsid w:val="004600EC"/>
    <w:rsid w:val="00472EBD"/>
    <w:rsid w:val="0048464D"/>
    <w:rsid w:val="004848E3"/>
    <w:rsid w:val="004859CF"/>
    <w:rsid w:val="00491121"/>
    <w:rsid w:val="004F49EF"/>
    <w:rsid w:val="004F7B09"/>
    <w:rsid w:val="005108CC"/>
    <w:rsid w:val="00522032"/>
    <w:rsid w:val="00524214"/>
    <w:rsid w:val="005443F4"/>
    <w:rsid w:val="005644DA"/>
    <w:rsid w:val="00564DCC"/>
    <w:rsid w:val="0057525E"/>
    <w:rsid w:val="005754C4"/>
    <w:rsid w:val="005A03AE"/>
    <w:rsid w:val="005A230B"/>
    <w:rsid w:val="005A41B6"/>
    <w:rsid w:val="005B042A"/>
    <w:rsid w:val="005B1148"/>
    <w:rsid w:val="005B32CB"/>
    <w:rsid w:val="005B66F8"/>
    <w:rsid w:val="005C0CAD"/>
    <w:rsid w:val="005E5F09"/>
    <w:rsid w:val="005F207F"/>
    <w:rsid w:val="005F7FA2"/>
    <w:rsid w:val="00602C1A"/>
    <w:rsid w:val="00615A28"/>
    <w:rsid w:val="00627314"/>
    <w:rsid w:val="006330F2"/>
    <w:rsid w:val="00636BB7"/>
    <w:rsid w:val="00673744"/>
    <w:rsid w:val="00673892"/>
    <w:rsid w:val="00684E98"/>
    <w:rsid w:val="006853FF"/>
    <w:rsid w:val="00694BD2"/>
    <w:rsid w:val="006E72F4"/>
    <w:rsid w:val="006E77A5"/>
    <w:rsid w:val="006F77FF"/>
    <w:rsid w:val="00715C0B"/>
    <w:rsid w:val="00725C6F"/>
    <w:rsid w:val="0073167F"/>
    <w:rsid w:val="0074250A"/>
    <w:rsid w:val="007459F8"/>
    <w:rsid w:val="007478C0"/>
    <w:rsid w:val="00753B95"/>
    <w:rsid w:val="0076343C"/>
    <w:rsid w:val="00773D97"/>
    <w:rsid w:val="00775D33"/>
    <w:rsid w:val="007767B1"/>
    <w:rsid w:val="00796A15"/>
    <w:rsid w:val="007C6427"/>
    <w:rsid w:val="007D32CD"/>
    <w:rsid w:val="007D4092"/>
    <w:rsid w:val="007D42AD"/>
    <w:rsid w:val="007E2F9D"/>
    <w:rsid w:val="007F555F"/>
    <w:rsid w:val="00801C25"/>
    <w:rsid w:val="00807C6E"/>
    <w:rsid w:val="00815A4D"/>
    <w:rsid w:val="00842CCB"/>
    <w:rsid w:val="00852697"/>
    <w:rsid w:val="0086543B"/>
    <w:rsid w:val="008C02EE"/>
    <w:rsid w:val="008C5170"/>
    <w:rsid w:val="008C5F7B"/>
    <w:rsid w:val="008D4C44"/>
    <w:rsid w:val="008D6D91"/>
    <w:rsid w:val="008E75B8"/>
    <w:rsid w:val="008F492F"/>
    <w:rsid w:val="009067A6"/>
    <w:rsid w:val="009154F9"/>
    <w:rsid w:val="009167F2"/>
    <w:rsid w:val="00967DC7"/>
    <w:rsid w:val="0097216C"/>
    <w:rsid w:val="0098096B"/>
    <w:rsid w:val="00991576"/>
    <w:rsid w:val="009950CB"/>
    <w:rsid w:val="009A4CC6"/>
    <w:rsid w:val="009A6417"/>
    <w:rsid w:val="009A7966"/>
    <w:rsid w:val="009B155E"/>
    <w:rsid w:val="009B6B29"/>
    <w:rsid w:val="009D3C19"/>
    <w:rsid w:val="009E489D"/>
    <w:rsid w:val="00A01131"/>
    <w:rsid w:val="00A17683"/>
    <w:rsid w:val="00A30111"/>
    <w:rsid w:val="00A42398"/>
    <w:rsid w:val="00A4749E"/>
    <w:rsid w:val="00A638BE"/>
    <w:rsid w:val="00A66C19"/>
    <w:rsid w:val="00A728EF"/>
    <w:rsid w:val="00A836B4"/>
    <w:rsid w:val="00A90489"/>
    <w:rsid w:val="00AA4B0D"/>
    <w:rsid w:val="00AB239C"/>
    <w:rsid w:val="00AB2E52"/>
    <w:rsid w:val="00AB61A2"/>
    <w:rsid w:val="00AC11B1"/>
    <w:rsid w:val="00AD6789"/>
    <w:rsid w:val="00AE47F4"/>
    <w:rsid w:val="00AE4989"/>
    <w:rsid w:val="00AE7140"/>
    <w:rsid w:val="00AF4989"/>
    <w:rsid w:val="00B128D6"/>
    <w:rsid w:val="00B1721F"/>
    <w:rsid w:val="00B2338C"/>
    <w:rsid w:val="00B276D2"/>
    <w:rsid w:val="00B5009D"/>
    <w:rsid w:val="00B7324A"/>
    <w:rsid w:val="00B8028D"/>
    <w:rsid w:val="00B84BBD"/>
    <w:rsid w:val="00BB2FD4"/>
    <w:rsid w:val="00BC245C"/>
    <w:rsid w:val="00BE6810"/>
    <w:rsid w:val="00BF5228"/>
    <w:rsid w:val="00C1488E"/>
    <w:rsid w:val="00C2243B"/>
    <w:rsid w:val="00C45CF6"/>
    <w:rsid w:val="00C5034D"/>
    <w:rsid w:val="00C52A55"/>
    <w:rsid w:val="00C60AC3"/>
    <w:rsid w:val="00C626BF"/>
    <w:rsid w:val="00CB0DB6"/>
    <w:rsid w:val="00CC4ACE"/>
    <w:rsid w:val="00D305F8"/>
    <w:rsid w:val="00D467E5"/>
    <w:rsid w:val="00D52C89"/>
    <w:rsid w:val="00D57CD3"/>
    <w:rsid w:val="00D74CCC"/>
    <w:rsid w:val="00D93CBC"/>
    <w:rsid w:val="00D9656D"/>
    <w:rsid w:val="00DA1779"/>
    <w:rsid w:val="00DB1C39"/>
    <w:rsid w:val="00DB1EF5"/>
    <w:rsid w:val="00DD001C"/>
    <w:rsid w:val="00DD0BE7"/>
    <w:rsid w:val="00DE10C5"/>
    <w:rsid w:val="00E14647"/>
    <w:rsid w:val="00E24835"/>
    <w:rsid w:val="00E335F6"/>
    <w:rsid w:val="00E346DD"/>
    <w:rsid w:val="00E37A5A"/>
    <w:rsid w:val="00E45383"/>
    <w:rsid w:val="00E46225"/>
    <w:rsid w:val="00E6640A"/>
    <w:rsid w:val="00E74897"/>
    <w:rsid w:val="00EA12B8"/>
    <w:rsid w:val="00EA33E1"/>
    <w:rsid w:val="00EB77E8"/>
    <w:rsid w:val="00EE46AE"/>
    <w:rsid w:val="00EF2A86"/>
    <w:rsid w:val="00EF57E4"/>
    <w:rsid w:val="00F01C1D"/>
    <w:rsid w:val="00F04B20"/>
    <w:rsid w:val="00F21E23"/>
    <w:rsid w:val="00F418D3"/>
    <w:rsid w:val="00F478F8"/>
    <w:rsid w:val="00F739C4"/>
    <w:rsid w:val="00F846F7"/>
    <w:rsid w:val="00F90481"/>
    <w:rsid w:val="00FA0C94"/>
    <w:rsid w:val="00FA38FC"/>
    <w:rsid w:val="00FA5A28"/>
    <w:rsid w:val="00FC3DC5"/>
    <w:rsid w:val="00FD38C3"/>
    <w:rsid w:val="00FE32B8"/>
    <w:rsid w:val="00FF3B03"/>
    <w:rsid w:val="04884FD1"/>
    <w:rsid w:val="05310354"/>
    <w:rsid w:val="07554974"/>
    <w:rsid w:val="0B1D1DA1"/>
    <w:rsid w:val="10731DBF"/>
    <w:rsid w:val="10E16353"/>
    <w:rsid w:val="11B16D49"/>
    <w:rsid w:val="11E1406C"/>
    <w:rsid w:val="130D0630"/>
    <w:rsid w:val="13B01FD2"/>
    <w:rsid w:val="16346A32"/>
    <w:rsid w:val="19A063FF"/>
    <w:rsid w:val="1B827FFE"/>
    <w:rsid w:val="1C2347A3"/>
    <w:rsid w:val="1CCB6B02"/>
    <w:rsid w:val="1FC17B47"/>
    <w:rsid w:val="203530B3"/>
    <w:rsid w:val="203E545B"/>
    <w:rsid w:val="20404131"/>
    <w:rsid w:val="2B672997"/>
    <w:rsid w:val="2CA55169"/>
    <w:rsid w:val="2CE3100B"/>
    <w:rsid w:val="327100B2"/>
    <w:rsid w:val="340155D1"/>
    <w:rsid w:val="38AE5400"/>
    <w:rsid w:val="3A3E2673"/>
    <w:rsid w:val="3AAD7163"/>
    <w:rsid w:val="3E4E4125"/>
    <w:rsid w:val="404A0E6A"/>
    <w:rsid w:val="45465434"/>
    <w:rsid w:val="496E12B5"/>
    <w:rsid w:val="4C7A01E2"/>
    <w:rsid w:val="4C7F37DF"/>
    <w:rsid w:val="5273076B"/>
    <w:rsid w:val="53D74171"/>
    <w:rsid w:val="58BD4D4E"/>
    <w:rsid w:val="5A3C3F90"/>
    <w:rsid w:val="5D5A65FF"/>
    <w:rsid w:val="5FA65F7A"/>
    <w:rsid w:val="631E12C0"/>
    <w:rsid w:val="64A437FC"/>
    <w:rsid w:val="67EC5A5D"/>
    <w:rsid w:val="6A2E5CF0"/>
    <w:rsid w:val="71F553F5"/>
    <w:rsid w:val="731F07DD"/>
    <w:rsid w:val="76DC6836"/>
    <w:rsid w:val="77123C40"/>
    <w:rsid w:val="77417696"/>
    <w:rsid w:val="7A064A93"/>
    <w:rsid w:val="7C527951"/>
    <w:rsid w:val="7CE96A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link w:val="20"/>
    <w:qFormat/>
    <w:uiPriority w:val="0"/>
    <w:pPr>
      <w:keepNext/>
      <w:keepLines/>
      <w:spacing w:before="340" w:after="330" w:line="578" w:lineRule="auto"/>
      <w:outlineLvl w:val="0"/>
    </w:pPr>
    <w:rPr>
      <w:rFonts w:ascii="Arial" w:hAnsi="Arial" w:cs="Arial"/>
      <w:b/>
      <w:bCs/>
      <w:kern w:val="44"/>
      <w:sz w:val="44"/>
      <w:szCs w:val="44"/>
    </w:rPr>
  </w:style>
  <w:style w:type="paragraph" w:styleId="4">
    <w:name w:val="heading 2"/>
    <w:basedOn w:val="1"/>
    <w:next w:val="1"/>
    <w:link w:val="2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0"/>
    <w:pPr>
      <w:keepNext/>
      <w:keepLines/>
      <w:spacing w:before="260" w:after="260" w:line="416" w:lineRule="auto"/>
      <w:outlineLvl w:val="2"/>
    </w:pPr>
    <w:rPr>
      <w:rFonts w:ascii="Times New Roman" w:hAnsi="Times New Roman"/>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semiHidden/>
    <w:unhideWhenUsed/>
    <w:qFormat/>
    <w:uiPriority w:val="99"/>
    <w:pPr>
      <w:spacing w:before="120"/>
    </w:pPr>
    <w:rPr>
      <w:rFonts w:asciiTheme="majorHAnsi" w:hAnsiTheme="majorHAnsi" w:cstheme="majorBidi"/>
      <w:sz w:val="24"/>
      <w:szCs w:val="24"/>
    </w:rPr>
  </w:style>
  <w:style w:type="paragraph" w:styleId="6">
    <w:name w:val="Body Text"/>
    <w:basedOn w:val="1"/>
    <w:next w:val="1"/>
    <w:qFormat/>
    <w:uiPriority w:val="0"/>
    <w:rPr>
      <w:rFonts w:ascii="Arial" w:hAnsi="Arial" w:eastAsia="黑体"/>
      <w:b/>
      <w:sz w:val="32"/>
      <w:szCs w:val="20"/>
      <w:lang w:val="zh-CN"/>
    </w:rPr>
  </w:style>
  <w:style w:type="paragraph" w:styleId="7">
    <w:name w:val="toc 3"/>
    <w:basedOn w:val="1"/>
    <w:next w:val="1"/>
    <w:unhideWhenUsed/>
    <w:qFormat/>
    <w:uiPriority w:val="39"/>
    <w:pPr>
      <w:spacing w:line="380" w:lineRule="exact"/>
      <w:ind w:left="400" w:leftChars="400"/>
      <w:jc w:val="distribute"/>
    </w:pPr>
  </w:style>
  <w:style w:type="paragraph" w:styleId="8">
    <w:name w:val="Plain Text"/>
    <w:basedOn w:val="1"/>
    <w:link w:val="25"/>
    <w:qFormat/>
    <w:uiPriority w:val="0"/>
    <w:pPr>
      <w:autoSpaceDE w:val="0"/>
      <w:autoSpaceDN w:val="0"/>
      <w:adjustRightInd w:val="0"/>
      <w:jc w:val="left"/>
    </w:pPr>
    <w:rPr>
      <w:rFonts w:ascii="宋体" w:hAnsi="Courier New" w:cs="Courier New" w:eastAsiaTheme="minorEastAsia"/>
      <w:szCs w:val="21"/>
    </w:rPr>
  </w:style>
  <w:style w:type="paragraph" w:styleId="9">
    <w:name w:val="Date"/>
    <w:basedOn w:val="1"/>
    <w:next w:val="1"/>
    <w:link w:val="34"/>
    <w:qFormat/>
    <w:uiPriority w:val="99"/>
    <w:rPr>
      <w:rFonts w:ascii="Times New Roman" w:hAnsi="Times New Roman"/>
      <w:kern w:val="0"/>
      <w:szCs w:val="21"/>
    </w:rPr>
  </w:style>
  <w:style w:type="paragraph" w:styleId="10">
    <w:name w:val="Balloon Text"/>
    <w:basedOn w:val="1"/>
    <w:link w:val="32"/>
    <w:semiHidden/>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line="380" w:lineRule="exact"/>
      <w:jc w:val="distribute"/>
    </w:pPr>
    <w:rPr>
      <w:rFonts w:eastAsia="黑体"/>
    </w:rPr>
  </w:style>
  <w:style w:type="paragraph" w:styleId="14">
    <w:name w:val="Normal (Web)"/>
    <w:basedOn w:val="1"/>
    <w:semiHidden/>
    <w:unhideWhenUsed/>
    <w:qFormat/>
    <w:uiPriority w:val="99"/>
    <w:rPr>
      <w:sz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unhideWhenUsed/>
    <w:qFormat/>
    <w:uiPriority w:val="0"/>
    <w:rPr>
      <w:rFonts w:cs="Times New Roman"/>
    </w:rPr>
  </w:style>
  <w:style w:type="character" w:styleId="19">
    <w:name w:val="Hyperlink"/>
    <w:unhideWhenUsed/>
    <w:qFormat/>
    <w:uiPriority w:val="99"/>
    <w:rPr>
      <w:color w:val="0563C1"/>
      <w:u w:val="single"/>
    </w:rPr>
  </w:style>
  <w:style w:type="character" w:customStyle="1" w:styleId="20">
    <w:name w:val="标题 1 Char"/>
    <w:basedOn w:val="17"/>
    <w:link w:val="2"/>
    <w:qFormat/>
    <w:uiPriority w:val="0"/>
    <w:rPr>
      <w:rFonts w:ascii="Arial" w:hAnsi="Arial" w:eastAsia="宋体" w:cs="Arial"/>
      <w:b/>
      <w:bCs/>
      <w:kern w:val="44"/>
      <w:sz w:val="44"/>
      <w:szCs w:val="44"/>
    </w:rPr>
  </w:style>
  <w:style w:type="character" w:customStyle="1" w:styleId="21">
    <w:name w:val="标题 3 Char"/>
    <w:basedOn w:val="17"/>
    <w:link w:val="5"/>
    <w:qFormat/>
    <w:uiPriority w:val="0"/>
    <w:rPr>
      <w:rFonts w:ascii="Times New Roman" w:hAnsi="Times New Roman" w:eastAsia="宋体" w:cs="Times New Roman"/>
      <w:b/>
      <w:bCs/>
      <w:sz w:val="32"/>
      <w:szCs w:val="32"/>
    </w:rPr>
  </w:style>
  <w:style w:type="character" w:customStyle="1" w:styleId="22">
    <w:name w:val="页眉 Char"/>
    <w:basedOn w:val="17"/>
    <w:link w:val="12"/>
    <w:qFormat/>
    <w:uiPriority w:val="99"/>
    <w:rPr>
      <w:rFonts w:ascii="Calibri" w:hAnsi="Calibri" w:eastAsia="宋体" w:cs="Times New Roman"/>
      <w:sz w:val="18"/>
      <w:szCs w:val="18"/>
    </w:rPr>
  </w:style>
  <w:style w:type="character" w:customStyle="1" w:styleId="23">
    <w:name w:val="页脚 Char"/>
    <w:basedOn w:val="17"/>
    <w:link w:val="11"/>
    <w:qFormat/>
    <w:uiPriority w:val="99"/>
    <w:rPr>
      <w:rFonts w:ascii="Calibri" w:hAnsi="Calibri" w:eastAsia="宋体" w:cs="Times New Roman"/>
      <w:sz w:val="18"/>
      <w:szCs w:val="18"/>
    </w:rPr>
  </w:style>
  <w:style w:type="character" w:customStyle="1" w:styleId="24">
    <w:name w:val="纯文本 Char"/>
    <w:qFormat/>
    <w:uiPriority w:val="0"/>
    <w:rPr>
      <w:rFonts w:ascii="宋体" w:hAnsi="Courier New" w:cs="Courier New"/>
      <w:szCs w:val="21"/>
    </w:rPr>
  </w:style>
  <w:style w:type="character" w:customStyle="1" w:styleId="25">
    <w:name w:val="纯文本 Char1"/>
    <w:basedOn w:val="17"/>
    <w:link w:val="8"/>
    <w:semiHidden/>
    <w:qFormat/>
    <w:uiPriority w:val="99"/>
    <w:rPr>
      <w:rFonts w:ascii="宋体" w:hAnsi="Courier New" w:eastAsia="宋体" w:cs="Courier New"/>
      <w:szCs w:val="21"/>
    </w:rPr>
  </w:style>
  <w:style w:type="character" w:customStyle="1" w:styleId="26">
    <w:name w:val="标题 2 Char"/>
    <w:basedOn w:val="17"/>
    <w:link w:val="4"/>
    <w:qFormat/>
    <w:uiPriority w:val="0"/>
    <w:rPr>
      <w:rFonts w:ascii="Arial" w:hAnsi="Arial" w:eastAsia="黑体" w:cs="Times New Roman"/>
      <w:b/>
      <w:bCs/>
      <w:sz w:val="32"/>
      <w:szCs w:val="32"/>
    </w:rPr>
  </w:style>
  <w:style w:type="character" w:customStyle="1" w:styleId="27">
    <w:name w:val="ask-title2"/>
    <w:basedOn w:val="17"/>
    <w:qFormat/>
    <w:uiPriority w:val="0"/>
  </w:style>
  <w:style w:type="paragraph" w:customStyle="1" w:styleId="28">
    <w:name w:val="正文1"/>
    <w:basedOn w:val="1"/>
    <w:qFormat/>
    <w:uiPriority w:val="0"/>
    <w:pPr>
      <w:tabs>
        <w:tab w:val="left" w:pos="420"/>
      </w:tabs>
      <w:spacing w:line="360" w:lineRule="auto"/>
      <w:ind w:firstLine="420" w:firstLineChars="200"/>
    </w:pPr>
    <w:rPr>
      <w:rFonts w:ascii="宋体" w:hAnsi="宋体" w:eastAsia="等线"/>
      <w:szCs w:val="24"/>
    </w:rPr>
  </w:style>
  <w:style w:type="paragraph" w:customStyle="1" w:styleId="29">
    <w:name w:val="Default"/>
    <w:qFormat/>
    <w:uiPriority w:val="0"/>
    <w:pPr>
      <w:widowControl w:val="0"/>
      <w:autoSpaceDE w:val="0"/>
      <w:autoSpaceDN w:val="0"/>
      <w:adjustRightInd w:val="0"/>
    </w:pPr>
    <w:rPr>
      <w:rFonts w:ascii="宋体" w:hAnsi="等线" w:eastAsia="等线" w:cs="宋体"/>
      <w:color w:val="000000"/>
      <w:sz w:val="24"/>
      <w:szCs w:val="24"/>
      <w:lang w:val="en-US" w:eastAsia="zh-CN" w:bidi="ar-SA"/>
    </w:rPr>
  </w:style>
  <w:style w:type="character" w:customStyle="1" w:styleId="30">
    <w:name w:val="无间隔 Char"/>
    <w:link w:val="31"/>
    <w:qFormat/>
    <w:uiPriority w:val="1"/>
    <w:rPr>
      <w:sz w:val="24"/>
      <w:szCs w:val="32"/>
    </w:rPr>
  </w:style>
  <w:style w:type="paragraph" w:styleId="31">
    <w:name w:val="No Spacing"/>
    <w:basedOn w:val="1"/>
    <w:link w:val="30"/>
    <w:qFormat/>
    <w:uiPriority w:val="1"/>
    <w:pPr>
      <w:widowControl/>
      <w:jc w:val="left"/>
    </w:pPr>
    <w:rPr>
      <w:rFonts w:ascii="Times New Roman" w:hAnsi="Times New Roman"/>
      <w:kern w:val="0"/>
      <w:sz w:val="24"/>
      <w:szCs w:val="32"/>
    </w:rPr>
  </w:style>
  <w:style w:type="character" w:customStyle="1" w:styleId="32">
    <w:name w:val="批注框文本 Char"/>
    <w:basedOn w:val="17"/>
    <w:link w:val="10"/>
    <w:semiHidden/>
    <w:qFormat/>
    <w:uiPriority w:val="99"/>
    <w:rPr>
      <w:rFonts w:ascii="Calibri" w:hAnsi="Calibri"/>
      <w:kern w:val="2"/>
      <w:sz w:val="18"/>
      <w:szCs w:val="18"/>
    </w:rPr>
  </w:style>
  <w:style w:type="paragraph" w:customStyle="1" w:styleId="33">
    <w:name w:val="正文文本缩进1"/>
    <w:basedOn w:val="1"/>
    <w:qFormat/>
    <w:uiPriority w:val="99"/>
    <w:pPr>
      <w:spacing w:after="120"/>
      <w:ind w:left="420" w:leftChars="200"/>
    </w:pPr>
    <w:rPr>
      <w:rFonts w:ascii="Times New Roman" w:hAnsi="Times New Roman"/>
      <w:szCs w:val="21"/>
    </w:rPr>
  </w:style>
  <w:style w:type="character" w:customStyle="1" w:styleId="34">
    <w:name w:val="日期 Char"/>
    <w:basedOn w:val="17"/>
    <w:link w:val="9"/>
    <w:qFormat/>
    <w:uiPriority w:val="99"/>
    <w:rPr>
      <w:sz w:val="21"/>
      <w:szCs w:val="21"/>
    </w:rPr>
  </w:style>
  <w:style w:type="paragraph" w:customStyle="1" w:styleId="35">
    <w:name w:val="正文2"/>
    <w:qFormat/>
    <w:uiPriority w:val="0"/>
    <w:pPr>
      <w:jc w:val="both"/>
    </w:pPr>
    <w:rPr>
      <w:rFonts w:ascii="Times New Roman" w:hAnsi="Times New Roman" w:eastAsia="宋体" w:cs="Times New Roman"/>
      <w:kern w:val="2"/>
      <w:sz w:val="21"/>
      <w:szCs w:val="21"/>
      <w:lang w:val="en-US" w:eastAsia="zh-CN" w:bidi="ar-SA"/>
    </w:rPr>
  </w:style>
  <w:style w:type="paragraph" w:styleId="3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039C4-1375-4CED-A71D-F5F6CBCB895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17733</Words>
  <Characters>20393</Characters>
  <Lines>1359</Lines>
  <Paragraphs>1732</Paragraphs>
  <TotalTime>0</TotalTime>
  <ScaleCrop>false</ScaleCrop>
  <LinksUpToDate>false</LinksUpToDate>
  <CharactersWithSpaces>36394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2020-04-10T05:50:00Z</dcterms:created>
  <dc:creator>Administrator</dc:creator>
  <cp:lastModifiedBy>牛哥</cp:lastModifiedBy>
  <cp:lastPrinted>2020-06-01T00:54:00Z</cp:lastPrinted>
  <dcterms:modified xsi:type="dcterms:W3CDTF">2020-06-02T04:57:10Z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