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4"/>
        <w:tblW w:w="8678" w:type="dxa"/>
        <w:tblInd w:w="0" w:type="dxa"/>
        <w:tblBorders>
          <w:top w:val="none" w:color="auto" w:sz="0" w:space="0"/>
          <w:left w:val="none" w:color="auto" w:sz="0" w:space="0"/>
          <w:bottom w:val="none" w:color="auto" w:sz="0" w:space="0"/>
          <w:right w:val="none" w:color="auto" w:sz="0" w:space="0"/>
          <w:insideH w:val="none" w:color="auto" w:sz="0" w:space="0"/>
          <w:insideV w:val="single" w:color="auto" w:sz="24" w:space="0"/>
        </w:tblBorders>
        <w:tblLayout w:type="fixed"/>
        <w:tblCellMar>
          <w:top w:w="0" w:type="dxa"/>
          <w:left w:w="108" w:type="dxa"/>
          <w:bottom w:w="0" w:type="dxa"/>
          <w:right w:w="108" w:type="dxa"/>
        </w:tblCellMar>
      </w:tblPr>
      <w:tblGrid>
        <w:gridCol w:w="3643"/>
        <w:gridCol w:w="1703"/>
        <w:gridCol w:w="3332"/>
      </w:tblGrid>
      <w:tr>
        <w:tblPrEx>
          <w:tblBorders>
            <w:top w:val="none" w:color="auto" w:sz="0" w:space="0"/>
            <w:left w:val="none" w:color="auto" w:sz="0" w:space="0"/>
            <w:bottom w:val="none" w:color="auto" w:sz="0" w:space="0"/>
            <w:right w:val="none" w:color="auto" w:sz="0" w:space="0"/>
            <w:insideH w:val="none" w:color="auto" w:sz="0" w:space="0"/>
            <w:insideV w:val="single" w:color="auto" w:sz="24" w:space="0"/>
          </w:tblBorders>
          <w:tblLayout w:type="fixed"/>
          <w:tblCellMar>
            <w:top w:w="0" w:type="dxa"/>
            <w:left w:w="108" w:type="dxa"/>
            <w:bottom w:w="0" w:type="dxa"/>
            <w:right w:w="108" w:type="dxa"/>
          </w:tblCellMar>
        </w:tblPrEx>
        <w:trPr>
          <w:trHeight w:val="464" w:hRule="atLeast"/>
        </w:trPr>
        <w:tc>
          <w:tcPr>
            <w:tcW w:w="3643" w:type="dxa"/>
            <w:tcBorders>
              <w:tl2br w:val="nil"/>
              <w:tr2bl w:val="nil"/>
            </w:tcBorders>
            <w:vAlign w:val="center"/>
          </w:tcPr>
          <w:p>
            <w:pPr>
              <w:widowControl/>
              <w:snapToGrid w:val="0"/>
              <w:jc w:val="left"/>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广东省东莞监狱</w:t>
            </w:r>
          </w:p>
        </w:tc>
        <w:tc>
          <w:tcPr>
            <w:tcW w:w="1703" w:type="dxa"/>
            <w:vMerge w:val="restart"/>
            <w:tcBorders>
              <w:right w:val="nil"/>
              <w:tl2br w:val="nil"/>
              <w:tr2bl w:val="nil"/>
            </w:tcBorders>
            <w:vAlign w:val="center"/>
          </w:tcPr>
          <w:p>
            <w:pPr>
              <w:widowControl/>
              <w:snapToGrid w:val="0"/>
              <w:spacing w:beforeLines="10"/>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共同编制</w:t>
            </w:r>
          </w:p>
        </w:tc>
        <w:tc>
          <w:tcPr>
            <w:tcW w:w="3332" w:type="dxa"/>
            <w:vMerge w:val="restart"/>
            <w:tcBorders>
              <w:left w:val="nil"/>
              <w:tl2br w:val="nil"/>
              <w:tr2bl w:val="nil"/>
            </w:tcBorders>
            <w:vAlign w:val="center"/>
          </w:tcPr>
          <w:p>
            <w:pPr>
              <w:spacing w:line="360" w:lineRule="auto"/>
              <w:jc w:val="right"/>
              <w:rPr>
                <w:rFonts w:hint="eastAsia" w:ascii="仿宋_GB2312" w:hAnsi="仿宋_GB2312" w:eastAsia="仿宋_GB2312" w:cs="仿宋_GB2312"/>
                <w:b/>
                <w:bCs/>
                <w:sz w:val="44"/>
                <w:szCs w:val="44"/>
                <w:highlight w:val="none"/>
              </w:rPr>
            </w:pPr>
            <w:r>
              <w:rPr>
                <w:rFonts w:hint="eastAsia" w:ascii="仿宋_GB2312" w:hAnsi="仿宋_GB2312" w:eastAsia="仿宋_GB2312" w:cs="仿宋_GB2312"/>
                <w:sz w:val="24"/>
                <w:highlight w:val="none"/>
              </w:rPr>
              <w:t>货物类</w:t>
            </w:r>
          </w:p>
          <w:p>
            <w:pPr>
              <w:widowControl/>
              <w:snapToGrid w:val="0"/>
              <w:spacing w:beforeLines="10"/>
              <w:rPr>
                <w:rFonts w:hint="eastAsia" w:ascii="仿宋_GB2312" w:hAnsi="仿宋_GB2312" w:eastAsia="仿宋_GB2312" w:cs="仿宋_GB2312"/>
                <w:b/>
                <w:bCs/>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24" w:space="0"/>
          </w:tblBorders>
          <w:tblLayout w:type="fixed"/>
          <w:tblCellMar>
            <w:top w:w="0" w:type="dxa"/>
            <w:left w:w="108" w:type="dxa"/>
            <w:bottom w:w="0" w:type="dxa"/>
            <w:right w:w="108" w:type="dxa"/>
          </w:tblCellMar>
        </w:tblPrEx>
        <w:tc>
          <w:tcPr>
            <w:tcW w:w="3643" w:type="dxa"/>
            <w:tcBorders>
              <w:tl2br w:val="nil"/>
              <w:tr2bl w:val="nil"/>
            </w:tcBorders>
            <w:vAlign w:val="center"/>
          </w:tcPr>
          <w:p>
            <w:pPr>
              <w:widowControl/>
              <w:snapToGrid w:val="0"/>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广东盛业招标代理有限公司</w:t>
            </w:r>
          </w:p>
        </w:tc>
        <w:tc>
          <w:tcPr>
            <w:tcW w:w="1703" w:type="dxa"/>
            <w:vMerge w:val="continue"/>
            <w:tcBorders>
              <w:right w:val="nil"/>
              <w:tl2br w:val="nil"/>
              <w:tr2bl w:val="nil"/>
            </w:tcBorders>
            <w:vAlign w:val="center"/>
          </w:tcPr>
          <w:p>
            <w:pPr>
              <w:widowControl/>
              <w:snapToGrid w:val="0"/>
              <w:rPr>
                <w:rFonts w:hint="eastAsia" w:ascii="仿宋_GB2312" w:hAnsi="仿宋_GB2312" w:eastAsia="仿宋_GB2312" w:cs="仿宋_GB2312"/>
                <w:b/>
                <w:bCs/>
                <w:sz w:val="24"/>
                <w:highlight w:val="none"/>
              </w:rPr>
            </w:pPr>
          </w:p>
        </w:tc>
        <w:tc>
          <w:tcPr>
            <w:tcW w:w="3332" w:type="dxa"/>
            <w:vMerge w:val="continue"/>
            <w:tcBorders>
              <w:left w:val="nil"/>
              <w:tl2br w:val="nil"/>
              <w:tr2bl w:val="nil"/>
            </w:tcBorders>
            <w:vAlign w:val="center"/>
          </w:tcPr>
          <w:p>
            <w:pPr>
              <w:widowControl/>
              <w:snapToGrid w:val="0"/>
              <w:rPr>
                <w:rFonts w:hint="eastAsia" w:ascii="仿宋_GB2312" w:hAnsi="仿宋_GB2312" w:eastAsia="仿宋_GB2312" w:cs="仿宋_GB2312"/>
                <w:b/>
                <w:bCs/>
                <w:sz w:val="24"/>
                <w:highlight w:val="none"/>
              </w:rPr>
            </w:pPr>
          </w:p>
        </w:tc>
      </w:tr>
    </w:tbl>
    <w:p>
      <w:pPr>
        <w:jc w:val="center"/>
        <w:rPr>
          <w:rFonts w:hint="eastAsia" w:ascii="仿宋_GB2312" w:hAnsi="仿宋_GB2312" w:eastAsia="仿宋_GB2312" w:cs="仿宋_GB2312"/>
          <w:highlight w:val="none"/>
        </w:rPr>
      </w:pPr>
    </w:p>
    <w:p>
      <w:pPr>
        <w:spacing w:line="360" w:lineRule="auto"/>
        <w:jc w:val="center"/>
        <w:rPr>
          <w:rFonts w:hint="eastAsia" w:ascii="仿宋_GB2312" w:hAnsi="仿宋_GB2312" w:eastAsia="仿宋_GB2312" w:cs="仿宋_GB2312"/>
          <w:b/>
          <w:bCs/>
          <w:sz w:val="44"/>
          <w:szCs w:val="44"/>
          <w:highlight w:val="none"/>
        </w:rPr>
      </w:pPr>
    </w:p>
    <w:p>
      <w:pPr>
        <w:spacing w:line="360" w:lineRule="auto"/>
        <w:jc w:val="center"/>
        <w:rPr>
          <w:rFonts w:hint="eastAsia" w:ascii="仿宋_GB2312" w:hAnsi="仿宋_GB2312" w:eastAsia="仿宋_GB2312" w:cs="仿宋_GB2312"/>
          <w:b/>
          <w:bCs/>
          <w:sz w:val="48"/>
          <w:szCs w:val="48"/>
          <w:highlight w:val="none"/>
        </w:rPr>
      </w:pPr>
    </w:p>
    <w:p>
      <w:pPr>
        <w:spacing w:line="360" w:lineRule="auto"/>
        <w:jc w:val="center"/>
        <w:rPr>
          <w:rFonts w:hint="eastAsia" w:ascii="仿宋_GB2312" w:hAnsi="仿宋_GB2312" w:eastAsia="仿宋_GB2312" w:cs="仿宋_GB2312"/>
          <w:b/>
          <w:bCs/>
          <w:sz w:val="48"/>
          <w:szCs w:val="48"/>
          <w:highlight w:val="none"/>
        </w:rPr>
      </w:pPr>
      <w:r>
        <w:rPr>
          <w:rFonts w:hint="eastAsia" w:ascii="仿宋_GB2312" w:hAnsi="仿宋_GB2312" w:eastAsia="仿宋_GB2312" w:cs="仿宋_GB2312"/>
          <w:b/>
          <w:bCs/>
          <w:sz w:val="44"/>
          <w:szCs w:val="44"/>
          <w:highlight w:val="none"/>
        </w:rPr>
        <w:t>广东省东莞监狱无人机防御系统采购项目</w:t>
      </w:r>
    </w:p>
    <w:p>
      <w:pPr>
        <w:spacing w:line="360" w:lineRule="auto"/>
        <w:jc w:val="center"/>
        <w:rPr>
          <w:rFonts w:hint="eastAsia" w:ascii="仿宋_GB2312" w:hAnsi="仿宋_GB2312" w:eastAsia="仿宋_GB2312" w:cs="仿宋_GB2312"/>
          <w:b/>
          <w:bCs/>
          <w:sz w:val="32"/>
          <w:szCs w:val="32"/>
          <w:highlight w:val="none"/>
        </w:rPr>
      </w:pPr>
    </w:p>
    <w:p>
      <w:pPr>
        <w:spacing w:line="360" w:lineRule="auto"/>
        <w:jc w:val="center"/>
        <w:rPr>
          <w:rFonts w:hint="eastAsia" w:ascii="仿宋_GB2312" w:hAnsi="仿宋_GB2312" w:eastAsia="仿宋_GB2312" w:cs="仿宋_GB2312"/>
          <w:b/>
          <w:bCs/>
          <w:sz w:val="48"/>
          <w:szCs w:val="48"/>
          <w:highlight w:val="none"/>
          <w:lang w:eastAsia="zh-CN"/>
        </w:rPr>
      </w:pPr>
      <w:bookmarkStart w:id="241" w:name="_GoBack"/>
      <w:r>
        <w:rPr>
          <w:rFonts w:hint="eastAsia" w:ascii="仿宋_GB2312" w:hAnsi="仿宋_GB2312" w:eastAsia="仿宋_GB2312" w:cs="仿宋_GB2312"/>
          <w:b/>
          <w:bCs/>
          <w:sz w:val="32"/>
          <w:szCs w:val="32"/>
          <w:highlight w:val="none"/>
        </w:rPr>
        <w:t>项目编号</w:t>
      </w:r>
      <w:bookmarkEnd w:id="241"/>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440000-201912-201009-0189</w:t>
      </w:r>
    </w:p>
    <w:p>
      <w:pPr>
        <w:spacing w:line="360" w:lineRule="auto"/>
        <w:jc w:val="center"/>
        <w:rPr>
          <w:rFonts w:hint="eastAsia" w:ascii="仿宋_GB2312" w:hAnsi="仿宋_GB2312" w:eastAsia="仿宋_GB2312" w:cs="仿宋_GB2312"/>
          <w:b/>
          <w:bCs/>
          <w:sz w:val="84"/>
          <w:szCs w:val="84"/>
          <w:highlight w:val="none"/>
        </w:rPr>
      </w:pPr>
    </w:p>
    <w:p>
      <w:pPr>
        <w:spacing w:line="360" w:lineRule="auto"/>
        <w:jc w:val="center"/>
        <w:rPr>
          <w:rFonts w:hint="eastAsia" w:ascii="仿宋_GB2312" w:hAnsi="仿宋_GB2312" w:eastAsia="仿宋_GB2312" w:cs="仿宋_GB2312"/>
          <w:b/>
          <w:bCs/>
          <w:sz w:val="84"/>
          <w:szCs w:val="84"/>
          <w:highlight w:val="none"/>
        </w:rPr>
      </w:pPr>
      <w:r>
        <w:rPr>
          <w:rFonts w:hint="eastAsia" w:ascii="仿宋_GB2312" w:hAnsi="仿宋_GB2312" w:eastAsia="仿宋_GB2312" w:cs="仿宋_GB2312"/>
          <w:b/>
          <w:bCs/>
          <w:sz w:val="84"/>
          <w:szCs w:val="84"/>
          <w:highlight w:val="none"/>
        </w:rPr>
        <w:t>磋 商 文 件</w:t>
      </w:r>
    </w:p>
    <w:p>
      <w:pPr>
        <w:spacing w:line="360" w:lineRule="auto"/>
        <w:jc w:val="center"/>
        <w:rPr>
          <w:rFonts w:hint="eastAsia" w:ascii="仿宋_GB2312" w:hAnsi="仿宋_GB2312" w:eastAsia="仿宋_GB2312" w:cs="仿宋_GB2312"/>
          <w:b/>
          <w:bCs/>
          <w:sz w:val="32"/>
          <w:szCs w:val="32"/>
          <w:highlight w:val="none"/>
        </w:rPr>
      </w:pPr>
    </w:p>
    <w:p>
      <w:pPr>
        <w:spacing w:line="360" w:lineRule="auto"/>
        <w:jc w:val="center"/>
        <w:rPr>
          <w:rFonts w:hint="eastAsia" w:ascii="仿宋_GB2312" w:hAnsi="仿宋_GB2312" w:eastAsia="仿宋_GB2312" w:cs="仿宋_GB2312"/>
          <w:b/>
          <w:bCs/>
          <w:sz w:val="32"/>
          <w:szCs w:val="32"/>
          <w:highlight w:val="none"/>
        </w:rPr>
      </w:pPr>
    </w:p>
    <w:p>
      <w:pPr>
        <w:spacing w:line="360" w:lineRule="auto"/>
        <w:jc w:val="center"/>
        <w:rPr>
          <w:rFonts w:hint="eastAsia" w:ascii="仿宋_GB2312" w:hAnsi="仿宋_GB2312" w:eastAsia="仿宋_GB2312" w:cs="仿宋_GB2312"/>
          <w:b/>
          <w:bCs/>
          <w:sz w:val="32"/>
          <w:szCs w:val="32"/>
          <w:highlight w:val="none"/>
        </w:rPr>
      </w:pPr>
    </w:p>
    <w:p>
      <w:pPr>
        <w:spacing w:line="360" w:lineRule="auto"/>
        <w:jc w:val="cente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采购人：广东省东莞监狱</w:t>
      </w:r>
    </w:p>
    <w:p>
      <w:pPr>
        <w:spacing w:line="360" w:lineRule="auto"/>
        <w:jc w:val="center"/>
        <w:rPr>
          <w:rFonts w:hint="eastAsia" w:ascii="仿宋_GB2312" w:hAnsi="仿宋_GB2312" w:eastAsia="仿宋_GB2312" w:cs="仿宋_GB2312"/>
          <w:b/>
          <w:bCs/>
          <w:sz w:val="32"/>
          <w:szCs w:val="32"/>
          <w:highlight w:val="none"/>
        </w:rPr>
      </w:pPr>
    </w:p>
    <w:p>
      <w:pPr>
        <w:spacing w:line="360" w:lineRule="auto"/>
        <w:jc w:val="center"/>
        <w:rPr>
          <w:rFonts w:hint="eastAsia" w:ascii="仿宋_GB2312" w:hAnsi="仿宋_GB2312" w:eastAsia="仿宋_GB2312" w:cs="仿宋_GB2312"/>
          <w:b/>
          <w:bCs/>
          <w:sz w:val="32"/>
          <w:szCs w:val="32"/>
          <w:highlight w:val="none"/>
        </w:rPr>
      </w:pPr>
    </w:p>
    <w:p>
      <w:pPr>
        <w:spacing w:line="360" w:lineRule="auto"/>
        <w:jc w:val="cente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采购代理机构：广东盛业招标代理有限公司</w:t>
      </w:r>
    </w:p>
    <w:p>
      <w:pPr>
        <w:spacing w:line="360" w:lineRule="auto"/>
        <w:jc w:val="center"/>
        <w:rPr>
          <w:rFonts w:hint="eastAsia" w:ascii="仿宋_GB2312" w:hAnsi="仿宋_GB2312" w:eastAsia="仿宋_GB2312" w:cs="仿宋_GB2312"/>
          <w:b/>
          <w:bCs/>
          <w:sz w:val="32"/>
          <w:szCs w:val="32"/>
          <w:highlight w:val="none"/>
        </w:rPr>
      </w:pPr>
    </w:p>
    <w:p>
      <w:pPr>
        <w:spacing w:line="360" w:lineRule="auto"/>
        <w:jc w:val="cente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2019年</w:t>
      </w:r>
      <w:r>
        <w:rPr>
          <w:rFonts w:hint="eastAsia" w:ascii="仿宋_GB2312" w:hAnsi="仿宋_GB2312" w:eastAsia="仿宋_GB2312" w:cs="仿宋_GB2312"/>
          <w:b/>
          <w:bCs/>
          <w:sz w:val="32"/>
          <w:szCs w:val="32"/>
          <w:highlight w:val="none"/>
          <w:lang w:val="en-US" w:eastAsia="zh-CN"/>
        </w:rPr>
        <w:t>12</w:t>
      </w:r>
      <w:r>
        <w:rPr>
          <w:rFonts w:hint="eastAsia" w:ascii="仿宋_GB2312" w:hAnsi="仿宋_GB2312" w:eastAsia="仿宋_GB2312" w:cs="仿宋_GB2312"/>
          <w:b/>
          <w:bCs/>
          <w:sz w:val="32"/>
          <w:szCs w:val="32"/>
          <w:highlight w:val="none"/>
        </w:rPr>
        <w:t>月</w:t>
      </w:r>
      <w:r>
        <w:rPr>
          <w:rFonts w:hint="eastAsia" w:ascii="仿宋_GB2312" w:hAnsi="仿宋_GB2312" w:eastAsia="仿宋_GB2312" w:cs="仿宋_GB2312"/>
          <w:b/>
          <w:bCs/>
          <w:sz w:val="32"/>
          <w:szCs w:val="32"/>
          <w:highlight w:val="none"/>
          <w:lang w:val="en-US" w:eastAsia="zh-CN"/>
        </w:rPr>
        <w:t>12</w:t>
      </w:r>
      <w:r>
        <w:rPr>
          <w:rFonts w:hint="eastAsia" w:ascii="仿宋_GB2312" w:hAnsi="仿宋_GB2312" w:eastAsia="仿宋_GB2312" w:cs="仿宋_GB2312"/>
          <w:b/>
          <w:bCs/>
          <w:sz w:val="32"/>
          <w:szCs w:val="32"/>
          <w:highlight w:val="none"/>
        </w:rPr>
        <w:t>日</w:t>
      </w:r>
      <w:bookmarkStart w:id="0" w:name="_Toc466045931"/>
      <w:bookmarkStart w:id="1" w:name="_Toc382049087"/>
    </w:p>
    <w:p>
      <w:pPr>
        <w:snapToGrid w:val="0"/>
        <w:spacing w:line="360" w:lineRule="auto"/>
        <w:jc w:val="center"/>
        <w:rPr>
          <w:rFonts w:hint="eastAsia" w:ascii="仿宋_GB2312" w:hAnsi="仿宋_GB2312" w:eastAsia="仿宋_GB2312" w:cs="仿宋_GB2312"/>
          <w:b/>
          <w:sz w:val="24"/>
          <w:highlight w:val="none"/>
        </w:rPr>
        <w:sectPr>
          <w:headerReference r:id="rId3" w:type="default"/>
          <w:pgSz w:w="11906" w:h="16838"/>
          <w:pgMar w:top="1440" w:right="1558" w:bottom="1440" w:left="1800" w:header="1077" w:footer="1020" w:gutter="0"/>
          <w:pgNumType w:fmt="upperRoman" w:start="1"/>
          <w:cols w:space="0" w:num="1"/>
          <w:docGrid w:linePitch="312" w:charSpace="0"/>
        </w:sectPr>
      </w:pPr>
    </w:p>
    <w:p>
      <w:pPr>
        <w:snapToGrid w:val="0"/>
        <w:spacing w:line="360" w:lineRule="auto"/>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温馨提示</w:t>
      </w:r>
    </w:p>
    <w:p>
      <w:pPr>
        <w:snapToGrid w:val="0"/>
        <w:spacing w:line="360" w:lineRule="auto"/>
        <w:jc w:val="center"/>
        <w:rPr>
          <w:rFonts w:hint="eastAsia" w:ascii="仿宋_GB2312" w:hAnsi="仿宋_GB2312" w:eastAsia="仿宋_GB2312" w:cs="仿宋_GB2312"/>
          <w:sz w:val="24"/>
          <w:highlight w:val="none"/>
        </w:rPr>
      </w:pPr>
    </w:p>
    <w:p>
      <w:pPr>
        <w:snapToGrid w:val="0"/>
        <w:spacing w:line="560" w:lineRule="exact"/>
        <w:jc w:val="center"/>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（本提示内容非磋商文件的组成部分，仅为善意提醒。如有不一致，以磋商文件为准）</w:t>
      </w:r>
    </w:p>
    <w:p>
      <w:pPr>
        <w:numPr>
          <w:ilvl w:val="0"/>
          <w:numId w:val="2"/>
        </w:numPr>
        <w:tabs>
          <w:tab w:val="left" w:pos="851"/>
        </w:tabs>
        <w:snapToGrid w:val="0"/>
        <w:spacing w:line="560" w:lineRule="exact"/>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首次参与政府采购项目的供应商，应在报名成功后最迟于提交响应文件截止日前一日登录</w:t>
      </w:r>
      <w:r>
        <w:rPr>
          <w:rFonts w:hint="eastAsia" w:ascii="仿宋_GB2312" w:hAnsi="仿宋_GB2312" w:eastAsia="仿宋_GB2312" w:cs="仿宋_GB2312"/>
          <w:b/>
          <w:sz w:val="22"/>
          <w:szCs w:val="22"/>
          <w:highlight w:val="none"/>
        </w:rPr>
        <w:t>广东省政府采购网（指南链接：</w:t>
      </w: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"http://www.gdgpo.com/workEnchiridion.html" </w:instrText>
      </w:r>
      <w:r>
        <w:rPr>
          <w:rFonts w:hint="eastAsia" w:ascii="仿宋_GB2312" w:hAnsi="仿宋_GB2312" w:eastAsia="仿宋_GB2312" w:cs="仿宋_GB2312"/>
          <w:highlight w:val="none"/>
        </w:rPr>
        <w:fldChar w:fldCharType="separate"/>
      </w:r>
      <w:r>
        <w:rPr>
          <w:rStyle w:val="29"/>
          <w:rFonts w:hint="eastAsia" w:ascii="仿宋_GB2312" w:hAnsi="仿宋_GB2312" w:eastAsia="仿宋_GB2312" w:cs="仿宋_GB2312"/>
          <w:b/>
          <w:color w:val="auto"/>
          <w:sz w:val="22"/>
          <w:szCs w:val="22"/>
          <w:highlight w:val="none"/>
        </w:rPr>
        <w:t>http://www.gdgpo.com/workEnchiridion.html</w:t>
      </w:r>
      <w:r>
        <w:rPr>
          <w:rStyle w:val="29"/>
          <w:rFonts w:hint="eastAsia" w:ascii="仿宋_GB2312" w:hAnsi="仿宋_GB2312" w:eastAsia="仿宋_GB2312" w:cs="仿宋_GB2312"/>
          <w:b/>
          <w:color w:val="auto"/>
          <w:sz w:val="22"/>
          <w:szCs w:val="22"/>
          <w:highlight w:val="none"/>
        </w:rPr>
        <w:fldChar w:fldCharType="end"/>
      </w:r>
      <w:r>
        <w:rPr>
          <w:rFonts w:hint="eastAsia" w:ascii="仿宋_GB2312" w:hAnsi="仿宋_GB2312" w:eastAsia="仿宋_GB2312" w:cs="仿宋_GB2312"/>
          <w:b/>
          <w:sz w:val="22"/>
          <w:szCs w:val="22"/>
          <w:highlight w:val="none"/>
        </w:rPr>
        <w:t>）</w:t>
      </w:r>
      <w:r>
        <w:rPr>
          <w:rFonts w:hint="eastAsia" w:ascii="仿宋_GB2312" w:hAnsi="仿宋_GB2312" w:eastAsia="仿宋_GB2312" w:cs="仿宋_GB2312"/>
          <w:sz w:val="22"/>
          <w:szCs w:val="22"/>
          <w:highlight w:val="none"/>
        </w:rPr>
        <w:t>进行建档入库，否则由此产生的后果由供应商自行承担</w:t>
      </w:r>
      <w:r>
        <w:rPr>
          <w:rFonts w:hint="eastAsia" w:ascii="仿宋_GB2312" w:hAnsi="仿宋_GB2312" w:eastAsia="仿宋_GB2312" w:cs="仿宋_GB2312"/>
          <w:bCs/>
          <w:sz w:val="22"/>
          <w:szCs w:val="22"/>
          <w:highlight w:val="none"/>
        </w:rPr>
        <w:t>。</w:t>
      </w:r>
    </w:p>
    <w:p>
      <w:pPr>
        <w:numPr>
          <w:ilvl w:val="0"/>
          <w:numId w:val="2"/>
        </w:numPr>
        <w:tabs>
          <w:tab w:val="left" w:pos="851"/>
        </w:tabs>
        <w:snapToGrid w:val="0"/>
        <w:spacing w:line="560" w:lineRule="exact"/>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如无另行说明，响应文件递交时间为</w:t>
      </w:r>
      <w:r>
        <w:rPr>
          <w:rFonts w:hint="eastAsia" w:ascii="仿宋_GB2312" w:hAnsi="仿宋_GB2312" w:eastAsia="仿宋_GB2312" w:cs="仿宋_GB2312"/>
          <w:b/>
          <w:bCs/>
          <w:sz w:val="22"/>
          <w:szCs w:val="22"/>
          <w:highlight w:val="none"/>
          <w:u w:val="single"/>
        </w:rPr>
        <w:t>提交响应文件截止时间之前</w:t>
      </w:r>
      <w:r>
        <w:rPr>
          <w:rFonts w:hint="eastAsia" w:ascii="仿宋_GB2312" w:hAnsi="仿宋_GB2312" w:eastAsia="仿宋_GB2312" w:cs="仿宋_GB2312"/>
          <w:b/>
          <w:sz w:val="22"/>
          <w:szCs w:val="22"/>
          <w:highlight w:val="none"/>
          <w:u w:val="single"/>
        </w:rPr>
        <w:t>30分钟</w:t>
      </w:r>
      <w:r>
        <w:rPr>
          <w:rFonts w:hint="eastAsia" w:ascii="仿宋_GB2312" w:hAnsi="仿宋_GB2312" w:eastAsia="仿宋_GB2312" w:cs="仿宋_GB2312"/>
          <w:sz w:val="22"/>
          <w:szCs w:val="22"/>
          <w:highlight w:val="none"/>
        </w:rPr>
        <w:t>内。</w:t>
      </w:r>
    </w:p>
    <w:p>
      <w:pPr>
        <w:numPr>
          <w:ilvl w:val="0"/>
          <w:numId w:val="2"/>
        </w:numPr>
        <w:tabs>
          <w:tab w:val="left" w:pos="851"/>
        </w:tabs>
        <w:snapToGrid w:val="0"/>
        <w:spacing w:line="560" w:lineRule="exact"/>
        <w:rPr>
          <w:rFonts w:hint="eastAsia" w:ascii="仿宋_GB2312" w:hAnsi="仿宋_GB2312" w:eastAsia="仿宋_GB2312" w:cs="仿宋_GB2312"/>
          <w:sz w:val="22"/>
          <w:szCs w:val="22"/>
          <w:highlight w:val="none"/>
        </w:rPr>
      </w:pPr>
      <w:r>
        <w:rPr>
          <w:rFonts w:hint="eastAsia" w:ascii="仿宋_GB2312" w:hAnsi="仿宋_GB2312" w:eastAsia="仿宋_GB2312" w:cs="仿宋_GB2312"/>
          <w:b/>
          <w:sz w:val="22"/>
          <w:szCs w:val="22"/>
          <w:highlight w:val="none"/>
        </w:rPr>
        <w:t>各供应商缴纳保证金前务必核对正确的缴纳账户，采购代理机构将根据保证金缴纳账户的到账情况，确认供应商是否已按规定缴纳磋商保证金，错缴误缴导致未按磋商文件要求缴纳保证金的情况将由供应商自行负责。</w:t>
      </w:r>
    </w:p>
    <w:p>
      <w:pPr>
        <w:numPr>
          <w:ilvl w:val="0"/>
          <w:numId w:val="2"/>
        </w:numPr>
        <w:tabs>
          <w:tab w:val="left" w:pos="851"/>
        </w:tabs>
        <w:snapToGrid w:val="0"/>
        <w:spacing w:line="560" w:lineRule="exact"/>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磋商保证金必须于提交响应文件截止时间之前到达采购代理机构指定的账户。由于转账当天不一定能够达账，为避免因磋商保证金未达账而导致报价被拒绝，建议</w:t>
      </w:r>
      <w:r>
        <w:rPr>
          <w:rFonts w:hint="eastAsia" w:ascii="仿宋_GB2312" w:hAnsi="仿宋_GB2312" w:eastAsia="仿宋_GB2312" w:cs="仿宋_GB2312"/>
          <w:b/>
          <w:sz w:val="22"/>
          <w:szCs w:val="22"/>
          <w:highlight w:val="none"/>
          <w:u w:val="single"/>
        </w:rPr>
        <w:t>至少提前2个工作日转账</w:t>
      </w:r>
      <w:r>
        <w:rPr>
          <w:rFonts w:hint="eastAsia" w:ascii="仿宋_GB2312" w:hAnsi="仿宋_GB2312" w:eastAsia="仿宋_GB2312" w:cs="仿宋_GB2312"/>
          <w:sz w:val="22"/>
          <w:szCs w:val="22"/>
          <w:highlight w:val="none"/>
        </w:rPr>
        <w:t>。</w:t>
      </w:r>
    </w:p>
    <w:p>
      <w:pPr>
        <w:numPr>
          <w:ilvl w:val="0"/>
          <w:numId w:val="2"/>
        </w:numPr>
        <w:tabs>
          <w:tab w:val="left" w:pos="851"/>
        </w:tabs>
        <w:snapToGrid w:val="0"/>
        <w:spacing w:line="560" w:lineRule="exact"/>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为了提高政府采购效率，节约社会交易成本与时间，希望购买了磋商文件而决定不参加本次磋商的供应商，在提交响应文件截止时间的3日前，按《磋商邀请函》中的联系方式，以书面形式告知采购代理机构。对您的支持与配合，谨此致谢！</w:t>
      </w:r>
    </w:p>
    <w:p>
      <w:pPr>
        <w:numPr>
          <w:ilvl w:val="0"/>
          <w:numId w:val="2"/>
        </w:numPr>
        <w:tabs>
          <w:tab w:val="left" w:pos="851"/>
        </w:tabs>
        <w:snapToGrid w:val="0"/>
        <w:spacing w:line="560" w:lineRule="exact"/>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供应商如需对项目提出质疑，其内容应符合《政府采购质疑和投诉办法》第十二条的规定，格式自定，也可以联系采购代理机构获取质疑函的格式。</w:t>
      </w:r>
    </w:p>
    <w:p>
      <w:pPr>
        <w:numPr>
          <w:ilvl w:val="0"/>
          <w:numId w:val="2"/>
        </w:numPr>
        <w:tabs>
          <w:tab w:val="left" w:pos="851"/>
        </w:tabs>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2"/>
          <w:szCs w:val="22"/>
          <w:highlight w:val="none"/>
        </w:rPr>
        <w:t>因场地有限，磋商地点无法提供停车位，不便之处敬请谅解。如有需要，请到周边的停车场停车。</w:t>
      </w:r>
    </w:p>
    <w:p>
      <w:pPr>
        <w:widowControl/>
        <w:snapToGrid w:val="0"/>
        <w:spacing w:before="240" w:after="240" w:line="560" w:lineRule="exact"/>
        <w:jc w:val="center"/>
        <w:rPr>
          <w:rFonts w:hint="eastAsia" w:ascii="仿宋_GB2312" w:hAnsi="仿宋_GB2312" w:eastAsia="仿宋_GB2312" w:cs="仿宋_GB2312"/>
          <w:b/>
          <w:bCs/>
          <w:sz w:val="32"/>
          <w:szCs w:val="32"/>
          <w:highlight w:val="none"/>
        </w:rPr>
        <w:sectPr>
          <w:footerReference r:id="rId4" w:type="default"/>
          <w:pgSz w:w="11906" w:h="16838"/>
          <w:pgMar w:top="1440" w:right="1558" w:bottom="1440" w:left="1800" w:header="1077" w:footer="1020" w:gutter="0"/>
          <w:pgNumType w:fmt="upperRoman" w:start="1"/>
          <w:cols w:space="0" w:num="1"/>
          <w:docGrid w:linePitch="312" w:charSpace="0"/>
        </w:sectPr>
      </w:pPr>
    </w:p>
    <w:p>
      <w:pPr>
        <w:widowControl/>
        <w:snapToGrid w:val="0"/>
        <w:spacing w:before="240" w:after="240" w:line="560" w:lineRule="exact"/>
        <w:jc w:val="cente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目  录</w:t>
      </w:r>
    </w:p>
    <w:p>
      <w:pPr>
        <w:pStyle w:val="16"/>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b/>
          <w:bCs/>
          <w:sz w:val="24"/>
          <w:highlight w:val="none"/>
        </w:rPr>
        <w:fldChar w:fldCharType="begin"/>
      </w:r>
      <w:r>
        <w:rPr>
          <w:rFonts w:hint="eastAsia" w:ascii="仿宋_GB2312" w:hAnsi="仿宋_GB2312" w:eastAsia="仿宋_GB2312" w:cs="仿宋_GB2312"/>
          <w:b/>
          <w:bCs/>
          <w:sz w:val="24"/>
          <w:highlight w:val="none"/>
        </w:rPr>
        <w:instrText xml:space="preserve">TOC \o "1-3" \h \u </w:instrText>
      </w:r>
      <w:r>
        <w:rPr>
          <w:rFonts w:hint="eastAsia" w:ascii="仿宋_GB2312" w:hAnsi="仿宋_GB2312" w:eastAsia="仿宋_GB2312" w:cs="仿宋_GB2312"/>
          <w:b/>
          <w:bCs/>
          <w:sz w:val="24"/>
          <w:highlight w:val="none"/>
        </w:rPr>
        <w:fldChar w:fldCharType="separate"/>
      </w: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"_Toc28977"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第一章 磋商邀请函</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_Toc28977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1</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6"/>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"_Toc25800"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第二章 用户需求书（采购需求）</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_Toc25800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4</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6"/>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"_Toc28817"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第三章 磋商须知前附表和磋商须知</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_Toc28817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17</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"_Toc8185"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一、磋商须知前附表</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_Toc8185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17</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"_Toc17959"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二、磋商须知</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_Toc17959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19</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"_Toc28765"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（一）说明</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_Toc28765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19</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"_Toc11695"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1.适用范围及资金来源</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_Toc11695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19</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"_Toc19277"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2.定义</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_Toc19277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19</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"_Toc5474"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3.供应商的资格条件</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_Toc5474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19</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"_Toc9027"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4.合格的货物和服务</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_Toc9027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19</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"_Toc30324"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5.知识产权</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_Toc30324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20</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"_Toc724"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6.现场考察和答疑</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_Toc724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21</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"_Toc5772"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7.磋商费用</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_Toc5772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21</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"_Toc4300"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（二）磋商文件</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_Toc4300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21</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"_Toc8702"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8.磋商文件的构成</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_Toc8702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21</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"_Toc19973"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9.磋商文件的澄清或者修改</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_Toc19973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22</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"_Toc19659"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（三）响应文件的编制</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_Toc19659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22</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"_Toc8922"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10．响应文件的语言及度量衡单位</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_Toc8922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22</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"_Toc22710"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11.响应文件的组成</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_Toc22710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23</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"_Toc16757"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12.响应文件格式</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_Toc16757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23</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"_Toc4336"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13.响应文件的编制、数量和签署</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_Toc4336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23</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"_Toc19269"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14.报价说明</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_Toc19269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24</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"_Toc4133"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15.报价货币</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_Toc4133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24</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"_Toc23385"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16.磋商有效期</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_Toc23385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25</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"_Toc3058"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17.磋商保证金</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_Toc3058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25</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"_Toc25725"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（四）响应文件的提交</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_Toc25725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26</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"_Toc30986"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18.响应文件的标记和密封</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_Toc30986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26</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"_Toc2374"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19.提交响应文件截止时间及磋商地点</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_Toc2374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27</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"_Toc13722"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20.迟交的响应文件</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_Toc13722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28</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"_Toc1393"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21.响应文件的补充、修改与撤回</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_Toc1393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28</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"_Toc5033"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（五）磋商、评审、成交</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_Toc5033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28</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"_Toc15164"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（六）合同授予</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_Toc15164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28</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"_Toc11135"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22.成交结果公告及成交通知书</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_Toc11135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28</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"_Toc19631"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（七）合同签订和履行</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_Toc19631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29</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"_Toc24165"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23.合同的签订</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_Toc24165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29</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"_Toc10211"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24.履约保证金（如有要求）</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_Toc10211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30</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"_Toc29749"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（八）询问、质疑、投诉</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_Toc29749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30</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"_Toc26316"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25.询问</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_Toc26316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30</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"_Toc21137"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26.质疑</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_Toc21137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31</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"_Toc9748"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27.投诉</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_Toc9748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31</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"_Toc706"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（九）其他</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_Toc706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32</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"_Toc21510"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28.招标代理服务费</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_Toc21510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32</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"_Toc9092"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29.适用法律</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_Toc9092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32</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"_Toc16283"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30.需要落实的政府采购政策</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_Toc16283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33</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"_Toc3665"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31.关于多家代理商代理一家制造商的产品参加磋商</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_Toc3665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33</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"_Toc12584"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32.项目终止的情形</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_Toc12584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33</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"_Toc29675"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33.磋商文件解释权</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_Toc29675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34</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6"/>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"_Toc24892"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第四章 磋商、评审、成交</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_Toc24892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35</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"_Toc4651"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一、首次报价</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_Toc4651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35</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"_Toc1966"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二、磋商小组</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_Toc1966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35</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"_Toc30052"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三、评审程序</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_Toc30052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36</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"_Toc19444"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四、价格修正原则</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_Toc19444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40</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"_Toc2530"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五、成交供应商的确定</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_Toc2530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41</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"_Toc26922"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附表一《资格性审查表》</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_Toc26922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42</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"_Toc9800"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附表二《符合性审查表》</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_Toc9800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43</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"_Toc11136"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附表三《商务评审表》</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_Toc11136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44</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"_Toc15823"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附表四《技术评审表》</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_Toc15823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46</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6"/>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"_Toc23014"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第五章 合同草案</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_Toc23014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48</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6"/>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"_Toc8647"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第六章 响应文件格式</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_Toc8647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56</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"_Toc30244"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首次报价信封</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_Toc30244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56</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"_Toc13247"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响应文件</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_Toc13247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57</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"_Toc20171"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一、价格文件</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_Toc20171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58</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"_Toc13883"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1.首次报价一览表</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_Toc13883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58</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"_Toc31141"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2.分项报价表</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_Toc31141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59</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"_Toc6122"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二、商务文件</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_Toc6122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60</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"_Toc17025"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1.报价函</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_Toc17025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60</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"_Toc13750"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2.关于供应商资格的声明函</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_Toc13750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62</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"_Toc14743"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3.法定代表人身份证明书</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_Toc14743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66</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"_Toc12837"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4.法定代表人授权委托书</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_Toc12837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67</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"_Toc9688"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5.实质性条款</w:t>
      </w:r>
      <w:r>
        <w:rPr>
          <w:rFonts w:hint="eastAsia" w:ascii="仿宋_GB2312" w:hAnsi="仿宋_GB2312" w:eastAsia="仿宋_GB2312" w:cs="仿宋_GB2312"/>
          <w:sz w:val="24"/>
          <w:highlight w:val="none"/>
        </w:rPr>
        <w:t>（“★”项）</w:t>
      </w:r>
      <w:r>
        <w:rPr>
          <w:rFonts w:hint="eastAsia" w:ascii="仿宋_GB2312" w:hAnsi="仿宋_GB2312" w:eastAsia="仿宋_GB2312" w:cs="仿宋_GB2312"/>
          <w:bCs/>
          <w:sz w:val="24"/>
          <w:highlight w:val="none"/>
        </w:rPr>
        <w:t>响应情况表</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_Toc9688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68</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"_Toc13533"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6.合同条款响应情况表</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_Toc13533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69</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"_Toc735"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7.同类业绩情况表</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_Toc735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70</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"_Toc15192"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8.磋商保证金汇入情况说明（适用于转账、电汇方式）</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_Toc15192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71</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"_Toc12135"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9.供应商认为需要提供的其他证明材料</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_Toc12135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72</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8"/>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"_Toc11258"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三、技术文件</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_Toc11258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75</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"_Toc22640"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1.拟担任本项目主要负责人简历表</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_Toc22640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75</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"_Toc10033"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2.拟投入人员配置情况表</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_Toc10033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76</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"_Toc20083"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3.一般条款响应情况表</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_Toc20083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77</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"_Toc11852"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Cs/>
          <w:sz w:val="24"/>
          <w:highlight w:val="none"/>
        </w:rPr>
        <w:t>4.重要参数条款</w:t>
      </w:r>
      <w:r>
        <w:rPr>
          <w:rFonts w:hint="eastAsia" w:ascii="仿宋_GB2312" w:hAnsi="仿宋_GB2312" w:eastAsia="仿宋_GB2312" w:cs="仿宋_GB2312"/>
          <w:sz w:val="24"/>
          <w:highlight w:val="none"/>
        </w:rPr>
        <w:t>（“</w:t>
      </w:r>
      <w:r>
        <w:rPr>
          <w:rFonts w:hint="eastAsia" w:ascii="仿宋_GB2312" w:hAnsi="仿宋_GB2312" w:eastAsia="仿宋_GB2312" w:cs="仿宋_GB2312"/>
          <w:bCs/>
          <w:kern w:val="0"/>
          <w:sz w:val="24"/>
          <w:highlight w:val="none"/>
        </w:rPr>
        <w:t>▲</w:t>
      </w:r>
      <w:r>
        <w:rPr>
          <w:rFonts w:hint="eastAsia" w:ascii="仿宋_GB2312" w:hAnsi="仿宋_GB2312" w:eastAsia="仿宋_GB2312" w:cs="仿宋_GB2312"/>
          <w:sz w:val="24"/>
          <w:highlight w:val="none"/>
        </w:rPr>
        <w:t>”项）</w:t>
      </w:r>
      <w:r>
        <w:rPr>
          <w:rFonts w:hint="eastAsia" w:ascii="仿宋_GB2312" w:hAnsi="仿宋_GB2312" w:eastAsia="仿宋_GB2312" w:cs="仿宋_GB2312"/>
          <w:bCs/>
          <w:sz w:val="24"/>
          <w:highlight w:val="none"/>
        </w:rPr>
        <w:t>响应情况表</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_Toc11852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78</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1"/>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"_Toc7512"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5.技术服务方案</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_Toc7512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79</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6"/>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"_Toc13850"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附件1：政府采购投标担保函</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_Toc13850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80</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pStyle w:val="16"/>
        <w:tabs>
          <w:tab w:val="right" w:leader="dot" w:pos="8548"/>
        </w:tabs>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"_Toc17682"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4"/>
          <w:highlight w:val="none"/>
        </w:rPr>
        <w:t>附件2：政府采购履约担保函</w:t>
      </w:r>
      <w:r>
        <w:rPr>
          <w:rFonts w:hint="eastAsia" w:ascii="仿宋_GB2312" w:hAnsi="仿宋_GB2312" w:eastAsia="仿宋_GB2312" w:cs="仿宋_GB2312"/>
          <w:sz w:val="24"/>
          <w:highlight w:val="none"/>
        </w:rPr>
        <w:tab/>
      </w:r>
      <w:r>
        <w:rPr>
          <w:rFonts w:hint="eastAsia" w:ascii="仿宋_GB2312" w:hAnsi="仿宋_GB2312" w:eastAsia="仿宋_GB2312" w:cs="仿宋_GB2312"/>
          <w:sz w:val="24"/>
          <w:highlight w:val="none"/>
        </w:rPr>
        <w:fldChar w:fldCharType="begin"/>
      </w:r>
      <w:r>
        <w:rPr>
          <w:rFonts w:hint="eastAsia" w:ascii="仿宋_GB2312" w:hAnsi="仿宋_GB2312" w:eastAsia="仿宋_GB2312" w:cs="仿宋_GB2312"/>
          <w:sz w:val="24"/>
          <w:highlight w:val="none"/>
        </w:rPr>
        <w:instrText xml:space="preserve"> PAGEREF _Toc17682 </w:instrText>
      </w:r>
      <w:r>
        <w:rPr>
          <w:rFonts w:hint="eastAsia" w:ascii="仿宋_GB2312" w:hAnsi="仿宋_GB2312" w:eastAsia="仿宋_GB2312" w:cs="仿宋_GB2312"/>
          <w:sz w:val="24"/>
          <w:highlight w:val="none"/>
        </w:rPr>
        <w:fldChar w:fldCharType="separate"/>
      </w:r>
      <w:r>
        <w:rPr>
          <w:rFonts w:hint="eastAsia" w:ascii="仿宋_GB2312" w:hAnsi="仿宋_GB2312" w:eastAsia="仿宋_GB2312" w:cs="仿宋_GB2312"/>
          <w:sz w:val="24"/>
          <w:highlight w:val="none"/>
        </w:rPr>
        <w:t>82</w:t>
      </w:r>
      <w:r>
        <w:rPr>
          <w:rFonts w:hint="eastAsia" w:ascii="仿宋_GB2312" w:hAnsi="仿宋_GB2312" w:eastAsia="仿宋_GB2312" w:cs="仿宋_GB2312"/>
          <w:sz w:val="24"/>
          <w:highlight w:val="none"/>
        </w:rPr>
        <w:fldChar w:fldCharType="end"/>
      </w:r>
      <w:r>
        <w:rPr>
          <w:rFonts w:hint="eastAsia" w:ascii="仿宋_GB2312" w:hAnsi="仿宋_GB2312" w:eastAsia="仿宋_GB2312" w:cs="仿宋_GB2312"/>
          <w:sz w:val="24"/>
          <w:highlight w:val="none"/>
        </w:rPr>
        <w:fldChar w:fldCharType="end"/>
      </w:r>
    </w:p>
    <w:p>
      <w:pPr>
        <w:widowControl/>
        <w:snapToGrid w:val="0"/>
        <w:spacing w:line="480" w:lineRule="exact"/>
        <w:jc w:val="center"/>
        <w:rPr>
          <w:rFonts w:hint="eastAsia" w:ascii="仿宋_GB2312" w:hAnsi="仿宋_GB2312" w:eastAsia="仿宋_GB2312" w:cs="仿宋_GB2312"/>
          <w:bCs/>
          <w:szCs w:val="32"/>
          <w:highlight w:val="none"/>
        </w:rPr>
        <w:sectPr>
          <w:headerReference r:id="rId5" w:type="default"/>
          <w:footerReference r:id="rId6" w:type="default"/>
          <w:pgSz w:w="11906" w:h="16838"/>
          <w:pgMar w:top="1440" w:right="1558" w:bottom="1440" w:left="1800" w:header="1077" w:footer="1020" w:gutter="0"/>
          <w:pgNumType w:fmt="upperRoman" w:start="1"/>
          <w:cols w:space="0" w:num="1"/>
          <w:docGrid w:linePitch="312" w:charSpace="0"/>
        </w:sectPr>
      </w:pPr>
      <w:r>
        <w:rPr>
          <w:rFonts w:hint="eastAsia" w:ascii="仿宋_GB2312" w:hAnsi="仿宋_GB2312" w:eastAsia="仿宋_GB2312" w:cs="仿宋_GB2312"/>
          <w:bCs/>
          <w:sz w:val="24"/>
          <w:highlight w:val="none"/>
        </w:rPr>
        <w:fldChar w:fldCharType="end"/>
      </w:r>
    </w:p>
    <w:p>
      <w:pPr>
        <w:pStyle w:val="3"/>
        <w:rPr>
          <w:rFonts w:hint="eastAsia" w:ascii="仿宋_GB2312" w:hAnsi="仿宋_GB2312" w:eastAsia="仿宋_GB2312" w:cs="仿宋_GB2312"/>
          <w:highlight w:val="none"/>
        </w:rPr>
      </w:pPr>
      <w:bookmarkStart w:id="2" w:name="_Toc32531"/>
      <w:bookmarkStart w:id="3" w:name="_Toc28977"/>
      <w:r>
        <w:rPr>
          <w:rFonts w:hint="eastAsia" w:ascii="仿宋_GB2312" w:hAnsi="仿宋_GB2312" w:eastAsia="仿宋_GB2312" w:cs="仿宋_GB2312"/>
          <w:highlight w:val="none"/>
        </w:rPr>
        <w:t>第一章 磋商邀请</w:t>
      </w:r>
      <w:bookmarkEnd w:id="0"/>
      <w:bookmarkEnd w:id="1"/>
      <w:r>
        <w:rPr>
          <w:rFonts w:hint="eastAsia" w:ascii="仿宋_GB2312" w:hAnsi="仿宋_GB2312" w:eastAsia="仿宋_GB2312" w:cs="仿宋_GB2312"/>
          <w:highlight w:val="none"/>
        </w:rPr>
        <w:t>函</w:t>
      </w:r>
      <w:bookmarkEnd w:id="2"/>
      <w:bookmarkEnd w:id="3"/>
    </w:p>
    <w:p>
      <w:pPr>
        <w:pStyle w:val="32"/>
        <w:snapToGrid w:val="0"/>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u w:val="single"/>
        </w:rPr>
        <w:t>广东盛业招标代理有限公司</w:t>
      </w:r>
      <w:r>
        <w:rPr>
          <w:rFonts w:hint="eastAsia" w:ascii="仿宋_GB2312" w:hAnsi="仿宋_GB2312" w:eastAsia="仿宋_GB2312" w:cs="仿宋_GB2312"/>
          <w:sz w:val="24"/>
          <w:szCs w:val="24"/>
          <w:highlight w:val="none"/>
        </w:rPr>
        <w:t>（以下简称“采购代理机构”）受</w:t>
      </w:r>
      <w:r>
        <w:rPr>
          <w:rFonts w:hint="eastAsia" w:ascii="仿宋_GB2312" w:hAnsi="仿宋_GB2312" w:eastAsia="仿宋_GB2312" w:cs="仿宋_GB2312"/>
          <w:sz w:val="24"/>
          <w:szCs w:val="24"/>
          <w:highlight w:val="none"/>
          <w:u w:val="single"/>
        </w:rPr>
        <w:t>广东省东莞监狱</w:t>
      </w:r>
      <w:r>
        <w:rPr>
          <w:rFonts w:hint="eastAsia" w:ascii="仿宋_GB2312" w:hAnsi="仿宋_GB2312" w:eastAsia="仿宋_GB2312" w:cs="仿宋_GB2312"/>
          <w:sz w:val="24"/>
          <w:szCs w:val="24"/>
          <w:highlight w:val="none"/>
        </w:rPr>
        <w:t>（以下简称“采购人”）的委托，现就</w:t>
      </w:r>
      <w:r>
        <w:rPr>
          <w:rFonts w:hint="eastAsia" w:ascii="仿宋_GB2312" w:hAnsi="仿宋_GB2312" w:eastAsia="仿宋_GB2312" w:cs="仿宋_GB2312"/>
          <w:sz w:val="24"/>
          <w:szCs w:val="24"/>
          <w:highlight w:val="none"/>
          <w:u w:val="single"/>
        </w:rPr>
        <w:t>广东省东莞监狱无人机防御系统采购项目</w:t>
      </w:r>
      <w:r>
        <w:rPr>
          <w:rFonts w:hint="eastAsia" w:ascii="仿宋_GB2312" w:hAnsi="仿宋_GB2312" w:eastAsia="仿宋_GB2312" w:cs="仿宋_GB2312"/>
          <w:sz w:val="24"/>
          <w:szCs w:val="24"/>
          <w:highlight w:val="none"/>
        </w:rPr>
        <w:t>进行国内</w:t>
      </w:r>
      <w:r>
        <w:rPr>
          <w:rFonts w:hint="eastAsia" w:ascii="仿宋_GB2312" w:hAnsi="仿宋_GB2312" w:eastAsia="仿宋_GB2312" w:cs="仿宋_GB2312"/>
          <w:sz w:val="24"/>
          <w:szCs w:val="24"/>
          <w:highlight w:val="none"/>
          <w:u w:val="single"/>
        </w:rPr>
        <w:t>竞争性磋商</w:t>
      </w:r>
      <w:r>
        <w:rPr>
          <w:rFonts w:hint="eastAsia" w:ascii="仿宋_GB2312" w:hAnsi="仿宋_GB2312" w:eastAsia="仿宋_GB2312" w:cs="仿宋_GB2312"/>
          <w:sz w:val="24"/>
          <w:szCs w:val="24"/>
          <w:highlight w:val="none"/>
        </w:rPr>
        <w:t>采购，欢迎符合资格条件的供应商参加。</w:t>
      </w:r>
    </w:p>
    <w:p>
      <w:pPr>
        <w:pStyle w:val="32"/>
        <w:numPr>
          <w:ilvl w:val="0"/>
          <w:numId w:val="3"/>
        </w:numPr>
        <w:snapToGrid w:val="0"/>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采购项目编号：440000-201912-201009-0189</w:t>
      </w:r>
    </w:p>
    <w:p>
      <w:pPr>
        <w:pStyle w:val="32"/>
        <w:numPr>
          <w:ilvl w:val="0"/>
          <w:numId w:val="3"/>
        </w:numPr>
        <w:snapToGrid w:val="0"/>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采购项目名称：广东省东莞监狱无人机防御系统采购项目</w:t>
      </w:r>
    </w:p>
    <w:p>
      <w:pPr>
        <w:pStyle w:val="32"/>
        <w:snapToGrid w:val="0"/>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三、采购预算：600,000.00元，最高限价600,000.00元。</w:t>
      </w:r>
    </w:p>
    <w:p>
      <w:pPr>
        <w:pStyle w:val="32"/>
        <w:snapToGrid w:val="0"/>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四、项目内容及需求：(采购项目技术要求)</w:t>
      </w:r>
    </w:p>
    <w:tbl>
      <w:tblPr>
        <w:tblStyle w:val="23"/>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552"/>
        <w:gridCol w:w="358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48" w:type="dxa"/>
            <w:vAlign w:val="center"/>
          </w:tcPr>
          <w:p>
            <w:pPr>
              <w:snapToGrid w:val="0"/>
              <w:spacing w:line="60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b/>
                <w:sz w:val="24"/>
                <w:highlight w:val="none"/>
              </w:rPr>
              <w:t>序号</w:t>
            </w:r>
          </w:p>
        </w:tc>
        <w:tc>
          <w:tcPr>
            <w:tcW w:w="2552" w:type="dxa"/>
            <w:vAlign w:val="center"/>
          </w:tcPr>
          <w:p>
            <w:pPr>
              <w:snapToGrid w:val="0"/>
              <w:spacing w:line="60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bCs/>
                <w:kern w:val="0"/>
                <w:sz w:val="24"/>
                <w:highlight w:val="none"/>
              </w:rPr>
              <w:t>采购内容</w:t>
            </w:r>
          </w:p>
        </w:tc>
        <w:tc>
          <w:tcPr>
            <w:tcW w:w="3587" w:type="dxa"/>
            <w:vAlign w:val="center"/>
          </w:tcPr>
          <w:p>
            <w:pPr>
              <w:snapToGrid w:val="0"/>
              <w:spacing w:line="60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交货完工期</w:t>
            </w:r>
          </w:p>
        </w:tc>
        <w:tc>
          <w:tcPr>
            <w:tcW w:w="1877" w:type="dxa"/>
            <w:vAlign w:val="center"/>
          </w:tcPr>
          <w:p>
            <w:pPr>
              <w:snapToGrid w:val="0"/>
              <w:spacing w:line="60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jc w:val="center"/>
        </w:trPr>
        <w:tc>
          <w:tcPr>
            <w:tcW w:w="748" w:type="dxa"/>
            <w:vAlign w:val="center"/>
          </w:tcPr>
          <w:p>
            <w:pPr>
              <w:widowControl/>
              <w:snapToGrid w:val="0"/>
              <w:spacing w:line="60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w:t>
            </w:r>
          </w:p>
        </w:tc>
        <w:tc>
          <w:tcPr>
            <w:tcW w:w="2552" w:type="dxa"/>
            <w:vAlign w:val="center"/>
          </w:tcPr>
          <w:p>
            <w:pPr>
              <w:widowControl/>
              <w:snapToGrid w:val="0"/>
              <w:spacing w:line="60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广东省东莞监狱无人机防御系统采购项目</w:t>
            </w:r>
          </w:p>
        </w:tc>
        <w:tc>
          <w:tcPr>
            <w:tcW w:w="3587" w:type="dxa"/>
            <w:vAlign w:val="center"/>
          </w:tcPr>
          <w:p>
            <w:pPr>
              <w:snapToGrid w:val="0"/>
              <w:spacing w:line="60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合同签订生效之日起5日内完成供货、安装、调试</w:t>
            </w:r>
          </w:p>
        </w:tc>
        <w:tc>
          <w:tcPr>
            <w:tcW w:w="1877" w:type="dxa"/>
            <w:vAlign w:val="center"/>
          </w:tcPr>
          <w:p>
            <w:pPr>
              <w:widowControl/>
              <w:snapToGrid w:val="0"/>
              <w:spacing w:line="600" w:lineRule="exact"/>
              <w:jc w:val="center"/>
              <w:textAlignment w:val="bottom"/>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采购人指定地点</w:t>
            </w:r>
          </w:p>
        </w:tc>
      </w:tr>
    </w:tbl>
    <w:p>
      <w:pPr>
        <w:pStyle w:val="32"/>
        <w:snapToGrid w:val="0"/>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详细服务内容及要求请查看磋商文件《第二章：用户需求书》。</w:t>
      </w:r>
    </w:p>
    <w:p>
      <w:pPr>
        <w:pStyle w:val="32"/>
        <w:snapToGrid w:val="0"/>
        <w:ind w:firstLine="494"/>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五、供应商</w:t>
      </w:r>
      <w:r>
        <w:rPr>
          <w:rFonts w:hint="eastAsia" w:ascii="仿宋_GB2312" w:hAnsi="仿宋_GB2312" w:eastAsia="仿宋_GB2312" w:cs="仿宋_GB2312"/>
          <w:sz w:val="24"/>
          <w:szCs w:val="24"/>
          <w:highlight w:val="none"/>
        </w:rPr>
        <w:t>资格</w:t>
      </w:r>
      <w:r>
        <w:rPr>
          <w:rFonts w:hint="eastAsia" w:ascii="仿宋_GB2312" w:hAnsi="仿宋_GB2312" w:eastAsia="仿宋_GB2312" w:cs="仿宋_GB2312"/>
          <w:bCs/>
          <w:sz w:val="24"/>
          <w:szCs w:val="24"/>
          <w:highlight w:val="none"/>
        </w:rPr>
        <w:t>要求</w:t>
      </w:r>
    </w:p>
    <w:p>
      <w:pPr>
        <w:pStyle w:val="32"/>
        <w:snapToGrid w:val="0"/>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1.供应商应当具备《政府采购法》第二十二条规定的条件，并提供以下资料：</w:t>
      </w:r>
    </w:p>
    <w:p>
      <w:pPr>
        <w:pStyle w:val="32"/>
        <w:snapToGrid w:val="0"/>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①供应商必须是具有独立承担民事责任能力的在中华人民共和国境内注册的法人或其他组织或自然人。（提供有效的法人或者其他组织的营业执照（或事业单位法人证书）或自然人的身份证复印件）</w:t>
      </w:r>
    </w:p>
    <w:p>
      <w:pPr>
        <w:pStyle w:val="32"/>
        <w:snapToGrid w:val="0"/>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②供应商必须具有良好的商业信誉和健全的财务会计制度。（提供2018年度财务状况报告或基本开户行出具的资信证明或专业担保机构出具的投标担保函）。</w:t>
      </w:r>
    </w:p>
    <w:p>
      <w:pPr>
        <w:pStyle w:val="32"/>
        <w:snapToGrid w:val="0"/>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③供应商必须具有履行合同所必需的设备和专业技术能力。（按响应文件格式填报设备及专业技术能力情况）</w:t>
      </w:r>
    </w:p>
    <w:p>
      <w:pPr>
        <w:pStyle w:val="32"/>
        <w:snapToGrid w:val="0"/>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④供应商必须有依法缴纳税收和社会保障资金的良好记录。（提供递交首次响应文件截止时间之日前6个月内任意1个月依法缴纳税收和社会保障资金的相关材料。如依法免税或不需要缴纳社会保障资金的，提供相应证明材料）。</w:t>
      </w:r>
    </w:p>
    <w:p>
      <w:pPr>
        <w:pStyle w:val="32"/>
        <w:snapToGrid w:val="0"/>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⑤供应商参加政府采购活动前三年内，在经营活动中没有重大违法记录。（按响应文件格式要求承诺）</w:t>
      </w:r>
    </w:p>
    <w:p>
      <w:pPr>
        <w:pStyle w:val="32"/>
        <w:snapToGrid w:val="0"/>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⑥供应商必须符合法律、行政法规规定的其他条件。（按响应文件格式要求承诺）</w:t>
      </w:r>
    </w:p>
    <w:p>
      <w:pPr>
        <w:pStyle w:val="32"/>
        <w:snapToGrid w:val="0"/>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2.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提交响应文件截止日当天在“信用中国”网站（www.creditchina.gov.cn）及中国政府采购网(www.ccgp.gov.cn)查询结果为准，如相关失信记录已失效，供应商需提供相关证明资料）。</w:t>
      </w:r>
    </w:p>
    <w:p>
      <w:pPr>
        <w:pStyle w:val="32"/>
        <w:snapToGrid w:val="0"/>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3.本项目不接受联合体磋商。</w:t>
      </w:r>
    </w:p>
    <w:p>
      <w:pPr>
        <w:pStyle w:val="32"/>
        <w:snapToGrid w:val="0"/>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4.已报名并获取本项目磋商文件的。</w:t>
      </w:r>
    </w:p>
    <w:p>
      <w:pPr>
        <w:pStyle w:val="32"/>
        <w:snapToGrid w:val="0"/>
        <w:ind w:firstLine="0" w:firstLineChars="0"/>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供应商报名须知：</w:t>
      </w:r>
    </w:p>
    <w:p>
      <w:pPr>
        <w:pStyle w:val="32"/>
        <w:numPr>
          <w:ilvl w:val="0"/>
          <w:numId w:val="4"/>
        </w:numPr>
        <w:tabs>
          <w:tab w:val="left" w:pos="640"/>
        </w:tabs>
        <w:snapToGrid w:val="0"/>
        <w:ind w:firstLine="482" w:firstLineChars="200"/>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供应商在购买磋商文件时须提供《营业执照》或《事业单位法人证书》复印件（加盖公章）。</w:t>
      </w:r>
    </w:p>
    <w:p>
      <w:pPr>
        <w:pStyle w:val="32"/>
        <w:numPr>
          <w:ilvl w:val="0"/>
          <w:numId w:val="4"/>
        </w:numPr>
        <w:snapToGrid w:val="0"/>
        <w:ind w:firstLine="482" w:firstLineChars="200"/>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供应商应在开标前登录广东省政府采购网（办事指南链接：</w:t>
      </w: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"http://www.gdgpo.com/workEnchiridion.html）完成供应商注册登记，咨询电话020-83726197、83188500、83345601。"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b/>
          <w:sz w:val="24"/>
          <w:szCs w:val="24"/>
          <w:highlight w:val="none"/>
        </w:rPr>
        <w:t>http://www.gdgpo.com/workEnchiridion.html）完成供应商注册登记，咨询电话020-83726197、83188500、83345601。</w:t>
      </w:r>
      <w:r>
        <w:rPr>
          <w:rFonts w:hint="eastAsia" w:ascii="仿宋_GB2312" w:hAnsi="仿宋_GB2312" w:eastAsia="仿宋_GB2312" w:cs="仿宋_GB2312"/>
          <w:b/>
          <w:sz w:val="24"/>
          <w:szCs w:val="24"/>
          <w:highlight w:val="none"/>
        </w:rPr>
        <w:fldChar w:fldCharType="end"/>
      </w:r>
    </w:p>
    <w:p>
      <w:pPr>
        <w:pStyle w:val="32"/>
        <w:numPr>
          <w:ilvl w:val="0"/>
          <w:numId w:val="4"/>
        </w:numPr>
        <w:snapToGrid w:val="0"/>
        <w:ind w:firstLine="482" w:firstLineChars="200"/>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因供应商未及时按上述①、②的要求注册登记和建档入库导致的一切后果，由供应商承担。</w:t>
      </w:r>
    </w:p>
    <w:p>
      <w:pPr>
        <w:pStyle w:val="32"/>
        <w:snapToGrid w:val="0"/>
        <w:ind w:firstLine="420" w:firstLineChars="175"/>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六、获取磋商文件的时间、地点、方式及磋商文件售价</w:t>
      </w:r>
    </w:p>
    <w:p>
      <w:pPr>
        <w:pStyle w:val="32"/>
        <w:snapToGrid w:val="0"/>
        <w:ind w:firstLine="420" w:firstLineChars="175"/>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1.获取磋商文件时间：2019年</w:t>
      </w:r>
      <w:r>
        <w:rPr>
          <w:rFonts w:hint="eastAsia" w:ascii="仿宋_GB2312" w:hAnsi="仿宋_GB2312" w:eastAsia="仿宋_GB2312" w:cs="仿宋_GB2312"/>
          <w:bCs/>
          <w:sz w:val="24"/>
          <w:szCs w:val="24"/>
          <w:highlight w:val="none"/>
          <w:u w:val="single"/>
        </w:rPr>
        <w:t xml:space="preserve"> </w:t>
      </w:r>
      <w:r>
        <w:rPr>
          <w:rFonts w:hint="eastAsia" w:hAnsi="仿宋_GB2312" w:cs="仿宋_GB2312"/>
          <w:bCs/>
          <w:sz w:val="24"/>
          <w:szCs w:val="24"/>
          <w:highlight w:val="none"/>
          <w:u w:val="single"/>
          <w:lang w:val="en-US" w:eastAsia="zh-CN"/>
        </w:rPr>
        <w:t>12</w:t>
      </w:r>
      <w:r>
        <w:rPr>
          <w:rFonts w:hint="eastAsia" w:ascii="仿宋_GB2312" w:hAnsi="仿宋_GB2312" w:eastAsia="仿宋_GB2312" w:cs="仿宋_GB2312"/>
          <w:bCs/>
          <w:sz w:val="24"/>
          <w:szCs w:val="24"/>
          <w:highlight w:val="none"/>
          <w:u w:val="single"/>
        </w:rPr>
        <w:t xml:space="preserve"> </w:t>
      </w:r>
      <w:r>
        <w:rPr>
          <w:rFonts w:hint="eastAsia" w:ascii="仿宋_GB2312" w:hAnsi="仿宋_GB2312" w:eastAsia="仿宋_GB2312" w:cs="仿宋_GB2312"/>
          <w:bCs/>
          <w:sz w:val="24"/>
          <w:szCs w:val="24"/>
          <w:highlight w:val="none"/>
        </w:rPr>
        <w:t>月</w:t>
      </w:r>
      <w:r>
        <w:rPr>
          <w:rFonts w:hint="eastAsia" w:ascii="仿宋_GB2312" w:hAnsi="仿宋_GB2312" w:eastAsia="仿宋_GB2312" w:cs="仿宋_GB2312"/>
          <w:bCs/>
          <w:sz w:val="24"/>
          <w:szCs w:val="24"/>
          <w:highlight w:val="none"/>
          <w:u w:val="single"/>
        </w:rPr>
        <w:t xml:space="preserve"> </w:t>
      </w:r>
      <w:r>
        <w:rPr>
          <w:rFonts w:hint="eastAsia" w:hAnsi="仿宋_GB2312" w:cs="仿宋_GB2312"/>
          <w:bCs/>
          <w:sz w:val="24"/>
          <w:szCs w:val="24"/>
          <w:highlight w:val="none"/>
          <w:u w:val="single"/>
          <w:lang w:val="en-US" w:eastAsia="zh-CN"/>
        </w:rPr>
        <w:t>12</w:t>
      </w:r>
      <w:r>
        <w:rPr>
          <w:rFonts w:hint="eastAsia" w:ascii="仿宋_GB2312" w:hAnsi="仿宋_GB2312" w:eastAsia="仿宋_GB2312" w:cs="仿宋_GB2312"/>
          <w:bCs/>
          <w:sz w:val="24"/>
          <w:szCs w:val="24"/>
          <w:highlight w:val="none"/>
          <w:u w:val="single"/>
        </w:rPr>
        <w:t xml:space="preserve"> </w:t>
      </w:r>
      <w:r>
        <w:rPr>
          <w:rFonts w:hint="eastAsia" w:ascii="仿宋_GB2312" w:hAnsi="仿宋_GB2312" w:eastAsia="仿宋_GB2312" w:cs="仿宋_GB2312"/>
          <w:bCs/>
          <w:sz w:val="24"/>
          <w:szCs w:val="24"/>
          <w:highlight w:val="none"/>
        </w:rPr>
        <w:t>日至2019年</w:t>
      </w:r>
      <w:r>
        <w:rPr>
          <w:rFonts w:hint="eastAsia" w:ascii="仿宋_GB2312" w:hAnsi="仿宋_GB2312" w:eastAsia="仿宋_GB2312" w:cs="仿宋_GB2312"/>
          <w:bCs/>
          <w:sz w:val="24"/>
          <w:szCs w:val="24"/>
          <w:highlight w:val="none"/>
          <w:u w:val="single"/>
        </w:rPr>
        <w:t xml:space="preserve"> </w:t>
      </w:r>
      <w:r>
        <w:rPr>
          <w:rFonts w:hint="eastAsia" w:hAnsi="仿宋_GB2312" w:cs="仿宋_GB2312"/>
          <w:bCs/>
          <w:sz w:val="24"/>
          <w:szCs w:val="24"/>
          <w:highlight w:val="none"/>
          <w:u w:val="single"/>
          <w:lang w:val="en-US" w:eastAsia="zh-CN"/>
        </w:rPr>
        <w:t>12</w:t>
      </w:r>
      <w:r>
        <w:rPr>
          <w:rFonts w:hint="eastAsia" w:ascii="仿宋_GB2312" w:hAnsi="仿宋_GB2312" w:eastAsia="仿宋_GB2312" w:cs="仿宋_GB2312"/>
          <w:bCs/>
          <w:sz w:val="24"/>
          <w:szCs w:val="24"/>
          <w:highlight w:val="none"/>
          <w:u w:val="single"/>
        </w:rPr>
        <w:t xml:space="preserve"> </w:t>
      </w:r>
      <w:r>
        <w:rPr>
          <w:rFonts w:hint="eastAsia" w:ascii="仿宋_GB2312" w:hAnsi="仿宋_GB2312" w:eastAsia="仿宋_GB2312" w:cs="仿宋_GB2312"/>
          <w:bCs/>
          <w:sz w:val="24"/>
          <w:szCs w:val="24"/>
          <w:highlight w:val="none"/>
        </w:rPr>
        <w:t>月</w:t>
      </w:r>
      <w:r>
        <w:rPr>
          <w:rFonts w:hint="eastAsia" w:ascii="仿宋_GB2312" w:hAnsi="仿宋_GB2312" w:eastAsia="仿宋_GB2312" w:cs="仿宋_GB2312"/>
          <w:bCs/>
          <w:sz w:val="24"/>
          <w:szCs w:val="24"/>
          <w:highlight w:val="none"/>
          <w:u w:val="single"/>
        </w:rPr>
        <w:t xml:space="preserve"> </w:t>
      </w:r>
      <w:r>
        <w:rPr>
          <w:rFonts w:hint="eastAsia" w:hAnsi="仿宋_GB2312" w:cs="仿宋_GB2312"/>
          <w:bCs/>
          <w:sz w:val="24"/>
          <w:szCs w:val="24"/>
          <w:highlight w:val="none"/>
          <w:u w:val="single"/>
          <w:lang w:val="en-US" w:eastAsia="zh-CN"/>
        </w:rPr>
        <w:t>19</w:t>
      </w:r>
      <w:r>
        <w:rPr>
          <w:rFonts w:hint="eastAsia" w:ascii="仿宋_GB2312" w:hAnsi="仿宋_GB2312" w:eastAsia="仿宋_GB2312" w:cs="仿宋_GB2312"/>
          <w:bCs/>
          <w:sz w:val="24"/>
          <w:szCs w:val="24"/>
          <w:highlight w:val="none"/>
          <w:u w:val="single"/>
        </w:rPr>
        <w:t xml:space="preserve"> </w:t>
      </w:r>
      <w:r>
        <w:rPr>
          <w:rFonts w:hint="eastAsia" w:ascii="仿宋_GB2312" w:hAnsi="仿宋_GB2312" w:eastAsia="仿宋_GB2312" w:cs="仿宋_GB2312"/>
          <w:bCs/>
          <w:sz w:val="24"/>
          <w:szCs w:val="24"/>
          <w:highlight w:val="none"/>
        </w:rPr>
        <w:t>日，上午08：30～12：00，下午14：00～17：30（公休节假日除外）。</w:t>
      </w:r>
    </w:p>
    <w:p>
      <w:pPr>
        <w:pStyle w:val="32"/>
        <w:snapToGrid w:val="0"/>
        <w:ind w:firstLine="420" w:firstLineChars="175"/>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2.获取磋商文件地点：</w:t>
      </w:r>
      <w:r>
        <w:rPr>
          <w:rFonts w:hint="eastAsia" w:ascii="仿宋_GB2312" w:hAnsi="仿宋_GB2312" w:eastAsia="仿宋_GB2312" w:cs="仿宋_GB2312"/>
          <w:sz w:val="24"/>
          <w:szCs w:val="24"/>
          <w:highlight w:val="none"/>
        </w:rPr>
        <w:t>东莞市南城区雅园工业区富丽大厦5楼501室</w:t>
      </w:r>
    </w:p>
    <w:p>
      <w:pPr>
        <w:pStyle w:val="32"/>
        <w:snapToGrid w:val="0"/>
        <w:ind w:firstLine="420" w:firstLineChars="175"/>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3.获取磋商文件方式：现场购买</w:t>
      </w:r>
    </w:p>
    <w:p>
      <w:pPr>
        <w:pStyle w:val="32"/>
        <w:snapToGrid w:val="0"/>
        <w:ind w:firstLine="420" w:firstLineChars="175"/>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4.磋商文件售价：人民币150元/本（售后不退）。</w:t>
      </w:r>
    </w:p>
    <w:p>
      <w:pPr>
        <w:pStyle w:val="32"/>
        <w:snapToGrid w:val="0"/>
        <w:ind w:firstLine="420" w:firstLineChars="175"/>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购买了磋商文件，而不参加磋商的供应商，请在开标日期三日前以书面形式通知采购代理机构。</w:t>
      </w:r>
    </w:p>
    <w:p>
      <w:pPr>
        <w:pStyle w:val="32"/>
        <w:snapToGrid w:val="0"/>
        <w:ind w:firstLine="420" w:firstLineChars="175"/>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七、提交响应文件截止时间及地点</w:t>
      </w:r>
    </w:p>
    <w:p>
      <w:pPr>
        <w:pStyle w:val="32"/>
        <w:snapToGrid w:val="0"/>
        <w:ind w:firstLine="420" w:firstLineChars="175"/>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1.提交响应文件截止时间：2019年</w:t>
      </w:r>
      <w:r>
        <w:rPr>
          <w:rFonts w:hint="eastAsia" w:ascii="仿宋_GB2312" w:hAnsi="仿宋_GB2312" w:eastAsia="仿宋_GB2312" w:cs="仿宋_GB2312"/>
          <w:bCs/>
          <w:sz w:val="24"/>
          <w:szCs w:val="24"/>
          <w:highlight w:val="none"/>
          <w:u w:val="single"/>
        </w:rPr>
        <w:t xml:space="preserve"> </w:t>
      </w:r>
      <w:r>
        <w:rPr>
          <w:rFonts w:hint="eastAsia" w:hAnsi="仿宋_GB2312" w:cs="仿宋_GB2312"/>
          <w:bCs/>
          <w:sz w:val="24"/>
          <w:szCs w:val="24"/>
          <w:highlight w:val="none"/>
          <w:u w:val="single"/>
          <w:lang w:val="en-US" w:eastAsia="zh-CN"/>
        </w:rPr>
        <w:t>12</w:t>
      </w:r>
      <w:r>
        <w:rPr>
          <w:rFonts w:hint="eastAsia" w:ascii="仿宋_GB2312" w:hAnsi="仿宋_GB2312" w:eastAsia="仿宋_GB2312" w:cs="仿宋_GB2312"/>
          <w:bCs/>
          <w:sz w:val="24"/>
          <w:szCs w:val="24"/>
          <w:highlight w:val="none"/>
          <w:u w:val="single"/>
        </w:rPr>
        <w:t xml:space="preserve"> </w:t>
      </w:r>
      <w:r>
        <w:rPr>
          <w:rFonts w:hint="eastAsia" w:ascii="仿宋_GB2312" w:hAnsi="仿宋_GB2312" w:eastAsia="仿宋_GB2312" w:cs="仿宋_GB2312"/>
          <w:bCs/>
          <w:sz w:val="24"/>
          <w:szCs w:val="24"/>
          <w:highlight w:val="none"/>
        </w:rPr>
        <w:t>月</w:t>
      </w:r>
      <w:r>
        <w:rPr>
          <w:rFonts w:hint="eastAsia" w:ascii="仿宋_GB2312" w:hAnsi="仿宋_GB2312" w:eastAsia="仿宋_GB2312" w:cs="仿宋_GB2312"/>
          <w:bCs/>
          <w:sz w:val="24"/>
          <w:szCs w:val="24"/>
          <w:highlight w:val="none"/>
          <w:u w:val="single"/>
        </w:rPr>
        <w:t xml:space="preserve"> </w:t>
      </w:r>
      <w:r>
        <w:rPr>
          <w:rFonts w:hint="eastAsia" w:hAnsi="仿宋_GB2312" w:cs="仿宋_GB2312"/>
          <w:bCs/>
          <w:sz w:val="24"/>
          <w:szCs w:val="24"/>
          <w:highlight w:val="none"/>
          <w:u w:val="single"/>
          <w:lang w:val="en-US" w:eastAsia="zh-CN"/>
        </w:rPr>
        <w:t>23</w:t>
      </w:r>
      <w:r>
        <w:rPr>
          <w:rFonts w:hint="eastAsia" w:ascii="仿宋_GB2312" w:hAnsi="仿宋_GB2312" w:eastAsia="仿宋_GB2312" w:cs="仿宋_GB2312"/>
          <w:bCs/>
          <w:sz w:val="24"/>
          <w:szCs w:val="24"/>
          <w:highlight w:val="none"/>
          <w:u w:val="single"/>
        </w:rPr>
        <w:t xml:space="preserve"> </w:t>
      </w:r>
      <w:r>
        <w:rPr>
          <w:rFonts w:hint="eastAsia" w:ascii="仿宋_GB2312" w:hAnsi="仿宋_GB2312" w:eastAsia="仿宋_GB2312" w:cs="仿宋_GB2312"/>
          <w:bCs/>
          <w:sz w:val="24"/>
          <w:szCs w:val="24"/>
          <w:highlight w:val="none"/>
        </w:rPr>
        <w:t>日14:30（北京时间）。</w:t>
      </w:r>
    </w:p>
    <w:p>
      <w:pPr>
        <w:pStyle w:val="32"/>
        <w:snapToGrid w:val="0"/>
        <w:ind w:firstLine="420" w:firstLineChars="175"/>
        <w:rPr>
          <w:rFonts w:hint="eastAsia" w:ascii="仿宋_GB2312" w:hAnsi="仿宋_GB2312" w:eastAsia="仿宋_GB2312" w:cs="仿宋_GB2312"/>
          <w:b/>
          <w:sz w:val="24"/>
          <w:szCs w:val="24"/>
          <w:highlight w:val="none"/>
        </w:rPr>
      </w:pPr>
      <w:r>
        <w:rPr>
          <w:rFonts w:hint="eastAsia" w:ascii="仿宋_GB2312" w:hAnsi="仿宋_GB2312" w:eastAsia="仿宋_GB2312" w:cs="仿宋_GB2312"/>
          <w:bCs/>
          <w:sz w:val="24"/>
          <w:szCs w:val="24"/>
          <w:highlight w:val="none"/>
        </w:rPr>
        <w:t>2.提交响应文件地点：</w:t>
      </w:r>
      <w:r>
        <w:rPr>
          <w:rFonts w:hint="eastAsia" w:ascii="仿宋_GB2312" w:hAnsi="仿宋_GB2312" w:eastAsia="仿宋_GB2312" w:cs="仿宋_GB2312"/>
          <w:sz w:val="24"/>
          <w:szCs w:val="24"/>
          <w:highlight w:val="none"/>
        </w:rPr>
        <w:t>东莞市南城区雅园工业区富丽大厦5楼525室</w:t>
      </w:r>
      <w:r>
        <w:rPr>
          <w:rFonts w:hint="eastAsia" w:ascii="仿宋_GB2312" w:hAnsi="仿宋_GB2312" w:eastAsia="仿宋_GB2312" w:cs="仿宋_GB2312"/>
          <w:b/>
          <w:sz w:val="24"/>
          <w:szCs w:val="24"/>
          <w:highlight w:val="none"/>
        </w:rPr>
        <w:t>。</w:t>
      </w:r>
    </w:p>
    <w:p>
      <w:pPr>
        <w:pStyle w:val="32"/>
        <w:snapToGrid w:val="0"/>
        <w:ind w:firstLine="420" w:firstLineChars="175"/>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八、公告期限（3个工作日）自2019年</w:t>
      </w:r>
      <w:r>
        <w:rPr>
          <w:rFonts w:hint="eastAsia" w:hAnsi="仿宋_GB2312" w:cs="仿宋_GB2312"/>
          <w:bCs/>
          <w:sz w:val="24"/>
          <w:szCs w:val="24"/>
          <w:highlight w:val="none"/>
          <w:u w:val="single"/>
          <w:lang w:val="en-US" w:eastAsia="zh-CN"/>
        </w:rPr>
        <w:t>12</w:t>
      </w:r>
      <w:r>
        <w:rPr>
          <w:rFonts w:hint="eastAsia" w:ascii="仿宋_GB2312" w:hAnsi="仿宋_GB2312" w:eastAsia="仿宋_GB2312" w:cs="仿宋_GB2312"/>
          <w:bCs/>
          <w:sz w:val="24"/>
          <w:szCs w:val="24"/>
          <w:highlight w:val="none"/>
        </w:rPr>
        <w:t>月</w:t>
      </w:r>
      <w:r>
        <w:rPr>
          <w:rFonts w:hint="eastAsia" w:hAnsi="仿宋_GB2312" w:cs="仿宋_GB2312"/>
          <w:bCs/>
          <w:sz w:val="24"/>
          <w:szCs w:val="24"/>
          <w:highlight w:val="none"/>
          <w:u w:val="single"/>
          <w:lang w:val="en-US" w:eastAsia="zh-CN"/>
        </w:rPr>
        <w:t>12</w:t>
      </w:r>
      <w:r>
        <w:rPr>
          <w:rFonts w:hint="eastAsia" w:ascii="仿宋_GB2312" w:hAnsi="仿宋_GB2312" w:eastAsia="仿宋_GB2312" w:cs="仿宋_GB2312"/>
          <w:bCs/>
          <w:sz w:val="24"/>
          <w:szCs w:val="24"/>
          <w:highlight w:val="none"/>
        </w:rPr>
        <w:t>日至2019年</w:t>
      </w:r>
      <w:r>
        <w:rPr>
          <w:rFonts w:hint="eastAsia" w:hAnsi="仿宋_GB2312" w:cs="仿宋_GB2312"/>
          <w:bCs/>
          <w:sz w:val="24"/>
          <w:szCs w:val="24"/>
          <w:highlight w:val="none"/>
          <w:u w:val="single"/>
          <w:lang w:val="en-US" w:eastAsia="zh-CN"/>
        </w:rPr>
        <w:t>12</w:t>
      </w:r>
      <w:r>
        <w:rPr>
          <w:rFonts w:hint="eastAsia" w:ascii="仿宋_GB2312" w:hAnsi="仿宋_GB2312" w:eastAsia="仿宋_GB2312" w:cs="仿宋_GB2312"/>
          <w:bCs/>
          <w:sz w:val="24"/>
          <w:szCs w:val="24"/>
          <w:highlight w:val="none"/>
        </w:rPr>
        <w:t>月</w:t>
      </w:r>
      <w:r>
        <w:rPr>
          <w:rFonts w:hint="eastAsia" w:ascii="仿宋_GB2312" w:hAnsi="仿宋_GB2312" w:eastAsia="仿宋_GB2312" w:cs="仿宋_GB2312"/>
          <w:bCs/>
          <w:sz w:val="24"/>
          <w:szCs w:val="24"/>
          <w:highlight w:val="none"/>
          <w:u w:val="single"/>
        </w:rPr>
        <w:t xml:space="preserve"> </w:t>
      </w:r>
      <w:r>
        <w:rPr>
          <w:rFonts w:hint="eastAsia" w:hAnsi="仿宋_GB2312" w:cs="仿宋_GB2312"/>
          <w:bCs/>
          <w:sz w:val="24"/>
          <w:szCs w:val="24"/>
          <w:highlight w:val="none"/>
          <w:u w:val="single"/>
          <w:lang w:val="en-US" w:eastAsia="zh-CN"/>
        </w:rPr>
        <w:t>17</w:t>
      </w:r>
      <w:r>
        <w:rPr>
          <w:rFonts w:hint="eastAsia" w:ascii="仿宋_GB2312" w:hAnsi="仿宋_GB2312" w:eastAsia="仿宋_GB2312" w:cs="仿宋_GB2312"/>
          <w:bCs/>
          <w:sz w:val="24"/>
          <w:szCs w:val="24"/>
          <w:highlight w:val="none"/>
        </w:rPr>
        <w:t>日止。</w:t>
      </w:r>
    </w:p>
    <w:p>
      <w:pPr>
        <w:pStyle w:val="32"/>
        <w:snapToGrid w:val="0"/>
        <w:ind w:firstLine="420" w:firstLineChars="175"/>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九、采购人及采购代理机构的名称、地址和联系方式</w:t>
      </w:r>
    </w:p>
    <w:p>
      <w:pPr>
        <w:pStyle w:val="32"/>
        <w:snapToGrid w:val="0"/>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采购代理机构名称：广东盛业招标代理有限公司</w:t>
      </w:r>
    </w:p>
    <w:p>
      <w:pPr>
        <w:pStyle w:val="32"/>
        <w:snapToGrid w:val="0"/>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采购代理机构地址：东莞市南城区雅园工业区富丽大厦5楼501室</w:t>
      </w:r>
    </w:p>
    <w:p>
      <w:pPr>
        <w:pStyle w:val="32"/>
        <w:snapToGrid w:val="0"/>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联系人：莫先生</w:t>
      </w:r>
    </w:p>
    <w:p>
      <w:pPr>
        <w:pStyle w:val="32"/>
        <w:snapToGrid w:val="0"/>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联系电话：0769－22995118</w:t>
      </w:r>
    </w:p>
    <w:p>
      <w:pPr>
        <w:pStyle w:val="32"/>
        <w:snapToGrid w:val="0"/>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采购人：广东省东莞监狱</w:t>
      </w:r>
    </w:p>
    <w:p>
      <w:pPr>
        <w:pStyle w:val="32"/>
        <w:snapToGrid w:val="0"/>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采购人地址：广东省东莞市石碣镇新洲</w:t>
      </w:r>
    </w:p>
    <w:p>
      <w:pPr>
        <w:pStyle w:val="32"/>
        <w:snapToGrid w:val="0"/>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联系人:莫先生</w:t>
      </w:r>
    </w:p>
    <w:p>
      <w:pPr>
        <w:pStyle w:val="32"/>
        <w:snapToGrid w:val="0"/>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联系电话：0769-86333275</w:t>
      </w:r>
    </w:p>
    <w:p>
      <w:pPr>
        <w:pStyle w:val="32"/>
        <w:snapToGrid w:val="0"/>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省监狱管理局采购办监督电话020-83864268</w:t>
      </w:r>
    </w:p>
    <w:p>
      <w:pPr>
        <w:pStyle w:val="32"/>
        <w:snapToGrid w:val="0"/>
        <w:ind w:firstLine="480" w:firstLineChars="200"/>
        <w:jc w:val="righ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广东盛业招标代理有限公司</w:t>
      </w:r>
    </w:p>
    <w:p>
      <w:pPr>
        <w:snapToGrid w:val="0"/>
        <w:spacing w:line="600" w:lineRule="exact"/>
        <w:jc w:val="righ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2019年</w:t>
      </w:r>
      <w:r>
        <w:rPr>
          <w:rFonts w:hint="eastAsia" w:ascii="仿宋_GB2312" w:hAnsi="仿宋_GB2312" w:eastAsia="仿宋_GB2312" w:cs="仿宋_GB2312"/>
          <w:sz w:val="24"/>
          <w:highlight w:val="none"/>
          <w:lang w:val="en-US" w:eastAsia="zh-CN"/>
        </w:rPr>
        <w:t>12</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lang w:val="en-US" w:eastAsia="zh-CN"/>
        </w:rPr>
        <w:t>12</w:t>
      </w:r>
      <w:r>
        <w:rPr>
          <w:rFonts w:hint="eastAsia" w:ascii="仿宋_GB2312" w:hAnsi="仿宋_GB2312" w:eastAsia="仿宋_GB2312" w:cs="仿宋_GB2312"/>
          <w:sz w:val="24"/>
          <w:highlight w:val="none"/>
        </w:rPr>
        <w:t>日</w:t>
      </w:r>
    </w:p>
    <w:p>
      <w:pPr>
        <w:snapToGrid w:val="0"/>
        <w:spacing w:line="560" w:lineRule="exact"/>
        <w:rPr>
          <w:rFonts w:hint="eastAsia" w:ascii="仿宋_GB2312" w:hAnsi="仿宋_GB2312" w:eastAsia="仿宋_GB2312" w:cs="仿宋_GB2312"/>
          <w:sz w:val="24"/>
          <w:highlight w:val="none"/>
        </w:rPr>
        <w:sectPr>
          <w:headerReference r:id="rId7" w:type="default"/>
          <w:footerReference r:id="rId8" w:type="default"/>
          <w:pgSz w:w="11906" w:h="16838"/>
          <w:pgMar w:top="1440" w:right="1558" w:bottom="1440" w:left="1800" w:header="1077" w:footer="1020" w:gutter="0"/>
          <w:pgNumType w:start="1"/>
          <w:cols w:space="0" w:num="1"/>
          <w:docGrid w:linePitch="312" w:charSpace="0"/>
        </w:sectPr>
      </w:pPr>
    </w:p>
    <w:p>
      <w:pPr>
        <w:pStyle w:val="3"/>
        <w:rPr>
          <w:rFonts w:hint="eastAsia" w:ascii="仿宋_GB2312" w:hAnsi="仿宋_GB2312" w:eastAsia="仿宋_GB2312" w:cs="仿宋_GB2312"/>
          <w:highlight w:val="none"/>
        </w:rPr>
      </w:pPr>
      <w:bookmarkStart w:id="4" w:name="_Toc24432"/>
      <w:bookmarkStart w:id="5" w:name="_Toc25800"/>
      <w:r>
        <w:rPr>
          <w:rFonts w:hint="eastAsia" w:ascii="仿宋_GB2312" w:hAnsi="仿宋_GB2312" w:eastAsia="仿宋_GB2312" w:cs="仿宋_GB2312"/>
          <w:highlight w:val="none"/>
        </w:rPr>
        <w:t>第二章 用户需求书</w:t>
      </w:r>
      <w:bookmarkEnd w:id="4"/>
      <w:r>
        <w:rPr>
          <w:rFonts w:hint="eastAsia" w:ascii="仿宋_GB2312" w:hAnsi="仿宋_GB2312" w:eastAsia="仿宋_GB2312" w:cs="仿宋_GB2312"/>
          <w:highlight w:val="none"/>
        </w:rPr>
        <w:t>（采购需求）</w:t>
      </w:r>
      <w:bookmarkEnd w:id="5"/>
    </w:p>
    <w:p>
      <w:pPr>
        <w:snapToGrid w:val="0"/>
        <w:spacing w:line="560" w:lineRule="exact"/>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说明：</w:t>
      </w:r>
    </w:p>
    <w:p>
      <w:pPr>
        <w:numPr>
          <w:ilvl w:val="0"/>
          <w:numId w:val="5"/>
        </w:numPr>
        <w:snapToGrid w:val="0"/>
        <w:spacing w:line="560" w:lineRule="exact"/>
        <w:ind w:firstLine="482" w:firstLineChars="200"/>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用户需求书中带“★”为不可偏离的实质性条款，如不能满足，将按无效响应处理。</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mc:AlternateContent>
          <mc:Choice Requires="wps">
            <w:drawing>
              <wp:inline distT="0" distB="0" distL="114300" distR="114300">
                <wp:extent cx="5488305" cy="0"/>
                <wp:effectExtent l="0" t="19050" r="17145" b="19050"/>
                <wp:docPr id="8" name="直接连接符 8"/>
                <wp:cNvGraphicFramePr/>
                <a:graphic xmlns:a="http://schemas.openxmlformats.org/drawingml/2006/main">
                  <a:graphicData uri="http://schemas.microsoft.com/office/word/2010/wordprocessingShape">
                    <wps:wsp>
                      <wps:cNvCnPr/>
                      <wps:spPr>
                        <a:xfrm>
                          <a:off x="0" y="0"/>
                          <a:ext cx="5488305" cy="0"/>
                        </a:xfrm>
                        <a:prstGeom prst="line">
                          <a:avLst/>
                        </a:prstGeom>
                        <a:noFill/>
                        <a:ln w="38100" cap="flat" cmpd="sng" algn="ctr">
                          <a:solidFill>
                            <a:srgbClr val="0070C0"/>
                          </a:solidFill>
                          <a:prstDash val="solid"/>
                          <a:miter lim="800000"/>
                        </a:ln>
                        <a:effectLst/>
                      </wps:spPr>
                      <wps:bodyPr/>
                    </wps:wsp>
                  </a:graphicData>
                </a:graphic>
              </wp:inline>
            </w:drawing>
          </mc:Choice>
          <mc:Fallback>
            <w:pict>
              <v:line id="_x0000_s1026" o:spid="_x0000_s1026" o:spt="20" style="height:0pt;width:432.15pt;" filled="f" stroked="t" coordsize="21600,21600" o:gfxdata="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Gd9IQ0AAAAAIBAAAPAAAAAAAAAAEAIAAAACIAAABkcnMv&#10;ZG93bnJldi54bWxQSwECFAAUAAAACACHTuJAcgZ5dtIBAAByAwAADgAAAAAAAAABACAAAAAfAQAA&#10;ZHJzL2Uyb0RvYy54bWxQSwUGAAAAAAYABgBZAQAAYwUAAAAA&#10;">
                <v:fill on="f" focussize="0,0"/>
                <v:stroke weight="3pt" color="#0070C0" miterlimit="8" joinstyle="miter"/>
                <v:imagedata o:title=""/>
                <o:lock v:ext="edit" aspectratio="f"/>
                <w10:wrap type="none"/>
                <w10:anchorlock/>
              </v:line>
            </w:pict>
          </mc:Fallback>
        </mc:AlternateContent>
      </w:r>
    </w:p>
    <w:p>
      <w:pPr>
        <w:snapToGrid w:val="0"/>
        <w:spacing w:line="560" w:lineRule="exact"/>
        <w:rPr>
          <w:rFonts w:hint="eastAsia" w:ascii="仿宋_GB2312" w:hAnsi="仿宋_GB2312" w:eastAsia="仿宋_GB2312" w:cs="仿宋_GB2312"/>
          <w:b/>
          <w:bCs/>
          <w:sz w:val="24"/>
          <w:highlight w:val="none"/>
        </w:rPr>
      </w:pPr>
      <w:bookmarkStart w:id="6" w:name="_Toc19402"/>
      <w:r>
        <w:rPr>
          <w:rFonts w:hint="eastAsia" w:ascii="仿宋_GB2312" w:hAnsi="仿宋_GB2312" w:eastAsia="仿宋_GB2312" w:cs="仿宋_GB2312"/>
          <w:b/>
          <w:bCs/>
          <w:sz w:val="24"/>
          <w:highlight w:val="none"/>
        </w:rPr>
        <w:t>★商务需求明细：</w:t>
      </w:r>
    </w:p>
    <w:tbl>
      <w:tblPr>
        <w:tblStyle w:val="23"/>
        <w:tblW w:w="8764"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40"/>
        <w:gridCol w:w="1925"/>
        <w:gridCol w:w="60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8" w:hRule="atLeast"/>
          <w:jc w:val="center"/>
        </w:trPr>
        <w:tc>
          <w:tcPr>
            <w:tcW w:w="740" w:type="dxa"/>
            <w:tcBorders>
              <w:top w:val="single" w:color="auto" w:sz="8" w:space="0"/>
            </w:tcBorders>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序号</w:t>
            </w:r>
          </w:p>
        </w:tc>
        <w:tc>
          <w:tcPr>
            <w:tcW w:w="1925" w:type="dxa"/>
            <w:tcBorders>
              <w:top w:val="single" w:color="auto" w:sz="8" w:space="0"/>
            </w:tcBorders>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条款名称</w:t>
            </w:r>
          </w:p>
        </w:tc>
        <w:tc>
          <w:tcPr>
            <w:tcW w:w="6099" w:type="dxa"/>
            <w:tcBorders>
              <w:top w:val="single" w:color="auto" w:sz="8" w:space="0"/>
            </w:tcBorders>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说  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740"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w:t>
            </w:r>
          </w:p>
        </w:tc>
        <w:tc>
          <w:tcPr>
            <w:tcW w:w="1925"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交货完工期</w:t>
            </w:r>
          </w:p>
        </w:tc>
        <w:tc>
          <w:tcPr>
            <w:tcW w:w="6099" w:type="dxa"/>
            <w:vAlign w:val="center"/>
          </w:tcPr>
          <w:p>
            <w:pPr>
              <w:snapToGrid w:val="0"/>
              <w:spacing w:line="560" w:lineRule="exact"/>
              <w:rPr>
                <w:rFonts w:hint="eastAsia" w:ascii="仿宋_GB2312" w:hAnsi="仿宋_GB2312" w:eastAsia="仿宋_GB2312" w:cs="仿宋_GB2312"/>
                <w:highlight w:val="none"/>
              </w:rPr>
            </w:pPr>
            <w:r>
              <w:rPr>
                <w:rFonts w:hint="eastAsia" w:ascii="仿宋_GB2312" w:hAnsi="仿宋_GB2312" w:eastAsia="仿宋_GB2312" w:cs="仿宋_GB2312"/>
                <w:color w:val="000000"/>
                <w:sz w:val="24"/>
                <w:highlight w:val="none"/>
              </w:rPr>
              <w:t>合同签订生效之日起5日内完成供货、安装、调试。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17" w:hRule="atLeast"/>
          <w:jc w:val="center"/>
        </w:trPr>
        <w:tc>
          <w:tcPr>
            <w:tcW w:w="740"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w:t>
            </w:r>
          </w:p>
        </w:tc>
        <w:tc>
          <w:tcPr>
            <w:tcW w:w="1925"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付款方法和条件</w:t>
            </w:r>
          </w:p>
        </w:tc>
        <w:tc>
          <w:tcPr>
            <w:tcW w:w="6099" w:type="dxa"/>
            <w:vAlign w:val="center"/>
          </w:tcPr>
          <w:p>
            <w:pPr>
              <w:pStyle w:val="12"/>
              <w:numPr>
                <w:ilvl w:val="0"/>
                <w:numId w:val="6"/>
              </w:numPr>
              <w:snapToGrid w:val="0"/>
              <w:spacing w:line="56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双方签订合同后，监狱在5个工作日内付订金30%；</w:t>
            </w:r>
          </w:p>
          <w:p>
            <w:pPr>
              <w:pStyle w:val="12"/>
              <w:numPr>
                <w:ilvl w:val="0"/>
                <w:numId w:val="6"/>
              </w:numPr>
              <w:snapToGrid w:val="0"/>
              <w:spacing w:line="56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成交供应商完成监狱供货后并验收合格，在5个工作日内凭国家正式发票向监狱申请付款，监狱收到申请后在5天内结清所有货款。在买方银行发生的银行费用由买方承担，在买方银行以外发生的银行费用由卖方承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8" w:hRule="atLeast"/>
          <w:jc w:val="center"/>
        </w:trPr>
        <w:tc>
          <w:tcPr>
            <w:tcW w:w="740"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w:t>
            </w:r>
          </w:p>
        </w:tc>
        <w:tc>
          <w:tcPr>
            <w:tcW w:w="1925"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交货地点</w:t>
            </w:r>
          </w:p>
        </w:tc>
        <w:tc>
          <w:tcPr>
            <w:tcW w:w="6099" w:type="dxa"/>
            <w:vAlign w:val="center"/>
          </w:tcPr>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采购人指定地点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740"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w:t>
            </w:r>
          </w:p>
        </w:tc>
        <w:tc>
          <w:tcPr>
            <w:tcW w:w="1925"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报价</w:t>
            </w:r>
          </w:p>
        </w:tc>
        <w:tc>
          <w:tcPr>
            <w:tcW w:w="6099" w:type="dxa"/>
            <w:vAlign w:val="center"/>
          </w:tcPr>
          <w:p>
            <w:pPr>
              <w:snapToGrid w:val="0"/>
              <w:spacing w:line="56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1）包括所有设备及材料的购置费、仓储费、实施费用、第三方检测费、税金等一切有关费用和包括配套设备及安装（包括防雷、布线等）、保险、包装、运输、卸货、安装调试、服务等一切费用。</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2）报价应以人民币为结算单位。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95" w:hRule="atLeast"/>
          <w:jc w:val="center"/>
        </w:trPr>
        <w:tc>
          <w:tcPr>
            <w:tcW w:w="740"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w:t>
            </w:r>
          </w:p>
        </w:tc>
        <w:tc>
          <w:tcPr>
            <w:tcW w:w="1925"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质保期</w:t>
            </w:r>
          </w:p>
        </w:tc>
        <w:tc>
          <w:tcPr>
            <w:tcW w:w="6099" w:type="dxa"/>
            <w:vAlign w:val="center"/>
          </w:tcPr>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设备自最终验收合格之日起24个月（平台软件提供终身免费升级服务）。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40"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6</w:t>
            </w:r>
          </w:p>
        </w:tc>
        <w:tc>
          <w:tcPr>
            <w:tcW w:w="1925"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合同条款</w:t>
            </w:r>
          </w:p>
        </w:tc>
        <w:tc>
          <w:tcPr>
            <w:tcW w:w="6099" w:type="dxa"/>
          </w:tcPr>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供应商实质响应合同各条款。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40" w:type="dxa"/>
            <w:tcBorders>
              <w:bottom w:val="single" w:color="auto" w:sz="8" w:space="0"/>
            </w:tcBorders>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7</w:t>
            </w:r>
          </w:p>
        </w:tc>
        <w:tc>
          <w:tcPr>
            <w:tcW w:w="1925" w:type="dxa"/>
            <w:tcBorders>
              <w:bottom w:val="single" w:color="auto" w:sz="8" w:space="0"/>
            </w:tcBorders>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报价有效期</w:t>
            </w:r>
          </w:p>
        </w:tc>
        <w:tc>
          <w:tcPr>
            <w:tcW w:w="6099" w:type="dxa"/>
            <w:tcBorders>
              <w:bottom w:val="single" w:color="auto" w:sz="8" w:space="0"/>
            </w:tcBorders>
          </w:tcPr>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在提交响应文件截止日后的90天内保持有效。</w:t>
            </w:r>
          </w:p>
        </w:tc>
      </w:tr>
    </w:tbl>
    <w:p>
      <w:pPr>
        <w:snapToGrid w:val="0"/>
        <w:spacing w:line="560" w:lineRule="exact"/>
        <w:rPr>
          <w:rFonts w:hint="eastAsia" w:ascii="仿宋_GB2312" w:hAnsi="仿宋_GB2312" w:eastAsia="仿宋_GB2312" w:cs="仿宋_GB2312"/>
          <w:b/>
          <w:sz w:val="24"/>
          <w:highlight w:val="none"/>
        </w:rPr>
      </w:pPr>
      <w:r>
        <w:rPr>
          <w:rFonts w:hint="eastAsia" w:ascii="仿宋_GB2312" w:hAnsi="仿宋_GB2312" w:eastAsia="仿宋_GB2312" w:cs="仿宋_GB2312"/>
          <w:sz w:val="24"/>
          <w:highlight w:val="none"/>
        </w:rPr>
        <mc:AlternateContent>
          <mc:Choice Requires="wps">
            <w:drawing>
              <wp:inline distT="0" distB="0" distL="114300" distR="114300">
                <wp:extent cx="5488305" cy="0"/>
                <wp:effectExtent l="0" t="19050" r="17145" b="19050"/>
                <wp:docPr id="6" name="直接连接符 6"/>
                <wp:cNvGraphicFramePr/>
                <a:graphic xmlns:a="http://schemas.openxmlformats.org/drawingml/2006/main">
                  <a:graphicData uri="http://schemas.microsoft.com/office/word/2010/wordprocessingShape">
                    <wps:wsp>
                      <wps:cNvCnPr/>
                      <wps:spPr>
                        <a:xfrm>
                          <a:off x="0" y="0"/>
                          <a:ext cx="5488305" cy="0"/>
                        </a:xfrm>
                        <a:prstGeom prst="line">
                          <a:avLst/>
                        </a:prstGeom>
                        <a:noFill/>
                        <a:ln w="38100" cap="flat" cmpd="sng" algn="ctr">
                          <a:solidFill>
                            <a:srgbClr val="0070C0"/>
                          </a:solidFill>
                          <a:prstDash val="solid"/>
                          <a:miter lim="800000"/>
                        </a:ln>
                        <a:effectLst/>
                      </wps:spPr>
                      <wps:bodyPr/>
                    </wps:wsp>
                  </a:graphicData>
                </a:graphic>
              </wp:inline>
            </w:drawing>
          </mc:Choice>
          <mc:Fallback>
            <w:pict>
              <v:line id="_x0000_s1026" o:spid="_x0000_s1026" o:spt="20" style="height:0pt;width:432.15pt;" filled="f" stroked="t" coordsize="21600,21600" o:gfxdata="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nfSENAAAAACAQAADwAAAAAAAAABACAAAAAiAAAAZHJz&#10;L2Rvd25yZXYueG1sUEsBAhQAFAAAAAgAh07iQF57NuDTAQAAcgMAAA4AAAAAAAAAAQAgAAAAHwEA&#10;AGRycy9lMm9Eb2MueG1sUEsFBgAAAAAGAAYAWQEAAGQFAAAAAA==&#10;">
                <v:fill on="f" focussize="0,0"/>
                <v:stroke weight="3pt" color="#0070C0" miterlimit="8" joinstyle="miter"/>
                <v:imagedata o:title=""/>
                <o:lock v:ext="edit" aspectratio="f"/>
                <w10:wrap type="none"/>
                <w10:anchorlock/>
              </v:line>
            </w:pict>
          </mc:Fallback>
        </mc:AlternateContent>
      </w:r>
    </w:p>
    <w:p>
      <w:pPr>
        <w:widowControl/>
        <w:snapToGrid w:val="0"/>
        <w:spacing w:line="560" w:lineRule="exact"/>
        <w:ind w:firstLine="482" w:firstLineChars="200"/>
        <w:textAlignment w:val="top"/>
        <w:rPr>
          <w:rFonts w:hint="eastAsia" w:ascii="仿宋_GB2312" w:hAnsi="仿宋_GB2312" w:eastAsia="仿宋_GB2312" w:cs="仿宋_GB2312"/>
          <w:bCs/>
          <w:sz w:val="24"/>
          <w:highlight w:val="none"/>
        </w:rPr>
      </w:pPr>
      <w:r>
        <w:rPr>
          <w:rFonts w:hint="eastAsia" w:ascii="仿宋_GB2312" w:hAnsi="仿宋_GB2312" w:eastAsia="仿宋_GB2312" w:cs="仿宋_GB2312"/>
          <w:b/>
          <w:sz w:val="24"/>
          <w:highlight w:val="none"/>
        </w:rPr>
        <w:t>技术需求明细：</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一、本项目根据国家相关部门要求和监狱实际需要，在监管区域建设一套</w:t>
      </w:r>
      <w:r>
        <w:rPr>
          <w:rFonts w:hint="eastAsia" w:ascii="仿宋_GB2312" w:hAnsi="仿宋_GB2312" w:eastAsia="仿宋_GB2312" w:cs="仿宋_GB2312"/>
          <w:sz w:val="24"/>
          <w:highlight w:val="none"/>
        </w:rPr>
        <w:t>无人机防御系统。</w:t>
      </w:r>
    </w:p>
    <w:p>
      <w:pPr>
        <w:snapToGrid w:val="0"/>
        <w:spacing w:line="560" w:lineRule="exact"/>
        <w:ind w:firstLine="480" w:firstLineChars="200"/>
        <w:jc w:val="left"/>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rPr>
        <w:t>二、设备名称</w:t>
      </w:r>
      <w:r>
        <w:rPr>
          <w:rFonts w:hint="eastAsia" w:ascii="仿宋_GB2312" w:hAnsi="仿宋_GB2312" w:eastAsia="仿宋_GB2312" w:cs="仿宋_GB2312"/>
          <w:color w:val="000000"/>
          <w:sz w:val="24"/>
          <w:highlight w:val="none"/>
          <w:lang w:eastAsia="zh-CN"/>
        </w:rPr>
        <w:t>及预算</w:t>
      </w:r>
    </w:p>
    <w:p>
      <w:pPr>
        <w:snapToGrid w:val="0"/>
        <w:spacing w:line="560" w:lineRule="exact"/>
        <w:ind w:firstLine="480" w:firstLineChars="2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1、设备名称</w:t>
      </w:r>
    </w:p>
    <w:tbl>
      <w:tblPr>
        <w:tblStyle w:val="23"/>
        <w:tblW w:w="8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774"/>
        <w:gridCol w:w="1999"/>
        <w:gridCol w:w="670"/>
        <w:gridCol w:w="683"/>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trPr>
        <w:tc>
          <w:tcPr>
            <w:tcW w:w="774"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序号</w:t>
            </w:r>
          </w:p>
        </w:tc>
        <w:tc>
          <w:tcPr>
            <w:tcW w:w="1999"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产品名称</w:t>
            </w:r>
          </w:p>
        </w:tc>
        <w:tc>
          <w:tcPr>
            <w:tcW w:w="670"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单位</w:t>
            </w:r>
          </w:p>
        </w:tc>
        <w:tc>
          <w:tcPr>
            <w:tcW w:w="683"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数量</w:t>
            </w:r>
          </w:p>
        </w:tc>
        <w:tc>
          <w:tcPr>
            <w:tcW w:w="4465"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trPr>
        <w:tc>
          <w:tcPr>
            <w:tcW w:w="774"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w:t>
            </w:r>
          </w:p>
        </w:tc>
        <w:tc>
          <w:tcPr>
            <w:tcW w:w="1999"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无人机侦测系统（无线电频谱探测设备）</w:t>
            </w:r>
          </w:p>
        </w:tc>
        <w:tc>
          <w:tcPr>
            <w:tcW w:w="670"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套</w:t>
            </w:r>
          </w:p>
        </w:tc>
        <w:tc>
          <w:tcPr>
            <w:tcW w:w="683"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w:t>
            </w:r>
          </w:p>
        </w:tc>
        <w:tc>
          <w:tcPr>
            <w:tcW w:w="4465"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1、能够探测到相对设备3公里内的无人机目标（3个品牌及5架以上）。2、最小探测距离不少于1.4公里。3、须提供国家相关权威部门质量检验报告（复印件并加盖</w:t>
            </w:r>
            <w:r>
              <w:rPr>
                <w:rFonts w:hint="eastAsia" w:ascii="仿宋_GB2312" w:hAnsi="仿宋_GB2312" w:eastAsia="仿宋_GB2312" w:cs="仿宋_GB2312"/>
                <w:color w:val="000000"/>
                <w:sz w:val="24"/>
                <w:highlight w:val="none"/>
                <w:lang w:eastAsia="zh-CN"/>
              </w:rPr>
              <w:t>制造商</w:t>
            </w:r>
            <w:r>
              <w:rPr>
                <w:rFonts w:hint="eastAsia" w:ascii="仿宋_GB2312" w:hAnsi="仿宋_GB2312" w:eastAsia="仿宋_GB2312" w:cs="仿宋_GB2312"/>
                <w:color w:val="000000"/>
                <w:sz w:val="24"/>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trPr>
        <w:tc>
          <w:tcPr>
            <w:tcW w:w="774"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2</w:t>
            </w:r>
          </w:p>
        </w:tc>
        <w:tc>
          <w:tcPr>
            <w:tcW w:w="1999"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无人机反制系统（无线电干扰、电磁波打击设备）</w:t>
            </w:r>
          </w:p>
        </w:tc>
        <w:tc>
          <w:tcPr>
            <w:tcW w:w="670"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套</w:t>
            </w:r>
          </w:p>
        </w:tc>
        <w:tc>
          <w:tcPr>
            <w:tcW w:w="683"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w:t>
            </w:r>
          </w:p>
        </w:tc>
        <w:tc>
          <w:tcPr>
            <w:tcW w:w="4465"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1、全向发射对无人机干扰，作用距离1公里以上。2、电磁波打击作用距离0.2-0.3公里。3、侦测与反制设备应为同一品牌厂商。4、须提供国家相关权威部门质量检验报告（复印件并加盖</w:t>
            </w:r>
            <w:r>
              <w:rPr>
                <w:rFonts w:hint="eastAsia" w:ascii="仿宋_GB2312" w:hAnsi="仿宋_GB2312" w:eastAsia="仿宋_GB2312" w:cs="仿宋_GB2312"/>
                <w:color w:val="000000"/>
                <w:sz w:val="24"/>
                <w:highlight w:val="none"/>
                <w:lang w:eastAsia="zh-CN"/>
              </w:rPr>
              <w:t>制造商</w:t>
            </w:r>
            <w:r>
              <w:rPr>
                <w:rFonts w:hint="eastAsia" w:ascii="仿宋_GB2312" w:hAnsi="仿宋_GB2312" w:eastAsia="仿宋_GB2312" w:cs="仿宋_GB2312"/>
                <w:color w:val="000000"/>
                <w:sz w:val="24"/>
                <w:highlight w:val="none"/>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trPr>
        <w:tc>
          <w:tcPr>
            <w:tcW w:w="774"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3</w:t>
            </w:r>
          </w:p>
        </w:tc>
        <w:tc>
          <w:tcPr>
            <w:tcW w:w="1999"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中心管理系统（含指控平台管理软件）</w:t>
            </w:r>
          </w:p>
        </w:tc>
        <w:tc>
          <w:tcPr>
            <w:tcW w:w="670"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套</w:t>
            </w:r>
          </w:p>
        </w:tc>
        <w:tc>
          <w:tcPr>
            <w:tcW w:w="683"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w:t>
            </w:r>
          </w:p>
        </w:tc>
        <w:tc>
          <w:tcPr>
            <w:tcW w:w="4465"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1、支持每个监测设备的监测模式设置：A）多频段：可增加、删除≥8个以上探测频段，并具有扫描带宽设置功能。B）全频段模式：可设置频率扫描范围400</w:t>
            </w:r>
            <w:r>
              <w:rPr>
                <w:rFonts w:hint="eastAsia" w:ascii="仿宋_GB2312" w:hAnsi="仿宋_GB2312" w:eastAsia="仿宋_GB2312" w:cs="仿宋_GB2312"/>
                <w:sz w:val="24"/>
                <w:highlight w:val="none"/>
              </w:rPr>
              <w:t>MHz</w:t>
            </w:r>
            <w:r>
              <w:rPr>
                <w:rFonts w:hint="eastAsia" w:ascii="仿宋_GB2312" w:hAnsi="仿宋_GB2312" w:eastAsia="仿宋_GB2312" w:cs="仿宋_GB2312"/>
                <w:color w:val="000000"/>
                <w:sz w:val="24"/>
                <w:highlight w:val="none"/>
              </w:rPr>
              <w:t>－6000</w:t>
            </w:r>
            <w:r>
              <w:rPr>
                <w:rFonts w:hint="eastAsia" w:ascii="仿宋_GB2312" w:hAnsi="仿宋_GB2312" w:eastAsia="仿宋_GB2312" w:cs="仿宋_GB2312"/>
                <w:sz w:val="24"/>
                <w:highlight w:val="none"/>
              </w:rPr>
              <w:t>MHz；支持扇扫模式：可设置多个不同方位扫描区，对任一个或多个进行扫描。2、</w:t>
            </w:r>
            <w:r>
              <w:rPr>
                <w:rFonts w:hint="eastAsia" w:ascii="仿宋_GB2312" w:hAnsi="仿宋_GB2312" w:eastAsia="仿宋_GB2312" w:cs="仿宋_GB2312"/>
                <w:color w:val="000000"/>
                <w:sz w:val="24"/>
                <w:highlight w:val="none"/>
              </w:rPr>
              <w:t xml:space="preserve">配套项目施工所需要的交换机等设备及相关配套附件等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trPr>
        <w:tc>
          <w:tcPr>
            <w:tcW w:w="774"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4</w:t>
            </w:r>
          </w:p>
        </w:tc>
        <w:tc>
          <w:tcPr>
            <w:tcW w:w="1999"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指控中心电脑（含配套塔架、设备及联接线）</w:t>
            </w:r>
          </w:p>
        </w:tc>
        <w:tc>
          <w:tcPr>
            <w:tcW w:w="670"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套</w:t>
            </w:r>
          </w:p>
        </w:tc>
        <w:tc>
          <w:tcPr>
            <w:tcW w:w="683"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w:t>
            </w:r>
          </w:p>
        </w:tc>
        <w:tc>
          <w:tcPr>
            <w:tcW w:w="4465"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配套安装指控平台软件 及相关设备等</w:t>
            </w:r>
          </w:p>
        </w:tc>
      </w:tr>
    </w:tbl>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2、项目预算：本项目总预算金额60万元人民币，(包括采购费、仓储费、实施费用、第三方检测费、税金等一切有关费用)和包括配套设备及安装（包括防雷、布线等）、保险、包装、运输、卸货、安装调试、服务等一切费用。</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三、技术功能要求</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1.系统概述</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因反恐怖防范工作要求，拟在监狱区域建一套固定式无人机防御系统。无人机防御系统由无线电频谱探测设备、无线电干扰、</w:t>
      </w:r>
      <w:r>
        <w:rPr>
          <w:rFonts w:hint="eastAsia" w:ascii="仿宋_GB2312" w:hAnsi="仿宋_GB2312" w:eastAsia="仿宋_GB2312" w:cs="仿宋_GB2312"/>
          <w:sz w:val="24"/>
          <w:highlight w:val="none"/>
        </w:rPr>
        <w:t>电磁波打击设备</w:t>
      </w:r>
      <w:r>
        <w:rPr>
          <w:rFonts w:hint="eastAsia" w:ascii="仿宋_GB2312" w:hAnsi="仿宋_GB2312" w:eastAsia="仿宋_GB2312" w:cs="仿宋_GB2312"/>
          <w:color w:val="000000"/>
          <w:sz w:val="24"/>
          <w:highlight w:val="none"/>
        </w:rPr>
        <w:t>以及指控终端及系统软件等组成。无线电频谱探测设备对无人机遥控和图传信号进行探测接收并解算分析出无人机方位、频点、型号等信息，同时将信息上报给指控终端；指控终端将前端探测设备上报数据整合分析后发送至干扰装置，无线电干扰设备可对防御区域范围内各方向的入侵的无人机实施快速处置，可使无人机产生原地迫降或者返回起点的效果，保障区域内的低空空域安全。</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2.主要功能要求</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（1）系统基本功能</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监管场所无人机防控系统采用固定式安装设备。系统由一套管控平台，传输网络，一套或者多套探测设备、反制设备组成。</w:t>
      </w:r>
    </w:p>
    <w:p>
      <w:pPr>
        <w:numPr>
          <w:ilvl w:val="0"/>
          <w:numId w:val="7"/>
        </w:num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能够对无人机入侵进行预警、跟踪、处置；能够同时处置多个方向、多个批次入侵的无人机；</w:t>
      </w:r>
    </w:p>
    <w:p>
      <w:pPr>
        <w:numPr>
          <w:ilvl w:val="0"/>
          <w:numId w:val="7"/>
        </w:num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建立无人机识别库，能够自动识别无人机目标；对非建库的无人机信号能够识别并上报，能自动对数据库进行更新；</w:t>
      </w:r>
    </w:p>
    <w:p>
      <w:pPr>
        <w:numPr>
          <w:ilvl w:val="0"/>
          <w:numId w:val="7"/>
        </w:num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可精准识别己方和非法无人机，可建立黑白名单库；</w:t>
      </w:r>
      <w:r>
        <w:rPr>
          <w:rFonts w:hint="eastAsia" w:ascii="仿宋_GB2312" w:hAnsi="仿宋_GB2312" w:eastAsia="仿宋_GB2312" w:cs="仿宋_GB2312"/>
          <w:color w:val="000000"/>
          <w:sz w:val="24"/>
          <w:highlight w:val="none"/>
        </w:rPr>
        <w:t>同时具备可拓展，确保五年内不被淘汰，期间免费升级;</w:t>
      </w:r>
    </w:p>
    <w:p>
      <w:pPr>
        <w:numPr>
          <w:ilvl w:val="0"/>
          <w:numId w:val="7"/>
        </w:num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系统能够24小时自动运行，可无人值守;</w:t>
      </w:r>
      <w:r>
        <w:rPr>
          <w:rFonts w:hint="eastAsia" w:ascii="仿宋_GB2312" w:hAnsi="仿宋_GB2312" w:eastAsia="仿宋_GB2312" w:cs="仿宋_GB2312"/>
          <w:color w:val="000000"/>
          <w:sz w:val="24"/>
          <w:highlight w:val="none"/>
        </w:rPr>
        <w:t>系统不能长时间对正常通信、导航等产生干扰和影响;方案要详细描述针对性措施;系统支持报警记录功能，可对无人机型号、角度、参考距离、报警时间等信息进行记录、查询及回放。</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（2）系统性能</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A）系统最小探测距离：沿监管场所围墙外任意区域延伸1400米；</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B）系统探测响应时间：无人机飞行高度100米，在抵达系统最低要求探测距离后5秒内法系；</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C）系统最小反制距离：沿监管场所围墙外任意区域延伸200米；</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D）系统探测概率：》=95%</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E）系统干扰成功率：》=95%</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（3）传输网络</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采用有线网络组成专网，连接管控平台与探测设备、反制设备。统一采用以太网传输协议，能够实现多厂家的设备互联互通。</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（4）系统显示</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管控平台通过单一的显示设备显示探测系统发现的无人机目标位置态势。管控平台可以与监管场所当前的控制中心大屏进行对接显示。</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 ）环境电磁干扰</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系统发射的无线电信号，应尽量通过工作频段规避，发射方向规避，发射时间规避等技术措施减少对合法无线电台（站）产生有害干扰。避免使用长时间发射无线电阻断信号的方式进行无人机防御。</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（6）系统工程防护</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系统室外部分应具有防雷、防水、防腐措施，并具有接地装置。</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（7）系统供电</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系统统一采用交流220V市电供电；直流电源供电的设备应具备交直流转换装置。在单向电压变化220V（+-）22V、频率50Hz2.5Hz的情况下应正常工作。</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（8）系统工作方式</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系统能够提供7*24小时连续工作，无人值守。</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（9）系统可靠性</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设备故障平均间隔时间（MTBF）应大于4000h，故障平均维修时间（MTTR）应小于1h。</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（10）系统环境适应性</w:t>
      </w:r>
    </w:p>
    <w:p>
      <w:pPr>
        <w:numPr>
          <w:ilvl w:val="0"/>
          <w:numId w:val="8"/>
        </w:num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室内设备运行的环境要求为：</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工作温度：0摄氏度—40摄氏度</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相对湿度：10摄氏度—90摄氏度</w:t>
      </w:r>
    </w:p>
    <w:p>
      <w:pPr>
        <w:numPr>
          <w:ilvl w:val="0"/>
          <w:numId w:val="8"/>
        </w:num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室外设备环境应满足</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工作环境温度：—25摄氏度—+55摄氏度特殊地区，根据当地实际情况提出最低工作温度要求。</w:t>
      </w:r>
    </w:p>
    <w:p>
      <w:pPr>
        <w:snapToGrid w:val="0"/>
        <w:spacing w:line="560" w:lineRule="exact"/>
        <w:ind w:firstLine="480" w:firstLineChars="200"/>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3.设备基本参数</w:t>
      </w:r>
    </w:p>
    <w:tbl>
      <w:tblPr>
        <w:tblStyle w:val="23"/>
        <w:tblW w:w="8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628"/>
        <w:gridCol w:w="6192"/>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120" w:hRule="atLeast"/>
        </w:trPr>
        <w:tc>
          <w:tcPr>
            <w:tcW w:w="1628"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名称</w:t>
            </w:r>
          </w:p>
        </w:tc>
        <w:tc>
          <w:tcPr>
            <w:tcW w:w="6192"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设备基本性能参数</w:t>
            </w:r>
          </w:p>
        </w:tc>
        <w:tc>
          <w:tcPr>
            <w:tcW w:w="772"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638" w:hRule="atLeast"/>
        </w:trPr>
        <w:tc>
          <w:tcPr>
            <w:tcW w:w="1628"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无人机侦测系统（无线电频谱侦测设备）</w:t>
            </w:r>
          </w:p>
        </w:tc>
        <w:tc>
          <w:tcPr>
            <w:tcW w:w="6192" w:type="dxa"/>
            <w:tcBorders>
              <w:tl2br w:val="nil"/>
              <w:tr2bl w:val="nil"/>
            </w:tcBorders>
          </w:tcPr>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 无线电侦测设备功能</w:t>
            </w:r>
          </w:p>
          <w:p>
            <w:pPr>
              <w:numPr>
                <w:ilvl w:val="0"/>
                <w:numId w:val="9"/>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设备应实现在管控区域的无盲区覆盖，探测无人机进入监管场所区域；</w:t>
            </w:r>
          </w:p>
          <w:p>
            <w:pPr>
              <w:numPr>
                <w:ilvl w:val="0"/>
                <w:numId w:val="9"/>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设备应能探测到以单飞、群飞、不同盖度飞行、不同方向飞行等方式的无人机；应能够同时对多个目标进行探测；</w:t>
            </w:r>
          </w:p>
          <w:p>
            <w:pPr>
              <w:numPr>
                <w:ilvl w:val="0"/>
                <w:numId w:val="9"/>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应具备对无人机的方位、距离等飞行特征进行采集；</w:t>
            </w:r>
          </w:p>
          <w:p>
            <w:pPr>
              <w:numPr>
                <w:ilvl w:val="0"/>
                <w:numId w:val="9"/>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应具备对无人机操控者的定位功能；</w:t>
            </w:r>
          </w:p>
          <w:p>
            <w:pPr>
              <w:numPr>
                <w:ilvl w:val="0"/>
                <w:numId w:val="9"/>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应具备自动识别无人机功能；</w:t>
            </w:r>
          </w:p>
          <w:p>
            <w:pPr>
              <w:numPr>
                <w:ilvl w:val="0"/>
                <w:numId w:val="9"/>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应能自动向管控平台或这般人员提供探测区域内的无人机飞入或起飞的报警信息；</w:t>
            </w:r>
          </w:p>
          <w:p>
            <w:pPr>
              <w:numPr>
                <w:ilvl w:val="0"/>
                <w:numId w:val="9"/>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应支持组网检测。</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2无线电侦测设备性能</w:t>
            </w:r>
          </w:p>
          <w:p>
            <w:pPr>
              <w:numPr>
                <w:ilvl w:val="0"/>
                <w:numId w:val="10"/>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探测频率范围：</w:t>
            </w:r>
            <w:r>
              <w:rPr>
                <w:rFonts w:hint="eastAsia" w:ascii="仿宋_GB2312" w:hAnsi="仿宋_GB2312" w:eastAsia="仿宋_GB2312" w:cs="仿宋_GB2312"/>
                <w:color w:val="000000"/>
                <w:sz w:val="24"/>
                <w:highlight w:val="none"/>
              </w:rPr>
              <w:t>能接收0.3GHz~6GHz频率范围内的电磁波信号;</w:t>
            </w:r>
            <w:r>
              <w:rPr>
                <w:rFonts w:hint="eastAsia" w:ascii="仿宋_GB2312" w:hAnsi="仿宋_GB2312" w:eastAsia="仿宋_GB2312" w:cs="仿宋_GB2312"/>
                <w:sz w:val="24"/>
                <w:highlight w:val="none"/>
              </w:rPr>
              <w:t>频率侦测范围覆盖至少应包括（但不限于）400MHz-6GHz；</w:t>
            </w:r>
          </w:p>
          <w:p>
            <w:pPr>
              <w:numPr>
                <w:ilvl w:val="0"/>
                <w:numId w:val="10"/>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探测距离：能探测到相对设备距离至少3公里范围内的无人机目标；</w:t>
            </w:r>
          </w:p>
          <w:p>
            <w:pPr>
              <w:numPr>
                <w:ilvl w:val="0"/>
                <w:numId w:val="10"/>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探测方位：360°；</w:t>
            </w:r>
          </w:p>
          <w:p>
            <w:pPr>
              <w:numPr>
                <w:ilvl w:val="0"/>
                <w:numId w:val="10"/>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探测概率大于95%；</w:t>
            </w:r>
          </w:p>
          <w:p>
            <w:pPr>
              <w:numPr>
                <w:ilvl w:val="0"/>
                <w:numId w:val="10"/>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误报率《=5%；</w:t>
            </w:r>
          </w:p>
          <w:p>
            <w:pPr>
              <w:numPr>
                <w:ilvl w:val="0"/>
                <w:numId w:val="10"/>
              </w:numPr>
              <w:snapToGrid w:val="0"/>
              <w:spacing w:line="560" w:lineRule="exact"/>
              <w:rPr>
                <w:rFonts w:hint="eastAsia" w:ascii="仿宋_GB2312" w:hAnsi="仿宋_GB2312" w:eastAsia="仿宋_GB2312" w:cs="仿宋_GB2312"/>
                <w:color w:val="000000"/>
                <w:sz w:val="24"/>
                <w:highlight w:val="none"/>
              </w:rPr>
            </w:pPr>
            <w:r>
              <w:rPr>
                <w:rFonts w:hint="eastAsia" w:ascii="仿宋_GB2312" w:hAnsi="仿宋_GB2312" w:eastAsia="仿宋_GB2312" w:cs="仿宋_GB2312"/>
                <w:sz w:val="24"/>
                <w:highlight w:val="none"/>
              </w:rPr>
              <w:t>侧向精度：《=10°（RMS）</w:t>
            </w:r>
          </w:p>
        </w:tc>
        <w:tc>
          <w:tcPr>
            <w:tcW w:w="772"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90" w:hRule="atLeast"/>
        </w:trPr>
        <w:tc>
          <w:tcPr>
            <w:tcW w:w="1628"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无人机反制系统（无线电干扰设备）</w:t>
            </w:r>
          </w:p>
        </w:tc>
        <w:tc>
          <w:tcPr>
            <w:tcW w:w="6192" w:type="dxa"/>
            <w:tcBorders>
              <w:tl2br w:val="nil"/>
              <w:tr2bl w:val="nil"/>
            </w:tcBorders>
          </w:tcPr>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1无线电阻断设备功能</w:t>
            </w:r>
          </w:p>
          <w:p>
            <w:pPr>
              <w:numPr>
                <w:ilvl w:val="0"/>
                <w:numId w:val="11"/>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固定式设备应具备自动和手动控制模式，可由无人机管控平台引导设备自动工作；</w:t>
            </w:r>
          </w:p>
          <w:p>
            <w:pPr>
              <w:numPr>
                <w:ilvl w:val="0"/>
                <w:numId w:val="11"/>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固定式设备应具备自动根据探测到的无人机信号频率产生对应干扰频率（精准干扰）的功能；</w:t>
            </w:r>
          </w:p>
          <w:p>
            <w:pPr>
              <w:numPr>
                <w:ilvl w:val="0"/>
                <w:numId w:val="11"/>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采用全向干扰波束或者定向干扰波束。</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2无线电阻断设备性能</w:t>
            </w:r>
          </w:p>
          <w:p>
            <w:pPr>
              <w:numPr>
                <w:ilvl w:val="0"/>
                <w:numId w:val="12"/>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阻断作用频率：干扰信号范围至少应包括（但不限于）（1560—1620）MHz、（2400-2483）MHz、（5725-5850）MHz；</w:t>
            </w:r>
          </w:p>
          <w:p>
            <w:pPr>
              <w:numPr>
                <w:ilvl w:val="0"/>
                <w:numId w:val="12"/>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阻断作用距离：相对设备距离至少1公里范围内的无人机目标；</w:t>
            </w:r>
          </w:p>
          <w:p>
            <w:pPr>
              <w:numPr>
                <w:ilvl w:val="0"/>
                <w:numId w:val="12"/>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干扰成功率&gt;=95%;</w:t>
            </w:r>
          </w:p>
          <w:p>
            <w:pPr>
              <w:numPr>
                <w:ilvl w:val="0"/>
                <w:numId w:val="12"/>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设备电磁辐射应满足GB8702-2014的豁免范围条件要求。</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3、其他要求</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1.可自动锁定并跟踪探测设备上报的无人机目标，支持自动录像功能；</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2.干扰频率范围：包括840-930MHz、1.5GHz、2.4GHz、5.8GHz的无线信号；</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3.干扰距离：≥1000m；</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4.干扰最快处置时间≤5S；</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5.光电跟踪距离≥1000m；</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6.水平覆盖角度：0～360°；</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7.俯仰覆盖角度：不低于-15°～60°；</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8.图像分辨率：不低于1920×1080或200万像素；</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9.防护等级：IP65及以上；</w:t>
            </w:r>
          </w:p>
          <w:p>
            <w:pPr>
              <w:snapToGrid w:val="0"/>
              <w:spacing w:line="560" w:lineRule="exact"/>
              <w:rPr>
                <w:rFonts w:hint="eastAsia" w:ascii="仿宋_GB2312" w:hAnsi="仿宋_GB2312" w:eastAsia="仿宋_GB2312" w:cs="仿宋_GB2312"/>
                <w:color w:val="000000"/>
                <w:sz w:val="24"/>
                <w:highlight w:val="none"/>
              </w:rPr>
            </w:pPr>
            <w:r>
              <w:rPr>
                <w:rFonts w:hint="eastAsia" w:ascii="仿宋_GB2312" w:hAnsi="仿宋_GB2312" w:eastAsia="仿宋_GB2312" w:cs="仿宋_GB2312"/>
                <w:sz w:val="24"/>
                <w:highlight w:val="none"/>
              </w:rPr>
              <w:t>10.供电方式：支持AC220V或DC12V、24V供电、POE供电。</w:t>
            </w:r>
          </w:p>
        </w:tc>
        <w:tc>
          <w:tcPr>
            <w:tcW w:w="772"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300" w:hRule="atLeast"/>
        </w:trPr>
        <w:tc>
          <w:tcPr>
            <w:tcW w:w="1628"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指控中心电脑</w:t>
            </w:r>
          </w:p>
        </w:tc>
        <w:tc>
          <w:tcPr>
            <w:tcW w:w="6192"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8代酷睿i7，8G内存，128G固态，1T硬盘，24寸液晶显示屏，2G独显</w:t>
            </w:r>
          </w:p>
        </w:tc>
        <w:tc>
          <w:tcPr>
            <w:tcW w:w="772"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1020" w:hRule="atLeast"/>
        </w:trPr>
        <w:tc>
          <w:tcPr>
            <w:tcW w:w="1628" w:type="dxa"/>
            <w:tcBorders>
              <w:tl2br w:val="nil"/>
              <w:tr2bl w:val="nil"/>
            </w:tcBorders>
            <w:vAlign w:val="center"/>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中心管理系统（含指控平台管理软件）</w:t>
            </w:r>
          </w:p>
        </w:tc>
        <w:tc>
          <w:tcPr>
            <w:tcW w:w="6192" w:type="dxa"/>
            <w:tcBorders>
              <w:tl2br w:val="nil"/>
              <w:tr2bl w:val="nil"/>
            </w:tcBorders>
          </w:tcPr>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1、无人机防控系统管理平台要求</w:t>
            </w:r>
          </w:p>
          <w:p>
            <w:pPr>
              <w:numPr>
                <w:ilvl w:val="0"/>
                <w:numId w:val="13"/>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应对无线电侦测、无线电信号阻断设备进行组合，实现统一界面集成管理；</w:t>
            </w:r>
          </w:p>
          <w:p>
            <w:pPr>
              <w:numPr>
                <w:ilvl w:val="0"/>
                <w:numId w:val="13"/>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应能自定义管控区域；</w:t>
            </w:r>
          </w:p>
          <w:p>
            <w:pPr>
              <w:numPr>
                <w:ilvl w:val="0"/>
                <w:numId w:val="13"/>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应自动完成无人机发现、识别、告警、定位、处置；</w:t>
            </w:r>
          </w:p>
          <w:p>
            <w:pPr>
              <w:numPr>
                <w:ilvl w:val="0"/>
                <w:numId w:val="13"/>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应具备侦测显示无人机方位，距离等能力；</w:t>
            </w:r>
          </w:p>
          <w:p>
            <w:pPr>
              <w:numPr>
                <w:ilvl w:val="0"/>
                <w:numId w:val="13"/>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应具备在电子地图上显示目标运动轨迹，实时显示区域态势情况；</w:t>
            </w:r>
          </w:p>
          <w:p>
            <w:pPr>
              <w:numPr>
                <w:ilvl w:val="0"/>
                <w:numId w:val="13"/>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应具备对无线阻断设备的实时导引功能，具备根据侦测设备得出的无人机方向，自动引导对目标进行阻断干扰；</w:t>
            </w:r>
          </w:p>
          <w:p>
            <w:pPr>
              <w:numPr>
                <w:ilvl w:val="0"/>
                <w:numId w:val="13"/>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应具备对无人机从探测发现到处置信息的记录、查询，信息存储天数应不低于90天；</w:t>
            </w:r>
          </w:p>
          <w:p>
            <w:pPr>
              <w:numPr>
                <w:ilvl w:val="0"/>
                <w:numId w:val="13"/>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应具备通过有线电组网方式，实现对区域内多套无人机探测和防御设施实施远程指挥、远程控制以及资源分配与调度。具有对各设备工作状态和使用的管理功能，实时监测各个设备的工作状态。</w:t>
            </w:r>
          </w:p>
          <w:p>
            <w:pPr>
              <w:numPr>
                <w:ilvl w:val="0"/>
                <w:numId w:val="13"/>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应具备用户访问管理，按照不同访问权限实现对系统的访问，调取相应数据信息。</w:t>
            </w:r>
          </w:p>
          <w:p>
            <w:pPr>
              <w:numPr>
                <w:ilvl w:val="0"/>
                <w:numId w:val="13"/>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技术架构具备良好的可兼容性和可扩展性，能方便用户进行升级扩展，对用户后续加入的设备（系统）可实现方便灵活接入。</w:t>
            </w:r>
          </w:p>
          <w:p>
            <w:pPr>
              <w:snapToGrid w:val="0"/>
              <w:spacing w:line="560" w:lineRule="exact"/>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2、指挥平台为低空无人机防御系统的显控中心。平台通过有线网与系统探测设备、进行数据整合、解算、策略分析、信令控制等操作。无人机管控系统，所有报警信息需至少留存90天备查。平台软件具备设备位置标定、防控态势显示、威胁告警、目标方位、参考距离显示、</w:t>
            </w:r>
          </w:p>
        </w:tc>
        <w:tc>
          <w:tcPr>
            <w:tcW w:w="772"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r>
    </w:tbl>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备注：1、上述功能要求、基本性能及参数投标人须在投标文件中予以响应。2、所配置的设备需合格正品，侦测、反制主要设备等提供省部级相关权威检测机构出具的检验报告。</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四、供货地点、期限等要求</w:t>
      </w:r>
    </w:p>
    <w:p>
      <w:pPr>
        <w:snapToGrid w:val="0"/>
        <w:spacing w:line="560" w:lineRule="exact"/>
        <w:ind w:firstLine="480" w:firstLineChars="200"/>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 xml:space="preserve">1.本项目为“交钥匙”项目，中标人负责将设备运抵安装现场、负责设备安装调试，系统软件运行等须满足招标人需求，直至验收合格。 </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2.如果中标人没有在规定的时间内交货及安装完成，须向招标人支付违约金，违约金从货款中扣除，每延迟一天交货物，扣除该交货价的1%。违约金的最高限额为迟交货物合同价的10%。如果达到最高限额，又造成项目无法完成，招标人可有权终止合同，由此给招标人造成的一切损失由中标人承担。</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五、质量保证及售后服务</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中标人拟供设备整机和所有部件均为设备原厂正品，系统建设须符合国家、广东省有关反恐、安全生产、环境保护等方面法律法规及行业标准规范的要求。中标人应随货提供国家认可的产品合格证、产品检验报告或产品检测报告。所提供的所有的产品必须是全新的、未使用过的，并在各个方面符合规定的质量、规格和性能。</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 xml:space="preserve">2.中标人所供设备自最终验收合格之日起24个月的质保期（平台软件提供终身免费升级服务）。在质量保证期内免费实行“三包”服务，如果设备发生故障，中标人要调查故障原因并免费修复直至满足设备性能的要求，或者更换整机或部分有缺陷的组件和材料，如设备经过维修更换部件，则该部件质量保证期应以维修后正常工作之日起（以维修记录日期为准）重新计算。质量保证期期满后，中标人应提供有偿维修、技术支持、设备升级等服务。 </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 xml:space="preserve">3.中标人所供产品出现严重质量问题，经维修后仍然造成无法使用，招标人有权立即终止合同，因所供产品造成安全等重大责任事故的，由中标人赔偿招标人一切损失并承担所有法律责任。 </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4.在质保期内，设备出现故障时，中标人须在1小时内响应，24小时内到达项目现场；中标人在质保期内须保障系统的正常运行，未按约定视为违约，按2000元人民币/次从质保金中扣除违约金。</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5.中标人应提供承担本项目售后维护的人员资料，包括有关人员的姓名、职务、职称、主要资历、经验及承担过的项目。</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6.中标人维护须做到：</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（1）24小时内到达现场；</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（2）定期巡查（在质保期内至少每半年一次）；</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（3）软件终身免费升级。</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六、设备安装、测试、培训要求</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1.安装实施</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中标人负责全部设备的安装、调试。具体工作程序、工作内容、调试方法、调试结果及验收标准，中标人在调试前必须书面提出并征得招标人同意之后按计划实施；未征得招标人同意的，中标人无权私自更改作业计划及内容，否则调试无效。针对本项目的具体技术方案。</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2.设备测试</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本项目建设的系统必须按照司法部《建设指南》规定的测试办法及要求进行，制定一个测试方案，每一项测试必须有详细的测试记录，须有双方代表签字确认，并附有详细的分析报告。</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3.培训要求</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项目实施完毕，中标人须免费对招标人技术人员进行培训，确保能够正确使用所投设备，及处理简单的故障问题。</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七、其他要求</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1、纪律与保密</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（1）投标人的投标行为应遵守中国的有关法律、法规和规章。</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2）投标人不得相互串通投标报价，不得排挤其他投标人的公平竞争，损害招标人或其他投标人的合法权益。投标人不得与招标人串通投标，损害国家利益、社会公共利益或者他人的合法权益。禁止投标人以向招标人或者小组成员行贿的手段谋取中标。投标人不得以低于成本的报价竞标，也不得以他人名义投标或者以其他方式弄虚作假，骗取中标。</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（3）在确定中标人之前，投标人不得与招标人就投标价格、投标方案等实质性内容进行磋商，也不得私下接触招标小组成员。</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（4）在确定中标人之前，投标人试图在响应文件审查、澄清、比较和评价时对磋商小组、招标人施加任何影响都可能导致其投标无效。</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（5）中标人应当和招标人签订保密协议，除非得到招标人的同意，不能向任何第三方透露信息（含招标人向投标人提供的图纸、详细资料及所有其它资料）。</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2、项目相关资料</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（1）最终验收之前，中标人必须将所有相关技术资料（包含并不仅限于：产品技术说明书、操作手册、合格证等）交招标人留存备案。</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（2）监管场所无人机防控系统验收功能性能测试表</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七、履约保证金：保证金按合同总价5%收取，验收合格后，履约保证金自动转为质量保证金，质量保证金自项目验收之日起正常使用两年后无息返还。</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八、付款方式：（1）双方签订合同后，监狱在5个工作日内付订金30%；（2）中标人完成监狱供货后并验收合格，在5个工作日内凭国家正式发票向监狱申请付款，监狱收到申请后在5天内结清所有货款。在买方银行发生的银行费用由买方承担，在买方银行以外发生的银行费用由卖方承担。</w:t>
      </w:r>
    </w:p>
    <w:p>
      <w:pPr>
        <w:snapToGrid w:val="0"/>
        <w:spacing w:line="56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附录A：监管场所无人机防控系统验收功能性能测试表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表A.1、监管场所无人机防控系统功能测试记录表</w:t>
      </w:r>
    </w:p>
    <w:tbl>
      <w:tblPr>
        <w:tblStyle w:val="24"/>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645"/>
        <w:gridCol w:w="580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类别</w:t>
            </w: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序号</w:t>
            </w:r>
          </w:p>
        </w:tc>
        <w:tc>
          <w:tcPr>
            <w:tcW w:w="58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功能项</w:t>
            </w:r>
          </w:p>
        </w:tc>
        <w:tc>
          <w:tcPr>
            <w:tcW w:w="15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测试结论（合格\不合格）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侦测功能</w:t>
            </w: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能够对无人机入侵进行预警、跟踪</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2</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能够同时预警、跟踪多个方向、多批次入侵的无人机</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3</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能够识别我方无人机无线电特征并录入识别库，实现敌我识别</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4</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具备无人机识别库，能够自动识别目标</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5</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能够对非建库目标进行识别更新识别库</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6</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识别库可升级、更新</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7</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能够采集入侵无人机的方位、距离</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8</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能够定位无人机操控者</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9</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能够自动向管控平台或值班人员提供探测区域内的无人机飞入或起飞的报警信息</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反制功能</w:t>
            </w: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10</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固定式设备应具备自动和手动控制模式，可由无人机综合管控中心设备组网引导设备自动工作</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11</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固定式设备可具备自动根据探测到的无人机信号频率产生对应干扰频率（精准干扰）的功能</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管理功能</w:t>
            </w: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12</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统一界面，可集成管理无线电侦测、无线电信号阻断设备</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13</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能够定义管控区域</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14</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平台可自动操控无线电侦测、完成无人机发现、识别、告警、定位、处置，配置固定式无线电阻断设备时应能够实现自动打击</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15</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具备监测显示无人机方位、距离能力</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16</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具备对无人机从探测发现到处置信息的记录、查询，信息存储天数应不低于90天</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17</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具备通过有线组网方式，实现对区域内多套无人机探测和防御设施实施远程指挥、远程控制以及资源分配与调度的功能</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18</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具备对各设备工作状态和使用的管理功能，实时监测各个设备的工作状态</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19</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具备用户访问管理功能，按照不同访问权限实现对系统的访问，调取相应数据信息</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表A.2监管场所无人机防控系统性能测试记录表</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732"/>
        <w:gridCol w:w="2173"/>
        <w:gridCol w:w="123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序号</w:t>
            </w:r>
          </w:p>
        </w:tc>
        <w:tc>
          <w:tcPr>
            <w:tcW w:w="27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指标</w:t>
            </w:r>
          </w:p>
        </w:tc>
        <w:tc>
          <w:tcPr>
            <w:tcW w:w="21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合格判定</w:t>
            </w:r>
          </w:p>
        </w:tc>
        <w:tc>
          <w:tcPr>
            <w:tcW w:w="1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测试数据</w:t>
            </w: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测试结论（合格\不合格）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w:t>
            </w:r>
          </w:p>
        </w:tc>
        <w:tc>
          <w:tcPr>
            <w:tcW w:w="2732"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系统最小探测距离</w:t>
            </w:r>
          </w:p>
        </w:tc>
        <w:tc>
          <w:tcPr>
            <w:tcW w:w="217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大于或等于1400M</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c>
          <w:tcPr>
            <w:tcW w:w="17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2</w:t>
            </w:r>
          </w:p>
        </w:tc>
        <w:tc>
          <w:tcPr>
            <w:tcW w:w="2732"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系统平均发现目标时间</w:t>
            </w:r>
          </w:p>
        </w:tc>
        <w:tc>
          <w:tcPr>
            <w:tcW w:w="217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≤5S（±3S）</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c>
          <w:tcPr>
            <w:tcW w:w="17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3</w:t>
            </w:r>
          </w:p>
        </w:tc>
        <w:tc>
          <w:tcPr>
            <w:tcW w:w="2732"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系统最小反制距离</w:t>
            </w:r>
          </w:p>
        </w:tc>
        <w:tc>
          <w:tcPr>
            <w:tcW w:w="217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大于或等于200M</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c>
          <w:tcPr>
            <w:tcW w:w="17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4</w:t>
            </w:r>
          </w:p>
        </w:tc>
        <w:tc>
          <w:tcPr>
            <w:tcW w:w="2732"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系统探测概率</w:t>
            </w:r>
          </w:p>
        </w:tc>
        <w:tc>
          <w:tcPr>
            <w:tcW w:w="217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≥95%</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c>
          <w:tcPr>
            <w:tcW w:w="17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5</w:t>
            </w:r>
          </w:p>
        </w:tc>
        <w:tc>
          <w:tcPr>
            <w:tcW w:w="2732"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系统干扰成功率</w:t>
            </w:r>
          </w:p>
        </w:tc>
        <w:tc>
          <w:tcPr>
            <w:tcW w:w="217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≥95%</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c>
          <w:tcPr>
            <w:tcW w:w="17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bl>
    <w:p>
      <w:pPr>
        <w:snapToGrid w:val="0"/>
        <w:spacing w:line="560" w:lineRule="exact"/>
        <w:ind w:firstLine="480" w:firstLineChars="200"/>
        <w:jc w:val="left"/>
        <w:rPr>
          <w:rFonts w:hint="eastAsia" w:ascii="仿宋_GB2312" w:hAnsi="仿宋_GB2312" w:eastAsia="仿宋_GB2312" w:cs="仿宋_GB2312"/>
          <w:color w:val="000000"/>
          <w:sz w:val="24"/>
          <w:highlight w:val="none"/>
        </w:rPr>
      </w:pPr>
    </w:p>
    <w:p>
      <w:pPr>
        <w:spacing w:line="520" w:lineRule="exact"/>
        <w:ind w:firstLine="480" w:firstLineChars="200"/>
        <w:rPr>
          <w:rFonts w:hint="eastAsia" w:ascii="仿宋_GB2312" w:hAnsi="仿宋_GB2312" w:eastAsia="仿宋_GB2312" w:cs="仿宋_GB2312"/>
          <w:sz w:val="24"/>
          <w:highlight w:val="none"/>
        </w:rPr>
      </w:pPr>
    </w:p>
    <w:p>
      <w:pPr>
        <w:widowControl/>
        <w:spacing w:line="600" w:lineRule="exact"/>
        <w:textAlignment w:val="top"/>
        <w:rPr>
          <w:rFonts w:hint="eastAsia" w:ascii="仿宋_GB2312" w:hAnsi="仿宋_GB2312" w:eastAsia="仿宋_GB2312" w:cs="仿宋_GB2312"/>
          <w:sz w:val="24"/>
          <w:highlight w:val="none"/>
        </w:rPr>
        <w:sectPr>
          <w:headerReference r:id="rId9" w:type="default"/>
          <w:pgSz w:w="11906" w:h="16838"/>
          <w:pgMar w:top="1440" w:right="1558" w:bottom="1440" w:left="1800" w:header="1077" w:footer="1020" w:gutter="0"/>
          <w:cols w:space="0" w:num="1"/>
          <w:docGrid w:linePitch="312" w:charSpace="0"/>
        </w:sectPr>
      </w:pPr>
    </w:p>
    <w:p>
      <w:pPr>
        <w:pStyle w:val="3"/>
        <w:rPr>
          <w:rFonts w:hint="eastAsia" w:ascii="仿宋_GB2312" w:hAnsi="仿宋_GB2312" w:eastAsia="仿宋_GB2312" w:cs="仿宋_GB2312"/>
          <w:highlight w:val="none"/>
        </w:rPr>
      </w:pPr>
      <w:bookmarkStart w:id="7" w:name="_Toc28817"/>
      <w:r>
        <w:rPr>
          <w:rFonts w:hint="eastAsia" w:ascii="仿宋_GB2312" w:hAnsi="仿宋_GB2312" w:eastAsia="仿宋_GB2312" w:cs="仿宋_GB2312"/>
          <w:highlight w:val="none"/>
        </w:rPr>
        <w:t>第三章 磋商须知前附表和磋商须知</w:t>
      </w:r>
      <w:bookmarkEnd w:id="6"/>
      <w:bookmarkEnd w:id="7"/>
    </w:p>
    <w:p>
      <w:pPr>
        <w:pStyle w:val="4"/>
        <w:rPr>
          <w:rFonts w:hint="eastAsia" w:ascii="仿宋_GB2312" w:hAnsi="仿宋_GB2312" w:eastAsia="仿宋_GB2312" w:cs="仿宋_GB2312"/>
          <w:highlight w:val="none"/>
        </w:rPr>
      </w:pPr>
      <w:bookmarkStart w:id="8" w:name="_Toc8185"/>
      <w:bookmarkStart w:id="9" w:name="_Toc1113"/>
      <w:r>
        <w:rPr>
          <w:rFonts w:hint="eastAsia" w:ascii="仿宋_GB2312" w:hAnsi="仿宋_GB2312" w:eastAsia="仿宋_GB2312" w:cs="仿宋_GB2312"/>
          <w:highlight w:val="none"/>
        </w:rPr>
        <w:t>一、磋商须知前附表</w:t>
      </w:r>
      <w:bookmarkEnd w:id="8"/>
      <w:bookmarkEnd w:id="9"/>
    </w:p>
    <w:tbl>
      <w:tblPr>
        <w:tblStyle w:val="24"/>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203"/>
        <w:gridCol w:w="1594"/>
        <w:gridCol w:w="5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75" w:type="dxa"/>
            <w:vAlign w:val="center"/>
          </w:tcPr>
          <w:p>
            <w:pPr>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项号</w:t>
            </w:r>
          </w:p>
        </w:tc>
        <w:tc>
          <w:tcPr>
            <w:tcW w:w="1203" w:type="dxa"/>
            <w:vAlign w:val="center"/>
          </w:tcPr>
          <w:p>
            <w:pPr>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磋商须知条款号</w:t>
            </w:r>
          </w:p>
        </w:tc>
        <w:tc>
          <w:tcPr>
            <w:tcW w:w="1594" w:type="dxa"/>
            <w:vAlign w:val="center"/>
          </w:tcPr>
          <w:p>
            <w:pPr>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内容</w:t>
            </w:r>
          </w:p>
        </w:tc>
        <w:tc>
          <w:tcPr>
            <w:tcW w:w="5392" w:type="dxa"/>
            <w:vAlign w:val="center"/>
          </w:tcPr>
          <w:p>
            <w:pPr>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75" w:type="dxa"/>
            <w:vAlign w:val="center"/>
          </w:tcPr>
          <w:p>
            <w:pPr>
              <w:numPr>
                <w:ilvl w:val="0"/>
                <w:numId w:val="14"/>
              </w:numPr>
              <w:adjustRightInd w:val="0"/>
              <w:snapToGrid w:val="0"/>
              <w:spacing w:line="560" w:lineRule="exact"/>
              <w:ind w:firstLine="0"/>
              <w:jc w:val="center"/>
              <w:rPr>
                <w:rFonts w:hint="eastAsia" w:ascii="仿宋_GB2312" w:hAnsi="仿宋_GB2312" w:eastAsia="仿宋_GB2312" w:cs="仿宋_GB2312"/>
                <w:sz w:val="24"/>
                <w:highlight w:val="none"/>
              </w:rPr>
            </w:pPr>
          </w:p>
        </w:tc>
        <w:tc>
          <w:tcPr>
            <w:tcW w:w="1203"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1.1</w:t>
            </w:r>
          </w:p>
        </w:tc>
        <w:tc>
          <w:tcPr>
            <w:tcW w:w="1594"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项目名称</w:t>
            </w:r>
          </w:p>
        </w:tc>
        <w:tc>
          <w:tcPr>
            <w:tcW w:w="5392"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广东省东莞监狱无人机防御系统采购项目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75" w:type="dxa"/>
            <w:vAlign w:val="center"/>
          </w:tcPr>
          <w:p>
            <w:pPr>
              <w:numPr>
                <w:ilvl w:val="0"/>
                <w:numId w:val="14"/>
              </w:numPr>
              <w:snapToGrid w:val="0"/>
              <w:spacing w:line="560" w:lineRule="exact"/>
              <w:ind w:firstLine="0"/>
              <w:jc w:val="center"/>
              <w:rPr>
                <w:rFonts w:hint="eastAsia" w:ascii="仿宋_GB2312" w:hAnsi="仿宋_GB2312" w:eastAsia="仿宋_GB2312" w:cs="仿宋_GB2312"/>
                <w:sz w:val="24"/>
                <w:highlight w:val="none"/>
              </w:rPr>
            </w:pPr>
          </w:p>
        </w:tc>
        <w:tc>
          <w:tcPr>
            <w:tcW w:w="1203"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1.2</w:t>
            </w:r>
          </w:p>
        </w:tc>
        <w:tc>
          <w:tcPr>
            <w:tcW w:w="1594"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资金来源</w:t>
            </w:r>
          </w:p>
        </w:tc>
        <w:tc>
          <w:tcPr>
            <w:tcW w:w="5392" w:type="dxa"/>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75" w:type="dxa"/>
            <w:vAlign w:val="center"/>
          </w:tcPr>
          <w:p>
            <w:pPr>
              <w:numPr>
                <w:ilvl w:val="0"/>
                <w:numId w:val="14"/>
              </w:numPr>
              <w:snapToGrid w:val="0"/>
              <w:spacing w:line="560" w:lineRule="exact"/>
              <w:ind w:firstLine="0"/>
              <w:jc w:val="center"/>
              <w:rPr>
                <w:rFonts w:hint="eastAsia" w:ascii="仿宋_GB2312" w:hAnsi="仿宋_GB2312" w:eastAsia="仿宋_GB2312" w:cs="仿宋_GB2312"/>
                <w:sz w:val="24"/>
                <w:highlight w:val="none"/>
              </w:rPr>
            </w:pPr>
          </w:p>
        </w:tc>
        <w:tc>
          <w:tcPr>
            <w:tcW w:w="1203"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1.3</w:t>
            </w:r>
          </w:p>
        </w:tc>
        <w:tc>
          <w:tcPr>
            <w:tcW w:w="1594"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★采购预算</w:t>
            </w:r>
          </w:p>
        </w:tc>
        <w:tc>
          <w:tcPr>
            <w:tcW w:w="5392" w:type="dxa"/>
          </w:tcPr>
          <w:p>
            <w:pPr>
              <w:snapToGrid w:val="0"/>
              <w:spacing w:line="56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b/>
                <w:bCs/>
                <w:sz w:val="24"/>
                <w:highlight w:val="none"/>
              </w:rPr>
              <w:t>本项目的</w:t>
            </w:r>
            <w:r>
              <w:rPr>
                <w:rFonts w:hint="eastAsia" w:ascii="仿宋_GB2312" w:hAnsi="仿宋_GB2312" w:eastAsia="仿宋_GB2312" w:cs="仿宋_GB2312"/>
                <w:b/>
                <w:sz w:val="24"/>
                <w:highlight w:val="none"/>
              </w:rPr>
              <w:t>采购预算为：</w:t>
            </w:r>
            <w:r>
              <w:rPr>
                <w:rFonts w:hint="eastAsia" w:ascii="仿宋_GB2312" w:hAnsi="仿宋_GB2312" w:eastAsia="仿宋_GB2312" w:cs="仿宋_GB2312"/>
                <w:b/>
                <w:sz w:val="24"/>
                <w:highlight w:val="none"/>
                <w:u w:val="single"/>
              </w:rPr>
              <w:t>600,000.00</w:t>
            </w:r>
            <w:r>
              <w:rPr>
                <w:rFonts w:hint="eastAsia" w:ascii="仿宋_GB2312" w:hAnsi="仿宋_GB2312" w:eastAsia="仿宋_GB2312" w:cs="仿宋_GB2312"/>
                <w:b/>
                <w:sz w:val="24"/>
                <w:highlight w:val="none"/>
              </w:rPr>
              <w:t>元，最高限价为：</w:t>
            </w:r>
            <w:r>
              <w:rPr>
                <w:rFonts w:hint="eastAsia" w:ascii="仿宋_GB2312" w:hAnsi="仿宋_GB2312" w:eastAsia="仿宋_GB2312" w:cs="仿宋_GB2312"/>
                <w:b/>
                <w:sz w:val="24"/>
                <w:highlight w:val="none"/>
                <w:u w:val="single"/>
              </w:rPr>
              <w:t>600,000.00</w:t>
            </w:r>
            <w:r>
              <w:rPr>
                <w:rFonts w:hint="eastAsia" w:ascii="仿宋_GB2312" w:hAnsi="仿宋_GB2312" w:eastAsia="仿宋_GB2312" w:cs="仿宋_GB2312"/>
                <w:b/>
                <w:sz w:val="24"/>
                <w:highlight w:val="none"/>
              </w:rPr>
              <w:t>元,</w:t>
            </w:r>
            <w:r>
              <w:rPr>
                <w:rFonts w:hint="eastAsia" w:ascii="仿宋_GB2312" w:hAnsi="仿宋_GB2312" w:eastAsia="仿宋_GB2312" w:cs="仿宋_GB2312"/>
                <w:sz w:val="24"/>
                <w:highlight w:val="none"/>
              </w:rPr>
              <w:t>供应商的报价不得超过上述最高限价，否则按废标处理。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75" w:type="dxa"/>
            <w:vAlign w:val="center"/>
          </w:tcPr>
          <w:p>
            <w:pPr>
              <w:numPr>
                <w:ilvl w:val="0"/>
                <w:numId w:val="14"/>
              </w:numPr>
              <w:snapToGrid w:val="0"/>
              <w:spacing w:line="560" w:lineRule="exact"/>
              <w:ind w:firstLine="0"/>
              <w:jc w:val="center"/>
              <w:rPr>
                <w:rFonts w:hint="eastAsia" w:ascii="仿宋_GB2312" w:hAnsi="仿宋_GB2312" w:eastAsia="仿宋_GB2312" w:cs="仿宋_GB2312"/>
                <w:sz w:val="24"/>
                <w:highlight w:val="none"/>
              </w:rPr>
            </w:pPr>
          </w:p>
        </w:tc>
        <w:tc>
          <w:tcPr>
            <w:tcW w:w="1203"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2.1</w:t>
            </w:r>
          </w:p>
        </w:tc>
        <w:tc>
          <w:tcPr>
            <w:tcW w:w="1594"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采购人</w:t>
            </w:r>
          </w:p>
        </w:tc>
        <w:tc>
          <w:tcPr>
            <w:tcW w:w="5392" w:type="dxa"/>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广东省东莞监狱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75" w:type="dxa"/>
            <w:vAlign w:val="center"/>
          </w:tcPr>
          <w:p>
            <w:pPr>
              <w:numPr>
                <w:ilvl w:val="0"/>
                <w:numId w:val="14"/>
              </w:numPr>
              <w:snapToGrid w:val="0"/>
              <w:spacing w:line="560" w:lineRule="exact"/>
              <w:ind w:firstLine="0"/>
              <w:jc w:val="center"/>
              <w:rPr>
                <w:rFonts w:hint="eastAsia" w:ascii="仿宋_GB2312" w:hAnsi="仿宋_GB2312" w:eastAsia="仿宋_GB2312" w:cs="仿宋_GB2312"/>
                <w:sz w:val="24"/>
                <w:highlight w:val="none"/>
              </w:rPr>
            </w:pPr>
          </w:p>
        </w:tc>
        <w:tc>
          <w:tcPr>
            <w:tcW w:w="1203"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2.8</w:t>
            </w:r>
          </w:p>
        </w:tc>
        <w:tc>
          <w:tcPr>
            <w:tcW w:w="1594"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采购信息发布媒体</w:t>
            </w:r>
          </w:p>
        </w:tc>
        <w:tc>
          <w:tcPr>
            <w:tcW w:w="5392"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广东省政府采购网h</w:t>
            </w:r>
            <w:r>
              <w:rPr>
                <w:rFonts w:hint="eastAsia" w:ascii="仿宋_GB2312" w:hAnsi="仿宋_GB2312" w:eastAsia="仿宋_GB2312" w:cs="仿宋_GB2312"/>
                <w:sz w:val="24"/>
                <w:highlight w:val="none"/>
                <w:u w:val="single"/>
              </w:rPr>
              <w:t>ttp://www.gdgpo.gov.cn/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75" w:type="dxa"/>
            <w:vAlign w:val="center"/>
          </w:tcPr>
          <w:p>
            <w:pPr>
              <w:numPr>
                <w:ilvl w:val="0"/>
                <w:numId w:val="14"/>
              </w:numPr>
              <w:snapToGrid w:val="0"/>
              <w:spacing w:line="560" w:lineRule="exact"/>
              <w:ind w:firstLine="0"/>
              <w:jc w:val="center"/>
              <w:rPr>
                <w:rFonts w:hint="eastAsia" w:ascii="仿宋_GB2312" w:hAnsi="仿宋_GB2312" w:eastAsia="仿宋_GB2312" w:cs="仿宋_GB2312"/>
                <w:sz w:val="24"/>
                <w:highlight w:val="none"/>
              </w:rPr>
            </w:pPr>
          </w:p>
        </w:tc>
        <w:tc>
          <w:tcPr>
            <w:tcW w:w="1203"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w:t>
            </w:r>
          </w:p>
        </w:tc>
        <w:tc>
          <w:tcPr>
            <w:tcW w:w="1594"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★供应商的资格条件</w:t>
            </w:r>
          </w:p>
        </w:tc>
        <w:tc>
          <w:tcPr>
            <w:tcW w:w="5392" w:type="dxa"/>
            <w:vAlign w:val="center"/>
          </w:tcPr>
          <w:p>
            <w:pPr>
              <w:pStyle w:val="32"/>
              <w:snapToGrid w:val="0"/>
              <w:spacing w:line="560" w:lineRule="exact"/>
              <w:ind w:firstLine="0" w:firstLineChars="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详见第一章磋商邀请函“</w:t>
            </w:r>
            <w:r>
              <w:rPr>
                <w:rFonts w:hint="eastAsia" w:ascii="仿宋_GB2312" w:hAnsi="仿宋_GB2312" w:eastAsia="仿宋_GB2312" w:cs="仿宋_GB2312"/>
                <w:bCs/>
                <w:sz w:val="24"/>
                <w:szCs w:val="24"/>
                <w:highlight w:val="none"/>
              </w:rPr>
              <w:t>五、供应商</w:t>
            </w:r>
            <w:r>
              <w:rPr>
                <w:rFonts w:hint="eastAsia" w:ascii="仿宋_GB2312" w:hAnsi="仿宋_GB2312" w:eastAsia="仿宋_GB2312" w:cs="仿宋_GB2312"/>
                <w:sz w:val="24"/>
                <w:szCs w:val="24"/>
                <w:highlight w:val="none"/>
              </w:rPr>
              <w:t>资格</w:t>
            </w:r>
            <w:r>
              <w:rPr>
                <w:rFonts w:hint="eastAsia" w:ascii="仿宋_GB2312" w:hAnsi="仿宋_GB2312" w:eastAsia="仿宋_GB2312" w:cs="仿宋_GB2312"/>
                <w:bCs/>
                <w:sz w:val="24"/>
                <w:szCs w:val="24"/>
                <w:highlight w:val="none"/>
              </w:rPr>
              <w:t>要求</w:t>
            </w:r>
            <w:r>
              <w:rPr>
                <w:rFonts w:hint="eastAsia" w:ascii="仿宋_GB2312" w:hAnsi="仿宋_GB2312" w:eastAsia="仿宋_GB2312" w:cs="仿宋_GB2312"/>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75" w:type="dxa"/>
            <w:vAlign w:val="center"/>
          </w:tcPr>
          <w:p>
            <w:pPr>
              <w:numPr>
                <w:ilvl w:val="0"/>
                <w:numId w:val="14"/>
              </w:numPr>
              <w:snapToGrid w:val="0"/>
              <w:spacing w:line="560" w:lineRule="exact"/>
              <w:ind w:firstLine="0"/>
              <w:jc w:val="center"/>
              <w:rPr>
                <w:rFonts w:hint="eastAsia" w:ascii="仿宋_GB2312" w:hAnsi="仿宋_GB2312" w:eastAsia="仿宋_GB2312" w:cs="仿宋_GB2312"/>
                <w:sz w:val="24"/>
                <w:highlight w:val="none"/>
              </w:rPr>
            </w:pPr>
          </w:p>
        </w:tc>
        <w:tc>
          <w:tcPr>
            <w:tcW w:w="1203"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4.2</w:t>
            </w:r>
          </w:p>
        </w:tc>
        <w:tc>
          <w:tcPr>
            <w:tcW w:w="1594"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★进口产品</w:t>
            </w:r>
          </w:p>
        </w:tc>
        <w:tc>
          <w:tcPr>
            <w:tcW w:w="5392" w:type="dxa"/>
            <w:vAlign w:val="center"/>
          </w:tcPr>
          <w:p>
            <w:pPr>
              <w:pStyle w:val="32"/>
              <w:snapToGrid w:val="0"/>
              <w:spacing w:line="560" w:lineRule="exact"/>
              <w:ind w:firstLine="0" w:firstLineChars="0"/>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本项目不接受进口产品报价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75" w:type="dxa"/>
            <w:vAlign w:val="center"/>
          </w:tcPr>
          <w:p>
            <w:pPr>
              <w:numPr>
                <w:ilvl w:val="0"/>
                <w:numId w:val="14"/>
              </w:numPr>
              <w:snapToGrid w:val="0"/>
              <w:spacing w:line="560" w:lineRule="exact"/>
              <w:ind w:firstLine="0"/>
              <w:jc w:val="center"/>
              <w:rPr>
                <w:rFonts w:hint="eastAsia" w:ascii="仿宋_GB2312" w:hAnsi="仿宋_GB2312" w:eastAsia="仿宋_GB2312" w:cs="仿宋_GB2312"/>
                <w:sz w:val="24"/>
                <w:highlight w:val="none"/>
              </w:rPr>
            </w:pPr>
          </w:p>
        </w:tc>
        <w:tc>
          <w:tcPr>
            <w:tcW w:w="1203"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6.1</w:t>
            </w:r>
          </w:p>
        </w:tc>
        <w:tc>
          <w:tcPr>
            <w:tcW w:w="1594"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现场考察和答疑</w:t>
            </w:r>
          </w:p>
        </w:tc>
        <w:tc>
          <w:tcPr>
            <w:tcW w:w="5392"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本项目采购人不统一集合供应商现场考察和答疑。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75" w:type="dxa"/>
            <w:vAlign w:val="center"/>
          </w:tcPr>
          <w:p>
            <w:pPr>
              <w:numPr>
                <w:ilvl w:val="0"/>
                <w:numId w:val="14"/>
              </w:numPr>
              <w:snapToGrid w:val="0"/>
              <w:spacing w:line="560" w:lineRule="exact"/>
              <w:ind w:firstLine="0"/>
              <w:jc w:val="center"/>
              <w:rPr>
                <w:rFonts w:hint="eastAsia" w:ascii="仿宋_GB2312" w:hAnsi="仿宋_GB2312" w:eastAsia="仿宋_GB2312" w:cs="仿宋_GB2312"/>
                <w:sz w:val="24"/>
                <w:highlight w:val="none"/>
              </w:rPr>
            </w:pPr>
          </w:p>
        </w:tc>
        <w:tc>
          <w:tcPr>
            <w:tcW w:w="1203"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13.1</w:t>
            </w:r>
          </w:p>
        </w:tc>
        <w:tc>
          <w:tcPr>
            <w:tcW w:w="1594"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★响应文件数量</w:t>
            </w:r>
          </w:p>
        </w:tc>
        <w:tc>
          <w:tcPr>
            <w:tcW w:w="5392" w:type="dxa"/>
          </w:tcPr>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每个包组提交</w:t>
            </w:r>
            <w:r>
              <w:rPr>
                <w:rFonts w:hint="eastAsia" w:ascii="仿宋_GB2312" w:hAnsi="仿宋_GB2312" w:eastAsia="仿宋_GB2312" w:cs="仿宋_GB2312"/>
                <w:sz w:val="24"/>
                <w:highlight w:val="none"/>
                <w:u w:val="single"/>
              </w:rPr>
              <w:t>1</w:t>
            </w:r>
            <w:r>
              <w:rPr>
                <w:rFonts w:hint="eastAsia" w:ascii="仿宋_GB2312" w:hAnsi="仿宋_GB2312" w:eastAsia="仿宋_GB2312" w:cs="仿宋_GB2312"/>
                <w:sz w:val="24"/>
                <w:highlight w:val="none"/>
              </w:rPr>
              <w:t>套正本（包括价格文件、商务文件和技术文件）、</w:t>
            </w:r>
            <w:r>
              <w:rPr>
                <w:rFonts w:hint="eastAsia" w:ascii="仿宋_GB2312" w:hAnsi="仿宋_GB2312" w:eastAsia="仿宋_GB2312" w:cs="仿宋_GB2312"/>
                <w:sz w:val="24"/>
                <w:highlight w:val="none"/>
                <w:u w:val="single"/>
              </w:rPr>
              <w:t>3</w:t>
            </w:r>
            <w:r>
              <w:rPr>
                <w:rFonts w:hint="eastAsia" w:ascii="仿宋_GB2312" w:hAnsi="仿宋_GB2312" w:eastAsia="仿宋_GB2312" w:cs="仿宋_GB2312"/>
                <w:sz w:val="24"/>
                <w:highlight w:val="none"/>
              </w:rPr>
              <w:t>套副本（包括价格文件、商务文件和技术文件）、</w:t>
            </w:r>
            <w:r>
              <w:rPr>
                <w:rFonts w:hint="eastAsia" w:ascii="仿宋_GB2312" w:hAnsi="仿宋_GB2312" w:eastAsia="仿宋_GB2312" w:cs="仿宋_GB2312"/>
                <w:sz w:val="24"/>
                <w:highlight w:val="none"/>
                <w:u w:val="single"/>
              </w:rPr>
              <w:t>1</w:t>
            </w:r>
            <w:r>
              <w:rPr>
                <w:rFonts w:hint="eastAsia" w:ascii="仿宋_GB2312" w:hAnsi="仿宋_GB2312" w:eastAsia="仿宋_GB2312" w:cs="仿宋_GB2312"/>
                <w:sz w:val="24"/>
                <w:highlight w:val="none"/>
              </w:rPr>
              <w:t>份首次报价信封。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75" w:type="dxa"/>
            <w:vAlign w:val="center"/>
          </w:tcPr>
          <w:p>
            <w:pPr>
              <w:numPr>
                <w:ilvl w:val="0"/>
                <w:numId w:val="14"/>
              </w:numPr>
              <w:snapToGrid w:val="0"/>
              <w:spacing w:line="560" w:lineRule="exact"/>
              <w:ind w:firstLine="0"/>
              <w:jc w:val="center"/>
              <w:rPr>
                <w:rFonts w:hint="eastAsia" w:ascii="仿宋_GB2312" w:hAnsi="仿宋_GB2312" w:eastAsia="仿宋_GB2312" w:cs="仿宋_GB2312"/>
                <w:sz w:val="24"/>
                <w:highlight w:val="none"/>
              </w:rPr>
            </w:pPr>
          </w:p>
        </w:tc>
        <w:tc>
          <w:tcPr>
            <w:tcW w:w="1203"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17.1</w:t>
            </w:r>
          </w:p>
        </w:tc>
        <w:tc>
          <w:tcPr>
            <w:tcW w:w="1594"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★磋商保证金的金额</w:t>
            </w:r>
          </w:p>
        </w:tc>
        <w:tc>
          <w:tcPr>
            <w:tcW w:w="5392"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人民币</w:t>
            </w:r>
            <w:r>
              <w:rPr>
                <w:rFonts w:hint="eastAsia" w:ascii="仿宋_GB2312" w:hAnsi="仿宋_GB2312" w:eastAsia="仿宋_GB2312" w:cs="仿宋_GB2312"/>
                <w:sz w:val="24"/>
                <w:highlight w:val="none"/>
                <w:u w:val="single"/>
              </w:rPr>
              <w:t>6000</w:t>
            </w:r>
            <w:r>
              <w:rPr>
                <w:rFonts w:hint="eastAsia" w:ascii="仿宋_GB2312" w:hAnsi="仿宋_GB2312" w:eastAsia="仿宋_GB2312" w:cs="仿宋_GB2312"/>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75" w:type="dxa"/>
            <w:vAlign w:val="center"/>
          </w:tcPr>
          <w:p>
            <w:pPr>
              <w:numPr>
                <w:ilvl w:val="0"/>
                <w:numId w:val="14"/>
              </w:numPr>
              <w:snapToGrid w:val="0"/>
              <w:spacing w:line="560" w:lineRule="exact"/>
              <w:ind w:firstLine="0"/>
              <w:jc w:val="center"/>
              <w:rPr>
                <w:rFonts w:hint="eastAsia" w:ascii="仿宋_GB2312" w:hAnsi="仿宋_GB2312" w:eastAsia="仿宋_GB2312" w:cs="仿宋_GB2312"/>
                <w:sz w:val="24"/>
                <w:highlight w:val="none"/>
              </w:rPr>
            </w:pPr>
          </w:p>
        </w:tc>
        <w:tc>
          <w:tcPr>
            <w:tcW w:w="1203"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17.3</w:t>
            </w:r>
          </w:p>
        </w:tc>
        <w:tc>
          <w:tcPr>
            <w:tcW w:w="1594"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磋商保证金专用账户</w:t>
            </w:r>
          </w:p>
        </w:tc>
        <w:tc>
          <w:tcPr>
            <w:tcW w:w="5392" w:type="dxa"/>
          </w:tcPr>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开户名称：广东盛业招标代理有限公司</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开户银行：中国民生银行东莞东城支行</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账号：698549648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75" w:type="dxa"/>
            <w:vAlign w:val="center"/>
          </w:tcPr>
          <w:p>
            <w:pPr>
              <w:numPr>
                <w:ilvl w:val="0"/>
                <w:numId w:val="14"/>
              </w:numPr>
              <w:snapToGrid w:val="0"/>
              <w:spacing w:line="560" w:lineRule="exact"/>
              <w:ind w:firstLine="0"/>
              <w:jc w:val="center"/>
              <w:rPr>
                <w:rFonts w:hint="eastAsia" w:ascii="仿宋_GB2312" w:hAnsi="仿宋_GB2312" w:eastAsia="仿宋_GB2312" w:cs="仿宋_GB2312"/>
                <w:sz w:val="24"/>
                <w:highlight w:val="none"/>
              </w:rPr>
            </w:pPr>
          </w:p>
        </w:tc>
        <w:tc>
          <w:tcPr>
            <w:tcW w:w="1203"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18.3</w:t>
            </w:r>
          </w:p>
        </w:tc>
        <w:tc>
          <w:tcPr>
            <w:tcW w:w="1594"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响应文件密封袋标记</w:t>
            </w:r>
          </w:p>
        </w:tc>
        <w:tc>
          <w:tcPr>
            <w:tcW w:w="5392" w:type="dxa"/>
          </w:tcPr>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在响应文件密封袋上均应至少标明以下内容：</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(1)采购编号：</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(2)项目名称：</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日</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时</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 xml:space="preserve">分开标，此时间之前不得启封； </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(4)供应商名称:</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75" w:type="dxa"/>
            <w:vAlign w:val="center"/>
          </w:tcPr>
          <w:p>
            <w:pPr>
              <w:numPr>
                <w:ilvl w:val="0"/>
                <w:numId w:val="14"/>
              </w:numPr>
              <w:snapToGrid w:val="0"/>
              <w:spacing w:line="560" w:lineRule="exact"/>
              <w:ind w:firstLine="0"/>
              <w:jc w:val="center"/>
              <w:rPr>
                <w:rFonts w:hint="eastAsia" w:ascii="仿宋_GB2312" w:hAnsi="仿宋_GB2312" w:eastAsia="仿宋_GB2312" w:cs="仿宋_GB2312"/>
                <w:sz w:val="24"/>
                <w:highlight w:val="none"/>
              </w:rPr>
            </w:pPr>
          </w:p>
        </w:tc>
        <w:tc>
          <w:tcPr>
            <w:tcW w:w="1203"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19.1</w:t>
            </w:r>
          </w:p>
        </w:tc>
        <w:tc>
          <w:tcPr>
            <w:tcW w:w="1594"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提交响应文件截止时间及磋商地点</w:t>
            </w:r>
          </w:p>
        </w:tc>
        <w:tc>
          <w:tcPr>
            <w:tcW w:w="5392" w:type="dxa"/>
          </w:tcPr>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提交响应文件截止时间：2019年</w:t>
            </w:r>
            <w:r>
              <w:rPr>
                <w:rFonts w:hint="eastAsia" w:ascii="仿宋_GB2312" w:hAnsi="仿宋_GB2312" w:eastAsia="仿宋_GB2312" w:cs="仿宋_GB2312"/>
                <w:sz w:val="24"/>
                <w:highlight w:val="none"/>
                <w:lang w:val="en-US" w:eastAsia="zh-CN"/>
              </w:rPr>
              <w:t>12</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lang w:val="en-US" w:eastAsia="zh-CN"/>
              </w:rPr>
              <w:t>23</w:t>
            </w:r>
            <w:r>
              <w:rPr>
                <w:rFonts w:hint="eastAsia" w:ascii="仿宋_GB2312" w:hAnsi="仿宋_GB2312" w:eastAsia="仿宋_GB2312" w:cs="仿宋_GB2312"/>
                <w:sz w:val="24"/>
                <w:highlight w:val="none"/>
              </w:rPr>
              <w:t>日</w:t>
            </w:r>
            <w:r>
              <w:rPr>
                <w:rFonts w:hint="eastAsia" w:ascii="仿宋_GB2312" w:hAnsi="仿宋_GB2312" w:eastAsia="仿宋_GB2312" w:cs="仿宋_GB2312"/>
                <w:sz w:val="24"/>
                <w:highlight w:val="none"/>
                <w:lang w:val="en-US" w:eastAsia="zh-CN"/>
              </w:rPr>
              <w:t>14</w:t>
            </w:r>
            <w:r>
              <w:rPr>
                <w:rFonts w:hint="eastAsia" w:ascii="仿宋_GB2312" w:hAnsi="仿宋_GB2312" w:eastAsia="仿宋_GB2312" w:cs="仿宋_GB2312"/>
                <w:sz w:val="24"/>
                <w:highlight w:val="none"/>
              </w:rPr>
              <w:t>时 30分</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磋商地点：东莞市南城区雅园工业区富丽大厦5楼525室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75" w:type="dxa"/>
            <w:vAlign w:val="center"/>
          </w:tcPr>
          <w:p>
            <w:pPr>
              <w:numPr>
                <w:ilvl w:val="0"/>
                <w:numId w:val="14"/>
              </w:numPr>
              <w:snapToGrid w:val="0"/>
              <w:spacing w:line="560" w:lineRule="exact"/>
              <w:ind w:firstLine="0"/>
              <w:jc w:val="center"/>
              <w:rPr>
                <w:rFonts w:hint="eastAsia" w:ascii="仿宋_GB2312" w:hAnsi="仿宋_GB2312" w:eastAsia="仿宋_GB2312" w:cs="仿宋_GB2312"/>
                <w:sz w:val="24"/>
                <w:highlight w:val="none"/>
              </w:rPr>
            </w:pPr>
          </w:p>
        </w:tc>
        <w:tc>
          <w:tcPr>
            <w:tcW w:w="1203"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24.1</w:t>
            </w:r>
          </w:p>
        </w:tc>
        <w:tc>
          <w:tcPr>
            <w:tcW w:w="1594"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履约保证金担保金额</w:t>
            </w:r>
          </w:p>
        </w:tc>
        <w:tc>
          <w:tcPr>
            <w:tcW w:w="5392"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合同总价的5%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75" w:type="dxa"/>
            <w:vAlign w:val="center"/>
          </w:tcPr>
          <w:p>
            <w:pPr>
              <w:numPr>
                <w:ilvl w:val="0"/>
                <w:numId w:val="14"/>
              </w:numPr>
              <w:snapToGrid w:val="0"/>
              <w:spacing w:line="560" w:lineRule="exact"/>
              <w:ind w:firstLine="0"/>
              <w:jc w:val="center"/>
              <w:rPr>
                <w:rFonts w:hint="eastAsia" w:ascii="仿宋_GB2312" w:hAnsi="仿宋_GB2312" w:eastAsia="仿宋_GB2312" w:cs="仿宋_GB2312"/>
                <w:sz w:val="24"/>
                <w:highlight w:val="none"/>
              </w:rPr>
            </w:pPr>
          </w:p>
        </w:tc>
        <w:tc>
          <w:tcPr>
            <w:tcW w:w="1203"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30.4.1</w:t>
            </w:r>
          </w:p>
        </w:tc>
        <w:tc>
          <w:tcPr>
            <w:tcW w:w="1594"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节能产品、环境标志产品</w:t>
            </w:r>
          </w:p>
        </w:tc>
        <w:tc>
          <w:tcPr>
            <w:tcW w:w="5392"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本项目采购内容无涉及《节能产品政府采购品目清单》和《环境标志产品政府采购品目清单》的内容</w:t>
            </w:r>
          </w:p>
        </w:tc>
      </w:tr>
    </w:tbl>
    <w:p>
      <w:pPr>
        <w:rPr>
          <w:rFonts w:hint="eastAsia" w:ascii="仿宋_GB2312" w:hAnsi="仿宋_GB2312" w:eastAsia="仿宋_GB2312" w:cs="仿宋_GB2312"/>
          <w:highlight w:val="none"/>
        </w:rPr>
      </w:pPr>
      <w:bookmarkStart w:id="10" w:name="_Toc12291"/>
      <w:r>
        <w:rPr>
          <w:rFonts w:hint="eastAsia" w:ascii="仿宋_GB2312" w:hAnsi="仿宋_GB2312" w:eastAsia="仿宋_GB2312" w:cs="仿宋_GB2312"/>
          <w:highlight w:val="none"/>
        </w:rPr>
        <w:br w:type="page"/>
      </w:r>
    </w:p>
    <w:p>
      <w:pPr>
        <w:pStyle w:val="4"/>
        <w:rPr>
          <w:rFonts w:hint="eastAsia" w:ascii="仿宋_GB2312" w:hAnsi="仿宋_GB2312" w:eastAsia="仿宋_GB2312" w:cs="仿宋_GB2312"/>
          <w:highlight w:val="none"/>
        </w:rPr>
      </w:pPr>
      <w:bookmarkStart w:id="11" w:name="_Toc17959"/>
      <w:r>
        <w:rPr>
          <w:rFonts w:hint="eastAsia" w:ascii="仿宋_GB2312" w:hAnsi="仿宋_GB2312" w:eastAsia="仿宋_GB2312" w:cs="仿宋_GB2312"/>
          <w:highlight w:val="none"/>
        </w:rPr>
        <w:t>二、磋商须知</w:t>
      </w:r>
      <w:bookmarkEnd w:id="10"/>
      <w:bookmarkEnd w:id="11"/>
    </w:p>
    <w:p>
      <w:pPr>
        <w:spacing w:line="560" w:lineRule="exact"/>
        <w:jc w:val="center"/>
        <w:outlineLvl w:val="1"/>
        <w:rPr>
          <w:rFonts w:hint="eastAsia" w:ascii="仿宋_GB2312" w:hAnsi="仿宋_GB2312" w:eastAsia="仿宋_GB2312" w:cs="仿宋_GB2312"/>
          <w:b/>
          <w:bCs/>
          <w:sz w:val="28"/>
          <w:szCs w:val="28"/>
          <w:highlight w:val="none"/>
        </w:rPr>
      </w:pPr>
      <w:bookmarkStart w:id="12" w:name="_Toc625"/>
      <w:bookmarkStart w:id="13" w:name="_Toc28765"/>
      <w:r>
        <w:rPr>
          <w:rFonts w:hint="eastAsia" w:ascii="仿宋_GB2312" w:hAnsi="仿宋_GB2312" w:eastAsia="仿宋_GB2312" w:cs="仿宋_GB2312"/>
          <w:b/>
          <w:bCs/>
          <w:sz w:val="28"/>
          <w:szCs w:val="28"/>
          <w:highlight w:val="none"/>
        </w:rPr>
        <w:t>（一）说明</w:t>
      </w:r>
      <w:bookmarkEnd w:id="12"/>
      <w:bookmarkEnd w:id="13"/>
    </w:p>
    <w:p>
      <w:pPr>
        <w:spacing w:line="560" w:lineRule="exact"/>
        <w:ind w:firstLine="482" w:firstLineChars="200"/>
        <w:outlineLvl w:val="2"/>
        <w:rPr>
          <w:rFonts w:hint="eastAsia" w:ascii="仿宋_GB2312" w:hAnsi="仿宋_GB2312" w:eastAsia="仿宋_GB2312" w:cs="仿宋_GB2312"/>
          <w:b/>
          <w:bCs/>
          <w:sz w:val="24"/>
          <w:highlight w:val="none"/>
        </w:rPr>
      </w:pPr>
      <w:bookmarkStart w:id="14" w:name="_Toc466540984"/>
      <w:bookmarkStart w:id="15" w:name="_Toc11695"/>
      <w:bookmarkStart w:id="16" w:name="_Toc19092"/>
      <w:r>
        <w:rPr>
          <w:rFonts w:hint="eastAsia" w:ascii="仿宋_GB2312" w:hAnsi="仿宋_GB2312" w:eastAsia="仿宋_GB2312" w:cs="仿宋_GB2312"/>
          <w:b/>
          <w:bCs/>
          <w:sz w:val="24"/>
          <w:highlight w:val="none"/>
        </w:rPr>
        <w:t>1.适用范围及资金来源</w:t>
      </w:r>
      <w:bookmarkEnd w:id="14"/>
      <w:bookmarkEnd w:id="15"/>
      <w:bookmarkEnd w:id="16"/>
    </w:p>
    <w:p>
      <w:pPr>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1.1本次采购标的为</w:t>
      </w:r>
      <w:r>
        <w:rPr>
          <w:rFonts w:hint="eastAsia" w:ascii="仿宋_GB2312" w:hAnsi="仿宋_GB2312" w:eastAsia="仿宋_GB2312" w:cs="仿宋_GB2312"/>
          <w:sz w:val="24"/>
          <w:highlight w:val="none"/>
          <w:u w:val="single"/>
        </w:rPr>
        <w:t>（详见磋商须知前附表）</w:t>
      </w:r>
      <w:r>
        <w:rPr>
          <w:rFonts w:hint="eastAsia" w:ascii="仿宋_GB2312" w:hAnsi="仿宋_GB2312" w:eastAsia="仿宋_GB2312" w:cs="仿宋_GB2312"/>
          <w:sz w:val="24"/>
          <w:highlight w:val="none"/>
        </w:rPr>
        <w:t>，详细要求见《用户需求书》。</w:t>
      </w:r>
    </w:p>
    <w:p>
      <w:pPr>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1.2资金来源：</w:t>
      </w:r>
      <w:r>
        <w:rPr>
          <w:rFonts w:hint="eastAsia" w:ascii="仿宋_GB2312" w:hAnsi="仿宋_GB2312" w:eastAsia="仿宋_GB2312" w:cs="仿宋_GB2312"/>
          <w:sz w:val="24"/>
          <w:highlight w:val="none"/>
          <w:u w:val="single"/>
        </w:rPr>
        <w:t>（详见磋商须知前附表）</w:t>
      </w:r>
      <w:r>
        <w:rPr>
          <w:rFonts w:hint="eastAsia" w:ascii="仿宋_GB2312" w:hAnsi="仿宋_GB2312" w:eastAsia="仿宋_GB2312" w:cs="仿宋_GB2312"/>
          <w:sz w:val="24"/>
          <w:highlight w:val="none"/>
        </w:rPr>
        <w:t>。</w:t>
      </w:r>
    </w:p>
    <w:p>
      <w:pPr>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1.3采购预算：</w:t>
      </w:r>
      <w:r>
        <w:rPr>
          <w:rFonts w:hint="eastAsia" w:ascii="仿宋_GB2312" w:hAnsi="仿宋_GB2312" w:eastAsia="仿宋_GB2312" w:cs="仿宋_GB2312"/>
          <w:sz w:val="24"/>
          <w:highlight w:val="none"/>
          <w:u w:val="single"/>
        </w:rPr>
        <w:t>（详见磋商须知前附表）。</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17" w:name="_Toc466540985"/>
      <w:bookmarkStart w:id="18" w:name="_Toc13529"/>
      <w:bookmarkStart w:id="19" w:name="_Toc19277"/>
      <w:r>
        <w:rPr>
          <w:rFonts w:hint="eastAsia" w:ascii="仿宋_GB2312" w:hAnsi="仿宋_GB2312" w:eastAsia="仿宋_GB2312" w:cs="仿宋_GB2312"/>
          <w:b/>
          <w:bCs/>
          <w:sz w:val="24"/>
          <w:highlight w:val="none"/>
        </w:rPr>
        <w:t>2.定义</w:t>
      </w:r>
      <w:bookmarkEnd w:id="17"/>
      <w:bookmarkEnd w:id="18"/>
      <w:bookmarkEnd w:id="19"/>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2.1采购人或甲方：</w:t>
      </w:r>
      <w:r>
        <w:rPr>
          <w:rFonts w:hint="eastAsia" w:ascii="仿宋_GB2312" w:hAnsi="仿宋_GB2312" w:eastAsia="仿宋_GB2312" w:cs="仿宋_GB2312"/>
          <w:sz w:val="24"/>
          <w:szCs w:val="24"/>
          <w:highlight w:val="none"/>
          <w:u w:val="single"/>
        </w:rPr>
        <w:t>（详见磋商须知前附表）</w:t>
      </w:r>
      <w:r>
        <w:rPr>
          <w:rFonts w:hint="eastAsia" w:ascii="仿宋_GB2312" w:hAnsi="仿宋_GB2312" w:eastAsia="仿宋_GB2312" w:cs="仿宋_GB2312"/>
          <w:sz w:val="24"/>
          <w:szCs w:val="24"/>
          <w:highlight w:val="none"/>
        </w:rPr>
        <w:t>。</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2.2采购代理机构：指广东盛业招标代理有限公司。</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2.3供应商或乙方：拟向采购人提供货物或者服务的法人、其他组织或者自然人。</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2.4磋商小组：磋商小组是依据《中华人民共和国政府采购法》及其实施条例、《政府采购竞争性磋商采购方式管理暂行办法》等组建的专门负责本次竞争性磋商评审工作的临时性机构。</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2.5日期：指公历日。</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2.6时间:指北京时间。</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2.7合同:指由本次磋商所产生的合同或合约文件。</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2.8采购信息发布媒体：指</w:t>
      </w:r>
      <w:r>
        <w:rPr>
          <w:rFonts w:hint="eastAsia" w:ascii="仿宋_GB2312" w:hAnsi="仿宋_GB2312" w:eastAsia="仿宋_GB2312" w:cs="仿宋_GB2312"/>
          <w:sz w:val="24"/>
          <w:szCs w:val="24"/>
          <w:highlight w:val="none"/>
          <w:u w:val="single"/>
        </w:rPr>
        <w:t>（详见磋商须知前附表）</w:t>
      </w:r>
      <w:r>
        <w:rPr>
          <w:rFonts w:hint="eastAsia" w:ascii="仿宋_GB2312" w:hAnsi="仿宋_GB2312" w:eastAsia="仿宋_GB2312" w:cs="仿宋_GB2312"/>
          <w:sz w:val="24"/>
          <w:szCs w:val="24"/>
          <w:highlight w:val="none"/>
        </w:rPr>
        <w:t>，相关公告在采购信息发布媒体上公布之日即视为有效送达，不再另行通知。</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2.9进口产品：本须知所称进口产品是指通过中国海关报关验放进入中国境内且产自关境外的产品。</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20" w:name="_Toc466540986"/>
      <w:bookmarkStart w:id="21" w:name="_Toc27441"/>
      <w:bookmarkStart w:id="22" w:name="_Toc5474"/>
      <w:r>
        <w:rPr>
          <w:rFonts w:hint="eastAsia" w:ascii="仿宋_GB2312" w:hAnsi="仿宋_GB2312" w:eastAsia="仿宋_GB2312" w:cs="仿宋_GB2312"/>
          <w:b/>
          <w:bCs/>
          <w:sz w:val="24"/>
          <w:highlight w:val="none"/>
        </w:rPr>
        <w:t>3.供应商的资格条件</w:t>
      </w:r>
      <w:bookmarkEnd w:id="20"/>
      <w:bookmarkEnd w:id="21"/>
      <w:bookmarkEnd w:id="22"/>
    </w:p>
    <w:p>
      <w:pPr>
        <w:pStyle w:val="32"/>
        <w:spacing w:line="560" w:lineRule="exact"/>
        <w:ind w:left="433" w:leftChars="206" w:firstLine="0" w:firstLineChars="0"/>
        <w:rPr>
          <w:rFonts w:hint="eastAsia" w:ascii="仿宋_GB2312" w:hAnsi="仿宋_GB2312" w:eastAsia="仿宋_GB2312" w:cs="仿宋_GB2312"/>
          <w:sz w:val="24"/>
          <w:szCs w:val="24"/>
          <w:highlight w:val="none"/>
          <w:u w:val="single"/>
        </w:rPr>
      </w:pPr>
      <w:r>
        <w:rPr>
          <w:rFonts w:hint="eastAsia" w:ascii="仿宋_GB2312" w:hAnsi="仿宋_GB2312" w:eastAsia="仿宋_GB2312" w:cs="仿宋_GB2312"/>
          <w:sz w:val="24"/>
          <w:szCs w:val="24"/>
          <w:highlight w:val="none"/>
          <w:u w:val="single"/>
        </w:rPr>
        <w:t>（详见磋商须知前附表）。</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23" w:name="_Toc28962"/>
      <w:bookmarkStart w:id="24" w:name="_Toc9027"/>
      <w:bookmarkStart w:id="25" w:name="_Toc466540987"/>
      <w:r>
        <w:rPr>
          <w:rFonts w:hint="eastAsia" w:ascii="仿宋_GB2312" w:hAnsi="仿宋_GB2312" w:eastAsia="仿宋_GB2312" w:cs="仿宋_GB2312"/>
          <w:b/>
          <w:bCs/>
          <w:sz w:val="24"/>
          <w:highlight w:val="none"/>
        </w:rPr>
        <w:t>4.合格的货物和服务</w:t>
      </w:r>
      <w:bookmarkEnd w:id="23"/>
      <w:bookmarkEnd w:id="24"/>
      <w:bookmarkEnd w:id="25"/>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4.1供应商提供的所有货物和服务，必须是合法生产、合法来源，符合国家有关标准要求，并满足磋商文件规定的规格、参数、质量、价格、有效期、售后服务及供应商须承担的运输、安装、技术支持、培训和磋商文件规定的其它伴随服务等要求。</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4.2根据《政府采购进口产品管理办法》、《中华人民共和国政府采购法》及其实施条例的相关规定，（</w:t>
      </w:r>
      <w:r>
        <w:rPr>
          <w:rFonts w:hint="eastAsia" w:ascii="仿宋_GB2312" w:hAnsi="仿宋_GB2312" w:eastAsia="仿宋_GB2312" w:cs="仿宋_GB2312"/>
          <w:sz w:val="24"/>
          <w:szCs w:val="24"/>
          <w:highlight w:val="none"/>
          <w:u w:val="single"/>
        </w:rPr>
        <w:t>详见磋商须知前附表</w:t>
      </w:r>
      <w:r>
        <w:rPr>
          <w:rFonts w:hint="eastAsia" w:ascii="仿宋_GB2312" w:hAnsi="仿宋_GB2312" w:eastAsia="仿宋_GB2312" w:cs="仿宋_GB2312"/>
          <w:sz w:val="24"/>
          <w:szCs w:val="24"/>
          <w:highlight w:val="none"/>
        </w:rPr>
        <w:t>）。</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4.3若所提供的产品属于政府强制采购节能产品的，则必须提供该产品国家强制性节能产品进行响应，并提供强制性节能产品认证证书，否则视为无效响应。</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4.4验收。</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4.6.1验收工作由采购人（或采购人指定的单位）与成交供应商共同进行。</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4.4.2在验收时，成交供应商应向采购人提供货物或服务的相关资料，按采购人提出的方式验收。</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4.4.3由采购人对货物或服务的质量、规格和数量及其他进行检验。如发现质量、规格和数量等任何一项与磋商要求规定不符，采购人有权拒绝接受。</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26" w:name="_Toc2833"/>
      <w:bookmarkStart w:id="27" w:name="_Toc466045940"/>
      <w:bookmarkStart w:id="28" w:name="_Toc30324"/>
      <w:r>
        <w:rPr>
          <w:rFonts w:hint="eastAsia" w:ascii="仿宋_GB2312" w:hAnsi="仿宋_GB2312" w:eastAsia="仿宋_GB2312" w:cs="仿宋_GB2312"/>
          <w:b/>
          <w:bCs/>
          <w:sz w:val="24"/>
          <w:highlight w:val="none"/>
        </w:rPr>
        <w:t>5.知识产权</w:t>
      </w:r>
      <w:bookmarkEnd w:id="26"/>
      <w:bookmarkEnd w:id="27"/>
      <w:bookmarkEnd w:id="28"/>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5.2采购人享有本项目实施过程中产生的知识成果及知识产权。</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5.3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5.4如采用供应商所不拥有的知识产权，则在报价中必须包括合法获取该知识产权的相关费用。报价应包括所有应支付的对专利权和版权、设计或其他知识产权而需要向其他方支付的版税。</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29" w:name="_Toc724"/>
      <w:bookmarkStart w:id="30" w:name="_Toc1518"/>
      <w:r>
        <w:rPr>
          <w:rFonts w:hint="eastAsia" w:ascii="仿宋_GB2312" w:hAnsi="仿宋_GB2312" w:eastAsia="仿宋_GB2312" w:cs="仿宋_GB2312"/>
          <w:b/>
          <w:bCs/>
          <w:sz w:val="24"/>
          <w:highlight w:val="none"/>
        </w:rPr>
        <w:t>6.现场考察和答疑</w:t>
      </w:r>
      <w:bookmarkEnd w:id="29"/>
      <w:bookmarkEnd w:id="30"/>
    </w:p>
    <w:p>
      <w:pPr>
        <w:pStyle w:val="32"/>
        <w:spacing w:line="560" w:lineRule="exact"/>
        <w:ind w:firstLine="480" w:firstLineChars="200"/>
        <w:rPr>
          <w:rFonts w:hint="eastAsia" w:ascii="仿宋_GB2312" w:hAnsi="仿宋_GB2312" w:eastAsia="仿宋_GB2312" w:cs="仿宋_GB2312"/>
          <w:sz w:val="24"/>
          <w:szCs w:val="24"/>
          <w:highlight w:val="none"/>
        </w:rPr>
      </w:pPr>
      <w:bookmarkStart w:id="31" w:name="_Ref179620557"/>
      <w:r>
        <w:rPr>
          <w:rFonts w:hint="eastAsia" w:ascii="仿宋_GB2312" w:hAnsi="仿宋_GB2312" w:eastAsia="仿宋_GB2312" w:cs="仿宋_GB2312"/>
          <w:sz w:val="24"/>
          <w:szCs w:val="24"/>
          <w:highlight w:val="none"/>
        </w:rPr>
        <w:t>6.1如有必要，采购代理机构将按磋商文件“</w:t>
      </w:r>
      <w:r>
        <w:rPr>
          <w:rFonts w:hint="eastAsia" w:ascii="仿宋_GB2312" w:hAnsi="仿宋_GB2312" w:eastAsia="仿宋_GB2312" w:cs="仿宋_GB2312"/>
          <w:sz w:val="24"/>
          <w:szCs w:val="24"/>
          <w:highlight w:val="none"/>
          <w:u w:val="single"/>
        </w:rPr>
        <w:t>磋商须知前附表</w:t>
      </w:r>
      <w:r>
        <w:rPr>
          <w:rFonts w:hint="eastAsia" w:ascii="仿宋_GB2312" w:hAnsi="仿宋_GB2312" w:eastAsia="仿宋_GB2312" w:cs="仿宋_GB2312"/>
          <w:sz w:val="24"/>
          <w:szCs w:val="24"/>
          <w:highlight w:val="none"/>
        </w:rPr>
        <w:t>”所述组织供应商磋商前答疑会或现场考察活动。以便供应商获取须自己负责的有关编制响应文件和签署合同所需的所有资料。参加答疑会或现场考察所发生的费用由供应商自己承担。</w:t>
      </w:r>
      <w:bookmarkEnd w:id="31"/>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6.2采购人向供应商提供的有关现场的资料和数据，是采购人现有的能使供应商利用的资料。采购人对供应商由此而做出的推论、理解和结论概不负责。</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6.3供应商及其人员经过采购人的允许，可为踏勘目的进入现场，但供应商及其人员不得因此使采购人及其人员承担有关的责任和蒙受损失。供应商并应对由此次现场考察而造成的死亡、人身伤害、财产损失、损害以及任何其它损失、损害和引起的费用和开支承担责任。</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32" w:name="_Toc382049096"/>
      <w:bookmarkStart w:id="33" w:name="_Toc5772"/>
      <w:bookmarkStart w:id="34" w:name="_Toc303084249"/>
      <w:bookmarkStart w:id="35" w:name="_Toc466045941"/>
      <w:bookmarkStart w:id="36" w:name="_Toc298847178"/>
      <w:bookmarkStart w:id="37" w:name="_Toc6026"/>
      <w:r>
        <w:rPr>
          <w:rFonts w:hint="eastAsia" w:ascii="仿宋_GB2312" w:hAnsi="仿宋_GB2312" w:eastAsia="仿宋_GB2312" w:cs="仿宋_GB2312"/>
          <w:b/>
          <w:bCs/>
          <w:sz w:val="24"/>
          <w:highlight w:val="none"/>
        </w:rPr>
        <w:t>7.磋商费用</w:t>
      </w:r>
      <w:bookmarkEnd w:id="32"/>
      <w:bookmarkEnd w:id="33"/>
      <w:bookmarkEnd w:id="34"/>
      <w:bookmarkEnd w:id="35"/>
      <w:bookmarkEnd w:id="36"/>
      <w:bookmarkEnd w:id="37"/>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7.1供应商应承担所有与编写响应文件和参加磋商有关的自身的所有费用，不论磋商的结果如何，采购代理机构和采购人在任何情况下均无义务和责任承担这些费用。</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7.2本次磋商向成交供应商收取的招标代理服务费，按国家有关规定执行；招标代理服务费不在报价中单列。</w:t>
      </w:r>
    </w:p>
    <w:p>
      <w:pPr>
        <w:spacing w:line="560" w:lineRule="exact"/>
        <w:jc w:val="center"/>
        <w:outlineLvl w:val="1"/>
        <w:rPr>
          <w:rFonts w:hint="eastAsia" w:ascii="仿宋_GB2312" w:hAnsi="仿宋_GB2312" w:eastAsia="仿宋_GB2312" w:cs="仿宋_GB2312"/>
          <w:b/>
          <w:bCs/>
          <w:sz w:val="28"/>
          <w:szCs w:val="28"/>
          <w:highlight w:val="none"/>
        </w:rPr>
      </w:pPr>
      <w:bookmarkStart w:id="38" w:name="_Toc4300"/>
      <w:bookmarkStart w:id="39" w:name="_Toc466540989"/>
      <w:bookmarkStart w:id="40" w:name="_Toc1930"/>
      <w:r>
        <w:rPr>
          <w:rFonts w:hint="eastAsia" w:ascii="仿宋_GB2312" w:hAnsi="仿宋_GB2312" w:eastAsia="仿宋_GB2312" w:cs="仿宋_GB2312"/>
          <w:b/>
          <w:bCs/>
          <w:sz w:val="28"/>
          <w:szCs w:val="28"/>
          <w:highlight w:val="none"/>
        </w:rPr>
        <w:t>（二）磋商文件</w:t>
      </w:r>
      <w:bookmarkEnd w:id="38"/>
      <w:bookmarkEnd w:id="39"/>
      <w:bookmarkEnd w:id="40"/>
    </w:p>
    <w:p>
      <w:pPr>
        <w:spacing w:line="560" w:lineRule="exact"/>
        <w:ind w:firstLine="482" w:firstLineChars="200"/>
        <w:outlineLvl w:val="2"/>
        <w:rPr>
          <w:rFonts w:hint="eastAsia" w:ascii="仿宋_GB2312" w:hAnsi="仿宋_GB2312" w:eastAsia="仿宋_GB2312" w:cs="仿宋_GB2312"/>
          <w:b/>
          <w:bCs/>
          <w:sz w:val="24"/>
          <w:highlight w:val="none"/>
        </w:rPr>
      </w:pPr>
      <w:bookmarkStart w:id="41" w:name="_Toc1727"/>
      <w:bookmarkStart w:id="42" w:name="_Toc8702"/>
      <w:r>
        <w:rPr>
          <w:rFonts w:hint="eastAsia" w:ascii="仿宋_GB2312" w:hAnsi="仿宋_GB2312" w:eastAsia="仿宋_GB2312" w:cs="仿宋_GB2312"/>
          <w:b/>
          <w:bCs/>
          <w:sz w:val="24"/>
          <w:highlight w:val="none"/>
        </w:rPr>
        <w:t>8.</w:t>
      </w:r>
      <w:bookmarkStart w:id="43" w:name="_Toc466540990"/>
      <w:r>
        <w:rPr>
          <w:rFonts w:hint="eastAsia" w:ascii="仿宋_GB2312" w:hAnsi="仿宋_GB2312" w:eastAsia="仿宋_GB2312" w:cs="仿宋_GB2312"/>
          <w:b/>
          <w:bCs/>
          <w:sz w:val="24"/>
          <w:highlight w:val="none"/>
        </w:rPr>
        <w:t>磋商文件的</w:t>
      </w:r>
      <w:bookmarkEnd w:id="43"/>
      <w:r>
        <w:rPr>
          <w:rFonts w:hint="eastAsia" w:ascii="仿宋_GB2312" w:hAnsi="仿宋_GB2312" w:eastAsia="仿宋_GB2312" w:cs="仿宋_GB2312"/>
          <w:b/>
          <w:bCs/>
          <w:sz w:val="24"/>
          <w:highlight w:val="none"/>
        </w:rPr>
        <w:t>构成</w:t>
      </w:r>
      <w:bookmarkEnd w:id="41"/>
      <w:bookmarkEnd w:id="42"/>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8.1磋商文件由下列文件以及在磋商过程中发出的澄清更正文件组成：</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rPr>
        <w:tab/>
      </w:r>
      <w:r>
        <w:rPr>
          <w:rFonts w:hint="eastAsia" w:ascii="仿宋_GB2312" w:hAnsi="仿宋_GB2312" w:eastAsia="仿宋_GB2312" w:cs="仿宋_GB2312"/>
          <w:sz w:val="24"/>
          <w:szCs w:val="24"/>
          <w:highlight w:val="none"/>
        </w:rPr>
        <w:t>磋商邀请函</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r>
        <w:rPr>
          <w:rFonts w:hint="eastAsia" w:ascii="仿宋_GB2312" w:hAnsi="仿宋_GB2312" w:eastAsia="仿宋_GB2312" w:cs="仿宋_GB2312"/>
          <w:sz w:val="24"/>
          <w:szCs w:val="24"/>
          <w:highlight w:val="none"/>
        </w:rPr>
        <w:tab/>
      </w:r>
      <w:r>
        <w:rPr>
          <w:rFonts w:hint="eastAsia" w:ascii="仿宋_GB2312" w:hAnsi="仿宋_GB2312" w:eastAsia="仿宋_GB2312" w:cs="仿宋_GB2312"/>
          <w:sz w:val="24"/>
          <w:szCs w:val="24"/>
          <w:highlight w:val="none"/>
        </w:rPr>
        <w:t>用户需求书</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r>
        <w:rPr>
          <w:rFonts w:hint="eastAsia" w:ascii="仿宋_GB2312" w:hAnsi="仿宋_GB2312" w:eastAsia="仿宋_GB2312" w:cs="仿宋_GB2312"/>
          <w:sz w:val="24"/>
          <w:szCs w:val="24"/>
          <w:highlight w:val="none"/>
        </w:rPr>
        <w:tab/>
      </w:r>
      <w:r>
        <w:rPr>
          <w:rFonts w:hint="eastAsia" w:ascii="仿宋_GB2312" w:hAnsi="仿宋_GB2312" w:eastAsia="仿宋_GB2312" w:cs="仿宋_GB2312"/>
          <w:sz w:val="24"/>
          <w:szCs w:val="24"/>
          <w:highlight w:val="none"/>
        </w:rPr>
        <w:t>磋商须知</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4）评审办法</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r>
        <w:rPr>
          <w:rFonts w:hint="eastAsia" w:ascii="仿宋_GB2312" w:hAnsi="仿宋_GB2312" w:eastAsia="仿宋_GB2312" w:cs="仿宋_GB2312"/>
          <w:sz w:val="24"/>
          <w:szCs w:val="24"/>
          <w:highlight w:val="none"/>
        </w:rPr>
        <w:tab/>
      </w:r>
      <w:r>
        <w:rPr>
          <w:rFonts w:hint="eastAsia" w:ascii="仿宋_GB2312" w:hAnsi="仿宋_GB2312" w:eastAsia="仿宋_GB2312" w:cs="仿宋_GB2312"/>
          <w:sz w:val="24"/>
          <w:szCs w:val="24"/>
          <w:highlight w:val="none"/>
        </w:rPr>
        <w:t>合同草案</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r>
        <w:rPr>
          <w:rFonts w:hint="eastAsia" w:ascii="仿宋_GB2312" w:hAnsi="仿宋_GB2312" w:eastAsia="仿宋_GB2312" w:cs="仿宋_GB2312"/>
          <w:sz w:val="24"/>
          <w:szCs w:val="24"/>
          <w:highlight w:val="none"/>
        </w:rPr>
        <w:tab/>
      </w:r>
      <w:r>
        <w:rPr>
          <w:rFonts w:hint="eastAsia" w:ascii="仿宋_GB2312" w:hAnsi="仿宋_GB2312" w:eastAsia="仿宋_GB2312" w:cs="仿宋_GB2312"/>
          <w:sz w:val="24"/>
          <w:szCs w:val="24"/>
          <w:highlight w:val="none"/>
        </w:rPr>
        <w:t xml:space="preserve">响应文件格式 </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w:t>
      </w:r>
      <w:r>
        <w:rPr>
          <w:rFonts w:hint="eastAsia" w:ascii="仿宋_GB2312" w:hAnsi="仿宋_GB2312" w:eastAsia="仿宋_GB2312" w:cs="仿宋_GB2312"/>
          <w:sz w:val="24"/>
          <w:szCs w:val="24"/>
          <w:highlight w:val="none"/>
        </w:rPr>
        <w:tab/>
      </w:r>
      <w:r>
        <w:rPr>
          <w:rFonts w:hint="eastAsia" w:ascii="仿宋_GB2312" w:hAnsi="仿宋_GB2312" w:eastAsia="仿宋_GB2312" w:cs="仿宋_GB2312"/>
          <w:sz w:val="24"/>
          <w:szCs w:val="24"/>
          <w:highlight w:val="none"/>
        </w:rPr>
        <w:t>磋商过程中发生的澄清、修改和补充文件（如有）</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8.2 供应商应认真阅读磋商文件中所有的事项、格式、条款和规范等要求。供应商没有按照磋商文件要求提交全部资料或者响应文件没有对磋商文件在各方面作出实质性响应是供应商的风险，有可能导致其磋商被拒绝，或被认定为无效响应。</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44" w:name="_Toc8817"/>
      <w:bookmarkStart w:id="45" w:name="_Toc19973"/>
      <w:r>
        <w:rPr>
          <w:rFonts w:hint="eastAsia" w:ascii="仿宋_GB2312" w:hAnsi="仿宋_GB2312" w:eastAsia="仿宋_GB2312" w:cs="仿宋_GB2312"/>
          <w:b/>
          <w:bCs/>
          <w:sz w:val="24"/>
          <w:highlight w:val="none"/>
        </w:rPr>
        <w:t>9.磋商文件的澄清或者修改</w:t>
      </w:r>
      <w:bookmarkEnd w:id="44"/>
      <w:bookmarkEnd w:id="45"/>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9.1采购代理机构对磋商文件进行必要的澄清或者修改的，于</w:t>
      </w:r>
      <w:r>
        <w:rPr>
          <w:rFonts w:hint="eastAsia" w:ascii="仿宋_GB2312" w:hAnsi="仿宋_GB2312" w:eastAsia="仿宋_GB2312" w:cs="仿宋_GB2312"/>
          <w:bCs/>
          <w:sz w:val="24"/>
          <w:szCs w:val="24"/>
          <w:highlight w:val="none"/>
        </w:rPr>
        <w:t>提交响应文件截止时间</w:t>
      </w:r>
      <w:r>
        <w:rPr>
          <w:rFonts w:hint="eastAsia" w:ascii="仿宋_GB2312" w:hAnsi="仿宋_GB2312" w:eastAsia="仿宋_GB2312" w:cs="仿宋_GB2312"/>
          <w:sz w:val="24"/>
          <w:szCs w:val="24"/>
          <w:highlight w:val="none"/>
        </w:rPr>
        <w:t>的5天前在指定媒体上发布公告，并以书面形式通知所有报名及购买磋商文件的供应商，报名及购买磋商文件的供应商在收到澄清或者修改通知后应按要求以书面形式（加盖单位公章，传真有效）予以确认；澄清或者修改不足5日的，采购代理机构可视澄清或者修改的内容对供应商编制响应文件是否有影响的情况，顺延提交响应文件截止时间，或者在征得当时已报名及购买磋商文件的供应商同意并书面确认（加盖单位公章，传真有效）后，不改变</w:t>
      </w:r>
      <w:r>
        <w:rPr>
          <w:rFonts w:hint="eastAsia" w:ascii="仿宋_GB2312" w:hAnsi="仿宋_GB2312" w:eastAsia="仿宋_GB2312" w:cs="仿宋_GB2312"/>
          <w:bCs/>
          <w:sz w:val="24"/>
          <w:szCs w:val="24"/>
          <w:highlight w:val="none"/>
        </w:rPr>
        <w:t>提交响应文件截止时间</w:t>
      </w:r>
      <w:r>
        <w:rPr>
          <w:rFonts w:hint="eastAsia" w:ascii="仿宋_GB2312" w:hAnsi="仿宋_GB2312" w:eastAsia="仿宋_GB2312" w:cs="仿宋_GB2312"/>
          <w:sz w:val="24"/>
          <w:szCs w:val="24"/>
          <w:highlight w:val="none"/>
        </w:rPr>
        <w:t>。并在财政部门指定的政府采购信息发布媒体上发布变更公告。</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9.2磋商文件的澄清或者修改内容作为磋商文件的组成部分，并对供应商具有约束力。当磋商文件、磋商文件的澄清或修改在同一内容的表述上不一致时，以最后发出的文件内容为准。</w:t>
      </w:r>
    </w:p>
    <w:p>
      <w:pPr>
        <w:spacing w:line="560" w:lineRule="exact"/>
        <w:jc w:val="center"/>
        <w:outlineLvl w:val="1"/>
        <w:rPr>
          <w:rFonts w:hint="eastAsia" w:ascii="仿宋_GB2312" w:hAnsi="仿宋_GB2312" w:eastAsia="仿宋_GB2312" w:cs="仿宋_GB2312"/>
          <w:b/>
          <w:bCs/>
          <w:sz w:val="28"/>
          <w:szCs w:val="28"/>
          <w:highlight w:val="none"/>
        </w:rPr>
      </w:pPr>
      <w:bookmarkStart w:id="46" w:name="_Toc39071045"/>
      <w:bookmarkStart w:id="47" w:name="_Toc36971221"/>
      <w:bookmarkStart w:id="48" w:name="_Toc466540992"/>
      <w:bookmarkStart w:id="49" w:name="_Toc19659"/>
      <w:bookmarkStart w:id="50" w:name="_Toc39368836"/>
      <w:bookmarkStart w:id="51" w:name="_Toc11929"/>
      <w:r>
        <w:rPr>
          <w:rFonts w:hint="eastAsia" w:ascii="仿宋_GB2312" w:hAnsi="仿宋_GB2312" w:eastAsia="仿宋_GB2312" w:cs="仿宋_GB2312"/>
          <w:b/>
          <w:bCs/>
          <w:sz w:val="28"/>
          <w:szCs w:val="28"/>
          <w:highlight w:val="none"/>
        </w:rPr>
        <w:t>（三）响应文件的编制</w:t>
      </w:r>
      <w:bookmarkEnd w:id="46"/>
      <w:bookmarkEnd w:id="47"/>
      <w:bookmarkEnd w:id="48"/>
      <w:bookmarkEnd w:id="49"/>
      <w:bookmarkEnd w:id="50"/>
      <w:bookmarkEnd w:id="51"/>
    </w:p>
    <w:p>
      <w:pPr>
        <w:spacing w:line="560" w:lineRule="exact"/>
        <w:ind w:firstLine="482" w:firstLineChars="200"/>
        <w:outlineLvl w:val="2"/>
        <w:rPr>
          <w:rFonts w:hint="eastAsia" w:ascii="仿宋_GB2312" w:hAnsi="仿宋_GB2312" w:eastAsia="仿宋_GB2312" w:cs="仿宋_GB2312"/>
          <w:b/>
          <w:bCs/>
          <w:sz w:val="24"/>
          <w:highlight w:val="none"/>
        </w:rPr>
      </w:pPr>
      <w:bookmarkStart w:id="52" w:name="_Toc8922"/>
      <w:bookmarkStart w:id="53" w:name="_Toc466540993"/>
      <w:bookmarkStart w:id="54" w:name="_Toc10970"/>
      <w:r>
        <w:rPr>
          <w:rFonts w:hint="eastAsia" w:ascii="仿宋_GB2312" w:hAnsi="仿宋_GB2312" w:eastAsia="仿宋_GB2312" w:cs="仿宋_GB2312"/>
          <w:b/>
          <w:bCs/>
          <w:sz w:val="24"/>
          <w:highlight w:val="none"/>
        </w:rPr>
        <w:t>10．响应文件的语言及度量衡单位</w:t>
      </w:r>
      <w:bookmarkEnd w:id="52"/>
      <w:bookmarkEnd w:id="53"/>
      <w:bookmarkEnd w:id="54"/>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10.1 供应商提交的响应文件以及供应商与采购代理机构就有关磋商的所有来往函件均应使用简体中文书写。供应商提交的支持资料和已印刷的文献可以用另一种语言，但相应内容应附有中文翻译本，在解释响应文件的修改内容时以中文翻译本为准。对中文翻译有异议的，以权威机构的译本为准。</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10.2 除非磋商文件在技术规格中另有规定，供应商在响应文件中及其与采购代理机构和采购人所有往来文件中的所有计量单位均应采用中华人民共和国法定计量单位。</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55" w:name="_Toc22710"/>
      <w:bookmarkStart w:id="56" w:name="_Toc22683"/>
      <w:bookmarkStart w:id="57" w:name="_Toc466540994"/>
      <w:r>
        <w:rPr>
          <w:rFonts w:hint="eastAsia" w:ascii="仿宋_GB2312" w:hAnsi="仿宋_GB2312" w:eastAsia="仿宋_GB2312" w:cs="仿宋_GB2312"/>
          <w:b/>
          <w:bCs/>
          <w:sz w:val="24"/>
          <w:highlight w:val="none"/>
        </w:rPr>
        <w:t>11.响应文件的组成</w:t>
      </w:r>
      <w:bookmarkEnd w:id="55"/>
      <w:bookmarkEnd w:id="56"/>
      <w:bookmarkEnd w:id="57"/>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11.1 供应商编写的响应文件应包括价格文件、商务文件、技术文件和首次报价信封。</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11.2响应文件的构成应符合法律、法规及磋商文件的要求。 </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58" w:name="_Toc6589"/>
      <w:bookmarkStart w:id="59" w:name="_Toc466540995"/>
      <w:bookmarkStart w:id="60" w:name="_Toc16757"/>
      <w:r>
        <w:rPr>
          <w:rFonts w:hint="eastAsia" w:ascii="仿宋_GB2312" w:hAnsi="仿宋_GB2312" w:eastAsia="仿宋_GB2312" w:cs="仿宋_GB2312"/>
          <w:b/>
          <w:bCs/>
          <w:sz w:val="24"/>
          <w:highlight w:val="none"/>
        </w:rPr>
        <w:t>12.响应文件格式</w:t>
      </w:r>
      <w:bookmarkEnd w:id="58"/>
      <w:bookmarkEnd w:id="59"/>
      <w:bookmarkEnd w:id="60"/>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供应商提交的响应文件应当按照磋商文件的第六章“响应文件格式”的要求编制（表格可以按同样格式扩展）。</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61" w:name="_Toc4336"/>
      <w:bookmarkStart w:id="62" w:name="_Toc8536"/>
      <w:bookmarkStart w:id="63" w:name="_Toc466540996"/>
      <w:r>
        <w:rPr>
          <w:rFonts w:hint="eastAsia" w:ascii="仿宋_GB2312" w:hAnsi="仿宋_GB2312" w:eastAsia="仿宋_GB2312" w:cs="仿宋_GB2312"/>
          <w:b/>
          <w:bCs/>
          <w:sz w:val="24"/>
          <w:highlight w:val="none"/>
        </w:rPr>
        <w:t>13.响应文件的编制、数量和签署</w:t>
      </w:r>
      <w:bookmarkEnd w:id="61"/>
      <w:bookmarkEnd w:id="62"/>
      <w:bookmarkEnd w:id="63"/>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13.1响应文件数量（</w:t>
      </w:r>
      <w:r>
        <w:rPr>
          <w:rFonts w:hint="eastAsia" w:ascii="仿宋_GB2312" w:hAnsi="仿宋_GB2312" w:eastAsia="仿宋_GB2312" w:cs="仿宋_GB2312"/>
          <w:sz w:val="24"/>
          <w:szCs w:val="24"/>
          <w:highlight w:val="none"/>
          <w:u w:val="single"/>
        </w:rPr>
        <w:t>详见磋商须知前附表</w:t>
      </w:r>
      <w:r>
        <w:rPr>
          <w:rFonts w:hint="eastAsia" w:ascii="仿宋_GB2312" w:hAnsi="仿宋_GB2312" w:eastAsia="仿宋_GB2312" w:cs="仿宋_GB2312"/>
          <w:sz w:val="24"/>
          <w:szCs w:val="24"/>
          <w:highlight w:val="none"/>
        </w:rPr>
        <w:t>）。</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13.2响应文件正本均需打印或用不褪色墨水书写，磋商文件中已明示需盖章签名处，均必须由供应商加盖供应商公章，并经供应商法定代表人或其正式授权的代表签署本人姓名或印盖本人姓名章。响应文件（明示需盖章页除外）的每一页都应加盖供应商公章或加盖骑缝章，否则该响应文件将被视为无效响应文件。响应文件的副本可采用正本的响应文件复印件（采用正本复印件的副本须加盖骑缝章），每套响应文件应当标明“正本”、“副本”的字样。若正本与副本不符，以正本为准。</w:t>
      </w:r>
    </w:p>
    <w:p>
      <w:pPr>
        <w:pStyle w:val="32"/>
        <w:spacing w:line="560" w:lineRule="exact"/>
        <w:ind w:firstLine="496"/>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13.3如供应商对磋商文件多个包组进行响应和报价的，其响应文件应按每个包组的要求分包编制和提交。</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13.4 响应文件中的任何重要的插字、涂改和增删，必须由法定代表人或其正式授权代表在旁边签字或盖章才有效。</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13.5供应商必须对响应文件所提供的全部资料的真实性承担法律责任，并接受采购代理机构、采购人及政府采购监督管理部门等对其中任何资料进行核实的要求。</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13.6传真或电传的响应文件将拒绝接收。</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64" w:name="_Toc466540997"/>
      <w:bookmarkStart w:id="65" w:name="_Toc27378"/>
      <w:bookmarkStart w:id="66" w:name="_Toc19269"/>
      <w:r>
        <w:rPr>
          <w:rFonts w:hint="eastAsia" w:ascii="仿宋_GB2312" w:hAnsi="仿宋_GB2312" w:eastAsia="仿宋_GB2312" w:cs="仿宋_GB2312"/>
          <w:b/>
          <w:bCs/>
          <w:sz w:val="24"/>
          <w:highlight w:val="none"/>
        </w:rPr>
        <w:t>14.报价说明</w:t>
      </w:r>
      <w:bookmarkEnd w:id="64"/>
      <w:bookmarkEnd w:id="65"/>
      <w:bookmarkEnd w:id="66"/>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14.1供应商应按照磋商文件“第二章 用户需求书”中的所有技术规格、参数及要求（货物类）或所有技术服务要求（服务类）规定的内容、责任范围进行报价。并按《首次报价一览表》及《分项报价表》的要求报出总价和分项价格。</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14.2供应商磋商后的最后总报价应包含完成本次磋商所有货物或服务内容的费用，包含各种税务费及合同实施过程中的不可预见费用等全部费用（含磋商文件所要求的必要的辅助材料费用)和售后服务费等。（招标代理服务费不在报价中单列）</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14.3报价应包括所提供货物或服务所需的专利权和版权、设计或其他知识产权而需要向其他方支付的版税。</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14.4若报价小写金额与大写金额存在差异，以大写金额为准。</w:t>
      </w:r>
    </w:p>
    <w:p>
      <w:pPr>
        <w:pStyle w:val="32"/>
        <w:spacing w:line="560" w:lineRule="exact"/>
        <w:ind w:firstLine="496"/>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14.5最后报价不得超出最高限价，否则将被视为无效响应。</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14.6除磋商文件规定可以调整的价格外，供应商的报价在合同执行期间是固定不变的，不得以任何理由予以变更。</w:t>
      </w:r>
    </w:p>
    <w:p>
      <w:pPr>
        <w:pStyle w:val="32"/>
        <w:spacing w:line="560" w:lineRule="exact"/>
        <w:ind w:firstLine="494"/>
        <w:rPr>
          <w:rFonts w:hint="eastAsia" w:ascii="仿宋_GB2312" w:hAnsi="仿宋_GB2312" w:eastAsia="仿宋_GB2312" w:cs="仿宋_GB2312"/>
          <w:sz w:val="24"/>
          <w:szCs w:val="24"/>
          <w:highlight w:val="none"/>
        </w:rPr>
      </w:pPr>
      <w:bookmarkStart w:id="67" w:name="_Ref396486359"/>
      <w:r>
        <w:rPr>
          <w:rFonts w:hint="eastAsia" w:ascii="仿宋_GB2312" w:hAnsi="仿宋_GB2312" w:eastAsia="仿宋_GB2312" w:cs="仿宋_GB2312"/>
          <w:sz w:val="24"/>
          <w:szCs w:val="24"/>
          <w:highlight w:val="none"/>
        </w:rPr>
        <w:t>14.7本次磋商的最后报价不接受选择性报价，否则将被视为无效响应。</w:t>
      </w:r>
      <w:bookmarkEnd w:id="67"/>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14.8本次磋商的最后报价不接受具有附加条件的报价，否则将视为无效响应。</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14.9本次磋商不接受供应商成交后将成交项目分包，否则将视为无效响应。</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14.10成交后开出的所有发票必须与成交供应商的名称一致。</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68" w:name="_Toc4133"/>
      <w:bookmarkStart w:id="69" w:name="_Toc26770"/>
      <w:bookmarkStart w:id="70" w:name="_Toc466540998"/>
      <w:r>
        <w:rPr>
          <w:rFonts w:hint="eastAsia" w:ascii="仿宋_GB2312" w:hAnsi="仿宋_GB2312" w:eastAsia="仿宋_GB2312" w:cs="仿宋_GB2312"/>
          <w:b/>
          <w:bCs/>
          <w:sz w:val="24"/>
          <w:highlight w:val="none"/>
        </w:rPr>
        <w:t>15.报价货币</w:t>
      </w:r>
      <w:bookmarkEnd w:id="68"/>
      <w:bookmarkEnd w:id="69"/>
      <w:bookmarkEnd w:id="70"/>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15.1供应商所提供的货物或服务均以人民币报价。</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71" w:name="_Toc466540999"/>
      <w:bookmarkStart w:id="72" w:name="_Toc11609"/>
      <w:bookmarkStart w:id="73" w:name="_Toc23385"/>
      <w:r>
        <w:rPr>
          <w:rFonts w:hint="eastAsia" w:ascii="仿宋_GB2312" w:hAnsi="仿宋_GB2312" w:eastAsia="仿宋_GB2312" w:cs="仿宋_GB2312"/>
          <w:b/>
          <w:bCs/>
          <w:sz w:val="24"/>
          <w:highlight w:val="none"/>
        </w:rPr>
        <w:t>16.磋商有效期</w:t>
      </w:r>
      <w:bookmarkEnd w:id="71"/>
      <w:bookmarkEnd w:id="72"/>
      <w:bookmarkEnd w:id="73"/>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16.1响应文件应根据磋商须知的规定在提交响应文件截止时间之后的90天内保持有效。</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16.2特殊情况下，在原有磋商有效期截止之前，采购代理机构可要求供应商同意延长磋商有效期。这种要求与答复均应以书面形式提交。供应商可拒绝采购代理机构的这种要求，其磋商保证金将可退还。接受磋商有效期延长的供应商将不会被要求和允许修正其响应文件，而只会被要求相应地延长其磋商保证金的有效期。在这种情况下，根据磋商须知磋商保证金的有关规定将在延长了的有效期内继续有效。</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74" w:name="_Toc466541000"/>
      <w:bookmarkStart w:id="75" w:name="_Toc32582"/>
      <w:bookmarkStart w:id="76" w:name="_Toc19748"/>
      <w:bookmarkStart w:id="77" w:name="_Toc3058"/>
      <w:r>
        <w:rPr>
          <w:rFonts w:hint="eastAsia" w:ascii="仿宋_GB2312" w:hAnsi="仿宋_GB2312" w:eastAsia="仿宋_GB2312" w:cs="仿宋_GB2312"/>
          <w:b/>
          <w:bCs/>
          <w:sz w:val="24"/>
          <w:highlight w:val="none"/>
        </w:rPr>
        <w:t>17.</w:t>
      </w:r>
      <w:bookmarkEnd w:id="74"/>
      <w:bookmarkEnd w:id="75"/>
      <w:bookmarkEnd w:id="76"/>
      <w:r>
        <w:rPr>
          <w:rFonts w:hint="eastAsia" w:ascii="仿宋_GB2312" w:hAnsi="仿宋_GB2312" w:eastAsia="仿宋_GB2312" w:cs="仿宋_GB2312"/>
          <w:b/>
          <w:bCs/>
          <w:sz w:val="24"/>
          <w:highlight w:val="none"/>
        </w:rPr>
        <w:t>磋商保证金</w:t>
      </w:r>
      <w:bookmarkEnd w:id="77"/>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17.1供应商应向采购代理机构提交磋商保证金，并作为其响应文件的一部分。磋商保证金的金额：</w:t>
      </w:r>
      <w:r>
        <w:rPr>
          <w:rFonts w:hint="eastAsia" w:ascii="仿宋_GB2312" w:hAnsi="仿宋_GB2312" w:eastAsia="仿宋_GB2312" w:cs="仿宋_GB2312"/>
          <w:sz w:val="24"/>
          <w:szCs w:val="24"/>
          <w:highlight w:val="none"/>
          <w:u w:val="single"/>
        </w:rPr>
        <w:t>（详见磋商须知前附表）</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17.2供应商应按要求提交磋商保证金，应当以支票、汇票、本票或者金融机构、担保机构出具的保函等</w:t>
      </w:r>
      <w:r>
        <w:rPr>
          <w:rFonts w:hint="eastAsia" w:ascii="仿宋_GB2312" w:hAnsi="仿宋_GB2312" w:eastAsia="仿宋_GB2312" w:cs="仿宋_GB2312"/>
          <w:b/>
          <w:bCs/>
          <w:sz w:val="24"/>
          <w:szCs w:val="24"/>
          <w:highlight w:val="none"/>
        </w:rPr>
        <w:t>非现金</w:t>
      </w:r>
      <w:r>
        <w:rPr>
          <w:rFonts w:hint="eastAsia" w:ascii="仿宋_GB2312" w:hAnsi="仿宋_GB2312" w:eastAsia="仿宋_GB2312" w:cs="仿宋_GB2312"/>
          <w:sz w:val="24"/>
          <w:szCs w:val="24"/>
          <w:highlight w:val="none"/>
        </w:rPr>
        <w:t>形式提交。供应商未按照磋商文件要求提交磋商保证金的，响应无效。供应商与交款人名称必须一致，非供应商缴纳的磋商保证金无效。</w:t>
      </w:r>
    </w:p>
    <w:p>
      <w:pPr>
        <w:pStyle w:val="32"/>
        <w:spacing w:line="560" w:lineRule="exact"/>
        <w:ind w:firstLine="496"/>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注意事项：</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磋商保证金以银行转账方式提交的，划账时须填写完整的收款单位名称，可在备注或用途栏中注明本次参加项目的项目编号（或项目名称）及用途如出现分包情况的请注明包号。保证金必须以供应商名义汇入指定账户，保证金以分支机构名义汇入或个人名义汇入或现金存入视为无效。</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(2)如项目出现分包情况的，供应商必须按所响应和报价的子包分别提交磋商保证金。</w:t>
      </w:r>
    </w:p>
    <w:p>
      <w:pPr>
        <w:pStyle w:val="32"/>
        <w:spacing w:line="560" w:lineRule="exact"/>
        <w:ind w:firstLine="496"/>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(3)磋商保证金必须在提交响应文件截止时间之前递交（以接收时间或转账的到账时间为准），否则将不具备参加磋商的资格。</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(4)采用《政府采购投标担保函》提交的，担保函应符合下列规定：</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①须符合磋商文件附件1的《政府采购投标担保函》格式要求。</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②担保函有效期应与磋商有效期一致。</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17.3磋商保证金专用账户如下：</w:t>
      </w:r>
      <w:r>
        <w:rPr>
          <w:rFonts w:hint="eastAsia" w:ascii="仿宋_GB2312" w:hAnsi="仿宋_GB2312" w:eastAsia="仿宋_GB2312" w:cs="仿宋_GB2312"/>
          <w:sz w:val="24"/>
          <w:szCs w:val="24"/>
          <w:highlight w:val="none"/>
          <w:u w:val="single"/>
        </w:rPr>
        <w:t>（详见磋商须知前附表）</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17.4凡没有根据本须知的规定随附有效的磋商保证金的响应报价，视为非响应性响应予以拒绝。</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17.5未成交的供应商的磋商保证金将在本项目的《中标通知书》发出五个工作日内，不计利息原额退还。</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17.6成交供应商的磋商保证金,在成交供应商与采购人签订采购合同后5个工作日内不计利息原额退还。</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17.7下列任何情况发生时，磋商保证金不予退还，采用《政府采购投标担保函》形式提交磋商保证金的，由担保机构按照担保函的约定履行支付磋商保证金的责任：</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17.7.1供应商在提交响应文件截止时间后撤回响应文件的；</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17.7.2供应商在响应文件中提供虚假材料的；</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17.7.3除因不可抗力或磋商文件认可的情形以外，成交供应商不与采购人签订合同的；</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17.7.4供应商与采购人、其他供应商或者采购代理机构恶意串通的；</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17.7.5磋商文件规定的其他情形。</w:t>
      </w:r>
    </w:p>
    <w:p>
      <w:pPr>
        <w:spacing w:line="560" w:lineRule="exact"/>
        <w:jc w:val="center"/>
        <w:outlineLvl w:val="1"/>
        <w:rPr>
          <w:rFonts w:hint="eastAsia" w:ascii="仿宋_GB2312" w:hAnsi="仿宋_GB2312" w:eastAsia="仿宋_GB2312" w:cs="仿宋_GB2312"/>
          <w:b/>
          <w:bCs/>
          <w:sz w:val="28"/>
          <w:szCs w:val="28"/>
          <w:highlight w:val="none"/>
        </w:rPr>
      </w:pPr>
      <w:bookmarkStart w:id="78" w:name="_Toc23847"/>
      <w:bookmarkStart w:id="79" w:name="_Toc25725"/>
      <w:bookmarkStart w:id="80" w:name="_Toc466541001"/>
      <w:r>
        <w:rPr>
          <w:rFonts w:hint="eastAsia" w:ascii="仿宋_GB2312" w:hAnsi="仿宋_GB2312" w:eastAsia="仿宋_GB2312" w:cs="仿宋_GB2312"/>
          <w:b/>
          <w:bCs/>
          <w:sz w:val="28"/>
          <w:szCs w:val="28"/>
          <w:highlight w:val="none"/>
        </w:rPr>
        <w:t>（四）响应文件的提交</w:t>
      </w:r>
      <w:bookmarkEnd w:id="78"/>
      <w:bookmarkEnd w:id="79"/>
      <w:bookmarkEnd w:id="80"/>
    </w:p>
    <w:p>
      <w:pPr>
        <w:spacing w:line="560" w:lineRule="exact"/>
        <w:ind w:firstLine="482" w:firstLineChars="200"/>
        <w:outlineLvl w:val="2"/>
        <w:rPr>
          <w:rFonts w:hint="eastAsia" w:ascii="仿宋_GB2312" w:hAnsi="仿宋_GB2312" w:eastAsia="仿宋_GB2312" w:cs="仿宋_GB2312"/>
          <w:b/>
          <w:bCs/>
          <w:sz w:val="24"/>
          <w:highlight w:val="none"/>
        </w:rPr>
      </w:pPr>
      <w:bookmarkStart w:id="81" w:name="_Toc27448"/>
      <w:bookmarkStart w:id="82" w:name="_Toc466541002"/>
      <w:bookmarkStart w:id="83" w:name="_Toc30986"/>
      <w:r>
        <w:rPr>
          <w:rFonts w:hint="eastAsia" w:ascii="仿宋_GB2312" w:hAnsi="仿宋_GB2312" w:eastAsia="仿宋_GB2312" w:cs="仿宋_GB2312"/>
          <w:b/>
          <w:bCs/>
          <w:sz w:val="24"/>
          <w:highlight w:val="none"/>
        </w:rPr>
        <w:t>18.响应文件的标记和密封</w:t>
      </w:r>
      <w:bookmarkEnd w:id="81"/>
      <w:bookmarkEnd w:id="82"/>
      <w:bookmarkEnd w:id="83"/>
    </w:p>
    <w:p>
      <w:pPr>
        <w:pStyle w:val="32"/>
        <w:spacing w:line="560" w:lineRule="exact"/>
        <w:ind w:firstLine="494"/>
        <w:rPr>
          <w:rFonts w:hint="eastAsia" w:ascii="仿宋_GB2312" w:hAnsi="仿宋_GB2312" w:eastAsia="仿宋_GB2312" w:cs="仿宋_GB2312"/>
          <w:sz w:val="24"/>
          <w:szCs w:val="24"/>
          <w:highlight w:val="none"/>
        </w:rPr>
      </w:pPr>
      <w:bookmarkStart w:id="84" w:name="_Toc39071059"/>
      <w:bookmarkStart w:id="85" w:name="_Toc36971235"/>
      <w:r>
        <w:rPr>
          <w:rFonts w:hint="eastAsia" w:ascii="仿宋_GB2312" w:hAnsi="仿宋_GB2312" w:eastAsia="仿宋_GB2312" w:cs="仿宋_GB2312"/>
          <w:sz w:val="24"/>
          <w:szCs w:val="24"/>
          <w:highlight w:val="none"/>
        </w:rPr>
        <w:t>18.1供应商应将响应文件的正本、副本、首次报价信封分开单独密封包装。在密封袋上标明“</w:t>
      </w:r>
      <w:r>
        <w:rPr>
          <w:rFonts w:hint="eastAsia" w:ascii="仿宋_GB2312" w:hAnsi="仿宋_GB2312" w:eastAsia="仿宋_GB2312" w:cs="仿宋_GB2312"/>
          <w:sz w:val="24"/>
          <w:highlight w:val="none"/>
        </w:rPr>
        <w:t>正本</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highlight w:val="none"/>
        </w:rPr>
        <w:t>副本</w:t>
      </w:r>
      <w:r>
        <w:rPr>
          <w:rFonts w:hint="eastAsia" w:ascii="仿宋_GB2312" w:hAnsi="仿宋_GB2312" w:eastAsia="仿宋_GB2312" w:cs="仿宋_GB2312"/>
          <w:sz w:val="24"/>
          <w:szCs w:val="24"/>
          <w:highlight w:val="none"/>
        </w:rPr>
        <w:t>”、“首次报价信封”的字样，并在密封袋的封口处加盖供应商公章。</w:t>
      </w:r>
    </w:p>
    <w:p>
      <w:pPr>
        <w:pStyle w:val="32"/>
        <w:spacing w:line="560" w:lineRule="exact"/>
        <w:ind w:firstLine="496"/>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★18.2 供应商须以下要求准备响应文件（参加多个子包的供应商按每个子包分别提交响应文件）：</w:t>
      </w:r>
    </w:p>
    <w:tbl>
      <w:tblPr>
        <w:tblStyle w:val="23"/>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735"/>
        <w:gridCol w:w="2926"/>
        <w:gridCol w:w="3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1"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序号</w:t>
            </w:r>
          </w:p>
        </w:tc>
        <w:tc>
          <w:tcPr>
            <w:tcW w:w="1735"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响应文件名称</w:t>
            </w:r>
          </w:p>
        </w:tc>
        <w:tc>
          <w:tcPr>
            <w:tcW w:w="2926"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密封要求及递交方式</w:t>
            </w:r>
          </w:p>
        </w:tc>
        <w:tc>
          <w:tcPr>
            <w:tcW w:w="3362"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0" w:hRule="atLeast"/>
          <w:jc w:val="center"/>
        </w:trPr>
        <w:tc>
          <w:tcPr>
            <w:tcW w:w="741"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w:t>
            </w:r>
          </w:p>
        </w:tc>
        <w:tc>
          <w:tcPr>
            <w:tcW w:w="1735"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首次报价信封</w:t>
            </w:r>
          </w:p>
        </w:tc>
        <w:tc>
          <w:tcPr>
            <w:tcW w:w="2926"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合并密封，当面递交</w:t>
            </w:r>
          </w:p>
        </w:tc>
        <w:tc>
          <w:tcPr>
            <w:tcW w:w="3362" w:type="dxa"/>
            <w:vAlign w:val="center"/>
          </w:tcPr>
          <w:p>
            <w:pPr>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内含《首次报价一览表》、《磋商保证金汇入情况说明》及磋商保证金支付凭证（银行划款单复</w:t>
            </w:r>
            <w:bookmarkStart w:id="86" w:name="_Hlt128472975"/>
            <w:bookmarkEnd w:id="86"/>
            <w:r>
              <w:rPr>
                <w:rFonts w:hint="eastAsia" w:ascii="仿宋_GB2312" w:hAnsi="仿宋_GB2312" w:eastAsia="仿宋_GB2312" w:cs="仿宋_GB2312"/>
                <w:sz w:val="24"/>
                <w:highlight w:val="none"/>
              </w:rPr>
              <w:t>印件，加盖公章）、响应文件电子档（签字、盖章后的扫描件，PDF格式）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1"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w:t>
            </w:r>
          </w:p>
        </w:tc>
        <w:tc>
          <w:tcPr>
            <w:tcW w:w="1735"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副本</w:t>
            </w:r>
          </w:p>
        </w:tc>
        <w:tc>
          <w:tcPr>
            <w:tcW w:w="2926" w:type="dxa"/>
            <w:vAlign w:val="center"/>
          </w:tcPr>
          <w:p>
            <w:pPr>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每本单独装订成册、所有副本一起密封，当面递交</w:t>
            </w:r>
          </w:p>
        </w:tc>
        <w:tc>
          <w:tcPr>
            <w:tcW w:w="3362"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副本数量</w:t>
            </w:r>
            <w:r>
              <w:rPr>
                <w:rFonts w:hint="eastAsia" w:ascii="仿宋_GB2312" w:hAnsi="仿宋_GB2312" w:eastAsia="仿宋_GB2312" w:cs="仿宋_GB2312"/>
                <w:sz w:val="24"/>
                <w:highlight w:val="none"/>
                <w:u w:val="single"/>
              </w:rPr>
              <w:t>详见磋商须知前附表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1"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w:t>
            </w:r>
          </w:p>
        </w:tc>
        <w:tc>
          <w:tcPr>
            <w:tcW w:w="1735"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正本</w:t>
            </w:r>
          </w:p>
        </w:tc>
        <w:tc>
          <w:tcPr>
            <w:tcW w:w="2926" w:type="dxa"/>
            <w:vAlign w:val="center"/>
          </w:tcPr>
          <w:p>
            <w:pPr>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单独装订成册、单独密封，当面递交</w:t>
            </w:r>
          </w:p>
        </w:tc>
        <w:tc>
          <w:tcPr>
            <w:tcW w:w="3362"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正本数量</w:t>
            </w:r>
            <w:r>
              <w:rPr>
                <w:rFonts w:hint="eastAsia" w:ascii="仿宋_GB2312" w:hAnsi="仿宋_GB2312" w:eastAsia="仿宋_GB2312" w:cs="仿宋_GB2312"/>
                <w:sz w:val="24"/>
                <w:highlight w:val="none"/>
                <w:u w:val="single"/>
              </w:rPr>
              <w:t>详见磋商须知前附表</w:t>
            </w:r>
          </w:p>
        </w:tc>
      </w:tr>
    </w:tbl>
    <w:p>
      <w:pPr>
        <w:pStyle w:val="32"/>
        <w:spacing w:line="560" w:lineRule="exact"/>
        <w:ind w:firstLine="496"/>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注 ：所有响应文件不允许采用活动夹方式装订。</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18.3响应文件密封袋标记</w:t>
      </w:r>
      <w:r>
        <w:rPr>
          <w:rFonts w:hint="eastAsia" w:ascii="仿宋_GB2312" w:hAnsi="仿宋_GB2312" w:eastAsia="仿宋_GB2312" w:cs="仿宋_GB2312"/>
          <w:sz w:val="24"/>
          <w:szCs w:val="24"/>
          <w:highlight w:val="none"/>
          <w:u w:val="single"/>
        </w:rPr>
        <w:t>详见磋商须知前附表</w:t>
      </w:r>
      <w:r>
        <w:rPr>
          <w:rFonts w:hint="eastAsia" w:ascii="仿宋_GB2312" w:hAnsi="仿宋_GB2312" w:eastAsia="仿宋_GB2312" w:cs="仿宋_GB2312"/>
          <w:sz w:val="24"/>
          <w:szCs w:val="24"/>
          <w:highlight w:val="none"/>
        </w:rPr>
        <w:t>。</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18.4如供应商的响应文件未按照磋商文件规定标记和密封的，采购代理机构将不承担响应文件提前开封的责任。</w:t>
      </w:r>
    </w:p>
    <w:bookmarkEnd w:id="84"/>
    <w:bookmarkEnd w:id="85"/>
    <w:p>
      <w:pPr>
        <w:spacing w:line="560" w:lineRule="exact"/>
        <w:ind w:firstLine="482" w:firstLineChars="200"/>
        <w:outlineLvl w:val="2"/>
        <w:rPr>
          <w:rFonts w:hint="eastAsia" w:ascii="仿宋_GB2312" w:hAnsi="仿宋_GB2312" w:eastAsia="仿宋_GB2312" w:cs="仿宋_GB2312"/>
          <w:b/>
          <w:bCs/>
          <w:sz w:val="24"/>
          <w:highlight w:val="none"/>
        </w:rPr>
      </w:pPr>
      <w:bookmarkStart w:id="87" w:name="_Toc384750986"/>
      <w:bookmarkStart w:id="88" w:name="_Toc466541003"/>
      <w:bookmarkStart w:id="89" w:name="_Toc2374"/>
      <w:bookmarkStart w:id="90" w:name="_Toc8663"/>
      <w:r>
        <w:rPr>
          <w:rFonts w:hint="eastAsia" w:ascii="仿宋_GB2312" w:hAnsi="仿宋_GB2312" w:eastAsia="仿宋_GB2312" w:cs="仿宋_GB2312"/>
          <w:b/>
          <w:bCs/>
          <w:sz w:val="24"/>
          <w:highlight w:val="none"/>
        </w:rPr>
        <w:t>19.</w:t>
      </w:r>
      <w:bookmarkEnd w:id="87"/>
      <w:bookmarkEnd w:id="88"/>
      <w:r>
        <w:rPr>
          <w:rFonts w:hint="eastAsia" w:ascii="仿宋_GB2312" w:hAnsi="仿宋_GB2312" w:eastAsia="仿宋_GB2312" w:cs="仿宋_GB2312"/>
          <w:b/>
          <w:bCs/>
          <w:sz w:val="24"/>
          <w:highlight w:val="none"/>
        </w:rPr>
        <w:t>提交响应文件截止时间及磋商地点</w:t>
      </w:r>
      <w:bookmarkEnd w:id="89"/>
      <w:bookmarkEnd w:id="90"/>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19.1提交响应文件截止时间</w:t>
      </w:r>
      <w:r>
        <w:rPr>
          <w:rFonts w:hint="eastAsia" w:ascii="仿宋_GB2312" w:hAnsi="仿宋_GB2312" w:eastAsia="仿宋_GB2312" w:cs="仿宋_GB2312"/>
          <w:sz w:val="24"/>
          <w:szCs w:val="24"/>
          <w:highlight w:val="none"/>
          <w:u w:val="single"/>
        </w:rPr>
        <w:t>（详见磋商须知前附表）</w:t>
      </w:r>
      <w:r>
        <w:rPr>
          <w:rFonts w:hint="eastAsia" w:ascii="仿宋_GB2312" w:hAnsi="仿宋_GB2312" w:eastAsia="仿宋_GB2312" w:cs="仿宋_GB2312"/>
          <w:sz w:val="24"/>
          <w:szCs w:val="24"/>
          <w:highlight w:val="none"/>
        </w:rPr>
        <w:t>，供应商应在提交响应文件截止日期和时间前，将响应文件送达到磋商地点</w:t>
      </w:r>
      <w:r>
        <w:rPr>
          <w:rFonts w:hint="eastAsia" w:ascii="仿宋_GB2312" w:hAnsi="仿宋_GB2312" w:eastAsia="仿宋_GB2312" w:cs="仿宋_GB2312"/>
          <w:sz w:val="24"/>
          <w:szCs w:val="24"/>
          <w:highlight w:val="none"/>
          <w:u w:val="single"/>
        </w:rPr>
        <w:t>（详见磋商须知前附表）</w:t>
      </w:r>
      <w:r>
        <w:rPr>
          <w:rFonts w:hint="eastAsia" w:ascii="仿宋_GB2312" w:hAnsi="仿宋_GB2312" w:eastAsia="仿宋_GB2312" w:cs="仿宋_GB2312"/>
          <w:sz w:val="24"/>
          <w:szCs w:val="24"/>
          <w:highlight w:val="none"/>
        </w:rPr>
        <w:t>。</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19.2采购代理机构可按照磋商文件规定以澄清或修改通知的方式，酌情延长提交响应文件的截止时间。在此情况下，供应商的所有权利和义务以及供应商受制约的截止时间，均以延长后新的提交响应文件截止时间为准。</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91" w:name="_Toc5049"/>
      <w:bookmarkStart w:id="92" w:name="_Toc466541004"/>
      <w:bookmarkStart w:id="93" w:name="_Toc384750987"/>
      <w:bookmarkStart w:id="94" w:name="_Toc13722"/>
      <w:r>
        <w:rPr>
          <w:rFonts w:hint="eastAsia" w:ascii="仿宋_GB2312" w:hAnsi="仿宋_GB2312" w:eastAsia="仿宋_GB2312" w:cs="仿宋_GB2312"/>
          <w:b/>
          <w:bCs/>
          <w:sz w:val="24"/>
          <w:highlight w:val="none"/>
        </w:rPr>
        <w:t>20.迟交的</w:t>
      </w:r>
      <w:bookmarkEnd w:id="91"/>
      <w:bookmarkEnd w:id="92"/>
      <w:bookmarkEnd w:id="93"/>
      <w:r>
        <w:rPr>
          <w:rFonts w:hint="eastAsia" w:ascii="仿宋_GB2312" w:hAnsi="仿宋_GB2312" w:eastAsia="仿宋_GB2312" w:cs="仿宋_GB2312"/>
          <w:b/>
          <w:bCs/>
          <w:sz w:val="24"/>
          <w:highlight w:val="none"/>
        </w:rPr>
        <w:t>响应文件</w:t>
      </w:r>
      <w:bookmarkEnd w:id="94"/>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20.1在</w:t>
      </w:r>
      <w:r>
        <w:rPr>
          <w:rFonts w:hint="eastAsia" w:ascii="仿宋_GB2312" w:hAnsi="仿宋_GB2312" w:eastAsia="仿宋_GB2312" w:cs="仿宋_GB2312"/>
          <w:bCs/>
          <w:sz w:val="24"/>
          <w:szCs w:val="24"/>
          <w:highlight w:val="none"/>
        </w:rPr>
        <w:t>提交响应文件截止时间</w:t>
      </w:r>
      <w:r>
        <w:rPr>
          <w:rFonts w:hint="eastAsia" w:ascii="仿宋_GB2312" w:hAnsi="仿宋_GB2312" w:eastAsia="仿宋_GB2312" w:cs="仿宋_GB2312"/>
          <w:sz w:val="24"/>
          <w:szCs w:val="24"/>
          <w:highlight w:val="none"/>
        </w:rPr>
        <w:t>后送达的响应文件为无效文件，采购代理机构将拒绝接收。</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95" w:name="_Toc5188"/>
      <w:bookmarkStart w:id="96" w:name="_Toc466541005"/>
      <w:bookmarkStart w:id="97" w:name="_Toc1393"/>
      <w:bookmarkStart w:id="98" w:name="_Toc384750988"/>
      <w:r>
        <w:rPr>
          <w:rFonts w:hint="eastAsia" w:ascii="仿宋_GB2312" w:hAnsi="仿宋_GB2312" w:eastAsia="仿宋_GB2312" w:cs="仿宋_GB2312"/>
          <w:b/>
          <w:bCs/>
          <w:sz w:val="24"/>
          <w:highlight w:val="none"/>
        </w:rPr>
        <w:t>21.响应文件的补充、修改与撤回</w:t>
      </w:r>
      <w:bookmarkEnd w:id="95"/>
      <w:bookmarkEnd w:id="96"/>
      <w:bookmarkEnd w:id="97"/>
      <w:bookmarkEnd w:id="98"/>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21.1 供应商在提交响应文件截止时间前，可以对所提交的响应文件进行补充、修改或撤回，并以书面形式通知采购代理机构。在提交响应文件截止时间之后，供应商不得对其响应文件做出任何的补充和修改。</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21.2 供应商对响应文件的补充、修改的内容应当按磋商文件要求的签署、盖章，作为响应文件的组成部分。并按照磋商文件规定密封和标记的要求提交，并在响应文件密封袋上标明“补充、修改”或“撤回”字样。</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21.3在提交响应文件截止时间至磋商有效期满之前，供应商不得撤回其响应文件，否则其磋商保证金将不予退还。</w:t>
      </w:r>
    </w:p>
    <w:p>
      <w:pPr>
        <w:spacing w:line="560" w:lineRule="exact"/>
        <w:jc w:val="center"/>
        <w:outlineLvl w:val="1"/>
        <w:rPr>
          <w:rFonts w:hint="eastAsia" w:ascii="仿宋_GB2312" w:hAnsi="仿宋_GB2312" w:eastAsia="仿宋_GB2312" w:cs="仿宋_GB2312"/>
          <w:b/>
          <w:bCs/>
          <w:sz w:val="28"/>
          <w:szCs w:val="28"/>
          <w:highlight w:val="none"/>
        </w:rPr>
      </w:pPr>
      <w:bookmarkStart w:id="99" w:name="_Toc2492"/>
      <w:bookmarkStart w:id="100" w:name="_Toc5033"/>
      <w:r>
        <w:rPr>
          <w:rFonts w:hint="eastAsia" w:ascii="仿宋_GB2312" w:hAnsi="仿宋_GB2312" w:eastAsia="仿宋_GB2312" w:cs="仿宋_GB2312"/>
          <w:b/>
          <w:bCs/>
          <w:sz w:val="28"/>
          <w:szCs w:val="28"/>
          <w:highlight w:val="none"/>
        </w:rPr>
        <w:t>（五）</w:t>
      </w:r>
      <w:bookmarkEnd w:id="99"/>
      <w:r>
        <w:rPr>
          <w:rFonts w:hint="eastAsia" w:ascii="仿宋_GB2312" w:hAnsi="仿宋_GB2312" w:eastAsia="仿宋_GB2312" w:cs="仿宋_GB2312"/>
          <w:b/>
          <w:bCs/>
          <w:sz w:val="28"/>
          <w:szCs w:val="28"/>
          <w:highlight w:val="none"/>
        </w:rPr>
        <w:t>磋商、评审、成交</w:t>
      </w:r>
      <w:bookmarkEnd w:id="100"/>
    </w:p>
    <w:p>
      <w:pPr>
        <w:pStyle w:val="32"/>
        <w:spacing w:line="560" w:lineRule="exact"/>
        <w:ind w:firstLine="494"/>
        <w:rPr>
          <w:rFonts w:hint="eastAsia" w:ascii="仿宋_GB2312" w:hAnsi="仿宋_GB2312" w:eastAsia="仿宋_GB2312" w:cs="仿宋_GB2312"/>
          <w:sz w:val="24"/>
          <w:szCs w:val="24"/>
          <w:highlight w:val="none"/>
        </w:rPr>
      </w:pPr>
      <w:bookmarkStart w:id="101" w:name="_Toc466541010"/>
      <w:r>
        <w:rPr>
          <w:rFonts w:hint="eastAsia" w:ascii="仿宋_GB2312" w:hAnsi="仿宋_GB2312" w:eastAsia="仿宋_GB2312" w:cs="仿宋_GB2312"/>
          <w:sz w:val="24"/>
          <w:szCs w:val="24"/>
          <w:highlight w:val="none"/>
        </w:rPr>
        <w:t>详见磋商文件第四章。</w:t>
      </w:r>
    </w:p>
    <w:p>
      <w:pPr>
        <w:spacing w:line="560" w:lineRule="exact"/>
        <w:jc w:val="center"/>
        <w:outlineLvl w:val="1"/>
        <w:rPr>
          <w:rFonts w:hint="eastAsia" w:ascii="仿宋_GB2312" w:hAnsi="仿宋_GB2312" w:eastAsia="仿宋_GB2312" w:cs="仿宋_GB2312"/>
          <w:b/>
          <w:bCs/>
          <w:sz w:val="28"/>
          <w:szCs w:val="28"/>
          <w:highlight w:val="none"/>
        </w:rPr>
      </w:pPr>
      <w:bookmarkStart w:id="102" w:name="_Toc15164"/>
      <w:bookmarkStart w:id="103" w:name="_Toc5883"/>
      <w:r>
        <w:rPr>
          <w:rFonts w:hint="eastAsia" w:ascii="仿宋_GB2312" w:hAnsi="仿宋_GB2312" w:eastAsia="仿宋_GB2312" w:cs="仿宋_GB2312"/>
          <w:b/>
          <w:bCs/>
          <w:sz w:val="28"/>
          <w:szCs w:val="28"/>
          <w:highlight w:val="none"/>
        </w:rPr>
        <w:t>（六）合同授予</w:t>
      </w:r>
      <w:bookmarkEnd w:id="101"/>
      <w:bookmarkEnd w:id="102"/>
      <w:bookmarkEnd w:id="103"/>
    </w:p>
    <w:p>
      <w:pPr>
        <w:spacing w:line="560" w:lineRule="exact"/>
        <w:ind w:firstLine="482" w:firstLineChars="200"/>
        <w:outlineLvl w:val="2"/>
        <w:rPr>
          <w:rFonts w:hint="eastAsia" w:ascii="仿宋_GB2312" w:hAnsi="仿宋_GB2312" w:eastAsia="仿宋_GB2312" w:cs="仿宋_GB2312"/>
          <w:b/>
          <w:bCs/>
          <w:sz w:val="24"/>
          <w:highlight w:val="none"/>
        </w:rPr>
      </w:pPr>
      <w:bookmarkStart w:id="104" w:name="_Toc382049122"/>
      <w:bookmarkStart w:id="105" w:name="_Toc28022"/>
      <w:bookmarkStart w:id="106" w:name="_Toc11135"/>
      <w:bookmarkStart w:id="107" w:name="_Toc466045965"/>
      <w:bookmarkStart w:id="108" w:name="_Toc466541011"/>
      <w:r>
        <w:rPr>
          <w:rFonts w:hint="eastAsia" w:ascii="仿宋_GB2312" w:hAnsi="仿宋_GB2312" w:eastAsia="仿宋_GB2312" w:cs="仿宋_GB2312"/>
          <w:b/>
          <w:bCs/>
          <w:sz w:val="24"/>
          <w:highlight w:val="none"/>
        </w:rPr>
        <w:t>22.成交结果公告及</w:t>
      </w:r>
      <w:bookmarkEnd w:id="104"/>
      <w:r>
        <w:rPr>
          <w:rFonts w:hint="eastAsia" w:ascii="仿宋_GB2312" w:hAnsi="仿宋_GB2312" w:eastAsia="仿宋_GB2312" w:cs="仿宋_GB2312"/>
          <w:b/>
          <w:bCs/>
          <w:sz w:val="24"/>
          <w:highlight w:val="none"/>
        </w:rPr>
        <w:t>成交通知书</w:t>
      </w:r>
      <w:bookmarkEnd w:id="105"/>
      <w:bookmarkEnd w:id="106"/>
      <w:bookmarkEnd w:id="107"/>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22.1磋商小组提出评审书面报告和推荐成交意见报采购人确认后，采购代理机构将在磋商文件指定的采购信息发布媒体上公布成交结果。</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22.2在成交结果公示后的三个工作日内，成交供应商须向采购代理机构提供营业执照、税务登记证、组织机构代码证和在响应文件中提供的资质证明文件、合同、社保证明等主要证明文件的原件进行核对，如授权其分支机构进行项目实施或者提供售后服务的，亦应提供其与分支机构关系的法律证明材料。</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22.3如果审查通过，向成交供应商发出《成交通知书》；如果审查没有通过，则取消其成交资格，并按本须知及管理部门相关规定严肃处理。在此情况下，磋商小组将对技术和商务上充分满足磋商文件要求的第二成交候选人进行类似审核，依此类推。或重新组织实施本项目采购。</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22.4采购代理机构向审查通过的成交供应商发出《成交通知书》，如在成交结果公示结束后十五天内成交供应商不按规定领取成交通知书的，则视为自动放弃成交资格进行处理。</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22.5《成交通知书》将是合同的一个组成部分对成交供应商和采购人具有同等法律效力。</w:t>
      </w:r>
    </w:p>
    <w:bookmarkEnd w:id="108"/>
    <w:p>
      <w:pPr>
        <w:spacing w:line="560" w:lineRule="exact"/>
        <w:jc w:val="center"/>
        <w:outlineLvl w:val="1"/>
        <w:rPr>
          <w:rFonts w:hint="eastAsia" w:ascii="仿宋_GB2312" w:hAnsi="仿宋_GB2312" w:eastAsia="仿宋_GB2312" w:cs="仿宋_GB2312"/>
          <w:b/>
          <w:bCs/>
          <w:sz w:val="28"/>
          <w:szCs w:val="28"/>
          <w:highlight w:val="none"/>
        </w:rPr>
      </w:pPr>
      <w:bookmarkStart w:id="109" w:name="_Toc466541014"/>
      <w:bookmarkStart w:id="110" w:name="_Toc22990"/>
      <w:bookmarkStart w:id="111" w:name="_Toc19631"/>
      <w:r>
        <w:rPr>
          <w:rFonts w:hint="eastAsia" w:ascii="仿宋_GB2312" w:hAnsi="仿宋_GB2312" w:eastAsia="仿宋_GB2312" w:cs="仿宋_GB2312"/>
          <w:b/>
          <w:bCs/>
          <w:sz w:val="28"/>
          <w:szCs w:val="28"/>
          <w:highlight w:val="none"/>
        </w:rPr>
        <w:t>（七）合同签订和履行</w:t>
      </w:r>
      <w:bookmarkEnd w:id="109"/>
      <w:bookmarkEnd w:id="110"/>
      <w:bookmarkEnd w:id="111"/>
    </w:p>
    <w:p>
      <w:pPr>
        <w:spacing w:line="560" w:lineRule="exact"/>
        <w:ind w:firstLine="482" w:firstLineChars="200"/>
        <w:outlineLvl w:val="2"/>
        <w:rPr>
          <w:rFonts w:hint="eastAsia" w:ascii="仿宋_GB2312" w:hAnsi="仿宋_GB2312" w:eastAsia="仿宋_GB2312" w:cs="仿宋_GB2312"/>
          <w:b/>
          <w:bCs/>
          <w:sz w:val="24"/>
          <w:highlight w:val="none"/>
        </w:rPr>
      </w:pPr>
      <w:bookmarkStart w:id="112" w:name="_Toc466541015"/>
      <w:bookmarkStart w:id="113" w:name="_Toc24165"/>
      <w:bookmarkStart w:id="114" w:name="_Toc17948"/>
      <w:r>
        <w:rPr>
          <w:rFonts w:hint="eastAsia" w:ascii="仿宋_GB2312" w:hAnsi="仿宋_GB2312" w:eastAsia="仿宋_GB2312" w:cs="仿宋_GB2312"/>
          <w:b/>
          <w:bCs/>
          <w:sz w:val="24"/>
          <w:highlight w:val="none"/>
        </w:rPr>
        <w:t>23.合同的签订</w:t>
      </w:r>
      <w:bookmarkEnd w:id="112"/>
      <w:bookmarkEnd w:id="113"/>
      <w:bookmarkEnd w:id="114"/>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23.1 采购人与成交供应商应当在成交通知书发出之日起30日内，按照磋商文件确定的合同文本以及采购标的、规格型号、采购金额、采购数量、技术和服务要求等事项签订政府采购合同。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23.2成交供应商如不按本磋商须知的规定与采购人订立合同，则采购人将依法追究成交供应商的法律责任。</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23.3采购人应当自政府采购合同签订之日起7个工作日内，应将合同副本报同级政府采购监督管理部门和采购代理机构备案。</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23.4政府采购合同履行中，采购人需追加与合同标的相同的货物、工程或者服务的，在不改变合同其他条款的前提下，可以与成交供应商签订补充合同，但所补充合同的采购金额不得超过原采购金额的10%，签订补充合同的必须按规定备案。</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23.5除采购人同意分包的项目内容外，成交供应商不能把成交项目转包或分包给其他单位实施。</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23.6成交供应商因不可抗力或者自身原因不能履行政府采购合同的，采购人可以与排位在成交供应商之后第一位的成交候选人签订政府采购合同，以此类推，也可以重新组织采购。</w:t>
      </w:r>
    </w:p>
    <w:p>
      <w:pPr>
        <w:spacing w:line="560" w:lineRule="exact"/>
        <w:ind w:firstLine="482" w:firstLineChars="200"/>
        <w:outlineLvl w:val="2"/>
        <w:rPr>
          <w:rFonts w:hint="eastAsia" w:ascii="仿宋_GB2312" w:hAnsi="仿宋_GB2312" w:eastAsia="仿宋_GB2312" w:cs="仿宋_GB2312"/>
          <w:sz w:val="24"/>
          <w:highlight w:val="none"/>
        </w:rPr>
      </w:pPr>
      <w:bookmarkStart w:id="115" w:name="_Toc429645581"/>
      <w:bookmarkStart w:id="116" w:name="_Toc466541016"/>
      <w:bookmarkStart w:id="117" w:name="_Toc10211"/>
      <w:bookmarkStart w:id="118" w:name="_Toc11040"/>
      <w:bookmarkStart w:id="119" w:name="_Toc11591"/>
      <w:r>
        <w:rPr>
          <w:rFonts w:hint="eastAsia" w:ascii="仿宋_GB2312" w:hAnsi="仿宋_GB2312" w:eastAsia="仿宋_GB2312" w:cs="仿宋_GB2312"/>
          <w:b/>
          <w:bCs/>
          <w:sz w:val="24"/>
          <w:highlight w:val="none"/>
        </w:rPr>
        <w:t>24.履约保证金</w:t>
      </w:r>
      <w:bookmarkEnd w:id="115"/>
      <w:bookmarkEnd w:id="116"/>
      <w:r>
        <w:rPr>
          <w:rFonts w:hint="eastAsia" w:ascii="仿宋_GB2312" w:hAnsi="仿宋_GB2312" w:eastAsia="仿宋_GB2312" w:cs="仿宋_GB2312"/>
          <w:b/>
          <w:bCs/>
          <w:sz w:val="24"/>
          <w:highlight w:val="none"/>
        </w:rPr>
        <w:t>（如有要求）</w:t>
      </w:r>
      <w:bookmarkEnd w:id="117"/>
      <w:bookmarkEnd w:id="118"/>
      <w:bookmarkEnd w:id="119"/>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履约保证金可以采用下列任何一种形式：</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24.1履约保证金</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24.1.1可采用电汇、银行转帐方式提交，但不可以采用现金方式提交。成交供应商必须保证资金以成交供应商的名称在收到成交通知书后3个工作日内到帐（以银行收到为准）。乙方需提供银行回执单（注明项目名称，一式两份）、开户许可证和法人委托书到甲方处开具履约保证金收据。</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24.1.2履约保证金汇入以下履约保证金专用账户：（成效后由采购人提供）</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24.1.3退还说明：履约保证金待工程竣工验收合格经合同双方签字确定，30个工作日内无息退还。</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24.2履约保函</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履约保函应是合法经营的银行机构出具的银行保函，非东莞市范围内银行出具的履约保函必须附上当地公证部门出具的公证文件。履约保函的内容，应符合磋商文件、响应文件和采购合同的要求。履约保函应从合同签订之日起到工程竣工验收合格及结算经合同双方签字确定后7日内保持有效。</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24.3政府采购信用担保</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根据东莞市财政局《关于进一步推进政府采购信用担保工作的通知》（东财[2018]189号）规定执行相关要求。（格式要求详见谈判文件附件2）</w:t>
      </w:r>
    </w:p>
    <w:p>
      <w:pPr>
        <w:spacing w:line="560" w:lineRule="exact"/>
        <w:jc w:val="center"/>
        <w:outlineLvl w:val="1"/>
        <w:rPr>
          <w:rFonts w:hint="eastAsia" w:ascii="仿宋_GB2312" w:hAnsi="仿宋_GB2312" w:eastAsia="仿宋_GB2312" w:cs="仿宋_GB2312"/>
          <w:b/>
          <w:bCs/>
          <w:sz w:val="28"/>
          <w:szCs w:val="28"/>
          <w:highlight w:val="none"/>
        </w:rPr>
      </w:pPr>
      <w:bookmarkStart w:id="120" w:name="_Toc29749"/>
      <w:bookmarkStart w:id="121" w:name="_Toc466541018"/>
      <w:bookmarkStart w:id="122" w:name="_Toc1151"/>
      <w:r>
        <w:rPr>
          <w:rFonts w:hint="eastAsia" w:ascii="仿宋_GB2312" w:hAnsi="仿宋_GB2312" w:eastAsia="仿宋_GB2312" w:cs="仿宋_GB2312"/>
          <w:b/>
          <w:bCs/>
          <w:sz w:val="28"/>
          <w:szCs w:val="28"/>
          <w:highlight w:val="none"/>
        </w:rPr>
        <w:t>（八）询问、质疑、投诉</w:t>
      </w:r>
      <w:bookmarkEnd w:id="120"/>
      <w:bookmarkEnd w:id="121"/>
      <w:bookmarkEnd w:id="122"/>
    </w:p>
    <w:p>
      <w:pPr>
        <w:spacing w:line="560" w:lineRule="exact"/>
        <w:ind w:firstLine="482" w:firstLineChars="200"/>
        <w:outlineLvl w:val="2"/>
        <w:rPr>
          <w:rFonts w:hint="eastAsia" w:ascii="仿宋_GB2312" w:hAnsi="仿宋_GB2312" w:eastAsia="仿宋_GB2312" w:cs="仿宋_GB2312"/>
          <w:b/>
          <w:bCs/>
          <w:sz w:val="24"/>
          <w:highlight w:val="none"/>
        </w:rPr>
      </w:pPr>
      <w:bookmarkStart w:id="123" w:name="_Toc3213"/>
      <w:bookmarkStart w:id="124" w:name="_Toc26316"/>
      <w:bookmarkStart w:id="125" w:name="_Toc466541019"/>
      <w:r>
        <w:rPr>
          <w:rFonts w:hint="eastAsia" w:ascii="仿宋_GB2312" w:hAnsi="仿宋_GB2312" w:eastAsia="仿宋_GB2312" w:cs="仿宋_GB2312"/>
          <w:b/>
          <w:bCs/>
          <w:sz w:val="24"/>
          <w:highlight w:val="none"/>
        </w:rPr>
        <w:t>25.询问</w:t>
      </w:r>
      <w:bookmarkEnd w:id="123"/>
      <w:bookmarkEnd w:id="124"/>
      <w:bookmarkEnd w:id="125"/>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25.1供应商对政府采购活动事项（磋商文件、采购过程和成交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磋商邀请函》中“采购代理机构的名称、地址和联系方式”，采购代理机构或采购人在3个工作日内对供应商依法提出的询问作出答复。</w:t>
      </w:r>
      <w:bookmarkStart w:id="126" w:name="_Toc466541020"/>
    </w:p>
    <w:p>
      <w:pPr>
        <w:spacing w:line="560" w:lineRule="exact"/>
        <w:ind w:firstLine="482" w:firstLineChars="200"/>
        <w:outlineLvl w:val="2"/>
        <w:rPr>
          <w:rFonts w:hint="eastAsia" w:ascii="仿宋_GB2312" w:hAnsi="仿宋_GB2312" w:eastAsia="仿宋_GB2312" w:cs="仿宋_GB2312"/>
          <w:b/>
          <w:bCs/>
          <w:sz w:val="24"/>
          <w:highlight w:val="none"/>
        </w:rPr>
      </w:pPr>
      <w:bookmarkStart w:id="127" w:name="_Toc28565"/>
      <w:bookmarkStart w:id="128" w:name="_Toc21137"/>
      <w:r>
        <w:rPr>
          <w:rFonts w:hint="eastAsia" w:ascii="仿宋_GB2312" w:hAnsi="仿宋_GB2312" w:eastAsia="仿宋_GB2312" w:cs="仿宋_GB2312"/>
          <w:b/>
          <w:bCs/>
          <w:sz w:val="24"/>
          <w:highlight w:val="none"/>
        </w:rPr>
        <w:t>26.质疑</w:t>
      </w:r>
      <w:bookmarkEnd w:id="126"/>
      <w:bookmarkEnd w:id="127"/>
      <w:bookmarkEnd w:id="128"/>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26.1供应商认为磋商文件、采购过程和成交结果使自己的权益受到损害的，以书面形式向采购人或采购代理机构书面提出质疑：</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26.1.1磋商文件在指定的政府采购信息发布媒体上公示最少3个工作日；购买本磋商文件的供应商认为磋商文件的内容损害其权益的，可以自购买磋商文件之日起7个工作日内提出质疑，供应商质疑、投诉应当有明确的请求和必要的证明材料；</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26.1.2供应商认为采购过程和成交结果使自己的权益受到损害的，对采购过程提出质疑的，为各采购程序环节结束之日起7个工作日内提出质疑；对成交结果提出质疑的，为成交结果公告期限届满之日起7个工作日内提出质疑；供应商质疑、投诉应当有明确的请求和必要的证明材料(依据《中华人民共和国政府采购法实施条例》第五十七条，捏造事实、提供虚假材料或者以非法手段取得证明材料不能作为质疑、投诉的证明材料）； </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26.1.3采购人或采购代理机构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129" w:name="_Toc466541021"/>
      <w:bookmarkStart w:id="130" w:name="_Toc28120"/>
      <w:bookmarkStart w:id="131" w:name="_Toc9748"/>
      <w:r>
        <w:rPr>
          <w:rFonts w:hint="eastAsia" w:ascii="仿宋_GB2312" w:hAnsi="仿宋_GB2312" w:eastAsia="仿宋_GB2312" w:cs="仿宋_GB2312"/>
          <w:b/>
          <w:bCs/>
          <w:sz w:val="24"/>
          <w:highlight w:val="none"/>
        </w:rPr>
        <w:t>27.投诉</w:t>
      </w:r>
      <w:bookmarkEnd w:id="129"/>
      <w:bookmarkEnd w:id="130"/>
      <w:bookmarkEnd w:id="131"/>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27.1供应商对采购代理机构或采购人的质疑答复不满意或在规定时间内未作出答复的，可以在答复期满后15个工作日内向财政部门投诉。</w:t>
      </w:r>
    </w:p>
    <w:p>
      <w:pPr>
        <w:spacing w:line="560" w:lineRule="exact"/>
        <w:jc w:val="center"/>
        <w:outlineLvl w:val="1"/>
        <w:rPr>
          <w:rFonts w:hint="eastAsia" w:ascii="仿宋_GB2312" w:hAnsi="仿宋_GB2312" w:eastAsia="仿宋_GB2312" w:cs="仿宋_GB2312"/>
          <w:b/>
          <w:bCs/>
          <w:sz w:val="28"/>
          <w:szCs w:val="28"/>
          <w:highlight w:val="none"/>
        </w:rPr>
      </w:pPr>
      <w:bookmarkStart w:id="132" w:name="_Toc466541022"/>
      <w:bookmarkStart w:id="133" w:name="_Toc706"/>
      <w:bookmarkStart w:id="134" w:name="_Toc29228"/>
      <w:r>
        <w:rPr>
          <w:rFonts w:hint="eastAsia" w:ascii="仿宋_GB2312" w:hAnsi="仿宋_GB2312" w:eastAsia="仿宋_GB2312" w:cs="仿宋_GB2312"/>
          <w:b/>
          <w:bCs/>
          <w:sz w:val="28"/>
          <w:szCs w:val="28"/>
          <w:highlight w:val="none"/>
        </w:rPr>
        <w:t>（</w:t>
      </w:r>
      <w:bookmarkEnd w:id="132"/>
      <w:r>
        <w:rPr>
          <w:rFonts w:hint="eastAsia" w:ascii="仿宋_GB2312" w:hAnsi="仿宋_GB2312" w:eastAsia="仿宋_GB2312" w:cs="仿宋_GB2312"/>
          <w:b/>
          <w:bCs/>
          <w:sz w:val="28"/>
          <w:szCs w:val="28"/>
          <w:highlight w:val="none"/>
        </w:rPr>
        <w:t>九）其他</w:t>
      </w:r>
      <w:bookmarkEnd w:id="133"/>
      <w:bookmarkEnd w:id="134"/>
    </w:p>
    <w:p>
      <w:pPr>
        <w:spacing w:line="560" w:lineRule="exact"/>
        <w:ind w:firstLine="482" w:firstLineChars="200"/>
        <w:outlineLvl w:val="2"/>
        <w:rPr>
          <w:rFonts w:hint="eastAsia" w:ascii="仿宋_GB2312" w:hAnsi="仿宋_GB2312" w:eastAsia="仿宋_GB2312" w:cs="仿宋_GB2312"/>
          <w:b/>
          <w:bCs/>
          <w:sz w:val="24"/>
          <w:highlight w:val="none"/>
        </w:rPr>
      </w:pPr>
      <w:bookmarkStart w:id="135" w:name="_Toc21510"/>
      <w:bookmarkStart w:id="136" w:name="_Toc18503"/>
      <w:r>
        <w:rPr>
          <w:rFonts w:hint="eastAsia" w:ascii="仿宋_GB2312" w:hAnsi="仿宋_GB2312" w:eastAsia="仿宋_GB2312" w:cs="仿宋_GB2312"/>
          <w:b/>
          <w:bCs/>
          <w:sz w:val="24"/>
          <w:highlight w:val="none"/>
        </w:rPr>
        <w:t>28.招标代理服务费</w:t>
      </w:r>
      <w:bookmarkEnd w:id="135"/>
      <w:bookmarkEnd w:id="136"/>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28.1成交供应商应在领取《成交通知书》原件的同时向招标代理机构一次性支付招标代理服务费。</w:t>
      </w:r>
    </w:p>
    <w:p>
      <w:pPr>
        <w:pStyle w:val="32"/>
        <w:spacing w:line="560" w:lineRule="exact"/>
        <w:ind w:firstLine="494"/>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28.2招标代理服务费的货币为人民币。</w:t>
      </w:r>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28.3本项目按服务类招标计算。招标代理服务费的收费标准和规定按照 [2002]1980号文《招标代理服务收费管理暂行办法》以费率为“货物招标”类型和成交通知书中确定的成交金额作为收费的计算依据。具体如下： </w:t>
      </w:r>
    </w:p>
    <w:tbl>
      <w:tblPr>
        <w:tblStyle w:val="23"/>
        <w:tblW w:w="8558" w:type="dxa"/>
        <w:tblCellSpacing w:w="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22"/>
        <w:gridCol w:w="1978"/>
        <w:gridCol w:w="2046"/>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0" w:hRule="atLeast"/>
          <w:tblCellSpacing w:w="0" w:type="dxa"/>
        </w:trPr>
        <w:tc>
          <w:tcPr>
            <w:tcW w:w="2622"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mc:AlternateContent>
                <mc:Choice Requires="wps">
                  <w:drawing>
                    <wp:anchor distT="0" distB="0" distL="114300" distR="114300" simplePos="0" relativeHeight="251659264" behindDoc="0" locked="0" layoutInCell="1" allowOverlap="1">
                      <wp:simplePos x="0" y="0"/>
                      <wp:positionH relativeFrom="column">
                        <wp:posOffset>412115</wp:posOffset>
                      </wp:positionH>
                      <wp:positionV relativeFrom="paragraph">
                        <wp:posOffset>-10795</wp:posOffset>
                      </wp:positionV>
                      <wp:extent cx="1212850" cy="1105535"/>
                      <wp:effectExtent l="3175" t="3810" r="3175" b="14605"/>
                      <wp:wrapNone/>
                      <wp:docPr id="1" name="Line 14"/>
                      <wp:cNvGraphicFramePr/>
                      <a:graphic xmlns:a="http://schemas.openxmlformats.org/drawingml/2006/main">
                        <a:graphicData uri="http://schemas.microsoft.com/office/word/2010/wordprocessingShape">
                          <wps:wsp>
                            <wps:cNvCnPr/>
                            <wps:spPr>
                              <a:xfrm>
                                <a:off x="0" y="0"/>
                                <a:ext cx="1212850" cy="11055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Line 14" o:spid="_x0000_s1026" o:spt="32" type="#_x0000_t32" style="position:absolute;left:0pt;margin-left:32.45pt;margin-top:-0.85pt;height:87.05pt;width:95.5pt;z-index:251659264;mso-width-relative:page;mso-height-relative:page;" filled="f" stroked="t" coordsize="21600,21600" o:gfxdata="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ig+pC2AAAAAkBAAAPAAAAAAAAAAEAIAAAACIAAABkcnMv&#10;ZG93bnJldi54bWxQSwECFAAUAAAACACHTuJAPfXxwcoBAACiAwAADgAAAAAAAAABACAAAAAnAQAA&#10;ZHJzL2Uyb0RvYy54bWxQSwUGAAAAAAYABgBZAQAAYwUAAAAA&#10;">
                      <v:fill on="f" focussize="0,0"/>
                      <v:stroke color="#000000" joinstyle="round"/>
                      <v:imagedata o:title=""/>
                      <o:lock v:ext="edit" aspectratio="f"/>
                    </v:shape>
                  </w:pict>
                </mc:Fallback>
              </mc:AlternateContent>
            </w:r>
            <w:r>
              <w:rPr>
                <w:rFonts w:hint="eastAsia" w:ascii="仿宋_GB2312" w:hAnsi="仿宋_GB2312" w:eastAsia="仿宋_GB2312" w:cs="仿宋_GB2312"/>
                <w:sz w:val="24"/>
                <w:highlight w:val="none"/>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29210</wp:posOffset>
                      </wp:positionV>
                      <wp:extent cx="635" cy="0"/>
                      <wp:effectExtent l="0" t="0" r="0" b="0"/>
                      <wp:wrapNone/>
                      <wp:docPr id="5" name="Line 1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Line 12" o:spid="_x0000_s1026" o:spt="20" style="position:absolute;left:0pt;margin-left:99pt;margin-top:2.3pt;height:0pt;width:0.05pt;z-index:251660288;mso-width-relative:page;mso-height-relative:page;" filled="f" stroked="t" coordsize="21600,21600" o:gfxdata="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AMONdUA&#10;AAAHAQAADwAAAAAAAAABACAAAAAiAAAAZHJzL2Rvd25yZXYueG1sUEsBAhQAFAAAAAgAh07iQGva&#10;KNiwAQAAXAMAAA4AAAAAAAAAAQAgAAAAJAEAAGRycy9lMm9Eb2MueG1sUEsFBgAAAAAGAAYAWQEA&#10;AEYFAAAAAA==&#10;">
                      <v:fill on="f" focussize="0,0"/>
                      <v:stroke color="#000000" joinstyle="round"/>
                      <v:imagedata o:title=""/>
                      <o:lock v:ext="edit" aspectratio="f"/>
                    </v:line>
                  </w:pict>
                </mc:Fallback>
              </mc:AlternateContent>
            </w:r>
            <w:r>
              <w:rPr>
                <w:rFonts w:hint="eastAsia" w:ascii="仿宋_GB2312" w:hAnsi="仿宋_GB2312" w:eastAsia="仿宋_GB2312" w:cs="仿宋_GB2312"/>
                <w:sz w:val="24"/>
                <w:highlight w:val="none"/>
              </w:rPr>
              <w:t xml:space="preserve">           服务类型</w:t>
            </w:r>
          </w:p>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15875</wp:posOffset>
                      </wp:positionV>
                      <wp:extent cx="1654175" cy="723900"/>
                      <wp:effectExtent l="1905" t="4445" r="20320" b="14605"/>
                      <wp:wrapNone/>
                      <wp:docPr id="3" name="Line 13"/>
                      <wp:cNvGraphicFramePr/>
                      <a:graphic xmlns:a="http://schemas.openxmlformats.org/drawingml/2006/main">
                        <a:graphicData uri="http://schemas.microsoft.com/office/word/2010/wordprocessingShape">
                          <wps:wsp>
                            <wps:cNvCnPr/>
                            <wps:spPr>
                              <a:xfrm>
                                <a:off x="0" y="0"/>
                                <a:ext cx="1654175" cy="7239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Line 13" o:spid="_x0000_s1026" o:spt="32" type="#_x0000_t32" style="position:absolute;left:0pt;margin-left:-0.25pt;margin-top:1.25pt;height:57pt;width:130.25pt;z-index:251658240;mso-width-relative:page;mso-height-relative:page;" filled="f" stroked="t" coordsize="21600,21600" o:gfxdata="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XSi1rVAAAABwEAAA8AAAAAAAAAAQAgAAAAIgAAAGRycy9k&#10;b3ducmV2LnhtbFBLAQIUABQAAAAIAIdO4kCyNEmczAEAAKEDAAAOAAAAAAAAAAEAIAAAACQBAABk&#10;cnMvZTJvRG9jLnhtbFBLBQYAAAAABgAGAFkBAABiBQAAAAA=&#10;">
                      <v:fill on="f" focussize="0,0"/>
                      <v:stroke color="#000000" joinstyle="round"/>
                      <v:imagedata o:title=""/>
                      <o:lock v:ext="edit" aspectratio="f"/>
                    </v:shape>
                  </w:pict>
                </mc:Fallback>
              </mc:AlternateContent>
            </w:r>
            <w:r>
              <w:rPr>
                <w:rFonts w:hint="eastAsia" w:ascii="仿宋_GB2312" w:hAnsi="仿宋_GB2312" w:eastAsia="仿宋_GB2312" w:cs="仿宋_GB2312"/>
                <w:sz w:val="24"/>
                <w:highlight w:val="none"/>
              </w:rPr>
              <w:t>费率</w:t>
            </w:r>
          </w:p>
          <w:p>
            <w:pPr>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中标金额（万元）</w:t>
            </w:r>
          </w:p>
        </w:tc>
        <w:tc>
          <w:tcPr>
            <w:tcW w:w="1978"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货物招标</w:t>
            </w:r>
          </w:p>
        </w:tc>
        <w:tc>
          <w:tcPr>
            <w:tcW w:w="2046"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服务招标</w:t>
            </w:r>
          </w:p>
        </w:tc>
        <w:tc>
          <w:tcPr>
            <w:tcW w:w="1912"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CellSpacing w:w="0" w:type="dxa"/>
        </w:trPr>
        <w:tc>
          <w:tcPr>
            <w:tcW w:w="2622"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100以下</w:t>
            </w:r>
          </w:p>
        </w:tc>
        <w:tc>
          <w:tcPr>
            <w:tcW w:w="1978"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1.5%</w:t>
            </w:r>
          </w:p>
        </w:tc>
        <w:tc>
          <w:tcPr>
            <w:tcW w:w="2046"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1.5%</w:t>
            </w:r>
          </w:p>
        </w:tc>
        <w:tc>
          <w:tcPr>
            <w:tcW w:w="1912"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CellSpacing w:w="0" w:type="dxa"/>
        </w:trPr>
        <w:tc>
          <w:tcPr>
            <w:tcW w:w="2622"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100-500</w:t>
            </w:r>
          </w:p>
        </w:tc>
        <w:tc>
          <w:tcPr>
            <w:tcW w:w="1978"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1.1%</w:t>
            </w:r>
          </w:p>
        </w:tc>
        <w:tc>
          <w:tcPr>
            <w:tcW w:w="2046"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0.8%</w:t>
            </w:r>
          </w:p>
        </w:tc>
        <w:tc>
          <w:tcPr>
            <w:tcW w:w="1912" w:type="dxa"/>
            <w:vAlign w:val="center"/>
          </w:tcPr>
          <w:p>
            <w:pPr>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CellSpacing w:w="0" w:type="dxa"/>
        </w:trPr>
        <w:tc>
          <w:tcPr>
            <w:tcW w:w="2622"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500-1000</w:t>
            </w:r>
          </w:p>
        </w:tc>
        <w:tc>
          <w:tcPr>
            <w:tcW w:w="1978"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0.8%</w:t>
            </w:r>
          </w:p>
        </w:tc>
        <w:tc>
          <w:tcPr>
            <w:tcW w:w="2046"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0.45%</w:t>
            </w:r>
          </w:p>
        </w:tc>
        <w:tc>
          <w:tcPr>
            <w:tcW w:w="1912"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CellSpacing w:w="0" w:type="dxa"/>
        </w:trPr>
        <w:tc>
          <w:tcPr>
            <w:tcW w:w="2622"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1000-5000</w:t>
            </w:r>
          </w:p>
        </w:tc>
        <w:tc>
          <w:tcPr>
            <w:tcW w:w="1978"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0.5%</w:t>
            </w:r>
          </w:p>
        </w:tc>
        <w:tc>
          <w:tcPr>
            <w:tcW w:w="2046"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0.25%</w:t>
            </w:r>
          </w:p>
        </w:tc>
        <w:tc>
          <w:tcPr>
            <w:tcW w:w="1912"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CellSpacing w:w="0" w:type="dxa"/>
        </w:trPr>
        <w:tc>
          <w:tcPr>
            <w:tcW w:w="2622"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5000-10000</w:t>
            </w:r>
          </w:p>
        </w:tc>
        <w:tc>
          <w:tcPr>
            <w:tcW w:w="1978"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0.25%</w:t>
            </w:r>
          </w:p>
        </w:tc>
        <w:tc>
          <w:tcPr>
            <w:tcW w:w="2046"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0.1%</w:t>
            </w:r>
          </w:p>
        </w:tc>
        <w:tc>
          <w:tcPr>
            <w:tcW w:w="1912"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CellSpacing w:w="0" w:type="dxa"/>
        </w:trPr>
        <w:tc>
          <w:tcPr>
            <w:tcW w:w="2622"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10000-100000</w:t>
            </w:r>
          </w:p>
        </w:tc>
        <w:tc>
          <w:tcPr>
            <w:tcW w:w="1978"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0.05%</w:t>
            </w:r>
          </w:p>
        </w:tc>
        <w:tc>
          <w:tcPr>
            <w:tcW w:w="2046"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0.05%</w:t>
            </w:r>
          </w:p>
        </w:tc>
        <w:tc>
          <w:tcPr>
            <w:tcW w:w="1912" w:type="dxa"/>
            <w:vAlign w:val="center"/>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CellSpacing w:w="0" w:type="dxa"/>
        </w:trPr>
        <w:tc>
          <w:tcPr>
            <w:tcW w:w="2622" w:type="dxa"/>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100000以上</w:t>
            </w:r>
          </w:p>
        </w:tc>
        <w:tc>
          <w:tcPr>
            <w:tcW w:w="1978" w:type="dxa"/>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0.01%</w:t>
            </w:r>
          </w:p>
        </w:tc>
        <w:tc>
          <w:tcPr>
            <w:tcW w:w="2046" w:type="dxa"/>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0.01%</w:t>
            </w:r>
          </w:p>
        </w:tc>
        <w:tc>
          <w:tcPr>
            <w:tcW w:w="1912" w:type="dxa"/>
          </w:tcPr>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0.01%</w:t>
            </w:r>
          </w:p>
        </w:tc>
      </w:tr>
    </w:tbl>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28.4招标代理服务费不在报价中单列。</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28.5招标代理服务费以转账或现金的形式支付，银行账号另行通知。</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137" w:name="_Toc9092"/>
      <w:bookmarkStart w:id="138" w:name="_Toc466541023"/>
      <w:bookmarkStart w:id="139" w:name="_Toc15198"/>
      <w:r>
        <w:rPr>
          <w:rFonts w:hint="eastAsia" w:ascii="仿宋_GB2312" w:hAnsi="仿宋_GB2312" w:eastAsia="仿宋_GB2312" w:cs="仿宋_GB2312"/>
          <w:b/>
          <w:bCs/>
          <w:sz w:val="24"/>
          <w:highlight w:val="none"/>
        </w:rPr>
        <w:t>29.适用法律</w:t>
      </w:r>
      <w:bookmarkEnd w:id="137"/>
      <w:bookmarkEnd w:id="138"/>
      <w:bookmarkEnd w:id="139"/>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29.1采购代理机构、采购人及供应商进行的本次政府采购活动适用《中华人民共和国政府采购法》及其实施条例、《政府采购竞争性磋商采购方式管理暂行办法》等及其配套的法规、规章、政策。</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140" w:name="_Toc16283"/>
      <w:bookmarkStart w:id="141" w:name="_Toc466541024"/>
      <w:bookmarkStart w:id="142" w:name="_Toc26067"/>
      <w:r>
        <w:rPr>
          <w:rFonts w:hint="eastAsia" w:ascii="仿宋_GB2312" w:hAnsi="仿宋_GB2312" w:eastAsia="仿宋_GB2312" w:cs="仿宋_GB2312"/>
          <w:b/>
          <w:bCs/>
          <w:sz w:val="24"/>
          <w:highlight w:val="none"/>
        </w:rPr>
        <w:t>30.需要落实的政府采购政策</w:t>
      </w:r>
      <w:bookmarkEnd w:id="140"/>
    </w:p>
    <w:p>
      <w:pPr>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30.1《政府采购促进中小企业发展暂行办法》（财库〔2011〕181号）</w:t>
      </w:r>
    </w:p>
    <w:p>
      <w:pPr>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30.2《关于政府采购支持监狱企业发展有关问题的通知》(财库〔2014〕68号)</w:t>
      </w:r>
    </w:p>
    <w:p>
      <w:pPr>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30.3《关于促进残疾人就业政府采购政策的通知》（财库〔2017〕141号)</w:t>
      </w:r>
    </w:p>
    <w:p>
      <w:pPr>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30.4《广东省财政厅 广东省发展和改革委员会 广东省生态环境厅广东省市场监督管理局 &lt;转发财政部 发展改革委 生态环境部 市场监管总局关于调整优化节能产品 环境标志产品政府采购执行机制的通知&gt; 》（粤财采购〔2019〕1号）</w:t>
      </w:r>
    </w:p>
    <w:p>
      <w:pPr>
        <w:spacing w:line="560" w:lineRule="exact"/>
        <w:ind w:firstLine="480" w:firstLineChars="200"/>
        <w:rPr>
          <w:rFonts w:hint="eastAsia"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30.4.1节能产品、环境标志产品政府采购的具体落实措施：</w:t>
      </w:r>
      <w:r>
        <w:rPr>
          <w:rFonts w:hint="eastAsia" w:ascii="仿宋_GB2312" w:hAnsi="仿宋_GB2312" w:eastAsia="仿宋_GB2312" w:cs="仿宋_GB2312"/>
          <w:sz w:val="24"/>
          <w:highlight w:val="none"/>
          <w:u w:val="single"/>
        </w:rPr>
        <w:t>（详见磋商须知前附表）</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143" w:name="_Toc3665"/>
      <w:r>
        <w:rPr>
          <w:rFonts w:hint="eastAsia" w:ascii="仿宋_GB2312" w:hAnsi="仿宋_GB2312" w:eastAsia="仿宋_GB2312" w:cs="仿宋_GB2312"/>
          <w:b/>
          <w:bCs/>
          <w:sz w:val="24"/>
          <w:highlight w:val="none"/>
        </w:rPr>
        <w:t>31.关于多家代理商代理一家制造商的产品参加磋商</w:t>
      </w:r>
      <w:bookmarkEnd w:id="143"/>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highlight w:val="none"/>
        </w:rPr>
        <w:t>31.1根基国际惯例以及《政府采购法》的立法精神，公开竞争是政府采购的基石，如同一品牌同一型号产品</w:t>
      </w:r>
      <w:r>
        <w:rPr>
          <w:rFonts w:hint="eastAsia" w:ascii="仿宋_GB2312" w:hAnsi="仿宋_GB2312" w:eastAsia="仿宋_GB2312" w:cs="仿宋_GB2312"/>
          <w:sz w:val="24"/>
          <w:szCs w:val="24"/>
          <w:highlight w:val="none"/>
        </w:rPr>
        <w:t>（非单一产品采购的，以核心产品为准）</w:t>
      </w:r>
      <w:r>
        <w:rPr>
          <w:rFonts w:hint="eastAsia" w:ascii="仿宋_GB2312" w:hAnsi="仿宋_GB2312" w:eastAsia="仿宋_GB2312" w:cs="仿宋_GB2312"/>
          <w:sz w:val="24"/>
          <w:highlight w:val="none"/>
        </w:rPr>
        <w:t>出现多个响应供应商的现象，在保留通过资格性和符合性审查的所有供应商参与磋商和综合</w:t>
      </w:r>
      <w:r>
        <w:rPr>
          <w:rFonts w:hint="eastAsia" w:ascii="仿宋_GB2312" w:hAnsi="仿宋_GB2312" w:eastAsia="仿宋_GB2312" w:cs="仿宋_GB2312"/>
          <w:sz w:val="24"/>
          <w:szCs w:val="24"/>
          <w:highlight w:val="none"/>
        </w:rPr>
        <w:t>评审的前提下，所有供应商递交最终报价后，</w:t>
      </w:r>
      <w:r>
        <w:rPr>
          <w:rFonts w:hint="eastAsia" w:ascii="仿宋_GB2312" w:hAnsi="仿宋_GB2312" w:eastAsia="仿宋_GB2312" w:cs="仿宋_GB2312"/>
          <w:sz w:val="24"/>
          <w:highlight w:val="none"/>
        </w:rPr>
        <w:t>计算实质性响应供应商数量时只作为一个供应商计算，</w:t>
      </w:r>
      <w:r>
        <w:rPr>
          <w:rFonts w:hint="eastAsia" w:ascii="仿宋_GB2312" w:hAnsi="仿宋_GB2312" w:eastAsia="仿宋_GB2312" w:cs="仿宋_GB2312"/>
          <w:sz w:val="24"/>
          <w:szCs w:val="24"/>
          <w:highlight w:val="none"/>
        </w:rPr>
        <w:t>综合得分最高的同品牌同型号供应商获得成交候选人的推荐资格；评审得分相同的，由采购人或者采购人委托磋商小组采取随机抽取方式确定。</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144" w:name="_Toc12584"/>
      <w:r>
        <w:rPr>
          <w:rFonts w:hint="eastAsia" w:ascii="仿宋_GB2312" w:hAnsi="仿宋_GB2312" w:eastAsia="仿宋_GB2312" w:cs="仿宋_GB2312"/>
          <w:b/>
          <w:bCs/>
          <w:sz w:val="24"/>
          <w:highlight w:val="none"/>
        </w:rPr>
        <w:t>32.项目终止的情形</w:t>
      </w:r>
      <w:bookmarkEnd w:id="144"/>
    </w:p>
    <w:p>
      <w:pPr>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32.1在采购过程中出现下列情形之一的，竞争性磋商采购活动终止：</w:t>
      </w:r>
    </w:p>
    <w:p>
      <w:pPr>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（1）因情况变化，不再符合规定的竞争性磋商采购方式适用情形的；</w:t>
      </w:r>
    </w:p>
    <w:p>
      <w:pPr>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（2）出现影响采购公正的违法、违规行为的；</w:t>
      </w:r>
    </w:p>
    <w:p>
      <w:pPr>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（3）除市场竞争不充分的科研项目，以及需要扶持的科技成果转化项目外，在采购过程中符合要求的供应商或者报价未超过采购预算的供应商不足3家的。</w:t>
      </w:r>
    </w:p>
    <w:p>
      <w:pPr>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32.2根据《财政部关于政府采购竞争性磋商采购方式管理暂行办法有关问题的补充通知》，采用竞争性磋商采购方式采购的政府购买服务项目（含政府和社会资本合作项目），在采购过程中符合要求的供应商（社会资本）只有2家的，竞争性磋商采购活动可以继续进行。</w:t>
      </w:r>
    </w:p>
    <w:p>
      <w:pPr>
        <w:spacing w:line="560" w:lineRule="exact"/>
        <w:ind w:firstLine="482" w:firstLineChars="200"/>
        <w:outlineLvl w:val="2"/>
        <w:rPr>
          <w:rFonts w:hint="eastAsia" w:ascii="仿宋_GB2312" w:hAnsi="仿宋_GB2312" w:eastAsia="仿宋_GB2312" w:cs="仿宋_GB2312"/>
          <w:b/>
          <w:bCs/>
          <w:sz w:val="24"/>
          <w:highlight w:val="none"/>
        </w:rPr>
      </w:pPr>
      <w:bookmarkStart w:id="145" w:name="_Toc29675"/>
      <w:r>
        <w:rPr>
          <w:rFonts w:hint="eastAsia" w:ascii="仿宋_GB2312" w:hAnsi="仿宋_GB2312" w:eastAsia="仿宋_GB2312" w:cs="仿宋_GB2312"/>
          <w:b/>
          <w:bCs/>
          <w:sz w:val="24"/>
          <w:highlight w:val="none"/>
        </w:rPr>
        <w:t>33.磋商文件解释权</w:t>
      </w:r>
      <w:bookmarkEnd w:id="141"/>
      <w:bookmarkEnd w:id="142"/>
      <w:bookmarkEnd w:id="145"/>
    </w:p>
    <w:p>
      <w:pPr>
        <w:pStyle w:val="32"/>
        <w:spacing w:line="560" w:lineRule="exact"/>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33.1本磋商文件解释权属采购代理机构。</w:t>
      </w:r>
    </w:p>
    <w:p>
      <w:pPr>
        <w:spacing w:line="720" w:lineRule="auto"/>
        <w:rPr>
          <w:rFonts w:hint="eastAsia" w:ascii="仿宋_GB2312" w:hAnsi="仿宋_GB2312" w:eastAsia="仿宋_GB2312" w:cs="仿宋_GB2312"/>
          <w:b/>
          <w:bCs/>
          <w:sz w:val="32"/>
          <w:szCs w:val="32"/>
          <w:highlight w:val="none"/>
        </w:rPr>
        <w:sectPr>
          <w:headerReference r:id="rId10" w:type="default"/>
          <w:pgSz w:w="11906" w:h="16838"/>
          <w:pgMar w:top="1440" w:right="1558" w:bottom="1440" w:left="1800" w:header="1077" w:footer="1020" w:gutter="0"/>
          <w:cols w:space="0" w:num="1"/>
          <w:docGrid w:linePitch="312" w:charSpace="0"/>
        </w:sectPr>
      </w:pPr>
    </w:p>
    <w:p>
      <w:pPr>
        <w:pStyle w:val="3"/>
        <w:rPr>
          <w:rFonts w:hint="eastAsia" w:ascii="仿宋_GB2312" w:hAnsi="仿宋_GB2312" w:eastAsia="仿宋_GB2312" w:cs="仿宋_GB2312"/>
          <w:highlight w:val="none"/>
        </w:rPr>
      </w:pPr>
      <w:bookmarkStart w:id="146" w:name="_Toc28541"/>
      <w:bookmarkStart w:id="147" w:name="_Toc24892"/>
      <w:r>
        <w:rPr>
          <w:rFonts w:hint="eastAsia" w:ascii="仿宋_GB2312" w:hAnsi="仿宋_GB2312" w:eastAsia="仿宋_GB2312" w:cs="仿宋_GB2312"/>
          <w:highlight w:val="none"/>
        </w:rPr>
        <w:t xml:space="preserve">第四章 </w:t>
      </w:r>
      <w:bookmarkEnd w:id="146"/>
      <w:r>
        <w:rPr>
          <w:rFonts w:hint="eastAsia" w:ascii="仿宋_GB2312" w:hAnsi="仿宋_GB2312" w:eastAsia="仿宋_GB2312" w:cs="仿宋_GB2312"/>
          <w:highlight w:val="none"/>
        </w:rPr>
        <w:t>磋商、评审、成交</w:t>
      </w:r>
      <w:bookmarkEnd w:id="147"/>
    </w:p>
    <w:p>
      <w:pPr>
        <w:spacing w:line="600" w:lineRule="exact"/>
        <w:outlineLvl w:val="1"/>
        <w:rPr>
          <w:rFonts w:hint="eastAsia" w:ascii="仿宋_GB2312" w:hAnsi="仿宋_GB2312" w:eastAsia="仿宋_GB2312" w:cs="仿宋_GB2312"/>
          <w:b/>
          <w:bCs/>
          <w:sz w:val="24"/>
          <w:highlight w:val="none"/>
        </w:rPr>
      </w:pPr>
      <w:bookmarkStart w:id="148" w:name="_Toc15055"/>
      <w:bookmarkStart w:id="149" w:name="_Toc4651"/>
      <w:r>
        <w:rPr>
          <w:rFonts w:hint="eastAsia" w:ascii="仿宋_GB2312" w:hAnsi="仿宋_GB2312" w:eastAsia="仿宋_GB2312" w:cs="仿宋_GB2312"/>
          <w:b/>
          <w:bCs/>
          <w:sz w:val="24"/>
          <w:highlight w:val="none"/>
        </w:rPr>
        <w:t>一、</w:t>
      </w:r>
      <w:bookmarkEnd w:id="148"/>
      <w:r>
        <w:rPr>
          <w:rFonts w:hint="eastAsia" w:ascii="仿宋_GB2312" w:hAnsi="仿宋_GB2312" w:eastAsia="仿宋_GB2312" w:cs="仿宋_GB2312"/>
          <w:b/>
          <w:bCs/>
          <w:sz w:val="24"/>
          <w:highlight w:val="none"/>
        </w:rPr>
        <w:t>首次报价</w:t>
      </w:r>
      <w:bookmarkEnd w:id="149"/>
    </w:p>
    <w:p>
      <w:pPr>
        <w:pStyle w:val="32"/>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1.供应商的首次报价于提交首次响应文件截止时间公开开启，本环节由采购代理机构主持，采购人、供应商和有关方面代表参加。</w:t>
      </w:r>
    </w:p>
    <w:p>
      <w:pPr>
        <w:pStyle w:val="32"/>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2.按磋商文件规定提交撤回通知的响应文件不予开封，并退回给供应商。</w:t>
      </w:r>
    </w:p>
    <w:p>
      <w:pPr>
        <w:pStyle w:val="32"/>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3.供应商必须由法定代表人或其授权代表（具有法定代表人签署的授权书）携带身份证明原件参加，签到证明其出席本次会议。若法定代表人或其授权代表未出席开标会，视为认可首次唱价结果。</w:t>
      </w:r>
    </w:p>
    <w:p>
      <w:pPr>
        <w:pStyle w:val="32"/>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4.开启程序</w:t>
      </w:r>
    </w:p>
    <w:p>
      <w:pPr>
        <w:pStyle w:val="34"/>
        <w:ind w:firstLine="461"/>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4.1响应文件的密封情况由采购代理机构委托的公证机构（人员）代表检查,或者由供应商推选的代表检查响应文件的密封情况。</w:t>
      </w:r>
    </w:p>
    <w:p>
      <w:pPr>
        <w:pStyle w:val="34"/>
        <w:ind w:firstLine="461"/>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4.2经确认无误后，由有关工作人员当众拆封首次报价信封，宣读供应商名称、首次报价和响应文件的其他主要内容。</w:t>
      </w:r>
    </w:p>
    <w:p>
      <w:pPr>
        <w:pStyle w:val="34"/>
        <w:ind w:firstLine="461"/>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4.3如响应文件中首次报价一览表内容与响应文件中报价明细表内容不一致的，以首次报价一览表为准。</w:t>
      </w:r>
    </w:p>
    <w:p>
      <w:pPr>
        <w:pStyle w:val="32"/>
        <w:numPr>
          <w:ilvl w:val="0"/>
          <w:numId w:val="15"/>
        </w:numPr>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4采购代理机构对唱价全过程进行记录，唱价记录由各供应商代表签字确认，并存档备查。</w:t>
      </w:r>
    </w:p>
    <w:p>
      <w:pPr>
        <w:spacing w:line="600" w:lineRule="exact"/>
        <w:outlineLvl w:val="1"/>
        <w:rPr>
          <w:rFonts w:hint="eastAsia" w:ascii="仿宋_GB2312" w:hAnsi="仿宋_GB2312" w:eastAsia="仿宋_GB2312" w:cs="仿宋_GB2312"/>
          <w:b/>
          <w:bCs/>
          <w:sz w:val="24"/>
          <w:highlight w:val="none"/>
        </w:rPr>
      </w:pPr>
      <w:bookmarkStart w:id="150" w:name="_Toc21909"/>
      <w:bookmarkStart w:id="151" w:name="_Toc466541008"/>
      <w:bookmarkStart w:id="152" w:name="_Toc1966"/>
      <w:r>
        <w:rPr>
          <w:rFonts w:hint="eastAsia" w:ascii="仿宋_GB2312" w:hAnsi="仿宋_GB2312" w:eastAsia="仿宋_GB2312" w:cs="仿宋_GB2312"/>
          <w:b/>
          <w:bCs/>
          <w:sz w:val="24"/>
          <w:highlight w:val="none"/>
        </w:rPr>
        <w:t>二、磋商小组</w:t>
      </w:r>
      <w:bookmarkEnd w:id="150"/>
      <w:bookmarkEnd w:id="151"/>
      <w:bookmarkEnd w:id="152"/>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5.磋商小组</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5.1本次采购依法组建磋商小组。</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5.2磋商小组所有成员集中对响应文件进行审查，与每个供应商分别进行先商务技术条件后价格的磋商，本次磋商采用一轮磋商，两次报价形式进行。磋商小组也可视实际情况确定磋商轮次（报价最多不超过3轮），并提交评审报告及推荐成交供应商。</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5.3磋商专家（不含采购人代表）有下列情形之一的，受到邀请应主动提出回避，采购当事人也可以要求该磋商专家回避：</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5.3.1参加采购活动前三年内,与供应商存在劳动关系,或者担任过供应商的董事、监事,或者是供应商的控股股东或实际控制人;</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5.3.2与供应商的法定代表人或者负责人有夫妻、直系血亲、三代以内旁系血亲或者近姻亲关系;</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5.3.3与供应商有其他可能影响政府采购活动公平、公正进行的关系。</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5.3.4就该采购项目磋商文件征询过意见的。</w:t>
      </w:r>
    </w:p>
    <w:p>
      <w:pPr>
        <w:spacing w:line="600" w:lineRule="exact"/>
        <w:outlineLvl w:val="1"/>
        <w:rPr>
          <w:rFonts w:hint="eastAsia" w:ascii="仿宋_GB2312" w:hAnsi="仿宋_GB2312" w:eastAsia="仿宋_GB2312" w:cs="仿宋_GB2312"/>
          <w:b/>
          <w:bCs/>
          <w:sz w:val="24"/>
          <w:highlight w:val="none"/>
        </w:rPr>
      </w:pPr>
      <w:bookmarkStart w:id="153" w:name="_Toc30052"/>
      <w:r>
        <w:rPr>
          <w:rFonts w:hint="eastAsia" w:ascii="仿宋_GB2312" w:hAnsi="仿宋_GB2312" w:eastAsia="仿宋_GB2312" w:cs="仿宋_GB2312"/>
          <w:b/>
          <w:bCs/>
          <w:sz w:val="24"/>
          <w:highlight w:val="none"/>
        </w:rPr>
        <w:t>三、评审程序</w:t>
      </w:r>
      <w:bookmarkEnd w:id="153"/>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6.确定磋商次序</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按照供应商签到的先后顺序作为磋商的先后顺序。</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7.磋商小组确认磋商文件</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8.资格性、符合性评审</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8.1磋商小组对每个供应商的响应文件进行初步审阅。资格性、符合性评审是审查响应文件是否对磋商文件作出实质性的响应，评审细则详见《资格性审查表》（附件一）和《符合性审查表》（附件二）。对资格性或符合性审查不通过的供应商，由磋商小组或采购人代表将集体意见现场及时告知该供应商，其响应文件作无效处理，不参与磋商。</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8.2有下列情形之一的，视为供应商串通磋商，其响应无效：</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8.2.1不同供应商的响应文件由同一单位或者个人编制；</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8.2.2不同供应商委托同一单位或者个人办理磋商事宜；</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8.2.3不同供应商的响应文件载明的项目管理成员或者联系人员为同一人；</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8.2.4不同供应商的响应文件异常一致或者报价呈规律性差异；</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8.2.5不同供应商的响应文件相互混装；</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8.2.6不同供应商的磋商保证金从同一单位或者个人的账户转出。</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8.3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8.4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9.磋商</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9.1磋商文件未发生实质性变动的：</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磋商小组集中与每个供应商分别进行磋商，并形成磋商纪要。磋商的内容主要是对响应文件的澄清、修正、补充、确认等。供应商磋商结束后，填写《磋商纪要》，在该文件上注明最后报价及有关承诺。《磋商纪要》是响应文件的有效组成部分。如磋商小组没有对磋商文件作实质性变动增加新的需求，后一轮报价不得高于前一轮报价，否则将按响应无效处理。</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9.2磋商文件发生实质性变动的：</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9.2.1书面通知变更内容</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在磋商过程中，磋商小组可以根据磋商文件和磋商情况实质性变动采购需求中的技术、服务要求以及合同草案条款，但不得变动磋商文件中的其他内容。实质性变动的内容，经采购人代表确认后，由磋商小组书面通知所有供应商。对磋商文件作出的实质性变动是磋商文件的有效组成部分。</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9.2.2磋商</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磋商小组集中与接受磋商文件变更的每个供应商分别进行磋商，并形成磋商纪要。磋商的内容主要是对响应文件的澄清、修正、补充、确认等。不接受磋商文件变更的供应商，视为自动退出磋商，其响应文件作无效处理。</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9.2.3重新提交响应文件（含报价）</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供应商应当按照磋商文件的变动情况和磋商小组的要求重新提交响应文件（指磋商结束后，在规定时间内填写《磋商纪要》，在该文件上注明最后报价及有关承诺，并提交）。最终报价时间视磋商进程由磋商小组决定。《磋商纪要》是响应文件的有效组成部分，须由其法定代表人或授权代表签字或者加盖公章。由授权代表签字的，应当附法定代表人授权书。供应商为自然人的，应当由本人签字并附身份证明。</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若供应商未按《磋商纪要》的要求对相关问题进行响应的，视为非实质性响应磋商文件。</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10.公布最终报价</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除非在磋商中磋商小组调整或修改采购需求内容，否则采购人不接受高于前面轮次磋商报价的最终报价。最终报价内容现场公布。</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11.评审原则和评审方法</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11.1评审原则:磋商小组成员应当按照客观、公正、审慎的原则，根据磋商文件规定的评审程序、评审方法和评审标准进行独立评审。磋商小组将按照规定只对通过资格性、符合性审查的响应文件进行商务、技术、价格部分的综合评审。如各评委结论不一致时，磋商小组的结论以少数服从多数原则确定。</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11.2评审方法：本次采购的评审方法采用综合评分法,即响应文件满足磋商文件全部实质性要求且按评审因素的量化指标评审得分最高的供应商为成交候选供应商的评审方法。</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11.3评审步骤：按照评审程序的规定和依据评分标准,各评委就通过资格性和符合性审查的每个供应商的商务状况、技术状况及其对磋商文件要求的响应情况进行评议和比较，独立评出其商务评分和技术评分。各评委的评分的算术平均值即为该供应商的商务得分和技术得分。然后，评出价格得分。将商务得分、技术得分和价格得分相加得出综合得分（总得分分值按四舍五入原则精确到小数点后两位）。</w:t>
      </w:r>
    </w:p>
    <w:p>
      <w:pPr>
        <w:pStyle w:val="32"/>
        <w:ind w:left="420" w:leftChars="200"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评分总值最高为100分，评分分值（权重）分配如下：</w:t>
      </w:r>
    </w:p>
    <w:tbl>
      <w:tblPr>
        <w:tblStyle w:val="23"/>
        <w:tblW w:w="8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2212"/>
        <w:gridCol w:w="2214"/>
        <w:gridCol w:w="2212"/>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590" w:hRule="atLeast"/>
        </w:trPr>
        <w:tc>
          <w:tcPr>
            <w:tcW w:w="2212" w:type="dxa"/>
            <w:vAlign w:val="center"/>
          </w:tcPr>
          <w:p>
            <w:pPr>
              <w:pStyle w:val="32"/>
              <w:ind w:firstLine="0" w:firstLineChars="0"/>
              <w:jc w:val="center"/>
              <w:rPr>
                <w:rFonts w:hint="eastAsia" w:ascii="仿宋_GB2312" w:hAnsi="仿宋_GB2312" w:eastAsia="仿宋_GB2312" w:cs="仿宋_GB2312"/>
                <w:sz w:val="24"/>
                <w:szCs w:val="24"/>
                <w:highlight w:val="none"/>
              </w:rPr>
            </w:pPr>
            <w:bookmarkStart w:id="154" w:name="OLE_LINK20"/>
            <w:bookmarkEnd w:id="154"/>
            <w:bookmarkStart w:id="155" w:name="OLE_LINK19"/>
            <w:bookmarkEnd w:id="155"/>
            <w:r>
              <w:rPr>
                <w:rFonts w:hint="eastAsia" w:ascii="仿宋_GB2312" w:hAnsi="仿宋_GB2312" w:eastAsia="仿宋_GB2312" w:cs="仿宋_GB2312"/>
                <w:sz w:val="24"/>
                <w:szCs w:val="24"/>
                <w:highlight w:val="none"/>
              </w:rPr>
              <w:t>评分项目</w:t>
            </w:r>
          </w:p>
        </w:tc>
        <w:tc>
          <w:tcPr>
            <w:tcW w:w="2214" w:type="dxa"/>
            <w:vAlign w:val="center"/>
          </w:tcPr>
          <w:p>
            <w:pPr>
              <w:spacing w:line="600" w:lineRule="exact"/>
              <w:jc w:val="center"/>
              <w:rPr>
                <w:rFonts w:hint="eastAsia" w:ascii="仿宋_GB2312" w:hAnsi="仿宋_GB2312" w:eastAsia="仿宋_GB2312" w:cs="仿宋_GB2312"/>
                <w:highlight w:val="none"/>
              </w:rPr>
            </w:pPr>
            <w:r>
              <w:rPr>
                <w:rFonts w:hint="eastAsia" w:ascii="仿宋_GB2312" w:hAnsi="仿宋_GB2312" w:eastAsia="仿宋_GB2312" w:cs="仿宋_GB2312"/>
                <w:sz w:val="24"/>
                <w:highlight w:val="none"/>
              </w:rPr>
              <w:t>商务评分</w:t>
            </w:r>
          </w:p>
        </w:tc>
        <w:tc>
          <w:tcPr>
            <w:tcW w:w="2212" w:type="dxa"/>
            <w:vAlign w:val="center"/>
          </w:tcPr>
          <w:p>
            <w:pPr>
              <w:pStyle w:val="32"/>
              <w:ind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技术评分</w:t>
            </w:r>
          </w:p>
        </w:tc>
        <w:tc>
          <w:tcPr>
            <w:tcW w:w="2210" w:type="dxa"/>
          </w:tcPr>
          <w:p>
            <w:pPr>
              <w:pStyle w:val="32"/>
              <w:ind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价格评分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401" w:hRule="atLeast"/>
        </w:trPr>
        <w:tc>
          <w:tcPr>
            <w:tcW w:w="2212" w:type="dxa"/>
            <w:vAlign w:val="center"/>
          </w:tcPr>
          <w:p>
            <w:pPr>
              <w:pStyle w:val="32"/>
              <w:ind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权重</w:t>
            </w:r>
          </w:p>
        </w:tc>
        <w:tc>
          <w:tcPr>
            <w:tcW w:w="2214" w:type="dxa"/>
            <w:vAlign w:val="center"/>
          </w:tcPr>
          <w:p>
            <w:pPr>
              <w:pStyle w:val="32"/>
              <w:ind w:firstLine="0" w:firstLineChars="0"/>
              <w:jc w:val="center"/>
              <w:rPr>
                <w:rFonts w:hint="eastAsia" w:ascii="仿宋_GB2312" w:hAnsi="仿宋_GB2312" w:eastAsia="仿宋_GB2312" w:cs="仿宋_GB2312"/>
                <w:highlight w:val="none"/>
              </w:rPr>
            </w:pPr>
            <w:r>
              <w:rPr>
                <w:rFonts w:hint="eastAsia" w:ascii="仿宋_GB2312" w:hAnsi="仿宋_GB2312" w:eastAsia="仿宋_GB2312" w:cs="仿宋_GB2312"/>
                <w:sz w:val="24"/>
                <w:szCs w:val="24"/>
                <w:highlight w:val="none"/>
              </w:rPr>
              <w:t>30</w:t>
            </w:r>
          </w:p>
        </w:tc>
        <w:tc>
          <w:tcPr>
            <w:tcW w:w="2212" w:type="dxa"/>
            <w:vAlign w:val="center"/>
          </w:tcPr>
          <w:p>
            <w:pPr>
              <w:pStyle w:val="32"/>
              <w:ind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40</w:t>
            </w:r>
          </w:p>
        </w:tc>
        <w:tc>
          <w:tcPr>
            <w:tcW w:w="2210" w:type="dxa"/>
          </w:tcPr>
          <w:p>
            <w:pPr>
              <w:pStyle w:val="32"/>
              <w:ind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30</w:t>
            </w:r>
          </w:p>
        </w:tc>
      </w:tr>
    </w:tbl>
    <w:p>
      <w:pPr>
        <w:pStyle w:val="32"/>
        <w:ind w:left="420" w:leftChars="200"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供应商综合得分＝技术得分＋商务得分＋价格得分</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11.3.1商务评审</w:t>
      </w:r>
    </w:p>
    <w:p>
      <w:pPr>
        <w:pStyle w:val="32"/>
        <w:ind w:left="420" w:leftChars="200"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商务评分项明细及各单项所占权重详见附表三：《商务评审表》</w:t>
      </w:r>
    </w:p>
    <w:p>
      <w:pPr>
        <w:pStyle w:val="32"/>
        <w:ind w:left="420" w:leftChars="200"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11.3.2技术评审</w:t>
      </w:r>
    </w:p>
    <w:p>
      <w:pPr>
        <w:pStyle w:val="32"/>
        <w:ind w:left="420" w:leftChars="200"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技术评分项明细及各单项所占权重详见附表四：《技术评审表》</w:t>
      </w:r>
    </w:p>
    <w:p>
      <w:pPr>
        <w:pStyle w:val="32"/>
        <w:ind w:left="420" w:leftChars="200"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11.3.3价格评审</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价格得分的计算:综合评分法中的价格分统一采用低价优先法计算，即满足磋商文件要求且最后报价最低的供应商的价格为磋商基准价，其价格分为满分。其他供应商的价格分统一按照下列公式计算：</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磋商报价得分=（磋商基准价/最后磋商报价）×价格权值×100</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项目评审过程中，不得去掉最后报价中的最高报价和最低报价。</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磋商基准价、最后磋商报价：按磋商文件规定条款的原则校核修正后的价格；</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供应商不得以低于成本的报价恶意竞争。如果磋商小组发现供应商的报价明显低于其他供应商报价，使得其报价可能低于其个别成本的，将要求该供应商作书面说明并提供相关证明材料。供应商不能合理说明或不能提供相关证明材料的，磋商小组将认定该供应商以低于成本报价恶意竞争，其响应文件作无效响应处理。</w:t>
      </w:r>
    </w:p>
    <w:p>
      <w:pPr>
        <w:spacing w:line="600" w:lineRule="exact"/>
        <w:outlineLvl w:val="1"/>
        <w:rPr>
          <w:rFonts w:hint="eastAsia" w:ascii="仿宋_GB2312" w:hAnsi="仿宋_GB2312" w:eastAsia="仿宋_GB2312" w:cs="仿宋_GB2312"/>
          <w:b/>
          <w:bCs/>
          <w:sz w:val="24"/>
          <w:highlight w:val="none"/>
        </w:rPr>
      </w:pPr>
      <w:bookmarkStart w:id="156" w:name="_Toc19444"/>
      <w:r>
        <w:rPr>
          <w:rFonts w:hint="eastAsia" w:ascii="仿宋_GB2312" w:hAnsi="仿宋_GB2312" w:eastAsia="仿宋_GB2312" w:cs="仿宋_GB2312"/>
          <w:b/>
          <w:bCs/>
          <w:sz w:val="24"/>
          <w:highlight w:val="none"/>
        </w:rPr>
        <w:t>四、价格修正原则</w:t>
      </w:r>
      <w:bookmarkEnd w:id="156"/>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12.报价错误的处理原则：</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12.1响应文件的大写金额和小写金额不一致的，以大写金额为准；总价金额与按单价计算汇总金额不一致的，以单价计算汇总金额为准；单价金额小数点有明显错位的，应以总价为准，并修改单价；</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12.2对磋商货物或服务的关键、主要内容，供应商报价漏项的，按未非实质性响应磋商文件作无效响应处理；</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12.3对磋商货物或服务的非关键、非主要内容，供应商报价漏项的，被视为包含在报价中。如果供应商不接受对其错误的更正，其响应文件将被拒绝。</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13.对小型或微型企业磋商的扶持（监狱企业、残疾人福利单位视同小型、微型企业）：</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13.1供应商为小型或微型企业（包括成员全部为小型或微型企业的联合体）时，报价给予6%的价格扣除，即：评分价格＝核实价×(1－6%）；</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13.2本条款所称小型或微型企业应当符合以下条件：符合小型或微型企业划分标准，提供本企业制造的货物或者提供其他小型或微型企业制造的货物；</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13.3供应商认为其为小型或微型企业的应提交《中小企业声明函》，并明确企业类型，并提供最近年度经审计的财务报表，否则评审时不能享受相应的价格扣除。</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13.4监狱企业视同小型、微型企业，享受评审中价格扣除的政府采购政策。监狱企业参加政府采购活动时，应当提供由省级以上监狱管理局、戒毒管理局(含新疆生产建设兵团)出具的属于监狱企业的证明文件；</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13.5残疾人福利单位视同小型、微型企业，享受评审中价格扣除的政府采购政策。残疾人福利单位参加政府采购活动时，应当提供《残疾人福利性单位声明函》</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13.6大中型企业与小型、微型、监狱企业或残疾人福利单位组成联合体共同参加非专门面向中小企业的政府采购活动。联合协议中约定，小型、微型、监狱企业或残疾人福利单位的协议合同金额占到联合体协议合同总额30%以上的，其价格给予2%的扣除，即：评分价格＝核实价×(100%－2%）=联合体各方均为小型、微型、监狱企业或残疾人福利单位的按照13.1条规定给予其价格扣除。</w:t>
      </w:r>
    </w:p>
    <w:p>
      <w:pPr>
        <w:spacing w:line="600" w:lineRule="exact"/>
        <w:outlineLvl w:val="1"/>
        <w:rPr>
          <w:rFonts w:hint="eastAsia" w:ascii="仿宋_GB2312" w:hAnsi="仿宋_GB2312" w:eastAsia="仿宋_GB2312" w:cs="仿宋_GB2312"/>
          <w:b/>
          <w:bCs/>
          <w:sz w:val="24"/>
          <w:highlight w:val="none"/>
        </w:rPr>
      </w:pPr>
      <w:bookmarkStart w:id="157" w:name="_Toc2530"/>
      <w:bookmarkStart w:id="158" w:name="_Toc11778"/>
      <w:r>
        <w:rPr>
          <w:rFonts w:hint="eastAsia" w:ascii="仿宋_GB2312" w:hAnsi="仿宋_GB2312" w:eastAsia="仿宋_GB2312" w:cs="仿宋_GB2312"/>
          <w:b/>
          <w:bCs/>
          <w:sz w:val="24"/>
          <w:highlight w:val="none"/>
        </w:rPr>
        <w:t>五、成交供应商的确定</w:t>
      </w:r>
      <w:bookmarkEnd w:id="157"/>
      <w:bookmarkEnd w:id="158"/>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14.推荐成交候选人</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14.1磋商小组根据综合评分情况，按照评审得分由高到低顺序推荐3名成交候选供应商，并编写评审报告。</w:t>
      </w:r>
      <w:r>
        <w:rPr>
          <w:rFonts w:hint="eastAsia" w:ascii="仿宋_GB2312" w:hAnsi="仿宋_GB2312" w:eastAsia="仿宋_GB2312" w:cs="仿宋_GB2312"/>
          <w:sz w:val="24"/>
          <w:highlight w:val="none"/>
        </w:rPr>
        <w:t>市场竞争不充分的科研项目、需要扶持的科技成果转化项目</w:t>
      </w:r>
      <w:r>
        <w:rPr>
          <w:rFonts w:hint="eastAsia" w:ascii="仿宋_GB2312" w:hAnsi="仿宋_GB2312" w:eastAsia="仿宋_GB2312" w:cs="仿宋_GB2312"/>
          <w:sz w:val="24"/>
          <w:szCs w:val="24"/>
          <w:highlight w:val="none"/>
        </w:rPr>
        <w:t>、政府购买服务项目（含政府和社会资本合作项目）可以推荐2家成交候选供应商。评审得分相同的，按照最后报价由低到高的顺序推荐。评审得分且最后报价相同的，按照技术指标优劣顺序推荐。</w:t>
      </w:r>
    </w:p>
    <w:p>
      <w:pPr>
        <w:pStyle w:val="32"/>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14.2根据磋商小组的评审结果，采购人按照排序由高到低的原则确定成交供应商，也可以事先授权磋商小组直接确定成交供应商。</w:t>
      </w:r>
    </w:p>
    <w:p>
      <w:pPr>
        <w:pStyle w:val="7"/>
        <w:rPr>
          <w:rFonts w:hint="eastAsia" w:ascii="仿宋_GB2312" w:hAnsi="仿宋_GB2312" w:eastAsia="仿宋_GB2312" w:cs="仿宋_GB2312"/>
          <w:highlight w:val="none"/>
        </w:rPr>
      </w:pPr>
      <w:r>
        <w:rPr>
          <w:rFonts w:hint="eastAsia" w:ascii="仿宋_GB2312" w:hAnsi="仿宋_GB2312" w:eastAsia="仿宋_GB2312" w:cs="仿宋_GB2312"/>
          <w:highlight w:val="none"/>
        </w:rPr>
        <w:br w:type="page"/>
      </w:r>
    </w:p>
    <w:p>
      <w:pPr>
        <w:pStyle w:val="32"/>
        <w:snapToGrid w:val="0"/>
        <w:ind w:firstLine="0" w:firstLineChars="0"/>
        <w:jc w:val="center"/>
        <w:outlineLvl w:val="1"/>
        <w:rPr>
          <w:rStyle w:val="26"/>
          <w:rFonts w:hint="eastAsia" w:ascii="仿宋_GB2312" w:hAnsi="仿宋_GB2312" w:eastAsia="仿宋_GB2312" w:cs="仿宋_GB2312"/>
          <w:b/>
          <w:bCs/>
          <w:sz w:val="24"/>
          <w:szCs w:val="24"/>
          <w:highlight w:val="none"/>
        </w:rPr>
      </w:pPr>
      <w:bookmarkStart w:id="159" w:name="_Toc26922"/>
      <w:bookmarkStart w:id="160" w:name="_Toc3503"/>
      <w:r>
        <w:rPr>
          <w:rFonts w:hint="eastAsia" w:ascii="仿宋_GB2312" w:hAnsi="仿宋_GB2312" w:eastAsia="仿宋_GB2312" w:cs="仿宋_GB2312"/>
          <w:b/>
          <w:bCs/>
          <w:sz w:val="24"/>
          <w:szCs w:val="24"/>
          <w:highlight w:val="none"/>
        </w:rPr>
        <w:t>附表一《资格性审查表》</w:t>
      </w:r>
      <w:bookmarkEnd w:id="159"/>
      <w:bookmarkEnd w:id="160"/>
    </w:p>
    <w:tbl>
      <w:tblPr>
        <w:tblStyle w:val="23"/>
        <w:tblW w:w="86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667"/>
        <w:gridCol w:w="7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559" w:hRule="atLeast"/>
          <w:jc w:val="center"/>
        </w:trPr>
        <w:tc>
          <w:tcPr>
            <w:tcW w:w="667" w:type="dxa"/>
            <w:vAlign w:val="center"/>
          </w:tcPr>
          <w:p>
            <w:pPr>
              <w:adjustRightInd w:val="0"/>
              <w:snapToGrid w:val="0"/>
              <w:spacing w:line="560" w:lineRule="exact"/>
              <w:jc w:val="center"/>
              <w:rPr>
                <w:rStyle w:val="26"/>
                <w:rFonts w:hint="eastAsia" w:ascii="仿宋_GB2312" w:hAnsi="仿宋_GB2312" w:eastAsia="仿宋_GB2312" w:cs="仿宋_GB2312"/>
                <w:sz w:val="24"/>
                <w:highlight w:val="none"/>
              </w:rPr>
            </w:pPr>
            <w:r>
              <w:rPr>
                <w:rStyle w:val="26"/>
                <w:rFonts w:hint="eastAsia" w:ascii="仿宋_GB2312" w:hAnsi="仿宋_GB2312" w:eastAsia="仿宋_GB2312" w:cs="仿宋_GB2312"/>
                <w:sz w:val="24"/>
                <w:highlight w:val="none"/>
              </w:rPr>
              <w:t>序号</w:t>
            </w:r>
          </w:p>
        </w:tc>
        <w:tc>
          <w:tcPr>
            <w:tcW w:w="7937"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Style w:val="26"/>
                <w:rFonts w:hint="eastAsia" w:ascii="仿宋_GB2312" w:hAnsi="仿宋_GB2312" w:eastAsia="仿宋_GB2312" w:cs="仿宋_GB2312"/>
                <w:sz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448" w:hRule="atLeast"/>
          <w:jc w:val="center"/>
        </w:trPr>
        <w:tc>
          <w:tcPr>
            <w:tcW w:w="667" w:type="dxa"/>
            <w:vAlign w:val="center"/>
          </w:tcPr>
          <w:p>
            <w:pPr>
              <w:pStyle w:val="20"/>
              <w:adjustRightInd w:val="0"/>
              <w:snapToGrid w:val="0"/>
              <w:spacing w:before="0" w:after="0"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7937" w:type="dxa"/>
            <w:vAlign w:val="center"/>
          </w:tcPr>
          <w:p>
            <w:pPr>
              <w:pStyle w:val="32"/>
              <w:adjustRightInd w:val="0"/>
              <w:snapToGrid w:val="0"/>
              <w:spacing w:line="560" w:lineRule="exact"/>
              <w:ind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供应商应具备《政府采购法》第二十二条规定的条件,并按供应商资格要求提供相关证明材料。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1383" w:hRule="atLeast"/>
          <w:jc w:val="center"/>
        </w:trPr>
        <w:tc>
          <w:tcPr>
            <w:tcW w:w="667"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w:t>
            </w:r>
          </w:p>
        </w:tc>
        <w:tc>
          <w:tcPr>
            <w:tcW w:w="7937" w:type="dxa"/>
            <w:vAlign w:val="center"/>
          </w:tcPr>
          <w:p>
            <w:pPr>
              <w:pStyle w:val="32"/>
              <w:adjustRightInd w:val="0"/>
              <w:snapToGrid w:val="0"/>
              <w:spacing w:line="560" w:lineRule="exact"/>
              <w:ind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提交响应文件截止日当天在“信用中国”网站（www.creditchina.gov.cn）及中国政府采购网(www.ccgp.gov.cn)查询结果为准，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90" w:hRule="atLeast"/>
          <w:jc w:val="center"/>
        </w:trPr>
        <w:tc>
          <w:tcPr>
            <w:tcW w:w="667"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w:t>
            </w:r>
          </w:p>
        </w:tc>
        <w:tc>
          <w:tcPr>
            <w:tcW w:w="7937" w:type="dxa"/>
            <w:vAlign w:val="center"/>
          </w:tcPr>
          <w:p>
            <w:pPr>
              <w:pStyle w:val="32"/>
              <w:adjustRightInd w:val="0"/>
              <w:snapToGrid w:val="0"/>
              <w:spacing w:line="560" w:lineRule="exact"/>
              <w:ind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无与存在单位负责人为同一人或者存在直接控股、管理关系的其他供应商同时参加本采购项目（包组）磋商。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90" w:hRule="atLeast"/>
          <w:jc w:val="center"/>
        </w:trPr>
        <w:tc>
          <w:tcPr>
            <w:tcW w:w="667"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w:t>
            </w:r>
          </w:p>
        </w:tc>
        <w:tc>
          <w:tcPr>
            <w:tcW w:w="7937" w:type="dxa"/>
            <w:vAlign w:val="center"/>
          </w:tcPr>
          <w:p>
            <w:pPr>
              <w:pStyle w:val="32"/>
              <w:adjustRightInd w:val="0"/>
              <w:snapToGrid w:val="0"/>
              <w:spacing w:line="560" w:lineRule="exact"/>
              <w:ind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供应商未为本项目提供整体设计、规范编制或者项目管理、监理、检测等服务。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90" w:hRule="atLeast"/>
          <w:jc w:val="center"/>
        </w:trPr>
        <w:tc>
          <w:tcPr>
            <w:tcW w:w="667"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w:t>
            </w:r>
          </w:p>
        </w:tc>
        <w:tc>
          <w:tcPr>
            <w:tcW w:w="7937" w:type="dxa"/>
            <w:vAlign w:val="center"/>
          </w:tcPr>
          <w:p>
            <w:pPr>
              <w:pStyle w:val="32"/>
              <w:adjustRightInd w:val="0"/>
              <w:snapToGrid w:val="0"/>
              <w:spacing w:line="560" w:lineRule="exact"/>
              <w:ind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供应商为非联合体磋商。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90" w:hRule="atLeast"/>
          <w:jc w:val="center"/>
        </w:trPr>
        <w:tc>
          <w:tcPr>
            <w:tcW w:w="667"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6</w:t>
            </w:r>
          </w:p>
        </w:tc>
        <w:tc>
          <w:tcPr>
            <w:tcW w:w="7937" w:type="dxa"/>
            <w:vAlign w:val="center"/>
          </w:tcPr>
          <w:p>
            <w:pPr>
              <w:adjustRightInd w:val="0"/>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bCs/>
                <w:sz w:val="24"/>
                <w:highlight w:val="none"/>
              </w:rPr>
              <w:t>已报名并获取本项目磋商文件。</w:t>
            </w:r>
          </w:p>
        </w:tc>
      </w:tr>
    </w:tbl>
    <w:p>
      <w:pPr>
        <w:snapToGrid w:val="0"/>
        <w:spacing w:line="360" w:lineRule="auto"/>
        <w:rPr>
          <w:rFonts w:hint="eastAsia" w:ascii="仿宋_GB2312" w:hAnsi="仿宋_GB2312" w:eastAsia="仿宋_GB2312" w:cs="仿宋_GB2312"/>
          <w:sz w:val="24"/>
          <w:highlight w:val="none"/>
        </w:rPr>
      </w:pPr>
    </w:p>
    <w:p>
      <w:pPr>
        <w:snapToGrid w:val="0"/>
        <w:spacing w:line="360" w:lineRule="auto"/>
        <w:rPr>
          <w:rFonts w:hint="eastAsia" w:ascii="仿宋_GB2312" w:hAnsi="仿宋_GB2312" w:eastAsia="仿宋_GB2312" w:cs="仿宋_GB2312"/>
          <w:sz w:val="24"/>
          <w:highlight w:val="none"/>
        </w:rPr>
      </w:pPr>
      <w:r>
        <w:rPr>
          <w:rFonts w:hint="eastAsia" w:ascii="仿宋_GB2312" w:hAnsi="仿宋_GB2312" w:eastAsia="仿宋_GB2312" w:cs="仿宋_GB2312"/>
          <w:bCs/>
          <w:sz w:val="24"/>
          <w:highlight w:val="none"/>
        </w:rPr>
        <w:t>注：1、供应商资格要求详见第一章磋商邀请函。</w:t>
      </w:r>
      <w:r>
        <w:rPr>
          <w:rFonts w:hint="eastAsia" w:ascii="仿宋_GB2312" w:hAnsi="仿宋_GB2312" w:eastAsia="仿宋_GB2312" w:cs="仿宋_GB2312"/>
          <w:sz w:val="24"/>
          <w:highlight w:val="none"/>
        </w:rPr>
        <w:br w:type="page"/>
      </w:r>
    </w:p>
    <w:p>
      <w:pPr>
        <w:pStyle w:val="32"/>
        <w:snapToGrid w:val="0"/>
        <w:ind w:firstLine="0" w:firstLineChars="0"/>
        <w:jc w:val="center"/>
        <w:outlineLvl w:val="1"/>
        <w:rPr>
          <w:rFonts w:hint="eastAsia" w:ascii="仿宋_GB2312" w:hAnsi="仿宋_GB2312" w:eastAsia="仿宋_GB2312" w:cs="仿宋_GB2312"/>
          <w:b/>
          <w:bCs/>
          <w:sz w:val="24"/>
          <w:szCs w:val="24"/>
          <w:highlight w:val="none"/>
        </w:rPr>
      </w:pPr>
      <w:bookmarkStart w:id="161" w:name="_Toc19007"/>
      <w:bookmarkStart w:id="162" w:name="_Toc9800"/>
      <w:bookmarkStart w:id="163" w:name="_Toc31613"/>
      <w:r>
        <w:rPr>
          <w:rFonts w:hint="eastAsia" w:ascii="仿宋_GB2312" w:hAnsi="仿宋_GB2312" w:eastAsia="仿宋_GB2312" w:cs="仿宋_GB2312"/>
          <w:b/>
          <w:bCs/>
          <w:sz w:val="24"/>
          <w:szCs w:val="24"/>
          <w:highlight w:val="none"/>
        </w:rPr>
        <w:t>附表二《符合性审查表》</w:t>
      </w:r>
      <w:bookmarkEnd w:id="161"/>
      <w:bookmarkEnd w:id="162"/>
    </w:p>
    <w:tbl>
      <w:tblPr>
        <w:tblStyle w:val="23"/>
        <w:tblW w:w="88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645"/>
        <w:gridCol w:w="8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510" w:hRule="atLeast"/>
          <w:jc w:val="center"/>
        </w:trPr>
        <w:tc>
          <w:tcPr>
            <w:tcW w:w="645" w:type="dxa"/>
            <w:vAlign w:val="center"/>
          </w:tcPr>
          <w:p>
            <w:pPr>
              <w:adjustRightInd w:val="0"/>
              <w:snapToGrid w:val="0"/>
              <w:spacing w:line="560" w:lineRule="exact"/>
              <w:jc w:val="center"/>
              <w:rPr>
                <w:rStyle w:val="26"/>
                <w:rFonts w:hint="eastAsia" w:ascii="仿宋_GB2312" w:hAnsi="仿宋_GB2312" w:eastAsia="仿宋_GB2312" w:cs="仿宋_GB2312"/>
                <w:sz w:val="24"/>
                <w:highlight w:val="none"/>
              </w:rPr>
            </w:pPr>
            <w:r>
              <w:rPr>
                <w:rStyle w:val="26"/>
                <w:rFonts w:hint="eastAsia" w:ascii="仿宋_GB2312" w:hAnsi="仿宋_GB2312" w:eastAsia="仿宋_GB2312" w:cs="仿宋_GB2312"/>
                <w:sz w:val="24"/>
                <w:highlight w:val="none"/>
              </w:rPr>
              <w:t>序号</w:t>
            </w:r>
          </w:p>
        </w:tc>
        <w:tc>
          <w:tcPr>
            <w:tcW w:w="8197"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Style w:val="26"/>
                <w:rFonts w:hint="eastAsia" w:ascii="仿宋_GB2312" w:hAnsi="仿宋_GB2312" w:eastAsia="仿宋_GB2312" w:cs="仿宋_GB2312"/>
                <w:sz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83" w:hRule="atLeast"/>
          <w:jc w:val="center"/>
        </w:trPr>
        <w:tc>
          <w:tcPr>
            <w:tcW w:w="645" w:type="dxa"/>
            <w:vAlign w:val="center"/>
          </w:tcPr>
          <w:p>
            <w:pPr>
              <w:adjustRightInd w:val="0"/>
              <w:snapToGrid w:val="0"/>
              <w:spacing w:line="560" w:lineRule="exact"/>
              <w:jc w:val="center"/>
              <w:rPr>
                <w:rStyle w:val="26"/>
                <w:rFonts w:hint="eastAsia" w:ascii="仿宋_GB2312" w:hAnsi="仿宋_GB2312" w:eastAsia="仿宋_GB2312" w:cs="仿宋_GB2312"/>
                <w:sz w:val="24"/>
                <w:highlight w:val="none"/>
              </w:rPr>
            </w:pPr>
            <w:r>
              <w:rPr>
                <w:rStyle w:val="26"/>
                <w:rFonts w:hint="eastAsia" w:ascii="仿宋_GB2312" w:hAnsi="仿宋_GB2312" w:eastAsia="仿宋_GB2312" w:cs="仿宋_GB2312"/>
                <w:sz w:val="24"/>
                <w:highlight w:val="none"/>
              </w:rPr>
              <w:t>1</w:t>
            </w:r>
          </w:p>
        </w:tc>
        <w:tc>
          <w:tcPr>
            <w:tcW w:w="8197" w:type="dxa"/>
            <w:vAlign w:val="center"/>
          </w:tcPr>
          <w:p>
            <w:pPr>
              <w:adjustRightInd w:val="0"/>
              <w:snapToGrid w:val="0"/>
              <w:spacing w:line="560" w:lineRule="exact"/>
              <w:rPr>
                <w:rStyle w:val="26"/>
                <w:rFonts w:hint="eastAsia" w:ascii="仿宋_GB2312" w:hAnsi="仿宋_GB2312" w:eastAsia="仿宋_GB2312" w:cs="仿宋_GB2312"/>
                <w:sz w:val="24"/>
                <w:highlight w:val="none"/>
              </w:rPr>
            </w:pPr>
            <w:r>
              <w:rPr>
                <w:rStyle w:val="26"/>
                <w:rFonts w:hint="eastAsia" w:ascii="仿宋_GB2312" w:hAnsi="仿宋_GB2312" w:eastAsia="仿宋_GB2312" w:cs="仿宋_GB2312"/>
                <w:sz w:val="24"/>
                <w:highlight w:val="none"/>
              </w:rPr>
              <w:t>已按磋商文件的要求，缴纳磋商保证金。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476" w:hRule="atLeast"/>
          <w:jc w:val="center"/>
        </w:trPr>
        <w:tc>
          <w:tcPr>
            <w:tcW w:w="645" w:type="dxa"/>
            <w:vAlign w:val="center"/>
          </w:tcPr>
          <w:p>
            <w:pPr>
              <w:pStyle w:val="20"/>
              <w:adjustRightInd w:val="0"/>
              <w:snapToGrid w:val="0"/>
              <w:spacing w:before="0" w:after="0" w:line="56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8197" w:type="dxa"/>
            <w:vAlign w:val="center"/>
          </w:tcPr>
          <w:p>
            <w:pPr>
              <w:adjustRightInd w:val="0"/>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最后报价是固定价且是唯一的，且未超过本项目最高限价。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458" w:hRule="atLeast"/>
          <w:jc w:val="center"/>
        </w:trPr>
        <w:tc>
          <w:tcPr>
            <w:tcW w:w="645"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w:t>
            </w:r>
          </w:p>
        </w:tc>
        <w:tc>
          <w:tcPr>
            <w:tcW w:w="8197" w:type="dxa"/>
            <w:vAlign w:val="center"/>
          </w:tcPr>
          <w:p>
            <w:pPr>
              <w:adjustRightInd w:val="0"/>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有分项报价，并对货物或服务内容的关键、主要部分没有报价漏项。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619" w:hRule="atLeast"/>
          <w:jc w:val="center"/>
        </w:trPr>
        <w:tc>
          <w:tcPr>
            <w:tcW w:w="645"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w:t>
            </w:r>
          </w:p>
        </w:tc>
        <w:tc>
          <w:tcPr>
            <w:tcW w:w="8197" w:type="dxa"/>
            <w:vAlign w:val="center"/>
          </w:tcPr>
          <w:p>
            <w:pPr>
              <w:adjustRightInd w:val="0"/>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报价合理，无明显低于其他报价，无以低于成本价报价的不正当竞争行为。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430" w:hRule="atLeast"/>
          <w:jc w:val="center"/>
        </w:trPr>
        <w:tc>
          <w:tcPr>
            <w:tcW w:w="645"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w:t>
            </w:r>
          </w:p>
        </w:tc>
        <w:tc>
          <w:tcPr>
            <w:tcW w:w="8197" w:type="dxa"/>
            <w:vAlign w:val="center"/>
          </w:tcPr>
          <w:p>
            <w:pPr>
              <w:adjustRightInd w:val="0"/>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响应文件完整且编排有序，内容基本完整，无重大错漏，并按要求密封、标识、签署、盖章。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546" w:hRule="atLeast"/>
          <w:jc w:val="center"/>
        </w:trPr>
        <w:tc>
          <w:tcPr>
            <w:tcW w:w="645"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6</w:t>
            </w:r>
          </w:p>
        </w:tc>
        <w:tc>
          <w:tcPr>
            <w:tcW w:w="8197" w:type="dxa"/>
            <w:vAlign w:val="center"/>
          </w:tcPr>
          <w:p>
            <w:pPr>
              <w:adjustRightInd w:val="0"/>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响应文件中要求法人代表签字、授权人签字和加盖公章的，已按照要求签署盖章。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90" w:hRule="atLeast"/>
          <w:jc w:val="center"/>
        </w:trPr>
        <w:tc>
          <w:tcPr>
            <w:tcW w:w="645"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7</w:t>
            </w:r>
          </w:p>
        </w:tc>
        <w:tc>
          <w:tcPr>
            <w:tcW w:w="8197" w:type="dxa"/>
            <w:vAlign w:val="center"/>
          </w:tcPr>
          <w:p>
            <w:pPr>
              <w:adjustRightInd w:val="0"/>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响应文件已按磋商文件的要求作出实质性响应。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285" w:hRule="atLeast"/>
          <w:jc w:val="center"/>
        </w:trPr>
        <w:tc>
          <w:tcPr>
            <w:tcW w:w="645"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8</w:t>
            </w:r>
          </w:p>
        </w:tc>
        <w:tc>
          <w:tcPr>
            <w:tcW w:w="8197" w:type="dxa"/>
            <w:vAlign w:val="center"/>
          </w:tcPr>
          <w:p>
            <w:pPr>
              <w:adjustRightInd w:val="0"/>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磋商有效期满足磋商文件要求。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430" w:hRule="atLeast"/>
          <w:jc w:val="center"/>
        </w:trPr>
        <w:tc>
          <w:tcPr>
            <w:tcW w:w="645"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9</w:t>
            </w:r>
          </w:p>
        </w:tc>
        <w:tc>
          <w:tcPr>
            <w:tcW w:w="8197" w:type="dxa"/>
            <w:vAlign w:val="center"/>
          </w:tcPr>
          <w:p>
            <w:pPr>
              <w:adjustRightInd w:val="0"/>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“★”号条款满足磋商文件要求。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593" w:hRule="atLeast"/>
          <w:jc w:val="center"/>
        </w:trPr>
        <w:tc>
          <w:tcPr>
            <w:tcW w:w="645"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10</w:t>
            </w:r>
          </w:p>
        </w:tc>
        <w:tc>
          <w:tcPr>
            <w:tcW w:w="8197" w:type="dxa"/>
            <w:vAlign w:val="center"/>
          </w:tcPr>
          <w:p>
            <w:pPr>
              <w:adjustRightInd w:val="0"/>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未出现其他导致响应无效的情形。</w:t>
            </w:r>
          </w:p>
        </w:tc>
      </w:tr>
    </w:tbl>
    <w:p>
      <w:pPr>
        <w:snapToGrid w:val="0"/>
        <w:spacing w:line="360" w:lineRule="auto"/>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br w:type="page"/>
      </w:r>
    </w:p>
    <w:p>
      <w:pPr>
        <w:pStyle w:val="32"/>
        <w:snapToGrid w:val="0"/>
        <w:ind w:firstLine="0" w:firstLineChars="0"/>
        <w:jc w:val="center"/>
        <w:outlineLvl w:val="1"/>
        <w:rPr>
          <w:rFonts w:hint="eastAsia" w:ascii="仿宋_GB2312" w:hAnsi="仿宋_GB2312" w:eastAsia="仿宋_GB2312" w:cs="仿宋_GB2312"/>
          <w:b/>
          <w:bCs/>
          <w:sz w:val="24"/>
          <w:szCs w:val="24"/>
          <w:highlight w:val="none"/>
        </w:rPr>
      </w:pPr>
      <w:bookmarkStart w:id="164" w:name="_Toc11136"/>
      <w:bookmarkStart w:id="165" w:name="_Toc32378"/>
      <w:r>
        <w:rPr>
          <w:rFonts w:hint="eastAsia" w:ascii="仿宋_GB2312" w:hAnsi="仿宋_GB2312" w:eastAsia="仿宋_GB2312" w:cs="仿宋_GB2312"/>
          <w:b/>
          <w:bCs/>
          <w:sz w:val="24"/>
          <w:szCs w:val="24"/>
          <w:highlight w:val="none"/>
        </w:rPr>
        <w:t>附表三《商务评审表》</w:t>
      </w:r>
      <w:bookmarkEnd w:id="163"/>
      <w:bookmarkEnd w:id="164"/>
      <w:bookmarkEnd w:id="165"/>
    </w:p>
    <w:tbl>
      <w:tblPr>
        <w:tblStyle w:val="23"/>
        <w:tblW w:w="85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06"/>
        <w:gridCol w:w="1552"/>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0" w:hRule="atLeast"/>
          <w:jc w:val="center"/>
        </w:trPr>
        <w:tc>
          <w:tcPr>
            <w:tcW w:w="60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hint="eastAsia" w:ascii="仿宋_GB2312" w:hAnsi="仿宋_GB2312" w:eastAsia="仿宋_GB2312" w:cs="仿宋_GB2312"/>
                <w:b/>
                <w:sz w:val="24"/>
                <w:highlight w:val="none"/>
              </w:rPr>
            </w:pPr>
            <w:bookmarkStart w:id="166" w:name="_Toc28155"/>
            <w:bookmarkStart w:id="167" w:name="_Toc9885"/>
            <w:r>
              <w:rPr>
                <w:rFonts w:hint="eastAsia" w:ascii="仿宋_GB2312" w:hAnsi="仿宋_GB2312" w:eastAsia="仿宋_GB2312" w:cs="仿宋_GB2312"/>
                <w:sz w:val="24"/>
                <w:highlight w:val="none"/>
              </w:rPr>
              <w:br w:type="page"/>
            </w:r>
            <w:r>
              <w:rPr>
                <w:rFonts w:hint="eastAsia" w:ascii="仿宋_GB2312" w:hAnsi="仿宋_GB2312" w:eastAsia="仿宋_GB2312" w:cs="仿宋_GB2312"/>
                <w:sz w:val="24"/>
                <w:highlight w:val="none"/>
              </w:rPr>
              <w:t>序号</w:t>
            </w:r>
          </w:p>
        </w:tc>
        <w:tc>
          <w:tcPr>
            <w:tcW w:w="155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sz w:val="24"/>
                <w:highlight w:val="none"/>
              </w:rPr>
              <w:t>评分项目</w:t>
            </w:r>
          </w:p>
        </w:tc>
        <w:tc>
          <w:tcPr>
            <w:tcW w:w="643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sz w:val="24"/>
                <w:highlight w:val="none"/>
              </w:rPr>
              <w:t>评分内容及标准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312" w:hRule="atLeast"/>
          <w:jc w:val="center"/>
        </w:trPr>
        <w:tc>
          <w:tcPr>
            <w:tcW w:w="6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hint="eastAsia" w:ascii="仿宋_GB2312" w:hAnsi="仿宋_GB2312" w:eastAsia="仿宋_GB2312" w:cs="仿宋_GB2312"/>
                <w:b/>
                <w:sz w:val="24"/>
                <w:highlight w:val="none"/>
              </w:rPr>
            </w:pPr>
          </w:p>
        </w:tc>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hint="eastAsia" w:ascii="仿宋_GB2312" w:hAnsi="仿宋_GB2312" w:eastAsia="仿宋_GB2312" w:cs="仿宋_GB2312"/>
                <w:b/>
                <w:sz w:val="24"/>
                <w:highlight w:val="none"/>
              </w:rPr>
            </w:pPr>
          </w:p>
        </w:tc>
        <w:tc>
          <w:tcPr>
            <w:tcW w:w="643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hint="eastAsia"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pStyle w:val="2"/>
              <w:snapToGrid w:val="0"/>
              <w:spacing w:after="0"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w:t>
            </w:r>
          </w:p>
        </w:tc>
        <w:tc>
          <w:tcPr>
            <w:tcW w:w="155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同类项目业绩</w:t>
            </w:r>
          </w:p>
          <w:p>
            <w:pPr>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bCs/>
                <w:sz w:val="24"/>
                <w:highlight w:val="none"/>
              </w:rPr>
              <w:t>（</w:t>
            </w:r>
            <w:r>
              <w:rPr>
                <w:rFonts w:hint="eastAsia" w:ascii="仿宋_GB2312" w:hAnsi="仿宋_GB2312" w:eastAsia="仿宋_GB2312" w:cs="仿宋_GB2312"/>
                <w:bCs/>
                <w:sz w:val="24"/>
                <w:highlight w:val="none"/>
                <w:lang w:val="en-US" w:eastAsia="zh-CN"/>
              </w:rPr>
              <w:t>5</w:t>
            </w:r>
            <w:r>
              <w:rPr>
                <w:rFonts w:hint="eastAsia" w:ascii="仿宋_GB2312" w:hAnsi="仿宋_GB2312" w:eastAsia="仿宋_GB2312" w:cs="仿宋_GB2312"/>
                <w:bCs/>
                <w:sz w:val="24"/>
                <w:highlight w:val="none"/>
              </w:rPr>
              <w:t>分）</w:t>
            </w:r>
          </w:p>
        </w:tc>
        <w:tc>
          <w:tcPr>
            <w:tcW w:w="643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hint="eastAsia"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报价人201</w:t>
            </w:r>
            <w:r>
              <w:rPr>
                <w:rFonts w:hint="eastAsia" w:ascii="仿宋_GB2312" w:hAnsi="仿宋_GB2312" w:eastAsia="仿宋_GB2312" w:cs="仿宋_GB2312"/>
                <w:color w:val="000000"/>
                <w:kern w:val="0"/>
                <w:sz w:val="24"/>
                <w:highlight w:val="none"/>
                <w:lang w:val="en-US" w:eastAsia="zh-CN"/>
              </w:rPr>
              <w:t>7</w:t>
            </w:r>
            <w:r>
              <w:rPr>
                <w:rFonts w:hint="eastAsia" w:ascii="仿宋_GB2312" w:hAnsi="仿宋_GB2312" w:eastAsia="仿宋_GB2312" w:cs="仿宋_GB2312"/>
                <w:color w:val="000000"/>
                <w:kern w:val="0"/>
                <w:sz w:val="24"/>
                <w:highlight w:val="none"/>
              </w:rPr>
              <w:t>年1月1日至今完成同类项目情况，每提供一份同类业绩得</w:t>
            </w:r>
            <w:r>
              <w:rPr>
                <w:rFonts w:hint="eastAsia" w:ascii="仿宋_GB2312" w:hAnsi="仿宋_GB2312" w:eastAsia="仿宋_GB2312" w:cs="仿宋_GB2312"/>
                <w:color w:val="000000"/>
                <w:kern w:val="0"/>
                <w:sz w:val="24"/>
                <w:highlight w:val="none"/>
                <w:lang w:val="en-US" w:eastAsia="zh-CN"/>
              </w:rPr>
              <w:t>1</w:t>
            </w:r>
            <w:r>
              <w:rPr>
                <w:rFonts w:hint="eastAsia" w:ascii="仿宋_GB2312" w:hAnsi="仿宋_GB2312" w:eastAsia="仿宋_GB2312" w:cs="仿宋_GB2312"/>
                <w:color w:val="000000"/>
                <w:kern w:val="0"/>
                <w:sz w:val="24"/>
                <w:highlight w:val="none"/>
              </w:rPr>
              <w:t>分，最高得</w:t>
            </w:r>
            <w:r>
              <w:rPr>
                <w:rFonts w:hint="eastAsia" w:ascii="仿宋_GB2312" w:hAnsi="仿宋_GB2312" w:eastAsia="仿宋_GB2312" w:cs="仿宋_GB2312"/>
                <w:color w:val="000000"/>
                <w:kern w:val="0"/>
                <w:sz w:val="24"/>
                <w:highlight w:val="none"/>
                <w:lang w:val="en-US" w:eastAsia="zh-CN"/>
              </w:rPr>
              <w:t>5</w:t>
            </w:r>
            <w:r>
              <w:rPr>
                <w:rFonts w:hint="eastAsia" w:ascii="仿宋_GB2312" w:hAnsi="仿宋_GB2312" w:eastAsia="仿宋_GB2312" w:cs="仿宋_GB2312"/>
                <w:color w:val="000000"/>
                <w:kern w:val="0"/>
                <w:sz w:val="24"/>
                <w:highlight w:val="none"/>
              </w:rPr>
              <w:t>分。</w:t>
            </w:r>
          </w:p>
          <w:p>
            <w:pPr>
              <w:widowControl/>
              <w:snapToGrid w:val="0"/>
              <w:spacing w:line="560" w:lineRule="exact"/>
              <w:jc w:val="left"/>
              <w:rPr>
                <w:rFonts w:hint="eastAsia"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注：①属于国家机关、事业单位和团体组织业绩：提供中标公告或成交公告（须提供系统查询截图和查询网址）或中标通知书复印件或成交通知书复印件、合同关键页复印件及验收报告复印件、最后一次供货发票复印件及税务部门网站查询的相关发票信息截图；</w:t>
            </w:r>
          </w:p>
          <w:p>
            <w:pPr>
              <w:widowControl/>
              <w:snapToGrid w:val="0"/>
              <w:spacing w:line="560" w:lineRule="exact"/>
              <w:jc w:val="left"/>
              <w:rPr>
                <w:rFonts w:hint="eastAsia"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②属于同类其他业绩：提供购买方工商登记信息（须提供系统查询截图和查询网址）、合同关键页复印件及验收报告复印件、最后一次供货发票复印件及税务部门网站查询的相关发票信息截图。</w:t>
            </w:r>
          </w:p>
          <w:p>
            <w:pPr>
              <w:widowControl/>
              <w:snapToGrid w:val="0"/>
              <w:spacing w:line="56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color w:val="000000"/>
                <w:kern w:val="0"/>
                <w:sz w:val="24"/>
                <w:highlight w:val="none"/>
              </w:rPr>
              <w:t>③合同关键页应包括封面页、服务内容页、双方签字盖章页。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pStyle w:val="2"/>
              <w:snapToGrid w:val="0"/>
              <w:spacing w:after="0"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w:t>
            </w:r>
          </w:p>
        </w:tc>
        <w:tc>
          <w:tcPr>
            <w:tcW w:w="155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供应商综合实力（</w:t>
            </w:r>
            <w:r>
              <w:rPr>
                <w:rFonts w:hint="eastAsia" w:ascii="仿宋_GB2312" w:hAnsi="仿宋_GB2312" w:eastAsia="仿宋_GB2312" w:cs="仿宋_GB2312"/>
                <w:bCs/>
                <w:sz w:val="24"/>
                <w:highlight w:val="none"/>
                <w:lang w:val="en-US" w:eastAsia="zh-CN"/>
              </w:rPr>
              <w:t>25</w:t>
            </w:r>
            <w:r>
              <w:rPr>
                <w:rFonts w:hint="eastAsia" w:ascii="仿宋_GB2312" w:hAnsi="仿宋_GB2312" w:eastAsia="仿宋_GB2312" w:cs="仿宋_GB2312"/>
                <w:bCs/>
                <w:sz w:val="24"/>
                <w:highlight w:val="none"/>
              </w:rPr>
              <w:t>分）</w:t>
            </w:r>
          </w:p>
        </w:tc>
        <w:tc>
          <w:tcPr>
            <w:tcW w:w="6433"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hint="eastAsia"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①供应商具有由国家认证认可监督管理部门批准设立的认证机构颁发并在有效期内的质量管理体系认证证书,得1分。</w:t>
            </w:r>
          </w:p>
          <w:p>
            <w:pPr>
              <w:widowControl/>
              <w:snapToGrid w:val="0"/>
              <w:spacing w:line="560" w:lineRule="exact"/>
              <w:jc w:val="left"/>
              <w:rPr>
                <w:rFonts w:hint="eastAsia"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②供应商具有无人机侦测防御系统发明专利的,得3分。</w:t>
            </w:r>
          </w:p>
          <w:p>
            <w:pPr>
              <w:pStyle w:val="4"/>
              <w:spacing w:before="0" w:after="0"/>
              <w:jc w:val="both"/>
              <w:rPr>
                <w:rFonts w:hint="eastAsia" w:ascii="仿宋_GB2312" w:hAnsi="仿宋_GB2312" w:eastAsia="仿宋_GB2312" w:cs="仿宋_GB2312"/>
                <w:b w:val="0"/>
                <w:bCs w:val="0"/>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rPr>
              <w:t>③供应商具有无人机防控类软件著作权的，每一个得1分，满分5分。</w:t>
            </w:r>
          </w:p>
          <w:p>
            <w:pPr>
              <w:widowControl/>
              <w:snapToGrid w:val="0"/>
              <w:spacing w:line="560" w:lineRule="exact"/>
              <w:jc w:val="left"/>
              <w:rPr>
                <w:rFonts w:hint="eastAsia"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④供应商获得省部级以上奖项荣誉的，每项得1分，满分3分。</w:t>
            </w:r>
          </w:p>
          <w:p>
            <w:pPr>
              <w:pStyle w:val="4"/>
              <w:spacing w:before="0" w:after="0"/>
              <w:jc w:val="both"/>
              <w:rPr>
                <w:rFonts w:hint="eastAsia" w:ascii="仿宋_GB2312" w:hAnsi="仿宋_GB2312" w:eastAsia="仿宋_GB2312" w:cs="仿宋_GB2312"/>
                <w:b w:val="0"/>
                <w:bCs w:val="0"/>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rPr>
              <w:t>⑤具备民航空管技术权威部门关于无人机防控系统对空管设备的影响分析报告（通航设备包括但不限于二次雷达、ADS-B、甚高频、无方向信标、指点信标、航向信标、下滑</w:t>
            </w:r>
            <w:r>
              <w:rPr>
                <w:rFonts w:hint="eastAsia" w:ascii="仿宋_GB2312" w:hAnsi="仿宋_GB2312" w:eastAsia="仿宋_GB2312" w:cs="仿宋_GB2312"/>
                <w:b w:val="0"/>
                <w:bCs w:val="0"/>
                <w:color w:val="000000"/>
                <w:kern w:val="0"/>
                <w:sz w:val="24"/>
                <w:szCs w:val="24"/>
                <w:highlight w:val="none"/>
                <w:lang w:eastAsia="zh-CN"/>
              </w:rPr>
              <w:t>信标</w:t>
            </w:r>
            <w:r>
              <w:rPr>
                <w:rFonts w:hint="eastAsia" w:ascii="仿宋_GB2312" w:hAnsi="仿宋_GB2312" w:eastAsia="仿宋_GB2312" w:cs="仿宋_GB2312"/>
                <w:b w:val="0"/>
                <w:bCs w:val="0"/>
                <w:color w:val="000000"/>
                <w:kern w:val="0"/>
                <w:sz w:val="24"/>
                <w:szCs w:val="24"/>
                <w:highlight w:val="none"/>
              </w:rPr>
              <w:t>、全向信标、测距仪），上述设备全部涵盖的，得</w:t>
            </w:r>
            <w:r>
              <w:rPr>
                <w:rFonts w:hint="eastAsia" w:ascii="仿宋_GB2312" w:hAnsi="仿宋_GB2312" w:eastAsia="仿宋_GB2312" w:cs="仿宋_GB2312"/>
                <w:b w:val="0"/>
                <w:bCs w:val="0"/>
                <w:color w:val="000000"/>
                <w:kern w:val="0"/>
                <w:sz w:val="24"/>
                <w:szCs w:val="24"/>
                <w:highlight w:val="none"/>
                <w:lang w:val="en-US" w:eastAsia="zh-CN"/>
              </w:rPr>
              <w:t>5</w:t>
            </w:r>
            <w:r>
              <w:rPr>
                <w:rFonts w:hint="eastAsia" w:ascii="仿宋_GB2312" w:hAnsi="仿宋_GB2312" w:eastAsia="仿宋_GB2312" w:cs="仿宋_GB2312"/>
                <w:b w:val="0"/>
                <w:bCs w:val="0"/>
                <w:color w:val="000000"/>
                <w:kern w:val="0"/>
                <w:sz w:val="24"/>
                <w:szCs w:val="24"/>
                <w:highlight w:val="none"/>
              </w:rPr>
              <w:t>分，否则不得分。</w:t>
            </w:r>
          </w:p>
          <w:p>
            <w:pPr>
              <w:pStyle w:val="4"/>
              <w:spacing w:before="0" w:after="0"/>
              <w:jc w:val="both"/>
              <w:rPr>
                <w:rFonts w:hint="eastAsia" w:ascii="仿宋_GB2312" w:hAnsi="仿宋_GB2312" w:eastAsia="仿宋_GB2312" w:cs="仿宋_GB2312"/>
                <w:b w:val="0"/>
                <w:bCs w:val="0"/>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rPr>
              <w:t>⑥供应商入围公装财【2018】688号文厂家推荐目录，推荐范围为侦测+干扰系统的，得8分；推荐范围为单侦测系统或单干扰设备的，不得分；</w:t>
            </w:r>
          </w:p>
          <w:p>
            <w:pPr>
              <w:widowControl/>
              <w:snapToGrid w:val="0"/>
              <w:spacing w:line="56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color w:val="000000"/>
                <w:kern w:val="0"/>
                <w:sz w:val="24"/>
                <w:highlight w:val="none"/>
              </w:rPr>
              <w:t>注：提供相关证明材料复印件加盖公章，无提供不得分。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jc w:val="center"/>
        </w:trPr>
        <w:tc>
          <w:tcPr>
            <w:tcW w:w="8591" w:type="dxa"/>
            <w:gridSpan w:val="3"/>
            <w:tcBorders>
              <w:top w:val="single" w:color="auto" w:sz="4" w:space="0"/>
              <w:left w:val="single" w:color="auto" w:sz="4" w:space="0"/>
              <w:bottom w:val="single" w:color="auto" w:sz="4" w:space="0"/>
              <w:right w:val="single" w:color="auto" w:sz="4" w:space="0"/>
            </w:tcBorders>
            <w:vAlign w:val="center"/>
          </w:tcPr>
          <w:p>
            <w:pPr>
              <w:pStyle w:val="42"/>
              <w:snapToGrid w:val="0"/>
              <w:spacing w:line="560" w:lineRule="exact"/>
              <w:ind w:firstLine="0" w:firstLineChars="0"/>
              <w:jc w:val="center"/>
              <w:rPr>
                <w:rFonts w:hint="eastAsia" w:ascii="仿宋_GB2312" w:hAnsi="仿宋_GB2312" w:eastAsia="仿宋_GB2312" w:cs="仿宋_GB2312"/>
                <w:sz w:val="24"/>
                <w:highlight w:val="none"/>
              </w:rPr>
            </w:pPr>
            <w:r>
              <w:rPr>
                <w:rFonts w:hint="eastAsia" w:ascii="仿宋_GB2312" w:hAnsi="仿宋_GB2312" w:eastAsia="仿宋_GB2312" w:cs="仿宋_GB2312"/>
                <w:bCs/>
                <w:sz w:val="24"/>
                <w:highlight w:val="none"/>
              </w:rPr>
              <w:t>合计（</w:t>
            </w:r>
            <w:r>
              <w:rPr>
                <w:rFonts w:hint="eastAsia" w:ascii="仿宋_GB2312" w:hAnsi="仿宋_GB2312" w:eastAsia="仿宋_GB2312" w:cs="仿宋_GB2312"/>
                <w:bCs/>
                <w:sz w:val="24"/>
                <w:highlight w:val="none"/>
                <w:lang w:val="en-US" w:eastAsia="zh-CN"/>
              </w:rPr>
              <w:t>30</w:t>
            </w:r>
            <w:r>
              <w:rPr>
                <w:rFonts w:hint="eastAsia" w:ascii="仿宋_GB2312" w:hAnsi="仿宋_GB2312" w:eastAsia="仿宋_GB2312" w:cs="仿宋_GB2312"/>
                <w:bCs/>
                <w:sz w:val="24"/>
                <w:highlight w:val="none"/>
              </w:rPr>
              <w:t>分）</w:t>
            </w:r>
          </w:p>
        </w:tc>
      </w:tr>
    </w:tbl>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br w:type="page"/>
      </w:r>
    </w:p>
    <w:p>
      <w:pPr>
        <w:pStyle w:val="32"/>
        <w:snapToGrid w:val="0"/>
        <w:ind w:firstLine="0" w:firstLineChars="0"/>
        <w:jc w:val="center"/>
        <w:outlineLvl w:val="1"/>
        <w:rPr>
          <w:rFonts w:hint="eastAsia" w:ascii="仿宋_GB2312" w:hAnsi="仿宋_GB2312" w:eastAsia="仿宋_GB2312" w:cs="仿宋_GB2312"/>
          <w:b/>
          <w:bCs/>
          <w:sz w:val="24"/>
          <w:szCs w:val="24"/>
          <w:highlight w:val="none"/>
        </w:rPr>
      </w:pPr>
      <w:bookmarkStart w:id="168" w:name="_Toc15823"/>
      <w:r>
        <w:rPr>
          <w:rFonts w:hint="eastAsia" w:ascii="仿宋_GB2312" w:hAnsi="仿宋_GB2312" w:eastAsia="仿宋_GB2312" w:cs="仿宋_GB2312"/>
          <w:b/>
          <w:bCs/>
          <w:sz w:val="24"/>
          <w:szCs w:val="24"/>
          <w:highlight w:val="none"/>
        </w:rPr>
        <w:t>附表四《技术评审表》</w:t>
      </w:r>
      <w:bookmarkEnd w:id="166"/>
      <w:bookmarkEnd w:id="167"/>
      <w:bookmarkEnd w:id="168"/>
    </w:p>
    <w:tbl>
      <w:tblPr>
        <w:tblStyle w:val="23"/>
        <w:tblW w:w="859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3" w:type="dxa"/>
          <w:bottom w:w="0" w:type="dxa"/>
          <w:right w:w="23" w:type="dxa"/>
        </w:tblCellMar>
      </w:tblPr>
      <w:tblGrid>
        <w:gridCol w:w="561"/>
        <w:gridCol w:w="1662"/>
        <w:gridCol w:w="63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jc w:val="center"/>
        </w:trPr>
        <w:tc>
          <w:tcPr>
            <w:tcW w:w="561" w:type="dxa"/>
            <w:shd w:val="clear" w:color="auto" w:fill="auto"/>
            <w:vAlign w:val="center"/>
          </w:tcPr>
          <w:p>
            <w:pPr>
              <w:adjustRightInd w:val="0"/>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br w:type="page"/>
            </w:r>
            <w:r>
              <w:rPr>
                <w:rFonts w:hint="eastAsia" w:ascii="仿宋_GB2312" w:hAnsi="仿宋_GB2312" w:eastAsia="仿宋_GB2312" w:cs="仿宋_GB2312"/>
                <w:sz w:val="24"/>
                <w:highlight w:val="none"/>
              </w:rPr>
              <w:t>序号</w:t>
            </w:r>
          </w:p>
        </w:tc>
        <w:tc>
          <w:tcPr>
            <w:tcW w:w="1662" w:type="dxa"/>
            <w:shd w:val="clear" w:color="auto" w:fill="auto"/>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评分项目</w:t>
            </w:r>
          </w:p>
        </w:tc>
        <w:tc>
          <w:tcPr>
            <w:tcW w:w="6371" w:type="dxa"/>
            <w:shd w:val="clear" w:color="auto" w:fill="auto"/>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评分内容及标准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jc w:val="center"/>
        </w:trPr>
        <w:tc>
          <w:tcPr>
            <w:tcW w:w="561" w:type="dxa"/>
            <w:shd w:val="clear" w:color="auto" w:fill="auto"/>
            <w:vAlign w:val="center"/>
          </w:tcPr>
          <w:p>
            <w:pPr>
              <w:pStyle w:val="2"/>
              <w:spacing w:line="52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w:t>
            </w:r>
          </w:p>
        </w:tc>
        <w:tc>
          <w:tcPr>
            <w:tcW w:w="1662" w:type="dxa"/>
            <w:shd w:val="clear" w:color="auto" w:fill="auto"/>
            <w:vAlign w:val="center"/>
          </w:tcPr>
          <w:p>
            <w:pPr>
              <w:spacing w:line="520" w:lineRule="exact"/>
              <w:jc w:val="center"/>
              <w:rPr>
                <w:rFonts w:hint="eastAsia" w:ascii="仿宋_GB2312" w:hAnsi="仿宋_GB2312" w:eastAsia="仿宋_GB2312" w:cs="仿宋_GB2312"/>
                <w:color w:val="000000"/>
                <w:sz w:val="24"/>
                <w:highlight w:val="none"/>
                <w:lang w:val="zh-CN"/>
              </w:rPr>
            </w:pPr>
            <w:r>
              <w:rPr>
                <w:rFonts w:hint="eastAsia" w:ascii="仿宋_GB2312" w:hAnsi="仿宋_GB2312" w:eastAsia="仿宋_GB2312" w:cs="仿宋_GB2312"/>
                <w:color w:val="000000"/>
                <w:sz w:val="24"/>
                <w:highlight w:val="none"/>
              </w:rPr>
              <w:t>产品技术参数响应（20分）</w:t>
            </w:r>
          </w:p>
        </w:tc>
        <w:tc>
          <w:tcPr>
            <w:tcW w:w="6371" w:type="dxa"/>
            <w:shd w:val="clear" w:color="auto" w:fill="auto"/>
            <w:vAlign w:val="center"/>
          </w:tcPr>
          <w:p>
            <w:pPr>
              <w:pStyle w:val="2"/>
              <w:spacing w:line="6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对本项目用户需求书中的“三、技术功能要求”条款的响应情况进行评审。完全满足的，得基本分20分；每有一项不满足，扣除2分，扣完为止。</w:t>
            </w:r>
          </w:p>
          <w:p>
            <w:pPr>
              <w:spacing w:line="520" w:lineRule="exact"/>
              <w:rPr>
                <w:rFonts w:hint="eastAsia" w:ascii="仿宋_GB2312" w:hAnsi="仿宋_GB2312" w:eastAsia="仿宋_GB2312" w:cs="仿宋_GB2312"/>
                <w:color w:val="000000"/>
                <w:sz w:val="24"/>
                <w:highlight w:val="none"/>
              </w:rPr>
            </w:pPr>
            <w:r>
              <w:rPr>
                <w:rFonts w:hint="eastAsia" w:ascii="仿宋_GB2312" w:hAnsi="仿宋_GB2312" w:eastAsia="仿宋_GB2312" w:cs="仿宋_GB2312"/>
                <w:sz w:val="24"/>
                <w:szCs w:val="28"/>
                <w:highlight w:val="none"/>
                <w:lang w:val="en-US" w:eastAsia="zh-CN"/>
              </w:rPr>
              <w:t>注：采购人需求中有要求的按采购人需求要求提供证明材料。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jc w:val="center"/>
        </w:trPr>
        <w:tc>
          <w:tcPr>
            <w:tcW w:w="561" w:type="dxa"/>
            <w:shd w:val="clear" w:color="auto" w:fill="auto"/>
            <w:vAlign w:val="center"/>
          </w:tcPr>
          <w:p>
            <w:pPr>
              <w:pStyle w:val="2"/>
              <w:spacing w:line="52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w:t>
            </w:r>
          </w:p>
        </w:tc>
        <w:tc>
          <w:tcPr>
            <w:tcW w:w="1662" w:type="dxa"/>
            <w:shd w:val="clear" w:color="auto" w:fill="auto"/>
            <w:vAlign w:val="center"/>
          </w:tcPr>
          <w:p>
            <w:pPr>
              <w:spacing w:line="52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bCs/>
                <w:sz w:val="24"/>
                <w:highlight w:val="none"/>
              </w:rPr>
              <w:t>所投产品设备性能指标和技术先进、可靠性</w:t>
            </w:r>
            <w:r>
              <w:rPr>
                <w:rFonts w:hint="eastAsia" w:ascii="仿宋_GB2312" w:hAnsi="仿宋_GB2312" w:eastAsia="仿宋_GB2312" w:cs="仿宋_GB2312"/>
                <w:color w:val="000000"/>
                <w:sz w:val="24"/>
                <w:highlight w:val="none"/>
              </w:rPr>
              <w:t>（</w:t>
            </w:r>
            <w:r>
              <w:rPr>
                <w:rFonts w:hint="eastAsia" w:ascii="仿宋_GB2312" w:hAnsi="仿宋_GB2312" w:eastAsia="仿宋_GB2312" w:cs="仿宋_GB2312"/>
                <w:color w:val="000000"/>
                <w:sz w:val="24"/>
                <w:highlight w:val="none"/>
                <w:lang w:val="en-US" w:eastAsia="zh-CN"/>
              </w:rPr>
              <w:t>6</w:t>
            </w:r>
            <w:r>
              <w:rPr>
                <w:rFonts w:hint="eastAsia" w:ascii="仿宋_GB2312" w:hAnsi="仿宋_GB2312" w:eastAsia="仿宋_GB2312" w:cs="仿宋_GB2312"/>
                <w:color w:val="000000"/>
                <w:sz w:val="24"/>
                <w:highlight w:val="none"/>
              </w:rPr>
              <w:t>分）</w:t>
            </w:r>
          </w:p>
        </w:tc>
        <w:tc>
          <w:tcPr>
            <w:tcW w:w="6371" w:type="dxa"/>
            <w:shd w:val="clear" w:color="auto" w:fill="auto"/>
          </w:tcPr>
          <w:p>
            <w:pPr>
              <w:widowControl/>
              <w:spacing w:line="520" w:lineRule="exact"/>
              <w:ind w:firstLine="0" w:firstLineChars="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设备性能优，设备技术领先，可靠性高，得6 分</w:t>
            </w:r>
          </w:p>
          <w:p>
            <w:pPr>
              <w:widowControl/>
              <w:spacing w:line="520" w:lineRule="exact"/>
              <w:ind w:firstLine="0" w:firstLineChars="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设备性能良，设备技术较领先、，可靠性较高，得4 分</w:t>
            </w:r>
          </w:p>
          <w:p>
            <w:pPr>
              <w:widowControl/>
              <w:spacing w:line="520" w:lineRule="exact"/>
              <w:ind w:firstLine="0" w:firstLineChars="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设备性能一般，设备技术普通、，可靠性一般，得2 分</w:t>
            </w:r>
          </w:p>
          <w:p>
            <w:pPr>
              <w:widowControl/>
              <w:spacing w:line="520" w:lineRule="exact"/>
              <w:ind w:firstLine="0" w:firstLineChars="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设备性能差，设备技术落后，可靠性差，不得分</w:t>
            </w:r>
            <w:r>
              <w:rPr>
                <w:rFonts w:hint="eastAsia" w:ascii="仿宋_GB2312" w:hAnsi="仿宋_GB2312" w:eastAsia="仿宋_GB2312" w:cs="仿宋_GB2312"/>
                <w:sz w:val="24"/>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jc w:val="center"/>
        </w:trPr>
        <w:tc>
          <w:tcPr>
            <w:tcW w:w="561" w:type="dxa"/>
            <w:shd w:val="clear" w:color="auto" w:fill="auto"/>
            <w:vAlign w:val="center"/>
          </w:tcPr>
          <w:p>
            <w:pPr>
              <w:pStyle w:val="2"/>
              <w:spacing w:line="520" w:lineRule="exact"/>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3</w:t>
            </w:r>
          </w:p>
        </w:tc>
        <w:tc>
          <w:tcPr>
            <w:tcW w:w="1662" w:type="dxa"/>
            <w:shd w:val="clear" w:color="auto" w:fill="auto"/>
            <w:vAlign w:val="center"/>
          </w:tcPr>
          <w:p>
            <w:pPr>
              <w:spacing w:line="520" w:lineRule="exact"/>
              <w:jc w:val="center"/>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项目整体实施方案</w:t>
            </w:r>
            <w:r>
              <w:rPr>
                <w:rFonts w:hint="eastAsia" w:ascii="仿宋_GB2312" w:hAnsi="仿宋_GB2312" w:eastAsia="仿宋_GB2312" w:cs="仿宋_GB2312"/>
                <w:color w:val="000000"/>
                <w:sz w:val="24"/>
                <w:highlight w:val="none"/>
              </w:rPr>
              <w:t>（</w:t>
            </w:r>
            <w:r>
              <w:rPr>
                <w:rFonts w:hint="eastAsia" w:ascii="仿宋_GB2312" w:hAnsi="仿宋_GB2312" w:eastAsia="仿宋_GB2312" w:cs="仿宋_GB2312"/>
                <w:color w:val="000000"/>
                <w:sz w:val="24"/>
                <w:highlight w:val="none"/>
                <w:lang w:val="en-US" w:eastAsia="zh-CN"/>
              </w:rPr>
              <w:t>10</w:t>
            </w:r>
            <w:r>
              <w:rPr>
                <w:rFonts w:hint="eastAsia" w:ascii="仿宋_GB2312" w:hAnsi="仿宋_GB2312" w:eastAsia="仿宋_GB2312" w:cs="仿宋_GB2312"/>
                <w:color w:val="000000"/>
                <w:sz w:val="24"/>
                <w:highlight w:val="none"/>
              </w:rPr>
              <w:t>分）</w:t>
            </w:r>
          </w:p>
        </w:tc>
        <w:tc>
          <w:tcPr>
            <w:tcW w:w="6371" w:type="dxa"/>
            <w:shd w:val="clear" w:color="auto" w:fill="auto"/>
          </w:tcPr>
          <w:p>
            <w:pPr>
              <w:widowControl/>
              <w:spacing w:line="520" w:lineRule="exact"/>
              <w:ind w:firstLine="0" w:firstLineChars="0"/>
              <w:jc w:val="left"/>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rPr>
              <w:t>根据投标人的项目进度计划安排、施工组织、验收组织安排等综合情况进行评价</w:t>
            </w:r>
            <w:r>
              <w:rPr>
                <w:rFonts w:hint="eastAsia" w:ascii="仿宋_GB2312" w:hAnsi="仿宋_GB2312" w:eastAsia="仿宋_GB2312" w:cs="仿宋_GB2312"/>
                <w:sz w:val="24"/>
                <w:highlight w:val="none"/>
                <w:lang w:val="en-US" w:eastAsia="zh-CN"/>
              </w:rPr>
              <w:t>。</w:t>
            </w:r>
          </w:p>
          <w:p>
            <w:pPr>
              <w:widowControl/>
              <w:spacing w:line="520" w:lineRule="exact"/>
              <w:ind w:firstLine="0" w:firstLineChars="0"/>
              <w:jc w:val="left"/>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项目实施方案切合本项目的实际情况</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合理完善性强、可行性高，得</w:t>
            </w:r>
            <w:r>
              <w:rPr>
                <w:rFonts w:hint="eastAsia" w:ascii="仿宋_GB2312" w:hAnsi="仿宋_GB2312" w:eastAsia="仿宋_GB2312" w:cs="仿宋_GB2312"/>
                <w:sz w:val="24"/>
                <w:highlight w:val="none"/>
                <w:lang w:val="en-US" w:eastAsia="zh-CN"/>
              </w:rPr>
              <w:t>10</w:t>
            </w:r>
            <w:r>
              <w:rPr>
                <w:rFonts w:hint="eastAsia" w:ascii="仿宋_GB2312" w:hAnsi="仿宋_GB2312" w:eastAsia="仿宋_GB2312" w:cs="仿宋_GB2312"/>
                <w:sz w:val="24"/>
                <w:highlight w:val="none"/>
              </w:rPr>
              <w:t>分</w:t>
            </w:r>
            <w:r>
              <w:rPr>
                <w:rFonts w:hint="eastAsia" w:ascii="仿宋_GB2312" w:hAnsi="仿宋_GB2312" w:eastAsia="仿宋_GB2312" w:cs="仿宋_GB2312"/>
                <w:sz w:val="24"/>
                <w:highlight w:val="none"/>
                <w:lang w:eastAsia="zh-CN"/>
              </w:rPr>
              <w:t>；</w:t>
            </w:r>
          </w:p>
          <w:p>
            <w:pPr>
              <w:widowControl/>
              <w:spacing w:line="520" w:lineRule="exact"/>
              <w:ind w:firstLine="0" w:firstLineChars="0"/>
              <w:jc w:val="left"/>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项目实施方案较切合本项目的实际情况</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合理完善性较强、可行性较高，得</w:t>
            </w:r>
            <w:r>
              <w:rPr>
                <w:rFonts w:hint="eastAsia" w:ascii="仿宋_GB2312" w:hAnsi="仿宋_GB2312" w:eastAsia="仿宋_GB2312" w:cs="仿宋_GB2312"/>
                <w:sz w:val="24"/>
                <w:highlight w:val="none"/>
                <w:lang w:val="en-US" w:eastAsia="zh-CN"/>
              </w:rPr>
              <w:t>6</w:t>
            </w:r>
            <w:r>
              <w:rPr>
                <w:rFonts w:hint="eastAsia" w:ascii="仿宋_GB2312" w:hAnsi="仿宋_GB2312" w:eastAsia="仿宋_GB2312" w:cs="仿宋_GB2312"/>
                <w:sz w:val="24"/>
                <w:highlight w:val="none"/>
              </w:rPr>
              <w:t>分</w:t>
            </w:r>
            <w:r>
              <w:rPr>
                <w:rFonts w:hint="eastAsia" w:ascii="仿宋_GB2312" w:hAnsi="仿宋_GB2312" w:eastAsia="仿宋_GB2312" w:cs="仿宋_GB2312"/>
                <w:sz w:val="24"/>
                <w:highlight w:val="none"/>
                <w:lang w:eastAsia="zh-CN"/>
              </w:rPr>
              <w:t>；</w:t>
            </w:r>
          </w:p>
          <w:p>
            <w:pPr>
              <w:widowControl/>
              <w:spacing w:line="520" w:lineRule="exact"/>
              <w:ind w:firstLine="0" w:firstLineChars="0"/>
              <w:jc w:val="left"/>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项目实施方案较切合本项目的实际情况</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合理完善性一般、可行性一般，得</w:t>
            </w:r>
            <w:r>
              <w:rPr>
                <w:rFonts w:hint="eastAsia" w:ascii="仿宋_GB2312" w:hAnsi="仿宋_GB2312" w:eastAsia="仿宋_GB2312" w:cs="仿宋_GB2312"/>
                <w:sz w:val="24"/>
                <w:highlight w:val="none"/>
                <w:lang w:val="en-US" w:eastAsia="zh-CN"/>
              </w:rPr>
              <w:t>3</w:t>
            </w:r>
            <w:r>
              <w:rPr>
                <w:rFonts w:hint="eastAsia" w:ascii="仿宋_GB2312" w:hAnsi="仿宋_GB2312" w:eastAsia="仿宋_GB2312" w:cs="仿宋_GB2312"/>
                <w:sz w:val="24"/>
                <w:highlight w:val="none"/>
              </w:rPr>
              <w:t>分</w:t>
            </w:r>
            <w:r>
              <w:rPr>
                <w:rFonts w:hint="eastAsia" w:ascii="仿宋_GB2312" w:hAnsi="仿宋_GB2312" w:eastAsia="仿宋_GB2312" w:cs="仿宋_GB2312"/>
                <w:sz w:val="24"/>
                <w:highlight w:val="none"/>
                <w:lang w:eastAsia="zh-CN"/>
              </w:rPr>
              <w:t>；</w:t>
            </w:r>
          </w:p>
          <w:p>
            <w:pPr>
              <w:widowControl/>
              <w:spacing w:line="520" w:lineRule="exact"/>
              <w:ind w:firstLine="0" w:firstLineChars="0"/>
              <w:jc w:val="left"/>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项目实施方案不切合本项目的实际情况</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合理完善性差、可行性差或无提供的不得分</w:t>
            </w:r>
            <w:r>
              <w:rPr>
                <w:rFonts w:hint="eastAsia" w:ascii="仿宋_GB2312" w:hAnsi="仿宋_GB2312" w:eastAsia="仿宋_GB2312" w:cs="仿宋_GB2312"/>
                <w:sz w:val="24"/>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jc w:val="center"/>
        </w:trPr>
        <w:tc>
          <w:tcPr>
            <w:tcW w:w="561" w:type="dxa"/>
            <w:shd w:val="clear" w:color="auto" w:fill="auto"/>
            <w:vAlign w:val="center"/>
          </w:tcPr>
          <w:p>
            <w:pPr>
              <w:pStyle w:val="2"/>
              <w:spacing w:line="52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w:t>
            </w:r>
          </w:p>
        </w:tc>
        <w:tc>
          <w:tcPr>
            <w:tcW w:w="1662" w:type="dxa"/>
            <w:shd w:val="clear" w:color="auto" w:fill="auto"/>
            <w:vAlign w:val="center"/>
          </w:tcPr>
          <w:p>
            <w:pPr>
              <w:spacing w:line="52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售后服务保障</w:t>
            </w:r>
          </w:p>
          <w:p>
            <w:pPr>
              <w:spacing w:line="52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bCs/>
                <w:sz w:val="24"/>
                <w:highlight w:val="none"/>
              </w:rPr>
              <w:t>（</w:t>
            </w:r>
            <w:r>
              <w:rPr>
                <w:rFonts w:hint="eastAsia" w:ascii="仿宋_GB2312" w:hAnsi="仿宋_GB2312" w:eastAsia="仿宋_GB2312" w:cs="仿宋_GB2312"/>
                <w:bCs/>
                <w:sz w:val="24"/>
                <w:highlight w:val="none"/>
                <w:lang w:val="en-US" w:eastAsia="zh-CN"/>
              </w:rPr>
              <w:t>4</w:t>
            </w:r>
            <w:r>
              <w:rPr>
                <w:rFonts w:hint="eastAsia" w:ascii="仿宋_GB2312" w:hAnsi="仿宋_GB2312" w:eastAsia="仿宋_GB2312" w:cs="仿宋_GB2312"/>
                <w:bCs/>
                <w:sz w:val="24"/>
                <w:highlight w:val="none"/>
              </w:rPr>
              <w:t>分）</w:t>
            </w:r>
          </w:p>
        </w:tc>
        <w:tc>
          <w:tcPr>
            <w:tcW w:w="6371" w:type="dxa"/>
            <w:shd w:val="clear" w:color="auto" w:fill="auto"/>
          </w:tcPr>
          <w:p>
            <w:pPr>
              <w:widowControl/>
              <w:spacing w:line="520" w:lineRule="exact"/>
              <w:jc w:val="left"/>
              <w:rPr>
                <w:rFonts w:hint="eastAsia" w:ascii="仿宋_GB2312" w:hAnsi="仿宋_GB2312" w:eastAsia="仿宋_GB2312" w:cs="仿宋_GB2312"/>
                <w:strike w:val="0"/>
                <w:sz w:val="24"/>
                <w:highlight w:val="none"/>
              </w:rPr>
            </w:pPr>
            <w:r>
              <w:rPr>
                <w:rFonts w:hint="eastAsia" w:ascii="仿宋_GB2312" w:hAnsi="仿宋_GB2312" w:eastAsia="仿宋_GB2312" w:cs="仿宋_GB2312"/>
                <w:strike w:val="0"/>
                <w:sz w:val="24"/>
                <w:highlight w:val="none"/>
              </w:rPr>
              <w:t>对本项目售后服务体系（含保修期、维护保养及应急维修安排、管理和服务，提供服务的响应时间和期限）描述全面完善、作出计划保障可行性高，得</w:t>
            </w:r>
            <w:r>
              <w:rPr>
                <w:rFonts w:hint="eastAsia" w:ascii="仿宋_GB2312" w:hAnsi="仿宋_GB2312" w:eastAsia="仿宋_GB2312" w:cs="仿宋_GB2312"/>
                <w:strike w:val="0"/>
                <w:sz w:val="24"/>
                <w:highlight w:val="none"/>
                <w:lang w:eastAsia="zh-CN"/>
              </w:rPr>
              <w:t>4</w:t>
            </w:r>
            <w:r>
              <w:rPr>
                <w:rFonts w:hint="eastAsia" w:ascii="仿宋_GB2312" w:hAnsi="仿宋_GB2312" w:eastAsia="仿宋_GB2312" w:cs="仿宋_GB2312"/>
                <w:strike w:val="0"/>
                <w:sz w:val="24"/>
                <w:highlight w:val="none"/>
              </w:rPr>
              <w:t>分；</w:t>
            </w:r>
          </w:p>
          <w:p>
            <w:pPr>
              <w:widowControl/>
              <w:spacing w:line="520" w:lineRule="exact"/>
              <w:jc w:val="left"/>
              <w:rPr>
                <w:rFonts w:hint="eastAsia" w:ascii="仿宋_GB2312" w:hAnsi="仿宋_GB2312" w:eastAsia="仿宋_GB2312" w:cs="仿宋_GB2312"/>
                <w:strike w:val="0"/>
                <w:sz w:val="24"/>
                <w:highlight w:val="none"/>
              </w:rPr>
            </w:pPr>
            <w:r>
              <w:rPr>
                <w:rFonts w:hint="eastAsia" w:ascii="仿宋_GB2312" w:hAnsi="仿宋_GB2312" w:eastAsia="仿宋_GB2312" w:cs="仿宋_GB2312"/>
                <w:strike w:val="0"/>
                <w:sz w:val="24"/>
                <w:highlight w:val="none"/>
              </w:rPr>
              <w:t>针对本项目售后服务体系完善、作出计划保障可行性较高，得3分；</w:t>
            </w:r>
          </w:p>
          <w:p>
            <w:pPr>
              <w:widowControl/>
              <w:spacing w:line="520" w:lineRule="exact"/>
              <w:jc w:val="left"/>
              <w:rPr>
                <w:rFonts w:hint="eastAsia" w:ascii="仿宋_GB2312" w:hAnsi="仿宋_GB2312" w:eastAsia="仿宋_GB2312" w:cs="仿宋_GB2312"/>
                <w:strike w:val="0"/>
                <w:sz w:val="24"/>
                <w:highlight w:val="none"/>
              </w:rPr>
            </w:pPr>
            <w:r>
              <w:rPr>
                <w:rFonts w:hint="eastAsia" w:ascii="仿宋_GB2312" w:hAnsi="仿宋_GB2312" w:eastAsia="仿宋_GB2312" w:cs="仿宋_GB2312"/>
                <w:strike w:val="0"/>
                <w:sz w:val="24"/>
                <w:highlight w:val="none"/>
              </w:rPr>
              <w:t>针对本项目售后服务体系不够完善、作出计划保障具有一定的可行性，得2分；</w:t>
            </w:r>
          </w:p>
          <w:p>
            <w:pPr>
              <w:widowControl/>
              <w:spacing w:line="520" w:lineRule="exact"/>
              <w:jc w:val="left"/>
              <w:rPr>
                <w:rFonts w:hint="eastAsia" w:ascii="仿宋_GB2312" w:hAnsi="仿宋_GB2312" w:eastAsia="仿宋_GB2312" w:cs="仿宋_GB2312"/>
                <w:strike w:val="0"/>
                <w:sz w:val="24"/>
                <w:highlight w:val="none"/>
              </w:rPr>
            </w:pPr>
            <w:r>
              <w:rPr>
                <w:rFonts w:hint="eastAsia" w:ascii="仿宋_GB2312" w:hAnsi="仿宋_GB2312" w:eastAsia="仿宋_GB2312" w:cs="仿宋_GB2312"/>
                <w:strike w:val="0"/>
                <w:sz w:val="24"/>
                <w:highlight w:val="none"/>
              </w:rPr>
              <w:t>针对本项目售后服务体系一般、作出计划保障可行性较低，得1分；</w:t>
            </w:r>
          </w:p>
          <w:p>
            <w:pPr>
              <w:widowControl/>
              <w:spacing w:line="520" w:lineRule="exact"/>
              <w:jc w:val="left"/>
              <w:rPr>
                <w:rFonts w:hint="eastAsia" w:ascii="仿宋_GB2312" w:hAnsi="仿宋_GB2312" w:eastAsia="仿宋_GB2312" w:cs="仿宋_GB2312"/>
                <w:strike/>
                <w:sz w:val="24"/>
                <w:highlight w:val="none"/>
              </w:rPr>
            </w:pPr>
            <w:r>
              <w:rPr>
                <w:rFonts w:hint="eastAsia" w:ascii="仿宋_GB2312" w:hAnsi="仿宋_GB2312" w:eastAsia="仿宋_GB2312" w:cs="仿宋_GB2312"/>
                <w:strike w:val="0"/>
                <w:sz w:val="24"/>
                <w:highlight w:val="none"/>
              </w:rPr>
              <w:t>无提供0分。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jc w:val="center"/>
        </w:trPr>
        <w:tc>
          <w:tcPr>
            <w:tcW w:w="8594" w:type="dxa"/>
            <w:gridSpan w:val="3"/>
            <w:shd w:val="clear" w:color="auto" w:fill="auto"/>
            <w:vAlign w:val="center"/>
          </w:tcPr>
          <w:p>
            <w:pPr>
              <w:adjustRightInd w:val="0"/>
              <w:snapToGrid w:val="0"/>
              <w:spacing w:line="54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合计（</w:t>
            </w:r>
            <w:r>
              <w:rPr>
                <w:rFonts w:hint="eastAsia" w:ascii="仿宋_GB2312" w:hAnsi="仿宋_GB2312" w:eastAsia="仿宋_GB2312" w:cs="仿宋_GB2312"/>
                <w:sz w:val="24"/>
                <w:highlight w:val="none"/>
                <w:lang w:val="en-US" w:eastAsia="zh-CN"/>
              </w:rPr>
              <w:t>40</w:t>
            </w:r>
            <w:r>
              <w:rPr>
                <w:rFonts w:hint="eastAsia" w:ascii="仿宋_GB2312" w:hAnsi="仿宋_GB2312" w:eastAsia="仿宋_GB2312" w:cs="仿宋_GB2312"/>
                <w:sz w:val="24"/>
                <w:highlight w:val="none"/>
              </w:rPr>
              <w:t>分）</w:t>
            </w:r>
          </w:p>
        </w:tc>
      </w:tr>
    </w:tbl>
    <w:p>
      <w:pPr>
        <w:rPr>
          <w:rFonts w:hint="eastAsia" w:ascii="仿宋_GB2312" w:hAnsi="仿宋_GB2312" w:eastAsia="仿宋_GB2312" w:cs="仿宋_GB2312"/>
          <w:highlight w:val="none"/>
        </w:rPr>
        <w:sectPr>
          <w:headerReference r:id="rId11" w:type="default"/>
          <w:pgSz w:w="11906" w:h="16838"/>
          <w:pgMar w:top="1440" w:right="1558" w:bottom="1440" w:left="1800" w:header="1077" w:footer="1020" w:gutter="0"/>
          <w:cols w:space="0" w:num="1"/>
          <w:docGrid w:linePitch="312" w:charSpace="0"/>
        </w:sectPr>
      </w:pPr>
    </w:p>
    <w:p>
      <w:pPr>
        <w:pStyle w:val="3"/>
        <w:rPr>
          <w:rFonts w:hint="eastAsia" w:ascii="仿宋_GB2312" w:hAnsi="仿宋_GB2312" w:eastAsia="仿宋_GB2312" w:cs="仿宋_GB2312"/>
          <w:highlight w:val="none"/>
        </w:rPr>
      </w:pPr>
      <w:bookmarkStart w:id="169" w:name="_Toc23821"/>
      <w:bookmarkStart w:id="170" w:name="_Toc23014"/>
      <w:bookmarkStart w:id="171" w:name="_Toc28801"/>
      <w:r>
        <w:rPr>
          <w:rFonts w:hint="eastAsia" w:ascii="仿宋_GB2312" w:hAnsi="仿宋_GB2312" w:eastAsia="仿宋_GB2312" w:cs="仿宋_GB2312"/>
          <w:highlight w:val="none"/>
        </w:rPr>
        <w:t>第五章 合同</w:t>
      </w:r>
      <w:bookmarkEnd w:id="169"/>
      <w:r>
        <w:rPr>
          <w:rFonts w:hint="eastAsia" w:ascii="仿宋_GB2312" w:hAnsi="仿宋_GB2312" w:eastAsia="仿宋_GB2312" w:cs="仿宋_GB2312"/>
          <w:highlight w:val="none"/>
        </w:rPr>
        <w:t>草案</w:t>
      </w:r>
      <w:bookmarkEnd w:id="170"/>
    </w:p>
    <w:p>
      <w:pPr>
        <w:snapToGrid w:val="0"/>
        <w:spacing w:line="360" w:lineRule="auto"/>
        <w:jc w:val="center"/>
        <w:rPr>
          <w:rFonts w:hint="eastAsia" w:ascii="仿宋_GB2312" w:hAnsi="仿宋_GB2312" w:eastAsia="仿宋_GB2312" w:cs="仿宋_GB2312"/>
          <w:b/>
          <w:bCs/>
          <w:sz w:val="32"/>
          <w:szCs w:val="32"/>
          <w:highlight w:val="none"/>
        </w:rPr>
      </w:pPr>
    </w:p>
    <w:p>
      <w:pPr>
        <w:adjustRightInd w:val="0"/>
        <w:snapToGrid w:val="0"/>
        <w:spacing w:line="480" w:lineRule="auto"/>
        <w:jc w:val="center"/>
        <w:rPr>
          <w:rFonts w:hint="eastAsia" w:ascii="仿宋_GB2312" w:hAnsi="仿宋_GB2312" w:eastAsia="仿宋_GB2312" w:cs="仿宋_GB2312"/>
          <w:b/>
          <w:bCs/>
          <w:sz w:val="52"/>
          <w:szCs w:val="52"/>
          <w:highlight w:val="none"/>
        </w:rPr>
      </w:pPr>
    </w:p>
    <w:p>
      <w:pPr>
        <w:adjustRightInd w:val="0"/>
        <w:snapToGrid w:val="0"/>
        <w:spacing w:line="480" w:lineRule="auto"/>
        <w:jc w:val="center"/>
        <w:rPr>
          <w:rFonts w:hint="eastAsia" w:ascii="仿宋_GB2312" w:hAnsi="仿宋_GB2312" w:eastAsia="仿宋_GB2312" w:cs="仿宋_GB2312"/>
          <w:b/>
          <w:bCs/>
          <w:sz w:val="96"/>
          <w:szCs w:val="96"/>
          <w:highlight w:val="none"/>
        </w:rPr>
      </w:pPr>
      <w:r>
        <w:rPr>
          <w:rFonts w:hint="eastAsia" w:ascii="仿宋_GB2312" w:hAnsi="仿宋_GB2312" w:eastAsia="仿宋_GB2312" w:cs="仿宋_GB2312"/>
          <w:b/>
          <w:bCs/>
          <w:sz w:val="96"/>
          <w:szCs w:val="96"/>
          <w:highlight w:val="none"/>
        </w:rPr>
        <w:t>合 同 书</w:t>
      </w:r>
    </w:p>
    <w:p>
      <w:pPr>
        <w:snapToGrid w:val="0"/>
        <w:spacing w:line="600" w:lineRule="exact"/>
        <w:ind w:firstLine="241" w:firstLineChars="100"/>
        <w:rPr>
          <w:rFonts w:hint="eastAsia" w:ascii="仿宋_GB2312" w:hAnsi="仿宋_GB2312" w:eastAsia="仿宋_GB2312" w:cs="仿宋_GB2312"/>
          <w:b/>
          <w:bCs/>
          <w:sz w:val="24"/>
          <w:highlight w:val="none"/>
        </w:rPr>
      </w:pPr>
    </w:p>
    <w:p>
      <w:pPr>
        <w:snapToGrid w:val="0"/>
        <w:spacing w:line="600" w:lineRule="exact"/>
        <w:ind w:firstLine="241" w:firstLineChars="100"/>
        <w:rPr>
          <w:rFonts w:hint="eastAsia" w:ascii="仿宋_GB2312" w:hAnsi="仿宋_GB2312" w:eastAsia="仿宋_GB2312" w:cs="仿宋_GB2312"/>
          <w:b/>
          <w:bCs/>
          <w:sz w:val="24"/>
          <w:highlight w:val="none"/>
        </w:rPr>
      </w:pPr>
    </w:p>
    <w:p>
      <w:pPr>
        <w:snapToGrid w:val="0"/>
        <w:spacing w:line="600" w:lineRule="exact"/>
        <w:ind w:firstLine="241" w:firstLineChars="100"/>
        <w:rPr>
          <w:rFonts w:hint="eastAsia" w:ascii="仿宋_GB2312" w:hAnsi="仿宋_GB2312" w:eastAsia="仿宋_GB2312" w:cs="仿宋_GB2312"/>
          <w:b/>
          <w:bCs/>
          <w:sz w:val="24"/>
          <w:highlight w:val="none"/>
        </w:rPr>
      </w:pPr>
    </w:p>
    <w:p>
      <w:pPr>
        <w:snapToGrid w:val="0"/>
        <w:spacing w:line="600" w:lineRule="exact"/>
        <w:ind w:firstLine="241" w:firstLineChars="100"/>
        <w:rPr>
          <w:rFonts w:hint="eastAsia" w:ascii="仿宋_GB2312" w:hAnsi="仿宋_GB2312" w:eastAsia="仿宋_GB2312" w:cs="仿宋_GB2312"/>
          <w:b/>
          <w:bCs/>
          <w:sz w:val="24"/>
          <w:highlight w:val="none"/>
        </w:rPr>
      </w:pPr>
    </w:p>
    <w:p>
      <w:pPr>
        <w:snapToGrid w:val="0"/>
        <w:spacing w:line="600" w:lineRule="exact"/>
        <w:ind w:firstLine="241" w:firstLineChars="100"/>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项目名称：　　　　　　　　　　　　　　　　</w:t>
      </w:r>
    </w:p>
    <w:p>
      <w:pPr>
        <w:snapToGrid w:val="0"/>
        <w:spacing w:line="600" w:lineRule="exact"/>
        <w:ind w:firstLine="241" w:firstLineChars="100"/>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 xml:space="preserve">项目编号：　　　　　　　　　　　　　　　　 </w:t>
      </w:r>
    </w:p>
    <w:p>
      <w:pPr>
        <w:snapToGrid w:val="0"/>
        <w:spacing w:line="600" w:lineRule="exact"/>
        <w:ind w:firstLine="241" w:firstLineChars="100"/>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 xml:space="preserve">甲方（全称）：　　　　　　　　　　　　　　 </w:t>
      </w:r>
    </w:p>
    <w:p>
      <w:pPr>
        <w:snapToGrid w:val="0"/>
        <w:spacing w:line="600" w:lineRule="exact"/>
        <w:ind w:firstLine="241" w:firstLineChars="100"/>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乙方（全称）：　　　　　　　　　　　　　　</w:t>
      </w:r>
    </w:p>
    <w:p>
      <w:pPr>
        <w:snapToGrid w:val="0"/>
        <w:spacing w:line="600" w:lineRule="exact"/>
        <w:ind w:firstLine="241" w:firstLineChars="100"/>
        <w:rPr>
          <w:rFonts w:hint="eastAsia" w:ascii="仿宋_GB2312" w:hAnsi="仿宋_GB2312" w:eastAsia="仿宋_GB2312" w:cs="仿宋_GB2312"/>
          <w:b/>
          <w:bCs/>
          <w:sz w:val="24"/>
          <w:highlight w:val="none"/>
        </w:rPr>
      </w:pPr>
    </w:p>
    <w:p>
      <w:pPr>
        <w:snapToGrid w:val="0"/>
        <w:spacing w:line="600" w:lineRule="exact"/>
        <w:ind w:firstLine="241" w:firstLineChars="100"/>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签订日期：</w:t>
      </w:r>
    </w:p>
    <w:p>
      <w:pPr>
        <w:snapToGrid w:val="0"/>
        <w:spacing w:line="600" w:lineRule="exact"/>
        <w:ind w:firstLine="241" w:firstLineChars="100"/>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 xml:space="preserve">签订地点：　　　　　　　　　　　　　                   </w:t>
      </w:r>
    </w:p>
    <w:p>
      <w:pPr>
        <w:spacing w:line="360" w:lineRule="exact"/>
        <w:rPr>
          <w:rFonts w:hint="eastAsia" w:ascii="仿宋_GB2312" w:hAnsi="仿宋_GB2312" w:eastAsia="仿宋_GB2312" w:cs="仿宋_GB2312"/>
          <w:b/>
          <w:sz w:val="24"/>
          <w:highlight w:val="none"/>
        </w:rPr>
      </w:pPr>
    </w:p>
    <w:p>
      <w:pPr>
        <w:spacing w:line="600" w:lineRule="exact"/>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br w:type="page"/>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采购人（甲方）：</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供货人（乙方）：</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签订地点：</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项目名称：</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项目编号：</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本项目根据《中华人民共和国合同法》之规定及招标文件、中标（成交）通知书等相关资料的要求，经甲乙双方充分协商，特订立本合同，以便共同遵守。</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一、货物内容</w:t>
      </w:r>
    </w:p>
    <w:tbl>
      <w:tblPr>
        <w:tblStyle w:val="23"/>
        <w:tblW w:w="85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030"/>
        <w:gridCol w:w="1129"/>
        <w:gridCol w:w="2125"/>
        <w:gridCol w:w="1160"/>
        <w:gridCol w:w="2037"/>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120" w:hRule="atLeast"/>
        </w:trPr>
        <w:tc>
          <w:tcPr>
            <w:tcW w:w="1030"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序号</w:t>
            </w:r>
          </w:p>
        </w:tc>
        <w:tc>
          <w:tcPr>
            <w:tcW w:w="1129"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货物名称</w:t>
            </w:r>
          </w:p>
        </w:tc>
        <w:tc>
          <w:tcPr>
            <w:tcW w:w="2125"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品牌、规格型号、主要配置</w:t>
            </w:r>
          </w:p>
        </w:tc>
        <w:tc>
          <w:tcPr>
            <w:tcW w:w="1160"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数量</w:t>
            </w:r>
          </w:p>
        </w:tc>
        <w:tc>
          <w:tcPr>
            <w:tcW w:w="2037"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单价</w:t>
            </w:r>
          </w:p>
        </w:tc>
        <w:tc>
          <w:tcPr>
            <w:tcW w:w="1108"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120" w:hRule="atLeast"/>
        </w:trPr>
        <w:tc>
          <w:tcPr>
            <w:tcW w:w="1030"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w:t>
            </w:r>
          </w:p>
        </w:tc>
        <w:tc>
          <w:tcPr>
            <w:tcW w:w="1129"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c>
          <w:tcPr>
            <w:tcW w:w="2125"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c>
          <w:tcPr>
            <w:tcW w:w="1160"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c>
          <w:tcPr>
            <w:tcW w:w="2037"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c>
          <w:tcPr>
            <w:tcW w:w="1108"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120" w:hRule="atLeast"/>
        </w:trPr>
        <w:tc>
          <w:tcPr>
            <w:tcW w:w="1030"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2</w:t>
            </w:r>
          </w:p>
        </w:tc>
        <w:tc>
          <w:tcPr>
            <w:tcW w:w="1129"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c>
          <w:tcPr>
            <w:tcW w:w="2125"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c>
          <w:tcPr>
            <w:tcW w:w="1160"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c>
          <w:tcPr>
            <w:tcW w:w="2037"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c>
          <w:tcPr>
            <w:tcW w:w="1108"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120" w:hRule="atLeast"/>
        </w:trPr>
        <w:tc>
          <w:tcPr>
            <w:tcW w:w="1030"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3</w:t>
            </w:r>
          </w:p>
        </w:tc>
        <w:tc>
          <w:tcPr>
            <w:tcW w:w="1129"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c>
          <w:tcPr>
            <w:tcW w:w="2125"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c>
          <w:tcPr>
            <w:tcW w:w="1160"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c>
          <w:tcPr>
            <w:tcW w:w="2037"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c>
          <w:tcPr>
            <w:tcW w:w="1108"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120" w:hRule="atLeast"/>
        </w:trPr>
        <w:tc>
          <w:tcPr>
            <w:tcW w:w="1030"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4</w:t>
            </w:r>
          </w:p>
        </w:tc>
        <w:tc>
          <w:tcPr>
            <w:tcW w:w="1129"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c>
          <w:tcPr>
            <w:tcW w:w="2125"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c>
          <w:tcPr>
            <w:tcW w:w="1160"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c>
          <w:tcPr>
            <w:tcW w:w="2037"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c>
          <w:tcPr>
            <w:tcW w:w="1108"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140" w:hRule="atLeast"/>
        </w:trPr>
        <w:tc>
          <w:tcPr>
            <w:tcW w:w="1030"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5</w:t>
            </w:r>
          </w:p>
        </w:tc>
        <w:tc>
          <w:tcPr>
            <w:tcW w:w="6451" w:type="dxa"/>
            <w:gridSpan w:val="4"/>
            <w:tcBorders>
              <w:tl2br w:val="nil"/>
              <w:tr2bl w:val="nil"/>
            </w:tcBorders>
            <w:vAlign w:val="center"/>
          </w:tcPr>
          <w:p>
            <w:pPr>
              <w:spacing w:line="600" w:lineRule="exact"/>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其他设备及施工、安装、调试、运输、培训、税费等所有费用</w:t>
            </w:r>
          </w:p>
        </w:tc>
        <w:tc>
          <w:tcPr>
            <w:tcW w:w="1108" w:type="dxa"/>
            <w:tcBorders>
              <w:tl2br w:val="nil"/>
              <w:tr2bl w:val="nil"/>
            </w:tcBorders>
            <w:vAlign w:val="center"/>
          </w:tcPr>
          <w:p>
            <w:pPr>
              <w:spacing w:line="600" w:lineRule="exact"/>
              <w:jc w:val="center"/>
              <w:rPr>
                <w:rFonts w:hint="eastAsia" w:ascii="仿宋_GB2312" w:hAnsi="仿宋_GB2312" w:eastAsia="仿宋_GB2312" w:cs="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140" w:hRule="atLeast"/>
        </w:trPr>
        <w:tc>
          <w:tcPr>
            <w:tcW w:w="8589" w:type="dxa"/>
            <w:gridSpan w:val="6"/>
            <w:tcBorders>
              <w:tl2br w:val="nil"/>
              <w:tr2bl w:val="nil"/>
            </w:tcBorders>
          </w:tcPr>
          <w:p>
            <w:pPr>
              <w:spacing w:line="600" w:lineRule="exact"/>
              <w:jc w:val="center"/>
              <w:rPr>
                <w:rFonts w:hint="eastAsia" w:ascii="仿宋_GB2312" w:hAnsi="仿宋_GB2312" w:eastAsia="仿宋_GB2312" w:cs="仿宋_GB2312"/>
                <w:color w:val="000000"/>
                <w:sz w:val="24"/>
                <w:highlight w:val="none"/>
                <w:u w:val="single"/>
              </w:rPr>
            </w:pPr>
            <w:r>
              <w:rPr>
                <w:rFonts w:hint="eastAsia" w:ascii="仿宋_GB2312" w:hAnsi="仿宋_GB2312" w:eastAsia="仿宋_GB2312" w:cs="仿宋_GB2312"/>
                <w:color w:val="000000"/>
                <w:sz w:val="24"/>
                <w:highlight w:val="none"/>
              </w:rPr>
              <w:t>合计总额：￥</w:t>
            </w:r>
            <w:r>
              <w:rPr>
                <w:rFonts w:hint="eastAsia" w:ascii="仿宋_GB2312" w:hAnsi="仿宋_GB2312" w:eastAsia="仿宋_GB2312" w:cs="仿宋_GB2312"/>
                <w:color w:val="000000"/>
                <w:sz w:val="24"/>
                <w:highlight w:val="none"/>
                <w:u w:val="single"/>
              </w:rPr>
              <w:t xml:space="preserve">           </w:t>
            </w:r>
            <w:r>
              <w:rPr>
                <w:rFonts w:hint="eastAsia" w:ascii="仿宋_GB2312" w:hAnsi="仿宋_GB2312" w:eastAsia="仿宋_GB2312" w:cs="仿宋_GB2312"/>
                <w:color w:val="000000"/>
                <w:sz w:val="24"/>
                <w:highlight w:val="none"/>
              </w:rPr>
              <w:t>元；大写：</w:t>
            </w:r>
            <w:r>
              <w:rPr>
                <w:rFonts w:hint="eastAsia" w:ascii="仿宋_GB2312" w:hAnsi="仿宋_GB2312" w:eastAsia="仿宋_GB2312" w:cs="仿宋_GB2312"/>
                <w:color w:val="000000"/>
                <w:sz w:val="24"/>
                <w:highlight w:val="none"/>
                <w:u w:val="single"/>
              </w:rPr>
              <w:t xml:space="preserve">            </w:t>
            </w:r>
          </w:p>
        </w:tc>
      </w:tr>
    </w:tbl>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二、合同金额</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（一）本合同金额为(大写):</w:t>
      </w:r>
      <w:r>
        <w:rPr>
          <w:rFonts w:hint="eastAsia" w:ascii="仿宋_GB2312" w:hAnsi="仿宋_GB2312" w:eastAsia="仿宋_GB2312" w:cs="仿宋_GB2312"/>
          <w:color w:val="000000"/>
          <w:sz w:val="24"/>
          <w:highlight w:val="none"/>
          <w:u w:val="single"/>
        </w:rPr>
        <w:t xml:space="preserve">           </w:t>
      </w:r>
      <w:r>
        <w:rPr>
          <w:rFonts w:hint="eastAsia" w:ascii="仿宋_GB2312" w:hAnsi="仿宋_GB2312" w:eastAsia="仿宋_GB2312" w:cs="仿宋_GB2312"/>
          <w:color w:val="000000"/>
          <w:sz w:val="24"/>
          <w:highlight w:val="none"/>
        </w:rPr>
        <w:t>元(￥:</w:t>
      </w:r>
      <w:r>
        <w:rPr>
          <w:rFonts w:hint="eastAsia" w:ascii="仿宋_GB2312" w:hAnsi="仿宋_GB2312" w:eastAsia="仿宋_GB2312" w:cs="仿宋_GB2312"/>
          <w:color w:val="000000"/>
          <w:sz w:val="24"/>
          <w:highlight w:val="none"/>
          <w:u w:val="single"/>
        </w:rPr>
        <w:t xml:space="preserve">           </w:t>
      </w:r>
      <w:r>
        <w:rPr>
          <w:rFonts w:hint="eastAsia" w:ascii="仿宋_GB2312" w:hAnsi="仿宋_GB2312" w:eastAsia="仿宋_GB2312" w:cs="仿宋_GB2312"/>
          <w:color w:val="000000"/>
          <w:sz w:val="24"/>
          <w:highlight w:val="none"/>
        </w:rPr>
        <w:t>元) 人民币。</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三、质量标准和要求</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一）乙方保证本合同中所供应的货物质量标准按照国家标准、行业标准或制造厂家企业标准确定，上述标准不一致的，以最新的标准为准。没有国家标准、行业标准和企业标准的，按照通常标准或者符合本合同目的的特定标准确定。</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（二）乙方所出售的货物应符合国家有关反恐怖防范、安全生产、环保、职业卫生等规定。</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四、技术资料</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（一）乙方应按招标文件规定的时间向甲方提供货物的有关技术资料。</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二）未经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五、知识产权</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乙方应保证所提供的货物或其任何一部分均不会侵犯任何第三方的专利权、商标权或著作权，否则由此产生的一切后果由乙方负全责。</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六、供货期限与方式</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双方约定进行。在接到采购人通知在5个工作日之内响应，并按要求将货物送达至甲方指定地点进行安装调试。</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七、履约保证金：保证金按合同总价5%收取，验收合格后，履约保证金自动转为质量保证金，质量保证金自项目验收之日起正常使用两年后无息返还。</w:t>
      </w:r>
    </w:p>
    <w:p>
      <w:pPr>
        <w:tabs>
          <w:tab w:val="left" w:pos="630"/>
        </w:tabs>
        <w:spacing w:line="600" w:lineRule="exact"/>
        <w:ind w:firstLine="480" w:firstLineChars="200"/>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八、付款方式：（1）双方签订合同后，甲方在5个工作日内付订金30%；（2）</w:t>
      </w:r>
      <w:r>
        <w:rPr>
          <w:rFonts w:hint="eastAsia" w:ascii="仿宋_GB2312" w:hAnsi="仿宋_GB2312" w:eastAsia="仿宋_GB2312" w:cs="仿宋_GB2312"/>
          <w:sz w:val="24"/>
          <w:highlight w:val="none"/>
        </w:rPr>
        <w:t>乙方完成监狱供货后并验收合格，在5个工作日内凭国家正式发票向</w:t>
      </w:r>
      <w:r>
        <w:rPr>
          <w:rFonts w:hint="eastAsia" w:ascii="仿宋_GB2312" w:hAnsi="仿宋_GB2312" w:eastAsia="仿宋_GB2312" w:cs="仿宋_GB2312"/>
          <w:color w:val="000000"/>
          <w:sz w:val="24"/>
          <w:highlight w:val="none"/>
        </w:rPr>
        <w:t>甲方</w:t>
      </w:r>
      <w:r>
        <w:rPr>
          <w:rFonts w:hint="eastAsia" w:ascii="仿宋_GB2312" w:hAnsi="仿宋_GB2312" w:eastAsia="仿宋_GB2312" w:cs="仿宋_GB2312"/>
          <w:sz w:val="24"/>
          <w:highlight w:val="none"/>
        </w:rPr>
        <w:t>申请付款，</w:t>
      </w:r>
      <w:r>
        <w:rPr>
          <w:rFonts w:hint="eastAsia" w:ascii="仿宋_GB2312" w:hAnsi="仿宋_GB2312" w:eastAsia="仿宋_GB2312" w:cs="仿宋_GB2312"/>
          <w:color w:val="000000"/>
          <w:sz w:val="24"/>
          <w:highlight w:val="none"/>
        </w:rPr>
        <w:t>甲方</w:t>
      </w:r>
      <w:r>
        <w:rPr>
          <w:rFonts w:hint="eastAsia" w:ascii="仿宋_GB2312" w:hAnsi="仿宋_GB2312" w:eastAsia="仿宋_GB2312" w:cs="仿宋_GB2312"/>
          <w:sz w:val="24"/>
          <w:highlight w:val="none"/>
        </w:rPr>
        <w:t>收到申请后在5天内结清所有货款。在甲方银行发生的银行费用由甲方承担，在甲方银行以外发生的银行费用由乙方承担。</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九、质量保证及售后服务</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（一）乙方应按招标文件规定的货物性能、技术要求、质量标准向甲方提供未经使用的全新产品。</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二）乙方提供货物的质保期不少于24个月（自交货验收合格之日起算）。在质保期内因货物本身的质量问题发生故障，乙方应负责免费更换。对达不到技术要求者，根据实际情况，经双方协商，可以按以下办法处理：1.更换：由乙方承担所发生的全部费用。2.贬值处理：由甲乙双方合议定价。</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3.退货处理: 乙方应退还甲方支付的合同款，同时应承担该货物的全部费用（运输、保险、检验、货款利息及银行手续费等）。</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（三）如在使用过程中发生质量问题，乙方在接到甲方通知后在24小时内到达甲方现场。</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（四）在质保期内,乙方应对货物出现的质量及安全问题负责处理解决并承担一切费用。</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（五）超过质保期的设备,维修时只收部件成本费。</w:t>
      </w:r>
    </w:p>
    <w:p>
      <w:pPr>
        <w:spacing w:line="600" w:lineRule="exact"/>
        <w:ind w:firstLine="480" w:firstLineChars="200"/>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十、验收</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（一）甲方对乙方提交的货物依据招标文件上的技术规格要求和国家有关质量标准进行现场初步验收，外观、说明书符合招标文件技术要求的，给予签收，初步验收不合格的不予签收。</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（二）乙方交货前应对产品做出全面检查,并列出清单,作为甲方收货验收和使用的技术条件依据,检验的结果应随货物交甲方。</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（三）甲方对乙方提供的货物符合技术要求,甲方才做最终验收。</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(四）验收时必须按照司法部《监管场所无人机防控系统验收功能性能测试表》规定内容测试，达不到技术要求的必须整改，经整改后仍然不达标的可退货处理或终止合同处理。</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十一、货物包装、发运及运输</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（一）乙方应在货物发运前对其进行满足运输距离、防潮、防震、防锈和防破损装卸等要求包装，以保证货物安全运达甲方指定地点。</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（二）使用说明书、质量检验证明书、随配附件和工具以及清单一并附于货物内。</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（三）乙方在货物发运手续办理完毕后24小时内或货到甲方48小时前通知甲方，以准备接货。</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（四）货物在交付甲方前发生的风险均由乙方负责。</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十二、违约责任</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（一）甲方无正当理由拒收货物的，甲方向乙方偿付拒收货款总值的百分之2的违约金。</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二）乙方逾期交付货物的，乙方应按逾期交货总额每日1%向甲方支付违约金，由甲方从待付货款中扣除。逾期超过约定日期十个工作日不能交货的，甲方可解除本合同。如造成甲方损失超过违约金的，超出部分由乙方继续承担赔偿责任。</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三）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十三、不可抗力</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2.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十四、争议的解决</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在履行合同过程中发生争议的，双方协商解决，协商不成的，依法向甲方所在地有管辖权的人民法院提起诉讼。</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十五、合同生效及其它</w:t>
      </w:r>
    </w:p>
    <w:p>
      <w:pPr>
        <w:spacing w:line="600" w:lineRule="exact"/>
        <w:ind w:firstLine="480" w:firstLineChars="200"/>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（一）合同经双方法定代表人或授权代表签字并盖章后生效。</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 xml:space="preserve">（二）下列的招标文件及有关附件是本合同不可分割的组成部分，与本合同具有同等法律效力，这些文件包括但不限于：①招标文件；②乙方提供的投标文件；③服务承诺；④甲乙双方商定的其他文件。以上附件顺序在前的具有优先解释权。 </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（三）本合同未尽事宜，双方协商解决。</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（四）本合同正本一式6份，具有同等法律效力。</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甲方（盖章）：                   乙方（盖章）：</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地址：                           地址：</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法定代表人：                     法定代表人：</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被授权人：                       被授权人：</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电话：                           电话：</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传真：                           传真：</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邮政编码：                       邮政编码：</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开户银行：                       开户银行：</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帐号：                           帐号：</w:t>
      </w:r>
    </w:p>
    <w:p>
      <w:pPr>
        <w:spacing w:line="600" w:lineRule="exact"/>
        <w:ind w:firstLine="480" w:firstLineChars="20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签订地点：                       签订日期：</w:t>
      </w:r>
    </w:p>
    <w:p>
      <w:pPr>
        <w:spacing w:line="240" w:lineRule="auto"/>
        <w:ind w:firstLine="0" w:firstLineChars="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附录A：监管场所无人机防控系统验收功能性能测试表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表A.1、监管场所无人机防控系统功能测试记录表</w:t>
      </w:r>
    </w:p>
    <w:tbl>
      <w:tblPr>
        <w:tblStyle w:val="24"/>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645"/>
        <w:gridCol w:w="580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类别</w:t>
            </w: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序号</w:t>
            </w:r>
          </w:p>
        </w:tc>
        <w:tc>
          <w:tcPr>
            <w:tcW w:w="58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功能项</w:t>
            </w:r>
          </w:p>
        </w:tc>
        <w:tc>
          <w:tcPr>
            <w:tcW w:w="15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测试结论（合格\不合格）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侦测功能</w:t>
            </w: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能够对无人机入侵进行预警、跟踪</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2</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能够同时预警、跟踪多个方向、多批次入侵的无人机</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3</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能够识别我方无人机无线电特征并录入识别库，实现敌我识别</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4</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具备无人机识别库，能够自动识别目标</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5</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能够对非建库目标进行识别更新识别库</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6</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识别库可升级、更新</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7</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能够采集入侵无人机的方位、距离</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8</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能够定位无人机操控者</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9</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能够自动向管控平台或值班人员提供探测区域内的无人机飞入或起飞的报警信息</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反制功能</w:t>
            </w: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10</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固定式设备应具备自动和手动控制模式，可由无人机综合管控中心设备组网引导设备自动工作</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11</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固定式设备可具备自动根据探测到的无人机信号频率产生对应干扰频率（精准干扰）的功能</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管理功能</w:t>
            </w: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12</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统一界面，可集成管理无线电侦测、无线电信号阻断设备</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13</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能够定义管控区域</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14</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平台可自动操控无线电侦测、完成无人机发现、识别、告警、定位、处置，配置固定式无线电阻断设备时应能够实现自动打击</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15</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具备监测显示无人机方位、距离能力</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16</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具备对无人机从探测发现到处置信息的记录、查询，信息存储天数应不低于90天</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17</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具备通过有线组网方式，实现对区域内多套无人机探测和防御设施实施远程指挥、远程控制以及资源分配与调度的功能</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18</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具备对各设备工作状态和使用的管理功能，实时监测各个设备的工作状态</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p>
        </w:tc>
        <w:tc>
          <w:tcPr>
            <w:tcW w:w="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19</w:t>
            </w:r>
          </w:p>
        </w:tc>
        <w:tc>
          <w:tcPr>
            <w:tcW w:w="58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具备用户访问管理功能，按照不同访问权限实现对系统的访问，调取相应数据信息</w:t>
            </w:r>
          </w:p>
        </w:tc>
        <w:tc>
          <w:tcPr>
            <w:tcW w:w="151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表A.2监管场所无人机防控系统性能测试记录表</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732"/>
        <w:gridCol w:w="2173"/>
        <w:gridCol w:w="123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序号</w:t>
            </w:r>
          </w:p>
        </w:tc>
        <w:tc>
          <w:tcPr>
            <w:tcW w:w="27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指标</w:t>
            </w:r>
          </w:p>
        </w:tc>
        <w:tc>
          <w:tcPr>
            <w:tcW w:w="21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合格判定</w:t>
            </w:r>
          </w:p>
        </w:tc>
        <w:tc>
          <w:tcPr>
            <w:tcW w:w="1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测试数据</w:t>
            </w: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测试结论（合格\不合格）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w:t>
            </w:r>
          </w:p>
        </w:tc>
        <w:tc>
          <w:tcPr>
            <w:tcW w:w="2732"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系统最小探测距离</w:t>
            </w:r>
          </w:p>
        </w:tc>
        <w:tc>
          <w:tcPr>
            <w:tcW w:w="217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大于或等于1400M</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c>
          <w:tcPr>
            <w:tcW w:w="17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2</w:t>
            </w:r>
          </w:p>
        </w:tc>
        <w:tc>
          <w:tcPr>
            <w:tcW w:w="2732"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系统平均发现目标时间</w:t>
            </w:r>
          </w:p>
        </w:tc>
        <w:tc>
          <w:tcPr>
            <w:tcW w:w="217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≤5S（±3S）</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c>
          <w:tcPr>
            <w:tcW w:w="17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3</w:t>
            </w:r>
          </w:p>
        </w:tc>
        <w:tc>
          <w:tcPr>
            <w:tcW w:w="2732"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系统最小反制距离</w:t>
            </w:r>
          </w:p>
        </w:tc>
        <w:tc>
          <w:tcPr>
            <w:tcW w:w="217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大于或等于200M</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c>
          <w:tcPr>
            <w:tcW w:w="17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4</w:t>
            </w:r>
          </w:p>
        </w:tc>
        <w:tc>
          <w:tcPr>
            <w:tcW w:w="2732"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系统探测概率</w:t>
            </w:r>
          </w:p>
        </w:tc>
        <w:tc>
          <w:tcPr>
            <w:tcW w:w="217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≥95%</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c>
          <w:tcPr>
            <w:tcW w:w="17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5</w:t>
            </w:r>
          </w:p>
        </w:tc>
        <w:tc>
          <w:tcPr>
            <w:tcW w:w="2732"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系统干扰成功率</w:t>
            </w:r>
          </w:p>
        </w:tc>
        <w:tc>
          <w:tcPr>
            <w:tcW w:w="217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≥95%</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c>
          <w:tcPr>
            <w:tcW w:w="170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4"/>
                <w:szCs w:val="24"/>
                <w:highlight w:val="none"/>
                <w:vertAlign w:val="baseline"/>
                <w:lang w:val="en-US" w:eastAsia="zh-CN"/>
              </w:rPr>
            </w:pPr>
          </w:p>
        </w:tc>
      </w:tr>
    </w:tbl>
    <w:p>
      <w:pPr>
        <w:pStyle w:val="2"/>
        <w:rPr>
          <w:rFonts w:hint="eastAsia" w:ascii="仿宋_GB2312" w:hAnsi="仿宋_GB2312" w:eastAsia="仿宋_GB2312" w:cs="仿宋_GB2312"/>
          <w:highlight w:val="none"/>
        </w:rPr>
      </w:pPr>
    </w:p>
    <w:p>
      <w:pPr>
        <w:snapToGrid w:val="0"/>
        <w:spacing w:line="560" w:lineRule="exact"/>
        <w:rPr>
          <w:rFonts w:hint="eastAsia" w:ascii="仿宋_GB2312" w:hAnsi="仿宋_GB2312" w:eastAsia="仿宋_GB2312" w:cs="仿宋_GB2312"/>
          <w:sz w:val="24"/>
          <w:highlight w:val="none"/>
        </w:rPr>
      </w:pPr>
    </w:p>
    <w:p>
      <w:pPr>
        <w:spacing w:line="600" w:lineRule="exact"/>
        <w:rPr>
          <w:rFonts w:hint="eastAsia" w:ascii="仿宋_GB2312" w:hAnsi="仿宋_GB2312" w:eastAsia="仿宋_GB2312" w:cs="仿宋_GB2312"/>
          <w:sz w:val="24"/>
          <w:highlight w:val="none"/>
        </w:rPr>
        <w:sectPr>
          <w:headerReference r:id="rId12" w:type="default"/>
          <w:pgSz w:w="11906" w:h="16838"/>
          <w:pgMar w:top="1440" w:right="1558" w:bottom="1440" w:left="1800" w:header="1077" w:footer="1020" w:gutter="0"/>
          <w:cols w:space="0" w:num="1"/>
          <w:docGrid w:linePitch="312" w:charSpace="0"/>
        </w:sectPr>
      </w:pPr>
    </w:p>
    <w:p>
      <w:pPr>
        <w:pStyle w:val="3"/>
        <w:rPr>
          <w:rFonts w:hint="eastAsia" w:ascii="仿宋_GB2312" w:hAnsi="仿宋_GB2312" w:eastAsia="仿宋_GB2312" w:cs="仿宋_GB2312"/>
          <w:highlight w:val="none"/>
        </w:rPr>
      </w:pPr>
      <w:bookmarkStart w:id="172" w:name="_Toc8647"/>
      <w:r>
        <w:rPr>
          <w:rFonts w:hint="eastAsia" w:ascii="仿宋_GB2312" w:hAnsi="仿宋_GB2312" w:eastAsia="仿宋_GB2312" w:cs="仿宋_GB2312"/>
          <w:highlight w:val="none"/>
        </w:rPr>
        <w:t>第六章 响应文件格式</w:t>
      </w:r>
      <w:bookmarkEnd w:id="171"/>
      <w:bookmarkEnd w:id="172"/>
    </w:p>
    <w:p>
      <w:pPr>
        <w:pStyle w:val="12"/>
        <w:spacing w:line="360" w:lineRule="auto"/>
        <w:jc w:val="center"/>
        <w:outlineLvl w:val="1"/>
        <w:rPr>
          <w:rFonts w:hint="eastAsia" w:ascii="仿宋_GB2312" w:hAnsi="仿宋_GB2312" w:eastAsia="仿宋_GB2312" w:cs="仿宋_GB2312"/>
          <w:b/>
          <w:sz w:val="44"/>
          <w:szCs w:val="44"/>
          <w:highlight w:val="none"/>
        </w:rPr>
      </w:pPr>
      <w:bookmarkStart w:id="173" w:name="_Toc30244"/>
      <w:r>
        <w:rPr>
          <w:rFonts w:hint="eastAsia" w:ascii="仿宋_GB2312" w:hAnsi="仿宋_GB2312" w:eastAsia="仿宋_GB2312" w:cs="仿宋_GB2312"/>
          <w:b/>
          <w:sz w:val="44"/>
          <w:szCs w:val="44"/>
          <w:highlight w:val="none"/>
        </w:rPr>
        <w:t>首次报价信封</w:t>
      </w:r>
      <w:bookmarkEnd w:id="173"/>
    </w:p>
    <w:p>
      <w:pPr>
        <w:pStyle w:val="32"/>
        <w:ind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首次报价信封内装：</w:t>
      </w:r>
    </w:p>
    <w:p>
      <w:pPr>
        <w:pStyle w:val="39"/>
        <w:numPr>
          <w:ilvl w:val="0"/>
          <w:numId w:val="16"/>
        </w:numPr>
        <w:spacing w:line="600" w:lineRule="exact"/>
        <w:ind w:left="0" w:firstLine="48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首次报价一览表复印件加盖公章；</w:t>
      </w:r>
    </w:p>
    <w:p>
      <w:pPr>
        <w:pStyle w:val="39"/>
        <w:numPr>
          <w:ilvl w:val="0"/>
          <w:numId w:val="16"/>
        </w:numPr>
        <w:spacing w:line="600" w:lineRule="exact"/>
        <w:ind w:left="0" w:firstLine="48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磋商保证金汇入情况说明（加盖公章）或政府采购投标保函；</w:t>
      </w:r>
    </w:p>
    <w:p>
      <w:pPr>
        <w:pStyle w:val="39"/>
        <w:numPr>
          <w:ilvl w:val="0"/>
          <w:numId w:val="16"/>
        </w:numPr>
        <w:spacing w:line="600" w:lineRule="exact"/>
        <w:ind w:left="0" w:firstLine="48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银行汇款凭证复印件加盖公章；(提交保函的无需提供)</w:t>
      </w:r>
    </w:p>
    <w:p>
      <w:pPr>
        <w:pStyle w:val="39"/>
        <w:numPr>
          <w:ilvl w:val="0"/>
          <w:numId w:val="16"/>
        </w:numPr>
        <w:spacing w:line="600" w:lineRule="exact"/>
        <w:ind w:left="0" w:firstLine="48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响应文件电子档（电子档响应文件采用光盘介质或U盘装载）；</w:t>
      </w:r>
    </w:p>
    <w:p>
      <w:pPr>
        <w:pStyle w:val="12"/>
        <w:spacing w:line="360" w:lineRule="auto"/>
        <w:jc w:val="center"/>
        <w:rPr>
          <w:rFonts w:hint="eastAsia" w:ascii="仿宋_GB2312" w:hAnsi="仿宋_GB2312" w:eastAsia="仿宋_GB2312" w:cs="仿宋_GB2312"/>
          <w:bCs/>
          <w:sz w:val="44"/>
          <w:szCs w:val="44"/>
          <w:highlight w:val="none"/>
        </w:rPr>
      </w:pP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br w:type="page"/>
      </w:r>
    </w:p>
    <w:p>
      <w:pPr>
        <w:pStyle w:val="12"/>
        <w:spacing w:line="360" w:lineRule="auto"/>
        <w:jc w:val="center"/>
        <w:outlineLvl w:val="1"/>
        <w:rPr>
          <w:rFonts w:hint="eastAsia" w:ascii="仿宋_GB2312" w:hAnsi="仿宋_GB2312" w:eastAsia="仿宋_GB2312" w:cs="仿宋_GB2312"/>
          <w:b/>
          <w:sz w:val="44"/>
          <w:szCs w:val="44"/>
          <w:highlight w:val="none"/>
        </w:rPr>
      </w:pPr>
      <w:bookmarkStart w:id="174" w:name="_Toc13247"/>
      <w:r>
        <w:rPr>
          <w:rFonts w:hint="eastAsia" w:ascii="仿宋_GB2312" w:hAnsi="仿宋_GB2312" w:eastAsia="仿宋_GB2312" w:cs="仿宋_GB2312"/>
          <w:b/>
          <w:sz w:val="44"/>
          <w:szCs w:val="44"/>
          <w:highlight w:val="none"/>
        </w:rPr>
        <w:t>响应文件</w:t>
      </w:r>
      <w:bookmarkEnd w:id="174"/>
    </w:p>
    <w:p>
      <w:pPr>
        <w:spacing w:line="520" w:lineRule="exact"/>
        <w:ind w:firstLine="482" w:firstLineChars="200"/>
        <w:jc w:val="left"/>
        <w:rPr>
          <w:rFonts w:hint="eastAsia" w:ascii="仿宋_GB2312" w:hAnsi="仿宋_GB2312" w:eastAsia="仿宋_GB2312" w:cs="仿宋_GB2312"/>
          <w:b/>
          <w:bCs/>
          <w:sz w:val="24"/>
          <w:highlight w:val="none"/>
        </w:rPr>
      </w:pPr>
      <w:bookmarkStart w:id="175" w:name="_Toc417050362"/>
      <w:bookmarkStart w:id="176" w:name="_Toc466541034"/>
      <w:r>
        <w:rPr>
          <w:rFonts w:hint="eastAsia" w:ascii="仿宋_GB2312" w:hAnsi="仿宋_GB2312" w:eastAsia="仿宋_GB2312" w:cs="仿宋_GB2312"/>
          <w:b/>
          <w:bCs/>
          <w:sz w:val="24"/>
          <w:highlight w:val="none"/>
        </w:rPr>
        <w:t>响应文件应至少包括以下内容，并按顺序要求编排、装订成册（封面格式自拟）及编制文件目录以方便评审：</w:t>
      </w:r>
    </w:p>
    <w:p>
      <w:pPr>
        <w:numPr>
          <w:ilvl w:val="0"/>
          <w:numId w:val="17"/>
        </w:num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价格文件</w:t>
      </w:r>
    </w:p>
    <w:p>
      <w:p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1.首次报价一览表</w:t>
      </w:r>
    </w:p>
    <w:p>
      <w:p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2.分项报价表</w:t>
      </w:r>
    </w:p>
    <w:p>
      <w:p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二、商务文件 </w:t>
      </w:r>
    </w:p>
    <w:p>
      <w:p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1.报价函</w:t>
      </w:r>
    </w:p>
    <w:p>
      <w:p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2.关于供应商资格的声明函</w:t>
      </w:r>
    </w:p>
    <w:p>
      <w:p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3.法定代表人身份证明书</w:t>
      </w:r>
    </w:p>
    <w:p>
      <w:p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4.法定代表人授权委托书</w:t>
      </w:r>
    </w:p>
    <w:p>
      <w:p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5.实质性条款（“★”项）响应情况表</w:t>
      </w:r>
    </w:p>
    <w:p>
      <w:p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6.合同条款响应情况表</w:t>
      </w:r>
    </w:p>
    <w:p>
      <w:p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7.同类业绩情况表</w:t>
      </w:r>
    </w:p>
    <w:p>
      <w:p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8.磋商保证金汇入情况说明（适用于转账、电汇方式）（或政府采购投标保函）</w:t>
      </w:r>
    </w:p>
    <w:p>
      <w:p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9.供应商认为需要提供的其他商务材料（如中小企业声明函、残疾人福利性单位声明函等）</w:t>
      </w:r>
    </w:p>
    <w:p>
      <w:p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三、技术文件</w:t>
      </w:r>
    </w:p>
    <w:p>
      <w:p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1.拟担任本项目主要负责人简历表</w:t>
      </w:r>
    </w:p>
    <w:p>
      <w:p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2.拟投入人员配置情况表</w:t>
      </w:r>
    </w:p>
    <w:p>
      <w:p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3.一般条款响应情况表</w:t>
      </w:r>
    </w:p>
    <w:p>
      <w:p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4.重要参数条款（“▲”项）响应情况表</w:t>
      </w:r>
    </w:p>
    <w:p>
      <w:p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5.技术服务方案</w:t>
      </w:r>
    </w:p>
    <w:p>
      <w:pPr>
        <w:spacing w:line="52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6.供应商认为需要提供的其他技术材料（如政策性适用说明等）</w:t>
      </w:r>
    </w:p>
    <w:p>
      <w:pPr>
        <w:rPr>
          <w:rFonts w:hint="eastAsia" w:ascii="仿宋_GB2312" w:hAnsi="仿宋_GB2312" w:eastAsia="仿宋_GB2312" w:cs="仿宋_GB2312"/>
          <w:highlight w:val="none"/>
        </w:rPr>
      </w:pPr>
      <w:bookmarkStart w:id="177" w:name="_Toc30217"/>
      <w:r>
        <w:rPr>
          <w:rFonts w:hint="eastAsia" w:ascii="仿宋_GB2312" w:hAnsi="仿宋_GB2312" w:eastAsia="仿宋_GB2312" w:cs="仿宋_GB2312"/>
          <w:highlight w:val="none"/>
        </w:rPr>
        <w:br w:type="page"/>
      </w:r>
    </w:p>
    <w:p>
      <w:pPr>
        <w:spacing w:line="600" w:lineRule="exact"/>
        <w:jc w:val="center"/>
        <w:outlineLvl w:val="1"/>
        <w:rPr>
          <w:rFonts w:hint="eastAsia" w:ascii="仿宋_GB2312" w:hAnsi="仿宋_GB2312" w:eastAsia="仿宋_GB2312" w:cs="仿宋_GB2312"/>
          <w:b/>
          <w:bCs/>
          <w:sz w:val="32"/>
          <w:szCs w:val="32"/>
          <w:highlight w:val="none"/>
        </w:rPr>
      </w:pPr>
      <w:bookmarkStart w:id="178" w:name="_Toc20171"/>
      <w:r>
        <w:rPr>
          <w:rFonts w:hint="eastAsia" w:ascii="仿宋_GB2312" w:hAnsi="仿宋_GB2312" w:eastAsia="仿宋_GB2312" w:cs="仿宋_GB2312"/>
          <w:b/>
          <w:bCs/>
          <w:sz w:val="32"/>
          <w:szCs w:val="32"/>
          <w:highlight w:val="none"/>
        </w:rPr>
        <w:t>一、价格文件</w:t>
      </w:r>
      <w:bookmarkEnd w:id="177"/>
      <w:bookmarkEnd w:id="178"/>
    </w:p>
    <w:p>
      <w:pPr>
        <w:rPr>
          <w:rFonts w:hint="eastAsia" w:ascii="仿宋_GB2312" w:hAnsi="仿宋_GB2312" w:eastAsia="仿宋_GB2312" w:cs="仿宋_GB2312"/>
          <w:highlight w:val="none"/>
        </w:rPr>
      </w:pPr>
      <w:bookmarkStart w:id="179" w:name="_Toc28692"/>
    </w:p>
    <w:p>
      <w:pPr>
        <w:spacing w:line="560" w:lineRule="exact"/>
        <w:jc w:val="center"/>
        <w:outlineLvl w:val="2"/>
        <w:rPr>
          <w:rFonts w:hint="eastAsia" w:ascii="仿宋_GB2312" w:hAnsi="仿宋_GB2312" w:eastAsia="仿宋_GB2312" w:cs="仿宋_GB2312"/>
          <w:b/>
          <w:bCs/>
          <w:sz w:val="28"/>
          <w:szCs w:val="28"/>
          <w:highlight w:val="none"/>
        </w:rPr>
      </w:pPr>
      <w:bookmarkStart w:id="180" w:name="_Toc13883"/>
      <w:r>
        <w:rPr>
          <w:rFonts w:hint="eastAsia" w:ascii="仿宋_GB2312" w:hAnsi="仿宋_GB2312" w:eastAsia="仿宋_GB2312" w:cs="仿宋_GB2312"/>
          <w:b/>
          <w:bCs/>
          <w:sz w:val="28"/>
          <w:szCs w:val="28"/>
          <w:highlight w:val="none"/>
        </w:rPr>
        <w:t>1.首次报价一览表</w:t>
      </w:r>
      <w:bookmarkEnd w:id="179"/>
      <w:bookmarkEnd w:id="180"/>
    </w:p>
    <w:p>
      <w:pPr>
        <w:spacing w:line="560" w:lineRule="exact"/>
        <w:ind w:firstLine="240" w:firstLineChars="100"/>
        <w:rPr>
          <w:rFonts w:hint="eastAsia"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项目名称：</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 xml:space="preserve">                  项目编号：</w:t>
      </w:r>
      <w:r>
        <w:rPr>
          <w:rFonts w:hint="eastAsia" w:ascii="仿宋_GB2312" w:hAnsi="仿宋_GB2312" w:eastAsia="仿宋_GB2312" w:cs="仿宋_GB2312"/>
          <w:sz w:val="24"/>
          <w:highlight w:val="none"/>
          <w:u w:val="single"/>
        </w:rPr>
        <w:t xml:space="preserve">            </w:t>
      </w:r>
    </w:p>
    <w:tbl>
      <w:tblPr>
        <w:tblStyle w:val="23"/>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2"/>
        <w:gridCol w:w="3092"/>
        <w:gridCol w:w="15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jc w:val="center"/>
        </w:trPr>
        <w:tc>
          <w:tcPr>
            <w:tcW w:w="2532" w:type="dxa"/>
            <w:tcBorders>
              <w:bottom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供应商名称</w:t>
            </w:r>
          </w:p>
        </w:tc>
        <w:tc>
          <w:tcPr>
            <w:tcW w:w="3092" w:type="dxa"/>
            <w:tcBorders>
              <w:bottom w:val="single" w:color="auto" w:sz="4" w:space="0"/>
            </w:tcBorders>
            <w:vAlign w:val="center"/>
          </w:tcPr>
          <w:p>
            <w:pPr>
              <w:overflowPunct w:val="0"/>
              <w:adjustRightInd w:val="0"/>
              <w:snapToGrid w:val="0"/>
              <w:spacing w:line="56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总报价</w:t>
            </w:r>
          </w:p>
          <w:p>
            <w:pPr>
              <w:overflowPunct w:val="0"/>
              <w:adjustRightInd w:val="0"/>
              <w:snapToGrid w:val="0"/>
              <w:spacing w:line="56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（单位：元）</w:t>
            </w:r>
          </w:p>
        </w:tc>
        <w:tc>
          <w:tcPr>
            <w:tcW w:w="1520" w:type="dxa"/>
            <w:tcBorders>
              <w:bottom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交货完工期</w:t>
            </w:r>
          </w:p>
        </w:tc>
        <w:tc>
          <w:tcPr>
            <w:tcW w:w="1620" w:type="dxa"/>
            <w:tcBorders>
              <w:bottom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2" w:hRule="atLeast"/>
          <w:jc w:val="center"/>
        </w:trPr>
        <w:tc>
          <w:tcPr>
            <w:tcW w:w="2532" w:type="dxa"/>
            <w:tcBorders>
              <w:top w:val="single" w:color="auto" w:sz="4" w:space="0"/>
            </w:tcBorders>
            <w:vAlign w:val="center"/>
          </w:tcPr>
          <w:p>
            <w:pPr>
              <w:snapToGrid w:val="0"/>
              <w:spacing w:line="560" w:lineRule="exact"/>
              <w:jc w:val="center"/>
              <w:rPr>
                <w:rFonts w:hint="eastAsia" w:ascii="仿宋_GB2312" w:hAnsi="仿宋_GB2312" w:eastAsia="仿宋_GB2312" w:cs="仿宋_GB2312"/>
                <w:b/>
                <w:sz w:val="24"/>
                <w:highlight w:val="none"/>
              </w:rPr>
            </w:pPr>
          </w:p>
        </w:tc>
        <w:tc>
          <w:tcPr>
            <w:tcW w:w="3092" w:type="dxa"/>
            <w:tcBorders>
              <w:top w:val="single" w:color="auto" w:sz="4" w:space="0"/>
            </w:tcBorders>
            <w:vAlign w:val="center"/>
          </w:tcPr>
          <w:p>
            <w:pPr>
              <w:snapToGrid w:val="0"/>
              <w:spacing w:line="560" w:lineRule="exact"/>
              <w:jc w:val="center"/>
              <w:rPr>
                <w:rFonts w:hint="eastAsia" w:ascii="仿宋_GB2312" w:hAnsi="仿宋_GB2312" w:eastAsia="仿宋_GB2312" w:cs="仿宋_GB2312"/>
                <w:sz w:val="24"/>
                <w:highlight w:val="none"/>
              </w:rPr>
            </w:pPr>
          </w:p>
        </w:tc>
        <w:tc>
          <w:tcPr>
            <w:tcW w:w="1520" w:type="dxa"/>
            <w:tcBorders>
              <w:top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napToGrid w:val="0"/>
              <w:spacing w:line="560" w:lineRule="exact"/>
              <w:jc w:val="center"/>
              <w:rPr>
                <w:rFonts w:hint="eastAsia" w:ascii="仿宋_GB2312" w:hAnsi="仿宋_GB2312" w:eastAsia="仿宋_GB2312" w:cs="仿宋_GB2312"/>
                <w:sz w:val="24"/>
                <w:highlight w:val="none"/>
              </w:rPr>
            </w:pPr>
          </w:p>
        </w:tc>
        <w:tc>
          <w:tcPr>
            <w:tcW w:w="1620" w:type="dxa"/>
            <w:tcBorders>
              <w:top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napToGrid w:val="0"/>
              <w:spacing w:line="560" w:lineRule="exact"/>
              <w:jc w:val="center"/>
              <w:rPr>
                <w:rFonts w:hint="eastAsia" w:ascii="仿宋_GB2312" w:hAnsi="仿宋_GB2312" w:eastAsia="仿宋_GB2312" w:cs="仿宋_GB2312"/>
                <w:sz w:val="24"/>
                <w:highlight w:val="none"/>
              </w:rPr>
            </w:pPr>
          </w:p>
        </w:tc>
      </w:tr>
    </w:tbl>
    <w:p>
      <w:pPr>
        <w:adjustRightInd w:val="0"/>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说明：1）报价应包括所有设备及材料的购置费、仓储费、实施费用、第三方检测费、税金等一切有关费用和包括配套设备及安装（包括防雷、布线等）、保险、包装、运输、卸货、安装调试、服务等一切费用。</w:t>
      </w:r>
    </w:p>
    <w:p>
      <w:pPr>
        <w:adjustRightInd w:val="0"/>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2）报价应以人民币为结算单位。</w:t>
      </w:r>
    </w:p>
    <w:p>
      <w:pPr>
        <w:spacing w:line="560" w:lineRule="exact"/>
        <w:rPr>
          <w:rFonts w:hint="eastAsia" w:ascii="仿宋_GB2312" w:hAnsi="仿宋_GB2312" w:eastAsia="仿宋_GB2312" w:cs="仿宋_GB2312"/>
          <w:b/>
          <w:bCs/>
          <w:sz w:val="24"/>
          <w:highlight w:val="none"/>
        </w:rPr>
      </w:pPr>
    </w:p>
    <w:p>
      <w:pPr>
        <w:spacing w:line="560" w:lineRule="exact"/>
        <w:rPr>
          <w:rFonts w:hint="eastAsia" w:ascii="仿宋_GB2312" w:hAnsi="仿宋_GB2312" w:eastAsia="仿宋_GB2312" w:cs="仿宋_GB2312"/>
          <w:b/>
          <w:bCs/>
          <w:sz w:val="24"/>
          <w:highlight w:val="none"/>
        </w:rPr>
      </w:pPr>
    </w:p>
    <w:p>
      <w:pPr>
        <w:spacing w:line="560" w:lineRule="exact"/>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供应商名称（加盖公章）：</w:t>
      </w:r>
    </w:p>
    <w:p>
      <w:pPr>
        <w:spacing w:line="560" w:lineRule="exact"/>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供应商法定代表人或受委托人（签名或盖私章）：</w:t>
      </w:r>
    </w:p>
    <w:p>
      <w:pPr>
        <w:spacing w:line="560" w:lineRule="exact"/>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日      期：</w:t>
      </w:r>
    </w:p>
    <w:p>
      <w:pPr>
        <w:spacing w:line="560" w:lineRule="exact"/>
        <w:jc w:val="left"/>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注：此表既要装订在响应文件的价格部分文件中，又要按“磋商须知”的规定放于首次报价信封内密封提交。</w:t>
      </w:r>
    </w:p>
    <w:p>
      <w:pPr>
        <w:spacing w:line="360" w:lineRule="auto"/>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br w:type="page"/>
      </w:r>
    </w:p>
    <w:p>
      <w:pPr>
        <w:spacing w:line="600" w:lineRule="exact"/>
        <w:jc w:val="center"/>
        <w:outlineLvl w:val="2"/>
        <w:rPr>
          <w:rFonts w:hint="eastAsia" w:ascii="仿宋_GB2312" w:hAnsi="仿宋_GB2312" w:eastAsia="仿宋_GB2312" w:cs="仿宋_GB2312"/>
          <w:b/>
          <w:bCs/>
          <w:sz w:val="28"/>
          <w:szCs w:val="28"/>
          <w:highlight w:val="none"/>
        </w:rPr>
      </w:pPr>
      <w:bookmarkStart w:id="181" w:name="_Toc31141"/>
      <w:r>
        <w:rPr>
          <w:rFonts w:hint="eastAsia" w:ascii="仿宋_GB2312" w:hAnsi="仿宋_GB2312" w:eastAsia="仿宋_GB2312" w:cs="仿宋_GB2312"/>
          <w:b/>
          <w:bCs/>
          <w:sz w:val="28"/>
          <w:szCs w:val="28"/>
          <w:highlight w:val="none"/>
        </w:rPr>
        <w:t>2.分项报价表</w:t>
      </w:r>
      <w:bookmarkEnd w:id="181"/>
    </w:p>
    <w:p>
      <w:pPr>
        <w:snapToGrid w:val="0"/>
        <w:spacing w:line="560" w:lineRule="exact"/>
        <w:rPr>
          <w:rFonts w:hint="eastAsia"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项目名称：</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 xml:space="preserve">     项目编号：</w:t>
      </w:r>
      <w:r>
        <w:rPr>
          <w:rFonts w:hint="eastAsia" w:ascii="仿宋_GB2312" w:hAnsi="仿宋_GB2312" w:eastAsia="仿宋_GB2312" w:cs="仿宋_GB2312"/>
          <w:sz w:val="24"/>
          <w:highlight w:val="none"/>
          <w:u w:val="single"/>
        </w:rPr>
        <w:t xml:space="preserve">             </w:t>
      </w:r>
    </w:p>
    <w:tbl>
      <w:tblPr>
        <w:tblStyle w:val="23"/>
        <w:tblW w:w="85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703"/>
        <w:gridCol w:w="1459"/>
        <w:gridCol w:w="2904"/>
        <w:gridCol w:w="988"/>
        <w:gridCol w:w="1326"/>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jc w:val="center"/>
        </w:trPr>
        <w:tc>
          <w:tcPr>
            <w:tcW w:w="703" w:type="dxa"/>
            <w:tcBorders>
              <w:tl2br w:val="nil"/>
              <w:tr2bl w:val="nil"/>
            </w:tcBorders>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序号</w:t>
            </w:r>
          </w:p>
        </w:tc>
        <w:tc>
          <w:tcPr>
            <w:tcW w:w="1459" w:type="dxa"/>
            <w:tcBorders>
              <w:tl2br w:val="nil"/>
              <w:tr2bl w:val="nil"/>
            </w:tcBorders>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货物名称</w:t>
            </w:r>
          </w:p>
        </w:tc>
        <w:tc>
          <w:tcPr>
            <w:tcW w:w="2904" w:type="dxa"/>
            <w:tcBorders>
              <w:tl2br w:val="nil"/>
              <w:tr2bl w:val="nil"/>
            </w:tcBorders>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品牌、规格型号、主要配置</w:t>
            </w:r>
          </w:p>
        </w:tc>
        <w:tc>
          <w:tcPr>
            <w:tcW w:w="988" w:type="dxa"/>
            <w:tcBorders>
              <w:tl2br w:val="nil"/>
              <w:tr2bl w:val="nil"/>
            </w:tcBorders>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数量</w:t>
            </w:r>
          </w:p>
        </w:tc>
        <w:tc>
          <w:tcPr>
            <w:tcW w:w="1326" w:type="dxa"/>
            <w:tcBorders>
              <w:tl2br w:val="nil"/>
              <w:tr2bl w:val="nil"/>
            </w:tcBorders>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单价</w:t>
            </w:r>
            <w:r>
              <w:rPr>
                <w:rFonts w:hint="eastAsia" w:ascii="仿宋_GB2312" w:hAnsi="仿宋_GB2312" w:eastAsia="仿宋_GB2312" w:cs="仿宋_GB2312"/>
                <w:sz w:val="24"/>
                <w:highlight w:val="none"/>
              </w:rPr>
              <w:t>（元）</w:t>
            </w:r>
          </w:p>
        </w:tc>
        <w:tc>
          <w:tcPr>
            <w:tcW w:w="1211" w:type="dxa"/>
            <w:tcBorders>
              <w:tl2br w:val="nil"/>
              <w:tr2bl w:val="nil"/>
            </w:tcBorders>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小计</w:t>
            </w:r>
            <w:r>
              <w:rPr>
                <w:rFonts w:hint="eastAsia" w:ascii="仿宋_GB2312" w:hAnsi="仿宋_GB2312" w:eastAsia="仿宋_GB2312" w:cs="仿宋_GB2312"/>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jc w:val="center"/>
        </w:trPr>
        <w:tc>
          <w:tcPr>
            <w:tcW w:w="703" w:type="dxa"/>
            <w:tcBorders>
              <w:tl2br w:val="nil"/>
              <w:tr2bl w:val="nil"/>
            </w:tcBorders>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w:t>
            </w:r>
          </w:p>
        </w:tc>
        <w:tc>
          <w:tcPr>
            <w:tcW w:w="1459"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2904"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988"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1326"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1211"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jc w:val="center"/>
        </w:trPr>
        <w:tc>
          <w:tcPr>
            <w:tcW w:w="703" w:type="dxa"/>
            <w:tcBorders>
              <w:tl2br w:val="nil"/>
              <w:tr2bl w:val="nil"/>
            </w:tcBorders>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2</w:t>
            </w:r>
          </w:p>
        </w:tc>
        <w:tc>
          <w:tcPr>
            <w:tcW w:w="1459"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2904"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988"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1326"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1211"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jc w:val="center"/>
        </w:trPr>
        <w:tc>
          <w:tcPr>
            <w:tcW w:w="703" w:type="dxa"/>
            <w:tcBorders>
              <w:tl2br w:val="nil"/>
              <w:tr2bl w:val="nil"/>
            </w:tcBorders>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3</w:t>
            </w:r>
          </w:p>
        </w:tc>
        <w:tc>
          <w:tcPr>
            <w:tcW w:w="1459"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2904"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988"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1326"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1211"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jc w:val="center"/>
        </w:trPr>
        <w:tc>
          <w:tcPr>
            <w:tcW w:w="703" w:type="dxa"/>
            <w:tcBorders>
              <w:tl2br w:val="nil"/>
              <w:tr2bl w:val="nil"/>
            </w:tcBorders>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4</w:t>
            </w:r>
          </w:p>
        </w:tc>
        <w:tc>
          <w:tcPr>
            <w:tcW w:w="1459"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2904"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988"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1326"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1211"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jc w:val="center"/>
        </w:trPr>
        <w:tc>
          <w:tcPr>
            <w:tcW w:w="703" w:type="dxa"/>
            <w:tcBorders>
              <w:tl2br w:val="nil"/>
              <w:tr2bl w:val="nil"/>
            </w:tcBorders>
          </w:tcPr>
          <w:p>
            <w:pPr>
              <w:snapToGrid w:val="0"/>
              <w:spacing w:line="560" w:lineRule="exact"/>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w:t>
            </w:r>
          </w:p>
        </w:tc>
        <w:tc>
          <w:tcPr>
            <w:tcW w:w="1459"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2904"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988"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1326"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c>
          <w:tcPr>
            <w:tcW w:w="1211"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jc w:val="center"/>
        </w:trPr>
        <w:tc>
          <w:tcPr>
            <w:tcW w:w="703" w:type="dxa"/>
            <w:tcBorders>
              <w:tl2br w:val="nil"/>
              <w:tr2bl w:val="nil"/>
            </w:tcBorders>
          </w:tcPr>
          <w:p>
            <w:pPr>
              <w:snapToGrid w:val="0"/>
              <w:spacing w:line="560" w:lineRule="exact"/>
              <w:jc w:val="center"/>
              <w:rPr>
                <w:rFonts w:hint="eastAsia" w:ascii="仿宋_GB2312" w:hAnsi="仿宋_GB2312" w:eastAsia="仿宋_GB2312" w:cs="仿宋_GB2312"/>
                <w:color w:val="000000"/>
                <w:sz w:val="24"/>
                <w:highlight w:val="none"/>
              </w:rPr>
            </w:pPr>
          </w:p>
        </w:tc>
        <w:tc>
          <w:tcPr>
            <w:tcW w:w="6677" w:type="dxa"/>
            <w:gridSpan w:val="4"/>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其他设备及施工、安装、调试、运输、培训、税费等所有费用</w:t>
            </w:r>
          </w:p>
        </w:tc>
        <w:tc>
          <w:tcPr>
            <w:tcW w:w="1211" w:type="dxa"/>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jc w:val="center"/>
        </w:trPr>
        <w:tc>
          <w:tcPr>
            <w:tcW w:w="8591" w:type="dxa"/>
            <w:gridSpan w:val="6"/>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合计总额：￥元；大写：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3" w:hRule="atLeast"/>
          <w:jc w:val="center"/>
        </w:trPr>
        <w:tc>
          <w:tcPr>
            <w:tcW w:w="8591" w:type="dxa"/>
            <w:gridSpan w:val="6"/>
            <w:tcBorders>
              <w:tl2br w:val="nil"/>
              <w:tr2bl w:val="nil"/>
            </w:tcBorders>
          </w:tcPr>
          <w:p>
            <w:pPr>
              <w:snapToGrid w:val="0"/>
              <w:spacing w:line="560" w:lineRule="exact"/>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sz w:val="24"/>
                <w:highlight w:val="none"/>
              </w:rPr>
              <w:t>报价依据和说明（可另附页）：</w:t>
            </w:r>
          </w:p>
        </w:tc>
      </w:tr>
    </w:tbl>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注明：</w:t>
      </w:r>
    </w:p>
    <w:p>
      <w:pPr>
        <w:pStyle w:val="38"/>
        <w:numPr>
          <w:ilvl w:val="0"/>
          <w:numId w:val="18"/>
        </w:numPr>
        <w:snapToGrid w:val="0"/>
        <w:spacing w:line="560" w:lineRule="exact"/>
        <w:ind w:left="0" w:firstLine="48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此表为报价总表的明细表,分项报价内容可根据实际内容进行延长。</w:t>
      </w:r>
    </w:p>
    <w:p>
      <w:pPr>
        <w:pStyle w:val="38"/>
        <w:numPr>
          <w:ilvl w:val="0"/>
          <w:numId w:val="18"/>
        </w:numPr>
        <w:snapToGrid w:val="0"/>
        <w:spacing w:line="560" w:lineRule="exact"/>
        <w:ind w:left="0" w:firstLine="48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如果单价和总价不符时，以单价为准，修正总价。</w:t>
      </w:r>
    </w:p>
    <w:p>
      <w:pPr>
        <w:pStyle w:val="38"/>
        <w:numPr>
          <w:ilvl w:val="0"/>
          <w:numId w:val="18"/>
        </w:numPr>
        <w:snapToGrid w:val="0"/>
        <w:spacing w:line="560" w:lineRule="exact"/>
        <w:ind w:left="0" w:firstLine="48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在最后报价对总价进行调整时，成交后签订合同时，单价按相应比例浮动，单价浮动后所提供的数量及质量水平不得变更。否则采购人有权取消成交供应商的成交资格，因此所造成的损失由成交供应商承担。</w:t>
      </w:r>
    </w:p>
    <w:p>
      <w:pPr>
        <w:snapToGrid w:val="0"/>
        <w:spacing w:line="560" w:lineRule="exact"/>
        <w:rPr>
          <w:rFonts w:hint="eastAsia" w:ascii="仿宋_GB2312" w:hAnsi="仿宋_GB2312" w:eastAsia="仿宋_GB2312" w:cs="仿宋_GB2312"/>
          <w:b/>
          <w:bCs/>
          <w:sz w:val="24"/>
          <w:highlight w:val="none"/>
        </w:rPr>
      </w:pPr>
    </w:p>
    <w:p>
      <w:pPr>
        <w:snapToGrid w:val="0"/>
        <w:spacing w:line="560" w:lineRule="exact"/>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供应商名称（加盖公章）：</w:t>
      </w:r>
    </w:p>
    <w:p>
      <w:pPr>
        <w:snapToGrid w:val="0"/>
        <w:spacing w:line="560" w:lineRule="exact"/>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供应商法定代表人或受委托人（签名或盖私章）：</w:t>
      </w:r>
    </w:p>
    <w:p>
      <w:pPr>
        <w:snapToGrid w:val="0"/>
        <w:spacing w:line="560" w:lineRule="exact"/>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24"/>
          <w:highlight w:val="none"/>
        </w:rPr>
        <w:t>日      期：</w:t>
      </w:r>
      <w:bookmarkStart w:id="182" w:name="_Toc25595"/>
      <w:r>
        <w:rPr>
          <w:rFonts w:hint="eastAsia" w:ascii="仿宋_GB2312" w:hAnsi="仿宋_GB2312" w:eastAsia="仿宋_GB2312" w:cs="仿宋_GB2312"/>
          <w:b/>
          <w:bCs/>
          <w:sz w:val="32"/>
          <w:szCs w:val="32"/>
          <w:highlight w:val="none"/>
        </w:rPr>
        <w:br w:type="page"/>
      </w:r>
    </w:p>
    <w:p>
      <w:pPr>
        <w:spacing w:line="600" w:lineRule="exact"/>
        <w:jc w:val="center"/>
        <w:outlineLvl w:val="1"/>
        <w:rPr>
          <w:rFonts w:hint="eastAsia" w:ascii="仿宋_GB2312" w:hAnsi="仿宋_GB2312" w:eastAsia="仿宋_GB2312" w:cs="仿宋_GB2312"/>
          <w:b/>
          <w:bCs/>
          <w:sz w:val="32"/>
          <w:szCs w:val="32"/>
          <w:highlight w:val="none"/>
        </w:rPr>
      </w:pPr>
      <w:bookmarkStart w:id="183" w:name="_Toc6122"/>
      <w:r>
        <w:rPr>
          <w:rFonts w:hint="eastAsia" w:ascii="仿宋_GB2312" w:hAnsi="仿宋_GB2312" w:eastAsia="仿宋_GB2312" w:cs="仿宋_GB2312"/>
          <w:b/>
          <w:bCs/>
          <w:sz w:val="32"/>
          <w:szCs w:val="32"/>
          <w:highlight w:val="none"/>
        </w:rPr>
        <w:t>二、商务文件</w:t>
      </w:r>
      <w:bookmarkEnd w:id="182"/>
      <w:bookmarkEnd w:id="183"/>
    </w:p>
    <w:p>
      <w:pPr>
        <w:spacing w:line="600" w:lineRule="exact"/>
        <w:jc w:val="center"/>
        <w:outlineLvl w:val="2"/>
        <w:rPr>
          <w:rFonts w:hint="eastAsia" w:ascii="仿宋_GB2312" w:hAnsi="仿宋_GB2312" w:eastAsia="仿宋_GB2312" w:cs="仿宋_GB2312"/>
          <w:b/>
          <w:bCs/>
          <w:sz w:val="28"/>
          <w:szCs w:val="28"/>
          <w:highlight w:val="none"/>
        </w:rPr>
      </w:pPr>
      <w:bookmarkStart w:id="184" w:name="_Toc17025"/>
      <w:bookmarkStart w:id="185" w:name="_Toc6283"/>
      <w:r>
        <w:rPr>
          <w:rFonts w:hint="eastAsia" w:ascii="仿宋_GB2312" w:hAnsi="仿宋_GB2312" w:eastAsia="仿宋_GB2312" w:cs="仿宋_GB2312"/>
          <w:b/>
          <w:bCs/>
          <w:sz w:val="28"/>
          <w:szCs w:val="28"/>
          <w:highlight w:val="none"/>
        </w:rPr>
        <w:t>1.</w:t>
      </w:r>
      <w:bookmarkEnd w:id="175"/>
      <w:bookmarkEnd w:id="176"/>
      <w:bookmarkEnd w:id="184"/>
      <w:bookmarkEnd w:id="185"/>
      <w:r>
        <w:rPr>
          <w:rFonts w:hint="eastAsia" w:ascii="仿宋_GB2312" w:hAnsi="仿宋_GB2312" w:eastAsia="仿宋_GB2312" w:cs="仿宋_GB2312"/>
          <w:b/>
          <w:bCs/>
          <w:sz w:val="28"/>
          <w:szCs w:val="28"/>
          <w:highlight w:val="none"/>
        </w:rPr>
        <w:t>报价函</w:t>
      </w:r>
    </w:p>
    <w:p>
      <w:pPr>
        <w:pStyle w:val="32"/>
        <w:ind w:firstLine="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致：广东盛业招标代理有限公司</w:t>
      </w:r>
    </w:p>
    <w:p>
      <w:pPr>
        <w:pStyle w:val="32"/>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本公司确认收到贵方提供的</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采购项目 （采购编号：</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）磋商文件相关的全部内容。本公司：</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（供应商名称）作为供应商正式委托</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（授权代表全名，职务）代表本公司进行有关本项目磋商的一切事宜。</w:t>
      </w:r>
    </w:p>
    <w:p>
      <w:pPr>
        <w:pStyle w:val="12"/>
        <w:spacing w:line="60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公司在参与磋商前已详细研究了磋商文件的所有内容，包括澄清、修改文件（如果有）和所有已提供的参考资料以及有关附件，本公司完全明白并认为此磋商文件没有倾向性，也不存在排斥潜在供应商的内容，本公司同意磋商文件的相关条款，放弃对磋商文件提出误解和质疑的一切权力。</w:t>
      </w:r>
    </w:p>
    <w:p>
      <w:pPr>
        <w:pStyle w:val="32"/>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在此提交的响应文件，正本</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套、副本</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套和首次报价信封</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份。</w:t>
      </w:r>
    </w:p>
    <w:p>
      <w:pPr>
        <w:pStyle w:val="12"/>
        <w:spacing w:line="60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本公司已完全明白磋商文件的所有条款要求，并申明如下：</w:t>
      </w:r>
    </w:p>
    <w:p>
      <w:pPr>
        <w:pStyle w:val="12"/>
        <w:spacing w:line="60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1、按磋商文件提供的全部相关服务的总报价详见《首次报价一览表》。</w:t>
      </w:r>
    </w:p>
    <w:p>
      <w:pPr>
        <w:pStyle w:val="12"/>
        <w:spacing w:line="60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2、本响应文件的有效期为提交响应文件截止时间之日起</w:t>
      </w:r>
      <w:r>
        <w:rPr>
          <w:rFonts w:hint="eastAsia" w:ascii="仿宋_GB2312" w:hAnsi="仿宋_GB2312" w:eastAsia="仿宋_GB2312" w:cs="仿宋_GB2312"/>
          <w:sz w:val="24"/>
          <w:szCs w:val="24"/>
          <w:highlight w:val="none"/>
          <w:u w:val="single"/>
        </w:rPr>
        <w:t>90</w:t>
      </w:r>
      <w:r>
        <w:rPr>
          <w:rFonts w:hint="eastAsia" w:ascii="仿宋_GB2312" w:hAnsi="仿宋_GB2312" w:eastAsia="仿宋_GB2312" w:cs="仿宋_GB2312"/>
          <w:sz w:val="24"/>
          <w:szCs w:val="24"/>
          <w:highlight w:val="none"/>
        </w:rPr>
        <w:t>天。如成交，有效期将延至合同终止日为止。在此提交的资格证明文件均至磋商有效期内有效，如有在磋商有效期内失效的，本公司承诺在成交后补齐一切手续，保证所有资格证明文件能在签订采购合同时直至采购合同终止日有效。</w:t>
      </w:r>
    </w:p>
    <w:p>
      <w:pPr>
        <w:pStyle w:val="12"/>
        <w:spacing w:line="60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3、本公司明白并同意，在规定的提交响应文件截止日之后，磋商有效期之内撤回响应文件或成交后不按规定与采购人签订合同或不提交履约保证金,则贵方将不予退还磋商保证金。</w:t>
      </w:r>
    </w:p>
    <w:p>
      <w:pPr>
        <w:pStyle w:val="12"/>
        <w:spacing w:line="60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4、本公司同意按照贵方可能提出的要求而提供与磋商有关的任何其它数据、信息或资料。</w:t>
      </w:r>
    </w:p>
    <w:p>
      <w:pPr>
        <w:pStyle w:val="12"/>
        <w:spacing w:line="60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5、本公司理解贵方不一定接受最低报价的成交，同时也理解，贵方不负担我公司的任何响应磋商的费用。</w:t>
      </w:r>
    </w:p>
    <w:p>
      <w:pPr>
        <w:pStyle w:val="12"/>
        <w:spacing w:line="60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6、本公司如果成交，将保证履行磋商文件及其澄清、修改文件（如果有）中的全部责任和义务，按质、按量、按期完成《用户需求书》及《合同书》中的全部任务。</w:t>
      </w:r>
    </w:p>
    <w:p>
      <w:pPr>
        <w:pStyle w:val="12"/>
        <w:tabs>
          <w:tab w:val="left" w:pos="9360"/>
        </w:tabs>
        <w:spacing w:line="60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7、本公司作为</w:t>
      </w:r>
      <w:r>
        <w:rPr>
          <w:rFonts w:hint="eastAsia" w:ascii="仿宋_GB2312" w:hAnsi="仿宋_GB2312" w:eastAsia="仿宋_GB2312" w:cs="仿宋_GB2312"/>
          <w:sz w:val="24"/>
          <w:szCs w:val="24"/>
          <w:highlight w:val="none"/>
          <w:u w:val="single"/>
        </w:rPr>
        <w:t xml:space="preserve">   （制造商/代理商/供应商）   </w:t>
      </w:r>
      <w:r>
        <w:rPr>
          <w:rFonts w:hint="eastAsia" w:ascii="仿宋_GB2312" w:hAnsi="仿宋_GB2312" w:eastAsia="仿宋_GB2312" w:cs="仿宋_GB2312"/>
          <w:sz w:val="24"/>
          <w:szCs w:val="24"/>
          <w:highlight w:val="none"/>
        </w:rPr>
        <w:t>是在法律、财务和运作上独立于采购人、贵方的供应商，在此保证所提交的所有文件和全部说明是真实的和正确的。</w:t>
      </w:r>
    </w:p>
    <w:p>
      <w:pPr>
        <w:spacing w:line="600" w:lineRule="exact"/>
        <w:ind w:firstLine="410" w:firstLineChars="171"/>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8、本公司的报价中已包含应向知识产权所有权人支付的所有相关税费，并保证采购人在中国使用本公司提供的货物或服务时，如有第三方提出侵犯其知识产权主张的，责任由本公司承担。 </w:t>
      </w:r>
    </w:p>
    <w:p>
      <w:pPr>
        <w:spacing w:line="600" w:lineRule="exact"/>
        <w:ind w:firstLine="410" w:firstLineChars="171"/>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9、我方承诺未为本项目提供整体设计、规范编制或者项目管理、监理、检测等服务。</w:t>
      </w:r>
    </w:p>
    <w:p>
      <w:pPr>
        <w:spacing w:line="600" w:lineRule="exact"/>
        <w:ind w:firstLine="410" w:firstLineChars="171"/>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10、本公司对在本函及响应文件中所作的所有承诺承担法律责任。</w:t>
      </w:r>
    </w:p>
    <w:p>
      <w:pPr>
        <w:spacing w:line="600" w:lineRule="exact"/>
        <w:ind w:firstLine="410" w:firstLineChars="171"/>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11、所有与本次采购有关的函件请发往下列地址：</w:t>
      </w:r>
    </w:p>
    <w:p>
      <w:pPr>
        <w:spacing w:line="600" w:lineRule="exact"/>
        <w:ind w:firstLine="480" w:firstLineChars="200"/>
        <w:rPr>
          <w:rFonts w:hint="eastAsia" w:ascii="仿宋_GB2312" w:hAnsi="仿宋_GB2312" w:eastAsia="仿宋_GB2312" w:cs="仿宋_GB2312"/>
          <w:sz w:val="24"/>
          <w:highlight w:val="none"/>
        </w:rPr>
      </w:pPr>
    </w:p>
    <w:p>
      <w:pPr>
        <w:spacing w:line="6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地  址：                     邮政编码：    </w:t>
      </w:r>
    </w:p>
    <w:p>
      <w:pPr>
        <w:spacing w:line="6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联系人：                     联系电话：    </w:t>
      </w:r>
    </w:p>
    <w:p>
      <w:pPr>
        <w:spacing w:line="6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传  真： </w:t>
      </w:r>
    </w:p>
    <w:p>
      <w:pPr>
        <w:spacing w:line="6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供应商名称（加盖公章）：</w:t>
      </w:r>
    </w:p>
    <w:p>
      <w:pPr>
        <w:spacing w:line="6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日期：</w:t>
      </w:r>
      <w:r>
        <w:rPr>
          <w:rFonts w:hint="eastAsia" w:ascii="仿宋_GB2312" w:hAnsi="仿宋_GB2312" w:eastAsia="仿宋_GB2312" w:cs="仿宋_GB2312"/>
          <w:sz w:val="24"/>
          <w:highlight w:val="none"/>
          <w:u w:val="single"/>
        </w:rPr>
        <w:br w:type="page"/>
      </w:r>
    </w:p>
    <w:p>
      <w:pPr>
        <w:spacing w:line="600" w:lineRule="exact"/>
        <w:jc w:val="center"/>
        <w:outlineLvl w:val="2"/>
        <w:rPr>
          <w:rFonts w:hint="eastAsia" w:ascii="仿宋_GB2312" w:hAnsi="仿宋_GB2312" w:eastAsia="仿宋_GB2312" w:cs="仿宋_GB2312"/>
          <w:b/>
          <w:bCs/>
          <w:sz w:val="28"/>
          <w:szCs w:val="28"/>
          <w:highlight w:val="none"/>
        </w:rPr>
      </w:pPr>
      <w:bookmarkStart w:id="186" w:name="_Toc13750"/>
      <w:bookmarkStart w:id="187" w:name="_Toc466541036"/>
      <w:bookmarkStart w:id="188" w:name="_Toc417050364"/>
      <w:bookmarkStart w:id="189" w:name="_Toc17932"/>
      <w:r>
        <w:rPr>
          <w:rFonts w:hint="eastAsia" w:ascii="仿宋_GB2312" w:hAnsi="仿宋_GB2312" w:eastAsia="仿宋_GB2312" w:cs="仿宋_GB2312"/>
          <w:b/>
          <w:bCs/>
          <w:sz w:val="28"/>
          <w:szCs w:val="28"/>
          <w:highlight w:val="none"/>
        </w:rPr>
        <w:t>2.关于供应商资格的声明函</w:t>
      </w:r>
      <w:bookmarkEnd w:id="186"/>
      <w:bookmarkEnd w:id="187"/>
      <w:bookmarkEnd w:id="188"/>
      <w:bookmarkEnd w:id="189"/>
    </w:p>
    <w:p>
      <w:pPr>
        <w:snapToGrid w:val="0"/>
        <w:spacing w:line="560" w:lineRule="exact"/>
        <w:rPr>
          <w:rFonts w:hint="eastAsia" w:ascii="仿宋_GB2312" w:hAnsi="仿宋_GB2312" w:eastAsia="仿宋_GB2312" w:cs="仿宋_GB2312"/>
          <w:sz w:val="24"/>
          <w:highlight w:val="none"/>
        </w:rPr>
      </w:pP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致：广东盛业招标代理有限公司</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本公司参加</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采购项目（采购编号：</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）的政府采购活动，并声明：</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本公司具备《中华人民共和国政府采购法》第二十二条资格条件，承诺如下：</w:t>
      </w:r>
    </w:p>
    <w:p>
      <w:pPr>
        <w:pStyle w:val="32"/>
        <w:numPr>
          <w:ilvl w:val="0"/>
          <w:numId w:val="19"/>
        </w:numPr>
        <w:snapToGrid w:val="0"/>
        <w:spacing w:line="560" w:lineRule="exact"/>
        <w:ind w:firstLineChars="0"/>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我方具有独立承担民事责任能力的在中华人民共和国境内注册的法人或其他组织或自然人。（见后附营业执照）</w:t>
      </w:r>
    </w:p>
    <w:p>
      <w:pPr>
        <w:pStyle w:val="32"/>
        <w:numPr>
          <w:ilvl w:val="0"/>
          <w:numId w:val="19"/>
        </w:numPr>
        <w:snapToGrid w:val="0"/>
        <w:spacing w:line="560" w:lineRule="exact"/>
        <w:ind w:firstLineChars="0"/>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我方具有良好的商业信誉和健全的财务会计制度。（见后附度财务状况报告或基本开户行出具的资信证明或专业担保机构出具的投标担保函）</w:t>
      </w:r>
    </w:p>
    <w:p>
      <w:pPr>
        <w:pStyle w:val="32"/>
        <w:numPr>
          <w:ilvl w:val="0"/>
          <w:numId w:val="19"/>
        </w:numPr>
        <w:snapToGrid w:val="0"/>
        <w:spacing w:line="560" w:lineRule="exact"/>
        <w:ind w:firstLineChars="0"/>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我方具有履行合同所必需的设备和专业技术能力。（见“设备及专业技术能力情况”）</w:t>
      </w:r>
    </w:p>
    <w:p>
      <w:pPr>
        <w:pStyle w:val="32"/>
        <w:numPr>
          <w:ilvl w:val="0"/>
          <w:numId w:val="19"/>
        </w:numPr>
        <w:snapToGrid w:val="0"/>
        <w:spacing w:line="560" w:lineRule="exact"/>
        <w:ind w:firstLineChars="0"/>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我方有依法缴纳税收和社会保障资金的良好记录。（见后附依法缴纳税收和社会保障资金的相关材料）。</w:t>
      </w:r>
    </w:p>
    <w:p>
      <w:pPr>
        <w:pStyle w:val="32"/>
        <w:numPr>
          <w:ilvl w:val="0"/>
          <w:numId w:val="19"/>
        </w:numPr>
        <w:snapToGrid w:val="0"/>
        <w:spacing w:line="560" w:lineRule="exact"/>
        <w:ind w:firstLineChars="0"/>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我方参加政府采购活动前三年内，在经营活动中没有重大违法记录。（见“在经营活动中没有重大违法记录的书面声明”）</w:t>
      </w:r>
    </w:p>
    <w:p>
      <w:pPr>
        <w:numPr>
          <w:ilvl w:val="0"/>
          <w:numId w:val="19"/>
        </w:num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bCs/>
          <w:sz w:val="24"/>
          <w:highlight w:val="none"/>
        </w:rPr>
        <w:t>我方承诺符合法律、行政法规规定的其他条件。</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以上内容如有虚假或与事实不符或未按要求提供相关证明材料的，磋商小组可将我方做无效响应处理，我方愿意承担相应的法律责任。</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特此声明！</w:t>
      </w:r>
    </w:p>
    <w:p>
      <w:pPr>
        <w:pStyle w:val="32"/>
        <w:ind w:firstLine="494"/>
        <w:rPr>
          <w:rFonts w:hint="eastAsia" w:ascii="仿宋_GB2312" w:hAnsi="仿宋_GB2312" w:eastAsia="仿宋_GB2312" w:cs="仿宋_GB2312"/>
          <w:sz w:val="24"/>
          <w:szCs w:val="24"/>
          <w:highlight w:val="none"/>
        </w:rPr>
      </w:pPr>
    </w:p>
    <w:p>
      <w:pPr>
        <w:snapToGrid w:val="0"/>
        <w:spacing w:line="560" w:lineRule="exact"/>
        <w:ind w:right="561"/>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供应商名称（加盖公章）：</w:t>
      </w:r>
    </w:p>
    <w:p>
      <w:pPr>
        <w:snapToGrid w:val="0"/>
        <w:spacing w:line="560" w:lineRule="exact"/>
        <w:ind w:right="561"/>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供应商法定代表人或受委托人（签名或盖私章）：</w:t>
      </w:r>
    </w:p>
    <w:p>
      <w:pPr>
        <w:snapToGrid w:val="0"/>
        <w:spacing w:line="560" w:lineRule="exact"/>
        <w:ind w:right="561"/>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日      期：</w:t>
      </w:r>
    </w:p>
    <w:p>
      <w:pPr>
        <w:rPr>
          <w:rFonts w:hint="eastAsia" w:ascii="仿宋_GB2312" w:hAnsi="仿宋_GB2312" w:eastAsia="仿宋_GB2312" w:cs="仿宋_GB2312"/>
          <w:highlight w:val="none"/>
        </w:rPr>
      </w:pPr>
      <w:bookmarkStart w:id="190" w:name="_Toc466541040"/>
      <w:bookmarkStart w:id="191" w:name="_Toc417050370"/>
      <w:bookmarkStart w:id="192" w:name="_Toc3216"/>
      <w:r>
        <w:rPr>
          <w:rFonts w:hint="eastAsia" w:ascii="仿宋_GB2312" w:hAnsi="仿宋_GB2312" w:eastAsia="仿宋_GB2312" w:cs="仿宋_GB2312"/>
          <w:highlight w:val="none"/>
        </w:rPr>
        <w:br w:type="page"/>
      </w:r>
    </w:p>
    <w:p>
      <w:pPr>
        <w:adjustRightInd w:val="0"/>
        <w:snapToGrid w:val="0"/>
        <w:spacing w:line="600" w:lineRule="exact"/>
        <w:jc w:val="center"/>
        <w:rPr>
          <w:rFonts w:hint="eastAsia" w:ascii="仿宋_GB2312" w:hAnsi="仿宋_GB2312" w:eastAsia="仿宋_GB2312" w:cs="仿宋_GB2312"/>
          <w:b/>
          <w:bCs/>
          <w:sz w:val="28"/>
          <w:szCs w:val="28"/>
          <w:highlight w:val="none"/>
        </w:rPr>
      </w:pPr>
      <w:bookmarkStart w:id="193" w:name="_Toc32091"/>
      <w:r>
        <w:rPr>
          <w:rFonts w:hint="eastAsia" w:ascii="仿宋_GB2312" w:hAnsi="仿宋_GB2312" w:eastAsia="仿宋_GB2312" w:cs="仿宋_GB2312"/>
          <w:b/>
          <w:bCs/>
          <w:sz w:val="28"/>
          <w:szCs w:val="28"/>
          <w:highlight w:val="none"/>
        </w:rPr>
        <w:t>供应商资格证明</w:t>
      </w:r>
      <w:bookmarkEnd w:id="193"/>
      <w:r>
        <w:rPr>
          <w:rFonts w:hint="eastAsia" w:ascii="仿宋_GB2312" w:hAnsi="仿宋_GB2312" w:eastAsia="仿宋_GB2312" w:cs="仿宋_GB2312"/>
          <w:b/>
          <w:bCs/>
          <w:sz w:val="28"/>
          <w:szCs w:val="28"/>
          <w:highlight w:val="none"/>
        </w:rPr>
        <w:t>材料</w:t>
      </w:r>
    </w:p>
    <w:p>
      <w:pPr>
        <w:pStyle w:val="32"/>
        <w:spacing w:line="560" w:lineRule="exact"/>
        <w:ind w:firstLine="480" w:firstLineChars="200"/>
        <w:rPr>
          <w:rFonts w:hint="eastAsia" w:ascii="仿宋_GB2312" w:hAnsi="仿宋_GB2312" w:eastAsia="仿宋_GB2312" w:cs="仿宋_GB2312"/>
          <w:sz w:val="24"/>
          <w:szCs w:val="24"/>
          <w:highlight w:val="none"/>
        </w:rPr>
      </w:pPr>
      <w:bookmarkStart w:id="194" w:name="_Toc417050366"/>
      <w:bookmarkStart w:id="195" w:name="_Toc466541038"/>
      <w:r>
        <w:rPr>
          <w:rFonts w:hint="eastAsia" w:ascii="仿宋_GB2312" w:hAnsi="仿宋_GB2312" w:eastAsia="仿宋_GB2312" w:cs="仿宋_GB2312"/>
          <w:sz w:val="24"/>
          <w:szCs w:val="24"/>
          <w:highlight w:val="none"/>
        </w:rPr>
        <w:t>供应商必须满足下列条件并按要求提供相关证明材料，否则按为实质性响应磋商文件作无效响应处理：</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①供应商必须是具有独立承担民事责任能力的在中华人民共和国境内注册的法人或其他组织或自然人。（提供有效的法人或者其他组织的营业执照（或事业单位法人证书）或自然人的身份证复印件）</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②供应商必须具有良好的商业信誉和健全的财务会计制度。（提供2018年度财务状况报告或基本开户行出具的资信证明</w:t>
      </w:r>
      <w:r>
        <w:rPr>
          <w:rFonts w:hint="eastAsia" w:ascii="仿宋_GB2312" w:hAnsi="仿宋_GB2312" w:eastAsia="仿宋_GB2312" w:cs="仿宋_GB2312"/>
          <w:bCs/>
          <w:sz w:val="24"/>
          <w:szCs w:val="24"/>
          <w:highlight w:val="none"/>
        </w:rPr>
        <w:t>或专业担保机构出具的投标担保函</w:t>
      </w:r>
      <w:r>
        <w:rPr>
          <w:rFonts w:hint="eastAsia" w:ascii="仿宋_GB2312" w:hAnsi="仿宋_GB2312" w:eastAsia="仿宋_GB2312" w:cs="仿宋_GB2312"/>
          <w:sz w:val="24"/>
          <w:szCs w:val="24"/>
          <w:highlight w:val="none"/>
        </w:rPr>
        <w:t>）。</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③供应商必须具有履行合同所必需的设备和专业技术能力。（按附件1格式填报）</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④供应商必须有依法缴纳税收和社会保障资金的良好记录。（提供提交响应文件截止日前6个月内任意1个月依法缴纳税收和社会保障资金的相关材料。如依法免税或不需要缴纳社会保障资金的，提供相应证明材料）。</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⑤供应商参加政府采购活动前三年内，在经营活动中没有重大违法记录。（按附件2格式要求承诺）</w:t>
      </w:r>
    </w:p>
    <w:p>
      <w:pPr>
        <w:pStyle w:val="32"/>
        <w:spacing w:line="56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⑥供应商必须符合法律、行政法规规定的其他条件。（关于供应商资格的声明函中已承诺即可）</w:t>
      </w:r>
    </w:p>
    <w:p>
      <w:pPr>
        <w:pStyle w:val="32"/>
        <w:spacing w:line="560" w:lineRule="exact"/>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⑦</w:t>
      </w:r>
      <w:bookmarkEnd w:id="194"/>
      <w:bookmarkEnd w:id="195"/>
      <w:bookmarkStart w:id="196" w:name="_Toc466541039"/>
      <w:bookmarkStart w:id="197" w:name="_Toc417050368"/>
      <w:r>
        <w:rPr>
          <w:rFonts w:hint="eastAsia" w:ascii="仿宋_GB2312" w:hAnsi="仿宋_GB2312" w:eastAsia="仿宋_GB2312" w:cs="仿宋_GB2312"/>
          <w:bCs/>
          <w:sz w:val="24"/>
          <w:szCs w:val="24"/>
          <w:highlight w:val="none"/>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提供相关截图）</w:t>
      </w:r>
    </w:p>
    <w:bookmarkEnd w:id="196"/>
    <w:bookmarkEnd w:id="197"/>
    <w:p>
      <w:pPr>
        <w:pStyle w:val="32"/>
        <w:spacing w:line="560" w:lineRule="exact"/>
        <w:ind w:firstLine="480" w:firstLineChars="200"/>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⑧其它有必要提供的证明材料（如有）</w:t>
      </w:r>
    </w:p>
    <w:p>
      <w:pPr>
        <w:pStyle w:val="32"/>
        <w:ind w:firstLine="620" w:firstLineChars="200"/>
        <w:rPr>
          <w:rFonts w:hint="eastAsia" w:ascii="仿宋_GB2312" w:hAnsi="仿宋_GB2312" w:eastAsia="仿宋_GB2312" w:cs="仿宋_GB2312"/>
          <w:highlight w:val="none"/>
        </w:rPr>
      </w:pPr>
      <w:r>
        <w:rPr>
          <w:rFonts w:hint="eastAsia" w:ascii="仿宋_GB2312" w:hAnsi="仿宋_GB2312" w:eastAsia="仿宋_GB2312" w:cs="仿宋_GB2312"/>
          <w:highlight w:val="none"/>
        </w:rPr>
        <w:br w:type="page"/>
      </w:r>
    </w:p>
    <w:p>
      <w:pPr>
        <w:spacing w:line="600" w:lineRule="exact"/>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附件1</w:t>
      </w:r>
    </w:p>
    <w:p>
      <w:pPr>
        <w:spacing w:line="600" w:lineRule="exact"/>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设备及专业技术能力情况</w:t>
      </w:r>
    </w:p>
    <w:p>
      <w:pPr>
        <w:tabs>
          <w:tab w:val="left" w:pos="8248"/>
          <w:tab w:val="left" w:pos="9368"/>
        </w:tabs>
        <w:adjustRightInd w:val="0"/>
        <w:snapToGrid w:val="0"/>
        <w:spacing w:line="560" w:lineRule="exact"/>
        <w:ind w:firstLine="482" w:firstLineChars="200"/>
        <w:rPr>
          <w:rFonts w:hint="eastAsia" w:ascii="仿宋_GB2312" w:hAnsi="仿宋_GB2312" w:eastAsia="仿宋_GB2312" w:cs="仿宋_GB2312"/>
          <w:sz w:val="24"/>
          <w:highlight w:val="none"/>
        </w:rPr>
      </w:pPr>
      <w:r>
        <w:rPr>
          <w:rFonts w:hint="eastAsia" w:ascii="仿宋_GB2312" w:hAnsi="仿宋_GB2312" w:eastAsia="仿宋_GB2312" w:cs="仿宋_GB2312"/>
          <w:b/>
          <w:sz w:val="24"/>
          <w:highlight w:val="none"/>
        </w:rPr>
        <w:t>一、设备情况</w:t>
      </w:r>
    </w:p>
    <w:tbl>
      <w:tblPr>
        <w:tblStyle w:val="23"/>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702"/>
        <w:gridCol w:w="1779"/>
        <w:gridCol w:w="1809"/>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8" w:hRule="atLeast"/>
          <w:jc w:val="center"/>
        </w:trPr>
        <w:tc>
          <w:tcPr>
            <w:tcW w:w="820" w:type="dxa"/>
            <w:vAlign w:val="center"/>
          </w:tcPr>
          <w:p>
            <w:pPr>
              <w:adjustRightInd w:val="0"/>
              <w:snapToGrid w:val="0"/>
              <w:spacing w:line="56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序号</w:t>
            </w:r>
          </w:p>
        </w:tc>
        <w:tc>
          <w:tcPr>
            <w:tcW w:w="2702" w:type="dxa"/>
            <w:vAlign w:val="center"/>
          </w:tcPr>
          <w:p>
            <w:pPr>
              <w:adjustRightInd w:val="0"/>
              <w:snapToGrid w:val="0"/>
              <w:spacing w:line="56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设备名称</w:t>
            </w:r>
          </w:p>
        </w:tc>
        <w:tc>
          <w:tcPr>
            <w:tcW w:w="1779" w:type="dxa"/>
          </w:tcPr>
          <w:p>
            <w:pPr>
              <w:tabs>
                <w:tab w:val="left" w:pos="384"/>
              </w:tabs>
              <w:adjustRightInd w:val="0"/>
              <w:snapToGrid w:val="0"/>
              <w:spacing w:line="56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数量</w:t>
            </w:r>
          </w:p>
        </w:tc>
        <w:tc>
          <w:tcPr>
            <w:tcW w:w="1809" w:type="dxa"/>
            <w:vAlign w:val="center"/>
          </w:tcPr>
          <w:p>
            <w:pPr>
              <w:tabs>
                <w:tab w:val="left" w:pos="384"/>
              </w:tabs>
              <w:adjustRightInd w:val="0"/>
              <w:snapToGrid w:val="0"/>
              <w:spacing w:line="56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运行状况</w:t>
            </w:r>
          </w:p>
        </w:tc>
        <w:tc>
          <w:tcPr>
            <w:tcW w:w="1654" w:type="dxa"/>
            <w:vAlign w:val="center"/>
          </w:tcPr>
          <w:p>
            <w:pPr>
              <w:adjustRightInd w:val="0"/>
              <w:snapToGrid w:val="0"/>
              <w:spacing w:line="56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820" w:type="dxa"/>
            <w:vAlign w:val="center"/>
          </w:tcPr>
          <w:p>
            <w:pPr>
              <w:numPr>
                <w:ilvl w:val="0"/>
                <w:numId w:val="20"/>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sz w:val="24"/>
                <w:highlight w:val="none"/>
              </w:rPr>
            </w:pPr>
          </w:p>
        </w:tc>
        <w:tc>
          <w:tcPr>
            <w:tcW w:w="2702"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779" w:type="dxa"/>
          </w:tcPr>
          <w:p>
            <w:pPr>
              <w:adjustRightInd w:val="0"/>
              <w:snapToGrid w:val="0"/>
              <w:spacing w:line="560" w:lineRule="exact"/>
              <w:jc w:val="center"/>
              <w:rPr>
                <w:rFonts w:hint="eastAsia" w:ascii="仿宋_GB2312" w:hAnsi="仿宋_GB2312" w:eastAsia="仿宋_GB2312" w:cs="仿宋_GB2312"/>
                <w:sz w:val="24"/>
                <w:highlight w:val="none"/>
              </w:rPr>
            </w:pPr>
          </w:p>
        </w:tc>
        <w:tc>
          <w:tcPr>
            <w:tcW w:w="1809"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654" w:type="dxa"/>
          </w:tcPr>
          <w:p>
            <w:pPr>
              <w:adjustRightInd w:val="0"/>
              <w:snapToGrid w:val="0"/>
              <w:spacing w:line="560" w:lineRule="exact"/>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820" w:type="dxa"/>
            <w:vAlign w:val="center"/>
          </w:tcPr>
          <w:p>
            <w:pPr>
              <w:numPr>
                <w:ilvl w:val="0"/>
                <w:numId w:val="20"/>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sz w:val="24"/>
                <w:highlight w:val="none"/>
              </w:rPr>
            </w:pPr>
          </w:p>
        </w:tc>
        <w:tc>
          <w:tcPr>
            <w:tcW w:w="2702"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779" w:type="dxa"/>
          </w:tcPr>
          <w:p>
            <w:pPr>
              <w:adjustRightInd w:val="0"/>
              <w:snapToGrid w:val="0"/>
              <w:spacing w:line="560" w:lineRule="exact"/>
              <w:jc w:val="center"/>
              <w:rPr>
                <w:rFonts w:hint="eastAsia" w:ascii="仿宋_GB2312" w:hAnsi="仿宋_GB2312" w:eastAsia="仿宋_GB2312" w:cs="仿宋_GB2312"/>
                <w:sz w:val="24"/>
                <w:highlight w:val="none"/>
              </w:rPr>
            </w:pPr>
          </w:p>
        </w:tc>
        <w:tc>
          <w:tcPr>
            <w:tcW w:w="1809"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654" w:type="dxa"/>
          </w:tcPr>
          <w:p>
            <w:pPr>
              <w:adjustRightInd w:val="0"/>
              <w:snapToGrid w:val="0"/>
              <w:spacing w:line="560" w:lineRule="exact"/>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20" w:type="dxa"/>
            <w:vAlign w:val="center"/>
          </w:tcPr>
          <w:p>
            <w:pPr>
              <w:numPr>
                <w:ilvl w:val="0"/>
                <w:numId w:val="20"/>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sz w:val="24"/>
                <w:highlight w:val="none"/>
              </w:rPr>
            </w:pPr>
          </w:p>
        </w:tc>
        <w:tc>
          <w:tcPr>
            <w:tcW w:w="2702"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779" w:type="dxa"/>
          </w:tcPr>
          <w:p>
            <w:pPr>
              <w:adjustRightInd w:val="0"/>
              <w:snapToGrid w:val="0"/>
              <w:spacing w:line="560" w:lineRule="exact"/>
              <w:jc w:val="center"/>
              <w:rPr>
                <w:rFonts w:hint="eastAsia" w:ascii="仿宋_GB2312" w:hAnsi="仿宋_GB2312" w:eastAsia="仿宋_GB2312" w:cs="仿宋_GB2312"/>
                <w:sz w:val="24"/>
                <w:highlight w:val="none"/>
              </w:rPr>
            </w:pPr>
          </w:p>
        </w:tc>
        <w:tc>
          <w:tcPr>
            <w:tcW w:w="1809"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654" w:type="dxa"/>
          </w:tcPr>
          <w:p>
            <w:pPr>
              <w:adjustRightInd w:val="0"/>
              <w:snapToGrid w:val="0"/>
              <w:spacing w:line="560" w:lineRule="exact"/>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20" w:type="dxa"/>
            <w:vAlign w:val="center"/>
          </w:tcPr>
          <w:p>
            <w:pPr>
              <w:numPr>
                <w:ilvl w:val="0"/>
                <w:numId w:val="20"/>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sz w:val="24"/>
                <w:highlight w:val="none"/>
              </w:rPr>
            </w:pPr>
          </w:p>
        </w:tc>
        <w:tc>
          <w:tcPr>
            <w:tcW w:w="2702"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779" w:type="dxa"/>
          </w:tcPr>
          <w:p>
            <w:pPr>
              <w:adjustRightInd w:val="0"/>
              <w:snapToGrid w:val="0"/>
              <w:spacing w:line="560" w:lineRule="exact"/>
              <w:jc w:val="center"/>
              <w:rPr>
                <w:rFonts w:hint="eastAsia" w:ascii="仿宋_GB2312" w:hAnsi="仿宋_GB2312" w:eastAsia="仿宋_GB2312" w:cs="仿宋_GB2312"/>
                <w:sz w:val="24"/>
                <w:highlight w:val="none"/>
              </w:rPr>
            </w:pPr>
          </w:p>
        </w:tc>
        <w:tc>
          <w:tcPr>
            <w:tcW w:w="1809"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654" w:type="dxa"/>
          </w:tcPr>
          <w:p>
            <w:pPr>
              <w:adjustRightInd w:val="0"/>
              <w:snapToGrid w:val="0"/>
              <w:spacing w:line="560" w:lineRule="exact"/>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820" w:type="dxa"/>
            <w:vAlign w:val="center"/>
          </w:tcPr>
          <w:p>
            <w:pPr>
              <w:numPr>
                <w:ilvl w:val="0"/>
                <w:numId w:val="20"/>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sz w:val="24"/>
                <w:highlight w:val="none"/>
              </w:rPr>
            </w:pPr>
          </w:p>
        </w:tc>
        <w:tc>
          <w:tcPr>
            <w:tcW w:w="2702"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779" w:type="dxa"/>
          </w:tcPr>
          <w:p>
            <w:pPr>
              <w:adjustRightInd w:val="0"/>
              <w:snapToGrid w:val="0"/>
              <w:spacing w:line="560" w:lineRule="exact"/>
              <w:jc w:val="center"/>
              <w:rPr>
                <w:rFonts w:hint="eastAsia" w:ascii="仿宋_GB2312" w:hAnsi="仿宋_GB2312" w:eastAsia="仿宋_GB2312" w:cs="仿宋_GB2312"/>
                <w:sz w:val="24"/>
                <w:highlight w:val="none"/>
              </w:rPr>
            </w:pPr>
          </w:p>
        </w:tc>
        <w:tc>
          <w:tcPr>
            <w:tcW w:w="1809"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654" w:type="dxa"/>
          </w:tcPr>
          <w:p>
            <w:pPr>
              <w:adjustRightInd w:val="0"/>
              <w:snapToGrid w:val="0"/>
              <w:spacing w:line="560" w:lineRule="exact"/>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820" w:type="dxa"/>
            <w:vAlign w:val="center"/>
          </w:tcPr>
          <w:p>
            <w:pPr>
              <w:numPr>
                <w:ilvl w:val="0"/>
                <w:numId w:val="20"/>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sz w:val="24"/>
                <w:highlight w:val="none"/>
              </w:rPr>
            </w:pPr>
          </w:p>
        </w:tc>
        <w:tc>
          <w:tcPr>
            <w:tcW w:w="2702"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779" w:type="dxa"/>
          </w:tcPr>
          <w:p>
            <w:pPr>
              <w:adjustRightInd w:val="0"/>
              <w:snapToGrid w:val="0"/>
              <w:spacing w:line="560" w:lineRule="exact"/>
              <w:jc w:val="center"/>
              <w:rPr>
                <w:rFonts w:hint="eastAsia" w:ascii="仿宋_GB2312" w:hAnsi="仿宋_GB2312" w:eastAsia="仿宋_GB2312" w:cs="仿宋_GB2312"/>
                <w:sz w:val="24"/>
                <w:highlight w:val="none"/>
              </w:rPr>
            </w:pPr>
          </w:p>
        </w:tc>
        <w:tc>
          <w:tcPr>
            <w:tcW w:w="1809"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654" w:type="dxa"/>
          </w:tcPr>
          <w:p>
            <w:pPr>
              <w:adjustRightInd w:val="0"/>
              <w:snapToGrid w:val="0"/>
              <w:spacing w:line="560" w:lineRule="exact"/>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820" w:type="dxa"/>
            <w:vAlign w:val="center"/>
          </w:tcPr>
          <w:p>
            <w:pPr>
              <w:numPr>
                <w:ilvl w:val="0"/>
                <w:numId w:val="20"/>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sz w:val="24"/>
                <w:highlight w:val="none"/>
              </w:rPr>
            </w:pPr>
          </w:p>
        </w:tc>
        <w:tc>
          <w:tcPr>
            <w:tcW w:w="2702"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779" w:type="dxa"/>
          </w:tcPr>
          <w:p>
            <w:pPr>
              <w:adjustRightInd w:val="0"/>
              <w:snapToGrid w:val="0"/>
              <w:spacing w:line="560" w:lineRule="exact"/>
              <w:jc w:val="center"/>
              <w:rPr>
                <w:rFonts w:hint="eastAsia" w:ascii="仿宋_GB2312" w:hAnsi="仿宋_GB2312" w:eastAsia="仿宋_GB2312" w:cs="仿宋_GB2312"/>
                <w:sz w:val="24"/>
                <w:highlight w:val="none"/>
              </w:rPr>
            </w:pPr>
          </w:p>
        </w:tc>
        <w:tc>
          <w:tcPr>
            <w:tcW w:w="1809"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654" w:type="dxa"/>
          </w:tcPr>
          <w:p>
            <w:pPr>
              <w:adjustRightInd w:val="0"/>
              <w:snapToGrid w:val="0"/>
              <w:spacing w:line="560" w:lineRule="exact"/>
              <w:rPr>
                <w:rFonts w:hint="eastAsia" w:ascii="仿宋_GB2312" w:hAnsi="仿宋_GB2312" w:eastAsia="仿宋_GB2312" w:cs="仿宋_GB2312"/>
                <w:sz w:val="24"/>
                <w:highlight w:val="none"/>
              </w:rPr>
            </w:pPr>
          </w:p>
        </w:tc>
      </w:tr>
    </w:tbl>
    <w:p>
      <w:pPr>
        <w:tabs>
          <w:tab w:val="left" w:pos="8248"/>
          <w:tab w:val="left" w:pos="9368"/>
        </w:tabs>
        <w:adjustRightInd w:val="0"/>
        <w:snapToGrid w:val="0"/>
        <w:spacing w:line="560" w:lineRule="exact"/>
        <w:ind w:firstLine="482" w:firstLineChars="200"/>
        <w:rPr>
          <w:rFonts w:hint="eastAsia" w:ascii="仿宋_GB2312" w:hAnsi="仿宋_GB2312" w:eastAsia="仿宋_GB2312" w:cs="仿宋_GB2312"/>
          <w:sz w:val="24"/>
          <w:highlight w:val="none"/>
        </w:rPr>
      </w:pPr>
      <w:r>
        <w:rPr>
          <w:rFonts w:hint="eastAsia" w:ascii="仿宋_GB2312" w:hAnsi="仿宋_GB2312" w:eastAsia="仿宋_GB2312" w:cs="仿宋_GB2312"/>
          <w:b/>
          <w:bCs/>
          <w:sz w:val="24"/>
          <w:highlight w:val="none"/>
        </w:rPr>
        <w:t>二、专业技术能力情况：</w:t>
      </w:r>
    </w:p>
    <w:tbl>
      <w:tblPr>
        <w:tblStyle w:val="23"/>
        <w:tblW w:w="8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690"/>
        <w:gridCol w:w="1867"/>
        <w:gridCol w:w="2758"/>
        <w:gridCol w:w="1741"/>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3" w:hRule="atLeast"/>
          <w:jc w:val="center"/>
        </w:trPr>
        <w:tc>
          <w:tcPr>
            <w:tcW w:w="690" w:type="dxa"/>
            <w:vAlign w:val="center"/>
          </w:tcPr>
          <w:p>
            <w:pPr>
              <w:adjustRightInd w:val="0"/>
              <w:snapToGrid w:val="0"/>
              <w:spacing w:line="56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序号</w:t>
            </w:r>
          </w:p>
        </w:tc>
        <w:tc>
          <w:tcPr>
            <w:tcW w:w="1867" w:type="dxa"/>
            <w:vAlign w:val="center"/>
          </w:tcPr>
          <w:p>
            <w:pPr>
              <w:adjustRightInd w:val="0"/>
              <w:snapToGrid w:val="0"/>
              <w:spacing w:line="56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人员姓名</w:t>
            </w:r>
          </w:p>
        </w:tc>
        <w:tc>
          <w:tcPr>
            <w:tcW w:w="2758" w:type="dxa"/>
            <w:vAlign w:val="center"/>
          </w:tcPr>
          <w:p>
            <w:pPr>
              <w:adjustRightInd w:val="0"/>
              <w:snapToGrid w:val="0"/>
              <w:spacing w:line="56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身份证号</w:t>
            </w:r>
          </w:p>
        </w:tc>
        <w:tc>
          <w:tcPr>
            <w:tcW w:w="1741" w:type="dxa"/>
            <w:vAlign w:val="center"/>
          </w:tcPr>
          <w:p>
            <w:pPr>
              <w:adjustRightInd w:val="0"/>
              <w:snapToGrid w:val="0"/>
              <w:spacing w:line="56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岗位</w:t>
            </w:r>
          </w:p>
        </w:tc>
        <w:tc>
          <w:tcPr>
            <w:tcW w:w="1594" w:type="dxa"/>
            <w:vAlign w:val="center"/>
          </w:tcPr>
          <w:p>
            <w:pPr>
              <w:adjustRightInd w:val="0"/>
              <w:snapToGrid w:val="0"/>
              <w:spacing w:line="56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3" w:hRule="atLeast"/>
          <w:jc w:val="center"/>
        </w:trPr>
        <w:tc>
          <w:tcPr>
            <w:tcW w:w="690" w:type="dxa"/>
            <w:vAlign w:val="center"/>
          </w:tcPr>
          <w:p>
            <w:pPr>
              <w:numPr>
                <w:ilvl w:val="0"/>
                <w:numId w:val="21"/>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sz w:val="24"/>
                <w:highlight w:val="none"/>
              </w:rPr>
            </w:pPr>
          </w:p>
        </w:tc>
        <w:tc>
          <w:tcPr>
            <w:tcW w:w="1867"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2758"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741"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94"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3" w:hRule="atLeast"/>
          <w:jc w:val="center"/>
        </w:trPr>
        <w:tc>
          <w:tcPr>
            <w:tcW w:w="690" w:type="dxa"/>
            <w:vAlign w:val="center"/>
          </w:tcPr>
          <w:p>
            <w:pPr>
              <w:numPr>
                <w:ilvl w:val="0"/>
                <w:numId w:val="21"/>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sz w:val="24"/>
                <w:highlight w:val="none"/>
              </w:rPr>
            </w:pPr>
          </w:p>
        </w:tc>
        <w:tc>
          <w:tcPr>
            <w:tcW w:w="1867"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2758"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741"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94"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3" w:hRule="atLeast"/>
          <w:jc w:val="center"/>
        </w:trPr>
        <w:tc>
          <w:tcPr>
            <w:tcW w:w="690" w:type="dxa"/>
            <w:vAlign w:val="center"/>
          </w:tcPr>
          <w:p>
            <w:pPr>
              <w:numPr>
                <w:ilvl w:val="0"/>
                <w:numId w:val="21"/>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sz w:val="24"/>
                <w:highlight w:val="none"/>
              </w:rPr>
            </w:pPr>
          </w:p>
        </w:tc>
        <w:tc>
          <w:tcPr>
            <w:tcW w:w="1867"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2758"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741"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94"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3" w:hRule="atLeast"/>
          <w:jc w:val="center"/>
        </w:trPr>
        <w:tc>
          <w:tcPr>
            <w:tcW w:w="690" w:type="dxa"/>
            <w:vAlign w:val="center"/>
          </w:tcPr>
          <w:p>
            <w:pPr>
              <w:numPr>
                <w:ilvl w:val="0"/>
                <w:numId w:val="21"/>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sz w:val="24"/>
                <w:highlight w:val="none"/>
              </w:rPr>
            </w:pPr>
          </w:p>
        </w:tc>
        <w:tc>
          <w:tcPr>
            <w:tcW w:w="1867"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2758"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741"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94"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3" w:hRule="atLeast"/>
          <w:jc w:val="center"/>
        </w:trPr>
        <w:tc>
          <w:tcPr>
            <w:tcW w:w="690" w:type="dxa"/>
            <w:vAlign w:val="center"/>
          </w:tcPr>
          <w:p>
            <w:pPr>
              <w:numPr>
                <w:ilvl w:val="0"/>
                <w:numId w:val="21"/>
              </w:numPr>
              <w:tabs>
                <w:tab w:val="left" w:pos="142"/>
                <w:tab w:val="clear" w:pos="420"/>
              </w:tabs>
              <w:adjustRightInd w:val="0"/>
              <w:snapToGrid w:val="0"/>
              <w:spacing w:line="560" w:lineRule="exact"/>
              <w:ind w:left="0" w:firstLine="0"/>
              <w:jc w:val="center"/>
              <w:rPr>
                <w:rFonts w:hint="eastAsia" w:ascii="仿宋_GB2312" w:hAnsi="仿宋_GB2312" w:eastAsia="仿宋_GB2312" w:cs="仿宋_GB2312"/>
                <w:sz w:val="24"/>
                <w:highlight w:val="none"/>
              </w:rPr>
            </w:pPr>
          </w:p>
        </w:tc>
        <w:tc>
          <w:tcPr>
            <w:tcW w:w="1867"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2758"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741"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94"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bl>
    <w:p>
      <w:pPr>
        <w:pStyle w:val="32"/>
        <w:ind w:firstLine="0" w:firstLineChars="0"/>
        <w:rPr>
          <w:rFonts w:hint="eastAsia" w:ascii="仿宋_GB2312" w:hAnsi="仿宋_GB2312" w:eastAsia="仿宋_GB2312" w:cs="仿宋_GB2312"/>
          <w:highlight w:val="none"/>
        </w:rPr>
      </w:pPr>
    </w:p>
    <w:p>
      <w:pPr>
        <w:snapToGrid w:val="0"/>
        <w:spacing w:line="560" w:lineRule="exact"/>
        <w:ind w:right="561"/>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供应商名称（加盖公章）：</w:t>
      </w:r>
    </w:p>
    <w:p>
      <w:pPr>
        <w:snapToGrid w:val="0"/>
        <w:spacing w:line="560" w:lineRule="exact"/>
        <w:ind w:right="561"/>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供应商法定代表人或受委托人（签名或盖私章）：</w:t>
      </w:r>
    </w:p>
    <w:p>
      <w:pPr>
        <w:snapToGrid w:val="0"/>
        <w:spacing w:line="560" w:lineRule="exact"/>
        <w:ind w:right="561"/>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日      期：</w:t>
      </w:r>
    </w:p>
    <w:p>
      <w:pPr>
        <w:pStyle w:val="32"/>
        <w:ind w:firstLine="0" w:firstLineChars="0"/>
        <w:rPr>
          <w:rFonts w:hint="eastAsia" w:ascii="仿宋_GB2312" w:hAnsi="仿宋_GB2312" w:eastAsia="仿宋_GB2312" w:cs="仿宋_GB2312"/>
          <w:highlight w:val="none"/>
        </w:rPr>
      </w:pPr>
    </w:p>
    <w:p>
      <w:pPr>
        <w:pStyle w:val="32"/>
        <w:ind w:firstLine="0" w:firstLineChars="0"/>
        <w:rPr>
          <w:rFonts w:hint="eastAsia" w:ascii="仿宋_GB2312" w:hAnsi="仿宋_GB2312" w:eastAsia="仿宋_GB2312" w:cs="仿宋_GB2312"/>
          <w:highlight w:val="none"/>
        </w:rPr>
      </w:pPr>
    </w:p>
    <w:p>
      <w:pPr>
        <w:pStyle w:val="32"/>
        <w:ind w:firstLine="0" w:firstLineChars="0"/>
        <w:rPr>
          <w:rFonts w:hint="eastAsia" w:ascii="仿宋_GB2312" w:hAnsi="仿宋_GB2312" w:eastAsia="仿宋_GB2312" w:cs="仿宋_GB2312"/>
          <w:highlight w:val="none"/>
        </w:rPr>
      </w:pPr>
      <w:r>
        <w:rPr>
          <w:rFonts w:hint="eastAsia" w:ascii="仿宋_GB2312" w:hAnsi="仿宋_GB2312" w:eastAsia="仿宋_GB2312" w:cs="仿宋_GB2312"/>
          <w:highlight w:val="none"/>
        </w:rPr>
        <w:br w:type="page"/>
      </w:r>
    </w:p>
    <w:p>
      <w:pPr>
        <w:spacing w:line="600" w:lineRule="exact"/>
        <w:rPr>
          <w:rFonts w:hint="eastAsia" w:ascii="仿宋_GB2312" w:hAnsi="仿宋_GB2312" w:eastAsia="仿宋_GB2312" w:cs="仿宋_GB2312"/>
          <w:b/>
          <w:bCs/>
          <w:sz w:val="28"/>
          <w:szCs w:val="28"/>
          <w:highlight w:val="none"/>
        </w:rPr>
      </w:pPr>
      <w:bookmarkStart w:id="198" w:name="_Toc19879"/>
      <w:r>
        <w:rPr>
          <w:rFonts w:hint="eastAsia" w:ascii="仿宋_GB2312" w:hAnsi="仿宋_GB2312" w:eastAsia="仿宋_GB2312" w:cs="仿宋_GB2312"/>
          <w:b/>
          <w:bCs/>
          <w:sz w:val="28"/>
          <w:szCs w:val="28"/>
          <w:highlight w:val="none"/>
        </w:rPr>
        <w:t>附件2</w:t>
      </w:r>
    </w:p>
    <w:p>
      <w:pPr>
        <w:spacing w:line="600" w:lineRule="exact"/>
        <w:jc w:val="center"/>
        <w:rPr>
          <w:rFonts w:hint="eastAsia" w:ascii="仿宋_GB2312" w:hAnsi="仿宋_GB2312" w:eastAsia="仿宋_GB2312" w:cs="仿宋_GB2312"/>
          <w:b/>
          <w:bCs/>
          <w:sz w:val="28"/>
          <w:szCs w:val="28"/>
          <w:highlight w:val="none"/>
        </w:rPr>
      </w:pPr>
      <w:bookmarkStart w:id="199" w:name="_Toc417050365"/>
      <w:bookmarkStart w:id="200" w:name="_Toc466541037"/>
      <w:r>
        <w:rPr>
          <w:rFonts w:hint="eastAsia" w:ascii="仿宋_GB2312" w:hAnsi="仿宋_GB2312" w:eastAsia="仿宋_GB2312" w:cs="仿宋_GB2312"/>
          <w:b/>
          <w:bCs/>
          <w:sz w:val="28"/>
          <w:szCs w:val="28"/>
          <w:highlight w:val="none"/>
        </w:rPr>
        <w:t>在经营活动中没有重大违法记录的书面声明</w:t>
      </w:r>
      <w:bookmarkEnd w:id="198"/>
      <w:bookmarkEnd w:id="199"/>
      <w:bookmarkEnd w:id="200"/>
    </w:p>
    <w:p>
      <w:pPr>
        <w:rPr>
          <w:rFonts w:hint="eastAsia" w:ascii="仿宋_GB2312" w:hAnsi="仿宋_GB2312" w:eastAsia="仿宋_GB2312" w:cs="仿宋_GB2312"/>
          <w:highlight w:val="none"/>
        </w:rPr>
      </w:pPr>
    </w:p>
    <w:p>
      <w:pPr>
        <w:adjustRightInd w:val="0"/>
        <w:spacing w:line="60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致：广东盛业招标代理有限公司</w:t>
      </w:r>
    </w:p>
    <w:p>
      <w:pPr>
        <w:adjustRightInd w:val="0"/>
        <w:spacing w:line="60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本公司参加</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采购项目（采购编号：</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）的政府采购活动，并声明：</w:t>
      </w:r>
    </w:p>
    <w:p>
      <w:pPr>
        <w:adjustRightInd w:val="0"/>
        <w:spacing w:line="60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本公司参加本采购项目政府采购前3年内在经营活动中没有因违法经营受到刑事处罚或者责令停产停业、吊销许可证或者执照、较大数额罚款等行政处罚。</w:t>
      </w:r>
    </w:p>
    <w:p>
      <w:pPr>
        <w:adjustRightInd w:val="0"/>
        <w:spacing w:line="60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特此声明！</w:t>
      </w:r>
    </w:p>
    <w:p>
      <w:pPr>
        <w:adjustRightInd w:val="0"/>
        <w:spacing w:line="600" w:lineRule="exact"/>
        <w:ind w:firstLine="480" w:firstLineChars="200"/>
        <w:jc w:val="left"/>
        <w:rPr>
          <w:rFonts w:hint="eastAsia" w:ascii="仿宋_GB2312" w:hAnsi="仿宋_GB2312" w:eastAsia="仿宋_GB2312" w:cs="仿宋_GB2312"/>
          <w:sz w:val="24"/>
          <w:highlight w:val="none"/>
        </w:rPr>
      </w:pPr>
    </w:p>
    <w:p>
      <w:pPr>
        <w:adjustRightInd w:val="0"/>
        <w:spacing w:line="600" w:lineRule="exact"/>
        <w:ind w:firstLine="480" w:firstLineChars="200"/>
        <w:jc w:val="left"/>
        <w:rPr>
          <w:rFonts w:hint="eastAsia" w:ascii="仿宋_GB2312" w:hAnsi="仿宋_GB2312" w:eastAsia="仿宋_GB2312" w:cs="仿宋_GB2312"/>
          <w:sz w:val="24"/>
          <w:highlight w:val="none"/>
        </w:rPr>
      </w:pPr>
    </w:p>
    <w:p>
      <w:pPr>
        <w:adjustRightInd w:val="0"/>
        <w:spacing w:line="60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供应商名称（加盖公章）：</w:t>
      </w:r>
    </w:p>
    <w:p>
      <w:pPr>
        <w:adjustRightInd w:val="0"/>
        <w:spacing w:line="60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供应商法定代表人或受委托人（签名或盖私章）：</w:t>
      </w:r>
    </w:p>
    <w:p>
      <w:pPr>
        <w:adjustRightInd w:val="0"/>
        <w:spacing w:line="60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日      期：</w:t>
      </w:r>
    </w:p>
    <w:p>
      <w:pPr>
        <w:adjustRightInd w:val="0"/>
        <w:spacing w:line="600" w:lineRule="exact"/>
        <w:ind w:firstLine="562" w:firstLineChars="200"/>
        <w:jc w:val="left"/>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br w:type="page"/>
      </w:r>
    </w:p>
    <w:p>
      <w:pPr>
        <w:spacing w:line="600" w:lineRule="exact"/>
        <w:jc w:val="center"/>
        <w:outlineLvl w:val="2"/>
        <w:rPr>
          <w:rFonts w:hint="eastAsia" w:ascii="仿宋_GB2312" w:hAnsi="仿宋_GB2312" w:eastAsia="仿宋_GB2312" w:cs="仿宋_GB2312"/>
          <w:b/>
          <w:bCs/>
          <w:sz w:val="28"/>
          <w:szCs w:val="28"/>
          <w:highlight w:val="none"/>
        </w:rPr>
      </w:pPr>
      <w:bookmarkStart w:id="201" w:name="_Toc14743"/>
      <w:bookmarkStart w:id="202" w:name="_Toc29037"/>
      <w:r>
        <w:rPr>
          <w:rFonts w:hint="eastAsia" w:ascii="仿宋_GB2312" w:hAnsi="仿宋_GB2312" w:eastAsia="仿宋_GB2312" w:cs="仿宋_GB2312"/>
          <w:b/>
          <w:bCs/>
          <w:sz w:val="28"/>
          <w:szCs w:val="28"/>
          <w:highlight w:val="none"/>
        </w:rPr>
        <w:t>3.法定代表人身份证明书</w:t>
      </w:r>
      <w:bookmarkEnd w:id="201"/>
      <w:bookmarkEnd w:id="202"/>
    </w:p>
    <w:p>
      <w:pPr>
        <w:spacing w:line="600" w:lineRule="exact"/>
        <w:rPr>
          <w:rFonts w:hint="eastAsia" w:ascii="仿宋_GB2312" w:hAnsi="仿宋_GB2312" w:eastAsia="仿宋_GB2312" w:cs="仿宋_GB2312"/>
          <w:sz w:val="24"/>
          <w:highlight w:val="none"/>
        </w:rPr>
      </w:pPr>
    </w:p>
    <w:p>
      <w:pPr>
        <w:spacing w:line="6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致：广东盛业招标代理有限公司</w:t>
      </w:r>
    </w:p>
    <w:p>
      <w:pPr>
        <w:pStyle w:val="32"/>
        <w:ind w:firstLine="49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本证明书声明：注册于</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（国家名称）的</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（供应商名称）在下面签字的</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（法定代表人姓名、职务）为本公司的合法代表人</w:t>
      </w:r>
      <w:r>
        <w:rPr>
          <w:rFonts w:hint="eastAsia" w:ascii="仿宋_GB2312" w:hAnsi="仿宋_GB2312" w:eastAsia="仿宋_GB2312" w:cs="仿宋_GB2312"/>
          <w:b/>
          <w:sz w:val="24"/>
          <w:szCs w:val="24"/>
          <w:highlight w:val="none"/>
        </w:rPr>
        <w:t>（须提供法定代表人身份证复印件）。</w:t>
      </w:r>
    </w:p>
    <w:p>
      <w:pPr>
        <w:spacing w:line="6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特此证明。</w:t>
      </w:r>
    </w:p>
    <w:p>
      <w:pPr>
        <w:spacing w:line="600" w:lineRule="exact"/>
        <w:rPr>
          <w:rFonts w:hint="eastAsia" w:ascii="仿宋_GB2312" w:hAnsi="仿宋_GB2312" w:eastAsia="仿宋_GB2312" w:cs="仿宋_GB2312"/>
          <w:sz w:val="24"/>
          <w:highlight w:val="none"/>
        </w:rPr>
      </w:pPr>
    </w:p>
    <w:p>
      <w:pPr>
        <w:spacing w:line="600" w:lineRule="exact"/>
        <w:rPr>
          <w:rFonts w:hint="eastAsia" w:ascii="仿宋_GB2312" w:hAnsi="仿宋_GB2312" w:eastAsia="仿宋_GB2312" w:cs="仿宋_GB2312"/>
          <w:sz w:val="24"/>
          <w:highlight w:val="none"/>
        </w:rPr>
      </w:pPr>
    </w:p>
    <w:tbl>
      <w:tblPr>
        <w:tblStyle w:val="23"/>
        <w:tblW w:w="8464" w:type="dxa"/>
        <w:jc w:val="center"/>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661" w:hRule="atLeast"/>
          <w:jc w:val="center"/>
        </w:trPr>
        <w:tc>
          <w:tcPr>
            <w:tcW w:w="4232" w:type="dxa"/>
            <w:vAlign w:val="center"/>
          </w:tcPr>
          <w:p>
            <w:pPr>
              <w:spacing w:line="60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正面</w:t>
            </w:r>
          </w:p>
        </w:tc>
        <w:tc>
          <w:tcPr>
            <w:tcW w:w="4232" w:type="dxa"/>
            <w:vAlign w:val="center"/>
          </w:tcPr>
          <w:p>
            <w:pPr>
              <w:spacing w:line="60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背面</w:t>
            </w:r>
          </w:p>
        </w:tc>
      </w:tr>
    </w:tbl>
    <w:p>
      <w:pPr>
        <w:spacing w:line="600" w:lineRule="exact"/>
        <w:rPr>
          <w:rFonts w:hint="eastAsia" w:ascii="仿宋_GB2312" w:hAnsi="仿宋_GB2312" w:eastAsia="仿宋_GB2312" w:cs="仿宋_GB2312"/>
          <w:sz w:val="24"/>
          <w:highlight w:val="none"/>
        </w:rPr>
      </w:pPr>
    </w:p>
    <w:p>
      <w:pPr>
        <w:spacing w:line="600" w:lineRule="exact"/>
        <w:rPr>
          <w:rFonts w:hint="eastAsia" w:ascii="仿宋_GB2312" w:hAnsi="仿宋_GB2312" w:eastAsia="仿宋_GB2312" w:cs="仿宋_GB2312"/>
          <w:sz w:val="24"/>
          <w:highlight w:val="none"/>
        </w:rPr>
      </w:pPr>
    </w:p>
    <w:p>
      <w:pPr>
        <w:spacing w:line="600" w:lineRule="exact"/>
        <w:rPr>
          <w:rFonts w:hint="eastAsia" w:ascii="仿宋_GB2312" w:hAnsi="仿宋_GB2312" w:eastAsia="仿宋_GB2312" w:cs="仿宋_GB2312"/>
          <w:sz w:val="24"/>
          <w:highlight w:val="none"/>
        </w:rPr>
      </w:pPr>
    </w:p>
    <w:p>
      <w:pPr>
        <w:spacing w:line="600" w:lineRule="exact"/>
        <w:rPr>
          <w:rFonts w:hint="eastAsia" w:ascii="仿宋_GB2312" w:hAnsi="仿宋_GB2312" w:eastAsia="仿宋_GB2312" w:cs="仿宋_GB2312"/>
          <w:sz w:val="24"/>
          <w:highlight w:val="none"/>
        </w:rPr>
      </w:pPr>
    </w:p>
    <w:p>
      <w:pPr>
        <w:spacing w:line="6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供应商名称（加盖公章）：</w:t>
      </w:r>
    </w:p>
    <w:p>
      <w:pPr>
        <w:spacing w:line="6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法定代表人（签名或盖私章）：</w:t>
      </w:r>
    </w:p>
    <w:p>
      <w:pPr>
        <w:spacing w:line="600" w:lineRule="exact"/>
        <w:ind w:right="56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日期：</w:t>
      </w:r>
    </w:p>
    <w:p>
      <w:pPr>
        <w:pStyle w:val="32"/>
        <w:ind w:firstLine="0" w:firstLineChars="0"/>
        <w:rPr>
          <w:rFonts w:hint="eastAsia" w:ascii="仿宋_GB2312" w:hAnsi="仿宋_GB2312" w:eastAsia="仿宋_GB2312" w:cs="仿宋_GB2312"/>
          <w:sz w:val="24"/>
          <w:szCs w:val="24"/>
          <w:highlight w:val="none"/>
        </w:rPr>
      </w:pPr>
    </w:p>
    <w:p>
      <w:pPr>
        <w:pStyle w:val="32"/>
        <w:ind w:firstLine="0" w:firstLineChars="0"/>
        <w:rPr>
          <w:rFonts w:hint="eastAsia" w:ascii="仿宋_GB2312" w:hAnsi="仿宋_GB2312" w:eastAsia="仿宋_GB2312" w:cs="仿宋_GB2312"/>
          <w:sz w:val="28"/>
          <w:highlight w:val="none"/>
        </w:rPr>
      </w:pPr>
    </w:p>
    <w:p>
      <w:pPr>
        <w:spacing w:line="600" w:lineRule="exact"/>
        <w:jc w:val="center"/>
        <w:outlineLvl w:val="2"/>
        <w:rPr>
          <w:rFonts w:hint="eastAsia" w:ascii="仿宋_GB2312" w:hAnsi="仿宋_GB2312" w:eastAsia="仿宋_GB2312" w:cs="仿宋_GB2312"/>
          <w:b/>
          <w:bCs/>
          <w:sz w:val="28"/>
          <w:szCs w:val="28"/>
          <w:highlight w:val="none"/>
        </w:rPr>
      </w:pPr>
      <w:bookmarkStart w:id="203" w:name="_Toc466541041"/>
      <w:bookmarkStart w:id="204" w:name="_Toc417050371"/>
      <w:bookmarkStart w:id="205" w:name="_Toc21897"/>
      <w:bookmarkStart w:id="206" w:name="_Toc88985368"/>
      <w:bookmarkStart w:id="207" w:name="_Toc210188797"/>
      <w:bookmarkStart w:id="208" w:name="_Toc12837"/>
      <w:r>
        <w:rPr>
          <w:rFonts w:hint="eastAsia" w:ascii="仿宋_GB2312" w:hAnsi="仿宋_GB2312" w:eastAsia="仿宋_GB2312" w:cs="仿宋_GB2312"/>
          <w:b/>
          <w:bCs/>
          <w:sz w:val="28"/>
          <w:szCs w:val="28"/>
          <w:highlight w:val="none"/>
        </w:rPr>
        <w:t>4.法定代表人授权委托书</w:t>
      </w:r>
      <w:bookmarkEnd w:id="203"/>
      <w:bookmarkEnd w:id="204"/>
      <w:bookmarkEnd w:id="205"/>
      <w:bookmarkEnd w:id="206"/>
      <w:bookmarkEnd w:id="207"/>
      <w:bookmarkEnd w:id="208"/>
    </w:p>
    <w:p>
      <w:pPr>
        <w:spacing w:line="600" w:lineRule="exact"/>
        <w:rPr>
          <w:rFonts w:hint="eastAsia" w:ascii="仿宋_GB2312" w:hAnsi="仿宋_GB2312" w:eastAsia="仿宋_GB2312" w:cs="仿宋_GB2312"/>
          <w:sz w:val="24"/>
          <w:highlight w:val="none"/>
        </w:rPr>
      </w:pPr>
    </w:p>
    <w:p>
      <w:pPr>
        <w:spacing w:line="6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致：广东盛业招标代理有限公司</w:t>
      </w:r>
    </w:p>
    <w:p>
      <w:pPr>
        <w:pStyle w:val="32"/>
        <w:ind w:firstLine="45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本人</w:t>
      </w:r>
      <w:r>
        <w:rPr>
          <w:rFonts w:hint="eastAsia" w:ascii="仿宋_GB2312" w:hAnsi="仿宋_GB2312" w:eastAsia="仿宋_GB2312" w:cs="仿宋_GB2312"/>
          <w:sz w:val="24"/>
          <w:szCs w:val="24"/>
          <w:highlight w:val="none"/>
          <w:u w:val="single"/>
        </w:rPr>
        <w:t xml:space="preserve">  （姓名） </w:t>
      </w:r>
      <w:r>
        <w:rPr>
          <w:rFonts w:hint="eastAsia" w:ascii="仿宋_GB2312" w:hAnsi="仿宋_GB2312" w:eastAsia="仿宋_GB2312" w:cs="仿宋_GB2312"/>
          <w:sz w:val="24"/>
          <w:szCs w:val="24"/>
          <w:highlight w:val="none"/>
        </w:rPr>
        <w:t>系</w:t>
      </w:r>
      <w:r>
        <w:rPr>
          <w:rFonts w:hint="eastAsia" w:ascii="仿宋_GB2312" w:hAnsi="仿宋_GB2312" w:eastAsia="仿宋_GB2312" w:cs="仿宋_GB2312"/>
          <w:sz w:val="24"/>
          <w:szCs w:val="24"/>
          <w:highlight w:val="none"/>
          <w:u w:val="single"/>
        </w:rPr>
        <w:t xml:space="preserve">     （供应商名称）        </w:t>
      </w:r>
      <w:r>
        <w:rPr>
          <w:rFonts w:hint="eastAsia" w:ascii="仿宋_GB2312" w:hAnsi="仿宋_GB2312" w:eastAsia="仿宋_GB2312" w:cs="仿宋_GB2312"/>
          <w:sz w:val="24"/>
          <w:szCs w:val="24"/>
          <w:highlight w:val="none"/>
        </w:rPr>
        <w:t>的法定代表人，现委托</w:t>
      </w:r>
      <w:r>
        <w:rPr>
          <w:rFonts w:hint="eastAsia" w:ascii="仿宋_GB2312" w:hAnsi="仿宋_GB2312" w:eastAsia="仿宋_GB2312" w:cs="仿宋_GB2312"/>
          <w:sz w:val="24"/>
          <w:szCs w:val="24"/>
          <w:highlight w:val="none"/>
          <w:u w:val="single"/>
        </w:rPr>
        <w:t xml:space="preserve"> （姓名） </w:t>
      </w:r>
      <w:r>
        <w:rPr>
          <w:rFonts w:hint="eastAsia" w:ascii="仿宋_GB2312" w:hAnsi="仿宋_GB2312" w:eastAsia="仿宋_GB2312" w:cs="仿宋_GB2312"/>
          <w:sz w:val="24"/>
          <w:szCs w:val="24"/>
          <w:highlight w:val="none"/>
        </w:rPr>
        <w:t>为我方合法代理人。代理人根据授权，以我方名义签署、澄清、说明、补正、递交、撤回、修改</w:t>
      </w:r>
      <w:r>
        <w:rPr>
          <w:rFonts w:hint="eastAsia" w:ascii="仿宋_GB2312" w:hAnsi="仿宋_GB2312" w:eastAsia="仿宋_GB2312" w:cs="仿宋_GB2312"/>
          <w:sz w:val="24"/>
          <w:szCs w:val="24"/>
          <w:highlight w:val="none"/>
          <w:u w:val="single"/>
        </w:rPr>
        <w:t xml:space="preserve">        （项目名称）        </w:t>
      </w:r>
      <w:r>
        <w:rPr>
          <w:rFonts w:hint="eastAsia" w:ascii="仿宋_GB2312" w:hAnsi="仿宋_GB2312" w:eastAsia="仿宋_GB2312" w:cs="仿宋_GB2312"/>
          <w:sz w:val="24"/>
          <w:szCs w:val="24"/>
          <w:highlight w:val="none"/>
        </w:rPr>
        <w:t>[采购编号：</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]响应文件、签订合同和处理有关事宜，其法律后果由我方承担。</w:t>
      </w:r>
    </w:p>
    <w:p>
      <w:pPr>
        <w:pStyle w:val="32"/>
        <w:ind w:firstLine="489" w:firstLineChars="204"/>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本委托书于</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年</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月</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日签字生效，特此证明。</w:t>
      </w:r>
    </w:p>
    <w:p>
      <w:pPr>
        <w:pStyle w:val="32"/>
        <w:ind w:firstLine="450" w:firstLineChars="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代理人无转委托权</w:t>
      </w:r>
    </w:p>
    <w:p>
      <w:pPr>
        <w:pStyle w:val="32"/>
        <w:ind w:firstLine="4020" w:firstLineChars="1675"/>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供应商名称（加盖公章）</w:t>
      </w:r>
      <w:r>
        <w:rPr>
          <w:rFonts w:hint="eastAsia" w:ascii="仿宋_GB2312" w:hAnsi="仿宋_GB2312" w:eastAsia="仿宋_GB2312" w:cs="仿宋_GB2312"/>
          <w:sz w:val="24"/>
          <w:szCs w:val="24"/>
          <w:highlight w:val="none"/>
          <w:u w:val="single"/>
        </w:rPr>
        <w:t xml:space="preserve">                    </w:t>
      </w:r>
    </w:p>
    <w:p>
      <w:pPr>
        <w:pStyle w:val="32"/>
        <w:ind w:firstLine="4020" w:firstLineChars="1675"/>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法定代表人（签名或盖私章）：</w:t>
      </w:r>
      <w:r>
        <w:rPr>
          <w:rFonts w:hint="eastAsia" w:ascii="仿宋_GB2312" w:hAnsi="仿宋_GB2312" w:eastAsia="仿宋_GB2312" w:cs="仿宋_GB2312"/>
          <w:sz w:val="24"/>
          <w:szCs w:val="24"/>
          <w:highlight w:val="none"/>
          <w:u w:val="single"/>
        </w:rPr>
        <w:t xml:space="preserve">               </w:t>
      </w:r>
    </w:p>
    <w:p>
      <w:pPr>
        <w:pStyle w:val="32"/>
        <w:ind w:firstLine="4020" w:firstLineChars="1675"/>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身份证号码：</w:t>
      </w:r>
      <w:r>
        <w:rPr>
          <w:rFonts w:hint="eastAsia" w:ascii="仿宋_GB2312" w:hAnsi="仿宋_GB2312" w:eastAsia="仿宋_GB2312" w:cs="仿宋_GB2312"/>
          <w:sz w:val="24"/>
          <w:szCs w:val="24"/>
          <w:highlight w:val="none"/>
          <w:u w:val="single"/>
        </w:rPr>
        <w:t xml:space="preserve">                              </w:t>
      </w:r>
    </w:p>
    <w:p>
      <w:pPr>
        <w:pStyle w:val="32"/>
        <w:ind w:firstLine="4020" w:firstLineChars="1675"/>
        <w:rPr>
          <w:rFonts w:hint="eastAsia" w:ascii="仿宋_GB2312" w:hAnsi="仿宋_GB2312" w:eastAsia="仿宋_GB2312" w:cs="仿宋_GB2312"/>
          <w:sz w:val="24"/>
          <w:szCs w:val="24"/>
          <w:highlight w:val="none"/>
        </w:rPr>
      </w:pPr>
    </w:p>
    <w:p>
      <w:pPr>
        <w:pStyle w:val="32"/>
        <w:ind w:firstLine="4020" w:firstLineChars="1675"/>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受托代理人（签名或盖私章）：</w:t>
      </w:r>
      <w:r>
        <w:rPr>
          <w:rFonts w:hint="eastAsia" w:ascii="仿宋_GB2312" w:hAnsi="仿宋_GB2312" w:eastAsia="仿宋_GB2312" w:cs="仿宋_GB2312"/>
          <w:sz w:val="24"/>
          <w:szCs w:val="24"/>
          <w:highlight w:val="none"/>
          <w:u w:val="single"/>
        </w:rPr>
        <w:t xml:space="preserve">               </w:t>
      </w:r>
    </w:p>
    <w:p>
      <w:pPr>
        <w:pStyle w:val="32"/>
        <w:ind w:firstLine="4020" w:firstLineChars="1675"/>
        <w:rPr>
          <w:rFonts w:hint="eastAsia" w:ascii="仿宋_GB2312" w:hAnsi="仿宋_GB2312" w:eastAsia="仿宋_GB2312" w:cs="仿宋_GB2312"/>
          <w:sz w:val="24"/>
          <w:szCs w:val="24"/>
          <w:highlight w:val="none"/>
          <w:u w:val="single"/>
        </w:rPr>
      </w:pPr>
      <w:r>
        <w:rPr>
          <w:rFonts w:hint="eastAsia" w:ascii="仿宋_GB2312" w:hAnsi="仿宋_GB2312" w:eastAsia="仿宋_GB2312" w:cs="仿宋_GB2312"/>
          <w:sz w:val="24"/>
          <w:szCs w:val="24"/>
          <w:highlight w:val="none"/>
        </w:rPr>
        <w:t>身份证号码：</w:t>
      </w:r>
      <w:r>
        <w:rPr>
          <w:rFonts w:hint="eastAsia" w:ascii="仿宋_GB2312" w:hAnsi="仿宋_GB2312" w:eastAsia="仿宋_GB2312" w:cs="仿宋_GB2312"/>
          <w:sz w:val="24"/>
          <w:szCs w:val="24"/>
          <w:highlight w:val="none"/>
          <w:u w:val="single"/>
        </w:rPr>
        <w:t xml:space="preserve">                              </w:t>
      </w:r>
    </w:p>
    <w:p>
      <w:pPr>
        <w:pStyle w:val="32"/>
        <w:ind w:firstLine="4008" w:firstLineChars="167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日      期：</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年</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月</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日</w:t>
      </w:r>
    </w:p>
    <w:p>
      <w:pPr>
        <w:spacing w:line="600" w:lineRule="exact"/>
        <w:ind w:firstLine="482" w:firstLineChars="200"/>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须附：授权代理人身份证复印件（加盖公章）</w:t>
      </w:r>
    </w:p>
    <w:p>
      <w:pPr>
        <w:spacing w:line="600" w:lineRule="exact"/>
        <w:ind w:firstLine="480" w:firstLineChars="200"/>
        <w:rPr>
          <w:rFonts w:hint="eastAsia" w:ascii="仿宋_GB2312" w:hAnsi="仿宋_GB2312" w:eastAsia="仿宋_GB2312" w:cs="仿宋_GB2312"/>
          <w:sz w:val="24"/>
          <w:highlight w:val="none"/>
        </w:rPr>
      </w:pPr>
    </w:p>
    <w:tbl>
      <w:tblPr>
        <w:tblStyle w:val="23"/>
        <w:tblW w:w="8464" w:type="dxa"/>
        <w:jc w:val="center"/>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661" w:hRule="atLeast"/>
          <w:jc w:val="center"/>
        </w:trPr>
        <w:tc>
          <w:tcPr>
            <w:tcW w:w="4232" w:type="dxa"/>
            <w:vAlign w:val="center"/>
          </w:tcPr>
          <w:p>
            <w:pPr>
              <w:pStyle w:val="32"/>
              <w:ind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正面</w:t>
            </w:r>
          </w:p>
        </w:tc>
        <w:tc>
          <w:tcPr>
            <w:tcW w:w="4232" w:type="dxa"/>
            <w:vAlign w:val="center"/>
          </w:tcPr>
          <w:p>
            <w:pPr>
              <w:pStyle w:val="32"/>
              <w:ind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背面</w:t>
            </w:r>
          </w:p>
        </w:tc>
      </w:tr>
    </w:tbl>
    <w:p>
      <w:pPr>
        <w:pStyle w:val="32"/>
        <w:ind w:firstLine="562"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b/>
          <w:bCs/>
          <w:sz w:val="28"/>
          <w:highlight w:val="none"/>
        </w:rPr>
        <w:br w:type="page"/>
      </w:r>
    </w:p>
    <w:bookmarkEnd w:id="190"/>
    <w:bookmarkEnd w:id="191"/>
    <w:bookmarkEnd w:id="192"/>
    <w:p>
      <w:pPr>
        <w:spacing w:line="600" w:lineRule="exact"/>
        <w:jc w:val="center"/>
        <w:outlineLvl w:val="2"/>
        <w:rPr>
          <w:rFonts w:hint="eastAsia" w:ascii="仿宋_GB2312" w:hAnsi="仿宋_GB2312" w:eastAsia="仿宋_GB2312" w:cs="仿宋_GB2312"/>
          <w:b/>
          <w:bCs/>
          <w:sz w:val="28"/>
          <w:szCs w:val="28"/>
          <w:highlight w:val="none"/>
        </w:rPr>
      </w:pPr>
      <w:bookmarkStart w:id="209" w:name="_Toc546"/>
      <w:bookmarkStart w:id="210" w:name="_Toc13475"/>
      <w:bookmarkStart w:id="211" w:name="_Toc9688"/>
      <w:bookmarkStart w:id="212" w:name="_Toc15547"/>
      <w:r>
        <w:rPr>
          <w:rFonts w:hint="eastAsia" w:ascii="仿宋_GB2312" w:hAnsi="仿宋_GB2312" w:eastAsia="仿宋_GB2312" w:cs="仿宋_GB2312"/>
          <w:b/>
          <w:bCs/>
          <w:sz w:val="28"/>
          <w:szCs w:val="28"/>
          <w:highlight w:val="none"/>
        </w:rPr>
        <w:t>5.</w:t>
      </w:r>
      <w:bookmarkEnd w:id="209"/>
      <w:r>
        <w:rPr>
          <w:rFonts w:hint="eastAsia" w:ascii="仿宋_GB2312" w:hAnsi="仿宋_GB2312" w:eastAsia="仿宋_GB2312" w:cs="仿宋_GB2312"/>
          <w:b/>
          <w:bCs/>
          <w:sz w:val="28"/>
          <w:szCs w:val="28"/>
          <w:highlight w:val="none"/>
        </w:rPr>
        <w:t>实质性条款</w:t>
      </w:r>
      <w:r>
        <w:rPr>
          <w:rFonts w:hint="eastAsia" w:ascii="仿宋_GB2312" w:hAnsi="仿宋_GB2312" w:eastAsia="仿宋_GB2312" w:cs="仿宋_GB2312"/>
          <w:b/>
          <w:sz w:val="24"/>
          <w:highlight w:val="none"/>
        </w:rPr>
        <w:t>（“★”项）</w:t>
      </w:r>
      <w:r>
        <w:rPr>
          <w:rFonts w:hint="eastAsia" w:ascii="仿宋_GB2312" w:hAnsi="仿宋_GB2312" w:eastAsia="仿宋_GB2312" w:cs="仿宋_GB2312"/>
          <w:b/>
          <w:bCs/>
          <w:sz w:val="28"/>
          <w:szCs w:val="28"/>
          <w:highlight w:val="none"/>
        </w:rPr>
        <w:t>响应情况表</w:t>
      </w:r>
      <w:bookmarkEnd w:id="210"/>
      <w:bookmarkEnd w:id="211"/>
    </w:p>
    <w:tbl>
      <w:tblPr>
        <w:tblStyle w:val="23"/>
        <w:tblW w:w="87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4520"/>
        <w:gridCol w:w="796"/>
        <w:gridCol w:w="1575"/>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530"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序号</w:t>
            </w:r>
          </w:p>
        </w:tc>
        <w:tc>
          <w:tcPr>
            <w:tcW w:w="4520"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实质性条款要求</w:t>
            </w:r>
          </w:p>
        </w:tc>
        <w:tc>
          <w:tcPr>
            <w:tcW w:w="796"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是否响应</w:t>
            </w:r>
          </w:p>
        </w:tc>
        <w:tc>
          <w:tcPr>
            <w:tcW w:w="1575"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偏离情况</w:t>
            </w:r>
          </w:p>
        </w:tc>
        <w:tc>
          <w:tcPr>
            <w:tcW w:w="1341"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w:t>
            </w:r>
          </w:p>
        </w:tc>
        <w:tc>
          <w:tcPr>
            <w:tcW w:w="4520"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796" w:type="dxa"/>
            <w:vAlign w:val="center"/>
          </w:tcPr>
          <w:p>
            <w:pPr>
              <w:pStyle w:val="65"/>
              <w:keepNext w:val="0"/>
              <w:snapToGrid w:val="0"/>
              <w:spacing w:before="0" w:after="0" w:line="560" w:lineRule="exact"/>
              <w:textAlignment w:val="auto"/>
              <w:rPr>
                <w:rFonts w:hint="eastAsia" w:ascii="仿宋_GB2312" w:hAnsi="仿宋_GB2312" w:eastAsia="仿宋_GB2312" w:cs="仿宋_GB2312"/>
                <w:snapToGrid/>
                <w:spacing w:val="0"/>
                <w:highlight w:val="none"/>
              </w:rPr>
            </w:pPr>
          </w:p>
        </w:tc>
        <w:tc>
          <w:tcPr>
            <w:tcW w:w="1575"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341"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w:t>
            </w:r>
          </w:p>
        </w:tc>
        <w:tc>
          <w:tcPr>
            <w:tcW w:w="4520"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796" w:type="dxa"/>
            <w:vAlign w:val="center"/>
          </w:tcPr>
          <w:p>
            <w:pPr>
              <w:pStyle w:val="65"/>
              <w:keepNext w:val="0"/>
              <w:snapToGrid w:val="0"/>
              <w:spacing w:before="0" w:after="0" w:line="560" w:lineRule="exact"/>
              <w:textAlignment w:val="auto"/>
              <w:rPr>
                <w:rFonts w:hint="eastAsia" w:ascii="仿宋_GB2312" w:hAnsi="仿宋_GB2312" w:eastAsia="仿宋_GB2312" w:cs="仿宋_GB2312"/>
                <w:snapToGrid/>
                <w:spacing w:val="0"/>
                <w:highlight w:val="none"/>
              </w:rPr>
            </w:pPr>
          </w:p>
        </w:tc>
        <w:tc>
          <w:tcPr>
            <w:tcW w:w="1575"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341"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w:t>
            </w:r>
          </w:p>
        </w:tc>
        <w:tc>
          <w:tcPr>
            <w:tcW w:w="4520"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796"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75"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341"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w:t>
            </w:r>
          </w:p>
        </w:tc>
        <w:tc>
          <w:tcPr>
            <w:tcW w:w="4520"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796"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75"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341"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w:t>
            </w:r>
          </w:p>
        </w:tc>
        <w:tc>
          <w:tcPr>
            <w:tcW w:w="4520" w:type="dxa"/>
            <w:vAlign w:val="center"/>
          </w:tcPr>
          <w:p>
            <w:pPr>
              <w:adjustRightInd w:val="0"/>
              <w:snapToGrid w:val="0"/>
              <w:spacing w:line="560" w:lineRule="exact"/>
              <w:rPr>
                <w:rFonts w:hint="eastAsia" w:ascii="仿宋_GB2312" w:hAnsi="仿宋_GB2312" w:eastAsia="仿宋_GB2312" w:cs="仿宋_GB2312"/>
                <w:i/>
                <w:iCs/>
                <w:sz w:val="24"/>
                <w:highlight w:val="none"/>
              </w:rPr>
            </w:pPr>
          </w:p>
        </w:tc>
        <w:tc>
          <w:tcPr>
            <w:tcW w:w="796"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75"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341"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6</w:t>
            </w:r>
          </w:p>
        </w:tc>
        <w:tc>
          <w:tcPr>
            <w:tcW w:w="4520"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796"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75"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341"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w:t>
            </w:r>
          </w:p>
        </w:tc>
        <w:tc>
          <w:tcPr>
            <w:tcW w:w="4520"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796"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75"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341"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bl>
    <w:p>
      <w:pPr>
        <w:snapToGrid w:val="0"/>
        <w:spacing w:line="560" w:lineRule="exact"/>
        <w:ind w:firstLine="480" w:firstLineChars="200"/>
        <w:rPr>
          <w:rFonts w:hint="eastAsia" w:ascii="仿宋_GB2312" w:hAnsi="仿宋_GB2312" w:eastAsia="仿宋_GB2312" w:cs="仿宋_GB2312"/>
          <w:sz w:val="24"/>
          <w:highlight w:val="none"/>
          <w:lang w:val="en-GB"/>
        </w:rPr>
      </w:pPr>
      <w:r>
        <w:rPr>
          <w:rFonts w:hint="eastAsia" w:ascii="仿宋_GB2312" w:hAnsi="仿宋_GB2312" w:eastAsia="仿宋_GB2312" w:cs="仿宋_GB2312"/>
          <w:sz w:val="24"/>
          <w:highlight w:val="none"/>
          <w:lang w:val="en-GB"/>
        </w:rPr>
        <w:t>注：1.</w:t>
      </w:r>
      <w:r>
        <w:rPr>
          <w:rFonts w:hint="eastAsia" w:ascii="仿宋_GB2312" w:hAnsi="仿宋_GB2312" w:eastAsia="仿宋_GB2312" w:cs="仿宋_GB2312"/>
          <w:sz w:val="24"/>
          <w:highlight w:val="none"/>
        </w:rPr>
        <w:t>供应商必须按照磋商文件第二章《用户需求书》中标记</w:t>
      </w:r>
      <w:r>
        <w:rPr>
          <w:rFonts w:hint="eastAsia" w:ascii="仿宋_GB2312" w:hAnsi="仿宋_GB2312" w:eastAsia="仿宋_GB2312" w:cs="仿宋_GB2312"/>
          <w:sz w:val="24"/>
          <w:highlight w:val="none"/>
          <w:lang w:val="en-GB"/>
        </w:rPr>
        <w:t>“★”</w:t>
      </w:r>
      <w:r>
        <w:rPr>
          <w:rFonts w:hint="eastAsia" w:ascii="仿宋_GB2312" w:hAnsi="仿宋_GB2312" w:eastAsia="仿宋_GB2312" w:cs="仿宋_GB2312"/>
          <w:sz w:val="24"/>
          <w:highlight w:val="none"/>
        </w:rPr>
        <w:t>的条款进行</w:t>
      </w:r>
      <w:r>
        <w:rPr>
          <w:rFonts w:hint="eastAsia" w:ascii="仿宋_GB2312" w:hAnsi="仿宋_GB2312" w:eastAsia="仿宋_GB2312" w:cs="仿宋_GB2312"/>
          <w:b/>
          <w:bCs/>
          <w:sz w:val="24"/>
          <w:highlight w:val="none"/>
          <w:u w:val="single"/>
        </w:rPr>
        <w:t>逐条</w:t>
      </w:r>
      <w:r>
        <w:rPr>
          <w:rFonts w:hint="eastAsia" w:ascii="仿宋_GB2312" w:hAnsi="仿宋_GB2312" w:eastAsia="仿宋_GB2312" w:cs="仿宋_GB2312"/>
          <w:sz w:val="24"/>
          <w:highlight w:val="none"/>
        </w:rPr>
        <w:t>响应。</w:t>
      </w:r>
      <w:r>
        <w:rPr>
          <w:rFonts w:hint="eastAsia" w:ascii="仿宋_GB2312" w:hAnsi="仿宋_GB2312" w:eastAsia="仿宋_GB2312" w:cs="仿宋_GB2312"/>
          <w:sz w:val="24"/>
          <w:highlight w:val="none"/>
          <w:lang w:val="en-GB"/>
        </w:rPr>
        <w:t>如供应商完全响应</w:t>
      </w:r>
      <w:r>
        <w:rPr>
          <w:rFonts w:hint="eastAsia" w:ascii="仿宋_GB2312" w:hAnsi="仿宋_GB2312" w:eastAsia="仿宋_GB2312" w:cs="仿宋_GB2312"/>
          <w:sz w:val="24"/>
          <w:highlight w:val="none"/>
        </w:rPr>
        <w:t>或优于用户需求的</w:t>
      </w:r>
      <w:r>
        <w:rPr>
          <w:rFonts w:hint="eastAsia" w:ascii="仿宋_GB2312" w:hAnsi="仿宋_GB2312" w:eastAsia="仿宋_GB2312" w:cs="仿宋_GB2312"/>
          <w:sz w:val="24"/>
          <w:highlight w:val="none"/>
          <w:lang w:val="en-GB"/>
        </w:rPr>
        <w:t>，则请在“是否响应”栏内打“√”，</w:t>
      </w:r>
      <w:r>
        <w:rPr>
          <w:rFonts w:hint="eastAsia" w:ascii="仿宋_GB2312" w:hAnsi="仿宋_GB2312" w:eastAsia="仿宋_GB2312" w:cs="仿宋_GB2312"/>
          <w:sz w:val="24"/>
          <w:highlight w:val="none"/>
        </w:rPr>
        <w:t>如漏填或空白</w:t>
      </w:r>
      <w:r>
        <w:rPr>
          <w:rFonts w:hint="eastAsia" w:ascii="仿宋_GB2312" w:hAnsi="仿宋_GB2312" w:eastAsia="仿宋_GB2312" w:cs="仿宋_GB2312"/>
          <w:sz w:val="24"/>
          <w:highlight w:val="none"/>
          <w:lang w:val="en-GB"/>
        </w:rPr>
        <w:t>或打“×”视为</w:t>
      </w:r>
      <w:r>
        <w:rPr>
          <w:rFonts w:hint="eastAsia" w:ascii="仿宋_GB2312" w:hAnsi="仿宋_GB2312" w:eastAsia="仿宋_GB2312" w:cs="仿宋_GB2312"/>
          <w:sz w:val="24"/>
          <w:highlight w:val="none"/>
        </w:rPr>
        <w:t>负</w:t>
      </w:r>
      <w:r>
        <w:rPr>
          <w:rFonts w:hint="eastAsia" w:ascii="仿宋_GB2312" w:hAnsi="仿宋_GB2312" w:eastAsia="仿宋_GB2312" w:cs="仿宋_GB2312"/>
          <w:sz w:val="24"/>
          <w:highlight w:val="none"/>
          <w:lang w:val="en-GB"/>
        </w:rPr>
        <w:t>偏离。</w:t>
      </w:r>
      <w:r>
        <w:rPr>
          <w:rFonts w:hint="eastAsia" w:ascii="仿宋_GB2312" w:hAnsi="仿宋_GB2312" w:eastAsia="仿宋_GB2312" w:cs="仿宋_GB2312"/>
          <w:sz w:val="24"/>
          <w:highlight w:val="none"/>
        </w:rPr>
        <w:t>对于有偏离情况的，</w:t>
      </w:r>
      <w:r>
        <w:rPr>
          <w:rFonts w:hint="eastAsia" w:ascii="仿宋_GB2312" w:hAnsi="仿宋_GB2312" w:eastAsia="仿宋_GB2312" w:cs="仿宋_GB2312"/>
          <w:sz w:val="24"/>
          <w:highlight w:val="none"/>
          <w:lang w:val="en-GB"/>
        </w:rPr>
        <w:t>请在“偏离说明”栏内扼要说明偏离情况。</w:t>
      </w:r>
    </w:p>
    <w:p>
      <w:pPr>
        <w:snapToGrid w:val="0"/>
        <w:spacing w:line="560" w:lineRule="exact"/>
        <w:ind w:firstLine="480" w:firstLineChars="200"/>
        <w:rPr>
          <w:rFonts w:hint="eastAsia" w:ascii="仿宋_GB2312" w:hAnsi="仿宋_GB2312" w:eastAsia="仿宋_GB2312" w:cs="仿宋_GB2312"/>
          <w:sz w:val="24"/>
          <w:highlight w:val="none"/>
          <w:lang w:val="en-GB"/>
        </w:rPr>
      </w:pPr>
      <w:r>
        <w:rPr>
          <w:rFonts w:hint="eastAsia" w:ascii="仿宋_GB2312" w:hAnsi="仿宋_GB2312" w:eastAsia="仿宋_GB2312" w:cs="仿宋_GB2312"/>
          <w:sz w:val="24"/>
          <w:highlight w:val="none"/>
        </w:rPr>
        <w:t>2.</w:t>
      </w:r>
      <w:r>
        <w:rPr>
          <w:rFonts w:hint="eastAsia" w:ascii="仿宋_GB2312" w:hAnsi="仿宋_GB2312" w:eastAsia="仿宋_GB2312" w:cs="仿宋_GB2312"/>
          <w:sz w:val="24"/>
          <w:highlight w:val="none"/>
          <w:lang w:val="en-GB"/>
        </w:rPr>
        <w:t>“偏离</w:t>
      </w:r>
      <w:r>
        <w:rPr>
          <w:rFonts w:hint="eastAsia" w:ascii="仿宋_GB2312" w:hAnsi="仿宋_GB2312" w:eastAsia="仿宋_GB2312" w:cs="仿宋_GB2312"/>
          <w:sz w:val="24"/>
          <w:highlight w:val="none"/>
        </w:rPr>
        <w:t>情况</w:t>
      </w:r>
      <w:r>
        <w:rPr>
          <w:rFonts w:hint="eastAsia" w:ascii="仿宋_GB2312" w:hAnsi="仿宋_GB2312" w:eastAsia="仿宋_GB2312" w:cs="仿宋_GB2312"/>
          <w:sz w:val="24"/>
          <w:highlight w:val="none"/>
          <w:lang w:val="en-GB"/>
        </w:rPr>
        <w:t>”栏内</w:t>
      </w:r>
      <w:r>
        <w:rPr>
          <w:rFonts w:hint="eastAsia" w:ascii="仿宋_GB2312" w:hAnsi="仿宋_GB2312" w:eastAsia="仿宋_GB2312" w:cs="仿宋_GB2312"/>
          <w:sz w:val="24"/>
          <w:highlight w:val="none"/>
        </w:rPr>
        <w:t>根据实际响应情况填写“正偏离”或“负偏离”或“无偏离”</w:t>
      </w:r>
      <w:r>
        <w:rPr>
          <w:rFonts w:hint="eastAsia" w:ascii="仿宋_GB2312" w:hAnsi="仿宋_GB2312" w:eastAsia="仿宋_GB2312" w:cs="仿宋_GB2312"/>
          <w:sz w:val="24"/>
          <w:highlight w:val="none"/>
          <w:lang w:val="en-GB"/>
        </w:rPr>
        <w:t>。</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w:t>
      </w:r>
      <w:r>
        <w:rPr>
          <w:rFonts w:hint="eastAsia" w:ascii="仿宋_GB2312" w:hAnsi="仿宋_GB2312" w:eastAsia="仿宋_GB2312" w:cs="仿宋_GB2312"/>
          <w:sz w:val="24"/>
          <w:highlight w:val="none"/>
          <w:lang w:val="en-GB"/>
        </w:rPr>
        <w:t>“★”</w:t>
      </w:r>
      <w:r>
        <w:rPr>
          <w:rFonts w:hint="eastAsia" w:ascii="仿宋_GB2312" w:hAnsi="仿宋_GB2312" w:eastAsia="仿宋_GB2312" w:cs="仿宋_GB2312"/>
          <w:sz w:val="24"/>
          <w:highlight w:val="none"/>
        </w:rPr>
        <w:t>条款</w:t>
      </w:r>
      <w:r>
        <w:rPr>
          <w:rFonts w:hint="eastAsia" w:ascii="仿宋_GB2312" w:hAnsi="仿宋_GB2312" w:eastAsia="仿宋_GB2312" w:cs="仿宋_GB2312"/>
          <w:sz w:val="24"/>
          <w:highlight w:val="none"/>
          <w:lang w:val="en-GB"/>
        </w:rPr>
        <w:t>为不可负偏离(劣于)的重要项，</w:t>
      </w:r>
      <w:r>
        <w:rPr>
          <w:rFonts w:hint="eastAsia" w:ascii="仿宋_GB2312" w:hAnsi="仿宋_GB2312" w:eastAsia="仿宋_GB2312" w:cs="仿宋_GB2312"/>
          <w:sz w:val="24"/>
          <w:highlight w:val="none"/>
        </w:rPr>
        <w:t>如供应商未按上述“注：1”的要求进行填写的，其响应文件作无效响应处理。</w:t>
      </w:r>
    </w:p>
    <w:p>
      <w:pPr>
        <w:spacing w:line="600" w:lineRule="exact"/>
        <w:rPr>
          <w:rFonts w:hint="eastAsia" w:ascii="仿宋_GB2312" w:hAnsi="仿宋_GB2312" w:eastAsia="仿宋_GB2312" w:cs="仿宋_GB2312"/>
          <w:b/>
          <w:bCs/>
          <w:sz w:val="28"/>
          <w:szCs w:val="28"/>
          <w:highlight w:val="none"/>
        </w:rPr>
      </w:pPr>
    </w:p>
    <w:p>
      <w:pPr>
        <w:spacing w:line="60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供应商名称（加盖公章）：</w:t>
      </w:r>
    </w:p>
    <w:p>
      <w:pPr>
        <w:spacing w:line="60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供应商法定代表人或受委托人（签名或盖私章）：</w:t>
      </w:r>
    </w:p>
    <w:p>
      <w:pPr>
        <w:spacing w:line="60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日      期：</w:t>
      </w:r>
    </w:p>
    <w:p>
      <w:pPr>
        <w:spacing w:line="60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br w:type="page"/>
      </w:r>
    </w:p>
    <w:p>
      <w:pPr>
        <w:spacing w:line="600" w:lineRule="exact"/>
        <w:jc w:val="center"/>
        <w:outlineLvl w:val="2"/>
        <w:rPr>
          <w:rFonts w:hint="eastAsia" w:ascii="仿宋_GB2312" w:hAnsi="仿宋_GB2312" w:eastAsia="仿宋_GB2312" w:cs="仿宋_GB2312"/>
          <w:b/>
          <w:sz w:val="28"/>
          <w:szCs w:val="28"/>
          <w:highlight w:val="none"/>
        </w:rPr>
      </w:pPr>
      <w:bookmarkStart w:id="213" w:name="_Toc3013"/>
      <w:bookmarkStart w:id="214" w:name="_Toc13533"/>
      <w:r>
        <w:rPr>
          <w:rFonts w:hint="eastAsia" w:ascii="仿宋_GB2312" w:hAnsi="仿宋_GB2312" w:eastAsia="仿宋_GB2312" w:cs="仿宋_GB2312"/>
          <w:b/>
          <w:sz w:val="28"/>
          <w:szCs w:val="28"/>
          <w:highlight w:val="none"/>
        </w:rPr>
        <w:t>6.合同条款响应情况表</w:t>
      </w:r>
      <w:bookmarkEnd w:id="213"/>
      <w:bookmarkEnd w:id="214"/>
    </w:p>
    <w:tbl>
      <w:tblPr>
        <w:tblStyle w:val="23"/>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82"/>
        <w:gridCol w:w="4251"/>
        <w:gridCol w:w="759"/>
        <w:gridCol w:w="1529"/>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765" w:hRule="atLeast"/>
          <w:jc w:val="center"/>
        </w:trPr>
        <w:tc>
          <w:tcPr>
            <w:tcW w:w="582"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序号</w:t>
            </w:r>
          </w:p>
        </w:tc>
        <w:tc>
          <w:tcPr>
            <w:tcW w:w="4251"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合同条款要求</w:t>
            </w:r>
          </w:p>
        </w:tc>
        <w:tc>
          <w:tcPr>
            <w:tcW w:w="759"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是否响应</w:t>
            </w:r>
          </w:p>
        </w:tc>
        <w:tc>
          <w:tcPr>
            <w:tcW w:w="1529"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偏离情况</w:t>
            </w:r>
          </w:p>
        </w:tc>
        <w:tc>
          <w:tcPr>
            <w:tcW w:w="1526"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w:t>
            </w:r>
          </w:p>
        </w:tc>
        <w:tc>
          <w:tcPr>
            <w:tcW w:w="4251"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759" w:type="dxa"/>
            <w:vAlign w:val="center"/>
          </w:tcPr>
          <w:p>
            <w:pPr>
              <w:pStyle w:val="65"/>
              <w:keepNext w:val="0"/>
              <w:snapToGrid w:val="0"/>
              <w:spacing w:before="0" w:after="0" w:line="560" w:lineRule="exact"/>
              <w:textAlignment w:val="auto"/>
              <w:rPr>
                <w:rFonts w:hint="eastAsia" w:ascii="仿宋_GB2312" w:hAnsi="仿宋_GB2312" w:eastAsia="仿宋_GB2312" w:cs="仿宋_GB2312"/>
                <w:snapToGrid/>
                <w:spacing w:val="0"/>
                <w:highlight w:val="none"/>
              </w:rPr>
            </w:pPr>
          </w:p>
        </w:tc>
        <w:tc>
          <w:tcPr>
            <w:tcW w:w="1529"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26"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w:t>
            </w:r>
          </w:p>
        </w:tc>
        <w:tc>
          <w:tcPr>
            <w:tcW w:w="4251"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759" w:type="dxa"/>
            <w:vAlign w:val="center"/>
          </w:tcPr>
          <w:p>
            <w:pPr>
              <w:pStyle w:val="65"/>
              <w:keepNext w:val="0"/>
              <w:snapToGrid w:val="0"/>
              <w:spacing w:before="0" w:after="0" w:line="560" w:lineRule="exact"/>
              <w:textAlignment w:val="auto"/>
              <w:rPr>
                <w:rFonts w:hint="eastAsia" w:ascii="仿宋_GB2312" w:hAnsi="仿宋_GB2312" w:eastAsia="仿宋_GB2312" w:cs="仿宋_GB2312"/>
                <w:snapToGrid/>
                <w:spacing w:val="0"/>
                <w:highlight w:val="none"/>
              </w:rPr>
            </w:pPr>
          </w:p>
        </w:tc>
        <w:tc>
          <w:tcPr>
            <w:tcW w:w="1529"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26"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w:t>
            </w:r>
          </w:p>
        </w:tc>
        <w:tc>
          <w:tcPr>
            <w:tcW w:w="4251"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759"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29"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26"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w:t>
            </w:r>
          </w:p>
        </w:tc>
        <w:tc>
          <w:tcPr>
            <w:tcW w:w="4251"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759"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29"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26"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w:t>
            </w:r>
          </w:p>
        </w:tc>
        <w:tc>
          <w:tcPr>
            <w:tcW w:w="4251" w:type="dxa"/>
            <w:vAlign w:val="center"/>
          </w:tcPr>
          <w:p>
            <w:pPr>
              <w:adjustRightInd w:val="0"/>
              <w:snapToGrid w:val="0"/>
              <w:spacing w:line="560" w:lineRule="exact"/>
              <w:rPr>
                <w:rFonts w:hint="eastAsia" w:ascii="仿宋_GB2312" w:hAnsi="仿宋_GB2312" w:eastAsia="仿宋_GB2312" w:cs="仿宋_GB2312"/>
                <w:i/>
                <w:iCs/>
                <w:sz w:val="24"/>
                <w:highlight w:val="none"/>
              </w:rPr>
            </w:pPr>
          </w:p>
        </w:tc>
        <w:tc>
          <w:tcPr>
            <w:tcW w:w="759"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29"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26"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6</w:t>
            </w:r>
          </w:p>
        </w:tc>
        <w:tc>
          <w:tcPr>
            <w:tcW w:w="4251"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759"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29"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26"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w:t>
            </w:r>
          </w:p>
        </w:tc>
        <w:tc>
          <w:tcPr>
            <w:tcW w:w="4251"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759"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29"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26"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bl>
    <w:p>
      <w:pPr>
        <w:snapToGrid w:val="0"/>
        <w:spacing w:line="560" w:lineRule="exact"/>
        <w:ind w:firstLine="480" w:firstLineChars="200"/>
        <w:rPr>
          <w:rFonts w:hint="eastAsia" w:ascii="仿宋_GB2312" w:hAnsi="仿宋_GB2312" w:eastAsia="仿宋_GB2312" w:cs="仿宋_GB2312"/>
          <w:sz w:val="24"/>
          <w:highlight w:val="none"/>
          <w:lang w:val="en-GB"/>
        </w:rPr>
      </w:pPr>
      <w:r>
        <w:rPr>
          <w:rFonts w:hint="eastAsia" w:ascii="仿宋_GB2312" w:hAnsi="仿宋_GB2312" w:eastAsia="仿宋_GB2312" w:cs="仿宋_GB2312"/>
          <w:sz w:val="24"/>
          <w:highlight w:val="none"/>
          <w:lang w:val="en-GB"/>
        </w:rPr>
        <w:t>注：1.</w:t>
      </w:r>
      <w:r>
        <w:rPr>
          <w:rFonts w:hint="eastAsia" w:ascii="仿宋_GB2312" w:hAnsi="仿宋_GB2312" w:eastAsia="仿宋_GB2312" w:cs="仿宋_GB2312"/>
          <w:sz w:val="24"/>
          <w:highlight w:val="none"/>
        </w:rPr>
        <w:t>供应商必须按照磋商文件第五章《合同书格式》中的内容条款进行</w:t>
      </w:r>
      <w:r>
        <w:rPr>
          <w:rFonts w:hint="eastAsia" w:ascii="仿宋_GB2312" w:hAnsi="仿宋_GB2312" w:eastAsia="仿宋_GB2312" w:cs="仿宋_GB2312"/>
          <w:b/>
          <w:bCs/>
          <w:sz w:val="24"/>
          <w:highlight w:val="none"/>
          <w:u w:val="single"/>
        </w:rPr>
        <w:t>逐条</w:t>
      </w:r>
      <w:r>
        <w:rPr>
          <w:rFonts w:hint="eastAsia" w:ascii="仿宋_GB2312" w:hAnsi="仿宋_GB2312" w:eastAsia="仿宋_GB2312" w:cs="仿宋_GB2312"/>
          <w:sz w:val="24"/>
          <w:highlight w:val="none"/>
        </w:rPr>
        <w:t>响应。</w:t>
      </w:r>
      <w:r>
        <w:rPr>
          <w:rFonts w:hint="eastAsia" w:ascii="仿宋_GB2312" w:hAnsi="仿宋_GB2312" w:eastAsia="仿宋_GB2312" w:cs="仿宋_GB2312"/>
          <w:sz w:val="24"/>
          <w:highlight w:val="none"/>
          <w:lang w:val="en-GB"/>
        </w:rPr>
        <w:t>如供应商完全响应</w:t>
      </w:r>
      <w:r>
        <w:rPr>
          <w:rFonts w:hint="eastAsia" w:ascii="仿宋_GB2312" w:hAnsi="仿宋_GB2312" w:eastAsia="仿宋_GB2312" w:cs="仿宋_GB2312"/>
          <w:sz w:val="24"/>
          <w:highlight w:val="none"/>
        </w:rPr>
        <w:t>或优于合同要求的</w:t>
      </w:r>
      <w:r>
        <w:rPr>
          <w:rFonts w:hint="eastAsia" w:ascii="仿宋_GB2312" w:hAnsi="仿宋_GB2312" w:eastAsia="仿宋_GB2312" w:cs="仿宋_GB2312"/>
          <w:sz w:val="24"/>
          <w:highlight w:val="none"/>
          <w:lang w:val="en-GB"/>
        </w:rPr>
        <w:t>，则请在“是否响应”栏内打“√”。</w:t>
      </w:r>
      <w:r>
        <w:rPr>
          <w:rFonts w:hint="eastAsia" w:ascii="仿宋_GB2312" w:hAnsi="仿宋_GB2312" w:eastAsia="仿宋_GB2312" w:cs="仿宋_GB2312"/>
          <w:sz w:val="24"/>
          <w:highlight w:val="none"/>
        </w:rPr>
        <w:t>如</w:t>
      </w:r>
      <w:r>
        <w:rPr>
          <w:rFonts w:hint="eastAsia" w:ascii="仿宋_GB2312" w:hAnsi="仿宋_GB2312" w:eastAsia="仿宋_GB2312" w:cs="仿宋_GB2312"/>
          <w:sz w:val="24"/>
          <w:highlight w:val="none"/>
          <w:lang w:val="en-GB"/>
        </w:rPr>
        <w:t>打“×”视为</w:t>
      </w:r>
      <w:r>
        <w:rPr>
          <w:rFonts w:hint="eastAsia" w:ascii="仿宋_GB2312" w:hAnsi="仿宋_GB2312" w:eastAsia="仿宋_GB2312" w:cs="仿宋_GB2312"/>
          <w:sz w:val="24"/>
          <w:highlight w:val="none"/>
        </w:rPr>
        <w:t>负</w:t>
      </w:r>
      <w:r>
        <w:rPr>
          <w:rFonts w:hint="eastAsia" w:ascii="仿宋_GB2312" w:hAnsi="仿宋_GB2312" w:eastAsia="仿宋_GB2312" w:cs="仿宋_GB2312"/>
          <w:sz w:val="24"/>
          <w:highlight w:val="none"/>
          <w:lang w:val="en-GB"/>
        </w:rPr>
        <w:t>偏离。</w:t>
      </w:r>
      <w:r>
        <w:rPr>
          <w:rFonts w:hint="eastAsia" w:ascii="仿宋_GB2312" w:hAnsi="仿宋_GB2312" w:eastAsia="仿宋_GB2312" w:cs="仿宋_GB2312"/>
          <w:sz w:val="24"/>
          <w:highlight w:val="none"/>
        </w:rPr>
        <w:t>对于有偏离情况的，</w:t>
      </w:r>
      <w:r>
        <w:rPr>
          <w:rFonts w:hint="eastAsia" w:ascii="仿宋_GB2312" w:hAnsi="仿宋_GB2312" w:eastAsia="仿宋_GB2312" w:cs="仿宋_GB2312"/>
          <w:sz w:val="24"/>
          <w:highlight w:val="none"/>
          <w:lang w:val="en-GB"/>
        </w:rPr>
        <w:t>请在“偏离说明”栏内扼要说明偏离情况。</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2.中标后，采购人将按照磋商文件中拟定《合同书格式》的内容与成交供应商签订合同。</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3.无论出于何种情况，供应商未填写上述表格的，视为完全响应磋商文件《合同书格式》中所有条款的要求，中标后承担履行合同条款的义务。</w:t>
      </w:r>
    </w:p>
    <w:p>
      <w:pPr>
        <w:spacing w:line="600" w:lineRule="exact"/>
        <w:rPr>
          <w:rFonts w:hint="eastAsia" w:ascii="仿宋_GB2312" w:hAnsi="仿宋_GB2312" w:eastAsia="仿宋_GB2312" w:cs="仿宋_GB2312"/>
          <w:b/>
          <w:bCs/>
          <w:sz w:val="28"/>
          <w:szCs w:val="28"/>
          <w:highlight w:val="none"/>
        </w:rPr>
      </w:pPr>
    </w:p>
    <w:p>
      <w:pPr>
        <w:spacing w:line="60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供应商名称（加盖公章）：</w:t>
      </w:r>
    </w:p>
    <w:p>
      <w:pPr>
        <w:spacing w:line="60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供应商法定代表人或受委托人（签名或盖私章）：</w:t>
      </w:r>
    </w:p>
    <w:p>
      <w:pPr>
        <w:spacing w:line="60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sz w:val="24"/>
          <w:highlight w:val="none"/>
        </w:rPr>
        <w:t>日      期：</w:t>
      </w:r>
    </w:p>
    <w:p>
      <w:pPr>
        <w:spacing w:line="60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br w:type="page"/>
      </w:r>
    </w:p>
    <w:p>
      <w:pPr>
        <w:spacing w:line="600" w:lineRule="exact"/>
        <w:jc w:val="center"/>
        <w:outlineLvl w:val="2"/>
        <w:rPr>
          <w:rFonts w:hint="eastAsia" w:ascii="仿宋_GB2312" w:hAnsi="仿宋_GB2312" w:eastAsia="仿宋_GB2312" w:cs="仿宋_GB2312"/>
          <w:b/>
          <w:sz w:val="28"/>
          <w:szCs w:val="28"/>
          <w:highlight w:val="none"/>
        </w:rPr>
      </w:pPr>
      <w:bookmarkStart w:id="215" w:name="_Toc21768"/>
      <w:bookmarkStart w:id="216" w:name="_Toc735"/>
      <w:r>
        <w:rPr>
          <w:rFonts w:hint="eastAsia" w:ascii="仿宋_GB2312" w:hAnsi="仿宋_GB2312" w:eastAsia="仿宋_GB2312" w:cs="仿宋_GB2312"/>
          <w:b/>
          <w:sz w:val="28"/>
          <w:szCs w:val="28"/>
          <w:highlight w:val="none"/>
        </w:rPr>
        <w:t>7.同类业绩情况表</w:t>
      </w:r>
      <w:bookmarkEnd w:id="215"/>
      <w:bookmarkEnd w:id="216"/>
    </w:p>
    <w:tbl>
      <w:tblPr>
        <w:tblStyle w:val="23"/>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9"/>
        <w:gridCol w:w="1756"/>
        <w:gridCol w:w="1465"/>
        <w:gridCol w:w="1610"/>
        <w:gridCol w:w="1465"/>
        <w:gridCol w:w="16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0" w:hRule="exact"/>
        </w:trPr>
        <w:tc>
          <w:tcPr>
            <w:tcW w:w="85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序号</w:t>
            </w: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使用单位名称</w:t>
            </w: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项目名称</w:t>
            </w: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合同总价</w:t>
            </w: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完成时间</w:t>
            </w: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5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5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5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5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5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5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5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5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5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5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5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5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85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4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c>
          <w:tcPr>
            <w:tcW w:w="160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b/>
                <w:sz w:val="24"/>
                <w:highlight w:val="none"/>
              </w:rPr>
            </w:pPr>
          </w:p>
        </w:tc>
      </w:tr>
    </w:tbl>
    <w:p>
      <w:pPr>
        <w:spacing w:line="60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注：根据评分标准要求提供相关的业绩等证明材料。（后附，如有的话）</w:t>
      </w:r>
    </w:p>
    <w:p>
      <w:pPr>
        <w:spacing w:line="600" w:lineRule="exact"/>
        <w:jc w:val="center"/>
        <w:rPr>
          <w:rFonts w:hint="eastAsia" w:ascii="仿宋_GB2312" w:hAnsi="仿宋_GB2312" w:eastAsia="仿宋_GB2312" w:cs="仿宋_GB2312"/>
          <w:b/>
          <w:sz w:val="24"/>
          <w:highlight w:val="none"/>
        </w:rPr>
      </w:pPr>
    </w:p>
    <w:p>
      <w:pPr>
        <w:spacing w:line="600" w:lineRule="exact"/>
        <w:jc w:val="left"/>
        <w:rPr>
          <w:rFonts w:hint="eastAsia" w:ascii="仿宋_GB2312" w:hAnsi="仿宋_GB2312" w:eastAsia="仿宋_GB2312" w:cs="仿宋_GB2312"/>
          <w:bCs/>
          <w:sz w:val="24"/>
          <w:highlight w:val="none"/>
        </w:rPr>
      </w:pPr>
    </w:p>
    <w:p>
      <w:pPr>
        <w:spacing w:line="600" w:lineRule="exact"/>
        <w:jc w:val="left"/>
        <w:rPr>
          <w:rFonts w:hint="eastAsia" w:ascii="仿宋_GB2312" w:hAnsi="仿宋_GB2312" w:eastAsia="仿宋_GB2312" w:cs="仿宋_GB2312"/>
          <w:bCs/>
          <w:sz w:val="24"/>
          <w:highlight w:val="none"/>
        </w:rPr>
      </w:pPr>
    </w:p>
    <w:p>
      <w:pPr>
        <w:spacing w:line="60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供应商名称（加盖公章）：</w:t>
      </w:r>
    </w:p>
    <w:p>
      <w:pPr>
        <w:spacing w:line="60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供应商法定代表人或受委托人（签名或盖私章）：</w:t>
      </w:r>
    </w:p>
    <w:p>
      <w:pPr>
        <w:spacing w:line="60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日      期：</w:t>
      </w:r>
    </w:p>
    <w:p>
      <w:pPr>
        <w:rPr>
          <w:rFonts w:hint="eastAsia" w:ascii="仿宋_GB2312" w:hAnsi="仿宋_GB2312" w:eastAsia="仿宋_GB2312" w:cs="仿宋_GB2312"/>
          <w:highlight w:val="none"/>
        </w:rPr>
      </w:pP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br w:type="page"/>
      </w:r>
    </w:p>
    <w:p>
      <w:pPr>
        <w:spacing w:line="600" w:lineRule="exact"/>
        <w:jc w:val="center"/>
        <w:outlineLvl w:val="2"/>
        <w:rPr>
          <w:rFonts w:hint="eastAsia" w:ascii="仿宋_GB2312" w:hAnsi="仿宋_GB2312" w:eastAsia="仿宋_GB2312" w:cs="仿宋_GB2312"/>
          <w:b/>
          <w:sz w:val="28"/>
          <w:szCs w:val="28"/>
          <w:highlight w:val="none"/>
        </w:rPr>
      </w:pPr>
      <w:bookmarkStart w:id="217" w:name="_Toc15192"/>
      <w:bookmarkStart w:id="218" w:name="_Toc18256"/>
      <w:bookmarkStart w:id="219" w:name="_Toc30424"/>
      <w:r>
        <w:rPr>
          <w:rFonts w:hint="eastAsia" w:ascii="仿宋_GB2312" w:hAnsi="仿宋_GB2312" w:eastAsia="仿宋_GB2312" w:cs="仿宋_GB2312"/>
          <w:b/>
          <w:sz w:val="28"/>
          <w:szCs w:val="28"/>
          <w:highlight w:val="none"/>
        </w:rPr>
        <w:t>8.磋商保证金汇入情况说明（适用于转账、电汇方式）</w:t>
      </w:r>
      <w:bookmarkEnd w:id="217"/>
      <w:bookmarkEnd w:id="218"/>
    </w:p>
    <w:p>
      <w:pPr>
        <w:rPr>
          <w:rFonts w:hint="eastAsia" w:ascii="仿宋_GB2312" w:hAnsi="仿宋_GB2312" w:eastAsia="仿宋_GB2312" w:cs="仿宋_GB2312"/>
          <w:highlight w:val="none"/>
        </w:rPr>
      </w:pPr>
    </w:p>
    <w:p>
      <w:pPr>
        <w:spacing w:line="52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广东盛业招标代理有限公司： </w:t>
      </w:r>
    </w:p>
    <w:p>
      <w:pPr>
        <w:spacing w:line="52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本单位已按</w:t>
      </w:r>
      <w:r>
        <w:rPr>
          <w:rFonts w:hint="eastAsia" w:ascii="仿宋_GB2312" w:hAnsi="仿宋_GB2312" w:eastAsia="仿宋_GB2312" w:cs="仿宋_GB2312"/>
          <w:sz w:val="24"/>
          <w:highlight w:val="none"/>
          <w:u w:val="single"/>
        </w:rPr>
        <w:t xml:space="preserve"> （项目名称） （</w:t>
      </w:r>
      <w:r>
        <w:rPr>
          <w:rFonts w:hint="eastAsia" w:ascii="仿宋_GB2312" w:hAnsi="仿宋_GB2312" w:eastAsia="仿宋_GB2312" w:cs="仿宋_GB2312"/>
          <w:sz w:val="24"/>
          <w:highlight w:val="none"/>
        </w:rPr>
        <w:t>采购编号：</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的磋商文件要求，于</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日前以</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（付款形式）方式汇入指定帐户（帐户名称：</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，帐号：</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,开户银行：</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w:t>
      </w:r>
    </w:p>
    <w:p>
      <w:pPr>
        <w:spacing w:line="52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供应商磋商保证金的汇款情况：（详见附件－磋商保证金进帐单）汇出时间：</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日；</w:t>
      </w:r>
    </w:p>
    <w:p>
      <w:pPr>
        <w:spacing w:line="520" w:lineRule="exact"/>
        <w:ind w:firstLine="480" w:firstLineChars="200"/>
        <w:rPr>
          <w:rFonts w:hint="eastAsia"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汇款金额：（大写）人民币</w:t>
      </w:r>
      <w:r>
        <w:rPr>
          <w:rFonts w:hint="eastAsia" w:ascii="仿宋_GB2312" w:hAnsi="仿宋_GB2312" w:eastAsia="仿宋_GB2312" w:cs="仿宋_GB2312"/>
          <w:sz w:val="24"/>
          <w:highlight w:val="none"/>
          <w:u w:val="single"/>
        </w:rPr>
        <w:t xml:space="preserve">               元整</w:t>
      </w:r>
    </w:p>
    <w:p>
      <w:pPr>
        <w:spacing w:line="520" w:lineRule="exact"/>
        <w:ind w:firstLine="1560" w:firstLineChars="650"/>
        <w:rPr>
          <w:rFonts w:hint="eastAsia"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 xml:space="preserve"> （小写）￥</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元。</w:t>
      </w:r>
    </w:p>
    <w:p>
      <w:pPr>
        <w:spacing w:line="520" w:lineRule="exact"/>
        <w:ind w:firstLine="480" w:firstLineChars="200"/>
        <w:rPr>
          <w:rFonts w:hint="eastAsia"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汇款帐户名称：</w:t>
      </w:r>
      <w:r>
        <w:rPr>
          <w:rFonts w:hint="eastAsia" w:ascii="仿宋_GB2312" w:hAnsi="仿宋_GB2312" w:eastAsia="仿宋_GB2312" w:cs="仿宋_GB2312"/>
          <w:sz w:val="24"/>
          <w:highlight w:val="none"/>
          <w:u w:val="single"/>
        </w:rPr>
        <w:t xml:space="preserve">  （必须是供应商的单位名称）   </w:t>
      </w:r>
    </w:p>
    <w:p>
      <w:pPr>
        <w:spacing w:line="52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帐    号：</w:t>
      </w:r>
      <w:r>
        <w:rPr>
          <w:rFonts w:hint="eastAsia" w:ascii="仿宋_GB2312" w:hAnsi="仿宋_GB2312" w:eastAsia="仿宋_GB2312" w:cs="仿宋_GB2312"/>
          <w:sz w:val="24"/>
          <w:highlight w:val="none"/>
          <w:u w:val="single"/>
        </w:rPr>
        <w:t xml:space="preserve">  （必须是缴纳保证金时使用的帐号）     </w:t>
      </w:r>
    </w:p>
    <w:p>
      <w:pPr>
        <w:spacing w:line="520" w:lineRule="exact"/>
        <w:ind w:firstLine="480" w:firstLineChars="200"/>
        <w:rPr>
          <w:rFonts w:hint="eastAsia"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开户银行：</w:t>
      </w:r>
      <w:r>
        <w:rPr>
          <w:rFonts w:hint="eastAsia" w:ascii="仿宋_GB2312" w:hAnsi="仿宋_GB2312" w:eastAsia="仿宋_GB2312" w:cs="仿宋_GB2312"/>
          <w:sz w:val="24"/>
          <w:highlight w:val="none"/>
          <w:u w:val="single"/>
        </w:rPr>
        <w:t xml:space="preserve">    银行   省    市          (分行/支行)    </w:t>
      </w:r>
    </w:p>
    <w:p>
      <w:pPr>
        <w:spacing w:line="52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本单位谨承诺上述资料是正确、真实的，如因上述证明与事实不符导致的一切损失，本单位保证承担赔偿等一切法律责任。</w:t>
      </w:r>
    </w:p>
    <w:p>
      <w:pPr>
        <w:spacing w:line="52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磋商保证金退回时，请按上述资料退回。</w:t>
      </w:r>
    </w:p>
    <w:p>
      <w:pPr>
        <w:spacing w:line="520" w:lineRule="exact"/>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附件：磋商保证金进帐单复印件（加盖公章）</w:t>
      </w:r>
    </w:p>
    <w:p>
      <w:pPr>
        <w:spacing w:line="520" w:lineRule="exact"/>
        <w:ind w:right="844" w:rightChars="402"/>
        <w:jc w:val="righ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（单位公章）</w:t>
      </w:r>
    </w:p>
    <w:p>
      <w:pPr>
        <w:spacing w:line="520" w:lineRule="exact"/>
        <w:ind w:right="628" w:rightChars="299"/>
        <w:jc w:val="righ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年   月   日</w:t>
      </w:r>
    </w:p>
    <w:p>
      <w:pPr>
        <w:spacing w:line="52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单位名称：           </w:t>
      </w:r>
    </w:p>
    <w:p>
      <w:pPr>
        <w:spacing w:line="52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单位地址：           </w:t>
      </w:r>
    </w:p>
    <w:p>
      <w:pPr>
        <w:spacing w:line="52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联系人：                   </w:t>
      </w:r>
    </w:p>
    <w:p>
      <w:pPr>
        <w:spacing w:line="52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单位电话：                 联系人手机：              </w:t>
      </w:r>
    </w:p>
    <w:p>
      <w:pPr>
        <w:spacing w:line="600" w:lineRule="exact"/>
        <w:jc w:val="center"/>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4"/>
          <w:highlight w:val="none"/>
        </w:rPr>
        <w:t>注：1、本说明的所有内容（包括所填写内容）均需打印；2、本说明及磋商保证金进帐单复印件（加盖公章）在提交响应文件时放入首次报价信封内。</w:t>
      </w:r>
      <w:r>
        <w:rPr>
          <w:rFonts w:hint="eastAsia" w:ascii="仿宋_GB2312" w:hAnsi="仿宋_GB2312" w:eastAsia="仿宋_GB2312" w:cs="仿宋_GB2312"/>
          <w:b/>
          <w:sz w:val="28"/>
          <w:szCs w:val="28"/>
          <w:highlight w:val="none"/>
        </w:rPr>
        <w:br w:type="page"/>
      </w:r>
    </w:p>
    <w:p>
      <w:pPr>
        <w:spacing w:line="600" w:lineRule="exact"/>
        <w:jc w:val="center"/>
        <w:outlineLvl w:val="2"/>
        <w:rPr>
          <w:rFonts w:hint="eastAsia" w:ascii="仿宋_GB2312" w:hAnsi="仿宋_GB2312" w:eastAsia="仿宋_GB2312" w:cs="仿宋_GB2312"/>
          <w:b/>
          <w:sz w:val="24"/>
          <w:highlight w:val="none"/>
        </w:rPr>
      </w:pPr>
      <w:bookmarkStart w:id="220" w:name="_Toc12135"/>
      <w:r>
        <w:rPr>
          <w:rFonts w:hint="eastAsia" w:ascii="仿宋_GB2312" w:hAnsi="仿宋_GB2312" w:eastAsia="仿宋_GB2312" w:cs="仿宋_GB2312"/>
          <w:b/>
          <w:sz w:val="28"/>
          <w:szCs w:val="28"/>
          <w:highlight w:val="none"/>
        </w:rPr>
        <w:t>9.供应商认为需要提供的其他证明</w:t>
      </w:r>
      <w:bookmarkEnd w:id="212"/>
      <w:r>
        <w:rPr>
          <w:rFonts w:hint="eastAsia" w:ascii="仿宋_GB2312" w:hAnsi="仿宋_GB2312" w:eastAsia="仿宋_GB2312" w:cs="仿宋_GB2312"/>
          <w:b/>
          <w:sz w:val="28"/>
          <w:szCs w:val="28"/>
          <w:highlight w:val="none"/>
        </w:rPr>
        <w:t>材料</w:t>
      </w:r>
      <w:bookmarkEnd w:id="219"/>
      <w:bookmarkEnd w:id="220"/>
    </w:p>
    <w:p>
      <w:pPr>
        <w:spacing w:line="360" w:lineRule="auto"/>
        <w:jc w:val="center"/>
        <w:rPr>
          <w:rFonts w:hint="eastAsia" w:ascii="仿宋_GB2312" w:hAnsi="仿宋_GB2312" w:eastAsia="仿宋_GB2312" w:cs="仿宋_GB2312"/>
          <w:b/>
          <w:sz w:val="24"/>
          <w:highlight w:val="none"/>
        </w:rPr>
      </w:pPr>
    </w:p>
    <w:p>
      <w:pPr>
        <w:spacing w:line="6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供应商提供的其他证明材料应包括以下几项内容：</w:t>
      </w:r>
    </w:p>
    <w:p>
      <w:pPr>
        <w:spacing w:line="6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9.1供应商基本情况、公司简介、获奖情况和有关资质等；（格式自定）</w:t>
      </w:r>
    </w:p>
    <w:p>
      <w:pPr>
        <w:spacing w:line="6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9.2中小企业声明函（如需）</w:t>
      </w:r>
    </w:p>
    <w:p>
      <w:pPr>
        <w:spacing w:line="6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9.3残疾人福利性单位声明函（如需）</w:t>
      </w:r>
    </w:p>
    <w:p>
      <w:pPr>
        <w:spacing w:line="6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9.4 其他需要提供的证明材料</w:t>
      </w:r>
    </w:p>
    <w:p>
      <w:pPr>
        <w:spacing w:line="360" w:lineRule="auto"/>
        <w:rPr>
          <w:rFonts w:hint="eastAsia" w:ascii="仿宋_GB2312" w:hAnsi="仿宋_GB2312" w:eastAsia="仿宋_GB2312" w:cs="仿宋_GB2312"/>
          <w:b/>
          <w:bCs/>
          <w:sz w:val="24"/>
          <w:highlight w:val="none"/>
        </w:rPr>
      </w:pPr>
    </w:p>
    <w:p>
      <w:pPr>
        <w:spacing w:line="360" w:lineRule="auto"/>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注：上述所有提供的证明材料均需加盖供应商公章，供应商可结合企业情况，选择是否需要提供中小企业声明函或残疾人福利性单位声明函。</w:t>
      </w:r>
    </w:p>
    <w:p>
      <w:pPr>
        <w:spacing w:line="360" w:lineRule="auto"/>
        <w:rPr>
          <w:rFonts w:hint="eastAsia" w:ascii="仿宋_GB2312" w:hAnsi="仿宋_GB2312" w:eastAsia="仿宋_GB2312" w:cs="仿宋_GB2312"/>
          <w:sz w:val="24"/>
          <w:highlight w:val="none"/>
          <w:u w:val="single"/>
        </w:rPr>
      </w:pPr>
    </w:p>
    <w:p>
      <w:pPr>
        <w:spacing w:line="360" w:lineRule="auto"/>
        <w:rPr>
          <w:rFonts w:hint="eastAsia" w:ascii="仿宋_GB2312" w:hAnsi="仿宋_GB2312" w:eastAsia="仿宋_GB2312" w:cs="仿宋_GB2312"/>
          <w:sz w:val="24"/>
          <w:highlight w:val="none"/>
          <w:u w:val="single"/>
        </w:rPr>
      </w:pPr>
    </w:p>
    <w:p>
      <w:pPr>
        <w:spacing w:line="360" w:lineRule="auto"/>
        <w:rPr>
          <w:rFonts w:hint="eastAsia" w:ascii="仿宋_GB2312" w:hAnsi="仿宋_GB2312" w:eastAsia="仿宋_GB2312" w:cs="仿宋_GB2312"/>
          <w:sz w:val="24"/>
          <w:highlight w:val="none"/>
          <w:u w:val="single"/>
        </w:rPr>
      </w:pPr>
    </w:p>
    <w:p>
      <w:pPr>
        <w:spacing w:line="360" w:lineRule="auto"/>
        <w:rPr>
          <w:rFonts w:hint="eastAsia" w:ascii="仿宋_GB2312" w:hAnsi="仿宋_GB2312" w:eastAsia="仿宋_GB2312" w:cs="仿宋_GB2312"/>
          <w:sz w:val="24"/>
          <w:highlight w:val="none"/>
        </w:rPr>
      </w:pPr>
    </w:p>
    <w:p>
      <w:pPr>
        <w:spacing w:line="360" w:lineRule="auto"/>
        <w:rPr>
          <w:rFonts w:hint="eastAsia" w:ascii="仿宋_GB2312" w:hAnsi="仿宋_GB2312" w:eastAsia="仿宋_GB2312" w:cs="仿宋_GB2312"/>
          <w:sz w:val="24"/>
          <w:highlight w:val="none"/>
        </w:rPr>
      </w:pPr>
    </w:p>
    <w:p>
      <w:pPr>
        <w:spacing w:line="360" w:lineRule="auto"/>
        <w:rPr>
          <w:rFonts w:hint="eastAsia" w:ascii="仿宋_GB2312" w:hAnsi="仿宋_GB2312" w:eastAsia="仿宋_GB2312" w:cs="仿宋_GB2312"/>
          <w:sz w:val="24"/>
          <w:highlight w:val="none"/>
        </w:rPr>
      </w:pPr>
    </w:p>
    <w:p>
      <w:pPr>
        <w:spacing w:line="360" w:lineRule="auto"/>
        <w:rPr>
          <w:rFonts w:hint="eastAsia" w:ascii="仿宋_GB2312" w:hAnsi="仿宋_GB2312" w:eastAsia="仿宋_GB2312" w:cs="仿宋_GB2312"/>
          <w:sz w:val="24"/>
          <w:highlight w:val="none"/>
        </w:rPr>
      </w:pPr>
    </w:p>
    <w:p>
      <w:pPr>
        <w:spacing w:line="360" w:lineRule="auto"/>
        <w:rPr>
          <w:rFonts w:hint="eastAsia" w:ascii="仿宋_GB2312" w:hAnsi="仿宋_GB2312" w:eastAsia="仿宋_GB2312" w:cs="仿宋_GB2312"/>
          <w:sz w:val="24"/>
          <w:highlight w:val="none"/>
        </w:rPr>
      </w:pPr>
    </w:p>
    <w:p>
      <w:pPr>
        <w:spacing w:line="360" w:lineRule="auto"/>
        <w:rPr>
          <w:rFonts w:hint="eastAsia" w:ascii="仿宋_GB2312" w:hAnsi="仿宋_GB2312" w:eastAsia="仿宋_GB2312" w:cs="仿宋_GB2312"/>
          <w:sz w:val="24"/>
          <w:highlight w:val="none"/>
        </w:rPr>
      </w:pPr>
    </w:p>
    <w:p>
      <w:pPr>
        <w:spacing w:line="360" w:lineRule="auto"/>
        <w:rPr>
          <w:rFonts w:hint="eastAsia" w:ascii="仿宋_GB2312" w:hAnsi="仿宋_GB2312" w:eastAsia="仿宋_GB2312" w:cs="仿宋_GB2312"/>
          <w:sz w:val="24"/>
          <w:highlight w:val="none"/>
        </w:rPr>
      </w:pPr>
    </w:p>
    <w:p>
      <w:pPr>
        <w:spacing w:line="360" w:lineRule="auto"/>
        <w:rPr>
          <w:rFonts w:hint="eastAsia" w:ascii="仿宋_GB2312" w:hAnsi="仿宋_GB2312" w:eastAsia="仿宋_GB2312" w:cs="仿宋_GB2312"/>
          <w:sz w:val="24"/>
          <w:highlight w:val="none"/>
        </w:rPr>
      </w:pPr>
    </w:p>
    <w:p>
      <w:pPr>
        <w:widowControl/>
        <w:jc w:val="lef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br w:type="page"/>
      </w:r>
    </w:p>
    <w:p>
      <w:pPr>
        <w:spacing w:line="600" w:lineRule="exact"/>
        <w:jc w:val="center"/>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9.1中小企业声明函（如需）</w:t>
      </w:r>
    </w:p>
    <w:p>
      <w:pPr>
        <w:rPr>
          <w:rFonts w:hint="eastAsia" w:ascii="仿宋_GB2312" w:hAnsi="仿宋_GB2312" w:eastAsia="仿宋_GB2312" w:cs="仿宋_GB2312"/>
          <w:highlight w:val="none"/>
        </w:rPr>
      </w:pP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本公司郑重声明，根据《政府采购促进中小企业发展暂行办法》（财库[2011]181号）的规定，本公司为</w:t>
      </w:r>
      <w:r>
        <w:rPr>
          <w:rFonts w:hint="eastAsia" w:ascii="仿宋_GB2312" w:hAnsi="仿宋_GB2312" w:eastAsia="仿宋_GB2312" w:cs="仿宋_GB2312"/>
          <w:sz w:val="24"/>
          <w:highlight w:val="none"/>
          <w:u w:val="single"/>
        </w:rPr>
        <w:t>　（请填写：中型、小型、微型）　</w:t>
      </w:r>
      <w:r>
        <w:rPr>
          <w:rFonts w:hint="eastAsia" w:ascii="仿宋_GB2312" w:hAnsi="仿宋_GB2312" w:eastAsia="仿宋_GB2312" w:cs="仿宋_GB2312"/>
          <w:sz w:val="24"/>
          <w:highlight w:val="none"/>
        </w:rPr>
        <w:t>企业。即，本公司同时满足以下条件：</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1.根据《工业和信息化部、国家统计局、国家发展和改革委员会、财政部关于印发中小企业划型标准规定的通知》（工信部联企业[2011]300号）规定的划分标准，本公司为</w:t>
      </w:r>
      <w:r>
        <w:rPr>
          <w:rFonts w:hint="eastAsia" w:ascii="仿宋_GB2312" w:hAnsi="仿宋_GB2312" w:eastAsia="仿宋_GB2312" w:cs="仿宋_GB2312"/>
          <w:sz w:val="24"/>
          <w:highlight w:val="none"/>
          <w:u w:val="single"/>
        </w:rPr>
        <w:t>　（请填写：中型、小型、微型）　</w:t>
      </w:r>
      <w:r>
        <w:rPr>
          <w:rFonts w:hint="eastAsia" w:ascii="仿宋_GB2312" w:hAnsi="仿宋_GB2312" w:eastAsia="仿宋_GB2312" w:cs="仿宋_GB2312"/>
          <w:sz w:val="24"/>
          <w:highlight w:val="none"/>
        </w:rPr>
        <w:t>企业。</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2.本公司参加</w:t>
      </w:r>
      <w:r>
        <w:rPr>
          <w:rFonts w:hint="eastAsia" w:ascii="仿宋_GB2312" w:hAnsi="仿宋_GB2312" w:eastAsia="仿宋_GB2312" w:cs="仿宋_GB2312"/>
          <w:sz w:val="24"/>
          <w:highlight w:val="none"/>
          <w:u w:val="single"/>
        </w:rPr>
        <w:t>　　（采购人）　　</w:t>
      </w:r>
      <w:r>
        <w:rPr>
          <w:rFonts w:hint="eastAsia" w:ascii="仿宋_GB2312" w:hAnsi="仿宋_GB2312" w:eastAsia="仿宋_GB2312" w:cs="仿宋_GB2312"/>
          <w:sz w:val="24"/>
          <w:highlight w:val="none"/>
        </w:rPr>
        <w:t>的</w:t>
      </w:r>
      <w:r>
        <w:rPr>
          <w:rFonts w:hint="eastAsia" w:ascii="仿宋_GB2312" w:hAnsi="仿宋_GB2312" w:eastAsia="仿宋_GB2312" w:cs="仿宋_GB2312"/>
          <w:sz w:val="24"/>
          <w:highlight w:val="none"/>
          <w:u w:val="single"/>
        </w:rPr>
        <w:t>　　（采购项目）　　</w:t>
      </w:r>
      <w:r>
        <w:rPr>
          <w:rFonts w:hint="eastAsia" w:ascii="仿宋_GB2312" w:hAnsi="仿宋_GB2312" w:eastAsia="仿宋_GB2312" w:cs="仿宋_GB2312"/>
          <w:sz w:val="24"/>
          <w:highlight w:val="none"/>
        </w:rPr>
        <w:t>采购活动提供本企业制造的货物，由本企业承担工程、提供服务，或者提供其他</w:t>
      </w:r>
      <w:r>
        <w:rPr>
          <w:rFonts w:hint="eastAsia" w:ascii="仿宋_GB2312" w:hAnsi="仿宋_GB2312" w:eastAsia="仿宋_GB2312" w:cs="仿宋_GB2312"/>
          <w:sz w:val="24"/>
          <w:highlight w:val="none"/>
          <w:u w:val="single"/>
        </w:rPr>
        <w:t>　（请填写：中型、小型、微型）　</w:t>
      </w:r>
      <w:r>
        <w:rPr>
          <w:rFonts w:hint="eastAsia" w:ascii="仿宋_GB2312" w:hAnsi="仿宋_GB2312" w:eastAsia="仿宋_GB2312" w:cs="仿宋_GB2312"/>
          <w:sz w:val="24"/>
          <w:highlight w:val="none"/>
        </w:rPr>
        <w:t>企业制造的货物。本条所称货物不包括使用大型企业注册商标的货物。</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本公司属于</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行业，有从业人员</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人，最近一年营业收入为</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元。</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本公司对上述声明的真实性负责。如有虚假，将依法承担相应责任。</w:t>
      </w:r>
    </w:p>
    <w:p>
      <w:pPr>
        <w:snapToGrid w:val="0"/>
        <w:spacing w:line="560" w:lineRule="exact"/>
        <w:ind w:firstLine="480" w:firstLineChars="200"/>
        <w:rPr>
          <w:rFonts w:hint="eastAsia" w:ascii="仿宋_GB2312" w:hAnsi="仿宋_GB2312" w:eastAsia="仿宋_GB2312" w:cs="仿宋_GB2312"/>
          <w:sz w:val="24"/>
          <w:highlight w:val="none"/>
        </w:rPr>
      </w:pPr>
    </w:p>
    <w:p>
      <w:pPr>
        <w:adjustRightInd w:val="0"/>
        <w:snapToGrid w:val="0"/>
        <w:spacing w:line="560" w:lineRule="exact"/>
        <w:rPr>
          <w:rFonts w:hint="eastAsia" w:ascii="仿宋_GB2312" w:hAnsi="仿宋_GB2312" w:eastAsia="仿宋_GB2312" w:cs="仿宋_GB2312"/>
          <w:sz w:val="24"/>
          <w:highlight w:val="none"/>
          <w:u w:val="single"/>
        </w:rPr>
      </w:pPr>
      <w:r>
        <w:rPr>
          <w:rFonts w:hint="eastAsia" w:ascii="仿宋_GB2312" w:hAnsi="仿宋_GB2312" w:eastAsia="仿宋_GB2312" w:cs="仿宋_GB2312"/>
          <w:bCs/>
          <w:sz w:val="24"/>
          <w:highlight w:val="none"/>
        </w:rPr>
        <w:t>供应商名称（加盖公章）</w:t>
      </w:r>
      <w:r>
        <w:rPr>
          <w:rFonts w:hint="eastAsia" w:ascii="仿宋_GB2312" w:hAnsi="仿宋_GB2312" w:eastAsia="仿宋_GB2312" w:cs="仿宋_GB2312"/>
          <w:sz w:val="24"/>
          <w:highlight w:val="none"/>
        </w:rPr>
        <w:t>：</w:t>
      </w:r>
      <w:r>
        <w:rPr>
          <w:rFonts w:hint="eastAsia" w:ascii="仿宋_GB2312" w:hAnsi="仿宋_GB2312" w:eastAsia="仿宋_GB2312" w:cs="仿宋_GB2312"/>
          <w:sz w:val="24"/>
          <w:highlight w:val="none"/>
          <w:u w:val="single"/>
        </w:rPr>
        <w:t xml:space="preserve">                        </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日期：   年   月   日</w:t>
      </w:r>
    </w:p>
    <w:p>
      <w:pPr>
        <w:snapToGrid w:val="0"/>
        <w:spacing w:line="560" w:lineRule="exact"/>
        <w:rPr>
          <w:rFonts w:hint="eastAsia" w:ascii="仿宋_GB2312" w:hAnsi="仿宋_GB2312" w:eastAsia="仿宋_GB2312" w:cs="仿宋_GB2312"/>
          <w:highlight w:val="none"/>
        </w:rPr>
      </w:pPr>
    </w:p>
    <w:p>
      <w:pPr>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（注：小型、微型企业提供中型企业制造的货物的，视同为中型企业。供应商认为其为小型或微型企业的应提交本函，并明确企业类型，并提供最近年度经审计的财务报表，否则评审时不能享受相应的价格扣除）</w:t>
      </w:r>
    </w:p>
    <w:p>
      <w:pPr>
        <w:spacing w:line="60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br w:type="page"/>
      </w:r>
    </w:p>
    <w:p>
      <w:pPr>
        <w:spacing w:line="600" w:lineRule="exact"/>
        <w:jc w:val="center"/>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9.2残疾人福利性单位声明函（如需）</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本单位对上述声明的真实性负责。如有虚假，将依法承担相应责任。</w:t>
      </w:r>
    </w:p>
    <w:p>
      <w:pPr>
        <w:snapToGrid w:val="0"/>
        <w:spacing w:line="560" w:lineRule="exact"/>
        <w:ind w:firstLine="480" w:firstLineChars="200"/>
        <w:rPr>
          <w:rFonts w:hint="eastAsia" w:ascii="仿宋_GB2312" w:hAnsi="仿宋_GB2312" w:eastAsia="仿宋_GB2312" w:cs="仿宋_GB2312"/>
          <w:sz w:val="24"/>
          <w:highlight w:val="none"/>
        </w:rPr>
      </w:pPr>
    </w:p>
    <w:p>
      <w:pPr>
        <w:adjustRightInd w:val="0"/>
        <w:snapToGrid w:val="0"/>
        <w:spacing w:line="560" w:lineRule="exact"/>
        <w:rPr>
          <w:rFonts w:hint="eastAsia" w:ascii="仿宋_GB2312" w:hAnsi="仿宋_GB2312" w:eastAsia="仿宋_GB2312" w:cs="仿宋_GB2312"/>
          <w:sz w:val="24"/>
          <w:highlight w:val="none"/>
          <w:u w:val="single"/>
        </w:rPr>
      </w:pPr>
      <w:r>
        <w:rPr>
          <w:rFonts w:hint="eastAsia" w:ascii="仿宋_GB2312" w:hAnsi="仿宋_GB2312" w:eastAsia="仿宋_GB2312" w:cs="仿宋_GB2312"/>
          <w:bCs/>
          <w:sz w:val="24"/>
          <w:highlight w:val="none"/>
        </w:rPr>
        <w:t>供应商名称（加盖公章）</w:t>
      </w:r>
      <w:r>
        <w:rPr>
          <w:rFonts w:hint="eastAsia" w:ascii="仿宋_GB2312" w:hAnsi="仿宋_GB2312" w:eastAsia="仿宋_GB2312" w:cs="仿宋_GB2312"/>
          <w:sz w:val="24"/>
          <w:highlight w:val="none"/>
        </w:rPr>
        <w:t>：</w:t>
      </w:r>
      <w:r>
        <w:rPr>
          <w:rFonts w:hint="eastAsia" w:ascii="仿宋_GB2312" w:hAnsi="仿宋_GB2312" w:eastAsia="仿宋_GB2312" w:cs="仿宋_GB2312"/>
          <w:sz w:val="24"/>
          <w:highlight w:val="none"/>
          <w:u w:val="single"/>
        </w:rPr>
        <w:t xml:space="preserve">                        </w:t>
      </w:r>
    </w:p>
    <w:p>
      <w:pPr>
        <w:snapToGrid w:val="0"/>
        <w:spacing w:line="56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日期：   年   月   日</w:t>
      </w:r>
    </w:p>
    <w:p>
      <w:pPr>
        <w:snapToGrid w:val="0"/>
        <w:spacing w:line="560" w:lineRule="exact"/>
        <w:rPr>
          <w:rFonts w:hint="eastAsia" w:ascii="仿宋_GB2312" w:hAnsi="仿宋_GB2312" w:eastAsia="仿宋_GB2312" w:cs="仿宋_GB2312"/>
          <w:b/>
          <w:bCs/>
          <w:sz w:val="22"/>
          <w:szCs w:val="22"/>
          <w:highlight w:val="none"/>
        </w:rPr>
      </w:pPr>
      <w:r>
        <w:rPr>
          <w:rFonts w:hint="eastAsia" w:ascii="仿宋_GB2312" w:hAnsi="仿宋_GB2312" w:eastAsia="仿宋_GB2312" w:cs="仿宋_GB2312"/>
          <w:b/>
          <w:bCs/>
          <w:sz w:val="22"/>
          <w:szCs w:val="22"/>
          <w:highlight w:val="none"/>
        </w:rPr>
        <w:t>注:享受政府采购支持政策的残疾人福利性单位应当同时满足以下条件：</w:t>
      </w:r>
    </w:p>
    <w:p>
      <w:pPr>
        <w:snapToGrid w:val="0"/>
        <w:spacing w:line="560" w:lineRule="exact"/>
        <w:jc w:val="left"/>
        <w:rPr>
          <w:rFonts w:hint="eastAsia" w:ascii="仿宋_GB2312" w:hAnsi="仿宋_GB2312" w:eastAsia="仿宋_GB2312" w:cs="仿宋_GB2312"/>
          <w:bCs/>
          <w:sz w:val="22"/>
          <w:szCs w:val="22"/>
          <w:highlight w:val="none"/>
        </w:rPr>
      </w:pPr>
      <w:r>
        <w:rPr>
          <w:rFonts w:hint="eastAsia" w:ascii="仿宋_GB2312" w:hAnsi="仿宋_GB2312" w:eastAsia="仿宋_GB2312" w:cs="仿宋_GB2312"/>
          <w:bCs/>
          <w:sz w:val="22"/>
          <w:szCs w:val="22"/>
          <w:highlight w:val="none"/>
        </w:rPr>
        <w:t>　　（一）安置的残疾人占本单位在职职工人数的比例不低于25%（含25%），并且安置的残疾人人数不少于10人（含10人）；</w:t>
      </w:r>
    </w:p>
    <w:p>
      <w:pPr>
        <w:snapToGrid w:val="0"/>
        <w:spacing w:line="560" w:lineRule="exact"/>
        <w:jc w:val="left"/>
        <w:rPr>
          <w:rFonts w:hint="eastAsia" w:ascii="仿宋_GB2312" w:hAnsi="仿宋_GB2312" w:eastAsia="仿宋_GB2312" w:cs="仿宋_GB2312"/>
          <w:bCs/>
          <w:sz w:val="22"/>
          <w:szCs w:val="22"/>
          <w:highlight w:val="none"/>
        </w:rPr>
      </w:pPr>
      <w:r>
        <w:rPr>
          <w:rFonts w:hint="eastAsia" w:ascii="仿宋_GB2312" w:hAnsi="仿宋_GB2312" w:eastAsia="仿宋_GB2312" w:cs="仿宋_GB2312"/>
          <w:bCs/>
          <w:sz w:val="22"/>
          <w:szCs w:val="22"/>
          <w:highlight w:val="none"/>
        </w:rPr>
        <w:t>　　（二）依法与安置的每位残疾人签订了一年以上（含一年）的劳动合同或服务协议；</w:t>
      </w:r>
    </w:p>
    <w:p>
      <w:pPr>
        <w:snapToGrid w:val="0"/>
        <w:spacing w:line="560" w:lineRule="exact"/>
        <w:jc w:val="left"/>
        <w:rPr>
          <w:rFonts w:hint="eastAsia" w:ascii="仿宋_GB2312" w:hAnsi="仿宋_GB2312" w:eastAsia="仿宋_GB2312" w:cs="仿宋_GB2312"/>
          <w:bCs/>
          <w:sz w:val="22"/>
          <w:szCs w:val="22"/>
          <w:highlight w:val="none"/>
        </w:rPr>
      </w:pPr>
      <w:r>
        <w:rPr>
          <w:rFonts w:hint="eastAsia" w:ascii="仿宋_GB2312" w:hAnsi="仿宋_GB2312" w:eastAsia="仿宋_GB2312" w:cs="仿宋_GB2312"/>
          <w:bCs/>
          <w:sz w:val="22"/>
          <w:szCs w:val="22"/>
          <w:highlight w:val="none"/>
        </w:rPr>
        <w:t>　　（三）为安置的每位残疾人按月足额缴纳了基本养老保险、基本医疗保险、失业保险、工伤保险和生育保险等社会保险费；</w:t>
      </w:r>
    </w:p>
    <w:p>
      <w:pPr>
        <w:snapToGrid w:val="0"/>
        <w:spacing w:line="560" w:lineRule="exact"/>
        <w:jc w:val="left"/>
        <w:rPr>
          <w:rFonts w:hint="eastAsia" w:ascii="仿宋_GB2312" w:hAnsi="仿宋_GB2312" w:eastAsia="仿宋_GB2312" w:cs="仿宋_GB2312"/>
          <w:bCs/>
          <w:sz w:val="22"/>
          <w:szCs w:val="22"/>
          <w:highlight w:val="none"/>
        </w:rPr>
      </w:pPr>
      <w:r>
        <w:rPr>
          <w:rFonts w:hint="eastAsia" w:ascii="仿宋_GB2312" w:hAnsi="仿宋_GB2312" w:eastAsia="仿宋_GB2312" w:cs="仿宋_GB2312"/>
          <w:bCs/>
          <w:sz w:val="22"/>
          <w:szCs w:val="22"/>
          <w:highlight w:val="none"/>
        </w:rPr>
        <w:t>　　（四）通过银行等金融机构向安置的每位残疾人，按月支付了不低于单位所在区县适用的经省级人民政府批准的月最低工资标准的工资；</w:t>
      </w:r>
    </w:p>
    <w:p>
      <w:pPr>
        <w:snapToGrid w:val="0"/>
        <w:spacing w:line="560" w:lineRule="exact"/>
        <w:jc w:val="left"/>
        <w:rPr>
          <w:rFonts w:hint="eastAsia" w:ascii="仿宋_GB2312" w:hAnsi="仿宋_GB2312" w:eastAsia="仿宋_GB2312" w:cs="仿宋_GB2312"/>
          <w:bCs/>
          <w:sz w:val="22"/>
          <w:szCs w:val="22"/>
          <w:highlight w:val="none"/>
        </w:rPr>
      </w:pPr>
      <w:r>
        <w:rPr>
          <w:rFonts w:hint="eastAsia" w:ascii="仿宋_GB2312" w:hAnsi="仿宋_GB2312" w:eastAsia="仿宋_GB2312" w:cs="仿宋_GB2312"/>
          <w:bCs/>
          <w:sz w:val="22"/>
          <w:szCs w:val="22"/>
          <w:highlight w:val="none"/>
        </w:rPr>
        <w:t>　　（五）提供本单位制造的货物、承担的工程或者服务（以下简称产品），或者提供其他残疾人福利性单位制造的货物（不包括使用非残疾人福利性单位注册商标的货物）。</w:t>
      </w:r>
    </w:p>
    <w:p>
      <w:pPr>
        <w:snapToGrid w:val="0"/>
        <w:spacing w:line="560" w:lineRule="exact"/>
        <w:jc w:val="left"/>
        <w:rPr>
          <w:rFonts w:hint="eastAsia" w:ascii="仿宋_GB2312" w:hAnsi="仿宋_GB2312" w:eastAsia="仿宋_GB2312" w:cs="仿宋_GB2312"/>
          <w:b/>
          <w:sz w:val="24"/>
          <w:highlight w:val="none"/>
        </w:rPr>
      </w:pPr>
      <w:r>
        <w:rPr>
          <w:rFonts w:hint="eastAsia" w:ascii="仿宋_GB2312" w:hAnsi="仿宋_GB2312" w:eastAsia="仿宋_GB2312" w:cs="仿宋_GB2312"/>
          <w:bCs/>
          <w:sz w:val="22"/>
          <w:szCs w:val="22"/>
          <w:highlight w:val="none"/>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600" w:lineRule="exact"/>
        <w:jc w:val="center"/>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br w:type="page"/>
      </w:r>
    </w:p>
    <w:p>
      <w:pPr>
        <w:spacing w:line="600" w:lineRule="exact"/>
        <w:jc w:val="center"/>
        <w:outlineLvl w:val="1"/>
        <w:rPr>
          <w:rFonts w:hint="eastAsia" w:ascii="仿宋_GB2312" w:hAnsi="仿宋_GB2312" w:eastAsia="仿宋_GB2312" w:cs="仿宋_GB2312"/>
          <w:b/>
          <w:bCs/>
          <w:sz w:val="32"/>
          <w:szCs w:val="32"/>
          <w:highlight w:val="none"/>
        </w:rPr>
      </w:pPr>
      <w:bookmarkStart w:id="221" w:name="_Toc11258"/>
      <w:bookmarkStart w:id="222" w:name="_Toc25568"/>
      <w:r>
        <w:rPr>
          <w:rFonts w:hint="eastAsia" w:ascii="仿宋_GB2312" w:hAnsi="仿宋_GB2312" w:eastAsia="仿宋_GB2312" w:cs="仿宋_GB2312"/>
          <w:b/>
          <w:bCs/>
          <w:sz w:val="32"/>
          <w:szCs w:val="32"/>
          <w:highlight w:val="none"/>
        </w:rPr>
        <w:t>三、技术文件</w:t>
      </w:r>
      <w:bookmarkEnd w:id="221"/>
      <w:bookmarkEnd w:id="222"/>
    </w:p>
    <w:p>
      <w:pPr>
        <w:rPr>
          <w:rFonts w:hint="eastAsia" w:ascii="仿宋_GB2312" w:hAnsi="仿宋_GB2312" w:eastAsia="仿宋_GB2312" w:cs="仿宋_GB2312"/>
          <w:highlight w:val="none"/>
        </w:rPr>
      </w:pPr>
    </w:p>
    <w:p>
      <w:pPr>
        <w:spacing w:line="600" w:lineRule="exact"/>
        <w:jc w:val="center"/>
        <w:outlineLvl w:val="2"/>
        <w:rPr>
          <w:rFonts w:hint="eastAsia" w:ascii="仿宋_GB2312" w:hAnsi="仿宋_GB2312" w:eastAsia="仿宋_GB2312" w:cs="仿宋_GB2312"/>
          <w:b/>
          <w:sz w:val="28"/>
          <w:szCs w:val="28"/>
          <w:highlight w:val="none"/>
        </w:rPr>
      </w:pPr>
      <w:bookmarkStart w:id="223" w:name="_Toc5433"/>
      <w:bookmarkStart w:id="224" w:name="_Toc22640"/>
      <w:r>
        <w:rPr>
          <w:rFonts w:hint="eastAsia" w:ascii="仿宋_GB2312" w:hAnsi="仿宋_GB2312" w:eastAsia="仿宋_GB2312" w:cs="仿宋_GB2312"/>
          <w:b/>
          <w:sz w:val="28"/>
          <w:szCs w:val="28"/>
          <w:highlight w:val="none"/>
        </w:rPr>
        <w:t>1.拟担任本项目主要负责人简历表</w:t>
      </w:r>
      <w:bookmarkEnd w:id="223"/>
      <w:bookmarkEnd w:id="224"/>
    </w:p>
    <w:tbl>
      <w:tblPr>
        <w:tblStyle w:val="23"/>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938"/>
        <w:gridCol w:w="408"/>
        <w:gridCol w:w="693"/>
        <w:gridCol w:w="563"/>
        <w:gridCol w:w="469"/>
        <w:gridCol w:w="431"/>
        <w:gridCol w:w="770"/>
        <w:gridCol w:w="535"/>
        <w:gridCol w:w="1125"/>
        <w:gridCol w:w="31"/>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183" w:type="dxa"/>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姓名</w:t>
            </w:r>
          </w:p>
        </w:tc>
        <w:tc>
          <w:tcPr>
            <w:tcW w:w="2039" w:type="dxa"/>
            <w:gridSpan w:val="3"/>
            <w:vAlign w:val="center"/>
          </w:tcPr>
          <w:p>
            <w:pPr>
              <w:spacing w:line="360" w:lineRule="auto"/>
              <w:jc w:val="center"/>
              <w:rPr>
                <w:rFonts w:hint="eastAsia" w:ascii="仿宋_GB2312" w:hAnsi="仿宋_GB2312" w:eastAsia="仿宋_GB2312" w:cs="仿宋_GB2312"/>
                <w:sz w:val="24"/>
                <w:highlight w:val="none"/>
              </w:rPr>
            </w:pPr>
          </w:p>
        </w:tc>
        <w:tc>
          <w:tcPr>
            <w:tcW w:w="1032" w:type="dxa"/>
            <w:gridSpan w:val="2"/>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性别</w:t>
            </w:r>
          </w:p>
        </w:tc>
        <w:tc>
          <w:tcPr>
            <w:tcW w:w="1736" w:type="dxa"/>
            <w:gridSpan w:val="3"/>
            <w:vAlign w:val="center"/>
          </w:tcPr>
          <w:p>
            <w:pPr>
              <w:spacing w:line="360" w:lineRule="auto"/>
              <w:jc w:val="center"/>
              <w:rPr>
                <w:rFonts w:hint="eastAsia" w:ascii="仿宋_GB2312" w:hAnsi="仿宋_GB2312" w:eastAsia="仿宋_GB2312" w:cs="仿宋_GB2312"/>
                <w:sz w:val="24"/>
                <w:highlight w:val="none"/>
              </w:rPr>
            </w:pPr>
          </w:p>
        </w:tc>
        <w:tc>
          <w:tcPr>
            <w:tcW w:w="1156" w:type="dxa"/>
            <w:gridSpan w:val="2"/>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年龄</w:t>
            </w:r>
          </w:p>
        </w:tc>
        <w:tc>
          <w:tcPr>
            <w:tcW w:w="1618" w:type="dxa"/>
            <w:vAlign w:val="center"/>
          </w:tcPr>
          <w:p>
            <w:pPr>
              <w:spacing w:line="360" w:lineRule="auto"/>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183" w:type="dxa"/>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职务</w:t>
            </w:r>
          </w:p>
        </w:tc>
        <w:tc>
          <w:tcPr>
            <w:tcW w:w="2039" w:type="dxa"/>
            <w:gridSpan w:val="3"/>
            <w:vAlign w:val="center"/>
          </w:tcPr>
          <w:p>
            <w:pPr>
              <w:spacing w:line="360" w:lineRule="auto"/>
              <w:jc w:val="center"/>
              <w:rPr>
                <w:rFonts w:hint="eastAsia" w:ascii="仿宋_GB2312" w:hAnsi="仿宋_GB2312" w:eastAsia="仿宋_GB2312" w:cs="仿宋_GB2312"/>
                <w:sz w:val="24"/>
                <w:highlight w:val="none"/>
              </w:rPr>
            </w:pPr>
          </w:p>
        </w:tc>
        <w:tc>
          <w:tcPr>
            <w:tcW w:w="1032" w:type="dxa"/>
            <w:gridSpan w:val="2"/>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职称</w:t>
            </w:r>
          </w:p>
        </w:tc>
        <w:tc>
          <w:tcPr>
            <w:tcW w:w="1736" w:type="dxa"/>
            <w:gridSpan w:val="3"/>
            <w:vAlign w:val="center"/>
          </w:tcPr>
          <w:p>
            <w:pPr>
              <w:spacing w:line="360" w:lineRule="auto"/>
              <w:jc w:val="center"/>
              <w:rPr>
                <w:rFonts w:hint="eastAsia" w:ascii="仿宋_GB2312" w:hAnsi="仿宋_GB2312" w:eastAsia="仿宋_GB2312" w:cs="仿宋_GB2312"/>
                <w:sz w:val="24"/>
                <w:highlight w:val="none"/>
              </w:rPr>
            </w:pPr>
          </w:p>
        </w:tc>
        <w:tc>
          <w:tcPr>
            <w:tcW w:w="1156" w:type="dxa"/>
            <w:gridSpan w:val="2"/>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学历</w:t>
            </w:r>
          </w:p>
        </w:tc>
        <w:tc>
          <w:tcPr>
            <w:tcW w:w="1618" w:type="dxa"/>
            <w:vAlign w:val="center"/>
          </w:tcPr>
          <w:p>
            <w:pPr>
              <w:spacing w:line="360" w:lineRule="auto"/>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529" w:type="dxa"/>
            <w:gridSpan w:val="3"/>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参加工作时间</w:t>
            </w:r>
          </w:p>
        </w:tc>
        <w:tc>
          <w:tcPr>
            <w:tcW w:w="2156" w:type="dxa"/>
            <w:gridSpan w:val="4"/>
            <w:vAlign w:val="center"/>
          </w:tcPr>
          <w:p>
            <w:pPr>
              <w:spacing w:line="360" w:lineRule="auto"/>
              <w:jc w:val="center"/>
              <w:rPr>
                <w:rFonts w:hint="eastAsia" w:ascii="仿宋_GB2312" w:hAnsi="仿宋_GB2312" w:eastAsia="仿宋_GB2312" w:cs="仿宋_GB2312"/>
                <w:sz w:val="24"/>
                <w:highlight w:val="none"/>
              </w:rPr>
            </w:pPr>
          </w:p>
        </w:tc>
        <w:tc>
          <w:tcPr>
            <w:tcW w:w="2461" w:type="dxa"/>
            <w:gridSpan w:val="4"/>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从事项目负责人年限</w:t>
            </w:r>
          </w:p>
        </w:tc>
        <w:tc>
          <w:tcPr>
            <w:tcW w:w="1618" w:type="dxa"/>
            <w:vAlign w:val="center"/>
          </w:tcPr>
          <w:p>
            <w:pPr>
              <w:spacing w:line="360" w:lineRule="auto"/>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8764" w:type="dxa"/>
            <w:gridSpan w:val="12"/>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121" w:type="dxa"/>
            <w:gridSpan w:val="2"/>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使用单位</w:t>
            </w:r>
          </w:p>
        </w:tc>
        <w:tc>
          <w:tcPr>
            <w:tcW w:w="1664" w:type="dxa"/>
            <w:gridSpan w:val="3"/>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项目名称</w:t>
            </w:r>
          </w:p>
        </w:tc>
        <w:tc>
          <w:tcPr>
            <w:tcW w:w="1670" w:type="dxa"/>
            <w:gridSpan w:val="3"/>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项目规模</w:t>
            </w:r>
          </w:p>
        </w:tc>
        <w:tc>
          <w:tcPr>
            <w:tcW w:w="1660" w:type="dxa"/>
            <w:gridSpan w:val="2"/>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完成日期</w:t>
            </w:r>
          </w:p>
        </w:tc>
        <w:tc>
          <w:tcPr>
            <w:tcW w:w="1649" w:type="dxa"/>
            <w:gridSpan w:val="2"/>
            <w:vAlign w:val="center"/>
          </w:tcPr>
          <w:p>
            <w:pPr>
              <w:spacing w:line="360" w:lineRule="auto"/>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完成质量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121" w:type="dxa"/>
            <w:gridSpan w:val="2"/>
          </w:tcPr>
          <w:p>
            <w:pPr>
              <w:spacing w:line="360" w:lineRule="auto"/>
              <w:rPr>
                <w:rFonts w:hint="eastAsia" w:ascii="仿宋_GB2312" w:hAnsi="仿宋_GB2312" w:eastAsia="仿宋_GB2312" w:cs="仿宋_GB2312"/>
                <w:sz w:val="24"/>
                <w:highlight w:val="none"/>
              </w:rPr>
            </w:pPr>
          </w:p>
        </w:tc>
        <w:tc>
          <w:tcPr>
            <w:tcW w:w="1664" w:type="dxa"/>
            <w:gridSpan w:val="3"/>
          </w:tcPr>
          <w:p>
            <w:pPr>
              <w:spacing w:line="360" w:lineRule="auto"/>
              <w:rPr>
                <w:rFonts w:hint="eastAsia" w:ascii="仿宋_GB2312" w:hAnsi="仿宋_GB2312" w:eastAsia="仿宋_GB2312" w:cs="仿宋_GB2312"/>
                <w:sz w:val="24"/>
                <w:highlight w:val="none"/>
              </w:rPr>
            </w:pPr>
          </w:p>
        </w:tc>
        <w:tc>
          <w:tcPr>
            <w:tcW w:w="1670" w:type="dxa"/>
            <w:gridSpan w:val="3"/>
          </w:tcPr>
          <w:p>
            <w:pPr>
              <w:spacing w:line="360" w:lineRule="auto"/>
              <w:rPr>
                <w:rFonts w:hint="eastAsia" w:ascii="仿宋_GB2312" w:hAnsi="仿宋_GB2312" w:eastAsia="仿宋_GB2312" w:cs="仿宋_GB2312"/>
                <w:sz w:val="24"/>
                <w:highlight w:val="none"/>
              </w:rPr>
            </w:pPr>
          </w:p>
        </w:tc>
        <w:tc>
          <w:tcPr>
            <w:tcW w:w="1660" w:type="dxa"/>
            <w:gridSpan w:val="2"/>
          </w:tcPr>
          <w:p>
            <w:pPr>
              <w:spacing w:line="360" w:lineRule="auto"/>
              <w:rPr>
                <w:rFonts w:hint="eastAsia" w:ascii="仿宋_GB2312" w:hAnsi="仿宋_GB2312" w:eastAsia="仿宋_GB2312" w:cs="仿宋_GB2312"/>
                <w:sz w:val="24"/>
                <w:highlight w:val="none"/>
              </w:rPr>
            </w:pPr>
          </w:p>
        </w:tc>
        <w:tc>
          <w:tcPr>
            <w:tcW w:w="1649" w:type="dxa"/>
            <w:gridSpan w:val="2"/>
          </w:tcPr>
          <w:p>
            <w:pPr>
              <w:spacing w:line="360" w:lineRule="auto"/>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121" w:type="dxa"/>
            <w:gridSpan w:val="2"/>
          </w:tcPr>
          <w:p>
            <w:pPr>
              <w:spacing w:line="360" w:lineRule="auto"/>
              <w:rPr>
                <w:rFonts w:hint="eastAsia" w:ascii="仿宋_GB2312" w:hAnsi="仿宋_GB2312" w:eastAsia="仿宋_GB2312" w:cs="仿宋_GB2312"/>
                <w:sz w:val="24"/>
                <w:highlight w:val="none"/>
              </w:rPr>
            </w:pPr>
          </w:p>
        </w:tc>
        <w:tc>
          <w:tcPr>
            <w:tcW w:w="1664" w:type="dxa"/>
            <w:gridSpan w:val="3"/>
          </w:tcPr>
          <w:p>
            <w:pPr>
              <w:spacing w:line="360" w:lineRule="auto"/>
              <w:rPr>
                <w:rFonts w:hint="eastAsia" w:ascii="仿宋_GB2312" w:hAnsi="仿宋_GB2312" w:eastAsia="仿宋_GB2312" w:cs="仿宋_GB2312"/>
                <w:sz w:val="24"/>
                <w:highlight w:val="none"/>
              </w:rPr>
            </w:pPr>
          </w:p>
        </w:tc>
        <w:tc>
          <w:tcPr>
            <w:tcW w:w="1670" w:type="dxa"/>
            <w:gridSpan w:val="3"/>
          </w:tcPr>
          <w:p>
            <w:pPr>
              <w:spacing w:line="360" w:lineRule="auto"/>
              <w:rPr>
                <w:rFonts w:hint="eastAsia" w:ascii="仿宋_GB2312" w:hAnsi="仿宋_GB2312" w:eastAsia="仿宋_GB2312" w:cs="仿宋_GB2312"/>
                <w:sz w:val="24"/>
                <w:highlight w:val="none"/>
              </w:rPr>
            </w:pPr>
          </w:p>
        </w:tc>
        <w:tc>
          <w:tcPr>
            <w:tcW w:w="1660" w:type="dxa"/>
            <w:gridSpan w:val="2"/>
          </w:tcPr>
          <w:p>
            <w:pPr>
              <w:spacing w:line="360" w:lineRule="auto"/>
              <w:rPr>
                <w:rFonts w:hint="eastAsia" w:ascii="仿宋_GB2312" w:hAnsi="仿宋_GB2312" w:eastAsia="仿宋_GB2312" w:cs="仿宋_GB2312"/>
                <w:sz w:val="24"/>
                <w:highlight w:val="none"/>
              </w:rPr>
            </w:pPr>
          </w:p>
        </w:tc>
        <w:tc>
          <w:tcPr>
            <w:tcW w:w="1649" w:type="dxa"/>
            <w:gridSpan w:val="2"/>
          </w:tcPr>
          <w:p>
            <w:pPr>
              <w:spacing w:line="360" w:lineRule="auto"/>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121" w:type="dxa"/>
            <w:gridSpan w:val="2"/>
          </w:tcPr>
          <w:p>
            <w:pPr>
              <w:spacing w:line="360" w:lineRule="auto"/>
              <w:rPr>
                <w:rFonts w:hint="eastAsia" w:ascii="仿宋_GB2312" w:hAnsi="仿宋_GB2312" w:eastAsia="仿宋_GB2312" w:cs="仿宋_GB2312"/>
                <w:sz w:val="24"/>
                <w:highlight w:val="none"/>
              </w:rPr>
            </w:pPr>
          </w:p>
        </w:tc>
        <w:tc>
          <w:tcPr>
            <w:tcW w:w="1664" w:type="dxa"/>
            <w:gridSpan w:val="3"/>
          </w:tcPr>
          <w:p>
            <w:pPr>
              <w:spacing w:line="360" w:lineRule="auto"/>
              <w:rPr>
                <w:rFonts w:hint="eastAsia" w:ascii="仿宋_GB2312" w:hAnsi="仿宋_GB2312" w:eastAsia="仿宋_GB2312" w:cs="仿宋_GB2312"/>
                <w:sz w:val="24"/>
                <w:highlight w:val="none"/>
              </w:rPr>
            </w:pPr>
          </w:p>
        </w:tc>
        <w:tc>
          <w:tcPr>
            <w:tcW w:w="1670" w:type="dxa"/>
            <w:gridSpan w:val="3"/>
          </w:tcPr>
          <w:p>
            <w:pPr>
              <w:spacing w:line="360" w:lineRule="auto"/>
              <w:rPr>
                <w:rFonts w:hint="eastAsia" w:ascii="仿宋_GB2312" w:hAnsi="仿宋_GB2312" w:eastAsia="仿宋_GB2312" w:cs="仿宋_GB2312"/>
                <w:sz w:val="24"/>
                <w:highlight w:val="none"/>
              </w:rPr>
            </w:pPr>
          </w:p>
        </w:tc>
        <w:tc>
          <w:tcPr>
            <w:tcW w:w="1660" w:type="dxa"/>
            <w:gridSpan w:val="2"/>
          </w:tcPr>
          <w:p>
            <w:pPr>
              <w:spacing w:line="360" w:lineRule="auto"/>
              <w:rPr>
                <w:rFonts w:hint="eastAsia" w:ascii="仿宋_GB2312" w:hAnsi="仿宋_GB2312" w:eastAsia="仿宋_GB2312" w:cs="仿宋_GB2312"/>
                <w:sz w:val="24"/>
                <w:highlight w:val="none"/>
              </w:rPr>
            </w:pPr>
          </w:p>
        </w:tc>
        <w:tc>
          <w:tcPr>
            <w:tcW w:w="1649" w:type="dxa"/>
            <w:gridSpan w:val="2"/>
          </w:tcPr>
          <w:p>
            <w:pPr>
              <w:spacing w:line="360" w:lineRule="auto"/>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121" w:type="dxa"/>
            <w:gridSpan w:val="2"/>
          </w:tcPr>
          <w:p>
            <w:pPr>
              <w:spacing w:line="360" w:lineRule="auto"/>
              <w:rPr>
                <w:rFonts w:hint="eastAsia" w:ascii="仿宋_GB2312" w:hAnsi="仿宋_GB2312" w:eastAsia="仿宋_GB2312" w:cs="仿宋_GB2312"/>
                <w:sz w:val="24"/>
                <w:highlight w:val="none"/>
              </w:rPr>
            </w:pPr>
          </w:p>
        </w:tc>
        <w:tc>
          <w:tcPr>
            <w:tcW w:w="1664" w:type="dxa"/>
            <w:gridSpan w:val="3"/>
          </w:tcPr>
          <w:p>
            <w:pPr>
              <w:spacing w:line="360" w:lineRule="auto"/>
              <w:rPr>
                <w:rFonts w:hint="eastAsia" w:ascii="仿宋_GB2312" w:hAnsi="仿宋_GB2312" w:eastAsia="仿宋_GB2312" w:cs="仿宋_GB2312"/>
                <w:sz w:val="24"/>
                <w:highlight w:val="none"/>
              </w:rPr>
            </w:pPr>
          </w:p>
        </w:tc>
        <w:tc>
          <w:tcPr>
            <w:tcW w:w="1670" w:type="dxa"/>
            <w:gridSpan w:val="3"/>
          </w:tcPr>
          <w:p>
            <w:pPr>
              <w:spacing w:line="360" w:lineRule="auto"/>
              <w:rPr>
                <w:rFonts w:hint="eastAsia" w:ascii="仿宋_GB2312" w:hAnsi="仿宋_GB2312" w:eastAsia="仿宋_GB2312" w:cs="仿宋_GB2312"/>
                <w:sz w:val="24"/>
                <w:highlight w:val="none"/>
              </w:rPr>
            </w:pPr>
          </w:p>
        </w:tc>
        <w:tc>
          <w:tcPr>
            <w:tcW w:w="1660" w:type="dxa"/>
            <w:gridSpan w:val="2"/>
          </w:tcPr>
          <w:p>
            <w:pPr>
              <w:spacing w:line="360" w:lineRule="auto"/>
              <w:rPr>
                <w:rFonts w:hint="eastAsia" w:ascii="仿宋_GB2312" w:hAnsi="仿宋_GB2312" w:eastAsia="仿宋_GB2312" w:cs="仿宋_GB2312"/>
                <w:sz w:val="24"/>
                <w:highlight w:val="none"/>
              </w:rPr>
            </w:pPr>
          </w:p>
        </w:tc>
        <w:tc>
          <w:tcPr>
            <w:tcW w:w="1649" w:type="dxa"/>
            <w:gridSpan w:val="2"/>
          </w:tcPr>
          <w:p>
            <w:pPr>
              <w:spacing w:line="360" w:lineRule="auto"/>
              <w:rPr>
                <w:rFonts w:hint="eastAsia" w:ascii="仿宋_GB2312" w:hAnsi="仿宋_GB2312" w:eastAsia="仿宋_GB2312" w:cs="仿宋_GB2312"/>
                <w:sz w:val="24"/>
                <w:highlight w:val="none"/>
              </w:rPr>
            </w:pPr>
          </w:p>
        </w:tc>
      </w:tr>
    </w:tbl>
    <w:p>
      <w:pPr>
        <w:spacing w:line="360" w:lineRule="auto"/>
        <w:rPr>
          <w:rFonts w:hint="eastAsia" w:ascii="仿宋_GB2312" w:hAnsi="仿宋_GB2312" w:eastAsia="仿宋_GB2312" w:cs="仿宋_GB2312"/>
          <w:sz w:val="24"/>
          <w:highlight w:val="none"/>
          <w:u w:val="single"/>
        </w:rPr>
      </w:pPr>
    </w:p>
    <w:p>
      <w:pPr>
        <w:spacing w:line="360" w:lineRule="auto"/>
        <w:rPr>
          <w:rFonts w:hint="eastAsia" w:ascii="仿宋_GB2312" w:hAnsi="仿宋_GB2312" w:eastAsia="仿宋_GB2312" w:cs="仿宋_GB2312"/>
          <w:sz w:val="24"/>
          <w:highlight w:val="none"/>
          <w:u w:val="single"/>
        </w:rPr>
      </w:pPr>
    </w:p>
    <w:p>
      <w:pPr>
        <w:spacing w:line="360" w:lineRule="auto"/>
        <w:rPr>
          <w:rFonts w:hint="eastAsia" w:ascii="仿宋_GB2312" w:hAnsi="仿宋_GB2312" w:eastAsia="仿宋_GB2312" w:cs="仿宋_GB2312"/>
          <w:sz w:val="24"/>
          <w:highlight w:val="none"/>
          <w:u w:val="single"/>
        </w:rPr>
      </w:pPr>
    </w:p>
    <w:p>
      <w:pPr>
        <w:spacing w:line="360" w:lineRule="auto"/>
        <w:rPr>
          <w:rFonts w:hint="eastAsia" w:ascii="仿宋_GB2312" w:hAnsi="仿宋_GB2312" w:eastAsia="仿宋_GB2312" w:cs="仿宋_GB2312"/>
          <w:sz w:val="24"/>
          <w:highlight w:val="none"/>
        </w:rPr>
      </w:pPr>
    </w:p>
    <w:p>
      <w:pPr>
        <w:spacing w:line="360" w:lineRule="auto"/>
        <w:jc w:val="left"/>
        <w:rPr>
          <w:rFonts w:hint="eastAsia" w:ascii="仿宋_GB2312" w:hAnsi="仿宋_GB2312" w:eastAsia="仿宋_GB2312" w:cs="仿宋_GB2312"/>
          <w:sz w:val="24"/>
          <w:highlight w:val="none"/>
        </w:rPr>
      </w:pPr>
    </w:p>
    <w:p>
      <w:pPr>
        <w:spacing w:line="360" w:lineRule="auto"/>
        <w:jc w:val="left"/>
        <w:rPr>
          <w:rFonts w:hint="eastAsia" w:ascii="仿宋_GB2312" w:hAnsi="仿宋_GB2312" w:eastAsia="仿宋_GB2312" w:cs="仿宋_GB2312"/>
          <w:sz w:val="24"/>
          <w:highlight w:val="none"/>
        </w:rPr>
      </w:pPr>
    </w:p>
    <w:p>
      <w:pPr>
        <w:spacing w:line="60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供应商名称（加盖公章）：</w:t>
      </w:r>
    </w:p>
    <w:p>
      <w:pPr>
        <w:spacing w:line="60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供应商法定代表人或受委托人（签名或盖私章）：</w:t>
      </w:r>
    </w:p>
    <w:p>
      <w:pPr>
        <w:spacing w:line="6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日      期：</w:t>
      </w:r>
    </w:p>
    <w:p>
      <w:pPr>
        <w:rPr>
          <w:rFonts w:hint="eastAsia" w:ascii="仿宋_GB2312" w:hAnsi="仿宋_GB2312" w:eastAsia="仿宋_GB2312" w:cs="仿宋_GB2312"/>
          <w:highlight w:val="none"/>
        </w:rPr>
      </w:pPr>
      <w:bookmarkStart w:id="225" w:name="_Toc9527"/>
      <w:bookmarkStart w:id="226" w:name="_Toc81879447"/>
      <w:r>
        <w:rPr>
          <w:rFonts w:hint="eastAsia" w:ascii="仿宋_GB2312" w:hAnsi="仿宋_GB2312" w:eastAsia="仿宋_GB2312" w:cs="仿宋_GB2312"/>
          <w:highlight w:val="none"/>
        </w:rPr>
        <w:br w:type="page"/>
      </w:r>
    </w:p>
    <w:p>
      <w:pPr>
        <w:spacing w:line="600" w:lineRule="exact"/>
        <w:jc w:val="center"/>
        <w:outlineLvl w:val="2"/>
        <w:rPr>
          <w:rFonts w:hint="eastAsia" w:ascii="仿宋_GB2312" w:hAnsi="仿宋_GB2312" w:eastAsia="仿宋_GB2312" w:cs="仿宋_GB2312"/>
          <w:b/>
          <w:sz w:val="28"/>
          <w:szCs w:val="28"/>
          <w:highlight w:val="none"/>
        </w:rPr>
      </w:pPr>
      <w:bookmarkStart w:id="227" w:name="_Toc6466"/>
      <w:bookmarkStart w:id="228" w:name="_Toc10033"/>
      <w:r>
        <w:rPr>
          <w:rFonts w:hint="eastAsia" w:ascii="仿宋_GB2312" w:hAnsi="仿宋_GB2312" w:eastAsia="仿宋_GB2312" w:cs="仿宋_GB2312"/>
          <w:b/>
          <w:sz w:val="28"/>
          <w:szCs w:val="28"/>
          <w:highlight w:val="none"/>
        </w:rPr>
        <w:t>2.拟投入人员配置情况表</w:t>
      </w:r>
      <w:bookmarkEnd w:id="227"/>
      <w:bookmarkEnd w:id="228"/>
    </w:p>
    <w:p>
      <w:pPr>
        <w:rPr>
          <w:rFonts w:hint="eastAsia" w:ascii="仿宋_GB2312" w:hAnsi="仿宋_GB2312" w:eastAsia="仿宋_GB2312" w:cs="仿宋_GB2312"/>
          <w:highlight w:val="none"/>
        </w:rPr>
      </w:pPr>
    </w:p>
    <w:tbl>
      <w:tblPr>
        <w:tblStyle w:val="23"/>
        <w:tblpPr w:leftFromText="180" w:rightFromText="180" w:vertAnchor="text" w:tblpXSpec="center"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13"/>
        <w:gridCol w:w="1096"/>
        <w:gridCol w:w="2006"/>
        <w:gridCol w:w="1415"/>
        <w:gridCol w:w="992"/>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710" w:type="dxa"/>
            <w:vAlign w:val="center"/>
          </w:tcPr>
          <w:p>
            <w:pPr>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序号</w:t>
            </w:r>
          </w:p>
        </w:tc>
        <w:tc>
          <w:tcPr>
            <w:tcW w:w="1113" w:type="dxa"/>
            <w:vAlign w:val="center"/>
          </w:tcPr>
          <w:p>
            <w:pPr>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姓名</w:t>
            </w:r>
          </w:p>
        </w:tc>
        <w:tc>
          <w:tcPr>
            <w:tcW w:w="1096" w:type="dxa"/>
            <w:vAlign w:val="center"/>
          </w:tcPr>
          <w:p>
            <w:pPr>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职位</w:t>
            </w:r>
          </w:p>
        </w:tc>
        <w:tc>
          <w:tcPr>
            <w:tcW w:w="2006" w:type="dxa"/>
            <w:vAlign w:val="center"/>
          </w:tcPr>
          <w:p>
            <w:pPr>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持何种资格证件</w:t>
            </w:r>
          </w:p>
        </w:tc>
        <w:tc>
          <w:tcPr>
            <w:tcW w:w="1415" w:type="dxa"/>
            <w:vAlign w:val="center"/>
          </w:tcPr>
          <w:p>
            <w:pPr>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发证时间</w:t>
            </w:r>
          </w:p>
        </w:tc>
        <w:tc>
          <w:tcPr>
            <w:tcW w:w="992" w:type="dxa"/>
            <w:vAlign w:val="center"/>
          </w:tcPr>
          <w:p>
            <w:pPr>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学历</w:t>
            </w:r>
          </w:p>
        </w:tc>
        <w:tc>
          <w:tcPr>
            <w:tcW w:w="1190" w:type="dxa"/>
            <w:vAlign w:val="center"/>
          </w:tcPr>
          <w:p>
            <w:pPr>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经验年限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10" w:type="dxa"/>
            <w:vAlign w:val="center"/>
          </w:tcPr>
          <w:p>
            <w:pPr>
              <w:spacing w:line="480" w:lineRule="auto"/>
              <w:jc w:val="center"/>
              <w:rPr>
                <w:rFonts w:hint="eastAsia" w:ascii="仿宋_GB2312" w:hAnsi="仿宋_GB2312" w:eastAsia="仿宋_GB2312" w:cs="仿宋_GB2312"/>
                <w:sz w:val="24"/>
                <w:highlight w:val="none"/>
              </w:rPr>
            </w:pPr>
          </w:p>
        </w:tc>
        <w:tc>
          <w:tcPr>
            <w:tcW w:w="1113" w:type="dxa"/>
            <w:vAlign w:val="center"/>
          </w:tcPr>
          <w:p>
            <w:pPr>
              <w:spacing w:line="480" w:lineRule="auto"/>
              <w:jc w:val="center"/>
              <w:rPr>
                <w:rFonts w:hint="eastAsia" w:ascii="仿宋_GB2312" w:hAnsi="仿宋_GB2312" w:eastAsia="仿宋_GB2312" w:cs="仿宋_GB2312"/>
                <w:sz w:val="24"/>
                <w:highlight w:val="none"/>
              </w:rPr>
            </w:pPr>
          </w:p>
        </w:tc>
        <w:tc>
          <w:tcPr>
            <w:tcW w:w="1096" w:type="dxa"/>
            <w:vAlign w:val="center"/>
          </w:tcPr>
          <w:p>
            <w:pPr>
              <w:spacing w:line="480" w:lineRule="auto"/>
              <w:jc w:val="center"/>
              <w:rPr>
                <w:rFonts w:hint="eastAsia" w:ascii="仿宋_GB2312" w:hAnsi="仿宋_GB2312" w:eastAsia="仿宋_GB2312" w:cs="仿宋_GB2312"/>
                <w:sz w:val="24"/>
                <w:highlight w:val="none"/>
              </w:rPr>
            </w:pPr>
          </w:p>
        </w:tc>
        <w:tc>
          <w:tcPr>
            <w:tcW w:w="2006" w:type="dxa"/>
            <w:vAlign w:val="center"/>
          </w:tcPr>
          <w:p>
            <w:pPr>
              <w:spacing w:line="480" w:lineRule="auto"/>
              <w:jc w:val="center"/>
              <w:rPr>
                <w:rFonts w:hint="eastAsia" w:ascii="仿宋_GB2312" w:hAnsi="仿宋_GB2312" w:eastAsia="仿宋_GB2312" w:cs="仿宋_GB2312"/>
                <w:sz w:val="24"/>
                <w:highlight w:val="none"/>
              </w:rPr>
            </w:pPr>
          </w:p>
        </w:tc>
        <w:tc>
          <w:tcPr>
            <w:tcW w:w="1415" w:type="dxa"/>
          </w:tcPr>
          <w:p>
            <w:pPr>
              <w:spacing w:line="480" w:lineRule="auto"/>
              <w:jc w:val="center"/>
              <w:rPr>
                <w:rFonts w:hint="eastAsia" w:ascii="仿宋_GB2312" w:hAnsi="仿宋_GB2312" w:eastAsia="仿宋_GB2312" w:cs="仿宋_GB2312"/>
                <w:sz w:val="24"/>
                <w:highlight w:val="none"/>
              </w:rPr>
            </w:pPr>
          </w:p>
        </w:tc>
        <w:tc>
          <w:tcPr>
            <w:tcW w:w="992" w:type="dxa"/>
            <w:vAlign w:val="center"/>
          </w:tcPr>
          <w:p>
            <w:pPr>
              <w:spacing w:line="480" w:lineRule="auto"/>
              <w:jc w:val="center"/>
              <w:rPr>
                <w:rFonts w:hint="eastAsia" w:ascii="仿宋_GB2312" w:hAnsi="仿宋_GB2312" w:eastAsia="仿宋_GB2312" w:cs="仿宋_GB2312"/>
                <w:sz w:val="24"/>
                <w:highlight w:val="none"/>
              </w:rPr>
            </w:pPr>
          </w:p>
        </w:tc>
        <w:tc>
          <w:tcPr>
            <w:tcW w:w="1190" w:type="dxa"/>
          </w:tcPr>
          <w:p>
            <w:pPr>
              <w:spacing w:line="480" w:lineRule="auto"/>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10" w:type="dxa"/>
            <w:vAlign w:val="center"/>
          </w:tcPr>
          <w:p>
            <w:pPr>
              <w:spacing w:line="480" w:lineRule="auto"/>
              <w:jc w:val="center"/>
              <w:rPr>
                <w:rFonts w:hint="eastAsia" w:ascii="仿宋_GB2312" w:hAnsi="仿宋_GB2312" w:eastAsia="仿宋_GB2312" w:cs="仿宋_GB2312"/>
                <w:sz w:val="24"/>
                <w:highlight w:val="none"/>
              </w:rPr>
            </w:pPr>
          </w:p>
        </w:tc>
        <w:tc>
          <w:tcPr>
            <w:tcW w:w="1113" w:type="dxa"/>
            <w:vAlign w:val="center"/>
          </w:tcPr>
          <w:p>
            <w:pPr>
              <w:spacing w:line="480" w:lineRule="auto"/>
              <w:jc w:val="center"/>
              <w:rPr>
                <w:rFonts w:hint="eastAsia" w:ascii="仿宋_GB2312" w:hAnsi="仿宋_GB2312" w:eastAsia="仿宋_GB2312" w:cs="仿宋_GB2312"/>
                <w:sz w:val="24"/>
                <w:highlight w:val="none"/>
              </w:rPr>
            </w:pPr>
          </w:p>
        </w:tc>
        <w:tc>
          <w:tcPr>
            <w:tcW w:w="1096" w:type="dxa"/>
            <w:vAlign w:val="center"/>
          </w:tcPr>
          <w:p>
            <w:pPr>
              <w:spacing w:line="480" w:lineRule="auto"/>
              <w:jc w:val="center"/>
              <w:rPr>
                <w:rFonts w:hint="eastAsia" w:ascii="仿宋_GB2312" w:hAnsi="仿宋_GB2312" w:eastAsia="仿宋_GB2312" w:cs="仿宋_GB2312"/>
                <w:sz w:val="24"/>
                <w:highlight w:val="none"/>
              </w:rPr>
            </w:pPr>
          </w:p>
        </w:tc>
        <w:tc>
          <w:tcPr>
            <w:tcW w:w="2006" w:type="dxa"/>
            <w:vAlign w:val="center"/>
          </w:tcPr>
          <w:p>
            <w:pPr>
              <w:spacing w:line="480" w:lineRule="auto"/>
              <w:jc w:val="center"/>
              <w:rPr>
                <w:rFonts w:hint="eastAsia" w:ascii="仿宋_GB2312" w:hAnsi="仿宋_GB2312" w:eastAsia="仿宋_GB2312" w:cs="仿宋_GB2312"/>
                <w:sz w:val="24"/>
                <w:highlight w:val="none"/>
              </w:rPr>
            </w:pPr>
          </w:p>
        </w:tc>
        <w:tc>
          <w:tcPr>
            <w:tcW w:w="1415" w:type="dxa"/>
          </w:tcPr>
          <w:p>
            <w:pPr>
              <w:spacing w:line="480" w:lineRule="auto"/>
              <w:jc w:val="center"/>
              <w:rPr>
                <w:rFonts w:hint="eastAsia" w:ascii="仿宋_GB2312" w:hAnsi="仿宋_GB2312" w:eastAsia="仿宋_GB2312" w:cs="仿宋_GB2312"/>
                <w:sz w:val="24"/>
                <w:highlight w:val="none"/>
              </w:rPr>
            </w:pPr>
          </w:p>
        </w:tc>
        <w:tc>
          <w:tcPr>
            <w:tcW w:w="992" w:type="dxa"/>
            <w:vAlign w:val="center"/>
          </w:tcPr>
          <w:p>
            <w:pPr>
              <w:spacing w:line="480" w:lineRule="auto"/>
              <w:jc w:val="center"/>
              <w:rPr>
                <w:rFonts w:hint="eastAsia" w:ascii="仿宋_GB2312" w:hAnsi="仿宋_GB2312" w:eastAsia="仿宋_GB2312" w:cs="仿宋_GB2312"/>
                <w:sz w:val="24"/>
                <w:highlight w:val="none"/>
              </w:rPr>
            </w:pPr>
          </w:p>
        </w:tc>
        <w:tc>
          <w:tcPr>
            <w:tcW w:w="1190" w:type="dxa"/>
          </w:tcPr>
          <w:p>
            <w:pPr>
              <w:spacing w:line="480" w:lineRule="auto"/>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10" w:type="dxa"/>
            <w:vAlign w:val="center"/>
          </w:tcPr>
          <w:p>
            <w:pPr>
              <w:spacing w:line="480" w:lineRule="auto"/>
              <w:jc w:val="center"/>
              <w:rPr>
                <w:rFonts w:hint="eastAsia" w:ascii="仿宋_GB2312" w:hAnsi="仿宋_GB2312" w:eastAsia="仿宋_GB2312" w:cs="仿宋_GB2312"/>
                <w:sz w:val="24"/>
                <w:highlight w:val="none"/>
              </w:rPr>
            </w:pPr>
          </w:p>
        </w:tc>
        <w:tc>
          <w:tcPr>
            <w:tcW w:w="1113" w:type="dxa"/>
            <w:vAlign w:val="center"/>
          </w:tcPr>
          <w:p>
            <w:pPr>
              <w:spacing w:line="480" w:lineRule="auto"/>
              <w:jc w:val="center"/>
              <w:rPr>
                <w:rFonts w:hint="eastAsia" w:ascii="仿宋_GB2312" w:hAnsi="仿宋_GB2312" w:eastAsia="仿宋_GB2312" w:cs="仿宋_GB2312"/>
                <w:sz w:val="24"/>
                <w:highlight w:val="none"/>
              </w:rPr>
            </w:pPr>
          </w:p>
        </w:tc>
        <w:tc>
          <w:tcPr>
            <w:tcW w:w="1096" w:type="dxa"/>
            <w:vAlign w:val="center"/>
          </w:tcPr>
          <w:p>
            <w:pPr>
              <w:spacing w:line="480" w:lineRule="auto"/>
              <w:jc w:val="center"/>
              <w:rPr>
                <w:rFonts w:hint="eastAsia" w:ascii="仿宋_GB2312" w:hAnsi="仿宋_GB2312" w:eastAsia="仿宋_GB2312" w:cs="仿宋_GB2312"/>
                <w:sz w:val="24"/>
                <w:highlight w:val="none"/>
              </w:rPr>
            </w:pPr>
          </w:p>
        </w:tc>
        <w:tc>
          <w:tcPr>
            <w:tcW w:w="2006" w:type="dxa"/>
            <w:vAlign w:val="center"/>
          </w:tcPr>
          <w:p>
            <w:pPr>
              <w:spacing w:line="480" w:lineRule="auto"/>
              <w:jc w:val="center"/>
              <w:rPr>
                <w:rFonts w:hint="eastAsia" w:ascii="仿宋_GB2312" w:hAnsi="仿宋_GB2312" w:eastAsia="仿宋_GB2312" w:cs="仿宋_GB2312"/>
                <w:sz w:val="24"/>
                <w:highlight w:val="none"/>
              </w:rPr>
            </w:pPr>
          </w:p>
        </w:tc>
        <w:tc>
          <w:tcPr>
            <w:tcW w:w="1415" w:type="dxa"/>
          </w:tcPr>
          <w:p>
            <w:pPr>
              <w:spacing w:line="480" w:lineRule="auto"/>
              <w:jc w:val="center"/>
              <w:rPr>
                <w:rFonts w:hint="eastAsia" w:ascii="仿宋_GB2312" w:hAnsi="仿宋_GB2312" w:eastAsia="仿宋_GB2312" w:cs="仿宋_GB2312"/>
                <w:sz w:val="24"/>
                <w:highlight w:val="none"/>
              </w:rPr>
            </w:pPr>
          </w:p>
        </w:tc>
        <w:tc>
          <w:tcPr>
            <w:tcW w:w="992" w:type="dxa"/>
            <w:vAlign w:val="center"/>
          </w:tcPr>
          <w:p>
            <w:pPr>
              <w:spacing w:line="480" w:lineRule="auto"/>
              <w:jc w:val="center"/>
              <w:rPr>
                <w:rFonts w:hint="eastAsia" w:ascii="仿宋_GB2312" w:hAnsi="仿宋_GB2312" w:eastAsia="仿宋_GB2312" w:cs="仿宋_GB2312"/>
                <w:sz w:val="24"/>
                <w:highlight w:val="none"/>
              </w:rPr>
            </w:pPr>
          </w:p>
        </w:tc>
        <w:tc>
          <w:tcPr>
            <w:tcW w:w="1190" w:type="dxa"/>
          </w:tcPr>
          <w:p>
            <w:pPr>
              <w:spacing w:line="480" w:lineRule="auto"/>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10" w:type="dxa"/>
            <w:vAlign w:val="center"/>
          </w:tcPr>
          <w:p>
            <w:pPr>
              <w:spacing w:line="480" w:lineRule="auto"/>
              <w:jc w:val="center"/>
              <w:rPr>
                <w:rFonts w:hint="eastAsia" w:ascii="仿宋_GB2312" w:hAnsi="仿宋_GB2312" w:eastAsia="仿宋_GB2312" w:cs="仿宋_GB2312"/>
                <w:sz w:val="24"/>
                <w:highlight w:val="none"/>
              </w:rPr>
            </w:pPr>
          </w:p>
        </w:tc>
        <w:tc>
          <w:tcPr>
            <w:tcW w:w="1113" w:type="dxa"/>
            <w:vAlign w:val="center"/>
          </w:tcPr>
          <w:p>
            <w:pPr>
              <w:spacing w:line="480" w:lineRule="auto"/>
              <w:jc w:val="center"/>
              <w:rPr>
                <w:rFonts w:hint="eastAsia" w:ascii="仿宋_GB2312" w:hAnsi="仿宋_GB2312" w:eastAsia="仿宋_GB2312" w:cs="仿宋_GB2312"/>
                <w:sz w:val="24"/>
                <w:highlight w:val="none"/>
              </w:rPr>
            </w:pPr>
          </w:p>
        </w:tc>
        <w:tc>
          <w:tcPr>
            <w:tcW w:w="1096" w:type="dxa"/>
            <w:vAlign w:val="center"/>
          </w:tcPr>
          <w:p>
            <w:pPr>
              <w:spacing w:line="480" w:lineRule="auto"/>
              <w:jc w:val="center"/>
              <w:rPr>
                <w:rFonts w:hint="eastAsia" w:ascii="仿宋_GB2312" w:hAnsi="仿宋_GB2312" w:eastAsia="仿宋_GB2312" w:cs="仿宋_GB2312"/>
                <w:sz w:val="24"/>
                <w:highlight w:val="none"/>
              </w:rPr>
            </w:pPr>
          </w:p>
        </w:tc>
        <w:tc>
          <w:tcPr>
            <w:tcW w:w="2006" w:type="dxa"/>
            <w:vAlign w:val="center"/>
          </w:tcPr>
          <w:p>
            <w:pPr>
              <w:spacing w:line="480" w:lineRule="auto"/>
              <w:jc w:val="center"/>
              <w:rPr>
                <w:rFonts w:hint="eastAsia" w:ascii="仿宋_GB2312" w:hAnsi="仿宋_GB2312" w:eastAsia="仿宋_GB2312" w:cs="仿宋_GB2312"/>
                <w:sz w:val="24"/>
                <w:highlight w:val="none"/>
              </w:rPr>
            </w:pPr>
          </w:p>
        </w:tc>
        <w:tc>
          <w:tcPr>
            <w:tcW w:w="1415" w:type="dxa"/>
          </w:tcPr>
          <w:p>
            <w:pPr>
              <w:spacing w:line="480" w:lineRule="auto"/>
              <w:jc w:val="center"/>
              <w:rPr>
                <w:rFonts w:hint="eastAsia" w:ascii="仿宋_GB2312" w:hAnsi="仿宋_GB2312" w:eastAsia="仿宋_GB2312" w:cs="仿宋_GB2312"/>
                <w:sz w:val="24"/>
                <w:highlight w:val="none"/>
              </w:rPr>
            </w:pPr>
          </w:p>
        </w:tc>
        <w:tc>
          <w:tcPr>
            <w:tcW w:w="992" w:type="dxa"/>
            <w:vAlign w:val="center"/>
          </w:tcPr>
          <w:p>
            <w:pPr>
              <w:spacing w:line="480" w:lineRule="auto"/>
              <w:jc w:val="center"/>
              <w:rPr>
                <w:rFonts w:hint="eastAsia" w:ascii="仿宋_GB2312" w:hAnsi="仿宋_GB2312" w:eastAsia="仿宋_GB2312" w:cs="仿宋_GB2312"/>
                <w:sz w:val="24"/>
                <w:highlight w:val="none"/>
              </w:rPr>
            </w:pPr>
          </w:p>
        </w:tc>
        <w:tc>
          <w:tcPr>
            <w:tcW w:w="1190" w:type="dxa"/>
          </w:tcPr>
          <w:p>
            <w:pPr>
              <w:spacing w:line="480" w:lineRule="auto"/>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10" w:type="dxa"/>
            <w:vAlign w:val="center"/>
          </w:tcPr>
          <w:p>
            <w:pPr>
              <w:spacing w:line="480" w:lineRule="auto"/>
              <w:jc w:val="center"/>
              <w:rPr>
                <w:rFonts w:hint="eastAsia" w:ascii="仿宋_GB2312" w:hAnsi="仿宋_GB2312" w:eastAsia="仿宋_GB2312" w:cs="仿宋_GB2312"/>
                <w:sz w:val="24"/>
                <w:highlight w:val="none"/>
              </w:rPr>
            </w:pPr>
          </w:p>
        </w:tc>
        <w:tc>
          <w:tcPr>
            <w:tcW w:w="1113" w:type="dxa"/>
            <w:vAlign w:val="center"/>
          </w:tcPr>
          <w:p>
            <w:pPr>
              <w:spacing w:line="480" w:lineRule="auto"/>
              <w:jc w:val="center"/>
              <w:rPr>
                <w:rFonts w:hint="eastAsia" w:ascii="仿宋_GB2312" w:hAnsi="仿宋_GB2312" w:eastAsia="仿宋_GB2312" w:cs="仿宋_GB2312"/>
                <w:sz w:val="24"/>
                <w:highlight w:val="none"/>
              </w:rPr>
            </w:pPr>
          </w:p>
        </w:tc>
        <w:tc>
          <w:tcPr>
            <w:tcW w:w="1096" w:type="dxa"/>
            <w:vAlign w:val="center"/>
          </w:tcPr>
          <w:p>
            <w:pPr>
              <w:spacing w:line="480" w:lineRule="auto"/>
              <w:jc w:val="center"/>
              <w:rPr>
                <w:rFonts w:hint="eastAsia" w:ascii="仿宋_GB2312" w:hAnsi="仿宋_GB2312" w:eastAsia="仿宋_GB2312" w:cs="仿宋_GB2312"/>
                <w:sz w:val="24"/>
                <w:highlight w:val="none"/>
              </w:rPr>
            </w:pPr>
          </w:p>
        </w:tc>
        <w:tc>
          <w:tcPr>
            <w:tcW w:w="2006" w:type="dxa"/>
            <w:vAlign w:val="center"/>
          </w:tcPr>
          <w:p>
            <w:pPr>
              <w:pStyle w:val="16"/>
              <w:tabs>
                <w:tab w:val="right" w:leader="dot" w:pos="8302"/>
              </w:tabs>
              <w:spacing w:line="480" w:lineRule="auto"/>
              <w:ind w:right="210"/>
              <w:jc w:val="center"/>
              <w:rPr>
                <w:rFonts w:hint="eastAsia" w:ascii="仿宋_GB2312" w:hAnsi="仿宋_GB2312" w:eastAsia="仿宋_GB2312" w:cs="仿宋_GB2312"/>
                <w:sz w:val="24"/>
                <w:highlight w:val="none"/>
              </w:rPr>
            </w:pPr>
          </w:p>
        </w:tc>
        <w:tc>
          <w:tcPr>
            <w:tcW w:w="1415" w:type="dxa"/>
          </w:tcPr>
          <w:p>
            <w:pPr>
              <w:spacing w:line="480" w:lineRule="auto"/>
              <w:jc w:val="center"/>
              <w:rPr>
                <w:rFonts w:hint="eastAsia" w:ascii="仿宋_GB2312" w:hAnsi="仿宋_GB2312" w:eastAsia="仿宋_GB2312" w:cs="仿宋_GB2312"/>
                <w:sz w:val="24"/>
                <w:highlight w:val="none"/>
              </w:rPr>
            </w:pPr>
          </w:p>
        </w:tc>
        <w:tc>
          <w:tcPr>
            <w:tcW w:w="992" w:type="dxa"/>
            <w:vAlign w:val="center"/>
          </w:tcPr>
          <w:p>
            <w:pPr>
              <w:spacing w:line="480" w:lineRule="auto"/>
              <w:jc w:val="center"/>
              <w:rPr>
                <w:rFonts w:hint="eastAsia" w:ascii="仿宋_GB2312" w:hAnsi="仿宋_GB2312" w:eastAsia="仿宋_GB2312" w:cs="仿宋_GB2312"/>
                <w:sz w:val="24"/>
                <w:highlight w:val="none"/>
              </w:rPr>
            </w:pPr>
          </w:p>
        </w:tc>
        <w:tc>
          <w:tcPr>
            <w:tcW w:w="1190" w:type="dxa"/>
          </w:tcPr>
          <w:p>
            <w:pPr>
              <w:spacing w:line="480" w:lineRule="auto"/>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10" w:type="dxa"/>
            <w:vAlign w:val="center"/>
          </w:tcPr>
          <w:p>
            <w:pPr>
              <w:spacing w:line="480" w:lineRule="auto"/>
              <w:jc w:val="center"/>
              <w:rPr>
                <w:rFonts w:hint="eastAsia" w:ascii="仿宋_GB2312" w:hAnsi="仿宋_GB2312" w:eastAsia="仿宋_GB2312" w:cs="仿宋_GB2312"/>
                <w:sz w:val="24"/>
                <w:highlight w:val="none"/>
              </w:rPr>
            </w:pPr>
          </w:p>
        </w:tc>
        <w:tc>
          <w:tcPr>
            <w:tcW w:w="1113" w:type="dxa"/>
            <w:vAlign w:val="center"/>
          </w:tcPr>
          <w:p>
            <w:pPr>
              <w:spacing w:line="480" w:lineRule="auto"/>
              <w:jc w:val="center"/>
              <w:rPr>
                <w:rFonts w:hint="eastAsia" w:ascii="仿宋_GB2312" w:hAnsi="仿宋_GB2312" w:eastAsia="仿宋_GB2312" w:cs="仿宋_GB2312"/>
                <w:sz w:val="24"/>
                <w:highlight w:val="none"/>
              </w:rPr>
            </w:pPr>
          </w:p>
        </w:tc>
        <w:tc>
          <w:tcPr>
            <w:tcW w:w="1096" w:type="dxa"/>
            <w:vAlign w:val="center"/>
          </w:tcPr>
          <w:p>
            <w:pPr>
              <w:spacing w:line="480" w:lineRule="auto"/>
              <w:jc w:val="center"/>
              <w:rPr>
                <w:rFonts w:hint="eastAsia" w:ascii="仿宋_GB2312" w:hAnsi="仿宋_GB2312" w:eastAsia="仿宋_GB2312" w:cs="仿宋_GB2312"/>
                <w:sz w:val="24"/>
                <w:highlight w:val="none"/>
              </w:rPr>
            </w:pPr>
          </w:p>
        </w:tc>
        <w:tc>
          <w:tcPr>
            <w:tcW w:w="2006" w:type="dxa"/>
            <w:vAlign w:val="center"/>
          </w:tcPr>
          <w:p>
            <w:pPr>
              <w:pStyle w:val="16"/>
              <w:tabs>
                <w:tab w:val="right" w:leader="dot" w:pos="8302"/>
              </w:tabs>
              <w:spacing w:line="480" w:lineRule="auto"/>
              <w:ind w:right="210"/>
              <w:jc w:val="center"/>
              <w:rPr>
                <w:rFonts w:hint="eastAsia" w:ascii="仿宋_GB2312" w:hAnsi="仿宋_GB2312" w:eastAsia="仿宋_GB2312" w:cs="仿宋_GB2312"/>
                <w:sz w:val="24"/>
                <w:highlight w:val="none"/>
              </w:rPr>
            </w:pPr>
          </w:p>
        </w:tc>
        <w:tc>
          <w:tcPr>
            <w:tcW w:w="1415" w:type="dxa"/>
          </w:tcPr>
          <w:p>
            <w:pPr>
              <w:spacing w:line="480" w:lineRule="auto"/>
              <w:jc w:val="center"/>
              <w:rPr>
                <w:rFonts w:hint="eastAsia" w:ascii="仿宋_GB2312" w:hAnsi="仿宋_GB2312" w:eastAsia="仿宋_GB2312" w:cs="仿宋_GB2312"/>
                <w:sz w:val="24"/>
                <w:highlight w:val="none"/>
              </w:rPr>
            </w:pPr>
          </w:p>
        </w:tc>
        <w:tc>
          <w:tcPr>
            <w:tcW w:w="992" w:type="dxa"/>
            <w:vAlign w:val="center"/>
          </w:tcPr>
          <w:p>
            <w:pPr>
              <w:spacing w:line="480" w:lineRule="auto"/>
              <w:jc w:val="center"/>
              <w:rPr>
                <w:rFonts w:hint="eastAsia" w:ascii="仿宋_GB2312" w:hAnsi="仿宋_GB2312" w:eastAsia="仿宋_GB2312" w:cs="仿宋_GB2312"/>
                <w:sz w:val="24"/>
                <w:highlight w:val="none"/>
              </w:rPr>
            </w:pPr>
          </w:p>
        </w:tc>
        <w:tc>
          <w:tcPr>
            <w:tcW w:w="1190" w:type="dxa"/>
          </w:tcPr>
          <w:p>
            <w:pPr>
              <w:spacing w:line="480" w:lineRule="auto"/>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10" w:type="dxa"/>
            <w:vAlign w:val="center"/>
          </w:tcPr>
          <w:p>
            <w:pPr>
              <w:spacing w:line="480" w:lineRule="auto"/>
              <w:jc w:val="center"/>
              <w:rPr>
                <w:rFonts w:hint="eastAsia" w:ascii="仿宋_GB2312" w:hAnsi="仿宋_GB2312" w:eastAsia="仿宋_GB2312" w:cs="仿宋_GB2312"/>
                <w:sz w:val="24"/>
                <w:highlight w:val="none"/>
              </w:rPr>
            </w:pPr>
          </w:p>
        </w:tc>
        <w:tc>
          <w:tcPr>
            <w:tcW w:w="1113" w:type="dxa"/>
            <w:vAlign w:val="center"/>
          </w:tcPr>
          <w:p>
            <w:pPr>
              <w:spacing w:line="480" w:lineRule="auto"/>
              <w:jc w:val="center"/>
              <w:rPr>
                <w:rFonts w:hint="eastAsia" w:ascii="仿宋_GB2312" w:hAnsi="仿宋_GB2312" w:eastAsia="仿宋_GB2312" w:cs="仿宋_GB2312"/>
                <w:sz w:val="24"/>
                <w:highlight w:val="none"/>
              </w:rPr>
            </w:pPr>
          </w:p>
        </w:tc>
        <w:tc>
          <w:tcPr>
            <w:tcW w:w="1096" w:type="dxa"/>
            <w:vAlign w:val="center"/>
          </w:tcPr>
          <w:p>
            <w:pPr>
              <w:spacing w:line="480" w:lineRule="auto"/>
              <w:jc w:val="center"/>
              <w:rPr>
                <w:rFonts w:hint="eastAsia" w:ascii="仿宋_GB2312" w:hAnsi="仿宋_GB2312" w:eastAsia="仿宋_GB2312" w:cs="仿宋_GB2312"/>
                <w:sz w:val="24"/>
                <w:highlight w:val="none"/>
              </w:rPr>
            </w:pPr>
          </w:p>
        </w:tc>
        <w:tc>
          <w:tcPr>
            <w:tcW w:w="2006" w:type="dxa"/>
            <w:vAlign w:val="center"/>
          </w:tcPr>
          <w:p>
            <w:pPr>
              <w:spacing w:line="480" w:lineRule="auto"/>
              <w:jc w:val="center"/>
              <w:rPr>
                <w:rFonts w:hint="eastAsia" w:ascii="仿宋_GB2312" w:hAnsi="仿宋_GB2312" w:eastAsia="仿宋_GB2312" w:cs="仿宋_GB2312"/>
                <w:sz w:val="24"/>
                <w:highlight w:val="none"/>
              </w:rPr>
            </w:pPr>
          </w:p>
        </w:tc>
        <w:tc>
          <w:tcPr>
            <w:tcW w:w="1415" w:type="dxa"/>
          </w:tcPr>
          <w:p>
            <w:pPr>
              <w:spacing w:line="480" w:lineRule="auto"/>
              <w:jc w:val="center"/>
              <w:rPr>
                <w:rFonts w:hint="eastAsia" w:ascii="仿宋_GB2312" w:hAnsi="仿宋_GB2312" w:eastAsia="仿宋_GB2312" w:cs="仿宋_GB2312"/>
                <w:sz w:val="24"/>
                <w:highlight w:val="none"/>
              </w:rPr>
            </w:pPr>
          </w:p>
        </w:tc>
        <w:tc>
          <w:tcPr>
            <w:tcW w:w="992" w:type="dxa"/>
            <w:vAlign w:val="center"/>
          </w:tcPr>
          <w:p>
            <w:pPr>
              <w:spacing w:line="480" w:lineRule="auto"/>
              <w:jc w:val="center"/>
              <w:rPr>
                <w:rFonts w:hint="eastAsia" w:ascii="仿宋_GB2312" w:hAnsi="仿宋_GB2312" w:eastAsia="仿宋_GB2312" w:cs="仿宋_GB2312"/>
                <w:sz w:val="24"/>
                <w:highlight w:val="none"/>
              </w:rPr>
            </w:pPr>
          </w:p>
        </w:tc>
        <w:tc>
          <w:tcPr>
            <w:tcW w:w="1190" w:type="dxa"/>
          </w:tcPr>
          <w:p>
            <w:pPr>
              <w:spacing w:line="480" w:lineRule="auto"/>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10" w:type="dxa"/>
            <w:vAlign w:val="center"/>
          </w:tcPr>
          <w:p>
            <w:pPr>
              <w:spacing w:line="480" w:lineRule="auto"/>
              <w:jc w:val="center"/>
              <w:rPr>
                <w:rFonts w:hint="eastAsia" w:ascii="仿宋_GB2312" w:hAnsi="仿宋_GB2312" w:eastAsia="仿宋_GB2312" w:cs="仿宋_GB2312"/>
                <w:sz w:val="24"/>
                <w:highlight w:val="none"/>
              </w:rPr>
            </w:pPr>
          </w:p>
        </w:tc>
        <w:tc>
          <w:tcPr>
            <w:tcW w:w="1113" w:type="dxa"/>
            <w:vAlign w:val="center"/>
          </w:tcPr>
          <w:p>
            <w:pPr>
              <w:spacing w:line="480" w:lineRule="auto"/>
              <w:jc w:val="center"/>
              <w:rPr>
                <w:rFonts w:hint="eastAsia" w:ascii="仿宋_GB2312" w:hAnsi="仿宋_GB2312" w:eastAsia="仿宋_GB2312" w:cs="仿宋_GB2312"/>
                <w:sz w:val="24"/>
                <w:highlight w:val="none"/>
              </w:rPr>
            </w:pPr>
          </w:p>
        </w:tc>
        <w:tc>
          <w:tcPr>
            <w:tcW w:w="1096" w:type="dxa"/>
            <w:vAlign w:val="center"/>
          </w:tcPr>
          <w:p>
            <w:pPr>
              <w:spacing w:line="480" w:lineRule="auto"/>
              <w:jc w:val="center"/>
              <w:rPr>
                <w:rFonts w:hint="eastAsia" w:ascii="仿宋_GB2312" w:hAnsi="仿宋_GB2312" w:eastAsia="仿宋_GB2312" w:cs="仿宋_GB2312"/>
                <w:sz w:val="24"/>
                <w:highlight w:val="none"/>
              </w:rPr>
            </w:pPr>
          </w:p>
        </w:tc>
        <w:tc>
          <w:tcPr>
            <w:tcW w:w="2006" w:type="dxa"/>
            <w:vAlign w:val="center"/>
          </w:tcPr>
          <w:p>
            <w:pPr>
              <w:spacing w:line="480" w:lineRule="auto"/>
              <w:jc w:val="center"/>
              <w:rPr>
                <w:rFonts w:hint="eastAsia" w:ascii="仿宋_GB2312" w:hAnsi="仿宋_GB2312" w:eastAsia="仿宋_GB2312" w:cs="仿宋_GB2312"/>
                <w:sz w:val="24"/>
                <w:highlight w:val="none"/>
              </w:rPr>
            </w:pPr>
          </w:p>
        </w:tc>
        <w:tc>
          <w:tcPr>
            <w:tcW w:w="1415" w:type="dxa"/>
          </w:tcPr>
          <w:p>
            <w:pPr>
              <w:spacing w:line="480" w:lineRule="auto"/>
              <w:jc w:val="center"/>
              <w:rPr>
                <w:rFonts w:hint="eastAsia" w:ascii="仿宋_GB2312" w:hAnsi="仿宋_GB2312" w:eastAsia="仿宋_GB2312" w:cs="仿宋_GB2312"/>
                <w:sz w:val="24"/>
                <w:highlight w:val="none"/>
              </w:rPr>
            </w:pPr>
          </w:p>
        </w:tc>
        <w:tc>
          <w:tcPr>
            <w:tcW w:w="992" w:type="dxa"/>
            <w:vAlign w:val="center"/>
          </w:tcPr>
          <w:p>
            <w:pPr>
              <w:spacing w:line="480" w:lineRule="auto"/>
              <w:jc w:val="center"/>
              <w:rPr>
                <w:rFonts w:hint="eastAsia" w:ascii="仿宋_GB2312" w:hAnsi="仿宋_GB2312" w:eastAsia="仿宋_GB2312" w:cs="仿宋_GB2312"/>
                <w:sz w:val="24"/>
                <w:highlight w:val="none"/>
              </w:rPr>
            </w:pPr>
          </w:p>
        </w:tc>
        <w:tc>
          <w:tcPr>
            <w:tcW w:w="1190" w:type="dxa"/>
          </w:tcPr>
          <w:p>
            <w:pPr>
              <w:spacing w:line="480" w:lineRule="auto"/>
              <w:jc w:val="center"/>
              <w:rPr>
                <w:rFonts w:hint="eastAsia" w:ascii="仿宋_GB2312" w:hAnsi="仿宋_GB2312" w:eastAsia="仿宋_GB2312" w:cs="仿宋_GB2312"/>
                <w:sz w:val="24"/>
                <w:highlight w:val="none"/>
              </w:rPr>
            </w:pPr>
          </w:p>
        </w:tc>
      </w:tr>
    </w:tbl>
    <w:p>
      <w:pPr>
        <w:rPr>
          <w:rFonts w:hint="eastAsia" w:ascii="仿宋_GB2312" w:hAnsi="仿宋_GB2312" w:eastAsia="仿宋_GB2312" w:cs="仿宋_GB2312"/>
          <w:highlight w:val="none"/>
        </w:rPr>
      </w:pPr>
    </w:p>
    <w:p>
      <w:pPr>
        <w:rPr>
          <w:rFonts w:hint="eastAsia" w:ascii="仿宋_GB2312" w:hAnsi="仿宋_GB2312" w:eastAsia="仿宋_GB2312" w:cs="仿宋_GB2312"/>
          <w:highlight w:val="none"/>
        </w:rPr>
      </w:pPr>
    </w:p>
    <w:p>
      <w:pPr>
        <w:rPr>
          <w:rFonts w:hint="eastAsia" w:ascii="仿宋_GB2312" w:hAnsi="仿宋_GB2312" w:eastAsia="仿宋_GB2312" w:cs="仿宋_GB2312"/>
          <w:highlight w:val="none"/>
        </w:rPr>
      </w:pPr>
    </w:p>
    <w:p>
      <w:pPr>
        <w:rPr>
          <w:rFonts w:hint="eastAsia" w:ascii="仿宋_GB2312" w:hAnsi="仿宋_GB2312" w:eastAsia="仿宋_GB2312" w:cs="仿宋_GB2312"/>
          <w:highlight w:val="none"/>
        </w:rPr>
      </w:pPr>
    </w:p>
    <w:p>
      <w:pPr>
        <w:spacing w:line="60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供应商名称（加盖公章）：</w:t>
      </w:r>
    </w:p>
    <w:p>
      <w:pPr>
        <w:spacing w:line="60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供应商法定代表人或受委托人（签名或盖私章）：</w:t>
      </w:r>
    </w:p>
    <w:p>
      <w:pPr>
        <w:spacing w:line="60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日      期：</w:t>
      </w:r>
    </w:p>
    <w:p>
      <w:pPr>
        <w:rPr>
          <w:rFonts w:hint="eastAsia" w:ascii="仿宋_GB2312" w:hAnsi="仿宋_GB2312" w:eastAsia="仿宋_GB2312" w:cs="仿宋_GB2312"/>
          <w:highlight w:val="none"/>
        </w:rPr>
      </w:pP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br w:type="page"/>
      </w:r>
    </w:p>
    <w:p>
      <w:pPr>
        <w:spacing w:line="360" w:lineRule="auto"/>
        <w:jc w:val="center"/>
        <w:outlineLvl w:val="2"/>
        <w:rPr>
          <w:rFonts w:hint="eastAsia" w:ascii="仿宋_GB2312" w:hAnsi="仿宋_GB2312" w:eastAsia="仿宋_GB2312" w:cs="仿宋_GB2312"/>
          <w:b/>
          <w:sz w:val="28"/>
          <w:szCs w:val="28"/>
          <w:highlight w:val="none"/>
        </w:rPr>
      </w:pPr>
      <w:bookmarkStart w:id="229" w:name="_Toc20083"/>
      <w:bookmarkStart w:id="230" w:name="_Toc26235"/>
      <w:r>
        <w:rPr>
          <w:rFonts w:hint="eastAsia" w:ascii="仿宋_GB2312" w:hAnsi="仿宋_GB2312" w:eastAsia="仿宋_GB2312" w:cs="仿宋_GB2312"/>
          <w:b/>
          <w:sz w:val="28"/>
          <w:szCs w:val="28"/>
          <w:highlight w:val="none"/>
        </w:rPr>
        <w:t>3.一般条款响应情况表</w:t>
      </w:r>
      <w:bookmarkEnd w:id="229"/>
      <w:bookmarkEnd w:id="230"/>
    </w:p>
    <w:tbl>
      <w:tblPr>
        <w:tblStyle w:val="23"/>
        <w:tblW w:w="87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30"/>
        <w:gridCol w:w="4397"/>
        <w:gridCol w:w="710"/>
        <w:gridCol w:w="1564"/>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765" w:hRule="atLeast"/>
          <w:jc w:val="center"/>
        </w:trPr>
        <w:tc>
          <w:tcPr>
            <w:tcW w:w="530"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序号</w:t>
            </w:r>
          </w:p>
        </w:tc>
        <w:tc>
          <w:tcPr>
            <w:tcW w:w="4397"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条款要求</w:t>
            </w:r>
          </w:p>
        </w:tc>
        <w:tc>
          <w:tcPr>
            <w:tcW w:w="710"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是否响应</w:t>
            </w:r>
          </w:p>
        </w:tc>
        <w:tc>
          <w:tcPr>
            <w:tcW w:w="1564"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偏离情况</w:t>
            </w:r>
          </w:p>
        </w:tc>
        <w:tc>
          <w:tcPr>
            <w:tcW w:w="1561"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w:t>
            </w:r>
          </w:p>
        </w:tc>
        <w:tc>
          <w:tcPr>
            <w:tcW w:w="4397"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710" w:type="dxa"/>
            <w:vAlign w:val="center"/>
          </w:tcPr>
          <w:p>
            <w:pPr>
              <w:pStyle w:val="65"/>
              <w:keepNext w:val="0"/>
              <w:snapToGrid w:val="0"/>
              <w:spacing w:before="0" w:after="0" w:line="560" w:lineRule="exact"/>
              <w:textAlignment w:val="auto"/>
              <w:rPr>
                <w:rFonts w:hint="eastAsia" w:ascii="仿宋_GB2312" w:hAnsi="仿宋_GB2312" w:eastAsia="仿宋_GB2312" w:cs="仿宋_GB2312"/>
                <w:snapToGrid/>
                <w:spacing w:val="0"/>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w:t>
            </w:r>
          </w:p>
        </w:tc>
        <w:tc>
          <w:tcPr>
            <w:tcW w:w="4397"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710" w:type="dxa"/>
            <w:vAlign w:val="center"/>
          </w:tcPr>
          <w:p>
            <w:pPr>
              <w:pStyle w:val="65"/>
              <w:keepNext w:val="0"/>
              <w:snapToGrid w:val="0"/>
              <w:spacing w:before="0" w:after="0" w:line="560" w:lineRule="exact"/>
              <w:textAlignment w:val="auto"/>
              <w:rPr>
                <w:rFonts w:hint="eastAsia" w:ascii="仿宋_GB2312" w:hAnsi="仿宋_GB2312" w:eastAsia="仿宋_GB2312" w:cs="仿宋_GB2312"/>
                <w:snapToGrid/>
                <w:spacing w:val="0"/>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w:t>
            </w:r>
          </w:p>
        </w:tc>
        <w:tc>
          <w:tcPr>
            <w:tcW w:w="4397"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71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w:t>
            </w:r>
          </w:p>
        </w:tc>
        <w:tc>
          <w:tcPr>
            <w:tcW w:w="4397"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71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w:t>
            </w:r>
          </w:p>
        </w:tc>
        <w:tc>
          <w:tcPr>
            <w:tcW w:w="4397" w:type="dxa"/>
            <w:vAlign w:val="center"/>
          </w:tcPr>
          <w:p>
            <w:pPr>
              <w:adjustRightInd w:val="0"/>
              <w:snapToGrid w:val="0"/>
              <w:spacing w:line="560" w:lineRule="exact"/>
              <w:rPr>
                <w:rFonts w:hint="eastAsia" w:ascii="仿宋_GB2312" w:hAnsi="仿宋_GB2312" w:eastAsia="仿宋_GB2312" w:cs="仿宋_GB2312"/>
                <w:i/>
                <w:iCs/>
                <w:sz w:val="24"/>
                <w:highlight w:val="none"/>
              </w:rPr>
            </w:pPr>
          </w:p>
        </w:tc>
        <w:tc>
          <w:tcPr>
            <w:tcW w:w="71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6</w:t>
            </w:r>
          </w:p>
        </w:tc>
        <w:tc>
          <w:tcPr>
            <w:tcW w:w="4397"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71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3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w:t>
            </w:r>
          </w:p>
        </w:tc>
        <w:tc>
          <w:tcPr>
            <w:tcW w:w="4397"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71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64"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561"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bl>
    <w:p>
      <w:pPr>
        <w:snapToGrid w:val="0"/>
        <w:spacing w:line="560" w:lineRule="exact"/>
        <w:ind w:firstLine="480" w:firstLineChars="200"/>
        <w:rPr>
          <w:rFonts w:hint="eastAsia" w:ascii="仿宋_GB2312" w:hAnsi="仿宋_GB2312" w:eastAsia="仿宋_GB2312" w:cs="仿宋_GB2312"/>
          <w:sz w:val="24"/>
          <w:highlight w:val="none"/>
          <w:lang w:val="en-GB"/>
        </w:rPr>
      </w:pPr>
      <w:r>
        <w:rPr>
          <w:rFonts w:hint="eastAsia" w:ascii="仿宋_GB2312" w:hAnsi="仿宋_GB2312" w:eastAsia="仿宋_GB2312" w:cs="仿宋_GB2312"/>
          <w:sz w:val="24"/>
          <w:highlight w:val="none"/>
        </w:rPr>
        <w:t>注：1</w:t>
      </w:r>
      <w:r>
        <w:rPr>
          <w:rFonts w:hint="eastAsia" w:ascii="仿宋_GB2312" w:hAnsi="仿宋_GB2312" w:eastAsia="仿宋_GB2312" w:cs="仿宋_GB2312"/>
          <w:sz w:val="24"/>
          <w:highlight w:val="none"/>
          <w:lang w:val="en-GB"/>
        </w:rPr>
        <w:t>.</w:t>
      </w:r>
      <w:r>
        <w:rPr>
          <w:rFonts w:hint="eastAsia" w:ascii="仿宋_GB2312" w:hAnsi="仿宋_GB2312" w:eastAsia="仿宋_GB2312" w:cs="仿宋_GB2312"/>
          <w:sz w:val="24"/>
          <w:highlight w:val="none"/>
        </w:rPr>
        <w:t>供应商应按照磋商文件第二章《用户需求书》中的</w:t>
      </w:r>
      <w:r>
        <w:rPr>
          <w:rFonts w:hint="eastAsia" w:ascii="仿宋_GB2312" w:hAnsi="仿宋_GB2312" w:eastAsia="仿宋_GB2312" w:cs="仿宋_GB2312"/>
          <w:b/>
          <w:bCs/>
          <w:sz w:val="24"/>
          <w:highlight w:val="none"/>
          <w:u w:val="single"/>
        </w:rPr>
        <w:t>未</w:t>
      </w:r>
      <w:r>
        <w:rPr>
          <w:rFonts w:hint="eastAsia" w:ascii="仿宋_GB2312" w:hAnsi="仿宋_GB2312" w:eastAsia="仿宋_GB2312" w:cs="仿宋_GB2312"/>
          <w:sz w:val="24"/>
          <w:highlight w:val="none"/>
        </w:rPr>
        <w:t>标记</w:t>
      </w:r>
      <w:r>
        <w:rPr>
          <w:rFonts w:hint="eastAsia" w:ascii="仿宋_GB2312" w:hAnsi="仿宋_GB2312" w:eastAsia="仿宋_GB2312" w:cs="仿宋_GB2312"/>
          <w:sz w:val="24"/>
          <w:highlight w:val="none"/>
          <w:lang w:val="en-GB"/>
        </w:rPr>
        <w:t>“★”</w:t>
      </w:r>
      <w:r>
        <w:rPr>
          <w:rFonts w:hint="eastAsia" w:ascii="仿宋_GB2312" w:hAnsi="仿宋_GB2312" w:eastAsia="仿宋_GB2312" w:cs="仿宋_GB2312"/>
          <w:sz w:val="24"/>
          <w:highlight w:val="none"/>
        </w:rPr>
        <w:t>和“</w:t>
      </w:r>
      <w:r>
        <w:rPr>
          <w:rFonts w:hint="eastAsia" w:ascii="仿宋_GB2312" w:hAnsi="仿宋_GB2312" w:eastAsia="仿宋_GB2312" w:cs="仿宋_GB2312"/>
          <w:b/>
          <w:bCs/>
          <w:kern w:val="0"/>
          <w:sz w:val="24"/>
          <w:highlight w:val="none"/>
        </w:rPr>
        <w:t>▲</w:t>
      </w:r>
      <w:r>
        <w:rPr>
          <w:rFonts w:hint="eastAsia" w:ascii="仿宋_GB2312" w:hAnsi="仿宋_GB2312" w:eastAsia="仿宋_GB2312" w:cs="仿宋_GB2312"/>
          <w:sz w:val="24"/>
          <w:highlight w:val="none"/>
        </w:rPr>
        <w:t>”项的内容条款进行响应。</w:t>
      </w:r>
      <w:r>
        <w:rPr>
          <w:rFonts w:hint="eastAsia" w:ascii="仿宋_GB2312" w:hAnsi="仿宋_GB2312" w:eastAsia="仿宋_GB2312" w:cs="仿宋_GB2312"/>
          <w:sz w:val="24"/>
          <w:highlight w:val="none"/>
          <w:lang w:val="en-GB"/>
        </w:rPr>
        <w:t>如供应商完全响应</w:t>
      </w:r>
      <w:r>
        <w:rPr>
          <w:rFonts w:hint="eastAsia" w:ascii="仿宋_GB2312" w:hAnsi="仿宋_GB2312" w:eastAsia="仿宋_GB2312" w:cs="仿宋_GB2312"/>
          <w:sz w:val="24"/>
          <w:highlight w:val="none"/>
        </w:rPr>
        <w:t>或优于合同要求的</w:t>
      </w:r>
      <w:r>
        <w:rPr>
          <w:rFonts w:hint="eastAsia" w:ascii="仿宋_GB2312" w:hAnsi="仿宋_GB2312" w:eastAsia="仿宋_GB2312" w:cs="仿宋_GB2312"/>
          <w:sz w:val="24"/>
          <w:highlight w:val="none"/>
          <w:lang w:val="en-GB"/>
        </w:rPr>
        <w:t>，则请在“是否响应”栏内打“√”。</w:t>
      </w:r>
      <w:r>
        <w:rPr>
          <w:rFonts w:hint="eastAsia" w:ascii="仿宋_GB2312" w:hAnsi="仿宋_GB2312" w:eastAsia="仿宋_GB2312" w:cs="仿宋_GB2312"/>
          <w:sz w:val="24"/>
          <w:highlight w:val="none"/>
        </w:rPr>
        <w:t>如</w:t>
      </w:r>
      <w:r>
        <w:rPr>
          <w:rFonts w:hint="eastAsia" w:ascii="仿宋_GB2312" w:hAnsi="仿宋_GB2312" w:eastAsia="仿宋_GB2312" w:cs="仿宋_GB2312"/>
          <w:sz w:val="24"/>
          <w:highlight w:val="none"/>
          <w:lang w:val="en-GB"/>
        </w:rPr>
        <w:t>打“×”视为</w:t>
      </w:r>
      <w:r>
        <w:rPr>
          <w:rFonts w:hint="eastAsia" w:ascii="仿宋_GB2312" w:hAnsi="仿宋_GB2312" w:eastAsia="仿宋_GB2312" w:cs="仿宋_GB2312"/>
          <w:sz w:val="24"/>
          <w:highlight w:val="none"/>
        </w:rPr>
        <w:t>负</w:t>
      </w:r>
      <w:r>
        <w:rPr>
          <w:rFonts w:hint="eastAsia" w:ascii="仿宋_GB2312" w:hAnsi="仿宋_GB2312" w:eastAsia="仿宋_GB2312" w:cs="仿宋_GB2312"/>
          <w:sz w:val="24"/>
          <w:highlight w:val="none"/>
          <w:lang w:val="en-GB"/>
        </w:rPr>
        <w:t>偏离。</w:t>
      </w:r>
      <w:r>
        <w:rPr>
          <w:rFonts w:hint="eastAsia" w:ascii="仿宋_GB2312" w:hAnsi="仿宋_GB2312" w:eastAsia="仿宋_GB2312" w:cs="仿宋_GB2312"/>
          <w:sz w:val="24"/>
          <w:highlight w:val="none"/>
        </w:rPr>
        <w:t>对于有偏离情况的，</w:t>
      </w:r>
      <w:r>
        <w:rPr>
          <w:rFonts w:hint="eastAsia" w:ascii="仿宋_GB2312" w:hAnsi="仿宋_GB2312" w:eastAsia="仿宋_GB2312" w:cs="仿宋_GB2312"/>
          <w:sz w:val="24"/>
          <w:highlight w:val="none"/>
          <w:lang w:val="en-GB"/>
        </w:rPr>
        <w:t>请在“偏离说明”栏内扼要说明偏离情况。</w:t>
      </w:r>
    </w:p>
    <w:p>
      <w:pPr>
        <w:snapToGrid w:val="0"/>
        <w:spacing w:line="560" w:lineRule="exact"/>
        <w:ind w:firstLine="480" w:firstLineChars="200"/>
        <w:rPr>
          <w:rFonts w:hint="eastAsia" w:ascii="仿宋_GB2312" w:hAnsi="仿宋_GB2312" w:eastAsia="仿宋_GB2312" w:cs="仿宋_GB2312"/>
          <w:sz w:val="24"/>
          <w:highlight w:val="none"/>
          <w:lang w:val="en-GB"/>
        </w:rPr>
      </w:pPr>
      <w:r>
        <w:rPr>
          <w:rFonts w:hint="eastAsia" w:ascii="仿宋_GB2312" w:hAnsi="仿宋_GB2312" w:eastAsia="仿宋_GB2312" w:cs="仿宋_GB2312"/>
          <w:sz w:val="24"/>
          <w:highlight w:val="none"/>
        </w:rPr>
        <w:t>2.</w:t>
      </w:r>
      <w:r>
        <w:rPr>
          <w:rFonts w:hint="eastAsia" w:ascii="仿宋_GB2312" w:hAnsi="仿宋_GB2312" w:eastAsia="仿宋_GB2312" w:cs="仿宋_GB2312"/>
          <w:sz w:val="24"/>
          <w:highlight w:val="none"/>
          <w:lang w:val="en-GB"/>
        </w:rPr>
        <w:t>“偏离</w:t>
      </w:r>
      <w:r>
        <w:rPr>
          <w:rFonts w:hint="eastAsia" w:ascii="仿宋_GB2312" w:hAnsi="仿宋_GB2312" w:eastAsia="仿宋_GB2312" w:cs="仿宋_GB2312"/>
          <w:sz w:val="24"/>
          <w:highlight w:val="none"/>
        </w:rPr>
        <w:t>情况</w:t>
      </w:r>
      <w:r>
        <w:rPr>
          <w:rFonts w:hint="eastAsia" w:ascii="仿宋_GB2312" w:hAnsi="仿宋_GB2312" w:eastAsia="仿宋_GB2312" w:cs="仿宋_GB2312"/>
          <w:sz w:val="24"/>
          <w:highlight w:val="none"/>
          <w:lang w:val="en-GB"/>
        </w:rPr>
        <w:t>”栏内</w:t>
      </w:r>
      <w:r>
        <w:rPr>
          <w:rFonts w:hint="eastAsia" w:ascii="仿宋_GB2312" w:hAnsi="仿宋_GB2312" w:eastAsia="仿宋_GB2312" w:cs="仿宋_GB2312"/>
          <w:sz w:val="24"/>
          <w:highlight w:val="none"/>
        </w:rPr>
        <w:t>根据实际响应情况填写“正偏离”或“负偏离”或“无偏离”</w:t>
      </w:r>
      <w:r>
        <w:rPr>
          <w:rFonts w:hint="eastAsia" w:ascii="仿宋_GB2312" w:hAnsi="仿宋_GB2312" w:eastAsia="仿宋_GB2312" w:cs="仿宋_GB2312"/>
          <w:sz w:val="24"/>
          <w:highlight w:val="none"/>
          <w:lang w:val="en-GB"/>
        </w:rPr>
        <w:t>。</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2.无论出于何种情况，供应商未填写上述表格的，视为完全响应《用户需求书》中的</w:t>
      </w:r>
      <w:r>
        <w:rPr>
          <w:rFonts w:hint="eastAsia" w:ascii="仿宋_GB2312" w:hAnsi="仿宋_GB2312" w:eastAsia="仿宋_GB2312" w:cs="仿宋_GB2312"/>
          <w:b/>
          <w:bCs/>
          <w:sz w:val="24"/>
          <w:highlight w:val="none"/>
          <w:u w:val="single"/>
        </w:rPr>
        <w:t>未</w:t>
      </w:r>
      <w:r>
        <w:rPr>
          <w:rFonts w:hint="eastAsia" w:ascii="仿宋_GB2312" w:hAnsi="仿宋_GB2312" w:eastAsia="仿宋_GB2312" w:cs="仿宋_GB2312"/>
          <w:sz w:val="24"/>
          <w:highlight w:val="none"/>
        </w:rPr>
        <w:t>标记</w:t>
      </w:r>
      <w:r>
        <w:rPr>
          <w:rFonts w:hint="eastAsia" w:ascii="仿宋_GB2312" w:hAnsi="仿宋_GB2312" w:eastAsia="仿宋_GB2312" w:cs="仿宋_GB2312"/>
          <w:sz w:val="24"/>
          <w:highlight w:val="none"/>
          <w:lang w:val="en-GB"/>
        </w:rPr>
        <w:t>“★”</w:t>
      </w:r>
      <w:r>
        <w:rPr>
          <w:rFonts w:hint="eastAsia" w:ascii="仿宋_GB2312" w:hAnsi="仿宋_GB2312" w:eastAsia="仿宋_GB2312" w:cs="仿宋_GB2312"/>
          <w:sz w:val="24"/>
          <w:highlight w:val="none"/>
        </w:rPr>
        <w:t>和“</w:t>
      </w:r>
      <w:r>
        <w:rPr>
          <w:rFonts w:hint="eastAsia" w:ascii="仿宋_GB2312" w:hAnsi="仿宋_GB2312" w:eastAsia="仿宋_GB2312" w:cs="仿宋_GB2312"/>
          <w:b/>
          <w:bCs/>
          <w:kern w:val="0"/>
          <w:sz w:val="24"/>
          <w:highlight w:val="none"/>
        </w:rPr>
        <w:t>▲</w:t>
      </w:r>
      <w:r>
        <w:rPr>
          <w:rFonts w:hint="eastAsia" w:ascii="仿宋_GB2312" w:hAnsi="仿宋_GB2312" w:eastAsia="仿宋_GB2312" w:cs="仿宋_GB2312"/>
          <w:sz w:val="24"/>
          <w:highlight w:val="none"/>
        </w:rPr>
        <w:t>”项条款的要求，中标后承担履行该条款的义务。</w:t>
      </w:r>
    </w:p>
    <w:p>
      <w:pPr>
        <w:spacing w:line="360" w:lineRule="auto"/>
        <w:jc w:val="left"/>
        <w:rPr>
          <w:rFonts w:hint="eastAsia" w:ascii="仿宋_GB2312" w:hAnsi="仿宋_GB2312" w:eastAsia="仿宋_GB2312" w:cs="仿宋_GB2312"/>
          <w:b/>
          <w:sz w:val="24"/>
          <w:highlight w:val="none"/>
        </w:rPr>
      </w:pPr>
    </w:p>
    <w:p>
      <w:pPr>
        <w:spacing w:line="60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供应商名称（加盖公章）：</w:t>
      </w:r>
    </w:p>
    <w:p>
      <w:pPr>
        <w:spacing w:line="60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供应商法定代表人或受委托人（签名或盖私章）：</w:t>
      </w:r>
    </w:p>
    <w:p>
      <w:pPr>
        <w:spacing w:line="60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日      期：</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br w:type="page"/>
      </w:r>
    </w:p>
    <w:p>
      <w:pPr>
        <w:spacing w:line="600" w:lineRule="exact"/>
        <w:jc w:val="center"/>
        <w:outlineLvl w:val="2"/>
        <w:rPr>
          <w:rFonts w:hint="eastAsia" w:ascii="仿宋_GB2312" w:hAnsi="仿宋_GB2312" w:eastAsia="仿宋_GB2312" w:cs="仿宋_GB2312"/>
          <w:b/>
          <w:bCs/>
          <w:sz w:val="28"/>
          <w:szCs w:val="28"/>
          <w:highlight w:val="none"/>
        </w:rPr>
      </w:pPr>
      <w:bookmarkStart w:id="231" w:name="_Toc11852"/>
      <w:r>
        <w:rPr>
          <w:rFonts w:hint="eastAsia" w:ascii="仿宋_GB2312" w:hAnsi="仿宋_GB2312" w:eastAsia="仿宋_GB2312" w:cs="仿宋_GB2312"/>
          <w:b/>
          <w:bCs/>
          <w:sz w:val="28"/>
          <w:szCs w:val="28"/>
          <w:highlight w:val="none"/>
        </w:rPr>
        <w:t>4.重要参数条款</w:t>
      </w:r>
      <w:r>
        <w:rPr>
          <w:rFonts w:hint="eastAsia" w:ascii="仿宋_GB2312" w:hAnsi="仿宋_GB2312" w:eastAsia="仿宋_GB2312" w:cs="仿宋_GB2312"/>
          <w:b/>
          <w:sz w:val="24"/>
          <w:highlight w:val="none"/>
        </w:rPr>
        <w:t>（“</w:t>
      </w:r>
      <w:r>
        <w:rPr>
          <w:rFonts w:hint="eastAsia" w:ascii="仿宋_GB2312" w:hAnsi="仿宋_GB2312" w:eastAsia="仿宋_GB2312" w:cs="仿宋_GB2312"/>
          <w:b/>
          <w:bCs/>
          <w:kern w:val="0"/>
          <w:sz w:val="24"/>
          <w:highlight w:val="none"/>
        </w:rPr>
        <w:t>▲</w:t>
      </w:r>
      <w:r>
        <w:rPr>
          <w:rFonts w:hint="eastAsia" w:ascii="仿宋_GB2312" w:hAnsi="仿宋_GB2312" w:eastAsia="仿宋_GB2312" w:cs="仿宋_GB2312"/>
          <w:b/>
          <w:sz w:val="24"/>
          <w:highlight w:val="none"/>
        </w:rPr>
        <w:t>”项）</w:t>
      </w:r>
      <w:r>
        <w:rPr>
          <w:rFonts w:hint="eastAsia" w:ascii="仿宋_GB2312" w:hAnsi="仿宋_GB2312" w:eastAsia="仿宋_GB2312" w:cs="仿宋_GB2312"/>
          <w:b/>
          <w:bCs/>
          <w:sz w:val="28"/>
          <w:szCs w:val="28"/>
          <w:highlight w:val="none"/>
        </w:rPr>
        <w:t>响应情况表</w:t>
      </w:r>
      <w:bookmarkEnd w:id="231"/>
    </w:p>
    <w:tbl>
      <w:tblPr>
        <w:tblStyle w:val="23"/>
        <w:tblW w:w="8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23"/>
        <w:gridCol w:w="4550"/>
        <w:gridCol w:w="1200"/>
        <w:gridCol w:w="124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765" w:hRule="atLeast"/>
          <w:jc w:val="center"/>
        </w:trPr>
        <w:tc>
          <w:tcPr>
            <w:tcW w:w="523"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序号</w:t>
            </w:r>
          </w:p>
        </w:tc>
        <w:tc>
          <w:tcPr>
            <w:tcW w:w="4550"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实质性条款要求</w:t>
            </w:r>
          </w:p>
        </w:tc>
        <w:tc>
          <w:tcPr>
            <w:tcW w:w="1200"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是否响应</w:t>
            </w:r>
          </w:p>
        </w:tc>
        <w:tc>
          <w:tcPr>
            <w:tcW w:w="1244"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偏离说明</w:t>
            </w:r>
          </w:p>
        </w:tc>
        <w:tc>
          <w:tcPr>
            <w:tcW w:w="1133" w:type="dxa"/>
            <w:shd w:val="clear" w:color="auto" w:fill="F3F3F3"/>
            <w:vAlign w:val="center"/>
          </w:tcPr>
          <w:p>
            <w:pPr>
              <w:adjustRightInd w:val="0"/>
              <w:snapToGrid w:val="0"/>
              <w:spacing w:line="56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23"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w:t>
            </w:r>
          </w:p>
        </w:tc>
        <w:tc>
          <w:tcPr>
            <w:tcW w:w="4550"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1200" w:type="dxa"/>
            <w:vAlign w:val="center"/>
          </w:tcPr>
          <w:p>
            <w:pPr>
              <w:pStyle w:val="65"/>
              <w:keepNext w:val="0"/>
              <w:snapToGrid w:val="0"/>
              <w:spacing w:before="0" w:after="0" w:line="560" w:lineRule="exact"/>
              <w:textAlignment w:val="auto"/>
              <w:rPr>
                <w:rFonts w:hint="eastAsia" w:ascii="仿宋_GB2312" w:hAnsi="仿宋_GB2312" w:eastAsia="仿宋_GB2312" w:cs="仿宋_GB2312"/>
                <w:snapToGrid/>
                <w:spacing w:val="0"/>
                <w:highlight w:val="none"/>
              </w:rPr>
            </w:pPr>
          </w:p>
        </w:tc>
        <w:tc>
          <w:tcPr>
            <w:tcW w:w="1244"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133"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23"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w:t>
            </w:r>
          </w:p>
        </w:tc>
        <w:tc>
          <w:tcPr>
            <w:tcW w:w="4550"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1200" w:type="dxa"/>
            <w:vAlign w:val="center"/>
          </w:tcPr>
          <w:p>
            <w:pPr>
              <w:pStyle w:val="65"/>
              <w:keepNext w:val="0"/>
              <w:snapToGrid w:val="0"/>
              <w:spacing w:before="0" w:after="0" w:line="560" w:lineRule="exact"/>
              <w:textAlignment w:val="auto"/>
              <w:rPr>
                <w:rFonts w:hint="eastAsia" w:ascii="仿宋_GB2312" w:hAnsi="仿宋_GB2312" w:eastAsia="仿宋_GB2312" w:cs="仿宋_GB2312"/>
                <w:snapToGrid/>
                <w:spacing w:val="0"/>
                <w:highlight w:val="none"/>
              </w:rPr>
            </w:pPr>
          </w:p>
        </w:tc>
        <w:tc>
          <w:tcPr>
            <w:tcW w:w="1244"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133"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23"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w:t>
            </w:r>
          </w:p>
        </w:tc>
        <w:tc>
          <w:tcPr>
            <w:tcW w:w="4550"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120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244"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133"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23"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w:t>
            </w:r>
          </w:p>
        </w:tc>
        <w:tc>
          <w:tcPr>
            <w:tcW w:w="4550"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120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244"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133"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23"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w:t>
            </w:r>
          </w:p>
        </w:tc>
        <w:tc>
          <w:tcPr>
            <w:tcW w:w="4550" w:type="dxa"/>
            <w:vAlign w:val="center"/>
          </w:tcPr>
          <w:p>
            <w:pPr>
              <w:adjustRightInd w:val="0"/>
              <w:snapToGrid w:val="0"/>
              <w:spacing w:line="560" w:lineRule="exact"/>
              <w:rPr>
                <w:rFonts w:hint="eastAsia" w:ascii="仿宋_GB2312" w:hAnsi="仿宋_GB2312" w:eastAsia="仿宋_GB2312" w:cs="仿宋_GB2312"/>
                <w:i/>
                <w:iCs/>
                <w:sz w:val="24"/>
                <w:highlight w:val="none"/>
              </w:rPr>
            </w:pPr>
          </w:p>
        </w:tc>
        <w:tc>
          <w:tcPr>
            <w:tcW w:w="120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244"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133"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3" w:hRule="atLeast"/>
          <w:jc w:val="center"/>
        </w:trPr>
        <w:tc>
          <w:tcPr>
            <w:tcW w:w="523"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w:t>
            </w:r>
          </w:p>
        </w:tc>
        <w:tc>
          <w:tcPr>
            <w:tcW w:w="4550" w:type="dxa"/>
            <w:vAlign w:val="center"/>
          </w:tcPr>
          <w:p>
            <w:pPr>
              <w:adjustRightInd w:val="0"/>
              <w:snapToGrid w:val="0"/>
              <w:spacing w:line="560" w:lineRule="exact"/>
              <w:rPr>
                <w:rFonts w:hint="eastAsia" w:ascii="仿宋_GB2312" w:hAnsi="仿宋_GB2312" w:eastAsia="仿宋_GB2312" w:cs="仿宋_GB2312"/>
                <w:sz w:val="24"/>
                <w:highlight w:val="none"/>
              </w:rPr>
            </w:pPr>
          </w:p>
        </w:tc>
        <w:tc>
          <w:tcPr>
            <w:tcW w:w="1200"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244"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c>
          <w:tcPr>
            <w:tcW w:w="1133" w:type="dxa"/>
            <w:vAlign w:val="center"/>
          </w:tcPr>
          <w:p>
            <w:pPr>
              <w:adjustRightInd w:val="0"/>
              <w:snapToGrid w:val="0"/>
              <w:spacing w:line="560" w:lineRule="exact"/>
              <w:jc w:val="center"/>
              <w:rPr>
                <w:rFonts w:hint="eastAsia" w:ascii="仿宋_GB2312" w:hAnsi="仿宋_GB2312" w:eastAsia="仿宋_GB2312" w:cs="仿宋_GB2312"/>
                <w:sz w:val="24"/>
                <w:highlight w:val="none"/>
              </w:rPr>
            </w:pPr>
          </w:p>
        </w:tc>
      </w:tr>
    </w:tbl>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GB"/>
        </w:rPr>
        <w:t>注：1.</w:t>
      </w:r>
      <w:r>
        <w:rPr>
          <w:rFonts w:hint="eastAsia" w:ascii="仿宋_GB2312" w:hAnsi="仿宋_GB2312" w:eastAsia="仿宋_GB2312" w:cs="仿宋_GB2312"/>
          <w:sz w:val="24"/>
          <w:highlight w:val="none"/>
        </w:rPr>
        <w:t>供应商应按照磋商文件第二章《用户需求书》中标记</w:t>
      </w:r>
      <w:r>
        <w:rPr>
          <w:rFonts w:hint="eastAsia" w:ascii="仿宋_GB2312" w:hAnsi="仿宋_GB2312" w:eastAsia="仿宋_GB2312" w:cs="仿宋_GB2312"/>
          <w:sz w:val="24"/>
          <w:highlight w:val="none"/>
          <w:lang w:val="en-GB"/>
        </w:rPr>
        <w:t>“</w:t>
      </w:r>
      <w:r>
        <w:rPr>
          <w:rFonts w:hint="eastAsia" w:ascii="仿宋_GB2312" w:hAnsi="仿宋_GB2312" w:eastAsia="仿宋_GB2312" w:cs="仿宋_GB2312"/>
          <w:b/>
          <w:bCs/>
          <w:kern w:val="0"/>
          <w:sz w:val="24"/>
          <w:highlight w:val="none"/>
        </w:rPr>
        <w:t>▲</w:t>
      </w:r>
      <w:r>
        <w:rPr>
          <w:rFonts w:hint="eastAsia" w:ascii="仿宋_GB2312" w:hAnsi="仿宋_GB2312" w:eastAsia="仿宋_GB2312" w:cs="仿宋_GB2312"/>
          <w:sz w:val="24"/>
          <w:highlight w:val="none"/>
          <w:lang w:val="en-GB"/>
        </w:rPr>
        <w:t>”</w:t>
      </w:r>
      <w:r>
        <w:rPr>
          <w:rFonts w:hint="eastAsia" w:ascii="仿宋_GB2312" w:hAnsi="仿宋_GB2312" w:eastAsia="仿宋_GB2312" w:cs="仿宋_GB2312"/>
          <w:sz w:val="24"/>
          <w:highlight w:val="none"/>
        </w:rPr>
        <w:t>的条款进行</w:t>
      </w:r>
      <w:r>
        <w:rPr>
          <w:rFonts w:hint="eastAsia" w:ascii="仿宋_GB2312" w:hAnsi="仿宋_GB2312" w:eastAsia="仿宋_GB2312" w:cs="仿宋_GB2312"/>
          <w:b/>
          <w:bCs/>
          <w:sz w:val="24"/>
          <w:highlight w:val="none"/>
          <w:u w:val="single"/>
        </w:rPr>
        <w:t>逐条</w:t>
      </w:r>
      <w:r>
        <w:rPr>
          <w:rFonts w:hint="eastAsia" w:ascii="仿宋_GB2312" w:hAnsi="仿宋_GB2312" w:eastAsia="仿宋_GB2312" w:cs="仿宋_GB2312"/>
          <w:sz w:val="24"/>
          <w:highlight w:val="none"/>
        </w:rPr>
        <w:t>响应，并按要求提供相关证明材料，否则视为负偏离。</w:t>
      </w:r>
    </w:p>
    <w:p>
      <w:pPr>
        <w:snapToGrid w:val="0"/>
        <w:spacing w:line="560" w:lineRule="exact"/>
        <w:ind w:firstLine="480" w:firstLineChars="200"/>
        <w:rPr>
          <w:rFonts w:hint="eastAsia" w:ascii="仿宋_GB2312" w:hAnsi="仿宋_GB2312" w:eastAsia="仿宋_GB2312" w:cs="仿宋_GB2312"/>
          <w:sz w:val="24"/>
          <w:highlight w:val="none"/>
          <w:lang w:val="en-GB"/>
        </w:rPr>
      </w:pPr>
      <w:r>
        <w:rPr>
          <w:rFonts w:hint="eastAsia" w:ascii="仿宋_GB2312" w:hAnsi="仿宋_GB2312" w:eastAsia="仿宋_GB2312" w:cs="仿宋_GB2312"/>
          <w:sz w:val="24"/>
          <w:highlight w:val="none"/>
        </w:rPr>
        <w:t>2.</w:t>
      </w:r>
      <w:r>
        <w:rPr>
          <w:rFonts w:hint="eastAsia" w:ascii="仿宋_GB2312" w:hAnsi="仿宋_GB2312" w:eastAsia="仿宋_GB2312" w:cs="仿宋_GB2312"/>
          <w:sz w:val="24"/>
          <w:highlight w:val="none"/>
          <w:lang w:val="en-GB"/>
        </w:rPr>
        <w:t>如供应商完全响应</w:t>
      </w:r>
      <w:r>
        <w:rPr>
          <w:rFonts w:hint="eastAsia" w:ascii="仿宋_GB2312" w:hAnsi="仿宋_GB2312" w:eastAsia="仿宋_GB2312" w:cs="仿宋_GB2312"/>
          <w:sz w:val="24"/>
          <w:highlight w:val="none"/>
        </w:rPr>
        <w:t>或优于用户需求的</w:t>
      </w:r>
      <w:r>
        <w:rPr>
          <w:rFonts w:hint="eastAsia" w:ascii="仿宋_GB2312" w:hAnsi="仿宋_GB2312" w:eastAsia="仿宋_GB2312" w:cs="仿宋_GB2312"/>
          <w:sz w:val="24"/>
          <w:highlight w:val="none"/>
          <w:lang w:val="en-GB"/>
        </w:rPr>
        <w:t>，则请在“是否响应”栏内打“√”，</w:t>
      </w:r>
      <w:r>
        <w:rPr>
          <w:rFonts w:hint="eastAsia" w:ascii="仿宋_GB2312" w:hAnsi="仿宋_GB2312" w:eastAsia="仿宋_GB2312" w:cs="仿宋_GB2312"/>
          <w:sz w:val="24"/>
          <w:highlight w:val="none"/>
        </w:rPr>
        <w:t>如漏填或空白</w:t>
      </w:r>
      <w:r>
        <w:rPr>
          <w:rFonts w:hint="eastAsia" w:ascii="仿宋_GB2312" w:hAnsi="仿宋_GB2312" w:eastAsia="仿宋_GB2312" w:cs="仿宋_GB2312"/>
          <w:sz w:val="24"/>
          <w:highlight w:val="none"/>
          <w:lang w:val="en-GB"/>
        </w:rPr>
        <w:t>或打“×”视为</w:t>
      </w:r>
      <w:r>
        <w:rPr>
          <w:rFonts w:hint="eastAsia" w:ascii="仿宋_GB2312" w:hAnsi="仿宋_GB2312" w:eastAsia="仿宋_GB2312" w:cs="仿宋_GB2312"/>
          <w:sz w:val="24"/>
          <w:highlight w:val="none"/>
        </w:rPr>
        <w:t>负</w:t>
      </w:r>
      <w:r>
        <w:rPr>
          <w:rFonts w:hint="eastAsia" w:ascii="仿宋_GB2312" w:hAnsi="仿宋_GB2312" w:eastAsia="仿宋_GB2312" w:cs="仿宋_GB2312"/>
          <w:sz w:val="24"/>
          <w:highlight w:val="none"/>
          <w:lang w:val="en-GB"/>
        </w:rPr>
        <w:t>偏离。</w:t>
      </w:r>
      <w:r>
        <w:rPr>
          <w:rFonts w:hint="eastAsia" w:ascii="仿宋_GB2312" w:hAnsi="仿宋_GB2312" w:eastAsia="仿宋_GB2312" w:cs="仿宋_GB2312"/>
          <w:sz w:val="24"/>
          <w:highlight w:val="none"/>
        </w:rPr>
        <w:t>对于有偏离情况的，</w:t>
      </w:r>
      <w:r>
        <w:rPr>
          <w:rFonts w:hint="eastAsia" w:ascii="仿宋_GB2312" w:hAnsi="仿宋_GB2312" w:eastAsia="仿宋_GB2312" w:cs="仿宋_GB2312"/>
          <w:sz w:val="24"/>
          <w:highlight w:val="none"/>
          <w:lang w:val="en-GB"/>
        </w:rPr>
        <w:t>请在“偏离说明”栏内扼要说明偏离情况。</w:t>
      </w:r>
    </w:p>
    <w:p>
      <w:pPr>
        <w:snapToGrid w:val="0"/>
        <w:spacing w:line="560" w:lineRule="exact"/>
        <w:ind w:firstLine="480" w:firstLineChars="200"/>
        <w:rPr>
          <w:rFonts w:hint="eastAsia" w:ascii="仿宋_GB2312" w:hAnsi="仿宋_GB2312" w:eastAsia="仿宋_GB2312" w:cs="仿宋_GB2312"/>
          <w:sz w:val="24"/>
          <w:highlight w:val="none"/>
          <w:lang w:val="en-GB"/>
        </w:rPr>
      </w:pPr>
      <w:r>
        <w:rPr>
          <w:rFonts w:hint="eastAsia" w:ascii="仿宋_GB2312" w:hAnsi="仿宋_GB2312" w:eastAsia="仿宋_GB2312" w:cs="仿宋_GB2312"/>
          <w:sz w:val="24"/>
          <w:highlight w:val="none"/>
        </w:rPr>
        <w:t>2.</w:t>
      </w:r>
      <w:r>
        <w:rPr>
          <w:rFonts w:hint="eastAsia" w:ascii="仿宋_GB2312" w:hAnsi="仿宋_GB2312" w:eastAsia="仿宋_GB2312" w:cs="仿宋_GB2312"/>
          <w:sz w:val="24"/>
          <w:highlight w:val="none"/>
          <w:lang w:val="en-GB"/>
        </w:rPr>
        <w:t>“偏离</w:t>
      </w:r>
      <w:r>
        <w:rPr>
          <w:rFonts w:hint="eastAsia" w:ascii="仿宋_GB2312" w:hAnsi="仿宋_GB2312" w:eastAsia="仿宋_GB2312" w:cs="仿宋_GB2312"/>
          <w:sz w:val="24"/>
          <w:highlight w:val="none"/>
        </w:rPr>
        <w:t>情况</w:t>
      </w:r>
      <w:r>
        <w:rPr>
          <w:rFonts w:hint="eastAsia" w:ascii="仿宋_GB2312" w:hAnsi="仿宋_GB2312" w:eastAsia="仿宋_GB2312" w:cs="仿宋_GB2312"/>
          <w:sz w:val="24"/>
          <w:highlight w:val="none"/>
          <w:lang w:val="en-GB"/>
        </w:rPr>
        <w:t>”栏内</w:t>
      </w:r>
      <w:r>
        <w:rPr>
          <w:rFonts w:hint="eastAsia" w:ascii="仿宋_GB2312" w:hAnsi="仿宋_GB2312" w:eastAsia="仿宋_GB2312" w:cs="仿宋_GB2312"/>
          <w:sz w:val="24"/>
          <w:highlight w:val="none"/>
        </w:rPr>
        <w:t>根据实际响应情况填写“正偏离”或“负偏离”或“无偏离”</w:t>
      </w:r>
      <w:r>
        <w:rPr>
          <w:rFonts w:hint="eastAsia" w:ascii="仿宋_GB2312" w:hAnsi="仿宋_GB2312" w:eastAsia="仿宋_GB2312" w:cs="仿宋_GB2312"/>
          <w:sz w:val="24"/>
          <w:highlight w:val="none"/>
          <w:lang w:val="en-GB"/>
        </w:rPr>
        <w:t>。</w:t>
      </w:r>
    </w:p>
    <w:p>
      <w:pPr>
        <w:snapToGrid w:val="0"/>
        <w:spacing w:line="56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3.如本项目未设置</w:t>
      </w:r>
      <w:r>
        <w:rPr>
          <w:rFonts w:hint="eastAsia" w:ascii="仿宋_GB2312" w:hAnsi="仿宋_GB2312" w:eastAsia="仿宋_GB2312" w:cs="仿宋_GB2312"/>
          <w:sz w:val="24"/>
          <w:highlight w:val="none"/>
          <w:lang w:val="en-GB"/>
        </w:rPr>
        <w:t>“</w:t>
      </w:r>
      <w:r>
        <w:rPr>
          <w:rFonts w:hint="eastAsia" w:ascii="仿宋_GB2312" w:hAnsi="仿宋_GB2312" w:eastAsia="仿宋_GB2312" w:cs="仿宋_GB2312"/>
          <w:b/>
          <w:bCs/>
          <w:kern w:val="0"/>
          <w:sz w:val="24"/>
          <w:highlight w:val="none"/>
        </w:rPr>
        <w:t>▲</w:t>
      </w:r>
      <w:r>
        <w:rPr>
          <w:rFonts w:hint="eastAsia" w:ascii="仿宋_GB2312" w:hAnsi="仿宋_GB2312" w:eastAsia="仿宋_GB2312" w:cs="仿宋_GB2312"/>
          <w:sz w:val="24"/>
          <w:highlight w:val="none"/>
          <w:lang w:val="en-GB"/>
        </w:rPr>
        <w:t>”</w:t>
      </w:r>
      <w:r>
        <w:rPr>
          <w:rFonts w:hint="eastAsia" w:ascii="仿宋_GB2312" w:hAnsi="仿宋_GB2312" w:eastAsia="仿宋_GB2312" w:cs="仿宋_GB2312"/>
          <w:sz w:val="24"/>
          <w:highlight w:val="none"/>
        </w:rPr>
        <w:t>的条款，本表可空置不填，但应在要求位置签字和加盖公章。</w:t>
      </w:r>
    </w:p>
    <w:p>
      <w:pPr>
        <w:rPr>
          <w:rFonts w:hint="eastAsia" w:ascii="仿宋_GB2312" w:hAnsi="仿宋_GB2312" w:eastAsia="仿宋_GB2312" w:cs="仿宋_GB2312"/>
          <w:highlight w:val="none"/>
        </w:rPr>
      </w:pPr>
    </w:p>
    <w:p>
      <w:pPr>
        <w:rPr>
          <w:rFonts w:hint="eastAsia" w:ascii="仿宋_GB2312" w:hAnsi="仿宋_GB2312" w:eastAsia="仿宋_GB2312" w:cs="仿宋_GB2312"/>
          <w:highlight w:val="none"/>
        </w:rPr>
      </w:pPr>
    </w:p>
    <w:p>
      <w:pPr>
        <w:rPr>
          <w:rFonts w:hint="eastAsia" w:ascii="仿宋_GB2312" w:hAnsi="仿宋_GB2312" w:eastAsia="仿宋_GB2312" w:cs="仿宋_GB2312"/>
          <w:highlight w:val="none"/>
        </w:rPr>
      </w:pPr>
    </w:p>
    <w:p>
      <w:pPr>
        <w:spacing w:line="60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供应商名称（加盖公章）：</w:t>
      </w:r>
    </w:p>
    <w:p>
      <w:pPr>
        <w:spacing w:line="60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供应商法定代表人或受委托人（签名或盖私章）：</w:t>
      </w:r>
    </w:p>
    <w:p>
      <w:pPr>
        <w:spacing w:line="60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日      期：</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br w:type="page"/>
      </w:r>
    </w:p>
    <w:bookmarkEnd w:id="225"/>
    <w:bookmarkEnd w:id="226"/>
    <w:p>
      <w:pPr>
        <w:spacing w:line="360" w:lineRule="auto"/>
        <w:jc w:val="center"/>
        <w:outlineLvl w:val="2"/>
        <w:rPr>
          <w:rFonts w:hint="eastAsia" w:ascii="仿宋_GB2312" w:hAnsi="仿宋_GB2312" w:eastAsia="仿宋_GB2312" w:cs="仿宋_GB2312"/>
          <w:b/>
          <w:sz w:val="28"/>
          <w:szCs w:val="28"/>
          <w:highlight w:val="none"/>
        </w:rPr>
      </w:pPr>
      <w:bookmarkStart w:id="232" w:name="_Toc7512"/>
      <w:r>
        <w:rPr>
          <w:rFonts w:hint="eastAsia" w:ascii="仿宋_GB2312" w:hAnsi="仿宋_GB2312" w:eastAsia="仿宋_GB2312" w:cs="仿宋_GB2312"/>
          <w:b/>
          <w:sz w:val="28"/>
          <w:szCs w:val="28"/>
          <w:highlight w:val="none"/>
        </w:rPr>
        <w:t>5.技术服务方案</w:t>
      </w:r>
      <w:bookmarkEnd w:id="232"/>
    </w:p>
    <w:p>
      <w:pPr>
        <w:rPr>
          <w:rFonts w:hint="eastAsia" w:ascii="仿宋_GB2312" w:hAnsi="仿宋_GB2312" w:eastAsia="仿宋_GB2312" w:cs="仿宋_GB2312"/>
          <w:highlight w:val="none"/>
        </w:rPr>
      </w:pPr>
    </w:p>
    <w:p>
      <w:pPr>
        <w:spacing w:line="600" w:lineRule="exact"/>
        <w:jc w:val="center"/>
        <w:rPr>
          <w:rFonts w:hint="eastAsia" w:ascii="仿宋_GB2312" w:hAnsi="仿宋_GB2312" w:eastAsia="仿宋_GB2312" w:cs="仿宋_GB2312"/>
          <w:bCs/>
          <w:sz w:val="24"/>
          <w:highlight w:val="none"/>
        </w:rPr>
      </w:pPr>
      <w:r>
        <w:rPr>
          <w:rFonts w:hint="eastAsia" w:ascii="仿宋_GB2312" w:hAnsi="仿宋_GB2312" w:eastAsia="仿宋_GB2312" w:cs="仿宋_GB2312"/>
          <w:b/>
          <w:sz w:val="24"/>
          <w:highlight w:val="none"/>
        </w:rPr>
        <w:t>由供应商根据用户需求书及评分标准的内容自行编写，格式自拟</w:t>
      </w:r>
    </w:p>
    <w:p>
      <w:pPr>
        <w:spacing w:line="600" w:lineRule="exact"/>
        <w:jc w:val="left"/>
        <w:rPr>
          <w:rFonts w:hint="eastAsia" w:ascii="仿宋_GB2312" w:hAnsi="仿宋_GB2312" w:eastAsia="仿宋_GB2312" w:cs="仿宋_GB2312"/>
          <w:bCs/>
          <w:sz w:val="24"/>
          <w:highlight w:val="none"/>
        </w:rPr>
      </w:pPr>
    </w:p>
    <w:p>
      <w:pPr>
        <w:spacing w:line="600" w:lineRule="exact"/>
        <w:jc w:val="left"/>
        <w:rPr>
          <w:rFonts w:hint="eastAsia" w:ascii="仿宋_GB2312" w:hAnsi="仿宋_GB2312" w:eastAsia="仿宋_GB2312" w:cs="仿宋_GB2312"/>
          <w:bCs/>
          <w:sz w:val="24"/>
          <w:highlight w:val="none"/>
        </w:rPr>
      </w:pPr>
    </w:p>
    <w:p>
      <w:pPr>
        <w:spacing w:line="600" w:lineRule="exact"/>
        <w:jc w:val="left"/>
        <w:rPr>
          <w:rFonts w:hint="eastAsia" w:ascii="仿宋_GB2312" w:hAnsi="仿宋_GB2312" w:eastAsia="仿宋_GB2312" w:cs="仿宋_GB2312"/>
          <w:bCs/>
          <w:sz w:val="24"/>
          <w:highlight w:val="none"/>
        </w:rPr>
      </w:pPr>
    </w:p>
    <w:p>
      <w:pPr>
        <w:spacing w:line="600" w:lineRule="exact"/>
        <w:jc w:val="left"/>
        <w:rPr>
          <w:rFonts w:hint="eastAsia" w:ascii="仿宋_GB2312" w:hAnsi="仿宋_GB2312" w:eastAsia="仿宋_GB2312" w:cs="仿宋_GB2312"/>
          <w:bCs/>
          <w:sz w:val="24"/>
          <w:highlight w:val="none"/>
        </w:rPr>
      </w:pPr>
    </w:p>
    <w:p>
      <w:pPr>
        <w:spacing w:line="600" w:lineRule="exact"/>
        <w:jc w:val="left"/>
        <w:rPr>
          <w:rFonts w:hint="eastAsia" w:ascii="仿宋_GB2312" w:hAnsi="仿宋_GB2312" w:eastAsia="仿宋_GB2312" w:cs="仿宋_GB2312"/>
          <w:bCs/>
          <w:sz w:val="24"/>
          <w:highlight w:val="none"/>
        </w:rPr>
      </w:pPr>
    </w:p>
    <w:p>
      <w:pPr>
        <w:spacing w:line="600" w:lineRule="exact"/>
        <w:jc w:val="left"/>
        <w:rPr>
          <w:rFonts w:hint="eastAsia" w:ascii="仿宋_GB2312" w:hAnsi="仿宋_GB2312" w:eastAsia="仿宋_GB2312" w:cs="仿宋_GB2312"/>
          <w:bCs/>
          <w:sz w:val="24"/>
          <w:highlight w:val="none"/>
        </w:rPr>
      </w:pPr>
    </w:p>
    <w:p>
      <w:pPr>
        <w:spacing w:line="600" w:lineRule="exact"/>
        <w:jc w:val="left"/>
        <w:rPr>
          <w:rFonts w:hint="eastAsia" w:ascii="仿宋_GB2312" w:hAnsi="仿宋_GB2312" w:eastAsia="仿宋_GB2312" w:cs="仿宋_GB2312"/>
          <w:bCs/>
          <w:sz w:val="24"/>
          <w:highlight w:val="none"/>
        </w:rPr>
      </w:pPr>
    </w:p>
    <w:p>
      <w:pPr>
        <w:spacing w:line="600" w:lineRule="exact"/>
        <w:jc w:val="left"/>
        <w:rPr>
          <w:rFonts w:hint="eastAsia" w:ascii="仿宋_GB2312" w:hAnsi="仿宋_GB2312" w:eastAsia="仿宋_GB2312" w:cs="仿宋_GB2312"/>
          <w:bCs/>
          <w:sz w:val="24"/>
          <w:highlight w:val="none"/>
        </w:rPr>
      </w:pPr>
    </w:p>
    <w:p>
      <w:pPr>
        <w:spacing w:line="600" w:lineRule="exact"/>
        <w:jc w:val="left"/>
        <w:rPr>
          <w:rFonts w:hint="eastAsia" w:ascii="仿宋_GB2312" w:hAnsi="仿宋_GB2312" w:eastAsia="仿宋_GB2312" w:cs="仿宋_GB2312"/>
          <w:bCs/>
          <w:sz w:val="24"/>
          <w:highlight w:val="none"/>
        </w:rPr>
      </w:pPr>
    </w:p>
    <w:p>
      <w:pPr>
        <w:spacing w:line="60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供应商名称（加盖公章）：</w:t>
      </w:r>
    </w:p>
    <w:p>
      <w:pPr>
        <w:spacing w:line="60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供应商法定代表人或受委托人（签名或盖私章）：</w:t>
      </w:r>
    </w:p>
    <w:p>
      <w:pPr>
        <w:spacing w:line="600" w:lineRule="exact"/>
        <w:jc w:val="left"/>
        <w:rPr>
          <w:rFonts w:hint="eastAsia" w:ascii="仿宋_GB2312" w:hAnsi="仿宋_GB2312" w:eastAsia="仿宋_GB2312" w:cs="仿宋_GB2312"/>
          <w:sz w:val="24"/>
          <w:highlight w:val="none"/>
          <w:u w:val="single"/>
        </w:rPr>
      </w:pPr>
      <w:r>
        <w:rPr>
          <w:rFonts w:hint="eastAsia" w:ascii="仿宋_GB2312" w:hAnsi="仿宋_GB2312" w:eastAsia="仿宋_GB2312" w:cs="仿宋_GB2312"/>
          <w:bCs/>
          <w:sz w:val="24"/>
          <w:highlight w:val="none"/>
        </w:rPr>
        <w:t>日      期：</w:t>
      </w:r>
    </w:p>
    <w:p>
      <w:pPr>
        <w:spacing w:line="360" w:lineRule="auto"/>
        <w:rPr>
          <w:rFonts w:hint="eastAsia"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u w:val="single"/>
        </w:rPr>
        <w:br w:type="page"/>
      </w:r>
    </w:p>
    <w:p>
      <w:pPr>
        <w:snapToGrid w:val="0"/>
        <w:spacing w:line="560" w:lineRule="exact"/>
        <w:outlineLvl w:val="0"/>
        <w:rPr>
          <w:rFonts w:hint="eastAsia" w:ascii="仿宋_GB2312" w:hAnsi="仿宋_GB2312" w:eastAsia="仿宋_GB2312" w:cs="仿宋_GB2312"/>
          <w:sz w:val="24"/>
          <w:highlight w:val="none"/>
        </w:rPr>
      </w:pPr>
      <w:bookmarkStart w:id="233" w:name="_Toc13850"/>
      <w:bookmarkStart w:id="234" w:name="_Toc899"/>
      <w:bookmarkStart w:id="235" w:name="_Toc5175"/>
      <w:bookmarkStart w:id="236" w:name="_Toc12285"/>
      <w:r>
        <w:rPr>
          <w:rFonts w:hint="eastAsia" w:ascii="仿宋_GB2312" w:hAnsi="仿宋_GB2312" w:eastAsia="仿宋_GB2312" w:cs="仿宋_GB2312"/>
          <w:sz w:val="24"/>
          <w:highlight w:val="none"/>
        </w:rPr>
        <w:t>附件1：政府采购投标担保函</w:t>
      </w:r>
      <w:bookmarkEnd w:id="233"/>
      <w:bookmarkEnd w:id="234"/>
      <w:bookmarkEnd w:id="235"/>
    </w:p>
    <w:p>
      <w:pPr>
        <w:snapToGrid w:val="0"/>
        <w:spacing w:line="500" w:lineRule="exact"/>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政府采购投标担保函(项目用)</w:t>
      </w:r>
    </w:p>
    <w:p>
      <w:pPr>
        <w:snapToGrid w:val="0"/>
        <w:spacing w:line="500" w:lineRule="exact"/>
        <w:ind w:firstLine="4800" w:firstLineChars="20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编号:</w:t>
      </w:r>
    </w:p>
    <w:p>
      <w:pPr>
        <w:snapToGrid w:val="0"/>
        <w:spacing w:line="5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(采购人或采购代理机构):</w:t>
      </w:r>
    </w:p>
    <w:p>
      <w:pPr>
        <w:snapToGrid w:val="0"/>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鉴于(以下简称“供应商”)拟参加编号</w:t>
      </w:r>
    </w:p>
    <w:p>
      <w:pPr>
        <w:snapToGrid w:val="0"/>
        <w:spacing w:line="5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为的项目(以下简称“本项目”)投标，根据本项目招标文件，供应商参加投标时应向你方交纳投标保证金，且可以投标担保函的形式交纳投标保证金。应供应商的申请，我方以保证的方式向你方提供如下投标保证金担保：</w:t>
      </w:r>
    </w:p>
    <w:p>
      <w:pPr>
        <w:snapToGrid w:val="0"/>
        <w:spacing w:line="5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一、保证责任的情形及保证金额</w:t>
      </w:r>
    </w:p>
    <w:p>
      <w:pPr>
        <w:snapToGrid w:val="0"/>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(一)在供应商出现下列情形之一时，我方承担保证责任：</w:t>
      </w:r>
    </w:p>
    <w:p>
      <w:pPr>
        <w:snapToGrid w:val="0"/>
        <w:spacing w:line="500" w:lineRule="exact"/>
        <w:ind w:firstLine="720" w:firstLineChars="3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1.成交后供应商无正当理由不与采购人或者采购代理机构签订《政府采购合同》。</w:t>
      </w:r>
    </w:p>
    <w:p>
      <w:pPr>
        <w:snapToGrid w:val="0"/>
        <w:spacing w:line="500" w:lineRule="exact"/>
        <w:ind w:firstLine="720" w:firstLineChars="3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2.招标文件规定的供应商应当缴纳保证金的其他情形。</w:t>
      </w:r>
    </w:p>
    <w:p>
      <w:pPr>
        <w:snapToGrid w:val="0"/>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(二)我方承担保证责任的最高金额为人民币元(大写)，即本项目的投标保证金金额。</w:t>
      </w:r>
    </w:p>
    <w:p>
      <w:pPr>
        <w:snapToGrid w:val="0"/>
        <w:spacing w:line="5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二、保证的方式及保证期间</w:t>
      </w:r>
    </w:p>
    <w:p>
      <w:pPr>
        <w:snapToGrid w:val="0"/>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我方保证的方式为：连带责任保证。</w:t>
      </w:r>
    </w:p>
    <w:p>
      <w:pPr>
        <w:snapToGrid w:val="0"/>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我方的保证期间为：自本保函生效之日起个月止</w:t>
      </w:r>
    </w:p>
    <w:p>
      <w:pPr>
        <w:snapToGrid w:val="0"/>
        <w:spacing w:line="5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三、承担保证责任的程序</w:t>
      </w:r>
    </w:p>
    <w:p>
      <w:pPr>
        <w:snapToGrid w:val="0"/>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1.你方要求我方承担保证责任的，应在本保函保证期间内向我方发出书面索赔通知。索赔通知应写明要求索赔的金额，支付款项应到达的账号，并附有证明供应商发生我方应承担保证责任情形的事实材料。</w:t>
      </w:r>
    </w:p>
    <w:p>
      <w:pPr>
        <w:snapToGrid w:val="0"/>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2.我方在收到索赔通知及相关证明材料后，在个工作日内进行审查，符合应承担保证责任情形的，我方应按照你方的要求代供应商向你方支付投标保证金。</w:t>
      </w:r>
    </w:p>
    <w:p>
      <w:pPr>
        <w:snapToGrid w:val="0"/>
        <w:spacing w:line="5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四、保证责任的终止</w:t>
      </w:r>
    </w:p>
    <w:p>
      <w:pPr>
        <w:snapToGrid w:val="0"/>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1.保证期间届满你方未向我方书面主张保证责任的，自保证期间届满次日起，我方保证责任自动终止。</w:t>
      </w:r>
    </w:p>
    <w:p>
      <w:pPr>
        <w:snapToGrid w:val="0"/>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2.我方按照本保函向你贵方履行了保证责任后，自我方向你贵方支付款项(支付款项从我方账户划出)之日起，保证责任终止。</w:t>
      </w:r>
    </w:p>
    <w:p>
      <w:pPr>
        <w:snapToGrid w:val="0"/>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3.按照法律法规的规定或出现我方保证责任终止的其它情形的，我方在本保函项下的保证责任亦终止。</w:t>
      </w:r>
    </w:p>
    <w:p>
      <w:pPr>
        <w:snapToGrid w:val="0"/>
        <w:spacing w:line="5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五、免责条款</w:t>
      </w:r>
    </w:p>
    <w:p>
      <w:pPr>
        <w:snapToGrid w:val="0"/>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1.依照法律规定或你方与供应商的另行约定，全部或者部分免除投</w:t>
      </w:r>
    </w:p>
    <w:p>
      <w:pPr>
        <w:snapToGrid w:val="0"/>
        <w:spacing w:line="5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标人投标保证金义务时，我方亦免除相应的保证责任。</w:t>
      </w:r>
    </w:p>
    <w:p>
      <w:pPr>
        <w:snapToGrid w:val="0"/>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2.因你方原因致使供应商发生本保函第一条第(一)款约定情形的，我方不承担保证责任。</w:t>
      </w:r>
    </w:p>
    <w:p>
      <w:pPr>
        <w:snapToGrid w:val="0"/>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3.因不可抗力造成供应商发生本保函第一条约定情形的，我方不承担保证责任。</w:t>
      </w:r>
    </w:p>
    <w:p>
      <w:pPr>
        <w:snapToGrid w:val="0"/>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4.你方或其他有权机关对招标文件进行任何澄清或修改，加重我方保证责任的，我方对加重部分不承担保证责任，但该澄清或修改经我方事先书面同意的除外。</w:t>
      </w:r>
    </w:p>
    <w:p>
      <w:pPr>
        <w:snapToGrid w:val="0"/>
        <w:spacing w:line="5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六、争议的解决</w:t>
      </w:r>
    </w:p>
    <w:p>
      <w:pPr>
        <w:snapToGrid w:val="0"/>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因本保函发生的纠纷，由你我双方协商解决，协商不成的，通过诉讼程序解决，诉讼管辖地法院为法院。</w:t>
      </w:r>
    </w:p>
    <w:p>
      <w:pPr>
        <w:snapToGrid w:val="0"/>
        <w:spacing w:line="5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七、保函的生效</w:t>
      </w:r>
    </w:p>
    <w:p>
      <w:pPr>
        <w:snapToGrid w:val="0"/>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本保函自我方加盖公章之日起生效。</w:t>
      </w:r>
    </w:p>
    <w:p>
      <w:pPr>
        <w:snapToGrid w:val="0"/>
        <w:spacing w:line="500" w:lineRule="exact"/>
        <w:jc w:val="right"/>
        <w:rPr>
          <w:rFonts w:hint="eastAsia" w:ascii="仿宋_GB2312" w:hAnsi="仿宋_GB2312" w:eastAsia="仿宋_GB2312" w:cs="仿宋_GB2312"/>
          <w:sz w:val="24"/>
          <w:highlight w:val="none"/>
        </w:rPr>
      </w:pPr>
    </w:p>
    <w:p>
      <w:pPr>
        <w:snapToGrid w:val="0"/>
        <w:spacing w:line="500" w:lineRule="exact"/>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保证人：(公章)</w:t>
      </w:r>
    </w:p>
    <w:p>
      <w:pPr>
        <w:snapToGrid w:val="0"/>
        <w:spacing w:line="500" w:lineRule="exact"/>
        <w:ind w:firstLine="5040" w:firstLineChars="21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年  月  日</w:t>
      </w:r>
    </w:p>
    <w:p>
      <w:pPr>
        <w:snapToGrid w:val="0"/>
        <w:spacing w:line="520" w:lineRule="exact"/>
        <w:ind w:firstLine="5040" w:firstLineChars="21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br w:type="page"/>
      </w:r>
    </w:p>
    <w:p>
      <w:pPr>
        <w:snapToGrid w:val="0"/>
        <w:spacing w:line="560" w:lineRule="exact"/>
        <w:jc w:val="left"/>
        <w:outlineLvl w:val="0"/>
        <w:rPr>
          <w:rFonts w:hint="eastAsia" w:ascii="仿宋_GB2312" w:hAnsi="仿宋_GB2312" w:eastAsia="仿宋_GB2312" w:cs="仿宋_GB2312"/>
          <w:sz w:val="24"/>
          <w:highlight w:val="none"/>
        </w:rPr>
      </w:pPr>
      <w:bookmarkStart w:id="237" w:name="_Toc17682"/>
      <w:bookmarkStart w:id="238" w:name="_Toc2786"/>
      <w:bookmarkStart w:id="239" w:name="_Toc7624"/>
      <w:r>
        <w:rPr>
          <w:rFonts w:hint="eastAsia" w:ascii="仿宋_GB2312" w:hAnsi="仿宋_GB2312" w:eastAsia="仿宋_GB2312" w:cs="仿宋_GB2312"/>
          <w:sz w:val="24"/>
          <w:highlight w:val="none"/>
        </w:rPr>
        <w:t>附件2：政府采购履约担保函</w:t>
      </w:r>
      <w:bookmarkEnd w:id="237"/>
      <w:bookmarkEnd w:id="238"/>
      <w:bookmarkEnd w:id="239"/>
    </w:p>
    <w:bookmarkEnd w:id="236"/>
    <w:p>
      <w:pPr>
        <w:snapToGrid w:val="0"/>
        <w:spacing w:line="500" w:lineRule="exact"/>
        <w:jc w:val="center"/>
        <w:rPr>
          <w:rFonts w:hint="eastAsia" w:ascii="仿宋_GB2312" w:hAnsi="仿宋_GB2312" w:eastAsia="仿宋_GB2312" w:cs="仿宋_GB2312"/>
          <w:b/>
          <w:bCs/>
          <w:sz w:val="24"/>
          <w:highlight w:val="none"/>
        </w:rPr>
      </w:pPr>
      <w:bookmarkStart w:id="240" w:name="_Toc16585995"/>
      <w:r>
        <w:rPr>
          <w:rFonts w:hint="eastAsia" w:ascii="仿宋_GB2312" w:hAnsi="仿宋_GB2312" w:eastAsia="仿宋_GB2312" w:cs="仿宋_GB2312"/>
          <w:b/>
          <w:bCs/>
          <w:sz w:val="24"/>
          <w:highlight w:val="none"/>
        </w:rPr>
        <w:t>政府采购履约担保函</w:t>
      </w:r>
      <w:bookmarkEnd w:id="240"/>
    </w:p>
    <w:p>
      <w:pPr>
        <w:spacing w:line="5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编号：</w:t>
      </w:r>
    </w:p>
    <w:p>
      <w:pPr>
        <w:spacing w:line="5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（采购人）：</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鉴于你方与</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 xml:space="preserve">（以下简称供应商）就中标通知书编号为 </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的采购项目（以下简称“中标项目”）于</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日签订编号为</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的东莞市政府采购合同（以下简称主合同），且依据该合同的约定，供应商应在</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日前向你方交纳履约保证金，且可以履约担保函的形式交纳履约保证金。应供应商的申请，我方以保证的方式向你方提供如下不可撤销的履约担保：</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一、保证责任的情形及保证金额</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（一）在供应商出现下列情形之一时，我方承担保证责任：</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1．将中标项目转让给他人，或者在响应文件中未说明，且未经采购招标机构人同意，将中标项目分包给他人的；</w:t>
      </w:r>
    </w:p>
    <w:p>
      <w:pPr>
        <w:spacing w:line="5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2．主合同约定的应当支付违约金或赔偿经济损失的情形: </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（1）未按主合同约定的质量、数量和期限供应货物/提供服务/完成工程的；</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w:t>
      </w:r>
      <w:r>
        <w:rPr>
          <w:rFonts w:hint="eastAsia" w:ascii="仿宋_GB2312" w:hAnsi="仿宋_GB2312" w:eastAsia="仿宋_GB2312" w:cs="仿宋_GB2312"/>
          <w:sz w:val="24"/>
          <w:highlight w:val="none"/>
          <w:u w:val="single"/>
        </w:rPr>
        <w:t xml:space="preserve"> 其他违约或违背合同约定的义务和责任的。</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（二）我方的保证范围是主合同约定的合同价款总额的</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%数额为</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元（大写</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），币种为</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。（即主合同履约保证金金额）</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二、保证的方式及保证期间</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我方保证的方式为：连带责任保证。</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我方保证的期间为：自本合同生效之日起至供应商按照主合同约定的供货/完工期限届满后</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日内。</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如果供应商未按主合同约定向贵方供应货物/提供服务/完成工程的，由我方在保证金额内向你方支付上述款项。</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三、承担保证责任的程序</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1．你方要求我方承担保证责任的，应在本保函保证期间内向我方发出书面索赔通知。索赔通知应写明要求索赔的金额，支付款项应到达的帐号。</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 我方收到你方的书面索赔通知，在</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工作日内无条件按照本保函的承诺承担保证责任。</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四、保证责任的终止</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2．我方按照本保函向你方履行了保证责任后，自我方向你方支付款项（支付款项从我方账户划出）之日起，保证责任即终止。</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3．按照法律法规的规定或出现应终止我方保证责任的其它情形的，我方在本保函项下的保证责任亦终止。</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五、免责条款</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1．因你方违反主合同约定致使供应商不能履行义务的，我方不承担保证责任。</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2．依照法律法规的规定或你方与供应商的另行约定，全部或者部分免除供应商应缴纳的保证金义务的，我方亦免除相应的保证责任。</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3．因不可抗力造成供应商不能履行供货义务的，我方不承担保证责任。</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六、争议的解决</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因本保函发生的纠纷，由你我双方协商解决，协商不成的，通过诉讼程序解决，诉讼管辖地法院为</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法院。</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七、保函的生效</w:t>
      </w:r>
    </w:p>
    <w:p>
      <w:pPr>
        <w:spacing w:line="500" w:lineRule="exact"/>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本保函自我方加盖公章之日起生效。</w:t>
      </w:r>
    </w:p>
    <w:p>
      <w:pPr>
        <w:spacing w:line="500" w:lineRule="exact"/>
        <w:rPr>
          <w:rFonts w:hint="eastAsia" w:ascii="仿宋_GB2312" w:hAnsi="仿宋_GB2312" w:eastAsia="仿宋_GB2312" w:cs="仿宋_GB2312"/>
          <w:sz w:val="24"/>
          <w:highlight w:val="none"/>
        </w:rPr>
      </w:pPr>
    </w:p>
    <w:p>
      <w:pPr>
        <w:spacing w:line="500" w:lineRule="exact"/>
        <w:ind w:firstLine="6240" w:firstLineChars="26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保证人：（公章）</w:t>
      </w:r>
    </w:p>
    <w:p>
      <w:pPr>
        <w:spacing w:line="5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年    月      日</w:t>
      </w:r>
    </w:p>
    <w:sectPr>
      <w:headerReference r:id="rId13" w:type="default"/>
      <w:pgSz w:w="11906" w:h="16838"/>
      <w:pgMar w:top="1440" w:right="1558" w:bottom="1440" w:left="1800" w:header="1077" w:footer="10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宋体_x0019_剜夭...">
    <w:altName w:val="宋体"/>
    <w:panose1 w:val="00000000000000000000"/>
    <w:charset w:val="86"/>
    <w:family w:val="roman"/>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2660736" behindDoc="0" locked="0" layoutInCell="1" allowOverlap="1">
              <wp:simplePos x="0" y="0"/>
              <wp:positionH relativeFrom="margin">
                <wp:align>center</wp:align>
              </wp:positionH>
              <wp:positionV relativeFrom="paragraph">
                <wp:posOffset>0</wp:posOffset>
              </wp:positionV>
              <wp:extent cx="29210" cy="1397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29210" cy="1397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IV</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2.3pt;mso-position-horizontal:center;mso-position-horizontal-relative:margin;mso-wrap-style:none;z-index:252660736;mso-width-relative:page;mso-height-relative:page;" filled="f" stroked="f" coordsize="21600,21600" o:gfxdata="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r5ugA0QAAAAIBAAAPAAAAAAAA&#10;AAEAIAAAACIAAABkcnMvZG93bnJldi54bWxQSwECFAAUAAAACACHTuJATDKKIBkCAAAUBAAADgAA&#10;AAAAAAABACAAAAAgAQAAZHJzL2Uyb0RvYy54bWxQSwUGAAAAAAYABgBZAQAAq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IV</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2661760" behindDoc="0" locked="0" layoutInCell="1" allowOverlap="1">
              <wp:simplePos x="0" y="0"/>
              <wp:positionH relativeFrom="margin">
                <wp:align>center</wp:align>
              </wp:positionH>
              <wp:positionV relativeFrom="paragraph">
                <wp:posOffset>0</wp:posOffset>
              </wp:positionV>
              <wp:extent cx="58420" cy="1397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266176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2xka9EAAAACAQAADwAAAAAA&#10;AAABACAAAAAiAAAAZHJzL2Rvd25yZXYueG1sUEsBAhQAFAAAAAgAh07iQGvjXosaAgAAFAQAAA4A&#10;AAAAAAAAAQAgAAAAIAEAAGRycy9lMm9Eb2MueG1sUEsFBgAAAAAGAAYAWQEAAKw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7796"/>
        <w:tab w:val="right" w:pos="8647"/>
        <w:tab w:val="right" w:pos="8668"/>
        <w:tab w:val="clear" w:pos="8306"/>
      </w:tabs>
      <w:rPr>
        <w:rFonts w:ascii="华文新魏" w:hAnsi="华文新魏" w:eastAsia="华文新魏" w:cs="华文新魏"/>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tabs>
        <w:tab w:val="left" w:pos="7796"/>
        <w:tab w:val="right" w:pos="8647"/>
        <w:tab w:val="right" w:pos="8668"/>
        <w:tab w:val="clear" w:pos="8306"/>
      </w:tabs>
      <w:ind w:left="5985" w:hanging="5985" w:hangingChars="2850"/>
      <w:jc w:val="right"/>
      <w:rPr>
        <w:rFonts w:ascii="楷体" w:hAnsi="楷体" w:eastAsia="楷体" w:cs="楷体"/>
      </w:rPr>
    </w:pPr>
    <w:r>
      <w:rPr>
        <w:rFonts w:hint="eastAsia" w:ascii="楷体" w:hAnsi="楷体" w:eastAsia="楷体" w:cs="楷体"/>
        <w:sz w:val="21"/>
        <w:szCs w:val="22"/>
      </w:rPr>
      <w:drawing>
        <wp:anchor distT="0" distB="0" distL="114300" distR="114300" simplePos="0" relativeHeight="252127232" behindDoc="1" locked="0" layoutInCell="1" allowOverlap="1">
          <wp:simplePos x="0" y="0"/>
          <wp:positionH relativeFrom="column">
            <wp:posOffset>-571500</wp:posOffset>
          </wp:positionH>
          <wp:positionV relativeFrom="paragraph">
            <wp:posOffset>-153035</wp:posOffset>
          </wp:positionV>
          <wp:extent cx="3348990" cy="283210"/>
          <wp:effectExtent l="0" t="0" r="0" b="2540"/>
          <wp:wrapTight wrapText="bothSides">
            <wp:wrapPolygon>
              <wp:start x="860" y="0"/>
              <wp:lineTo x="0" y="1453"/>
              <wp:lineTo x="0" y="15982"/>
              <wp:lineTo x="860" y="20341"/>
              <wp:lineTo x="2334" y="20341"/>
              <wp:lineTo x="21379" y="20341"/>
              <wp:lineTo x="21379" y="0"/>
              <wp:lineTo x="2334" y="0"/>
              <wp:lineTo x="860" y="0"/>
            </wp:wrapPolygon>
          </wp:wrapTight>
          <wp:docPr id="13" name="图片 13" descr="QQ图片20161120185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QQ图片20161120185754"/>
                  <pic:cNvPicPr>
                    <a:picLocks noChangeAspect="1"/>
                  </pic:cNvPicPr>
                </pic:nvPicPr>
                <pic:blipFill>
                  <a:blip r:embed="rId1"/>
                  <a:stretch>
                    <a:fillRect/>
                  </a:stretch>
                </pic:blipFill>
                <pic:spPr>
                  <a:xfrm>
                    <a:off x="0" y="0"/>
                    <a:ext cx="3365938" cy="284661"/>
                  </a:xfrm>
                  <a:prstGeom prst="rect">
                    <a:avLst/>
                  </a:prstGeom>
                </pic:spPr>
              </pic:pic>
            </a:graphicData>
          </a:graphic>
        </wp:anchor>
      </w:drawing>
    </w:r>
    <w:r>
      <w:rPr>
        <w:rFonts w:hint="eastAsia" w:ascii="楷体" w:hAnsi="楷体" w:eastAsia="楷体" w:cs="楷体"/>
      </w:rPr>
      <w:t>目  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tabs>
        <w:tab w:val="left" w:pos="7796"/>
        <w:tab w:val="right" w:pos="8647"/>
        <w:tab w:val="right" w:pos="8668"/>
        <w:tab w:val="clear" w:pos="8306"/>
      </w:tabs>
      <w:ind w:left="5985" w:hanging="5985" w:hangingChars="2850"/>
      <w:jc w:val="right"/>
      <w:rPr>
        <w:rFonts w:ascii="楷体" w:hAnsi="楷体" w:eastAsia="楷体" w:cs="楷体"/>
      </w:rPr>
    </w:pPr>
    <w:r>
      <w:rPr>
        <w:rFonts w:hint="eastAsia" w:ascii="楷体" w:hAnsi="楷体" w:eastAsia="楷体" w:cs="楷体"/>
        <w:sz w:val="21"/>
        <w:szCs w:val="22"/>
      </w:rPr>
      <w:drawing>
        <wp:anchor distT="0" distB="0" distL="114300" distR="114300" simplePos="0" relativeHeight="251761664" behindDoc="1" locked="0" layoutInCell="1" allowOverlap="1">
          <wp:simplePos x="0" y="0"/>
          <wp:positionH relativeFrom="column">
            <wp:posOffset>-571500</wp:posOffset>
          </wp:positionH>
          <wp:positionV relativeFrom="paragraph">
            <wp:posOffset>-153035</wp:posOffset>
          </wp:positionV>
          <wp:extent cx="3348990" cy="283210"/>
          <wp:effectExtent l="0" t="0" r="0" b="2540"/>
          <wp:wrapTight wrapText="bothSides">
            <wp:wrapPolygon>
              <wp:start x="860" y="0"/>
              <wp:lineTo x="0" y="1453"/>
              <wp:lineTo x="0" y="15982"/>
              <wp:lineTo x="860" y="20341"/>
              <wp:lineTo x="2334" y="20341"/>
              <wp:lineTo x="21379" y="20341"/>
              <wp:lineTo x="21379" y="0"/>
              <wp:lineTo x="2334" y="0"/>
              <wp:lineTo x="860" y="0"/>
            </wp:wrapPolygon>
          </wp:wrapTight>
          <wp:docPr id="9" name="图片 9" descr="QQ图片20161120185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图片20161120185754"/>
                  <pic:cNvPicPr>
                    <a:picLocks noChangeAspect="1"/>
                  </pic:cNvPicPr>
                </pic:nvPicPr>
                <pic:blipFill>
                  <a:blip r:embed="rId1"/>
                  <a:stretch>
                    <a:fillRect/>
                  </a:stretch>
                </pic:blipFill>
                <pic:spPr>
                  <a:xfrm>
                    <a:off x="0" y="0"/>
                    <a:ext cx="3365938" cy="284661"/>
                  </a:xfrm>
                  <a:prstGeom prst="rect">
                    <a:avLst/>
                  </a:prstGeom>
                </pic:spPr>
              </pic:pic>
            </a:graphicData>
          </a:graphic>
        </wp:anchor>
      </w:drawing>
    </w:r>
    <w:r>
      <w:rPr>
        <w:rFonts w:hint="eastAsia" w:ascii="楷体" w:hAnsi="楷体" w:eastAsia="楷体" w:cs="楷体"/>
        <w:sz w:val="21"/>
        <w:szCs w:val="22"/>
      </w:rPr>
      <w:tab/>
    </w:r>
    <w:r>
      <w:rPr>
        <w:rFonts w:hint="eastAsia" w:ascii="楷体" w:hAnsi="楷体" w:eastAsia="楷体" w:cs="楷体"/>
        <w:sz w:val="21"/>
        <w:szCs w:val="22"/>
      </w:rPr>
      <w:t>第一章 磋商邀请函</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tabs>
        <w:tab w:val="left" w:pos="7796"/>
        <w:tab w:val="right" w:pos="8647"/>
        <w:tab w:val="right" w:pos="8668"/>
        <w:tab w:val="clear" w:pos="8306"/>
      </w:tabs>
      <w:ind w:left="5985" w:hanging="5985" w:hangingChars="2850"/>
      <w:jc w:val="right"/>
      <w:rPr>
        <w:rFonts w:ascii="楷体" w:hAnsi="楷体" w:eastAsia="楷体" w:cs="楷体"/>
      </w:rPr>
    </w:pPr>
    <w:r>
      <w:rPr>
        <w:rFonts w:hint="eastAsia" w:ascii="楷体" w:hAnsi="楷体" w:eastAsia="楷体" w:cs="楷体"/>
        <w:sz w:val="21"/>
        <w:szCs w:val="22"/>
      </w:rPr>
      <w:drawing>
        <wp:anchor distT="0" distB="0" distL="114300" distR="114300" simplePos="0" relativeHeight="251866112" behindDoc="1" locked="0" layoutInCell="1" allowOverlap="1">
          <wp:simplePos x="0" y="0"/>
          <wp:positionH relativeFrom="column">
            <wp:posOffset>-571500</wp:posOffset>
          </wp:positionH>
          <wp:positionV relativeFrom="paragraph">
            <wp:posOffset>-153035</wp:posOffset>
          </wp:positionV>
          <wp:extent cx="3348990" cy="283210"/>
          <wp:effectExtent l="0" t="0" r="0" b="2540"/>
          <wp:wrapTight wrapText="bothSides">
            <wp:wrapPolygon>
              <wp:start x="860" y="0"/>
              <wp:lineTo x="0" y="1453"/>
              <wp:lineTo x="0" y="15982"/>
              <wp:lineTo x="860" y="20341"/>
              <wp:lineTo x="2334" y="20341"/>
              <wp:lineTo x="21379" y="20341"/>
              <wp:lineTo x="21379" y="0"/>
              <wp:lineTo x="2334" y="0"/>
              <wp:lineTo x="860" y="0"/>
            </wp:wrapPolygon>
          </wp:wrapTight>
          <wp:docPr id="11" name="图片 11" descr="QQ图片20161120185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QQ图片20161120185754"/>
                  <pic:cNvPicPr>
                    <a:picLocks noChangeAspect="1"/>
                  </pic:cNvPicPr>
                </pic:nvPicPr>
                <pic:blipFill>
                  <a:blip r:embed="rId1"/>
                  <a:stretch>
                    <a:fillRect/>
                  </a:stretch>
                </pic:blipFill>
                <pic:spPr>
                  <a:xfrm>
                    <a:off x="0" y="0"/>
                    <a:ext cx="3365938" cy="284661"/>
                  </a:xfrm>
                  <a:prstGeom prst="rect">
                    <a:avLst/>
                  </a:prstGeom>
                </pic:spPr>
              </pic:pic>
            </a:graphicData>
          </a:graphic>
        </wp:anchor>
      </w:drawing>
    </w:r>
    <w:r>
      <w:rPr>
        <w:rFonts w:hint="eastAsia" w:ascii="楷体" w:hAnsi="楷体" w:eastAsia="楷体" w:cs="楷体"/>
        <w:sz w:val="21"/>
        <w:szCs w:val="22"/>
      </w:rPr>
      <w:t>第二章 用户需求书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tabs>
        <w:tab w:val="left" w:pos="7796"/>
        <w:tab w:val="right" w:pos="8647"/>
        <w:tab w:val="right" w:pos="8668"/>
        <w:tab w:val="clear" w:pos="8306"/>
      </w:tabs>
      <w:ind w:left="5985" w:hanging="5985" w:hangingChars="2850"/>
      <w:jc w:val="right"/>
      <w:rPr>
        <w:rFonts w:ascii="楷体" w:hAnsi="楷体" w:eastAsia="楷体" w:cs="楷体"/>
      </w:rPr>
    </w:pPr>
    <w:r>
      <w:rPr>
        <w:rFonts w:hint="eastAsia" w:ascii="楷体" w:hAnsi="楷体" w:eastAsia="楷体" w:cs="楷体"/>
        <w:sz w:val="21"/>
        <w:szCs w:val="22"/>
      </w:rPr>
      <w:drawing>
        <wp:anchor distT="0" distB="0" distL="114300" distR="114300" simplePos="0" relativeHeight="253288448" behindDoc="1" locked="0" layoutInCell="1" allowOverlap="1">
          <wp:simplePos x="0" y="0"/>
          <wp:positionH relativeFrom="column">
            <wp:posOffset>-571500</wp:posOffset>
          </wp:positionH>
          <wp:positionV relativeFrom="paragraph">
            <wp:posOffset>-153035</wp:posOffset>
          </wp:positionV>
          <wp:extent cx="3348990" cy="283210"/>
          <wp:effectExtent l="0" t="0" r="0" b="2540"/>
          <wp:wrapTight wrapText="bothSides">
            <wp:wrapPolygon>
              <wp:start x="860" y="0"/>
              <wp:lineTo x="0" y="1453"/>
              <wp:lineTo x="0" y="15982"/>
              <wp:lineTo x="860" y="20341"/>
              <wp:lineTo x="2334" y="20341"/>
              <wp:lineTo x="21379" y="20341"/>
              <wp:lineTo x="21379" y="0"/>
              <wp:lineTo x="2334" y="0"/>
              <wp:lineTo x="860" y="0"/>
            </wp:wrapPolygon>
          </wp:wrapTight>
          <wp:docPr id="2" name="图片 2" descr="QQ图片20161120185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61120185754"/>
                  <pic:cNvPicPr>
                    <a:picLocks noChangeAspect="1"/>
                  </pic:cNvPicPr>
                </pic:nvPicPr>
                <pic:blipFill>
                  <a:blip r:embed="rId1"/>
                  <a:stretch>
                    <a:fillRect/>
                  </a:stretch>
                </pic:blipFill>
                <pic:spPr>
                  <a:xfrm>
                    <a:off x="0" y="0"/>
                    <a:ext cx="3365938" cy="284661"/>
                  </a:xfrm>
                  <a:prstGeom prst="rect">
                    <a:avLst/>
                  </a:prstGeom>
                </pic:spPr>
              </pic:pic>
            </a:graphicData>
          </a:graphic>
        </wp:anchor>
      </w:drawing>
    </w:r>
    <w:r>
      <w:rPr>
        <w:rFonts w:hint="eastAsia" w:ascii="楷体" w:hAnsi="楷体" w:eastAsia="楷体" w:cs="楷体"/>
        <w:sz w:val="21"/>
        <w:szCs w:val="22"/>
      </w:rPr>
      <w:t>第三章 磋商须知前附表和磋商须知</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tabs>
        <w:tab w:val="left" w:pos="7796"/>
        <w:tab w:val="right" w:pos="8647"/>
        <w:tab w:val="right" w:pos="8668"/>
        <w:tab w:val="clear" w:pos="8306"/>
      </w:tabs>
      <w:ind w:left="5985" w:hanging="5985" w:hangingChars="2850"/>
      <w:jc w:val="right"/>
      <w:rPr>
        <w:rFonts w:ascii="楷体" w:hAnsi="楷体" w:eastAsia="楷体" w:cs="楷体"/>
      </w:rPr>
    </w:pPr>
    <w:r>
      <w:rPr>
        <w:rFonts w:hint="eastAsia" w:ascii="楷体" w:hAnsi="楷体" w:eastAsia="楷体" w:cs="楷体"/>
        <w:sz w:val="21"/>
        <w:szCs w:val="22"/>
      </w:rPr>
      <w:drawing>
        <wp:anchor distT="0" distB="0" distL="114300" distR="114300" simplePos="0" relativeHeight="254919680" behindDoc="1" locked="0" layoutInCell="1" allowOverlap="1">
          <wp:simplePos x="0" y="0"/>
          <wp:positionH relativeFrom="column">
            <wp:posOffset>-571500</wp:posOffset>
          </wp:positionH>
          <wp:positionV relativeFrom="paragraph">
            <wp:posOffset>-153035</wp:posOffset>
          </wp:positionV>
          <wp:extent cx="3348990" cy="283210"/>
          <wp:effectExtent l="0" t="0" r="0" b="2540"/>
          <wp:wrapTight wrapText="bothSides">
            <wp:wrapPolygon>
              <wp:start x="860" y="0"/>
              <wp:lineTo x="0" y="1453"/>
              <wp:lineTo x="0" y="15982"/>
              <wp:lineTo x="860" y="20341"/>
              <wp:lineTo x="2334" y="20341"/>
              <wp:lineTo x="21379" y="20341"/>
              <wp:lineTo x="21379" y="0"/>
              <wp:lineTo x="2334" y="0"/>
              <wp:lineTo x="860" y="0"/>
            </wp:wrapPolygon>
          </wp:wrapTight>
          <wp:docPr id="4" name="图片 4" descr="QQ图片20161120185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161120185754"/>
                  <pic:cNvPicPr>
                    <a:picLocks noChangeAspect="1"/>
                  </pic:cNvPicPr>
                </pic:nvPicPr>
                <pic:blipFill>
                  <a:blip r:embed="rId1"/>
                  <a:stretch>
                    <a:fillRect/>
                  </a:stretch>
                </pic:blipFill>
                <pic:spPr>
                  <a:xfrm>
                    <a:off x="0" y="0"/>
                    <a:ext cx="3365938" cy="284661"/>
                  </a:xfrm>
                  <a:prstGeom prst="rect">
                    <a:avLst/>
                  </a:prstGeom>
                </pic:spPr>
              </pic:pic>
            </a:graphicData>
          </a:graphic>
        </wp:anchor>
      </w:drawing>
    </w:r>
    <w:r>
      <w:rPr>
        <w:rFonts w:hint="eastAsia" w:ascii="楷体" w:hAnsi="楷体" w:eastAsia="楷体" w:cs="楷体"/>
        <w:sz w:val="21"/>
        <w:szCs w:val="22"/>
      </w:rPr>
      <w:t>第四章 磋商、评审、成交</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tabs>
        <w:tab w:val="left" w:pos="7796"/>
        <w:tab w:val="right" w:pos="8647"/>
        <w:tab w:val="right" w:pos="8668"/>
        <w:tab w:val="clear" w:pos="8306"/>
      </w:tabs>
      <w:ind w:left="5985" w:hanging="5985" w:hangingChars="2850"/>
      <w:jc w:val="right"/>
      <w:rPr>
        <w:rFonts w:ascii="楷体" w:hAnsi="楷体" w:eastAsia="楷体" w:cs="楷体"/>
      </w:rPr>
    </w:pPr>
    <w:r>
      <w:rPr>
        <w:rFonts w:hint="eastAsia" w:ascii="楷体" w:hAnsi="楷体" w:eastAsia="楷体" w:cs="楷体"/>
        <w:sz w:val="21"/>
        <w:szCs w:val="22"/>
      </w:rPr>
      <w:drawing>
        <wp:anchor distT="0" distB="0" distL="114300" distR="114300" simplePos="0" relativeHeight="252078080" behindDoc="1" locked="0" layoutInCell="1" allowOverlap="1">
          <wp:simplePos x="0" y="0"/>
          <wp:positionH relativeFrom="column">
            <wp:posOffset>-571500</wp:posOffset>
          </wp:positionH>
          <wp:positionV relativeFrom="paragraph">
            <wp:posOffset>-153035</wp:posOffset>
          </wp:positionV>
          <wp:extent cx="3348990" cy="283210"/>
          <wp:effectExtent l="0" t="0" r="0" b="2540"/>
          <wp:wrapTight wrapText="bothSides">
            <wp:wrapPolygon>
              <wp:start x="860" y="0"/>
              <wp:lineTo x="0" y="1453"/>
              <wp:lineTo x="0" y="15982"/>
              <wp:lineTo x="860" y="20341"/>
              <wp:lineTo x="2334" y="20341"/>
              <wp:lineTo x="21379" y="20341"/>
              <wp:lineTo x="21379" y="0"/>
              <wp:lineTo x="2334" y="0"/>
              <wp:lineTo x="860" y="0"/>
            </wp:wrapPolygon>
          </wp:wrapTight>
          <wp:docPr id="12" name="图片 12" descr="QQ图片20161120185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QQ图片20161120185754"/>
                  <pic:cNvPicPr>
                    <a:picLocks noChangeAspect="1"/>
                  </pic:cNvPicPr>
                </pic:nvPicPr>
                <pic:blipFill>
                  <a:blip r:embed="rId1"/>
                  <a:stretch>
                    <a:fillRect/>
                  </a:stretch>
                </pic:blipFill>
                <pic:spPr>
                  <a:xfrm>
                    <a:off x="0" y="0"/>
                    <a:ext cx="3365938" cy="284661"/>
                  </a:xfrm>
                  <a:prstGeom prst="rect">
                    <a:avLst/>
                  </a:prstGeom>
                </pic:spPr>
              </pic:pic>
            </a:graphicData>
          </a:graphic>
        </wp:anchor>
      </w:drawing>
    </w:r>
    <w:r>
      <w:rPr>
        <w:rFonts w:hint="eastAsia" w:ascii="楷体" w:hAnsi="楷体" w:eastAsia="楷体" w:cs="楷体"/>
        <w:sz w:val="21"/>
        <w:szCs w:val="22"/>
      </w:rPr>
      <w:t>第五章 合同草案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tabs>
        <w:tab w:val="left" w:pos="7796"/>
        <w:tab w:val="right" w:pos="8647"/>
        <w:tab w:val="right" w:pos="8668"/>
        <w:tab w:val="clear" w:pos="8306"/>
      </w:tabs>
      <w:ind w:left="5985" w:hanging="5985" w:hangingChars="2850"/>
      <w:jc w:val="right"/>
      <w:rPr>
        <w:rFonts w:ascii="楷体" w:hAnsi="楷体" w:eastAsia="楷体" w:cs="楷体"/>
      </w:rPr>
    </w:pPr>
    <w:r>
      <w:rPr>
        <w:rFonts w:hint="eastAsia" w:ascii="楷体" w:hAnsi="楷体" w:eastAsia="楷体" w:cs="楷体"/>
        <w:sz w:val="21"/>
        <w:szCs w:val="22"/>
      </w:rPr>
      <w:drawing>
        <wp:anchor distT="0" distB="0" distL="114300" distR="114300" simplePos="0" relativeHeight="253079552" behindDoc="1" locked="0" layoutInCell="1" allowOverlap="1">
          <wp:simplePos x="0" y="0"/>
          <wp:positionH relativeFrom="column">
            <wp:posOffset>-571500</wp:posOffset>
          </wp:positionH>
          <wp:positionV relativeFrom="paragraph">
            <wp:posOffset>-153035</wp:posOffset>
          </wp:positionV>
          <wp:extent cx="3348990" cy="283210"/>
          <wp:effectExtent l="0" t="0" r="0" b="2540"/>
          <wp:wrapTight wrapText="bothSides">
            <wp:wrapPolygon>
              <wp:start x="860" y="0"/>
              <wp:lineTo x="0" y="1453"/>
              <wp:lineTo x="0" y="15982"/>
              <wp:lineTo x="860" y="20341"/>
              <wp:lineTo x="2334" y="20341"/>
              <wp:lineTo x="21379" y="20341"/>
              <wp:lineTo x="21379" y="0"/>
              <wp:lineTo x="2334" y="0"/>
              <wp:lineTo x="860" y="0"/>
            </wp:wrapPolygon>
          </wp:wrapTight>
          <wp:docPr id="14" name="图片 14" descr="QQ图片20161120185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QQ图片20161120185754"/>
                  <pic:cNvPicPr>
                    <a:picLocks noChangeAspect="1"/>
                  </pic:cNvPicPr>
                </pic:nvPicPr>
                <pic:blipFill>
                  <a:blip r:embed="rId1"/>
                  <a:stretch>
                    <a:fillRect/>
                  </a:stretch>
                </pic:blipFill>
                <pic:spPr>
                  <a:xfrm>
                    <a:off x="0" y="0"/>
                    <a:ext cx="3365938" cy="284661"/>
                  </a:xfrm>
                  <a:prstGeom prst="rect">
                    <a:avLst/>
                  </a:prstGeom>
                </pic:spPr>
              </pic:pic>
            </a:graphicData>
          </a:graphic>
        </wp:anchor>
      </w:drawing>
    </w:r>
    <w:r>
      <w:rPr>
        <w:rFonts w:hint="eastAsia" w:ascii="楷体" w:hAnsi="楷体" w:eastAsia="楷体" w:cs="楷体"/>
        <w:sz w:val="21"/>
        <w:szCs w:val="22"/>
      </w:rPr>
      <w:t>第六章 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13AAAF"/>
    <w:multiLevelType w:val="singleLevel"/>
    <w:tmpl w:val="A013AAAF"/>
    <w:lvl w:ilvl="0" w:tentative="0">
      <w:start w:val="1"/>
      <w:numFmt w:val="upperLetter"/>
      <w:suff w:val="nothing"/>
      <w:lvlText w:val="%1）"/>
      <w:lvlJc w:val="left"/>
    </w:lvl>
  </w:abstractNum>
  <w:abstractNum w:abstractNumId="1">
    <w:nsid w:val="AE5331A9"/>
    <w:multiLevelType w:val="singleLevel"/>
    <w:tmpl w:val="AE5331A9"/>
    <w:lvl w:ilvl="0" w:tentative="0">
      <w:start w:val="1"/>
      <w:numFmt w:val="upperLetter"/>
      <w:suff w:val="nothing"/>
      <w:lvlText w:val="%1）"/>
      <w:lvlJc w:val="left"/>
    </w:lvl>
  </w:abstractNum>
  <w:abstractNum w:abstractNumId="2">
    <w:nsid w:val="C9133DC0"/>
    <w:multiLevelType w:val="singleLevel"/>
    <w:tmpl w:val="C9133DC0"/>
    <w:lvl w:ilvl="0" w:tentative="0">
      <w:start w:val="1"/>
      <w:numFmt w:val="upperLetter"/>
      <w:lvlText w:val="%1)"/>
      <w:lvlJc w:val="left"/>
      <w:pPr>
        <w:tabs>
          <w:tab w:val="left" w:pos="312"/>
        </w:tabs>
      </w:pPr>
    </w:lvl>
  </w:abstractNum>
  <w:abstractNum w:abstractNumId="3">
    <w:nsid w:val="EA981BB4"/>
    <w:multiLevelType w:val="singleLevel"/>
    <w:tmpl w:val="EA981BB4"/>
    <w:lvl w:ilvl="0" w:tentative="0">
      <w:start w:val="1"/>
      <w:numFmt w:val="decimal"/>
      <w:suff w:val="nothing"/>
      <w:lvlText w:val="%1、"/>
      <w:lvlJc w:val="left"/>
    </w:lvl>
  </w:abstractNum>
  <w:abstractNum w:abstractNumId="4">
    <w:nsid w:val="F14F9C1A"/>
    <w:multiLevelType w:val="singleLevel"/>
    <w:tmpl w:val="F14F9C1A"/>
    <w:lvl w:ilvl="0" w:tentative="0">
      <w:start w:val="1"/>
      <w:numFmt w:val="chineseCounting"/>
      <w:suff w:val="nothing"/>
      <w:lvlText w:val="%1、"/>
      <w:lvlJc w:val="left"/>
      <w:pPr>
        <w:ind w:left="0" w:firstLine="420"/>
      </w:pPr>
      <w:rPr>
        <w:rFonts w:hint="eastAsia"/>
      </w:rPr>
    </w:lvl>
  </w:abstractNum>
  <w:abstractNum w:abstractNumId="5">
    <w:nsid w:val="00564169"/>
    <w:multiLevelType w:val="singleLevel"/>
    <w:tmpl w:val="00564169"/>
    <w:lvl w:ilvl="0" w:tentative="0">
      <w:start w:val="1"/>
      <w:numFmt w:val="upperLetter"/>
      <w:suff w:val="nothing"/>
      <w:lvlText w:val="%1）"/>
      <w:lvlJc w:val="left"/>
    </w:lvl>
  </w:abstractNum>
  <w:abstractNum w:abstractNumId="6">
    <w:nsid w:val="0813C8B4"/>
    <w:multiLevelType w:val="singleLevel"/>
    <w:tmpl w:val="0813C8B4"/>
    <w:lvl w:ilvl="0" w:tentative="0">
      <w:start w:val="1"/>
      <w:numFmt w:val="decimal"/>
      <w:suff w:val="nothing"/>
      <w:lvlText w:val="%1"/>
      <w:lvlJc w:val="left"/>
      <w:pPr>
        <w:ind w:left="0" w:firstLine="403"/>
      </w:pPr>
      <w:rPr>
        <w:rFonts w:hint="default"/>
      </w:rPr>
    </w:lvl>
  </w:abstractNum>
  <w:abstractNum w:abstractNumId="7">
    <w:nsid w:val="0C6D6F10"/>
    <w:multiLevelType w:val="multilevel"/>
    <w:tmpl w:val="0C6D6F1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8F6FCFB"/>
    <w:multiLevelType w:val="singleLevel"/>
    <w:tmpl w:val="18F6FCFB"/>
    <w:lvl w:ilvl="0" w:tentative="0">
      <w:start w:val="1"/>
      <w:numFmt w:val="upperLetter"/>
      <w:suff w:val="nothing"/>
      <w:lvlText w:val="%1）"/>
      <w:lvlJc w:val="left"/>
    </w:lvl>
  </w:abstractNum>
  <w:abstractNum w:abstractNumId="9">
    <w:nsid w:val="1FD93A90"/>
    <w:multiLevelType w:val="singleLevel"/>
    <w:tmpl w:val="1FD93A90"/>
    <w:lvl w:ilvl="0" w:tentative="0">
      <w:start w:val="1"/>
      <w:numFmt w:val="decimal"/>
      <w:suff w:val="nothing"/>
      <w:lvlText w:val="（%1）"/>
      <w:lvlJc w:val="left"/>
      <w:pPr>
        <w:ind w:left="0" w:firstLine="420"/>
      </w:pPr>
      <w:rPr>
        <w:rFonts w:hint="default"/>
      </w:rPr>
    </w:lvl>
  </w:abstractNum>
  <w:abstractNum w:abstractNumId="10">
    <w:nsid w:val="24671019"/>
    <w:multiLevelType w:val="singleLevel"/>
    <w:tmpl w:val="24671019"/>
    <w:lvl w:ilvl="0" w:tentative="0">
      <w:start w:val="1"/>
      <w:numFmt w:val="upperLetter"/>
      <w:suff w:val="nothing"/>
      <w:lvlText w:val="%1）"/>
      <w:lvlJc w:val="left"/>
    </w:lvl>
  </w:abstractNum>
  <w:abstractNum w:abstractNumId="11">
    <w:nsid w:val="51F2C4DD"/>
    <w:multiLevelType w:val="multilevel"/>
    <w:tmpl w:val="51F2C4DD"/>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5E32074"/>
    <w:multiLevelType w:val="multilevel"/>
    <w:tmpl w:val="55E3207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831974C"/>
    <w:multiLevelType w:val="singleLevel"/>
    <w:tmpl w:val="5831974C"/>
    <w:lvl w:ilvl="0" w:tentative="0">
      <w:start w:val="1"/>
      <w:numFmt w:val="decimalEnclosedCircleChinese"/>
      <w:suff w:val="nothing"/>
      <w:lvlText w:val="%1　"/>
      <w:lvlJc w:val="left"/>
      <w:pPr>
        <w:ind w:left="0" w:firstLine="400"/>
      </w:pPr>
      <w:rPr>
        <w:rFonts w:hint="eastAsia"/>
      </w:rPr>
    </w:lvl>
  </w:abstractNum>
  <w:abstractNum w:abstractNumId="14">
    <w:nsid w:val="5832F6F2"/>
    <w:multiLevelType w:val="singleLevel"/>
    <w:tmpl w:val="5832F6F2"/>
    <w:lvl w:ilvl="0" w:tentative="0">
      <w:start w:val="4"/>
      <w:numFmt w:val="decimal"/>
      <w:suff w:val="nothing"/>
      <w:lvlText w:val="%1."/>
      <w:lvlJc w:val="left"/>
    </w:lvl>
  </w:abstractNum>
  <w:abstractNum w:abstractNumId="15">
    <w:nsid w:val="594B8A99"/>
    <w:multiLevelType w:val="singleLevel"/>
    <w:tmpl w:val="594B8A99"/>
    <w:lvl w:ilvl="0" w:tentative="0">
      <w:start w:val="1"/>
      <w:numFmt w:val="chineseCounting"/>
      <w:suff w:val="nothing"/>
      <w:lvlText w:val="%1、"/>
      <w:lvlJc w:val="left"/>
    </w:lvl>
  </w:abstractNum>
  <w:abstractNum w:abstractNumId="16">
    <w:nsid w:val="594C6C8A"/>
    <w:multiLevelType w:val="singleLevel"/>
    <w:tmpl w:val="594C6C8A"/>
    <w:lvl w:ilvl="0" w:tentative="0">
      <w:start w:val="1"/>
      <w:numFmt w:val="chineseCounting"/>
      <w:suff w:val="nothing"/>
      <w:lvlText w:val="%1、"/>
      <w:lvlJc w:val="left"/>
    </w:lvl>
  </w:abstractNum>
  <w:abstractNum w:abstractNumId="17">
    <w:nsid w:val="60D64947"/>
    <w:multiLevelType w:val="multilevel"/>
    <w:tmpl w:val="60D64947"/>
    <w:lvl w:ilvl="0" w:tentative="0">
      <w:start w:val="1"/>
      <w:numFmt w:val="decimal"/>
      <w:pStyle w:val="60"/>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8">
    <w:nsid w:val="63BC7DAF"/>
    <w:multiLevelType w:val="multilevel"/>
    <w:tmpl w:val="63BC7DA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91C9D46"/>
    <w:multiLevelType w:val="singleLevel"/>
    <w:tmpl w:val="791C9D46"/>
    <w:lvl w:ilvl="0" w:tentative="0">
      <w:start w:val="1"/>
      <w:numFmt w:val="upperLetter"/>
      <w:suff w:val="nothing"/>
      <w:lvlText w:val="%1）"/>
      <w:lvlJc w:val="left"/>
    </w:lvl>
  </w:abstractNum>
  <w:abstractNum w:abstractNumId="20">
    <w:nsid w:val="7ED1EA41"/>
    <w:multiLevelType w:val="singleLevel"/>
    <w:tmpl w:val="7ED1EA41"/>
    <w:lvl w:ilvl="0" w:tentative="0">
      <w:start w:val="1"/>
      <w:numFmt w:val="decimal"/>
      <w:suff w:val="nothing"/>
      <w:lvlText w:val="（%1）"/>
      <w:lvlJc w:val="left"/>
    </w:lvl>
  </w:abstractNum>
  <w:num w:numId="1">
    <w:abstractNumId w:val="17"/>
  </w:num>
  <w:num w:numId="2">
    <w:abstractNumId w:val="4"/>
  </w:num>
  <w:num w:numId="3">
    <w:abstractNumId w:val="16"/>
  </w:num>
  <w:num w:numId="4">
    <w:abstractNumId w:val="13"/>
  </w:num>
  <w:num w:numId="5">
    <w:abstractNumId w:val="3"/>
  </w:num>
  <w:num w:numId="6">
    <w:abstractNumId w:val="20"/>
  </w:num>
  <w:num w:numId="7">
    <w:abstractNumId w:val="0"/>
  </w:num>
  <w:num w:numId="8">
    <w:abstractNumId w:val="1"/>
  </w:num>
  <w:num w:numId="9">
    <w:abstractNumId w:val="19"/>
  </w:num>
  <w:num w:numId="10">
    <w:abstractNumId w:val="2"/>
  </w:num>
  <w:num w:numId="11">
    <w:abstractNumId w:val="8"/>
  </w:num>
  <w:num w:numId="12">
    <w:abstractNumId w:val="10"/>
  </w:num>
  <w:num w:numId="13">
    <w:abstractNumId w:val="5"/>
  </w:num>
  <w:num w:numId="14">
    <w:abstractNumId w:val="6"/>
  </w:num>
  <w:num w:numId="15">
    <w:abstractNumId w:val="14"/>
  </w:num>
  <w:num w:numId="16">
    <w:abstractNumId w:val="12"/>
  </w:num>
  <w:num w:numId="17">
    <w:abstractNumId w:val="15"/>
  </w:num>
  <w:num w:numId="18">
    <w:abstractNumId w:val="18"/>
  </w:num>
  <w:num w:numId="19">
    <w:abstractNumId w:val="9"/>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A7B"/>
    <w:rsid w:val="00020AB4"/>
    <w:rsid w:val="00053743"/>
    <w:rsid w:val="0006509B"/>
    <w:rsid w:val="000D1C04"/>
    <w:rsid w:val="0012041E"/>
    <w:rsid w:val="00160CDB"/>
    <w:rsid w:val="00172A27"/>
    <w:rsid w:val="001B035A"/>
    <w:rsid w:val="001C2812"/>
    <w:rsid w:val="001C47C1"/>
    <w:rsid w:val="001E20C9"/>
    <w:rsid w:val="00201FD0"/>
    <w:rsid w:val="00225153"/>
    <w:rsid w:val="00227BBE"/>
    <w:rsid w:val="002B1F9F"/>
    <w:rsid w:val="002C1788"/>
    <w:rsid w:val="002E72EA"/>
    <w:rsid w:val="002F418E"/>
    <w:rsid w:val="00323B37"/>
    <w:rsid w:val="003B3BC4"/>
    <w:rsid w:val="00402913"/>
    <w:rsid w:val="00411859"/>
    <w:rsid w:val="0043535F"/>
    <w:rsid w:val="00451599"/>
    <w:rsid w:val="005062DC"/>
    <w:rsid w:val="0050631D"/>
    <w:rsid w:val="005219FA"/>
    <w:rsid w:val="00521C61"/>
    <w:rsid w:val="005318DE"/>
    <w:rsid w:val="00554AD9"/>
    <w:rsid w:val="005A07D3"/>
    <w:rsid w:val="005B0178"/>
    <w:rsid w:val="005D59DD"/>
    <w:rsid w:val="005D6F05"/>
    <w:rsid w:val="00626955"/>
    <w:rsid w:val="006647ED"/>
    <w:rsid w:val="00677994"/>
    <w:rsid w:val="006858F3"/>
    <w:rsid w:val="00696F96"/>
    <w:rsid w:val="006A087D"/>
    <w:rsid w:val="006B0A30"/>
    <w:rsid w:val="007151F8"/>
    <w:rsid w:val="007160A4"/>
    <w:rsid w:val="00743607"/>
    <w:rsid w:val="0076438D"/>
    <w:rsid w:val="00772FFD"/>
    <w:rsid w:val="00782E1E"/>
    <w:rsid w:val="007C589F"/>
    <w:rsid w:val="007F411C"/>
    <w:rsid w:val="00837073"/>
    <w:rsid w:val="008C35B6"/>
    <w:rsid w:val="008D2B0D"/>
    <w:rsid w:val="008D778A"/>
    <w:rsid w:val="008E177D"/>
    <w:rsid w:val="008E2AC5"/>
    <w:rsid w:val="008F6046"/>
    <w:rsid w:val="0091591C"/>
    <w:rsid w:val="00941F93"/>
    <w:rsid w:val="00947F76"/>
    <w:rsid w:val="0097576A"/>
    <w:rsid w:val="00976EFA"/>
    <w:rsid w:val="009969A5"/>
    <w:rsid w:val="009C6DE9"/>
    <w:rsid w:val="009E4342"/>
    <w:rsid w:val="00A07985"/>
    <w:rsid w:val="00A84FA9"/>
    <w:rsid w:val="00B4023B"/>
    <w:rsid w:val="00B5162B"/>
    <w:rsid w:val="00B5556C"/>
    <w:rsid w:val="00B610AB"/>
    <w:rsid w:val="00B95495"/>
    <w:rsid w:val="00BA7FCC"/>
    <w:rsid w:val="00BB22BB"/>
    <w:rsid w:val="00BC11B8"/>
    <w:rsid w:val="00BF13AC"/>
    <w:rsid w:val="00C36C6D"/>
    <w:rsid w:val="00C42438"/>
    <w:rsid w:val="00C50CD5"/>
    <w:rsid w:val="00C67385"/>
    <w:rsid w:val="00C72330"/>
    <w:rsid w:val="00C77692"/>
    <w:rsid w:val="00C77A84"/>
    <w:rsid w:val="00C841FE"/>
    <w:rsid w:val="00C87829"/>
    <w:rsid w:val="00CA5A1F"/>
    <w:rsid w:val="00CC0591"/>
    <w:rsid w:val="00CC6698"/>
    <w:rsid w:val="00D2315D"/>
    <w:rsid w:val="00D33BED"/>
    <w:rsid w:val="00D341DD"/>
    <w:rsid w:val="00D367E0"/>
    <w:rsid w:val="00D47CBE"/>
    <w:rsid w:val="00DB0EEA"/>
    <w:rsid w:val="00DD0706"/>
    <w:rsid w:val="00DE785B"/>
    <w:rsid w:val="00E04379"/>
    <w:rsid w:val="00E11B91"/>
    <w:rsid w:val="00E330AA"/>
    <w:rsid w:val="00E62913"/>
    <w:rsid w:val="00EA38D7"/>
    <w:rsid w:val="00ED6606"/>
    <w:rsid w:val="00F02FDA"/>
    <w:rsid w:val="00F61B0D"/>
    <w:rsid w:val="00F71FE8"/>
    <w:rsid w:val="00F8203F"/>
    <w:rsid w:val="00FA664C"/>
    <w:rsid w:val="00FA7F53"/>
    <w:rsid w:val="00FC3E9A"/>
    <w:rsid w:val="011E0F8A"/>
    <w:rsid w:val="0129636C"/>
    <w:rsid w:val="01423609"/>
    <w:rsid w:val="01925D17"/>
    <w:rsid w:val="0197025F"/>
    <w:rsid w:val="01A451A6"/>
    <w:rsid w:val="01A701F5"/>
    <w:rsid w:val="01C53FD0"/>
    <w:rsid w:val="0243089D"/>
    <w:rsid w:val="02BF4DBF"/>
    <w:rsid w:val="02DF28EE"/>
    <w:rsid w:val="02E10F1D"/>
    <w:rsid w:val="02E37CFC"/>
    <w:rsid w:val="02F90B8F"/>
    <w:rsid w:val="032E42BF"/>
    <w:rsid w:val="033354A4"/>
    <w:rsid w:val="03987E98"/>
    <w:rsid w:val="03A14AF6"/>
    <w:rsid w:val="03BD07C5"/>
    <w:rsid w:val="03D64C73"/>
    <w:rsid w:val="0411327E"/>
    <w:rsid w:val="04417A0B"/>
    <w:rsid w:val="045276D7"/>
    <w:rsid w:val="046F2419"/>
    <w:rsid w:val="04D56055"/>
    <w:rsid w:val="04F23EB4"/>
    <w:rsid w:val="053D746B"/>
    <w:rsid w:val="058E73CA"/>
    <w:rsid w:val="05C374FE"/>
    <w:rsid w:val="05DA02BF"/>
    <w:rsid w:val="05DA1A50"/>
    <w:rsid w:val="05FE7237"/>
    <w:rsid w:val="0621793C"/>
    <w:rsid w:val="063A7980"/>
    <w:rsid w:val="06A002FC"/>
    <w:rsid w:val="06A158A5"/>
    <w:rsid w:val="06D03AE9"/>
    <w:rsid w:val="06EE1C88"/>
    <w:rsid w:val="06F11EF5"/>
    <w:rsid w:val="06F51A48"/>
    <w:rsid w:val="080611B6"/>
    <w:rsid w:val="080A0AD7"/>
    <w:rsid w:val="08143CBB"/>
    <w:rsid w:val="084F1085"/>
    <w:rsid w:val="085345A2"/>
    <w:rsid w:val="08A932FF"/>
    <w:rsid w:val="08E42E0D"/>
    <w:rsid w:val="08E525A6"/>
    <w:rsid w:val="093D4AC7"/>
    <w:rsid w:val="095C2C60"/>
    <w:rsid w:val="09682DE6"/>
    <w:rsid w:val="09745AE2"/>
    <w:rsid w:val="09812E82"/>
    <w:rsid w:val="09855C8C"/>
    <w:rsid w:val="09E84945"/>
    <w:rsid w:val="0A5247A6"/>
    <w:rsid w:val="0A5D7141"/>
    <w:rsid w:val="0A764ABF"/>
    <w:rsid w:val="0A8B17AD"/>
    <w:rsid w:val="0AB163B1"/>
    <w:rsid w:val="0AE027AA"/>
    <w:rsid w:val="0AEA0857"/>
    <w:rsid w:val="0AF150E4"/>
    <w:rsid w:val="0BDF2846"/>
    <w:rsid w:val="0BE347D7"/>
    <w:rsid w:val="0BFD1363"/>
    <w:rsid w:val="0C1952E7"/>
    <w:rsid w:val="0C1A27EE"/>
    <w:rsid w:val="0C3D0139"/>
    <w:rsid w:val="0C4F43CA"/>
    <w:rsid w:val="0C7D3BD1"/>
    <w:rsid w:val="0C885E8E"/>
    <w:rsid w:val="0CA25BE2"/>
    <w:rsid w:val="0CC90D2A"/>
    <w:rsid w:val="0CF8088E"/>
    <w:rsid w:val="0D26031E"/>
    <w:rsid w:val="0D2F247D"/>
    <w:rsid w:val="0DAA5E20"/>
    <w:rsid w:val="0DCF21C6"/>
    <w:rsid w:val="0DD7288C"/>
    <w:rsid w:val="0DE54005"/>
    <w:rsid w:val="0E071486"/>
    <w:rsid w:val="0E550AED"/>
    <w:rsid w:val="0E780B3F"/>
    <w:rsid w:val="0EA03EFA"/>
    <w:rsid w:val="0EE34646"/>
    <w:rsid w:val="0F026DB0"/>
    <w:rsid w:val="0F2B027A"/>
    <w:rsid w:val="0F3D7D3B"/>
    <w:rsid w:val="0F811925"/>
    <w:rsid w:val="0FB66610"/>
    <w:rsid w:val="0FB7248A"/>
    <w:rsid w:val="0FDA7656"/>
    <w:rsid w:val="101D2D89"/>
    <w:rsid w:val="102A2E1D"/>
    <w:rsid w:val="102C4993"/>
    <w:rsid w:val="10343376"/>
    <w:rsid w:val="104F4014"/>
    <w:rsid w:val="108D025C"/>
    <w:rsid w:val="11012235"/>
    <w:rsid w:val="11526501"/>
    <w:rsid w:val="117B0A6F"/>
    <w:rsid w:val="117B5508"/>
    <w:rsid w:val="11B72423"/>
    <w:rsid w:val="11BD3226"/>
    <w:rsid w:val="11E12566"/>
    <w:rsid w:val="11FC5448"/>
    <w:rsid w:val="12254624"/>
    <w:rsid w:val="123323A0"/>
    <w:rsid w:val="123B1C04"/>
    <w:rsid w:val="123E6AD6"/>
    <w:rsid w:val="125B5D67"/>
    <w:rsid w:val="125C2D56"/>
    <w:rsid w:val="12AF046B"/>
    <w:rsid w:val="130046D9"/>
    <w:rsid w:val="130D3A65"/>
    <w:rsid w:val="13195B1E"/>
    <w:rsid w:val="136C451A"/>
    <w:rsid w:val="13903AB9"/>
    <w:rsid w:val="13A235BA"/>
    <w:rsid w:val="14013489"/>
    <w:rsid w:val="140A30C4"/>
    <w:rsid w:val="14115F1C"/>
    <w:rsid w:val="142A4139"/>
    <w:rsid w:val="143E6057"/>
    <w:rsid w:val="145F7464"/>
    <w:rsid w:val="14B25610"/>
    <w:rsid w:val="14CD6635"/>
    <w:rsid w:val="14D52EFC"/>
    <w:rsid w:val="15556F03"/>
    <w:rsid w:val="15714E00"/>
    <w:rsid w:val="15A536E3"/>
    <w:rsid w:val="15D813C4"/>
    <w:rsid w:val="15F31E2A"/>
    <w:rsid w:val="16137836"/>
    <w:rsid w:val="1633245C"/>
    <w:rsid w:val="16427DAE"/>
    <w:rsid w:val="164C64A3"/>
    <w:rsid w:val="16525B4F"/>
    <w:rsid w:val="16694204"/>
    <w:rsid w:val="16BA141D"/>
    <w:rsid w:val="16BB0450"/>
    <w:rsid w:val="16D6370C"/>
    <w:rsid w:val="16DA617D"/>
    <w:rsid w:val="17084A12"/>
    <w:rsid w:val="1724077F"/>
    <w:rsid w:val="1731032B"/>
    <w:rsid w:val="175C2454"/>
    <w:rsid w:val="178B77CB"/>
    <w:rsid w:val="17C741D2"/>
    <w:rsid w:val="17D35E3C"/>
    <w:rsid w:val="18152F43"/>
    <w:rsid w:val="18282161"/>
    <w:rsid w:val="184E7458"/>
    <w:rsid w:val="185601BB"/>
    <w:rsid w:val="186D5F37"/>
    <w:rsid w:val="187F5BE0"/>
    <w:rsid w:val="18E757B6"/>
    <w:rsid w:val="191F00F8"/>
    <w:rsid w:val="196D321E"/>
    <w:rsid w:val="19B84DDD"/>
    <w:rsid w:val="19FD1693"/>
    <w:rsid w:val="1A133BCD"/>
    <w:rsid w:val="1A2C1A45"/>
    <w:rsid w:val="1A603156"/>
    <w:rsid w:val="1A685431"/>
    <w:rsid w:val="1A693DE6"/>
    <w:rsid w:val="1AB621F6"/>
    <w:rsid w:val="1ADA53BA"/>
    <w:rsid w:val="1B304D09"/>
    <w:rsid w:val="1B455705"/>
    <w:rsid w:val="1B4F1AAC"/>
    <w:rsid w:val="1B76217A"/>
    <w:rsid w:val="1BC74974"/>
    <w:rsid w:val="1BCE4656"/>
    <w:rsid w:val="1BCF063D"/>
    <w:rsid w:val="1BDF2097"/>
    <w:rsid w:val="1BF4580D"/>
    <w:rsid w:val="1BFE3170"/>
    <w:rsid w:val="1C0A4179"/>
    <w:rsid w:val="1C0C401E"/>
    <w:rsid w:val="1C956DD7"/>
    <w:rsid w:val="1CA86748"/>
    <w:rsid w:val="1D4D6CC8"/>
    <w:rsid w:val="1D701AB6"/>
    <w:rsid w:val="1D7A78A7"/>
    <w:rsid w:val="1D8E5D9C"/>
    <w:rsid w:val="1DCE40BD"/>
    <w:rsid w:val="1E0E0BAD"/>
    <w:rsid w:val="1E2F6299"/>
    <w:rsid w:val="1ECA4C6B"/>
    <w:rsid w:val="1EE05E3E"/>
    <w:rsid w:val="1EF806A8"/>
    <w:rsid w:val="1F592CE8"/>
    <w:rsid w:val="1F5C5543"/>
    <w:rsid w:val="1F6A00E1"/>
    <w:rsid w:val="1F6F100F"/>
    <w:rsid w:val="1F7816A0"/>
    <w:rsid w:val="1FA97529"/>
    <w:rsid w:val="1FC646E5"/>
    <w:rsid w:val="1FE95608"/>
    <w:rsid w:val="20147AC8"/>
    <w:rsid w:val="20447145"/>
    <w:rsid w:val="205B7BFB"/>
    <w:rsid w:val="20AF21B7"/>
    <w:rsid w:val="20B63C5F"/>
    <w:rsid w:val="20C262B3"/>
    <w:rsid w:val="20EA22E2"/>
    <w:rsid w:val="20F636EA"/>
    <w:rsid w:val="210A39BF"/>
    <w:rsid w:val="215B52FF"/>
    <w:rsid w:val="21933B0A"/>
    <w:rsid w:val="21BE6581"/>
    <w:rsid w:val="22172335"/>
    <w:rsid w:val="2218350C"/>
    <w:rsid w:val="22506B6C"/>
    <w:rsid w:val="22AE6459"/>
    <w:rsid w:val="22B30C34"/>
    <w:rsid w:val="22C4211B"/>
    <w:rsid w:val="22FA2AD1"/>
    <w:rsid w:val="230E4E9A"/>
    <w:rsid w:val="2313229E"/>
    <w:rsid w:val="231B40E0"/>
    <w:rsid w:val="235C6FF2"/>
    <w:rsid w:val="23AF079F"/>
    <w:rsid w:val="23BA0904"/>
    <w:rsid w:val="23C81E13"/>
    <w:rsid w:val="240A648B"/>
    <w:rsid w:val="244029CA"/>
    <w:rsid w:val="245A41F6"/>
    <w:rsid w:val="24651A31"/>
    <w:rsid w:val="24921DE3"/>
    <w:rsid w:val="249C420F"/>
    <w:rsid w:val="24AC69FD"/>
    <w:rsid w:val="24C33F30"/>
    <w:rsid w:val="24EF2AFA"/>
    <w:rsid w:val="25215408"/>
    <w:rsid w:val="25303AE7"/>
    <w:rsid w:val="25492A6C"/>
    <w:rsid w:val="25CD43F8"/>
    <w:rsid w:val="260B3AF5"/>
    <w:rsid w:val="26260A33"/>
    <w:rsid w:val="262742F6"/>
    <w:rsid w:val="262A20A9"/>
    <w:rsid w:val="267B5038"/>
    <w:rsid w:val="26821136"/>
    <w:rsid w:val="26DD46DC"/>
    <w:rsid w:val="26DF2645"/>
    <w:rsid w:val="27500141"/>
    <w:rsid w:val="276420EF"/>
    <w:rsid w:val="27CD1809"/>
    <w:rsid w:val="27FD443D"/>
    <w:rsid w:val="28176C25"/>
    <w:rsid w:val="283E2B3C"/>
    <w:rsid w:val="283F5812"/>
    <w:rsid w:val="28462DD7"/>
    <w:rsid w:val="286738B2"/>
    <w:rsid w:val="287C2E6F"/>
    <w:rsid w:val="289A4E20"/>
    <w:rsid w:val="28A67B36"/>
    <w:rsid w:val="29155D4A"/>
    <w:rsid w:val="295D44B9"/>
    <w:rsid w:val="299F103E"/>
    <w:rsid w:val="29C208C5"/>
    <w:rsid w:val="29F455B4"/>
    <w:rsid w:val="2A232B05"/>
    <w:rsid w:val="2A5676DD"/>
    <w:rsid w:val="2A702555"/>
    <w:rsid w:val="2A721C64"/>
    <w:rsid w:val="2A985E98"/>
    <w:rsid w:val="2B4477BA"/>
    <w:rsid w:val="2B5657D2"/>
    <w:rsid w:val="2BF12279"/>
    <w:rsid w:val="2BFC5C75"/>
    <w:rsid w:val="2C0402E0"/>
    <w:rsid w:val="2C7648CD"/>
    <w:rsid w:val="2C917E80"/>
    <w:rsid w:val="2CB67038"/>
    <w:rsid w:val="2CBC561E"/>
    <w:rsid w:val="2CFB68DF"/>
    <w:rsid w:val="2D1917B7"/>
    <w:rsid w:val="2D3957C0"/>
    <w:rsid w:val="2DE039CF"/>
    <w:rsid w:val="2E0F7D77"/>
    <w:rsid w:val="2E177AFA"/>
    <w:rsid w:val="2E284084"/>
    <w:rsid w:val="2E430DC7"/>
    <w:rsid w:val="2E6801B5"/>
    <w:rsid w:val="2E7C2607"/>
    <w:rsid w:val="2EA26853"/>
    <w:rsid w:val="2EC25D9B"/>
    <w:rsid w:val="2ECC665A"/>
    <w:rsid w:val="2F050A44"/>
    <w:rsid w:val="2F1B3E45"/>
    <w:rsid w:val="2F300364"/>
    <w:rsid w:val="2F310144"/>
    <w:rsid w:val="2F3F6CD0"/>
    <w:rsid w:val="2F4E702F"/>
    <w:rsid w:val="2F5433F6"/>
    <w:rsid w:val="2F5857BA"/>
    <w:rsid w:val="300E120D"/>
    <w:rsid w:val="30165069"/>
    <w:rsid w:val="30240BDC"/>
    <w:rsid w:val="30274C75"/>
    <w:rsid w:val="3081614C"/>
    <w:rsid w:val="309749CB"/>
    <w:rsid w:val="309E4273"/>
    <w:rsid w:val="30AF379D"/>
    <w:rsid w:val="30BA0758"/>
    <w:rsid w:val="30BF1521"/>
    <w:rsid w:val="312426D7"/>
    <w:rsid w:val="31501B8D"/>
    <w:rsid w:val="31C53176"/>
    <w:rsid w:val="31D97D82"/>
    <w:rsid w:val="322B7D8F"/>
    <w:rsid w:val="324746EF"/>
    <w:rsid w:val="325578CA"/>
    <w:rsid w:val="32753C5C"/>
    <w:rsid w:val="327D36AC"/>
    <w:rsid w:val="32862AA9"/>
    <w:rsid w:val="32A56F27"/>
    <w:rsid w:val="32B74EC6"/>
    <w:rsid w:val="32C60D97"/>
    <w:rsid w:val="32CF3B8C"/>
    <w:rsid w:val="32D9559E"/>
    <w:rsid w:val="32FE4261"/>
    <w:rsid w:val="3314175B"/>
    <w:rsid w:val="337A35DA"/>
    <w:rsid w:val="33BA3471"/>
    <w:rsid w:val="33E85D46"/>
    <w:rsid w:val="33F876B5"/>
    <w:rsid w:val="34631823"/>
    <w:rsid w:val="347004E1"/>
    <w:rsid w:val="3483347C"/>
    <w:rsid w:val="34AE79DA"/>
    <w:rsid w:val="34AF44FA"/>
    <w:rsid w:val="34EF5490"/>
    <w:rsid w:val="35071906"/>
    <w:rsid w:val="35481FBA"/>
    <w:rsid w:val="35BF61E8"/>
    <w:rsid w:val="3633776F"/>
    <w:rsid w:val="363A20C0"/>
    <w:rsid w:val="3648501E"/>
    <w:rsid w:val="365D6403"/>
    <w:rsid w:val="36C20BF1"/>
    <w:rsid w:val="36CC7EA9"/>
    <w:rsid w:val="36E77D03"/>
    <w:rsid w:val="370D6B04"/>
    <w:rsid w:val="373C0D85"/>
    <w:rsid w:val="37612D74"/>
    <w:rsid w:val="37854071"/>
    <w:rsid w:val="37D12591"/>
    <w:rsid w:val="37D61AB9"/>
    <w:rsid w:val="37F0110C"/>
    <w:rsid w:val="37F95D8F"/>
    <w:rsid w:val="38276254"/>
    <w:rsid w:val="386A2479"/>
    <w:rsid w:val="386D6A8B"/>
    <w:rsid w:val="387F3B1B"/>
    <w:rsid w:val="38BE2795"/>
    <w:rsid w:val="38CC3750"/>
    <w:rsid w:val="38F86CC5"/>
    <w:rsid w:val="39047371"/>
    <w:rsid w:val="398969C7"/>
    <w:rsid w:val="399B4D29"/>
    <w:rsid w:val="39BD35DD"/>
    <w:rsid w:val="3A362F66"/>
    <w:rsid w:val="3AAD7DA0"/>
    <w:rsid w:val="3ACE7AF5"/>
    <w:rsid w:val="3AED34DC"/>
    <w:rsid w:val="3B016C9F"/>
    <w:rsid w:val="3B240DAB"/>
    <w:rsid w:val="3B950CA4"/>
    <w:rsid w:val="3BA44A09"/>
    <w:rsid w:val="3BC50BF6"/>
    <w:rsid w:val="3BD4009F"/>
    <w:rsid w:val="3BD47EDC"/>
    <w:rsid w:val="3C0C5B6F"/>
    <w:rsid w:val="3C286DEC"/>
    <w:rsid w:val="3C2B4FF5"/>
    <w:rsid w:val="3C31757F"/>
    <w:rsid w:val="3C9B06E8"/>
    <w:rsid w:val="3C9C31CA"/>
    <w:rsid w:val="3CAA715C"/>
    <w:rsid w:val="3CB1014D"/>
    <w:rsid w:val="3CBE3B78"/>
    <w:rsid w:val="3CD37E81"/>
    <w:rsid w:val="3CED2106"/>
    <w:rsid w:val="3D074DEC"/>
    <w:rsid w:val="3D174A79"/>
    <w:rsid w:val="3D197FB9"/>
    <w:rsid w:val="3D5C7208"/>
    <w:rsid w:val="3D8015A4"/>
    <w:rsid w:val="3D88553C"/>
    <w:rsid w:val="3D8D013F"/>
    <w:rsid w:val="3DA74C4C"/>
    <w:rsid w:val="3DAD426B"/>
    <w:rsid w:val="3E192595"/>
    <w:rsid w:val="3E1B7F5D"/>
    <w:rsid w:val="3E1F7B64"/>
    <w:rsid w:val="3E2C261D"/>
    <w:rsid w:val="3E654044"/>
    <w:rsid w:val="3E7379FA"/>
    <w:rsid w:val="3EBC5BAC"/>
    <w:rsid w:val="3EC95138"/>
    <w:rsid w:val="3F271D96"/>
    <w:rsid w:val="3F43499D"/>
    <w:rsid w:val="3FC03C0B"/>
    <w:rsid w:val="400B5243"/>
    <w:rsid w:val="402F1F77"/>
    <w:rsid w:val="406A2FF5"/>
    <w:rsid w:val="40833D8C"/>
    <w:rsid w:val="408E7B33"/>
    <w:rsid w:val="40EE37A7"/>
    <w:rsid w:val="40F81471"/>
    <w:rsid w:val="41004B08"/>
    <w:rsid w:val="410812B5"/>
    <w:rsid w:val="412467ED"/>
    <w:rsid w:val="414E37D0"/>
    <w:rsid w:val="41544C6F"/>
    <w:rsid w:val="41547569"/>
    <w:rsid w:val="41554E46"/>
    <w:rsid w:val="41562E20"/>
    <w:rsid w:val="41620EEC"/>
    <w:rsid w:val="417E0028"/>
    <w:rsid w:val="4200265E"/>
    <w:rsid w:val="423710BA"/>
    <w:rsid w:val="426A298F"/>
    <w:rsid w:val="426B18DD"/>
    <w:rsid w:val="428F34E6"/>
    <w:rsid w:val="432E4386"/>
    <w:rsid w:val="43342D52"/>
    <w:rsid w:val="433915E5"/>
    <w:rsid w:val="435645D9"/>
    <w:rsid w:val="43853DBA"/>
    <w:rsid w:val="438A0A16"/>
    <w:rsid w:val="43A30046"/>
    <w:rsid w:val="43A90083"/>
    <w:rsid w:val="43C915F4"/>
    <w:rsid w:val="43CE36A5"/>
    <w:rsid w:val="442A5414"/>
    <w:rsid w:val="442C5C48"/>
    <w:rsid w:val="446E317E"/>
    <w:rsid w:val="44A7795B"/>
    <w:rsid w:val="44FB7A1E"/>
    <w:rsid w:val="450C1FA1"/>
    <w:rsid w:val="453F1A1C"/>
    <w:rsid w:val="45460617"/>
    <w:rsid w:val="45825102"/>
    <w:rsid w:val="45AC75D5"/>
    <w:rsid w:val="45FC1FD9"/>
    <w:rsid w:val="465E70B8"/>
    <w:rsid w:val="46617B77"/>
    <w:rsid w:val="46632E27"/>
    <w:rsid w:val="46C43ABD"/>
    <w:rsid w:val="47233DAE"/>
    <w:rsid w:val="474D5280"/>
    <w:rsid w:val="47605D17"/>
    <w:rsid w:val="47793228"/>
    <w:rsid w:val="47B411F6"/>
    <w:rsid w:val="47D1457C"/>
    <w:rsid w:val="48194317"/>
    <w:rsid w:val="48334E2C"/>
    <w:rsid w:val="48A361F9"/>
    <w:rsid w:val="48F70B36"/>
    <w:rsid w:val="490E3896"/>
    <w:rsid w:val="495C14E8"/>
    <w:rsid w:val="495C6748"/>
    <w:rsid w:val="497820BE"/>
    <w:rsid w:val="499231F6"/>
    <w:rsid w:val="49B04F3D"/>
    <w:rsid w:val="4A292A4E"/>
    <w:rsid w:val="4A462017"/>
    <w:rsid w:val="4A624B2C"/>
    <w:rsid w:val="4AC67DCF"/>
    <w:rsid w:val="4AD57312"/>
    <w:rsid w:val="4AE34CC4"/>
    <w:rsid w:val="4AE930B3"/>
    <w:rsid w:val="4AF211B3"/>
    <w:rsid w:val="4AF42CA7"/>
    <w:rsid w:val="4B105330"/>
    <w:rsid w:val="4B554871"/>
    <w:rsid w:val="4B8A663F"/>
    <w:rsid w:val="4BB947D2"/>
    <w:rsid w:val="4C071A3A"/>
    <w:rsid w:val="4C0C25C5"/>
    <w:rsid w:val="4C1A4F30"/>
    <w:rsid w:val="4C1C6B5B"/>
    <w:rsid w:val="4C4D7968"/>
    <w:rsid w:val="4C7F04FF"/>
    <w:rsid w:val="4C8311C2"/>
    <w:rsid w:val="4CB50ADE"/>
    <w:rsid w:val="4CED2262"/>
    <w:rsid w:val="4D4F5FF9"/>
    <w:rsid w:val="4D8A33D5"/>
    <w:rsid w:val="4DB0376E"/>
    <w:rsid w:val="4DDE4908"/>
    <w:rsid w:val="4E093555"/>
    <w:rsid w:val="4E810B67"/>
    <w:rsid w:val="4ED4669A"/>
    <w:rsid w:val="4EEC0068"/>
    <w:rsid w:val="4F03017A"/>
    <w:rsid w:val="4F042C59"/>
    <w:rsid w:val="4F21506D"/>
    <w:rsid w:val="4F2B3D4C"/>
    <w:rsid w:val="4F6451D6"/>
    <w:rsid w:val="4F6861B8"/>
    <w:rsid w:val="4F9172A2"/>
    <w:rsid w:val="505C630F"/>
    <w:rsid w:val="50691F19"/>
    <w:rsid w:val="506E56A3"/>
    <w:rsid w:val="50754B2A"/>
    <w:rsid w:val="508E2DC8"/>
    <w:rsid w:val="50B63067"/>
    <w:rsid w:val="50E32E46"/>
    <w:rsid w:val="50F06334"/>
    <w:rsid w:val="512A7254"/>
    <w:rsid w:val="51394C70"/>
    <w:rsid w:val="517F3511"/>
    <w:rsid w:val="51806737"/>
    <w:rsid w:val="519027E1"/>
    <w:rsid w:val="51C978E8"/>
    <w:rsid w:val="51D22241"/>
    <w:rsid w:val="51E74ED8"/>
    <w:rsid w:val="521770D1"/>
    <w:rsid w:val="522B5F77"/>
    <w:rsid w:val="52360829"/>
    <w:rsid w:val="52472717"/>
    <w:rsid w:val="52506F4D"/>
    <w:rsid w:val="52727289"/>
    <w:rsid w:val="528B6B1E"/>
    <w:rsid w:val="52B8560B"/>
    <w:rsid w:val="52BB5B8F"/>
    <w:rsid w:val="52C20383"/>
    <w:rsid w:val="52D62A9E"/>
    <w:rsid w:val="52DD5AC4"/>
    <w:rsid w:val="52EA548F"/>
    <w:rsid w:val="53187412"/>
    <w:rsid w:val="53747F73"/>
    <w:rsid w:val="53801CF8"/>
    <w:rsid w:val="53B62CF9"/>
    <w:rsid w:val="547B0E11"/>
    <w:rsid w:val="54876893"/>
    <w:rsid w:val="549957CC"/>
    <w:rsid w:val="54CD08C7"/>
    <w:rsid w:val="54E72B09"/>
    <w:rsid w:val="55054080"/>
    <w:rsid w:val="552C661F"/>
    <w:rsid w:val="55442E9F"/>
    <w:rsid w:val="55614A70"/>
    <w:rsid w:val="55641906"/>
    <w:rsid w:val="55691D0E"/>
    <w:rsid w:val="55810953"/>
    <w:rsid w:val="55825ED4"/>
    <w:rsid w:val="5587592E"/>
    <w:rsid w:val="55A6534A"/>
    <w:rsid w:val="55C56005"/>
    <w:rsid w:val="56052F0C"/>
    <w:rsid w:val="56062F2E"/>
    <w:rsid w:val="565359D8"/>
    <w:rsid w:val="56643F91"/>
    <w:rsid w:val="567054C5"/>
    <w:rsid w:val="569D13B6"/>
    <w:rsid w:val="56DD373C"/>
    <w:rsid w:val="56FA303F"/>
    <w:rsid w:val="570656B9"/>
    <w:rsid w:val="570A05C6"/>
    <w:rsid w:val="570B42AA"/>
    <w:rsid w:val="572403C8"/>
    <w:rsid w:val="57246503"/>
    <w:rsid w:val="57783B53"/>
    <w:rsid w:val="578A1B1D"/>
    <w:rsid w:val="57BF3138"/>
    <w:rsid w:val="57C01EC0"/>
    <w:rsid w:val="57DD2E8B"/>
    <w:rsid w:val="57E22269"/>
    <w:rsid w:val="57F91FC2"/>
    <w:rsid w:val="57FC2E29"/>
    <w:rsid w:val="57FE5654"/>
    <w:rsid w:val="58052328"/>
    <w:rsid w:val="58064125"/>
    <w:rsid w:val="58273DF4"/>
    <w:rsid w:val="5881047C"/>
    <w:rsid w:val="58924C98"/>
    <w:rsid w:val="58C227EE"/>
    <w:rsid w:val="58CA7DAD"/>
    <w:rsid w:val="58E41F0D"/>
    <w:rsid w:val="58EA5A73"/>
    <w:rsid w:val="591804B7"/>
    <w:rsid w:val="5999486F"/>
    <w:rsid w:val="59CA74AC"/>
    <w:rsid w:val="59D64A93"/>
    <w:rsid w:val="59E51D0E"/>
    <w:rsid w:val="59F82A87"/>
    <w:rsid w:val="59FB0BDB"/>
    <w:rsid w:val="5A1760AF"/>
    <w:rsid w:val="5A2876C0"/>
    <w:rsid w:val="5A4D1608"/>
    <w:rsid w:val="5A9352BA"/>
    <w:rsid w:val="5AE51A1F"/>
    <w:rsid w:val="5B0C1275"/>
    <w:rsid w:val="5B2425AC"/>
    <w:rsid w:val="5B2E2333"/>
    <w:rsid w:val="5B307397"/>
    <w:rsid w:val="5B9A3BC3"/>
    <w:rsid w:val="5BA41126"/>
    <w:rsid w:val="5BB44845"/>
    <w:rsid w:val="5C1E6E3F"/>
    <w:rsid w:val="5C2140B2"/>
    <w:rsid w:val="5C4A762C"/>
    <w:rsid w:val="5C536A51"/>
    <w:rsid w:val="5C6E09C9"/>
    <w:rsid w:val="5C8A24EC"/>
    <w:rsid w:val="5C8D505D"/>
    <w:rsid w:val="5C952932"/>
    <w:rsid w:val="5CC71E6E"/>
    <w:rsid w:val="5CCA627D"/>
    <w:rsid w:val="5D085DB0"/>
    <w:rsid w:val="5D165974"/>
    <w:rsid w:val="5D2A6893"/>
    <w:rsid w:val="5D336B1B"/>
    <w:rsid w:val="5D5A2963"/>
    <w:rsid w:val="5D8138C8"/>
    <w:rsid w:val="5D91588B"/>
    <w:rsid w:val="5DC379F6"/>
    <w:rsid w:val="5DD34346"/>
    <w:rsid w:val="5DF3054E"/>
    <w:rsid w:val="5E014626"/>
    <w:rsid w:val="5E612D0C"/>
    <w:rsid w:val="5E613021"/>
    <w:rsid w:val="5E9F26A6"/>
    <w:rsid w:val="5F2861B5"/>
    <w:rsid w:val="5F42460C"/>
    <w:rsid w:val="5F456079"/>
    <w:rsid w:val="5F675D23"/>
    <w:rsid w:val="5F6B43B8"/>
    <w:rsid w:val="5F6D0C63"/>
    <w:rsid w:val="5FC465BA"/>
    <w:rsid w:val="5FC56A8C"/>
    <w:rsid w:val="5FD12005"/>
    <w:rsid w:val="5FEA379A"/>
    <w:rsid w:val="601F5471"/>
    <w:rsid w:val="606536B6"/>
    <w:rsid w:val="60B525F0"/>
    <w:rsid w:val="60C37DB0"/>
    <w:rsid w:val="611926DF"/>
    <w:rsid w:val="612D0CBD"/>
    <w:rsid w:val="615212F0"/>
    <w:rsid w:val="615D35EF"/>
    <w:rsid w:val="616A5941"/>
    <w:rsid w:val="618570F9"/>
    <w:rsid w:val="619C1C45"/>
    <w:rsid w:val="61A42699"/>
    <w:rsid w:val="61B85153"/>
    <w:rsid w:val="61B97AB8"/>
    <w:rsid w:val="61BA682C"/>
    <w:rsid w:val="61DB5FB1"/>
    <w:rsid w:val="622E519A"/>
    <w:rsid w:val="62304A47"/>
    <w:rsid w:val="623641AE"/>
    <w:rsid w:val="623F0E16"/>
    <w:rsid w:val="624E544D"/>
    <w:rsid w:val="62773B5E"/>
    <w:rsid w:val="62780C19"/>
    <w:rsid w:val="627D2D3F"/>
    <w:rsid w:val="628225F0"/>
    <w:rsid w:val="62891EDB"/>
    <w:rsid w:val="628B7A3E"/>
    <w:rsid w:val="629653A2"/>
    <w:rsid w:val="62C416DA"/>
    <w:rsid w:val="6414597D"/>
    <w:rsid w:val="644400A3"/>
    <w:rsid w:val="64B55F84"/>
    <w:rsid w:val="64CA42F1"/>
    <w:rsid w:val="64D264CD"/>
    <w:rsid w:val="65425DAE"/>
    <w:rsid w:val="65826938"/>
    <w:rsid w:val="65A9265B"/>
    <w:rsid w:val="65B31766"/>
    <w:rsid w:val="65DE7D45"/>
    <w:rsid w:val="65DF1169"/>
    <w:rsid w:val="65F50212"/>
    <w:rsid w:val="65FE185D"/>
    <w:rsid w:val="660571EE"/>
    <w:rsid w:val="66060B96"/>
    <w:rsid w:val="664D3685"/>
    <w:rsid w:val="665A680E"/>
    <w:rsid w:val="66903DA9"/>
    <w:rsid w:val="66D6197C"/>
    <w:rsid w:val="66E94494"/>
    <w:rsid w:val="670A4BA7"/>
    <w:rsid w:val="672017D0"/>
    <w:rsid w:val="673E2B89"/>
    <w:rsid w:val="679C6047"/>
    <w:rsid w:val="67BA7093"/>
    <w:rsid w:val="68420953"/>
    <w:rsid w:val="68646554"/>
    <w:rsid w:val="68804C89"/>
    <w:rsid w:val="688E1769"/>
    <w:rsid w:val="68910CDB"/>
    <w:rsid w:val="68B42981"/>
    <w:rsid w:val="69025C9A"/>
    <w:rsid w:val="6925415F"/>
    <w:rsid w:val="692741BB"/>
    <w:rsid w:val="696C038D"/>
    <w:rsid w:val="697703A1"/>
    <w:rsid w:val="697C6E09"/>
    <w:rsid w:val="69C4781F"/>
    <w:rsid w:val="69D1331E"/>
    <w:rsid w:val="69D51B65"/>
    <w:rsid w:val="6A1A4ED0"/>
    <w:rsid w:val="6A2F5CDA"/>
    <w:rsid w:val="6A952237"/>
    <w:rsid w:val="6AE10C6C"/>
    <w:rsid w:val="6B234C76"/>
    <w:rsid w:val="6B673121"/>
    <w:rsid w:val="6B826332"/>
    <w:rsid w:val="6BCF64E1"/>
    <w:rsid w:val="6BD56642"/>
    <w:rsid w:val="6C6B7DE4"/>
    <w:rsid w:val="6CFC09D1"/>
    <w:rsid w:val="6D6B47C1"/>
    <w:rsid w:val="6D9122D9"/>
    <w:rsid w:val="6D9D138C"/>
    <w:rsid w:val="6DCA5F14"/>
    <w:rsid w:val="6DF04A92"/>
    <w:rsid w:val="6DF963E3"/>
    <w:rsid w:val="6E0B086F"/>
    <w:rsid w:val="6E2F3AFD"/>
    <w:rsid w:val="6E352E2B"/>
    <w:rsid w:val="6E482BEA"/>
    <w:rsid w:val="6EA5064D"/>
    <w:rsid w:val="6EA96AA9"/>
    <w:rsid w:val="6EB44E97"/>
    <w:rsid w:val="6ECC5A71"/>
    <w:rsid w:val="6F054FDE"/>
    <w:rsid w:val="6F0B4097"/>
    <w:rsid w:val="6F785803"/>
    <w:rsid w:val="6FA72F50"/>
    <w:rsid w:val="6FAA6D4F"/>
    <w:rsid w:val="6FD9725A"/>
    <w:rsid w:val="6FDC3A02"/>
    <w:rsid w:val="6FE13565"/>
    <w:rsid w:val="6FE54788"/>
    <w:rsid w:val="6FF7623D"/>
    <w:rsid w:val="70034C62"/>
    <w:rsid w:val="701E6DAF"/>
    <w:rsid w:val="7022469A"/>
    <w:rsid w:val="703870F9"/>
    <w:rsid w:val="703B64E7"/>
    <w:rsid w:val="705F3905"/>
    <w:rsid w:val="70674761"/>
    <w:rsid w:val="70C952DB"/>
    <w:rsid w:val="70CC3A4D"/>
    <w:rsid w:val="70CF699C"/>
    <w:rsid w:val="710D6312"/>
    <w:rsid w:val="713E0125"/>
    <w:rsid w:val="71402086"/>
    <w:rsid w:val="71464AAC"/>
    <w:rsid w:val="7169024E"/>
    <w:rsid w:val="716B3C84"/>
    <w:rsid w:val="71A51568"/>
    <w:rsid w:val="71A8799F"/>
    <w:rsid w:val="71D722B6"/>
    <w:rsid w:val="71E62399"/>
    <w:rsid w:val="72084BE0"/>
    <w:rsid w:val="724A7CD6"/>
    <w:rsid w:val="724E4601"/>
    <w:rsid w:val="72AA2813"/>
    <w:rsid w:val="72BA0D6F"/>
    <w:rsid w:val="72E94144"/>
    <w:rsid w:val="734A07EE"/>
    <w:rsid w:val="734A712E"/>
    <w:rsid w:val="734D7473"/>
    <w:rsid w:val="735A42BC"/>
    <w:rsid w:val="737959F5"/>
    <w:rsid w:val="738565EF"/>
    <w:rsid w:val="73D01633"/>
    <w:rsid w:val="73E90C8A"/>
    <w:rsid w:val="744335ED"/>
    <w:rsid w:val="744C2254"/>
    <w:rsid w:val="745E4EEF"/>
    <w:rsid w:val="74792105"/>
    <w:rsid w:val="74C20EE2"/>
    <w:rsid w:val="75262CA5"/>
    <w:rsid w:val="754F628B"/>
    <w:rsid w:val="75B747BB"/>
    <w:rsid w:val="75C868F1"/>
    <w:rsid w:val="75F14637"/>
    <w:rsid w:val="75FC3331"/>
    <w:rsid w:val="75FC61DF"/>
    <w:rsid w:val="762A4970"/>
    <w:rsid w:val="76787C76"/>
    <w:rsid w:val="768F3F25"/>
    <w:rsid w:val="76DB09EF"/>
    <w:rsid w:val="77101A2F"/>
    <w:rsid w:val="771E647F"/>
    <w:rsid w:val="77335171"/>
    <w:rsid w:val="773F23E0"/>
    <w:rsid w:val="77605830"/>
    <w:rsid w:val="778D3319"/>
    <w:rsid w:val="77F43009"/>
    <w:rsid w:val="788462F5"/>
    <w:rsid w:val="78AB338B"/>
    <w:rsid w:val="78FA2522"/>
    <w:rsid w:val="790C2536"/>
    <w:rsid w:val="79236766"/>
    <w:rsid w:val="793F1D09"/>
    <w:rsid w:val="794B4CB4"/>
    <w:rsid w:val="79557834"/>
    <w:rsid w:val="79A027A7"/>
    <w:rsid w:val="79AE6672"/>
    <w:rsid w:val="79E9269F"/>
    <w:rsid w:val="7A05215F"/>
    <w:rsid w:val="7A263F17"/>
    <w:rsid w:val="7A5861C5"/>
    <w:rsid w:val="7AA46A94"/>
    <w:rsid w:val="7ABA77C0"/>
    <w:rsid w:val="7B005274"/>
    <w:rsid w:val="7B042B75"/>
    <w:rsid w:val="7B2F13AC"/>
    <w:rsid w:val="7B4C58CB"/>
    <w:rsid w:val="7B5B362E"/>
    <w:rsid w:val="7B674403"/>
    <w:rsid w:val="7BA94857"/>
    <w:rsid w:val="7BB31878"/>
    <w:rsid w:val="7BD8608E"/>
    <w:rsid w:val="7BE46FE5"/>
    <w:rsid w:val="7CB53BE5"/>
    <w:rsid w:val="7CC37021"/>
    <w:rsid w:val="7CD05286"/>
    <w:rsid w:val="7CD42274"/>
    <w:rsid w:val="7CDF3CCD"/>
    <w:rsid w:val="7D220014"/>
    <w:rsid w:val="7D2A6B13"/>
    <w:rsid w:val="7D6940E0"/>
    <w:rsid w:val="7DA63B0F"/>
    <w:rsid w:val="7DDB28DA"/>
    <w:rsid w:val="7DDC2F57"/>
    <w:rsid w:val="7DF84A55"/>
    <w:rsid w:val="7E4C4C80"/>
    <w:rsid w:val="7E6459F5"/>
    <w:rsid w:val="7ED64BB8"/>
    <w:rsid w:val="7EE33528"/>
    <w:rsid w:val="7EF07615"/>
    <w:rsid w:val="7F194DDC"/>
    <w:rsid w:val="7F1F734F"/>
    <w:rsid w:val="7F394BF8"/>
    <w:rsid w:val="7F456D12"/>
    <w:rsid w:val="7F5F449D"/>
    <w:rsid w:val="7F817047"/>
    <w:rsid w:val="7F8E53E7"/>
    <w:rsid w:val="7F947D74"/>
    <w:rsid w:val="7FD35C43"/>
    <w:rsid w:val="7FF36100"/>
    <w:rsid w:val="7FF73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napToGrid w:val="0"/>
      <w:spacing w:before="240" w:after="240" w:line="360" w:lineRule="auto"/>
      <w:jc w:val="center"/>
      <w:outlineLvl w:val="0"/>
    </w:pPr>
    <w:rPr>
      <w:rFonts w:eastAsia="仿宋"/>
      <w:b/>
      <w:bCs/>
      <w:kern w:val="44"/>
      <w:sz w:val="32"/>
      <w:szCs w:val="44"/>
    </w:rPr>
  </w:style>
  <w:style w:type="paragraph" w:styleId="4">
    <w:name w:val="heading 2"/>
    <w:basedOn w:val="1"/>
    <w:next w:val="1"/>
    <w:unhideWhenUsed/>
    <w:qFormat/>
    <w:uiPriority w:val="0"/>
    <w:pPr>
      <w:keepNext/>
      <w:keepLines/>
      <w:snapToGrid w:val="0"/>
      <w:spacing w:before="120" w:after="120" w:line="560" w:lineRule="exact"/>
      <w:jc w:val="center"/>
      <w:outlineLvl w:val="1"/>
    </w:pPr>
    <w:rPr>
      <w:rFonts w:ascii="Arial" w:hAnsi="Arial" w:eastAsia="仿宋"/>
      <w:b/>
      <w:bCs/>
      <w:sz w:val="30"/>
      <w:szCs w:val="32"/>
    </w:rPr>
  </w:style>
  <w:style w:type="paragraph" w:styleId="5">
    <w:name w:val="heading 3"/>
    <w:basedOn w:val="1"/>
    <w:next w:val="1"/>
    <w:unhideWhenUsed/>
    <w:qFormat/>
    <w:uiPriority w:val="0"/>
    <w:pPr>
      <w:keepNext/>
      <w:keepLines/>
      <w:spacing w:before="260" w:after="260" w:line="600" w:lineRule="exact"/>
      <w:jc w:val="center"/>
      <w:outlineLvl w:val="2"/>
    </w:pPr>
    <w:rPr>
      <w:rFonts w:eastAsia="仿宋_GB2312"/>
      <w:b/>
      <w:sz w:val="32"/>
    </w:rPr>
  </w:style>
  <w:style w:type="paragraph" w:styleId="6">
    <w:name w:val="heading 4"/>
    <w:basedOn w:val="1"/>
    <w:next w:val="1"/>
    <w:unhideWhenUsed/>
    <w:qFormat/>
    <w:uiPriority w:val="0"/>
    <w:pPr>
      <w:keepNext/>
      <w:keepLines/>
      <w:spacing w:before="280" w:after="290" w:line="374" w:lineRule="auto"/>
      <w:outlineLvl w:val="3"/>
    </w:pPr>
    <w:rPr>
      <w:rFonts w:ascii="Arial" w:hAnsi="Arial" w:eastAsia="黑体"/>
      <w:b/>
      <w:bCs/>
      <w:sz w:val="28"/>
      <w:szCs w:val="28"/>
    </w:rPr>
  </w:style>
  <w:style w:type="character" w:default="1" w:styleId="25">
    <w:name w:val="Default Paragraph Font"/>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7">
    <w:name w:val="Normal Indent"/>
    <w:basedOn w:val="1"/>
    <w:qFormat/>
    <w:uiPriority w:val="0"/>
    <w:pPr>
      <w:ind w:firstLine="420"/>
    </w:pPr>
    <w:rPr>
      <w:szCs w:val="20"/>
    </w:rPr>
  </w:style>
  <w:style w:type="paragraph" w:styleId="8">
    <w:name w:val="Document Map"/>
    <w:basedOn w:val="1"/>
    <w:qFormat/>
    <w:uiPriority w:val="0"/>
    <w:rPr>
      <w:rFonts w:ascii="宋体" w:hAnsi="Tahoma"/>
      <w:sz w:val="18"/>
      <w:szCs w:val="18"/>
    </w:rPr>
  </w:style>
  <w:style w:type="paragraph" w:styleId="9">
    <w:name w:val="annotation text"/>
    <w:basedOn w:val="1"/>
    <w:link w:val="44"/>
    <w:qFormat/>
    <w:uiPriority w:val="0"/>
    <w:pPr>
      <w:jc w:val="left"/>
    </w:pPr>
  </w:style>
  <w:style w:type="paragraph" w:styleId="10">
    <w:name w:val="Body Text Indent"/>
    <w:basedOn w:val="1"/>
    <w:qFormat/>
    <w:uiPriority w:val="0"/>
    <w:pPr>
      <w:spacing w:after="120"/>
      <w:ind w:left="420" w:leftChars="200"/>
    </w:pPr>
    <w:rPr>
      <w:rFonts w:ascii="Times New Roman" w:hAnsi="Times New Roman"/>
      <w:lang w:val="zh-CN"/>
    </w:rPr>
  </w:style>
  <w:style w:type="paragraph" w:styleId="11">
    <w:name w:val="toc 3"/>
    <w:basedOn w:val="1"/>
    <w:next w:val="1"/>
    <w:qFormat/>
    <w:uiPriority w:val="39"/>
    <w:pPr>
      <w:ind w:left="840" w:leftChars="400"/>
    </w:pPr>
  </w:style>
  <w:style w:type="paragraph" w:styleId="12">
    <w:name w:val="Plain Text"/>
    <w:basedOn w:val="1"/>
    <w:qFormat/>
    <w:uiPriority w:val="0"/>
    <w:rPr>
      <w:rFonts w:ascii="宋体" w:hAnsi="宋体" w:cs="Courier New"/>
      <w:szCs w:val="21"/>
    </w:rPr>
  </w:style>
  <w:style w:type="paragraph" w:styleId="13">
    <w:name w:val="Balloon Text"/>
    <w:basedOn w:val="1"/>
    <w:link w:val="41"/>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style>
  <w:style w:type="paragraph" w:styleId="17">
    <w:name w:val="Body Text Indent 3"/>
    <w:basedOn w:val="1"/>
    <w:qFormat/>
    <w:uiPriority w:val="0"/>
    <w:pPr>
      <w:tabs>
        <w:tab w:val="left" w:pos="1080"/>
      </w:tabs>
      <w:adjustRightInd w:val="0"/>
      <w:snapToGrid w:val="0"/>
      <w:spacing w:line="300" w:lineRule="auto"/>
      <w:ind w:left="1075" w:leftChars="342" w:hanging="357" w:hangingChars="170"/>
    </w:pPr>
    <w:rPr>
      <w:rFonts w:ascii="宋体" w:hAnsi="宋体"/>
      <w:snapToGrid w:val="0"/>
      <w:kern w:val="0"/>
    </w:rPr>
  </w:style>
  <w:style w:type="paragraph" w:styleId="18">
    <w:name w:val="toc 2"/>
    <w:basedOn w:val="1"/>
    <w:next w:val="1"/>
    <w:qFormat/>
    <w:uiPriority w:val="39"/>
    <w:pPr>
      <w:ind w:left="420" w:leftChars="200"/>
    </w:pPr>
  </w:style>
  <w:style w:type="paragraph" w:styleId="1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20">
    <w:name w:val="Normal (Web)"/>
    <w:basedOn w:val="1"/>
    <w:qFormat/>
    <w:uiPriority w:val="0"/>
    <w:pPr>
      <w:widowControl/>
      <w:spacing w:before="280" w:after="280"/>
      <w:jc w:val="left"/>
    </w:pPr>
    <w:rPr>
      <w:color w:val="000000"/>
    </w:rPr>
  </w:style>
  <w:style w:type="paragraph" w:styleId="21">
    <w:name w:val="annotation subject"/>
    <w:basedOn w:val="9"/>
    <w:next w:val="9"/>
    <w:link w:val="45"/>
    <w:qFormat/>
    <w:uiPriority w:val="0"/>
    <w:rPr>
      <w:b/>
      <w:bCs/>
    </w:rPr>
  </w:style>
  <w:style w:type="paragraph" w:styleId="22">
    <w:name w:val="Body Text First Indent"/>
    <w:basedOn w:val="2"/>
    <w:qFormat/>
    <w:uiPriority w:val="0"/>
    <w:pPr>
      <w:ind w:firstLine="420" w:firstLineChars="1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Strong"/>
    <w:qFormat/>
    <w:uiPriority w:val="0"/>
  </w:style>
  <w:style w:type="character" w:styleId="27">
    <w:name w:val="FollowedHyperlink"/>
    <w:basedOn w:val="25"/>
    <w:qFormat/>
    <w:uiPriority w:val="0"/>
    <w:rPr>
      <w:color w:val="333333"/>
      <w:u w:val="none"/>
    </w:rPr>
  </w:style>
  <w:style w:type="character" w:styleId="28">
    <w:name w:val="Emphasis"/>
    <w:basedOn w:val="25"/>
    <w:qFormat/>
    <w:uiPriority w:val="0"/>
  </w:style>
  <w:style w:type="character" w:styleId="29">
    <w:name w:val="Hyperlink"/>
    <w:basedOn w:val="25"/>
    <w:qFormat/>
    <w:uiPriority w:val="99"/>
    <w:rPr>
      <w:color w:val="333333"/>
      <w:u w:val="none"/>
    </w:rPr>
  </w:style>
  <w:style w:type="character" w:styleId="30">
    <w:name w:val="annotation reference"/>
    <w:basedOn w:val="25"/>
    <w:qFormat/>
    <w:uiPriority w:val="0"/>
    <w:rPr>
      <w:sz w:val="21"/>
      <w:szCs w:val="21"/>
    </w:rPr>
  </w:style>
  <w:style w:type="character" w:styleId="31">
    <w:name w:val="HTML Cite"/>
    <w:basedOn w:val="25"/>
    <w:qFormat/>
    <w:uiPriority w:val="0"/>
    <w:rPr>
      <w:color w:val="008000"/>
    </w:rPr>
  </w:style>
  <w:style w:type="paragraph" w:customStyle="1" w:styleId="32">
    <w:name w:val="正文缩进2格"/>
    <w:basedOn w:val="1"/>
    <w:next w:val="1"/>
    <w:qFormat/>
    <w:uiPriority w:val="0"/>
    <w:pPr>
      <w:spacing w:line="600" w:lineRule="exact"/>
      <w:ind w:firstLine="639" w:firstLineChars="206"/>
    </w:pPr>
    <w:rPr>
      <w:rFonts w:ascii="仿宋_GB2312" w:hAnsi="宋体" w:eastAsia="仿宋_GB2312"/>
      <w:sz w:val="31"/>
      <w:szCs w:val="28"/>
    </w:rPr>
  </w:style>
  <w:style w:type="paragraph" w:customStyle="1" w:styleId="33">
    <w:name w:val="标题 3.1"/>
    <w:basedOn w:val="5"/>
    <w:qFormat/>
    <w:uiPriority w:val="0"/>
    <w:pPr>
      <w:tabs>
        <w:tab w:val="left" w:pos="1440"/>
        <w:tab w:val="left" w:pos="1620"/>
      </w:tabs>
      <w:jc w:val="both"/>
    </w:pPr>
    <w:rPr>
      <w:rFonts w:ascii="宋体" w:hAnsi="宋体" w:eastAsia="宋体"/>
      <w:color w:val="FF0000"/>
    </w:rPr>
  </w:style>
  <w:style w:type="paragraph" w:customStyle="1" w:styleId="34">
    <w:name w:val="正文缩进4格"/>
    <w:basedOn w:val="32"/>
    <w:qFormat/>
    <w:uiPriority w:val="0"/>
    <w:pPr>
      <w:ind w:left="2" w:firstLine="538" w:firstLineChars="192"/>
    </w:pPr>
    <w:rPr>
      <w:color w:val="0000FF"/>
      <w:sz w:val="28"/>
    </w:rPr>
  </w:style>
  <w:style w:type="paragraph" w:customStyle="1" w:styleId="35">
    <w:name w:val="中等深浅网格 1 - 强调文字颜色 21"/>
    <w:basedOn w:val="1"/>
    <w:qFormat/>
    <w:uiPriority w:val="0"/>
    <w:pPr>
      <w:ind w:firstLine="420" w:firstLineChars="200"/>
    </w:pPr>
    <w:rPr>
      <w:rFonts w:ascii="Calibri" w:hAnsi="Calibri"/>
      <w:szCs w:val="22"/>
    </w:rPr>
  </w:style>
  <w:style w:type="paragraph" w:customStyle="1" w:styleId="36">
    <w:name w:val="正文缩进6格"/>
    <w:basedOn w:val="34"/>
    <w:qFormat/>
    <w:uiPriority w:val="0"/>
    <w:pPr>
      <w:ind w:left="1758" w:leftChars="854"/>
    </w:pPr>
  </w:style>
  <w:style w:type="paragraph" w:customStyle="1" w:styleId="37">
    <w:name w:val="List Paragraph1"/>
    <w:basedOn w:val="1"/>
    <w:qFormat/>
    <w:uiPriority w:val="0"/>
    <w:pPr>
      <w:ind w:firstLine="420" w:firstLineChars="200"/>
    </w:pPr>
    <w:rPr>
      <w:rFonts w:ascii="Calibri" w:hAnsi="Calibri"/>
    </w:rPr>
  </w:style>
  <w:style w:type="paragraph" w:customStyle="1" w:styleId="38">
    <w:name w:val="列出段落1"/>
    <w:basedOn w:val="1"/>
    <w:qFormat/>
    <w:uiPriority w:val="0"/>
    <w:pPr>
      <w:ind w:firstLine="420" w:firstLineChars="200"/>
    </w:pPr>
  </w:style>
  <w:style w:type="paragraph" w:customStyle="1" w:styleId="39">
    <w:name w:val="列出段落11"/>
    <w:basedOn w:val="1"/>
    <w:qFormat/>
    <w:uiPriority w:val="0"/>
    <w:pPr>
      <w:spacing w:line="360" w:lineRule="auto"/>
      <w:ind w:firstLine="420" w:firstLineChars="200"/>
    </w:pPr>
    <w:rPr>
      <w:rFonts w:ascii="Calibri" w:hAnsi="Calibri"/>
      <w:szCs w:val="22"/>
    </w:rPr>
  </w:style>
  <w:style w:type="paragraph" w:customStyle="1" w:styleId="40">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41">
    <w:name w:val="批注框文本 Char"/>
    <w:basedOn w:val="25"/>
    <w:link w:val="13"/>
    <w:qFormat/>
    <w:uiPriority w:val="0"/>
    <w:rPr>
      <w:rFonts w:asciiTheme="minorHAnsi" w:hAnsiTheme="minorHAnsi" w:eastAsiaTheme="minorEastAsia" w:cstheme="minorBidi"/>
      <w:kern w:val="2"/>
      <w:sz w:val="18"/>
      <w:szCs w:val="18"/>
    </w:rPr>
  </w:style>
  <w:style w:type="paragraph" w:customStyle="1" w:styleId="42">
    <w:name w:val="列出段落2"/>
    <w:basedOn w:val="1"/>
    <w:qFormat/>
    <w:uiPriority w:val="0"/>
    <w:pPr>
      <w:ind w:firstLine="420" w:firstLineChars="200"/>
    </w:pPr>
  </w:style>
  <w:style w:type="paragraph" w:customStyle="1" w:styleId="43">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4">
    <w:name w:val="批注文字 Char"/>
    <w:basedOn w:val="25"/>
    <w:link w:val="9"/>
    <w:qFormat/>
    <w:uiPriority w:val="0"/>
    <w:rPr>
      <w:rFonts w:asciiTheme="minorHAnsi" w:hAnsiTheme="minorHAnsi" w:eastAsiaTheme="minorEastAsia" w:cstheme="minorBidi"/>
      <w:kern w:val="2"/>
      <w:sz w:val="21"/>
      <w:szCs w:val="24"/>
    </w:rPr>
  </w:style>
  <w:style w:type="character" w:customStyle="1" w:styleId="45">
    <w:name w:val="批注主题 Char"/>
    <w:basedOn w:val="44"/>
    <w:link w:val="21"/>
    <w:qFormat/>
    <w:uiPriority w:val="0"/>
    <w:rPr>
      <w:rFonts w:asciiTheme="minorHAnsi" w:hAnsiTheme="minorHAnsi" w:eastAsiaTheme="minorEastAsia" w:cstheme="minorBidi"/>
      <w:b/>
      <w:bCs/>
      <w:kern w:val="2"/>
      <w:sz w:val="21"/>
      <w:szCs w:val="24"/>
    </w:rPr>
  </w:style>
  <w:style w:type="paragraph" w:customStyle="1" w:styleId="46">
    <w:name w:val="列出段落3"/>
    <w:basedOn w:val="1"/>
    <w:qFormat/>
    <w:uiPriority w:val="0"/>
    <w:pPr>
      <w:ind w:firstLine="420" w:firstLineChars="200"/>
    </w:pPr>
  </w:style>
  <w:style w:type="character" w:customStyle="1" w:styleId="47">
    <w:name w:val="标题1"/>
    <w:basedOn w:val="25"/>
    <w:qFormat/>
    <w:uiPriority w:val="0"/>
  </w:style>
  <w:style w:type="paragraph" w:customStyle="1" w:styleId="48">
    <w:name w:val="保留正文"/>
    <w:basedOn w:val="2"/>
    <w:qFormat/>
    <w:uiPriority w:val="0"/>
    <w:pPr>
      <w:keepNext/>
    </w:pPr>
  </w:style>
  <w:style w:type="paragraph" w:customStyle="1" w:styleId="49">
    <w:name w:val="1"/>
    <w:basedOn w:val="1"/>
    <w:next w:val="12"/>
    <w:qFormat/>
    <w:uiPriority w:val="0"/>
    <w:rPr>
      <w:rFonts w:ascii="宋体" w:hAnsi="Courier New" w:eastAsia="宋体" w:cs="Times New Roman"/>
      <w:szCs w:val="20"/>
    </w:rPr>
  </w:style>
  <w:style w:type="character" w:customStyle="1" w:styleId="50">
    <w:name w:val="fielderror"/>
    <w:basedOn w:val="25"/>
    <w:qFormat/>
    <w:uiPriority w:val="0"/>
    <w:rPr>
      <w:color w:val="800000"/>
    </w:rPr>
  </w:style>
  <w:style w:type="character" w:customStyle="1" w:styleId="51">
    <w:name w:val="required"/>
    <w:basedOn w:val="25"/>
    <w:qFormat/>
    <w:uiPriority w:val="0"/>
    <w:rPr>
      <w:color w:val="FF0000"/>
    </w:rPr>
  </w:style>
  <w:style w:type="character" w:customStyle="1" w:styleId="52">
    <w:name w:val="tab1"/>
    <w:basedOn w:val="25"/>
    <w:qFormat/>
    <w:uiPriority w:val="0"/>
  </w:style>
  <w:style w:type="character" w:customStyle="1" w:styleId="53">
    <w:name w:val="active"/>
    <w:basedOn w:val="25"/>
    <w:qFormat/>
    <w:uiPriority w:val="0"/>
    <w:rPr>
      <w:color w:val="FFFFFF"/>
    </w:rPr>
  </w:style>
  <w:style w:type="character" w:customStyle="1" w:styleId="54">
    <w:name w:val="hilite"/>
    <w:basedOn w:val="25"/>
    <w:qFormat/>
    <w:uiPriority w:val="0"/>
    <w:rPr>
      <w:color w:val="000000"/>
    </w:rPr>
  </w:style>
  <w:style w:type="character" w:customStyle="1" w:styleId="55">
    <w:name w:val="tab2"/>
    <w:basedOn w:val="25"/>
    <w:qFormat/>
    <w:uiPriority w:val="0"/>
    <w:rPr>
      <w:color w:val="333366"/>
    </w:rPr>
  </w:style>
  <w:style w:type="character" w:customStyle="1" w:styleId="56">
    <w:name w:val="hilite6"/>
    <w:basedOn w:val="25"/>
    <w:qFormat/>
    <w:uiPriority w:val="0"/>
    <w:rPr>
      <w:color w:val="000000"/>
    </w:rPr>
  </w:style>
  <w:style w:type="character" w:customStyle="1" w:styleId="57">
    <w:name w:val="hilite5"/>
    <w:basedOn w:val="25"/>
    <w:qFormat/>
    <w:uiPriority w:val="0"/>
    <w:rPr>
      <w:color w:val="000000"/>
    </w:rPr>
  </w:style>
  <w:style w:type="character" w:customStyle="1" w:styleId="58">
    <w:name w:val="active6"/>
    <w:basedOn w:val="25"/>
    <w:qFormat/>
    <w:uiPriority w:val="0"/>
    <w:rPr>
      <w:color w:val="FFFFFF"/>
    </w:rPr>
  </w:style>
  <w:style w:type="paragraph" w:customStyle="1" w:styleId="5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60">
    <w:name w:val="正文图标题"/>
    <w:next w:val="1"/>
    <w:qFormat/>
    <w:uiPriority w:val="0"/>
    <w:pPr>
      <w:numPr>
        <w:ilvl w:val="0"/>
        <w:numId w:val="1"/>
      </w:numPr>
      <w:spacing w:beforeLines="50" w:afterLines="50"/>
      <w:jc w:val="center"/>
    </w:pPr>
    <w:rPr>
      <w:rFonts w:ascii="黑体" w:hAnsi="Times New Roman" w:eastAsia="黑体" w:cs="Times New Roman"/>
      <w:sz w:val="21"/>
      <w:szCs w:val="22"/>
      <w:lang w:val="en-US" w:eastAsia="zh-CN" w:bidi="ar-SA"/>
    </w:rPr>
  </w:style>
  <w:style w:type="paragraph" w:customStyle="1" w:styleId="61">
    <w:name w:val="_Style 2"/>
    <w:basedOn w:val="8"/>
    <w:qFormat/>
    <w:uiPriority w:val="0"/>
    <w:pPr>
      <w:widowControl/>
      <w:ind w:firstLine="420" w:firstLineChars="200"/>
      <w:jc w:val="left"/>
    </w:pPr>
    <w:rPr>
      <w:rFonts w:ascii="Calibri" w:hAnsi="Calibri"/>
      <w:kern w:val="0"/>
      <w:szCs w:val="22"/>
    </w:rPr>
  </w:style>
  <w:style w:type="character" w:customStyle="1" w:styleId="62">
    <w:name w:val="font11"/>
    <w:basedOn w:val="25"/>
    <w:qFormat/>
    <w:uiPriority w:val="0"/>
    <w:rPr>
      <w:rFonts w:ascii="Arial" w:hAnsi="Arial" w:cs="Arial"/>
      <w:color w:val="000000"/>
      <w:sz w:val="20"/>
      <w:szCs w:val="20"/>
      <w:u w:val="none"/>
    </w:rPr>
  </w:style>
  <w:style w:type="character" w:customStyle="1" w:styleId="63">
    <w:name w:val="p91"/>
    <w:qFormat/>
    <w:uiPriority w:val="0"/>
    <w:rPr>
      <w:rFonts w:hint="eastAsia" w:ascii="宋体" w:hAnsi="宋体" w:eastAsia="宋体"/>
      <w:sz w:val="24"/>
    </w:rPr>
  </w:style>
  <w:style w:type="character" w:customStyle="1" w:styleId="64">
    <w:name w:val="font01"/>
    <w:qFormat/>
    <w:uiPriority w:val="0"/>
    <w:rPr>
      <w:rFonts w:ascii="Arial" w:hAnsi="Arial" w:cs="Arial"/>
      <w:color w:val="000000"/>
      <w:sz w:val="20"/>
      <w:szCs w:val="20"/>
      <w:u w:val="none"/>
    </w:rPr>
  </w:style>
  <w:style w:type="paragraph" w:customStyle="1" w:styleId="65">
    <w:name w:val="图"/>
    <w:basedOn w:val="1"/>
    <w:qFormat/>
    <w:uiPriority w:val="0"/>
    <w:pPr>
      <w:keepNext/>
      <w:adjustRightInd w:val="0"/>
      <w:spacing w:before="60" w:after="60" w:line="300" w:lineRule="auto"/>
      <w:jc w:val="center"/>
      <w:textAlignment w:val="center"/>
    </w:pPr>
    <w:rPr>
      <w:snapToGrid w:val="0"/>
      <w:spacing w:val="20"/>
      <w:sz w:val="24"/>
    </w:rPr>
  </w:style>
  <w:style w:type="character" w:customStyle="1" w:styleId="66">
    <w:name w:val="hover22"/>
    <w:basedOn w:val="25"/>
    <w:qFormat/>
    <w:uiPriority w:val="0"/>
    <w:rPr>
      <w:color w:val="D52222"/>
    </w:rPr>
  </w:style>
  <w:style w:type="character" w:customStyle="1" w:styleId="67">
    <w:name w:val="hover23"/>
    <w:basedOn w:val="25"/>
    <w:qFormat/>
    <w:uiPriority w:val="0"/>
    <w:rPr>
      <w:color w:val="2B84B5"/>
    </w:rPr>
  </w:style>
  <w:style w:type="character" w:customStyle="1" w:styleId="68">
    <w:name w:val="img8"/>
    <w:basedOn w:val="25"/>
    <w:qFormat/>
    <w:uiPriority w:val="0"/>
  </w:style>
  <w:style w:type="character" w:customStyle="1" w:styleId="69">
    <w:name w:val="img9"/>
    <w:basedOn w:val="25"/>
    <w:qFormat/>
    <w:uiPriority w:val="0"/>
  </w:style>
  <w:style w:type="character" w:customStyle="1" w:styleId="70">
    <w:name w:val="hover24"/>
    <w:basedOn w:val="25"/>
    <w:qFormat/>
    <w:uiPriority w:val="0"/>
    <w:rPr>
      <w:color w:val="D52222"/>
    </w:rPr>
  </w:style>
  <w:style w:type="character" w:customStyle="1" w:styleId="71">
    <w:name w:val="qxdate"/>
    <w:basedOn w:val="25"/>
    <w:qFormat/>
    <w:uiPriority w:val="0"/>
    <w:rPr>
      <w:color w:val="333333"/>
      <w:sz w:val="18"/>
      <w:szCs w:val="18"/>
    </w:rPr>
  </w:style>
  <w:style w:type="character" w:customStyle="1" w:styleId="72">
    <w:name w:val="redfilenumber"/>
    <w:basedOn w:val="25"/>
    <w:qFormat/>
    <w:uiPriority w:val="0"/>
    <w:rPr>
      <w:color w:val="BA2636"/>
      <w:sz w:val="18"/>
      <w:szCs w:val="18"/>
    </w:rPr>
  </w:style>
  <w:style w:type="character" w:customStyle="1" w:styleId="73">
    <w:name w:val="redfilefwwh"/>
    <w:basedOn w:val="25"/>
    <w:qFormat/>
    <w:uiPriority w:val="0"/>
    <w:rPr>
      <w:color w:val="BA2636"/>
      <w:sz w:val="18"/>
      <w:szCs w:val="18"/>
    </w:rPr>
  </w:style>
  <w:style w:type="character" w:customStyle="1" w:styleId="74">
    <w:name w:val="gjfg"/>
    <w:basedOn w:val="25"/>
    <w:qFormat/>
    <w:uiPriority w:val="0"/>
  </w:style>
  <w:style w:type="character" w:customStyle="1" w:styleId="75">
    <w:name w:val="displayarti"/>
    <w:basedOn w:val="25"/>
    <w:qFormat/>
    <w:uiPriority w:val="0"/>
    <w:rPr>
      <w:color w:val="FFFFFF"/>
      <w:shd w:val="clear" w:color="auto" w:fill="A00000"/>
    </w:rPr>
  </w:style>
  <w:style w:type="character" w:customStyle="1" w:styleId="76">
    <w:name w:val="cfdate"/>
    <w:basedOn w:val="25"/>
    <w:qFormat/>
    <w:uiPriority w:val="0"/>
    <w:rPr>
      <w:color w:val="333333"/>
      <w:sz w:val="18"/>
      <w:szCs w:val="18"/>
    </w:rPr>
  </w:style>
  <w:style w:type="paragraph" w:styleId="77">
    <w:name w:val="List Paragraph"/>
    <w:basedOn w:val="1"/>
    <w:qFormat/>
    <w:uiPriority w:val="34"/>
    <w:pPr>
      <w:ind w:firstLine="420" w:firstLineChars="200"/>
    </w:pPr>
  </w:style>
  <w:style w:type="paragraph" w:customStyle="1" w:styleId="78">
    <w:name w:val="正文_1"/>
    <w:basedOn w:val="1"/>
    <w:qFormat/>
    <w:uiPriority w:val="0"/>
    <w:rPr>
      <w:rFonts w:ascii="Times New Roman" w:hAnsi="Times New Roman" w:eastAsia="宋体" w:cs="Times New Roman"/>
    </w:rPr>
  </w:style>
  <w:style w:type="paragraph" w:customStyle="1" w:styleId="79">
    <w:name w:val="Default"/>
    <w:unhideWhenUsed/>
    <w:qFormat/>
    <w:uiPriority w:val="99"/>
    <w:pPr>
      <w:widowControl w:val="0"/>
      <w:autoSpaceDE w:val="0"/>
      <w:autoSpaceDN w:val="0"/>
      <w:adjustRightInd w:val="0"/>
    </w:pPr>
    <w:rPr>
      <w:rFonts w:hint="eastAsia" w:ascii="宋体_x0019_剜夭..." w:hAnsi="宋体_x0019_剜夭..." w:eastAsia="宋体_x0019_剜夭..." w:cs="Times New Roman"/>
      <w:color w:val="000000"/>
      <w:sz w:val="24"/>
      <w:lang w:val="en-US" w:eastAsia="zh-CN" w:bidi="ar-SA"/>
    </w:rPr>
  </w:style>
  <w:style w:type="character" w:customStyle="1" w:styleId="80">
    <w:name w:val="c-icon14"/>
    <w:basedOn w:val="25"/>
    <w:qFormat/>
    <w:uiPriority w:val="0"/>
  </w:style>
  <w:style w:type="paragraph" w:customStyle="1" w:styleId="81">
    <w:name w:val="_Style 9"/>
    <w:basedOn w:val="1"/>
    <w:next w:val="77"/>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3C9BD5-C6DB-4591-A25D-790AFEB6258A}">
  <ds:schemaRefs/>
</ds:datastoreItem>
</file>

<file path=docProps/app.xml><?xml version="1.0" encoding="utf-8"?>
<Properties xmlns="http://schemas.openxmlformats.org/officeDocument/2006/extended-properties" xmlns:vt="http://schemas.openxmlformats.org/officeDocument/2006/docPropsVTypes">
  <Template>Normal</Template>
  <Company>jk</Company>
  <Pages>90</Pages>
  <Words>34300</Words>
  <Characters>9545</Characters>
  <Lines>79</Lines>
  <Paragraphs>87</Paragraphs>
  <TotalTime>44</TotalTime>
  <ScaleCrop>false</ScaleCrop>
  <LinksUpToDate>false</LinksUpToDate>
  <CharactersWithSpaces>43758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2019-01-28T09:11:00Z</dcterms:created>
  <dc:creator>辉</dc:creator>
  <cp:lastModifiedBy>麻涌香蕉</cp:lastModifiedBy>
  <cp:lastPrinted>2019-12-11T08:37:00Z</cp:lastPrinted>
  <dcterms:modified xsi:type="dcterms:W3CDTF">2019-12-12T09:01:23Z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